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E61" w:rsidRPr="004F6576" w:rsidRDefault="00F512EC" w:rsidP="00EE759E">
      <w:pPr>
        <w:tabs>
          <w:tab w:val="left" w:pos="6237"/>
        </w:tabs>
        <w:rPr>
          <w:sz w:val="32"/>
          <w:szCs w:val="32"/>
        </w:rPr>
      </w:pPr>
      <w:bookmarkStart w:id="0" w:name="_GoBack"/>
      <w:bookmarkEnd w:id="0"/>
      <w:r>
        <w:rPr>
          <w:sz w:val="32"/>
          <w:szCs w:val="32"/>
        </w:rPr>
        <w:t xml:space="preserve">PROJEKTS </w:t>
      </w:r>
    </w:p>
    <w:p w:rsidR="005D5E61" w:rsidRPr="004F6576" w:rsidRDefault="005D5E61" w:rsidP="005D5E61">
      <w:pPr>
        <w:jc w:val="center"/>
        <w:rPr>
          <w:iCs/>
          <w:sz w:val="36"/>
          <w:szCs w:val="36"/>
        </w:rPr>
      </w:pPr>
    </w:p>
    <w:p w:rsidR="005D5E61" w:rsidRDefault="005D5E61" w:rsidP="005D5E61">
      <w:pPr>
        <w:jc w:val="center"/>
        <w:rPr>
          <w:iCs/>
          <w:sz w:val="36"/>
          <w:szCs w:val="36"/>
        </w:rPr>
      </w:pPr>
    </w:p>
    <w:p w:rsidR="005D5E61" w:rsidRDefault="005D5E61" w:rsidP="005D5E61">
      <w:pPr>
        <w:jc w:val="center"/>
        <w:rPr>
          <w:iCs/>
          <w:sz w:val="36"/>
          <w:szCs w:val="36"/>
        </w:rPr>
      </w:pPr>
    </w:p>
    <w:p w:rsidR="005D5E61" w:rsidRDefault="005D5E61" w:rsidP="005D5E61">
      <w:pPr>
        <w:jc w:val="center"/>
        <w:rPr>
          <w:iCs/>
          <w:sz w:val="36"/>
          <w:szCs w:val="36"/>
        </w:rPr>
      </w:pPr>
    </w:p>
    <w:p w:rsidR="005D5E61" w:rsidRDefault="005D5E61" w:rsidP="005D5E61">
      <w:pPr>
        <w:jc w:val="center"/>
        <w:rPr>
          <w:iCs/>
          <w:sz w:val="36"/>
          <w:szCs w:val="36"/>
        </w:rPr>
      </w:pPr>
    </w:p>
    <w:p w:rsidR="005D5E61" w:rsidRDefault="005D5E61" w:rsidP="005D5E61">
      <w:pPr>
        <w:jc w:val="center"/>
        <w:rPr>
          <w:iCs/>
          <w:sz w:val="36"/>
          <w:szCs w:val="36"/>
        </w:rPr>
      </w:pPr>
    </w:p>
    <w:p w:rsidR="005D5E61" w:rsidRPr="004F6576" w:rsidRDefault="005D5E61" w:rsidP="005D5E61">
      <w:pPr>
        <w:jc w:val="center"/>
        <w:rPr>
          <w:iCs/>
          <w:sz w:val="36"/>
          <w:szCs w:val="36"/>
        </w:rPr>
      </w:pPr>
    </w:p>
    <w:p w:rsidR="005D5E61" w:rsidRPr="0062651D" w:rsidRDefault="005D5E61" w:rsidP="005D5E61">
      <w:pPr>
        <w:jc w:val="center"/>
        <w:rPr>
          <w:b/>
          <w:sz w:val="56"/>
          <w:szCs w:val="56"/>
        </w:rPr>
      </w:pPr>
      <w:r>
        <w:rPr>
          <w:b/>
          <w:sz w:val="56"/>
          <w:szCs w:val="56"/>
        </w:rPr>
        <w:t xml:space="preserve">ENERĢĒTIKAS ATTĪSTĪBAS </w:t>
      </w:r>
      <w:r w:rsidRPr="0062651D">
        <w:rPr>
          <w:b/>
          <w:sz w:val="56"/>
          <w:szCs w:val="56"/>
        </w:rPr>
        <w:t>PAMATNOSTĀDNES</w:t>
      </w:r>
    </w:p>
    <w:p w:rsidR="005D5E61" w:rsidRPr="0062651D" w:rsidRDefault="005D5E61" w:rsidP="005D5E61">
      <w:pPr>
        <w:jc w:val="center"/>
        <w:rPr>
          <w:b/>
          <w:sz w:val="56"/>
          <w:szCs w:val="56"/>
        </w:rPr>
      </w:pPr>
      <w:r w:rsidRPr="0062651D">
        <w:rPr>
          <w:b/>
          <w:sz w:val="56"/>
          <w:szCs w:val="56"/>
        </w:rPr>
        <w:t>201</w:t>
      </w:r>
      <w:r>
        <w:rPr>
          <w:b/>
          <w:sz w:val="56"/>
          <w:szCs w:val="56"/>
        </w:rPr>
        <w:t>4</w:t>
      </w:r>
      <w:r w:rsidRPr="0062651D">
        <w:rPr>
          <w:b/>
          <w:sz w:val="56"/>
          <w:szCs w:val="56"/>
        </w:rPr>
        <w:t>.–2020.gadam</w:t>
      </w:r>
    </w:p>
    <w:p w:rsidR="005D5E61" w:rsidRDefault="005D5E61" w:rsidP="005D5E61">
      <w:pPr>
        <w:jc w:val="center"/>
        <w:rPr>
          <w:sz w:val="44"/>
          <w:szCs w:val="44"/>
        </w:rPr>
      </w:pPr>
    </w:p>
    <w:p w:rsidR="005D5E61" w:rsidRDefault="005D5E61" w:rsidP="005D5E61">
      <w:pPr>
        <w:jc w:val="center"/>
        <w:rPr>
          <w:sz w:val="44"/>
          <w:szCs w:val="44"/>
        </w:rPr>
      </w:pPr>
      <w:r w:rsidRPr="00605C38">
        <w:rPr>
          <w:sz w:val="44"/>
          <w:szCs w:val="44"/>
        </w:rPr>
        <w:t>(Informatīvā daļa)</w:t>
      </w:r>
    </w:p>
    <w:p w:rsidR="005D5E61" w:rsidRPr="004F6576" w:rsidRDefault="005D5E61" w:rsidP="005D5E61">
      <w:pPr>
        <w:jc w:val="center"/>
      </w:pPr>
    </w:p>
    <w:p w:rsidR="005D5E61" w:rsidRPr="004F6576" w:rsidRDefault="005D5E61" w:rsidP="005D5E61">
      <w:pPr>
        <w:jc w:val="center"/>
      </w:pPr>
    </w:p>
    <w:p w:rsidR="005D5E61" w:rsidRPr="004F6576" w:rsidRDefault="005D5E61" w:rsidP="005D5E61">
      <w:pPr>
        <w:jc w:val="center"/>
      </w:pPr>
    </w:p>
    <w:p w:rsidR="005D5E61" w:rsidRPr="004F6576" w:rsidRDefault="005D5E61" w:rsidP="005D5E61">
      <w:pPr>
        <w:jc w:val="center"/>
      </w:pPr>
    </w:p>
    <w:p w:rsidR="005D5E61" w:rsidRPr="004F6576" w:rsidRDefault="005D5E61" w:rsidP="005D5E61">
      <w:pPr>
        <w:jc w:val="center"/>
      </w:pPr>
    </w:p>
    <w:p w:rsidR="005D5E61" w:rsidRPr="004F6576"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pPr>
    </w:p>
    <w:p w:rsidR="005D5E61" w:rsidRDefault="005D5E61" w:rsidP="005D5E61">
      <w:pPr>
        <w:jc w:val="center"/>
        <w:rPr>
          <w:sz w:val="36"/>
          <w:szCs w:val="36"/>
        </w:rPr>
      </w:pPr>
    </w:p>
    <w:p w:rsidR="005D5E61" w:rsidRDefault="005D5E61" w:rsidP="005D5E61">
      <w:pPr>
        <w:jc w:val="center"/>
        <w:rPr>
          <w:sz w:val="36"/>
          <w:szCs w:val="36"/>
        </w:rPr>
      </w:pPr>
    </w:p>
    <w:p w:rsidR="005D5E61" w:rsidRDefault="005D5E61" w:rsidP="005D5E61">
      <w:pPr>
        <w:jc w:val="center"/>
        <w:rPr>
          <w:sz w:val="36"/>
          <w:szCs w:val="36"/>
        </w:rPr>
      </w:pPr>
    </w:p>
    <w:p w:rsidR="005D5E61" w:rsidRDefault="005D5E61" w:rsidP="005D5E61">
      <w:pPr>
        <w:jc w:val="center"/>
        <w:rPr>
          <w:sz w:val="36"/>
          <w:szCs w:val="36"/>
        </w:rPr>
      </w:pPr>
    </w:p>
    <w:p w:rsidR="00D515AF" w:rsidRPr="009E2FB1" w:rsidRDefault="00D515AF" w:rsidP="005D5E61">
      <w:pPr>
        <w:jc w:val="center"/>
        <w:rPr>
          <w:sz w:val="36"/>
          <w:szCs w:val="36"/>
        </w:rPr>
      </w:pPr>
    </w:p>
    <w:p w:rsidR="005D5E61" w:rsidRPr="0062651D" w:rsidRDefault="005D5E61" w:rsidP="005D5E61">
      <w:pPr>
        <w:jc w:val="center"/>
        <w:rPr>
          <w:sz w:val="32"/>
          <w:szCs w:val="32"/>
        </w:rPr>
      </w:pPr>
      <w:r>
        <w:rPr>
          <w:sz w:val="32"/>
          <w:szCs w:val="32"/>
        </w:rPr>
        <w:t>Ekonomikas</w:t>
      </w:r>
      <w:r w:rsidRPr="0062651D">
        <w:rPr>
          <w:sz w:val="32"/>
          <w:szCs w:val="32"/>
        </w:rPr>
        <w:t xml:space="preserve"> ministrija</w:t>
      </w:r>
    </w:p>
    <w:p w:rsidR="005D5E61" w:rsidRPr="0062651D" w:rsidRDefault="005D5E61" w:rsidP="005D5E61">
      <w:pPr>
        <w:jc w:val="center"/>
        <w:rPr>
          <w:sz w:val="32"/>
          <w:szCs w:val="32"/>
        </w:rPr>
      </w:pPr>
      <w:r w:rsidRPr="0062651D">
        <w:rPr>
          <w:sz w:val="32"/>
          <w:szCs w:val="32"/>
        </w:rPr>
        <w:t>Rīga, 201</w:t>
      </w:r>
      <w:r>
        <w:rPr>
          <w:sz w:val="32"/>
          <w:szCs w:val="32"/>
        </w:rPr>
        <w:t>4</w:t>
      </w:r>
    </w:p>
    <w:p w:rsidR="001D7450" w:rsidRDefault="001D7450">
      <w:pPr>
        <w:rPr>
          <w:b/>
        </w:rPr>
      </w:pPr>
      <w:r>
        <w:rPr>
          <w:b/>
        </w:rPr>
        <w:br w:type="page"/>
      </w:r>
    </w:p>
    <w:p w:rsidR="00C37632" w:rsidRPr="00706626" w:rsidRDefault="00706626" w:rsidP="00706626">
      <w:pPr>
        <w:pStyle w:val="ListParagraph"/>
        <w:jc w:val="both"/>
        <w:rPr>
          <w:b/>
        </w:rPr>
      </w:pPr>
      <w:r>
        <w:rPr>
          <w:b/>
        </w:rPr>
        <w:lastRenderedPageBreak/>
        <w:t>SATURS</w:t>
      </w:r>
    </w:p>
    <w:sdt>
      <w:sdtPr>
        <w:rPr>
          <w:rFonts w:ascii="Times New Roman" w:eastAsiaTheme="minorHAnsi" w:hAnsi="Times New Roman" w:cstheme="minorBidi"/>
          <w:b w:val="0"/>
          <w:bCs w:val="0"/>
          <w:color w:val="auto"/>
          <w:szCs w:val="22"/>
          <w:lang w:val="lv-LV" w:eastAsia="en-US"/>
        </w:rPr>
        <w:id w:val="199906338"/>
        <w:docPartObj>
          <w:docPartGallery w:val="Table of Contents"/>
          <w:docPartUnique/>
        </w:docPartObj>
      </w:sdtPr>
      <w:sdtEndPr>
        <w:rPr>
          <w:noProof/>
        </w:rPr>
      </w:sdtEndPr>
      <w:sdtContent>
        <w:p w:rsidR="00B25A9B" w:rsidRDefault="00B25A9B">
          <w:pPr>
            <w:pStyle w:val="TOCHeading"/>
          </w:pPr>
        </w:p>
        <w:p w:rsidR="00547FD4" w:rsidRDefault="00A67716">
          <w:pPr>
            <w:pStyle w:val="TOC1"/>
            <w:rPr>
              <w:rFonts w:asciiTheme="minorHAnsi" w:eastAsiaTheme="minorEastAsia" w:hAnsiTheme="minorHAnsi"/>
              <w:noProof/>
              <w:sz w:val="22"/>
              <w:lang w:eastAsia="lv-LV"/>
            </w:rPr>
          </w:pPr>
          <w:r>
            <w:fldChar w:fldCharType="begin"/>
          </w:r>
          <w:r w:rsidR="00B25A9B">
            <w:instrText xml:space="preserve"> TOC \o "1-3" \h \z \u </w:instrText>
          </w:r>
          <w:r>
            <w:fldChar w:fldCharType="separate"/>
          </w:r>
          <w:hyperlink w:anchor="_Toc401644306" w:history="1">
            <w:r w:rsidR="00547FD4" w:rsidRPr="00B25929">
              <w:rPr>
                <w:rStyle w:val="Hyperlink"/>
                <w:noProof/>
              </w:rPr>
              <w:t>Ievads</w:t>
            </w:r>
            <w:r w:rsidR="00547FD4">
              <w:rPr>
                <w:noProof/>
                <w:webHidden/>
              </w:rPr>
              <w:tab/>
            </w:r>
            <w:r w:rsidR="00547FD4">
              <w:rPr>
                <w:noProof/>
                <w:webHidden/>
              </w:rPr>
              <w:fldChar w:fldCharType="begin"/>
            </w:r>
            <w:r w:rsidR="00547FD4">
              <w:rPr>
                <w:noProof/>
                <w:webHidden/>
              </w:rPr>
              <w:instrText xml:space="preserve"> PAGEREF _Toc401644306 \h </w:instrText>
            </w:r>
            <w:r w:rsidR="00547FD4">
              <w:rPr>
                <w:noProof/>
                <w:webHidden/>
              </w:rPr>
            </w:r>
            <w:r w:rsidR="00547FD4">
              <w:rPr>
                <w:noProof/>
                <w:webHidden/>
              </w:rPr>
              <w:fldChar w:fldCharType="separate"/>
            </w:r>
            <w:r w:rsidR="003E1851">
              <w:rPr>
                <w:noProof/>
                <w:webHidden/>
              </w:rPr>
              <w:t>7</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07" w:history="1">
            <w:r w:rsidR="00547FD4" w:rsidRPr="00B25929">
              <w:rPr>
                <w:rStyle w:val="Hyperlink"/>
                <w:noProof/>
              </w:rPr>
              <w:t>1.</w:t>
            </w:r>
            <w:r w:rsidR="00547FD4">
              <w:rPr>
                <w:rFonts w:asciiTheme="minorHAnsi" w:eastAsiaTheme="minorEastAsia" w:hAnsiTheme="minorHAnsi"/>
                <w:noProof/>
                <w:sz w:val="22"/>
                <w:lang w:eastAsia="lv-LV"/>
              </w:rPr>
              <w:tab/>
            </w:r>
            <w:r w:rsidR="00547FD4" w:rsidRPr="00B25929">
              <w:rPr>
                <w:rStyle w:val="Hyperlink"/>
                <w:noProof/>
              </w:rPr>
              <w:t>Enerģētikas politikas mērķi</w:t>
            </w:r>
            <w:r w:rsidR="00547FD4">
              <w:rPr>
                <w:noProof/>
                <w:webHidden/>
              </w:rPr>
              <w:tab/>
            </w:r>
            <w:r w:rsidR="00547FD4">
              <w:rPr>
                <w:noProof/>
                <w:webHidden/>
              </w:rPr>
              <w:fldChar w:fldCharType="begin"/>
            </w:r>
            <w:r w:rsidR="00547FD4">
              <w:rPr>
                <w:noProof/>
                <w:webHidden/>
              </w:rPr>
              <w:instrText xml:space="preserve"> PAGEREF _Toc401644307 \h </w:instrText>
            </w:r>
            <w:r w:rsidR="00547FD4">
              <w:rPr>
                <w:noProof/>
                <w:webHidden/>
              </w:rPr>
            </w:r>
            <w:r w:rsidR="00547FD4">
              <w:rPr>
                <w:noProof/>
                <w:webHidden/>
              </w:rPr>
              <w:fldChar w:fldCharType="separate"/>
            </w:r>
            <w:r w:rsidR="003E1851">
              <w:rPr>
                <w:noProof/>
                <w:webHidden/>
              </w:rPr>
              <w:t>8</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08" w:history="1">
            <w:r w:rsidR="00547FD4" w:rsidRPr="00B25929">
              <w:rPr>
                <w:rStyle w:val="Hyperlink"/>
                <w:noProof/>
              </w:rPr>
              <w:t>1.1.</w:t>
            </w:r>
            <w:r w:rsidR="00547FD4">
              <w:rPr>
                <w:rFonts w:asciiTheme="minorHAnsi" w:eastAsiaTheme="minorEastAsia" w:hAnsiTheme="minorHAnsi"/>
                <w:noProof/>
                <w:sz w:val="22"/>
                <w:lang w:eastAsia="lv-LV"/>
              </w:rPr>
              <w:tab/>
            </w:r>
            <w:r w:rsidR="00547FD4" w:rsidRPr="00B25929">
              <w:rPr>
                <w:rStyle w:val="Hyperlink"/>
                <w:noProof/>
              </w:rPr>
              <w:t>ES enerģētikas politikas mērķi</w:t>
            </w:r>
            <w:r w:rsidR="00547FD4">
              <w:rPr>
                <w:noProof/>
                <w:webHidden/>
              </w:rPr>
              <w:tab/>
            </w:r>
            <w:r w:rsidR="00547FD4">
              <w:rPr>
                <w:noProof/>
                <w:webHidden/>
              </w:rPr>
              <w:fldChar w:fldCharType="begin"/>
            </w:r>
            <w:r w:rsidR="00547FD4">
              <w:rPr>
                <w:noProof/>
                <w:webHidden/>
              </w:rPr>
              <w:instrText xml:space="preserve"> PAGEREF _Toc401644308 \h </w:instrText>
            </w:r>
            <w:r w:rsidR="00547FD4">
              <w:rPr>
                <w:noProof/>
                <w:webHidden/>
              </w:rPr>
            </w:r>
            <w:r w:rsidR="00547FD4">
              <w:rPr>
                <w:noProof/>
                <w:webHidden/>
              </w:rPr>
              <w:fldChar w:fldCharType="separate"/>
            </w:r>
            <w:r w:rsidR="003E1851">
              <w:rPr>
                <w:noProof/>
                <w:webHidden/>
              </w:rPr>
              <w:t>8</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09" w:history="1">
            <w:r w:rsidR="00547FD4" w:rsidRPr="00B25929">
              <w:rPr>
                <w:rStyle w:val="Hyperlink"/>
                <w:noProof/>
              </w:rPr>
              <w:t>1.2.</w:t>
            </w:r>
            <w:r w:rsidR="00547FD4">
              <w:rPr>
                <w:rFonts w:asciiTheme="minorHAnsi" w:eastAsiaTheme="minorEastAsia" w:hAnsiTheme="minorHAnsi"/>
                <w:noProof/>
                <w:sz w:val="22"/>
                <w:lang w:eastAsia="lv-LV"/>
              </w:rPr>
              <w:tab/>
            </w:r>
            <w:r w:rsidR="00547FD4" w:rsidRPr="00B25929">
              <w:rPr>
                <w:rStyle w:val="Hyperlink"/>
                <w:noProof/>
              </w:rPr>
              <w:t>ES klimata un enerģētikas politikas satvars laika posmam no 2020. – 2030.gadam</w:t>
            </w:r>
            <w:r w:rsidR="00547FD4">
              <w:rPr>
                <w:noProof/>
                <w:webHidden/>
              </w:rPr>
              <w:tab/>
            </w:r>
            <w:r w:rsidR="00547FD4">
              <w:rPr>
                <w:noProof/>
                <w:webHidden/>
              </w:rPr>
              <w:fldChar w:fldCharType="begin"/>
            </w:r>
            <w:r w:rsidR="00547FD4">
              <w:rPr>
                <w:noProof/>
                <w:webHidden/>
              </w:rPr>
              <w:instrText xml:space="preserve"> PAGEREF _Toc401644309 \h </w:instrText>
            </w:r>
            <w:r w:rsidR="00547FD4">
              <w:rPr>
                <w:noProof/>
                <w:webHidden/>
              </w:rPr>
            </w:r>
            <w:r w:rsidR="00547FD4">
              <w:rPr>
                <w:noProof/>
                <w:webHidden/>
              </w:rPr>
              <w:fldChar w:fldCharType="separate"/>
            </w:r>
            <w:r w:rsidR="003E1851">
              <w:rPr>
                <w:noProof/>
                <w:webHidden/>
              </w:rPr>
              <w:t>8</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0" w:history="1">
            <w:r w:rsidR="00547FD4" w:rsidRPr="00B25929">
              <w:rPr>
                <w:rStyle w:val="Hyperlink"/>
                <w:noProof/>
              </w:rPr>
              <w:t>1.3.</w:t>
            </w:r>
            <w:r w:rsidR="00547FD4">
              <w:rPr>
                <w:rFonts w:asciiTheme="minorHAnsi" w:eastAsiaTheme="minorEastAsia" w:hAnsiTheme="minorHAnsi"/>
                <w:noProof/>
                <w:sz w:val="22"/>
                <w:lang w:eastAsia="lv-LV"/>
              </w:rPr>
              <w:tab/>
            </w:r>
            <w:r w:rsidR="00547FD4" w:rsidRPr="00B25929">
              <w:rPr>
                <w:rStyle w:val="Hyperlink"/>
                <w:noProof/>
              </w:rPr>
              <w:t>Eiropas Enerģētikas savienība</w:t>
            </w:r>
            <w:r w:rsidR="00547FD4">
              <w:rPr>
                <w:noProof/>
                <w:webHidden/>
              </w:rPr>
              <w:tab/>
            </w:r>
            <w:r w:rsidR="00547FD4">
              <w:rPr>
                <w:noProof/>
                <w:webHidden/>
              </w:rPr>
              <w:fldChar w:fldCharType="begin"/>
            </w:r>
            <w:r w:rsidR="00547FD4">
              <w:rPr>
                <w:noProof/>
                <w:webHidden/>
              </w:rPr>
              <w:instrText xml:space="preserve"> PAGEREF _Toc401644310 \h </w:instrText>
            </w:r>
            <w:r w:rsidR="00547FD4">
              <w:rPr>
                <w:noProof/>
                <w:webHidden/>
              </w:rPr>
            </w:r>
            <w:r w:rsidR="00547FD4">
              <w:rPr>
                <w:noProof/>
                <w:webHidden/>
              </w:rPr>
              <w:fldChar w:fldCharType="separate"/>
            </w:r>
            <w:r w:rsidR="003E1851">
              <w:rPr>
                <w:noProof/>
                <w:webHidden/>
              </w:rPr>
              <w:t>10</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1" w:history="1">
            <w:r w:rsidR="00547FD4" w:rsidRPr="00B25929">
              <w:rPr>
                <w:rStyle w:val="Hyperlink"/>
                <w:noProof/>
              </w:rPr>
              <w:t>1.4.</w:t>
            </w:r>
            <w:r w:rsidR="00547FD4">
              <w:rPr>
                <w:rFonts w:asciiTheme="minorHAnsi" w:eastAsiaTheme="minorEastAsia" w:hAnsiTheme="minorHAnsi"/>
                <w:noProof/>
                <w:sz w:val="22"/>
                <w:lang w:eastAsia="lv-LV"/>
              </w:rPr>
              <w:tab/>
            </w:r>
            <w:r w:rsidR="00547FD4" w:rsidRPr="00B25929">
              <w:rPr>
                <w:rStyle w:val="Hyperlink"/>
                <w:noProof/>
              </w:rPr>
              <w:t>Latvijas enerģētikas politikas mērķi</w:t>
            </w:r>
            <w:r w:rsidR="00547FD4">
              <w:rPr>
                <w:noProof/>
                <w:webHidden/>
              </w:rPr>
              <w:tab/>
            </w:r>
            <w:r w:rsidR="00547FD4">
              <w:rPr>
                <w:noProof/>
                <w:webHidden/>
              </w:rPr>
              <w:fldChar w:fldCharType="begin"/>
            </w:r>
            <w:r w:rsidR="00547FD4">
              <w:rPr>
                <w:noProof/>
                <w:webHidden/>
              </w:rPr>
              <w:instrText xml:space="preserve"> PAGEREF _Toc401644311 \h </w:instrText>
            </w:r>
            <w:r w:rsidR="00547FD4">
              <w:rPr>
                <w:noProof/>
                <w:webHidden/>
              </w:rPr>
            </w:r>
            <w:r w:rsidR="00547FD4">
              <w:rPr>
                <w:noProof/>
                <w:webHidden/>
              </w:rPr>
              <w:fldChar w:fldCharType="separate"/>
            </w:r>
            <w:r w:rsidR="003E1851">
              <w:rPr>
                <w:noProof/>
                <w:webHidden/>
              </w:rPr>
              <w:t>10</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2" w:history="1">
            <w:r w:rsidR="00547FD4" w:rsidRPr="00B25929">
              <w:rPr>
                <w:rStyle w:val="Hyperlink"/>
                <w:rFonts w:eastAsia="Times New Roman"/>
                <w:noProof/>
              </w:rPr>
              <w:t>1.5.</w:t>
            </w:r>
            <w:r w:rsidR="00547FD4">
              <w:rPr>
                <w:rFonts w:asciiTheme="minorHAnsi" w:eastAsiaTheme="minorEastAsia" w:hAnsiTheme="minorHAnsi"/>
                <w:noProof/>
                <w:sz w:val="22"/>
                <w:lang w:eastAsia="lv-LV"/>
              </w:rPr>
              <w:tab/>
            </w:r>
            <w:r w:rsidR="00547FD4" w:rsidRPr="00B25929">
              <w:rPr>
                <w:rStyle w:val="Hyperlink"/>
                <w:rFonts w:eastAsia="Times New Roman"/>
                <w:noProof/>
              </w:rPr>
              <w:t>Sasniedzamie kvantitatīvie rādītāji</w:t>
            </w:r>
            <w:r w:rsidR="00547FD4">
              <w:rPr>
                <w:noProof/>
                <w:webHidden/>
              </w:rPr>
              <w:tab/>
            </w:r>
            <w:r w:rsidR="00547FD4">
              <w:rPr>
                <w:noProof/>
                <w:webHidden/>
              </w:rPr>
              <w:fldChar w:fldCharType="begin"/>
            </w:r>
            <w:r w:rsidR="00547FD4">
              <w:rPr>
                <w:noProof/>
                <w:webHidden/>
              </w:rPr>
              <w:instrText xml:space="preserve"> PAGEREF _Toc401644312 \h </w:instrText>
            </w:r>
            <w:r w:rsidR="00547FD4">
              <w:rPr>
                <w:noProof/>
                <w:webHidden/>
              </w:rPr>
            </w:r>
            <w:r w:rsidR="00547FD4">
              <w:rPr>
                <w:noProof/>
                <w:webHidden/>
              </w:rPr>
              <w:fldChar w:fldCharType="separate"/>
            </w:r>
            <w:r w:rsidR="003E1851">
              <w:rPr>
                <w:noProof/>
                <w:webHidden/>
              </w:rPr>
              <w:t>11</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13" w:history="1">
            <w:r w:rsidR="00547FD4" w:rsidRPr="00B25929">
              <w:rPr>
                <w:rStyle w:val="Hyperlink"/>
                <w:noProof/>
              </w:rPr>
              <w:t>2.</w:t>
            </w:r>
            <w:r w:rsidR="00547FD4">
              <w:rPr>
                <w:rFonts w:asciiTheme="minorHAnsi" w:eastAsiaTheme="minorEastAsia" w:hAnsiTheme="minorHAnsi"/>
                <w:noProof/>
                <w:sz w:val="22"/>
                <w:lang w:eastAsia="lv-LV"/>
              </w:rPr>
              <w:tab/>
            </w:r>
            <w:r w:rsidR="00547FD4" w:rsidRPr="00B25929">
              <w:rPr>
                <w:rStyle w:val="Hyperlink"/>
                <w:noProof/>
              </w:rPr>
              <w:t>Enerģētikas politikas  pamatprincipi</w:t>
            </w:r>
            <w:r w:rsidR="00547FD4">
              <w:rPr>
                <w:noProof/>
                <w:webHidden/>
              </w:rPr>
              <w:tab/>
            </w:r>
            <w:r w:rsidR="00547FD4">
              <w:rPr>
                <w:noProof/>
                <w:webHidden/>
              </w:rPr>
              <w:fldChar w:fldCharType="begin"/>
            </w:r>
            <w:r w:rsidR="00547FD4">
              <w:rPr>
                <w:noProof/>
                <w:webHidden/>
              </w:rPr>
              <w:instrText xml:space="preserve"> PAGEREF _Toc401644313 \h </w:instrText>
            </w:r>
            <w:r w:rsidR="00547FD4">
              <w:rPr>
                <w:noProof/>
                <w:webHidden/>
              </w:rPr>
            </w:r>
            <w:r w:rsidR="00547FD4">
              <w:rPr>
                <w:noProof/>
                <w:webHidden/>
              </w:rPr>
              <w:fldChar w:fldCharType="separate"/>
            </w:r>
            <w:r w:rsidR="003E1851">
              <w:rPr>
                <w:noProof/>
                <w:webHidden/>
              </w:rPr>
              <w:t>14</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14" w:history="1">
            <w:r w:rsidR="00547FD4" w:rsidRPr="00B25929">
              <w:rPr>
                <w:rStyle w:val="Hyperlink"/>
                <w:noProof/>
              </w:rPr>
              <w:t>3.</w:t>
            </w:r>
            <w:r w:rsidR="00547FD4">
              <w:rPr>
                <w:rFonts w:asciiTheme="minorHAnsi" w:eastAsiaTheme="minorEastAsia" w:hAnsiTheme="minorHAnsi"/>
                <w:noProof/>
                <w:sz w:val="22"/>
                <w:lang w:eastAsia="lv-LV"/>
              </w:rPr>
              <w:tab/>
            </w:r>
            <w:r w:rsidR="00547FD4" w:rsidRPr="00B25929">
              <w:rPr>
                <w:rStyle w:val="Hyperlink"/>
                <w:noProof/>
              </w:rPr>
              <w:t>Enerģētikas sektora vispārējs raksturojums un attīstības tendences</w:t>
            </w:r>
            <w:r w:rsidR="00547FD4">
              <w:rPr>
                <w:noProof/>
                <w:webHidden/>
              </w:rPr>
              <w:tab/>
            </w:r>
            <w:r w:rsidR="00547FD4">
              <w:rPr>
                <w:noProof/>
                <w:webHidden/>
              </w:rPr>
              <w:fldChar w:fldCharType="begin"/>
            </w:r>
            <w:r w:rsidR="00547FD4">
              <w:rPr>
                <w:noProof/>
                <w:webHidden/>
              </w:rPr>
              <w:instrText xml:space="preserve"> PAGEREF _Toc401644314 \h </w:instrText>
            </w:r>
            <w:r w:rsidR="00547FD4">
              <w:rPr>
                <w:noProof/>
                <w:webHidden/>
              </w:rPr>
            </w:r>
            <w:r w:rsidR="00547FD4">
              <w:rPr>
                <w:noProof/>
                <w:webHidden/>
              </w:rPr>
              <w:fldChar w:fldCharType="separate"/>
            </w:r>
            <w:r w:rsidR="003E1851">
              <w:rPr>
                <w:noProof/>
                <w:webHidden/>
              </w:rPr>
              <w:t>15</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5" w:history="1">
            <w:r w:rsidR="00547FD4" w:rsidRPr="00B25929">
              <w:rPr>
                <w:rStyle w:val="Hyperlink"/>
                <w:rFonts w:eastAsia="Times New Roman"/>
                <w:noProof/>
              </w:rPr>
              <w:t>3.1.</w:t>
            </w:r>
            <w:r w:rsidR="00547FD4">
              <w:rPr>
                <w:rFonts w:asciiTheme="minorHAnsi" w:eastAsiaTheme="minorEastAsia" w:hAnsiTheme="minorHAnsi"/>
                <w:noProof/>
                <w:sz w:val="22"/>
                <w:lang w:eastAsia="lv-LV"/>
              </w:rPr>
              <w:tab/>
            </w:r>
            <w:r w:rsidR="00547FD4" w:rsidRPr="00B25929">
              <w:rPr>
                <w:rStyle w:val="Hyperlink"/>
                <w:rFonts w:eastAsia="Times New Roman"/>
                <w:noProof/>
              </w:rPr>
              <w:t>Primārie energoresursi</w:t>
            </w:r>
            <w:r w:rsidR="00547FD4">
              <w:rPr>
                <w:noProof/>
                <w:webHidden/>
              </w:rPr>
              <w:tab/>
            </w:r>
            <w:r w:rsidR="00547FD4">
              <w:rPr>
                <w:noProof/>
                <w:webHidden/>
              </w:rPr>
              <w:fldChar w:fldCharType="begin"/>
            </w:r>
            <w:r w:rsidR="00547FD4">
              <w:rPr>
                <w:noProof/>
                <w:webHidden/>
              </w:rPr>
              <w:instrText xml:space="preserve"> PAGEREF _Toc401644315 \h </w:instrText>
            </w:r>
            <w:r w:rsidR="00547FD4">
              <w:rPr>
                <w:noProof/>
                <w:webHidden/>
              </w:rPr>
            </w:r>
            <w:r w:rsidR="00547FD4">
              <w:rPr>
                <w:noProof/>
                <w:webHidden/>
              </w:rPr>
              <w:fldChar w:fldCharType="separate"/>
            </w:r>
            <w:r w:rsidR="003E1851">
              <w:rPr>
                <w:noProof/>
                <w:webHidden/>
              </w:rPr>
              <w:t>16</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6" w:history="1">
            <w:r w:rsidR="00547FD4" w:rsidRPr="00B25929">
              <w:rPr>
                <w:rStyle w:val="Hyperlink"/>
                <w:noProof/>
              </w:rPr>
              <w:t>3.2.</w:t>
            </w:r>
            <w:r w:rsidR="00547FD4">
              <w:rPr>
                <w:rFonts w:asciiTheme="minorHAnsi" w:eastAsiaTheme="minorEastAsia" w:hAnsiTheme="minorHAnsi"/>
                <w:noProof/>
                <w:sz w:val="22"/>
                <w:lang w:eastAsia="lv-LV"/>
              </w:rPr>
              <w:tab/>
            </w:r>
            <w:r w:rsidR="00547FD4" w:rsidRPr="00B25929">
              <w:rPr>
                <w:rStyle w:val="Hyperlink"/>
                <w:noProof/>
              </w:rPr>
              <w:t>Iekšējā enerģijas tirgus izveide</w:t>
            </w:r>
            <w:r w:rsidR="00547FD4">
              <w:rPr>
                <w:noProof/>
                <w:webHidden/>
              </w:rPr>
              <w:tab/>
            </w:r>
            <w:r w:rsidR="00547FD4">
              <w:rPr>
                <w:noProof/>
                <w:webHidden/>
              </w:rPr>
              <w:fldChar w:fldCharType="begin"/>
            </w:r>
            <w:r w:rsidR="00547FD4">
              <w:rPr>
                <w:noProof/>
                <w:webHidden/>
              </w:rPr>
              <w:instrText xml:space="preserve"> PAGEREF _Toc401644316 \h </w:instrText>
            </w:r>
            <w:r w:rsidR="00547FD4">
              <w:rPr>
                <w:noProof/>
                <w:webHidden/>
              </w:rPr>
            </w:r>
            <w:r w:rsidR="00547FD4">
              <w:rPr>
                <w:noProof/>
                <w:webHidden/>
              </w:rPr>
              <w:fldChar w:fldCharType="separate"/>
            </w:r>
            <w:r w:rsidR="003E1851">
              <w:rPr>
                <w:noProof/>
                <w:webHidden/>
              </w:rPr>
              <w:t>21</w:t>
            </w:r>
            <w:r w:rsidR="00547FD4">
              <w:rPr>
                <w:noProof/>
                <w:webHidden/>
              </w:rPr>
              <w:fldChar w:fldCharType="end"/>
            </w:r>
          </w:hyperlink>
        </w:p>
        <w:p w:rsidR="00547FD4" w:rsidRDefault="006D445B">
          <w:pPr>
            <w:pStyle w:val="TOC3"/>
            <w:tabs>
              <w:tab w:val="right" w:leader="dot" w:pos="9061"/>
            </w:tabs>
            <w:rPr>
              <w:rFonts w:asciiTheme="minorHAnsi" w:eastAsiaTheme="minorEastAsia" w:hAnsiTheme="minorHAnsi"/>
              <w:noProof/>
              <w:sz w:val="22"/>
              <w:lang w:eastAsia="lv-LV"/>
            </w:rPr>
          </w:pPr>
          <w:hyperlink w:anchor="_Toc401644317" w:history="1">
            <w:r w:rsidR="00547FD4" w:rsidRPr="00B25929">
              <w:rPr>
                <w:rStyle w:val="Hyperlink"/>
                <w:rFonts w:cs="Times New Roman"/>
                <w:noProof/>
                <w:lang w:eastAsia="lv-LV"/>
              </w:rPr>
              <w:t>Elektroenerģijas tirgus</w:t>
            </w:r>
            <w:r w:rsidR="00547FD4">
              <w:rPr>
                <w:noProof/>
                <w:webHidden/>
              </w:rPr>
              <w:tab/>
            </w:r>
            <w:r w:rsidR="00547FD4">
              <w:rPr>
                <w:noProof/>
                <w:webHidden/>
              </w:rPr>
              <w:fldChar w:fldCharType="begin"/>
            </w:r>
            <w:r w:rsidR="00547FD4">
              <w:rPr>
                <w:noProof/>
                <w:webHidden/>
              </w:rPr>
              <w:instrText xml:space="preserve"> PAGEREF _Toc401644317 \h </w:instrText>
            </w:r>
            <w:r w:rsidR="00547FD4">
              <w:rPr>
                <w:noProof/>
                <w:webHidden/>
              </w:rPr>
            </w:r>
            <w:r w:rsidR="00547FD4">
              <w:rPr>
                <w:noProof/>
                <w:webHidden/>
              </w:rPr>
              <w:fldChar w:fldCharType="separate"/>
            </w:r>
            <w:r w:rsidR="003E1851">
              <w:rPr>
                <w:noProof/>
                <w:webHidden/>
              </w:rPr>
              <w:t>22</w:t>
            </w:r>
            <w:r w:rsidR="00547FD4">
              <w:rPr>
                <w:noProof/>
                <w:webHidden/>
              </w:rPr>
              <w:fldChar w:fldCharType="end"/>
            </w:r>
          </w:hyperlink>
        </w:p>
        <w:p w:rsidR="00547FD4" w:rsidRDefault="006D445B">
          <w:pPr>
            <w:pStyle w:val="TOC3"/>
            <w:tabs>
              <w:tab w:val="right" w:leader="dot" w:pos="9061"/>
            </w:tabs>
            <w:rPr>
              <w:rFonts w:asciiTheme="minorHAnsi" w:eastAsiaTheme="minorEastAsia" w:hAnsiTheme="minorHAnsi"/>
              <w:noProof/>
              <w:sz w:val="22"/>
              <w:lang w:eastAsia="lv-LV"/>
            </w:rPr>
          </w:pPr>
          <w:hyperlink w:anchor="_Toc401644318" w:history="1">
            <w:r w:rsidR="00547FD4" w:rsidRPr="00B25929">
              <w:rPr>
                <w:rStyle w:val="Hyperlink"/>
                <w:rFonts w:eastAsia="Times New Roman"/>
                <w:noProof/>
                <w:lang w:eastAsia="lv-LV"/>
              </w:rPr>
              <w:t>Dabasgāzes tirgus</w:t>
            </w:r>
            <w:r w:rsidR="00547FD4">
              <w:rPr>
                <w:noProof/>
                <w:webHidden/>
              </w:rPr>
              <w:tab/>
            </w:r>
            <w:r w:rsidR="00547FD4">
              <w:rPr>
                <w:noProof/>
                <w:webHidden/>
              </w:rPr>
              <w:fldChar w:fldCharType="begin"/>
            </w:r>
            <w:r w:rsidR="00547FD4">
              <w:rPr>
                <w:noProof/>
                <w:webHidden/>
              </w:rPr>
              <w:instrText xml:space="preserve"> PAGEREF _Toc401644318 \h </w:instrText>
            </w:r>
            <w:r w:rsidR="00547FD4">
              <w:rPr>
                <w:noProof/>
                <w:webHidden/>
              </w:rPr>
            </w:r>
            <w:r w:rsidR="00547FD4">
              <w:rPr>
                <w:noProof/>
                <w:webHidden/>
              </w:rPr>
              <w:fldChar w:fldCharType="separate"/>
            </w:r>
            <w:r w:rsidR="003E1851">
              <w:rPr>
                <w:noProof/>
                <w:webHidden/>
              </w:rPr>
              <w:t>30</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19" w:history="1">
            <w:r w:rsidR="00547FD4" w:rsidRPr="00B25929">
              <w:rPr>
                <w:rStyle w:val="Hyperlink"/>
                <w:noProof/>
              </w:rPr>
              <w:t>3.3.</w:t>
            </w:r>
            <w:r w:rsidR="00547FD4">
              <w:rPr>
                <w:rFonts w:asciiTheme="minorHAnsi" w:eastAsiaTheme="minorEastAsia" w:hAnsiTheme="minorHAnsi"/>
                <w:noProof/>
                <w:sz w:val="22"/>
                <w:lang w:eastAsia="lv-LV"/>
              </w:rPr>
              <w:tab/>
            </w:r>
            <w:r w:rsidR="00547FD4" w:rsidRPr="00B25929">
              <w:rPr>
                <w:rStyle w:val="Hyperlink"/>
                <w:noProof/>
              </w:rPr>
              <w:t>Enerģijas infrastruktūra</w:t>
            </w:r>
            <w:r w:rsidR="00547FD4">
              <w:rPr>
                <w:noProof/>
                <w:webHidden/>
              </w:rPr>
              <w:tab/>
            </w:r>
            <w:r w:rsidR="00547FD4">
              <w:rPr>
                <w:noProof/>
                <w:webHidden/>
              </w:rPr>
              <w:fldChar w:fldCharType="begin"/>
            </w:r>
            <w:r w:rsidR="00547FD4">
              <w:rPr>
                <w:noProof/>
                <w:webHidden/>
              </w:rPr>
              <w:instrText xml:space="preserve"> PAGEREF _Toc401644319 \h </w:instrText>
            </w:r>
            <w:r w:rsidR="00547FD4">
              <w:rPr>
                <w:noProof/>
                <w:webHidden/>
              </w:rPr>
            </w:r>
            <w:r w:rsidR="00547FD4">
              <w:rPr>
                <w:noProof/>
                <w:webHidden/>
              </w:rPr>
              <w:fldChar w:fldCharType="separate"/>
            </w:r>
            <w:r w:rsidR="003E1851">
              <w:rPr>
                <w:noProof/>
                <w:webHidden/>
              </w:rPr>
              <w:t>35</w:t>
            </w:r>
            <w:r w:rsidR="00547FD4">
              <w:rPr>
                <w:noProof/>
                <w:webHidden/>
              </w:rPr>
              <w:fldChar w:fldCharType="end"/>
            </w:r>
          </w:hyperlink>
        </w:p>
        <w:p w:rsidR="00547FD4" w:rsidRDefault="006D445B">
          <w:pPr>
            <w:pStyle w:val="TOC3"/>
            <w:tabs>
              <w:tab w:val="right" w:leader="dot" w:pos="9061"/>
            </w:tabs>
            <w:rPr>
              <w:rFonts w:asciiTheme="minorHAnsi" w:eastAsiaTheme="minorEastAsia" w:hAnsiTheme="minorHAnsi"/>
              <w:noProof/>
              <w:sz w:val="22"/>
              <w:lang w:eastAsia="lv-LV"/>
            </w:rPr>
          </w:pPr>
          <w:hyperlink w:anchor="_Toc401644320" w:history="1">
            <w:r w:rsidR="00547FD4" w:rsidRPr="00B25929">
              <w:rPr>
                <w:rStyle w:val="Hyperlink"/>
                <w:rFonts w:cs="Times New Roman"/>
                <w:noProof/>
              </w:rPr>
              <w:t>Elektroenerģijas infrastruktūra</w:t>
            </w:r>
            <w:r w:rsidR="00547FD4">
              <w:rPr>
                <w:noProof/>
                <w:webHidden/>
              </w:rPr>
              <w:tab/>
            </w:r>
            <w:r w:rsidR="00547FD4">
              <w:rPr>
                <w:noProof/>
                <w:webHidden/>
              </w:rPr>
              <w:fldChar w:fldCharType="begin"/>
            </w:r>
            <w:r w:rsidR="00547FD4">
              <w:rPr>
                <w:noProof/>
                <w:webHidden/>
              </w:rPr>
              <w:instrText xml:space="preserve"> PAGEREF _Toc401644320 \h </w:instrText>
            </w:r>
            <w:r w:rsidR="00547FD4">
              <w:rPr>
                <w:noProof/>
                <w:webHidden/>
              </w:rPr>
            </w:r>
            <w:r w:rsidR="00547FD4">
              <w:rPr>
                <w:noProof/>
                <w:webHidden/>
              </w:rPr>
              <w:fldChar w:fldCharType="separate"/>
            </w:r>
            <w:r w:rsidR="003E1851">
              <w:rPr>
                <w:noProof/>
                <w:webHidden/>
              </w:rPr>
              <w:t>36</w:t>
            </w:r>
            <w:r w:rsidR="00547FD4">
              <w:rPr>
                <w:noProof/>
                <w:webHidden/>
              </w:rPr>
              <w:fldChar w:fldCharType="end"/>
            </w:r>
          </w:hyperlink>
        </w:p>
        <w:p w:rsidR="00547FD4" w:rsidRDefault="006D445B">
          <w:pPr>
            <w:pStyle w:val="TOC3"/>
            <w:tabs>
              <w:tab w:val="right" w:leader="dot" w:pos="9061"/>
            </w:tabs>
            <w:rPr>
              <w:rFonts w:asciiTheme="minorHAnsi" w:eastAsiaTheme="minorEastAsia" w:hAnsiTheme="minorHAnsi"/>
              <w:noProof/>
              <w:sz w:val="22"/>
              <w:lang w:eastAsia="lv-LV"/>
            </w:rPr>
          </w:pPr>
          <w:hyperlink w:anchor="_Toc401644321" w:history="1">
            <w:r w:rsidR="00547FD4" w:rsidRPr="00B25929">
              <w:rPr>
                <w:rStyle w:val="Hyperlink"/>
                <w:rFonts w:cs="Times New Roman"/>
                <w:noProof/>
              </w:rPr>
              <w:t>Dabasgāzes infrastruktūra</w:t>
            </w:r>
            <w:r w:rsidR="00547FD4">
              <w:rPr>
                <w:noProof/>
                <w:webHidden/>
              </w:rPr>
              <w:tab/>
            </w:r>
            <w:r w:rsidR="00547FD4">
              <w:rPr>
                <w:noProof/>
                <w:webHidden/>
              </w:rPr>
              <w:fldChar w:fldCharType="begin"/>
            </w:r>
            <w:r w:rsidR="00547FD4">
              <w:rPr>
                <w:noProof/>
                <w:webHidden/>
              </w:rPr>
              <w:instrText xml:space="preserve"> PAGEREF _Toc401644321 \h </w:instrText>
            </w:r>
            <w:r w:rsidR="00547FD4">
              <w:rPr>
                <w:noProof/>
                <w:webHidden/>
              </w:rPr>
            </w:r>
            <w:r w:rsidR="00547FD4">
              <w:rPr>
                <w:noProof/>
                <w:webHidden/>
              </w:rPr>
              <w:fldChar w:fldCharType="separate"/>
            </w:r>
            <w:r w:rsidR="003E1851">
              <w:rPr>
                <w:noProof/>
                <w:webHidden/>
              </w:rPr>
              <w:t>40</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2" w:history="1">
            <w:r w:rsidR="00547FD4" w:rsidRPr="00B25929">
              <w:rPr>
                <w:rStyle w:val="Hyperlink"/>
                <w:rFonts w:eastAsia="Times New Roman"/>
                <w:noProof/>
                <w:lang w:eastAsia="lv-LV"/>
              </w:rPr>
              <w:t>3.4.</w:t>
            </w:r>
            <w:r w:rsidR="00547FD4">
              <w:rPr>
                <w:rFonts w:asciiTheme="minorHAnsi" w:eastAsiaTheme="minorEastAsia" w:hAnsiTheme="minorHAnsi"/>
                <w:noProof/>
                <w:sz w:val="22"/>
                <w:lang w:eastAsia="lv-LV"/>
              </w:rPr>
              <w:tab/>
            </w:r>
            <w:r w:rsidR="00547FD4" w:rsidRPr="00B25929">
              <w:rPr>
                <w:rStyle w:val="Hyperlink"/>
                <w:rFonts w:eastAsia="Times New Roman"/>
                <w:noProof/>
                <w:lang w:eastAsia="lv-LV"/>
              </w:rPr>
              <w:t>Siltumapgāde</w:t>
            </w:r>
            <w:r w:rsidR="00547FD4">
              <w:rPr>
                <w:noProof/>
                <w:webHidden/>
              </w:rPr>
              <w:tab/>
            </w:r>
            <w:r w:rsidR="00547FD4">
              <w:rPr>
                <w:noProof/>
                <w:webHidden/>
              </w:rPr>
              <w:fldChar w:fldCharType="begin"/>
            </w:r>
            <w:r w:rsidR="00547FD4">
              <w:rPr>
                <w:noProof/>
                <w:webHidden/>
              </w:rPr>
              <w:instrText xml:space="preserve"> PAGEREF _Toc401644322 \h </w:instrText>
            </w:r>
            <w:r w:rsidR="00547FD4">
              <w:rPr>
                <w:noProof/>
                <w:webHidden/>
              </w:rPr>
            </w:r>
            <w:r w:rsidR="00547FD4">
              <w:rPr>
                <w:noProof/>
                <w:webHidden/>
              </w:rPr>
              <w:fldChar w:fldCharType="separate"/>
            </w:r>
            <w:r w:rsidR="003E1851">
              <w:rPr>
                <w:noProof/>
                <w:webHidden/>
              </w:rPr>
              <w:t>46</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3" w:history="1">
            <w:r w:rsidR="00547FD4" w:rsidRPr="00B25929">
              <w:rPr>
                <w:rStyle w:val="Hyperlink"/>
                <w:rFonts w:eastAsia="Times New Roman"/>
                <w:noProof/>
                <w:lang w:eastAsia="lv-LV"/>
              </w:rPr>
              <w:t>3.5. Atjaunojamie energoresursi</w:t>
            </w:r>
            <w:r w:rsidR="00547FD4">
              <w:rPr>
                <w:noProof/>
                <w:webHidden/>
              </w:rPr>
              <w:tab/>
            </w:r>
            <w:r w:rsidR="00547FD4">
              <w:rPr>
                <w:noProof/>
                <w:webHidden/>
              </w:rPr>
              <w:fldChar w:fldCharType="begin"/>
            </w:r>
            <w:r w:rsidR="00547FD4">
              <w:rPr>
                <w:noProof/>
                <w:webHidden/>
              </w:rPr>
              <w:instrText xml:space="preserve"> PAGEREF _Toc401644323 \h </w:instrText>
            </w:r>
            <w:r w:rsidR="00547FD4">
              <w:rPr>
                <w:noProof/>
                <w:webHidden/>
              </w:rPr>
            </w:r>
            <w:r w:rsidR="00547FD4">
              <w:rPr>
                <w:noProof/>
                <w:webHidden/>
              </w:rPr>
              <w:fldChar w:fldCharType="separate"/>
            </w:r>
            <w:r w:rsidR="003E1851">
              <w:rPr>
                <w:noProof/>
                <w:webHidden/>
              </w:rPr>
              <w:t>49</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4" w:history="1">
            <w:r w:rsidR="00547FD4" w:rsidRPr="00B25929">
              <w:rPr>
                <w:rStyle w:val="Hyperlink"/>
                <w:noProof/>
              </w:rPr>
              <w:t>3.6. Energoefektivitāte</w:t>
            </w:r>
            <w:r w:rsidR="00547FD4">
              <w:rPr>
                <w:noProof/>
                <w:webHidden/>
              </w:rPr>
              <w:tab/>
            </w:r>
            <w:r w:rsidR="00547FD4">
              <w:rPr>
                <w:noProof/>
                <w:webHidden/>
              </w:rPr>
              <w:fldChar w:fldCharType="begin"/>
            </w:r>
            <w:r w:rsidR="00547FD4">
              <w:rPr>
                <w:noProof/>
                <w:webHidden/>
              </w:rPr>
              <w:instrText xml:space="preserve"> PAGEREF _Toc401644324 \h </w:instrText>
            </w:r>
            <w:r w:rsidR="00547FD4">
              <w:rPr>
                <w:noProof/>
                <w:webHidden/>
              </w:rPr>
            </w:r>
            <w:r w:rsidR="00547FD4">
              <w:rPr>
                <w:noProof/>
                <w:webHidden/>
              </w:rPr>
              <w:fldChar w:fldCharType="separate"/>
            </w:r>
            <w:r w:rsidR="003E1851">
              <w:rPr>
                <w:noProof/>
                <w:webHidden/>
              </w:rPr>
              <w:t>56</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5" w:history="1">
            <w:r w:rsidR="00547FD4" w:rsidRPr="00B25929">
              <w:rPr>
                <w:rStyle w:val="Hyperlink"/>
                <w:noProof/>
              </w:rPr>
              <w:t>3.7. Krīzes situācijas pārvaldība</w:t>
            </w:r>
            <w:r w:rsidR="00547FD4">
              <w:rPr>
                <w:noProof/>
                <w:webHidden/>
              </w:rPr>
              <w:tab/>
            </w:r>
            <w:r w:rsidR="00547FD4">
              <w:rPr>
                <w:noProof/>
                <w:webHidden/>
              </w:rPr>
              <w:fldChar w:fldCharType="begin"/>
            </w:r>
            <w:r w:rsidR="00547FD4">
              <w:rPr>
                <w:noProof/>
                <w:webHidden/>
              </w:rPr>
              <w:instrText xml:space="preserve"> PAGEREF _Toc401644325 \h </w:instrText>
            </w:r>
            <w:r w:rsidR="00547FD4">
              <w:rPr>
                <w:noProof/>
                <w:webHidden/>
              </w:rPr>
            </w:r>
            <w:r w:rsidR="00547FD4">
              <w:rPr>
                <w:noProof/>
                <w:webHidden/>
              </w:rPr>
              <w:fldChar w:fldCharType="separate"/>
            </w:r>
            <w:r w:rsidR="003E1851">
              <w:rPr>
                <w:noProof/>
                <w:webHidden/>
              </w:rPr>
              <w:t>63</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6" w:history="1">
            <w:r w:rsidR="00547FD4" w:rsidRPr="00B25929">
              <w:rPr>
                <w:rStyle w:val="Hyperlink"/>
                <w:noProof/>
              </w:rPr>
              <w:t>3.8. Inovatīvi risinājumi enerģētikas nozarē</w:t>
            </w:r>
            <w:r w:rsidR="00547FD4">
              <w:rPr>
                <w:noProof/>
                <w:webHidden/>
              </w:rPr>
              <w:tab/>
            </w:r>
            <w:r w:rsidR="00547FD4">
              <w:rPr>
                <w:noProof/>
                <w:webHidden/>
              </w:rPr>
              <w:fldChar w:fldCharType="begin"/>
            </w:r>
            <w:r w:rsidR="00547FD4">
              <w:rPr>
                <w:noProof/>
                <w:webHidden/>
              </w:rPr>
              <w:instrText xml:space="preserve"> PAGEREF _Toc401644326 \h </w:instrText>
            </w:r>
            <w:r w:rsidR="00547FD4">
              <w:rPr>
                <w:noProof/>
                <w:webHidden/>
              </w:rPr>
            </w:r>
            <w:r w:rsidR="00547FD4">
              <w:rPr>
                <w:noProof/>
                <w:webHidden/>
              </w:rPr>
              <w:fldChar w:fldCharType="separate"/>
            </w:r>
            <w:r w:rsidR="003E1851">
              <w:rPr>
                <w:noProof/>
                <w:webHidden/>
              </w:rPr>
              <w:t>66</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27" w:history="1">
            <w:r w:rsidR="00547FD4" w:rsidRPr="00B25929">
              <w:rPr>
                <w:rStyle w:val="Hyperlink"/>
                <w:noProof/>
              </w:rPr>
              <w:t>4. SVID analīze</w:t>
            </w:r>
            <w:r w:rsidR="00547FD4">
              <w:rPr>
                <w:noProof/>
                <w:webHidden/>
              </w:rPr>
              <w:tab/>
            </w:r>
            <w:r w:rsidR="00547FD4">
              <w:rPr>
                <w:noProof/>
                <w:webHidden/>
              </w:rPr>
              <w:fldChar w:fldCharType="begin"/>
            </w:r>
            <w:r w:rsidR="00547FD4">
              <w:rPr>
                <w:noProof/>
                <w:webHidden/>
              </w:rPr>
              <w:instrText xml:space="preserve"> PAGEREF _Toc401644327 \h </w:instrText>
            </w:r>
            <w:r w:rsidR="00547FD4">
              <w:rPr>
                <w:noProof/>
                <w:webHidden/>
              </w:rPr>
            </w:r>
            <w:r w:rsidR="00547FD4">
              <w:rPr>
                <w:noProof/>
                <w:webHidden/>
              </w:rPr>
              <w:fldChar w:fldCharType="separate"/>
            </w:r>
            <w:r w:rsidR="003E1851">
              <w:rPr>
                <w:noProof/>
                <w:webHidden/>
              </w:rPr>
              <w:t>67</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8" w:history="1">
            <w:r w:rsidR="00547FD4" w:rsidRPr="00B25929">
              <w:rPr>
                <w:rStyle w:val="Hyperlink"/>
                <w:noProof/>
              </w:rPr>
              <w:t>4.1. Elektroenerģija</w:t>
            </w:r>
            <w:r w:rsidR="00547FD4">
              <w:rPr>
                <w:noProof/>
                <w:webHidden/>
              </w:rPr>
              <w:tab/>
            </w:r>
            <w:r w:rsidR="00547FD4">
              <w:rPr>
                <w:noProof/>
                <w:webHidden/>
              </w:rPr>
              <w:fldChar w:fldCharType="begin"/>
            </w:r>
            <w:r w:rsidR="00547FD4">
              <w:rPr>
                <w:noProof/>
                <w:webHidden/>
              </w:rPr>
              <w:instrText xml:space="preserve"> PAGEREF _Toc401644328 \h </w:instrText>
            </w:r>
            <w:r w:rsidR="00547FD4">
              <w:rPr>
                <w:noProof/>
                <w:webHidden/>
              </w:rPr>
            </w:r>
            <w:r w:rsidR="00547FD4">
              <w:rPr>
                <w:noProof/>
                <w:webHidden/>
              </w:rPr>
              <w:fldChar w:fldCharType="separate"/>
            </w:r>
            <w:r w:rsidR="003E1851">
              <w:rPr>
                <w:noProof/>
                <w:webHidden/>
              </w:rPr>
              <w:t>67</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29" w:history="1">
            <w:r w:rsidR="00547FD4" w:rsidRPr="00B25929">
              <w:rPr>
                <w:rStyle w:val="Hyperlink"/>
                <w:noProof/>
              </w:rPr>
              <w:t>4.2. Dabasgāze</w:t>
            </w:r>
            <w:r w:rsidR="00547FD4">
              <w:rPr>
                <w:noProof/>
                <w:webHidden/>
              </w:rPr>
              <w:tab/>
            </w:r>
            <w:r w:rsidR="00547FD4">
              <w:rPr>
                <w:noProof/>
                <w:webHidden/>
              </w:rPr>
              <w:fldChar w:fldCharType="begin"/>
            </w:r>
            <w:r w:rsidR="00547FD4">
              <w:rPr>
                <w:noProof/>
                <w:webHidden/>
              </w:rPr>
              <w:instrText xml:space="preserve"> PAGEREF _Toc401644329 \h </w:instrText>
            </w:r>
            <w:r w:rsidR="00547FD4">
              <w:rPr>
                <w:noProof/>
                <w:webHidden/>
              </w:rPr>
            </w:r>
            <w:r w:rsidR="00547FD4">
              <w:rPr>
                <w:noProof/>
                <w:webHidden/>
              </w:rPr>
              <w:fldChar w:fldCharType="separate"/>
            </w:r>
            <w:r w:rsidR="003E1851">
              <w:rPr>
                <w:noProof/>
                <w:webHidden/>
              </w:rPr>
              <w:t>70</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30" w:history="1">
            <w:r w:rsidR="00547FD4" w:rsidRPr="00B25929">
              <w:rPr>
                <w:rStyle w:val="Hyperlink"/>
                <w:noProof/>
              </w:rPr>
              <w:t>4.3. Siltumapgāde</w:t>
            </w:r>
            <w:r w:rsidR="00547FD4">
              <w:rPr>
                <w:noProof/>
                <w:webHidden/>
              </w:rPr>
              <w:tab/>
            </w:r>
            <w:r w:rsidR="00547FD4">
              <w:rPr>
                <w:noProof/>
                <w:webHidden/>
              </w:rPr>
              <w:fldChar w:fldCharType="begin"/>
            </w:r>
            <w:r w:rsidR="00547FD4">
              <w:rPr>
                <w:noProof/>
                <w:webHidden/>
              </w:rPr>
              <w:instrText xml:space="preserve"> PAGEREF _Toc401644330 \h </w:instrText>
            </w:r>
            <w:r w:rsidR="00547FD4">
              <w:rPr>
                <w:noProof/>
                <w:webHidden/>
              </w:rPr>
            </w:r>
            <w:r w:rsidR="00547FD4">
              <w:rPr>
                <w:noProof/>
                <w:webHidden/>
              </w:rPr>
              <w:fldChar w:fldCharType="separate"/>
            </w:r>
            <w:r w:rsidR="003E1851">
              <w:rPr>
                <w:noProof/>
                <w:webHidden/>
              </w:rPr>
              <w:t>71</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31" w:history="1">
            <w:r w:rsidR="00547FD4" w:rsidRPr="00B25929">
              <w:rPr>
                <w:rStyle w:val="Hyperlink"/>
                <w:noProof/>
              </w:rPr>
              <w:t>4.4. Energoefektivitāte</w:t>
            </w:r>
            <w:r w:rsidR="00547FD4">
              <w:rPr>
                <w:noProof/>
                <w:webHidden/>
              </w:rPr>
              <w:tab/>
            </w:r>
            <w:r w:rsidR="00547FD4">
              <w:rPr>
                <w:noProof/>
                <w:webHidden/>
              </w:rPr>
              <w:fldChar w:fldCharType="begin"/>
            </w:r>
            <w:r w:rsidR="00547FD4">
              <w:rPr>
                <w:noProof/>
                <w:webHidden/>
              </w:rPr>
              <w:instrText xml:space="preserve"> PAGEREF _Toc401644331 \h </w:instrText>
            </w:r>
            <w:r w:rsidR="00547FD4">
              <w:rPr>
                <w:noProof/>
                <w:webHidden/>
              </w:rPr>
            </w:r>
            <w:r w:rsidR="00547FD4">
              <w:rPr>
                <w:noProof/>
                <w:webHidden/>
              </w:rPr>
              <w:fldChar w:fldCharType="separate"/>
            </w:r>
            <w:r w:rsidR="003E1851">
              <w:rPr>
                <w:noProof/>
                <w:webHidden/>
              </w:rPr>
              <w:t>72</w:t>
            </w:r>
            <w:r w:rsidR="00547FD4">
              <w:rPr>
                <w:noProof/>
                <w:webHidden/>
              </w:rPr>
              <w:fldChar w:fldCharType="end"/>
            </w:r>
          </w:hyperlink>
        </w:p>
        <w:p w:rsidR="00547FD4" w:rsidRDefault="006D445B">
          <w:pPr>
            <w:pStyle w:val="TOC2"/>
            <w:rPr>
              <w:rFonts w:asciiTheme="minorHAnsi" w:eastAsiaTheme="minorEastAsia" w:hAnsiTheme="minorHAnsi"/>
              <w:noProof/>
              <w:sz w:val="22"/>
              <w:lang w:eastAsia="lv-LV"/>
            </w:rPr>
          </w:pPr>
          <w:hyperlink w:anchor="_Toc401644332" w:history="1">
            <w:r w:rsidR="00547FD4" w:rsidRPr="00B25929">
              <w:rPr>
                <w:rStyle w:val="Hyperlink"/>
                <w:noProof/>
              </w:rPr>
              <w:t>4.5. Būtiskākās risināmās problēmas</w:t>
            </w:r>
            <w:r w:rsidR="00547FD4">
              <w:rPr>
                <w:noProof/>
                <w:webHidden/>
              </w:rPr>
              <w:tab/>
            </w:r>
            <w:r w:rsidR="00547FD4">
              <w:rPr>
                <w:noProof/>
                <w:webHidden/>
              </w:rPr>
              <w:fldChar w:fldCharType="begin"/>
            </w:r>
            <w:r w:rsidR="00547FD4">
              <w:rPr>
                <w:noProof/>
                <w:webHidden/>
              </w:rPr>
              <w:instrText xml:space="preserve"> PAGEREF _Toc401644332 \h </w:instrText>
            </w:r>
            <w:r w:rsidR="00547FD4">
              <w:rPr>
                <w:noProof/>
                <w:webHidden/>
              </w:rPr>
            </w:r>
            <w:r w:rsidR="00547FD4">
              <w:rPr>
                <w:noProof/>
                <w:webHidden/>
              </w:rPr>
              <w:fldChar w:fldCharType="separate"/>
            </w:r>
            <w:r w:rsidR="003E1851">
              <w:rPr>
                <w:noProof/>
                <w:webHidden/>
              </w:rPr>
              <w:t>74</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33" w:history="1">
            <w:r w:rsidR="00547FD4" w:rsidRPr="00B25929">
              <w:rPr>
                <w:rStyle w:val="Hyperlink"/>
                <w:noProof/>
              </w:rPr>
              <w:t>5.</w:t>
            </w:r>
            <w:r w:rsidR="00547FD4">
              <w:rPr>
                <w:rFonts w:asciiTheme="minorHAnsi" w:eastAsiaTheme="minorEastAsia" w:hAnsiTheme="minorHAnsi"/>
                <w:noProof/>
                <w:sz w:val="22"/>
                <w:lang w:eastAsia="lv-LV"/>
              </w:rPr>
              <w:tab/>
            </w:r>
            <w:r w:rsidR="00547FD4" w:rsidRPr="00B25929">
              <w:rPr>
                <w:rStyle w:val="Hyperlink"/>
                <w:noProof/>
              </w:rPr>
              <w:t>Turpmākās rīcības plānojums</w:t>
            </w:r>
            <w:r w:rsidR="00547FD4">
              <w:rPr>
                <w:noProof/>
                <w:webHidden/>
              </w:rPr>
              <w:tab/>
            </w:r>
            <w:r w:rsidR="00547FD4">
              <w:rPr>
                <w:noProof/>
                <w:webHidden/>
              </w:rPr>
              <w:fldChar w:fldCharType="begin"/>
            </w:r>
            <w:r w:rsidR="00547FD4">
              <w:rPr>
                <w:noProof/>
                <w:webHidden/>
              </w:rPr>
              <w:instrText xml:space="preserve"> PAGEREF _Toc401644333 \h </w:instrText>
            </w:r>
            <w:r w:rsidR="00547FD4">
              <w:rPr>
                <w:noProof/>
                <w:webHidden/>
              </w:rPr>
            </w:r>
            <w:r w:rsidR="00547FD4">
              <w:rPr>
                <w:noProof/>
                <w:webHidden/>
              </w:rPr>
              <w:fldChar w:fldCharType="separate"/>
            </w:r>
            <w:r w:rsidR="003E1851">
              <w:rPr>
                <w:noProof/>
                <w:webHidden/>
              </w:rPr>
              <w:t>76</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34" w:history="1">
            <w:r w:rsidR="00547FD4" w:rsidRPr="00B25929">
              <w:rPr>
                <w:rStyle w:val="Hyperlink"/>
                <w:noProof/>
              </w:rPr>
              <w:t>6. Politikas un darbības rezultāti</w:t>
            </w:r>
            <w:r w:rsidR="00547FD4">
              <w:rPr>
                <w:noProof/>
                <w:webHidden/>
              </w:rPr>
              <w:tab/>
            </w:r>
            <w:r w:rsidR="00547FD4">
              <w:rPr>
                <w:noProof/>
                <w:webHidden/>
              </w:rPr>
              <w:fldChar w:fldCharType="begin"/>
            </w:r>
            <w:r w:rsidR="00547FD4">
              <w:rPr>
                <w:noProof/>
                <w:webHidden/>
              </w:rPr>
              <w:instrText xml:space="preserve"> PAGEREF _Toc401644334 \h </w:instrText>
            </w:r>
            <w:r w:rsidR="00547FD4">
              <w:rPr>
                <w:noProof/>
                <w:webHidden/>
              </w:rPr>
            </w:r>
            <w:r w:rsidR="00547FD4">
              <w:rPr>
                <w:noProof/>
                <w:webHidden/>
              </w:rPr>
              <w:fldChar w:fldCharType="separate"/>
            </w:r>
            <w:r w:rsidR="003E1851">
              <w:rPr>
                <w:noProof/>
                <w:webHidden/>
              </w:rPr>
              <w:t>88</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35" w:history="1">
            <w:r w:rsidR="00547FD4" w:rsidRPr="00B25929">
              <w:rPr>
                <w:rStyle w:val="Hyperlink"/>
                <w:noProof/>
              </w:rPr>
              <w:t>7.</w:t>
            </w:r>
            <w:r w:rsidR="00547FD4">
              <w:rPr>
                <w:rFonts w:asciiTheme="minorHAnsi" w:eastAsiaTheme="minorEastAsia" w:hAnsiTheme="minorHAnsi"/>
                <w:noProof/>
                <w:sz w:val="22"/>
                <w:lang w:eastAsia="lv-LV"/>
              </w:rPr>
              <w:tab/>
            </w:r>
            <w:r w:rsidR="00547FD4" w:rsidRPr="00B25929">
              <w:rPr>
                <w:rStyle w:val="Hyperlink"/>
                <w:noProof/>
              </w:rPr>
              <w:t>Politikas ietekme uz valsts un pašvaldību budžetiem</w:t>
            </w:r>
            <w:r w:rsidR="00547FD4">
              <w:rPr>
                <w:noProof/>
                <w:webHidden/>
              </w:rPr>
              <w:tab/>
            </w:r>
            <w:r w:rsidR="00547FD4">
              <w:rPr>
                <w:noProof/>
                <w:webHidden/>
              </w:rPr>
              <w:fldChar w:fldCharType="begin"/>
            </w:r>
            <w:r w:rsidR="00547FD4">
              <w:rPr>
                <w:noProof/>
                <w:webHidden/>
              </w:rPr>
              <w:instrText xml:space="preserve"> PAGEREF _Toc401644335 \h </w:instrText>
            </w:r>
            <w:r w:rsidR="00547FD4">
              <w:rPr>
                <w:noProof/>
                <w:webHidden/>
              </w:rPr>
            </w:r>
            <w:r w:rsidR="00547FD4">
              <w:rPr>
                <w:noProof/>
                <w:webHidden/>
              </w:rPr>
              <w:fldChar w:fldCharType="separate"/>
            </w:r>
            <w:r w:rsidR="003E1851">
              <w:rPr>
                <w:noProof/>
                <w:webHidden/>
              </w:rPr>
              <w:t>90</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36" w:history="1">
            <w:r w:rsidR="00547FD4" w:rsidRPr="00B25929">
              <w:rPr>
                <w:rStyle w:val="Hyperlink"/>
                <w:noProof/>
              </w:rPr>
              <w:t>8.</w:t>
            </w:r>
            <w:r w:rsidR="00547FD4">
              <w:rPr>
                <w:rFonts w:asciiTheme="minorHAnsi" w:eastAsiaTheme="minorEastAsia" w:hAnsiTheme="minorHAnsi"/>
                <w:noProof/>
                <w:sz w:val="22"/>
                <w:lang w:eastAsia="lv-LV"/>
              </w:rPr>
              <w:tab/>
            </w:r>
            <w:r w:rsidR="00547FD4" w:rsidRPr="00B25929">
              <w:rPr>
                <w:rStyle w:val="Hyperlink"/>
                <w:noProof/>
              </w:rPr>
              <w:t>Pārskatu sniegšanas un novērtēšanas kārtība</w:t>
            </w:r>
            <w:r w:rsidR="00547FD4">
              <w:rPr>
                <w:noProof/>
                <w:webHidden/>
              </w:rPr>
              <w:tab/>
            </w:r>
            <w:r w:rsidR="00547FD4">
              <w:rPr>
                <w:noProof/>
                <w:webHidden/>
              </w:rPr>
              <w:fldChar w:fldCharType="begin"/>
            </w:r>
            <w:r w:rsidR="00547FD4">
              <w:rPr>
                <w:noProof/>
                <w:webHidden/>
              </w:rPr>
              <w:instrText xml:space="preserve"> PAGEREF _Toc401644336 \h </w:instrText>
            </w:r>
            <w:r w:rsidR="00547FD4">
              <w:rPr>
                <w:noProof/>
                <w:webHidden/>
              </w:rPr>
            </w:r>
            <w:r w:rsidR="00547FD4">
              <w:rPr>
                <w:noProof/>
                <w:webHidden/>
              </w:rPr>
              <w:fldChar w:fldCharType="separate"/>
            </w:r>
            <w:r w:rsidR="003E1851">
              <w:rPr>
                <w:noProof/>
                <w:webHidden/>
              </w:rPr>
              <w:t>90</w:t>
            </w:r>
            <w:r w:rsidR="00547FD4">
              <w:rPr>
                <w:noProof/>
                <w:webHidden/>
              </w:rPr>
              <w:fldChar w:fldCharType="end"/>
            </w:r>
          </w:hyperlink>
        </w:p>
        <w:p w:rsidR="00547FD4" w:rsidRDefault="006D445B">
          <w:pPr>
            <w:pStyle w:val="TOC1"/>
            <w:rPr>
              <w:rFonts w:asciiTheme="minorHAnsi" w:eastAsiaTheme="minorEastAsia" w:hAnsiTheme="minorHAnsi"/>
              <w:noProof/>
              <w:sz w:val="22"/>
              <w:lang w:eastAsia="lv-LV"/>
            </w:rPr>
          </w:pPr>
          <w:hyperlink w:anchor="_Toc401644337" w:history="1">
            <w:r w:rsidR="00547FD4" w:rsidRPr="00B25929">
              <w:rPr>
                <w:rStyle w:val="Hyperlink"/>
                <w:noProof/>
              </w:rPr>
              <w:t>9.</w:t>
            </w:r>
            <w:r w:rsidR="00547FD4">
              <w:rPr>
                <w:rFonts w:asciiTheme="minorHAnsi" w:eastAsiaTheme="minorEastAsia" w:hAnsiTheme="minorHAnsi"/>
                <w:noProof/>
                <w:sz w:val="22"/>
                <w:lang w:eastAsia="lv-LV"/>
              </w:rPr>
              <w:tab/>
            </w:r>
            <w:r w:rsidR="00547FD4" w:rsidRPr="00B25929">
              <w:rPr>
                <w:rStyle w:val="Hyperlink"/>
                <w:noProof/>
              </w:rPr>
              <w:t>Spēku zaudējušie politikas plānošanas dokumenti</w:t>
            </w:r>
            <w:r w:rsidR="00547FD4">
              <w:rPr>
                <w:noProof/>
                <w:webHidden/>
              </w:rPr>
              <w:tab/>
            </w:r>
            <w:r w:rsidR="00547FD4">
              <w:rPr>
                <w:noProof/>
                <w:webHidden/>
              </w:rPr>
              <w:fldChar w:fldCharType="begin"/>
            </w:r>
            <w:r w:rsidR="00547FD4">
              <w:rPr>
                <w:noProof/>
                <w:webHidden/>
              </w:rPr>
              <w:instrText xml:space="preserve"> PAGEREF _Toc401644337 \h </w:instrText>
            </w:r>
            <w:r w:rsidR="00547FD4">
              <w:rPr>
                <w:noProof/>
                <w:webHidden/>
              </w:rPr>
            </w:r>
            <w:r w:rsidR="00547FD4">
              <w:rPr>
                <w:noProof/>
                <w:webHidden/>
              </w:rPr>
              <w:fldChar w:fldCharType="separate"/>
            </w:r>
            <w:r w:rsidR="003E1851">
              <w:rPr>
                <w:noProof/>
                <w:webHidden/>
              </w:rPr>
              <w:t>90</w:t>
            </w:r>
            <w:r w:rsidR="00547FD4">
              <w:rPr>
                <w:noProof/>
                <w:webHidden/>
              </w:rPr>
              <w:fldChar w:fldCharType="end"/>
            </w:r>
          </w:hyperlink>
        </w:p>
        <w:p w:rsidR="00B25A9B" w:rsidRDefault="00A67716">
          <w:r>
            <w:rPr>
              <w:b/>
              <w:bCs/>
              <w:noProof/>
            </w:rPr>
            <w:fldChar w:fldCharType="end"/>
          </w:r>
        </w:p>
      </w:sdtContent>
    </w:sdt>
    <w:p w:rsidR="00687449" w:rsidRDefault="00687449">
      <w:r>
        <w:br w:type="page"/>
      </w:r>
    </w:p>
    <w:p w:rsidR="00327FF9" w:rsidRDefault="00327FF9">
      <w:r>
        <w:lastRenderedPageBreak/>
        <w:t>Pielikumi:</w:t>
      </w:r>
    </w:p>
    <w:p w:rsidR="00327FF9" w:rsidRDefault="00327FF9"/>
    <w:p w:rsidR="00282634" w:rsidRPr="00282634" w:rsidRDefault="006D445B" w:rsidP="003F7582">
      <w:pPr>
        <w:pStyle w:val="ListParagraph"/>
        <w:numPr>
          <w:ilvl w:val="0"/>
          <w:numId w:val="24"/>
        </w:numPr>
        <w:ind w:left="567" w:right="566"/>
        <w:jc w:val="both"/>
        <w:rPr>
          <w:rStyle w:val="Hyperlink"/>
          <w:rFonts w:cs="Times New Roman"/>
          <w:color w:val="auto"/>
          <w:szCs w:val="28"/>
          <w:u w:val="none"/>
        </w:rPr>
      </w:pPr>
      <w:hyperlink w:anchor="_Toc393305803" w:history="1">
        <w:r w:rsidR="00282634" w:rsidRPr="00EE759E">
          <w:rPr>
            <w:rStyle w:val="Hyperlink"/>
            <w:rFonts w:cs="Times New Roman"/>
            <w:noProof/>
            <w:color w:val="000000" w:themeColor="text1"/>
            <w:szCs w:val="28"/>
            <w:u w:val="none"/>
          </w:rPr>
          <w:t>Esošās situācijas raksturojums</w:t>
        </w:r>
      </w:hyperlink>
    </w:p>
    <w:p w:rsidR="005E4131" w:rsidRPr="00BE0781" w:rsidRDefault="00E415CC" w:rsidP="003F7582">
      <w:pPr>
        <w:pStyle w:val="ListParagraph"/>
        <w:numPr>
          <w:ilvl w:val="0"/>
          <w:numId w:val="24"/>
        </w:numPr>
        <w:ind w:left="567" w:right="566"/>
        <w:jc w:val="both"/>
        <w:rPr>
          <w:rFonts w:cs="Times New Roman"/>
          <w:szCs w:val="28"/>
        </w:rPr>
      </w:pPr>
      <w:r w:rsidRPr="002325A4">
        <w:rPr>
          <w:rFonts w:cs="Times New Roman"/>
          <w:szCs w:val="28"/>
        </w:rPr>
        <w:t xml:space="preserve">Latvijas dalība starptautiskajās enerģētikas </w:t>
      </w:r>
      <w:r w:rsidRPr="00BE0781">
        <w:rPr>
          <w:rFonts w:cs="Times New Roman"/>
          <w:szCs w:val="28"/>
        </w:rPr>
        <w:t>organizācijās un platformās</w:t>
      </w:r>
    </w:p>
    <w:p w:rsidR="00E415CC" w:rsidRPr="00433FB7" w:rsidRDefault="00E415CC" w:rsidP="003F7582">
      <w:pPr>
        <w:pStyle w:val="ListParagraph"/>
        <w:numPr>
          <w:ilvl w:val="0"/>
          <w:numId w:val="24"/>
        </w:numPr>
        <w:ind w:left="567" w:right="566"/>
        <w:jc w:val="both"/>
        <w:rPr>
          <w:rFonts w:cs="Times New Roman"/>
          <w:szCs w:val="28"/>
        </w:rPr>
      </w:pPr>
      <w:r w:rsidRPr="00BE0781">
        <w:rPr>
          <w:rFonts w:eastAsia="Times New Roman" w:cs="Times New Roman"/>
          <w:bCs/>
          <w:color w:val="000000"/>
          <w:szCs w:val="28"/>
          <w:lang w:eastAsia="lv-LV"/>
        </w:rPr>
        <w:t>Atbrīvojumu piemērošana lieliem elektroenerģijas lietotājiem ES un Latvijā</w:t>
      </w:r>
    </w:p>
    <w:p w:rsidR="00E415CC" w:rsidRPr="00CA0310" w:rsidRDefault="00E415CC" w:rsidP="003F7582">
      <w:pPr>
        <w:pStyle w:val="ListParagraph"/>
        <w:numPr>
          <w:ilvl w:val="0"/>
          <w:numId w:val="24"/>
        </w:numPr>
        <w:ind w:left="567" w:right="566"/>
        <w:jc w:val="both"/>
        <w:rPr>
          <w:rFonts w:cs="Times New Roman"/>
          <w:szCs w:val="28"/>
        </w:rPr>
      </w:pPr>
      <w:r w:rsidRPr="00D320AF">
        <w:rPr>
          <w:rFonts w:eastAsia="Times New Roman" w:cs="Times New Roman"/>
          <w:bCs/>
          <w:color w:val="000000"/>
          <w:szCs w:val="28"/>
          <w:lang w:eastAsia="lv-LV"/>
        </w:rPr>
        <w:t>Sasaiste ar citiem plānošanas dokumentiem</w:t>
      </w:r>
    </w:p>
    <w:p w:rsidR="00787455" w:rsidRPr="00BE0781" w:rsidRDefault="00BE0781" w:rsidP="003F7582">
      <w:pPr>
        <w:pStyle w:val="ListParagraph"/>
        <w:numPr>
          <w:ilvl w:val="0"/>
          <w:numId w:val="24"/>
        </w:numPr>
        <w:ind w:left="567" w:right="566"/>
        <w:jc w:val="both"/>
        <w:rPr>
          <w:rFonts w:cs="Times New Roman"/>
          <w:szCs w:val="28"/>
        </w:rPr>
      </w:pPr>
      <w:r w:rsidRPr="00144FBE">
        <w:t xml:space="preserve">Eiropas Savienības atbalsts </w:t>
      </w:r>
      <w:r>
        <w:t>enerģētikas jomā</w:t>
      </w:r>
    </w:p>
    <w:p w:rsidR="00AA6D94" w:rsidRPr="00AA6D94" w:rsidRDefault="00AA6D94" w:rsidP="00AA6D94"/>
    <w:p w:rsidR="00B25A9B" w:rsidRDefault="00B25A9B">
      <w:r>
        <w:br w:type="page"/>
      </w:r>
    </w:p>
    <w:p w:rsidR="008458C0" w:rsidRDefault="008458C0" w:rsidP="00B25A9B">
      <w:r w:rsidRPr="008458C0">
        <w:lastRenderedPageBreak/>
        <w:t xml:space="preserve">Izmantoto saīsinājumu saraksts </w:t>
      </w:r>
    </w:p>
    <w:p w:rsidR="00213E1C" w:rsidRDefault="00213E1C" w:rsidP="00213E1C"/>
    <w:tbl>
      <w:tblPr>
        <w:tblW w:w="9512" w:type="dxa"/>
        <w:tblLook w:val="01E0" w:firstRow="1" w:lastRow="1" w:firstColumn="1" w:lastColumn="1" w:noHBand="0" w:noVBand="0"/>
      </w:tblPr>
      <w:tblGrid>
        <w:gridCol w:w="2133"/>
        <w:gridCol w:w="7379"/>
      </w:tblGrid>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ACER</w:t>
            </w:r>
          </w:p>
          <w:p w:rsidR="00213E1C" w:rsidRPr="0036140D" w:rsidRDefault="00213E1C" w:rsidP="00C92534">
            <w:pPr>
              <w:rPr>
                <w:rFonts w:cs="Times New Roman"/>
                <w:szCs w:val="28"/>
              </w:rPr>
            </w:pPr>
            <w:r w:rsidRPr="0036140D">
              <w:rPr>
                <w:rFonts w:cs="Times New Roman"/>
                <w:szCs w:val="28"/>
              </w:rPr>
              <w:t>AER</w:t>
            </w:r>
          </w:p>
          <w:p w:rsidR="00737DB0" w:rsidRPr="0036140D" w:rsidRDefault="00737DB0" w:rsidP="00C92534">
            <w:pPr>
              <w:rPr>
                <w:rFonts w:cs="Times New Roman"/>
                <w:szCs w:val="28"/>
              </w:rPr>
            </w:pPr>
            <w:r w:rsidRPr="0036140D">
              <w:rPr>
                <w:rFonts w:cs="Times New Roman"/>
                <w:szCs w:val="28"/>
              </w:rPr>
              <w:t>AER –E</w:t>
            </w:r>
          </w:p>
          <w:p w:rsidR="00737DB0" w:rsidRPr="0036140D" w:rsidRDefault="00737DB0" w:rsidP="00C92534">
            <w:pPr>
              <w:rPr>
                <w:rFonts w:cs="Times New Roman"/>
                <w:szCs w:val="28"/>
              </w:rPr>
            </w:pPr>
            <w:r w:rsidRPr="0036140D">
              <w:rPr>
                <w:rFonts w:cs="Times New Roman"/>
                <w:szCs w:val="28"/>
              </w:rPr>
              <w:t>AER-H</w:t>
            </w:r>
          </w:p>
          <w:p w:rsidR="00737DB0" w:rsidRPr="0036140D" w:rsidRDefault="00737DB0" w:rsidP="00C92534">
            <w:pPr>
              <w:rPr>
                <w:rFonts w:cs="Times New Roman"/>
                <w:szCs w:val="28"/>
              </w:rPr>
            </w:pPr>
          </w:p>
          <w:p w:rsidR="00737DB0" w:rsidRPr="0036140D" w:rsidRDefault="00737DB0" w:rsidP="00C92534">
            <w:pPr>
              <w:rPr>
                <w:rFonts w:cs="Times New Roman"/>
                <w:szCs w:val="28"/>
              </w:rPr>
            </w:pPr>
            <w:r w:rsidRPr="0036140D">
              <w:rPr>
                <w:rFonts w:cs="Times New Roman"/>
                <w:szCs w:val="28"/>
              </w:rPr>
              <w:t>AER-T</w:t>
            </w:r>
          </w:p>
        </w:tc>
        <w:tc>
          <w:tcPr>
            <w:tcW w:w="7379" w:type="dxa"/>
          </w:tcPr>
          <w:p w:rsidR="00213E1C" w:rsidRPr="0036140D" w:rsidRDefault="006D445B" w:rsidP="00C92534">
            <w:pPr>
              <w:rPr>
                <w:rFonts w:cs="Times New Roman"/>
                <w:szCs w:val="28"/>
              </w:rPr>
            </w:pPr>
            <w:hyperlink r:id="rId9" w:tgtFrame="_blank" w:tooltip="Eiropa" w:history="1">
              <w:r w:rsidR="00213E1C" w:rsidRPr="0036140D">
                <w:rPr>
                  <w:rStyle w:val="Hyperlink"/>
                  <w:rFonts w:cs="Times New Roman"/>
                  <w:color w:val="auto"/>
                  <w:szCs w:val="28"/>
                  <w:u w:val="none"/>
                  <w:bdr w:val="none" w:sz="0" w:space="0" w:color="auto" w:frame="1"/>
                </w:rPr>
                <w:t>Eiropas</w:t>
              </w:r>
            </w:hyperlink>
            <w:r w:rsidR="00213E1C" w:rsidRPr="0036140D">
              <w:rPr>
                <w:rFonts w:cs="Times New Roman"/>
                <w:szCs w:val="28"/>
              </w:rPr>
              <w:t> regulatoru sadarbības aģentūra</w:t>
            </w:r>
          </w:p>
          <w:p w:rsidR="00213E1C" w:rsidRPr="0036140D" w:rsidRDefault="00213E1C" w:rsidP="00C92534">
            <w:pPr>
              <w:rPr>
                <w:rFonts w:cs="Times New Roman"/>
                <w:szCs w:val="28"/>
              </w:rPr>
            </w:pPr>
            <w:r w:rsidRPr="0036140D">
              <w:rPr>
                <w:rFonts w:cs="Times New Roman"/>
                <w:szCs w:val="28"/>
              </w:rPr>
              <w:t>atjaunojamie energoresursi</w:t>
            </w:r>
          </w:p>
          <w:p w:rsidR="00737DB0" w:rsidRPr="00737DB0" w:rsidRDefault="00737DB0" w:rsidP="00C92534">
            <w:pPr>
              <w:rPr>
                <w:rFonts w:cs="Times New Roman"/>
                <w:szCs w:val="28"/>
              </w:rPr>
            </w:pPr>
            <w:r w:rsidRPr="00737DB0">
              <w:rPr>
                <w:rFonts w:cs="Times New Roman"/>
                <w:szCs w:val="28"/>
              </w:rPr>
              <w:t>no atjaunojamiem energoresursiem iegūta elektroenerģija</w:t>
            </w:r>
          </w:p>
          <w:p w:rsidR="00737DB0" w:rsidRPr="00737DB0" w:rsidRDefault="00737DB0" w:rsidP="00C92534">
            <w:pPr>
              <w:rPr>
                <w:rFonts w:cs="Times New Roman"/>
                <w:szCs w:val="28"/>
              </w:rPr>
            </w:pPr>
            <w:r w:rsidRPr="00737DB0">
              <w:rPr>
                <w:rFonts w:cs="Times New Roman"/>
                <w:szCs w:val="28"/>
              </w:rPr>
              <w:t>no atjaunojamiem energoresursiem iegūta enerģija apkurei un dzesēšanai</w:t>
            </w:r>
          </w:p>
          <w:p w:rsidR="00737DB0" w:rsidRPr="0036140D" w:rsidRDefault="00737DB0" w:rsidP="00C92534">
            <w:pPr>
              <w:rPr>
                <w:rFonts w:cs="Times New Roman"/>
                <w:szCs w:val="28"/>
              </w:rPr>
            </w:pPr>
            <w:r w:rsidRPr="00737DB0">
              <w:rPr>
                <w:rFonts w:cs="Times New Roman"/>
                <w:szCs w:val="28"/>
              </w:rPr>
              <w:t>atjaunojamie energoresursi (biodegvielas) transportā</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AES</w:t>
            </w:r>
          </w:p>
          <w:p w:rsidR="00737DB0" w:rsidRPr="0036140D" w:rsidRDefault="00737DB0" w:rsidP="00C92534">
            <w:pPr>
              <w:rPr>
                <w:rFonts w:cs="Times New Roman"/>
                <w:szCs w:val="28"/>
              </w:rPr>
            </w:pPr>
            <w:r w:rsidRPr="0036140D">
              <w:rPr>
                <w:rFonts w:cs="Times New Roman"/>
                <w:szCs w:val="28"/>
              </w:rPr>
              <w:t>BEMIP</w:t>
            </w:r>
          </w:p>
          <w:p w:rsidR="00737DB0" w:rsidRPr="0036140D" w:rsidRDefault="00737DB0" w:rsidP="00C92534">
            <w:pPr>
              <w:rPr>
                <w:rFonts w:cs="Times New Roman"/>
                <w:szCs w:val="28"/>
              </w:rPr>
            </w:pPr>
            <w:r w:rsidRPr="0036140D">
              <w:rPr>
                <w:rFonts w:cs="Times New Roman"/>
                <w:szCs w:val="28"/>
              </w:rPr>
              <w:t>BRELL</w:t>
            </w:r>
          </w:p>
          <w:p w:rsidR="00213E1C" w:rsidRDefault="00213E1C" w:rsidP="00C92534">
            <w:pPr>
              <w:rPr>
                <w:rFonts w:cs="Times New Roman"/>
                <w:szCs w:val="28"/>
              </w:rPr>
            </w:pPr>
            <w:r w:rsidRPr="0036140D">
              <w:rPr>
                <w:rFonts w:cs="Times New Roman"/>
                <w:szCs w:val="28"/>
              </w:rPr>
              <w:t>CEGH</w:t>
            </w:r>
          </w:p>
          <w:p w:rsidR="00737DB0" w:rsidRDefault="00737DB0" w:rsidP="00C92534">
            <w:pPr>
              <w:rPr>
                <w:rFonts w:cs="Times New Roman"/>
                <w:szCs w:val="28"/>
              </w:rPr>
            </w:pPr>
            <w:r>
              <w:rPr>
                <w:rFonts w:cs="Times New Roman"/>
                <w:szCs w:val="28"/>
              </w:rPr>
              <w:t>CRM</w:t>
            </w:r>
          </w:p>
          <w:p w:rsidR="00737DB0" w:rsidRPr="0036140D" w:rsidRDefault="00737DB0" w:rsidP="00C92534">
            <w:pPr>
              <w:rPr>
                <w:rFonts w:cs="Times New Roman"/>
                <w:szCs w:val="28"/>
              </w:rPr>
            </w:pPr>
          </w:p>
          <w:p w:rsidR="00213E1C" w:rsidRPr="0036140D" w:rsidRDefault="00213E1C" w:rsidP="00C92534">
            <w:pPr>
              <w:rPr>
                <w:rFonts w:cs="Times New Roman"/>
                <w:szCs w:val="28"/>
              </w:rPr>
            </w:pPr>
            <w:r w:rsidRPr="0036140D">
              <w:rPr>
                <w:rFonts w:cs="Times New Roman"/>
                <w:szCs w:val="28"/>
              </w:rPr>
              <w:t>DPGK</w:t>
            </w:r>
          </w:p>
          <w:p w:rsidR="00213E1C" w:rsidRPr="0036140D" w:rsidRDefault="00213E1C" w:rsidP="00C92534">
            <w:pPr>
              <w:rPr>
                <w:rFonts w:cs="Times New Roman"/>
                <w:szCs w:val="28"/>
              </w:rPr>
            </w:pPr>
            <w:r w:rsidRPr="0036140D">
              <w:rPr>
                <w:rFonts w:cs="Times New Roman"/>
                <w:szCs w:val="28"/>
              </w:rPr>
              <w:t>EEPR</w:t>
            </w:r>
          </w:p>
        </w:tc>
        <w:tc>
          <w:tcPr>
            <w:tcW w:w="7379" w:type="dxa"/>
          </w:tcPr>
          <w:p w:rsidR="00213E1C" w:rsidRPr="0036140D" w:rsidRDefault="00213E1C" w:rsidP="00C92534">
            <w:pPr>
              <w:rPr>
                <w:rFonts w:cs="Times New Roman"/>
                <w:szCs w:val="28"/>
              </w:rPr>
            </w:pPr>
            <w:r w:rsidRPr="0036140D">
              <w:rPr>
                <w:rFonts w:cs="Times New Roman"/>
                <w:szCs w:val="28"/>
              </w:rPr>
              <w:t>Atomelektrostacija</w:t>
            </w:r>
          </w:p>
          <w:p w:rsidR="00737DB0" w:rsidRPr="00737DB0" w:rsidRDefault="00737DB0" w:rsidP="00C92534">
            <w:pPr>
              <w:rPr>
                <w:rFonts w:cs="Times New Roman"/>
                <w:szCs w:val="28"/>
              </w:rPr>
            </w:pPr>
            <w:r w:rsidRPr="00737DB0">
              <w:rPr>
                <w:rFonts w:cs="Times New Roman"/>
                <w:szCs w:val="28"/>
              </w:rPr>
              <w:t>reģionālā sadarbība un koordinācija ar valstīm ap Baltijas jūru</w:t>
            </w:r>
          </w:p>
          <w:p w:rsidR="00737DB0" w:rsidRPr="0036140D" w:rsidRDefault="00737DB0" w:rsidP="00C92534">
            <w:pPr>
              <w:rPr>
                <w:rFonts w:cs="Times New Roman"/>
                <w:szCs w:val="28"/>
              </w:rPr>
            </w:pPr>
            <w:r w:rsidRPr="00737DB0">
              <w:rPr>
                <w:rFonts w:cs="Times New Roman"/>
                <w:szCs w:val="28"/>
              </w:rPr>
              <w:t>Baltkrievijas, Krievijas,Igaunijas, Latvijas un Lietuvas</w:t>
            </w:r>
          </w:p>
          <w:p w:rsidR="00213E1C" w:rsidRDefault="00213E1C" w:rsidP="00C92534">
            <w:pPr>
              <w:rPr>
                <w:rFonts w:cs="Times New Roman"/>
                <w:szCs w:val="28"/>
              </w:rPr>
            </w:pPr>
            <w:r w:rsidRPr="0036140D">
              <w:rPr>
                <w:rFonts w:cs="Times New Roman"/>
                <w:szCs w:val="28"/>
              </w:rPr>
              <w:t>Centrāleiropas gāzes tirdzniecības platforma</w:t>
            </w:r>
          </w:p>
          <w:p w:rsidR="00737DB0" w:rsidRPr="0036140D" w:rsidRDefault="00737DB0" w:rsidP="00C92534">
            <w:pPr>
              <w:rPr>
                <w:rFonts w:cs="Times New Roman"/>
                <w:szCs w:val="28"/>
              </w:rPr>
            </w:pPr>
            <w:r>
              <w:t>jaudas kompensācijas mehānisms (Capacity Renumeration Mechanism)</w:t>
            </w:r>
          </w:p>
          <w:p w:rsidR="00213E1C" w:rsidRPr="0036140D" w:rsidRDefault="00213E1C" w:rsidP="00C92534">
            <w:pPr>
              <w:rPr>
                <w:rFonts w:cs="Times New Roman"/>
                <w:szCs w:val="28"/>
              </w:rPr>
            </w:pPr>
            <w:r w:rsidRPr="0036140D">
              <w:rPr>
                <w:rFonts w:eastAsia="Times New Roman" w:cs="Times New Roman"/>
                <w:szCs w:val="28"/>
              </w:rPr>
              <w:t>Dobeles pazemes gāzes krātuve</w:t>
            </w:r>
          </w:p>
          <w:p w:rsidR="00213E1C" w:rsidRPr="0036140D" w:rsidRDefault="00213E1C" w:rsidP="00C92534">
            <w:pPr>
              <w:rPr>
                <w:rFonts w:cs="Times New Roman"/>
                <w:szCs w:val="28"/>
              </w:rPr>
            </w:pPr>
            <w:r w:rsidRPr="0036140D">
              <w:rPr>
                <w:rFonts w:cs="Times New Roman"/>
                <w:szCs w:val="28"/>
              </w:rPr>
              <w:t>Eiropas Enerģētikas atjaunošanas programma</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EK</w:t>
            </w:r>
          </w:p>
        </w:tc>
        <w:tc>
          <w:tcPr>
            <w:tcW w:w="7379" w:type="dxa"/>
          </w:tcPr>
          <w:p w:rsidR="00213E1C" w:rsidRPr="0036140D" w:rsidRDefault="00213E1C" w:rsidP="00C92534">
            <w:pPr>
              <w:rPr>
                <w:rFonts w:cs="Times New Roman"/>
                <w:szCs w:val="28"/>
              </w:rPr>
            </w:pPr>
            <w:r w:rsidRPr="0036140D">
              <w:rPr>
                <w:rFonts w:cs="Times New Roman"/>
                <w:szCs w:val="28"/>
              </w:rPr>
              <w:t>Eiropas Kopiena</w:t>
            </w:r>
          </w:p>
        </w:tc>
      </w:tr>
      <w:tr w:rsidR="00213E1C" w:rsidRPr="00B66B52" w:rsidTr="00C92534">
        <w:tc>
          <w:tcPr>
            <w:tcW w:w="2133" w:type="dxa"/>
          </w:tcPr>
          <w:p w:rsidR="00213E1C" w:rsidRDefault="00213E1C" w:rsidP="00C92534">
            <w:pPr>
              <w:rPr>
                <w:rFonts w:cs="Times New Roman"/>
                <w:szCs w:val="28"/>
              </w:rPr>
            </w:pPr>
            <w:r w:rsidRPr="0036140D">
              <w:rPr>
                <w:rFonts w:cs="Times New Roman"/>
                <w:szCs w:val="28"/>
              </w:rPr>
              <w:t>EM</w:t>
            </w:r>
          </w:p>
          <w:p w:rsidR="00737DB0" w:rsidRDefault="00737DB0" w:rsidP="00C92534">
            <w:pPr>
              <w:rPr>
                <w:rFonts w:cs="Times New Roman"/>
                <w:szCs w:val="28"/>
              </w:rPr>
            </w:pPr>
            <w:r>
              <w:rPr>
                <w:rFonts w:cs="Times New Roman"/>
                <w:szCs w:val="28"/>
              </w:rPr>
              <w:t>EPL</w:t>
            </w:r>
          </w:p>
          <w:p w:rsidR="00737DB0" w:rsidRPr="0036140D" w:rsidRDefault="00737DB0" w:rsidP="00C92534">
            <w:pPr>
              <w:rPr>
                <w:rFonts w:cs="Times New Roman"/>
                <w:szCs w:val="28"/>
              </w:rPr>
            </w:pPr>
            <w:r>
              <w:rPr>
                <w:rFonts w:cs="Times New Roman"/>
                <w:szCs w:val="28"/>
              </w:rPr>
              <w:t>ERAF</w:t>
            </w:r>
          </w:p>
        </w:tc>
        <w:tc>
          <w:tcPr>
            <w:tcW w:w="7379" w:type="dxa"/>
          </w:tcPr>
          <w:p w:rsidR="00213E1C" w:rsidRDefault="00213E1C" w:rsidP="00C92534">
            <w:pPr>
              <w:rPr>
                <w:rFonts w:cs="Times New Roman"/>
                <w:szCs w:val="28"/>
              </w:rPr>
            </w:pPr>
            <w:r w:rsidRPr="0036140D">
              <w:rPr>
                <w:rFonts w:cs="Times New Roman"/>
                <w:szCs w:val="28"/>
              </w:rPr>
              <w:t>Ekonomikas ministrija</w:t>
            </w:r>
          </w:p>
          <w:p w:rsidR="00737DB0" w:rsidRDefault="00737DB0" w:rsidP="00C92534">
            <w:r>
              <w:t>elektropārvades līnija</w:t>
            </w:r>
          </w:p>
          <w:p w:rsidR="00737DB0" w:rsidRPr="0036140D" w:rsidRDefault="00737DB0" w:rsidP="00C92534">
            <w:pPr>
              <w:rPr>
                <w:rFonts w:cs="Times New Roman"/>
                <w:szCs w:val="28"/>
              </w:rPr>
            </w:pPr>
            <w:r w:rsidRPr="00300CB7">
              <w:t>Eiropas Reģionālās attīstības fonds</w:t>
            </w:r>
          </w:p>
        </w:tc>
      </w:tr>
      <w:tr w:rsidR="00213E1C" w:rsidRPr="00B66B52" w:rsidTr="00C92534">
        <w:tc>
          <w:tcPr>
            <w:tcW w:w="2133" w:type="dxa"/>
          </w:tcPr>
          <w:p w:rsidR="00213E1C" w:rsidRDefault="00213E1C" w:rsidP="00C92534">
            <w:pPr>
              <w:rPr>
                <w:rFonts w:cs="Times New Roman"/>
                <w:szCs w:val="28"/>
              </w:rPr>
            </w:pPr>
            <w:r w:rsidRPr="0036140D">
              <w:rPr>
                <w:rFonts w:cs="Times New Roman"/>
                <w:szCs w:val="28"/>
              </w:rPr>
              <w:t>ES</w:t>
            </w:r>
          </w:p>
          <w:p w:rsidR="00737DB0" w:rsidRPr="0036140D" w:rsidRDefault="00737DB0" w:rsidP="00C92534">
            <w:pPr>
              <w:rPr>
                <w:rFonts w:cs="Times New Roman"/>
                <w:szCs w:val="28"/>
              </w:rPr>
            </w:pPr>
            <w:r>
              <w:rPr>
                <w:rFonts w:cs="Times New Roman"/>
                <w:szCs w:val="28"/>
              </w:rPr>
              <w:t>ESKO</w:t>
            </w:r>
          </w:p>
        </w:tc>
        <w:tc>
          <w:tcPr>
            <w:tcW w:w="7379" w:type="dxa"/>
          </w:tcPr>
          <w:p w:rsidR="00213E1C" w:rsidRDefault="00213E1C" w:rsidP="00C92534">
            <w:pPr>
              <w:rPr>
                <w:rFonts w:cs="Times New Roman"/>
                <w:szCs w:val="28"/>
              </w:rPr>
            </w:pPr>
            <w:r w:rsidRPr="0036140D">
              <w:rPr>
                <w:rFonts w:cs="Times New Roman"/>
                <w:szCs w:val="28"/>
              </w:rPr>
              <w:t>Eiropas Savienība</w:t>
            </w:r>
          </w:p>
          <w:p w:rsidR="00737DB0" w:rsidRPr="0036140D" w:rsidRDefault="00737DB0" w:rsidP="00C92534">
            <w:pPr>
              <w:rPr>
                <w:rFonts w:cs="Times New Roman"/>
                <w:szCs w:val="28"/>
              </w:rPr>
            </w:pPr>
            <w:r>
              <w:t>energoservisa kompānija</w:t>
            </w:r>
          </w:p>
        </w:tc>
      </w:tr>
      <w:tr w:rsidR="00213E1C" w:rsidRPr="00B66B52" w:rsidTr="00C92534">
        <w:tc>
          <w:tcPr>
            <w:tcW w:w="2133" w:type="dxa"/>
          </w:tcPr>
          <w:p w:rsidR="00213E1C" w:rsidRDefault="00213E1C" w:rsidP="00C92534">
            <w:pPr>
              <w:rPr>
                <w:rFonts w:cs="Times New Roman"/>
                <w:szCs w:val="28"/>
              </w:rPr>
            </w:pPr>
            <w:r w:rsidRPr="0036140D">
              <w:rPr>
                <w:rFonts w:cs="Times New Roman"/>
                <w:szCs w:val="28"/>
              </w:rPr>
              <w:t>ETS</w:t>
            </w:r>
          </w:p>
          <w:p w:rsidR="00737DB0" w:rsidRDefault="00737DB0" w:rsidP="00C92534">
            <w:pPr>
              <w:rPr>
                <w:rFonts w:cs="Times New Roman"/>
                <w:szCs w:val="28"/>
              </w:rPr>
            </w:pPr>
            <w:r>
              <w:rPr>
                <w:rFonts w:cs="Times New Roman"/>
                <w:szCs w:val="28"/>
              </w:rPr>
              <w:t>FIP</w:t>
            </w:r>
          </w:p>
          <w:p w:rsidR="00737DB0" w:rsidRPr="0036140D" w:rsidRDefault="00737DB0" w:rsidP="00C92534">
            <w:pPr>
              <w:rPr>
                <w:rFonts w:cs="Times New Roman"/>
                <w:szCs w:val="28"/>
              </w:rPr>
            </w:pPr>
            <w:r>
              <w:rPr>
                <w:rFonts w:cs="Times New Roman"/>
                <w:szCs w:val="28"/>
              </w:rPr>
              <w:t>FIT</w:t>
            </w:r>
          </w:p>
        </w:tc>
        <w:tc>
          <w:tcPr>
            <w:tcW w:w="7379" w:type="dxa"/>
          </w:tcPr>
          <w:p w:rsidR="00213E1C" w:rsidRDefault="00213E1C" w:rsidP="00C92534">
            <w:pPr>
              <w:rPr>
                <w:rFonts w:cs="Times New Roman"/>
                <w:szCs w:val="28"/>
              </w:rPr>
            </w:pPr>
            <w:r w:rsidRPr="0036140D">
              <w:rPr>
                <w:rFonts w:cs="Times New Roman"/>
                <w:szCs w:val="28"/>
              </w:rPr>
              <w:t>emisijas kvotu tirdzniecības sistēma</w:t>
            </w:r>
          </w:p>
          <w:p w:rsidR="00737DB0" w:rsidRPr="00383505" w:rsidRDefault="00737DB0" w:rsidP="00C92534">
            <w:r w:rsidRPr="00EE759E">
              <w:t>Feed-in-Premium</w:t>
            </w:r>
          </w:p>
          <w:p w:rsidR="00737DB0" w:rsidRPr="0036140D" w:rsidRDefault="00737DB0" w:rsidP="00C92534">
            <w:pPr>
              <w:rPr>
                <w:rFonts w:cs="Times New Roman"/>
                <w:szCs w:val="28"/>
              </w:rPr>
            </w:pPr>
            <w:r w:rsidRPr="00EE759E">
              <w:t>Feed-in-Tariff</w:t>
            </w:r>
          </w:p>
        </w:tc>
      </w:tr>
      <w:tr w:rsidR="00213E1C" w:rsidRPr="00B66B52" w:rsidTr="00C92534">
        <w:trPr>
          <w:trHeight w:val="361"/>
        </w:trPr>
        <w:tc>
          <w:tcPr>
            <w:tcW w:w="2133" w:type="dxa"/>
          </w:tcPr>
          <w:p w:rsidR="00213E1C" w:rsidRPr="0036140D" w:rsidRDefault="00213E1C" w:rsidP="00C92534">
            <w:pPr>
              <w:rPr>
                <w:rFonts w:cs="Times New Roman"/>
                <w:szCs w:val="28"/>
              </w:rPr>
            </w:pPr>
            <w:r w:rsidRPr="0036140D">
              <w:rPr>
                <w:rFonts w:cs="Times New Roman"/>
                <w:szCs w:val="28"/>
              </w:rPr>
              <w:t>FM</w:t>
            </w:r>
          </w:p>
          <w:p w:rsidR="00213E1C" w:rsidRPr="0036140D" w:rsidRDefault="00213E1C" w:rsidP="00C92534">
            <w:pPr>
              <w:rPr>
                <w:rFonts w:cs="Times New Roman"/>
                <w:szCs w:val="28"/>
              </w:rPr>
            </w:pPr>
            <w:r w:rsidRPr="0036140D">
              <w:rPr>
                <w:rFonts w:cs="Times New Roman"/>
                <w:szCs w:val="28"/>
              </w:rPr>
              <w:t>GIPL</w:t>
            </w:r>
          </w:p>
          <w:p w:rsidR="00213E1C" w:rsidRPr="0036140D" w:rsidRDefault="00213E1C" w:rsidP="00C92534">
            <w:pPr>
              <w:rPr>
                <w:rFonts w:cs="Times New Roman"/>
                <w:szCs w:val="28"/>
              </w:rPr>
            </w:pPr>
            <w:r w:rsidRPr="0036140D">
              <w:rPr>
                <w:rFonts w:eastAsia="Times New Roman" w:cs="Times New Roman"/>
                <w:szCs w:val="28"/>
              </w:rPr>
              <w:t>GRS</w:t>
            </w:r>
          </w:p>
          <w:p w:rsidR="00213E1C" w:rsidRPr="0036140D" w:rsidRDefault="00213E1C" w:rsidP="00C92534">
            <w:pPr>
              <w:rPr>
                <w:rFonts w:cs="Times New Roman"/>
                <w:szCs w:val="28"/>
              </w:rPr>
            </w:pPr>
            <w:r w:rsidRPr="0036140D">
              <w:rPr>
                <w:rFonts w:cs="Times New Roman"/>
                <w:szCs w:val="28"/>
              </w:rPr>
              <w:t>GWh</w:t>
            </w:r>
          </w:p>
          <w:p w:rsidR="00213E1C" w:rsidRPr="0036140D" w:rsidRDefault="00C92534" w:rsidP="00C92534">
            <w:pPr>
              <w:rPr>
                <w:rFonts w:cs="Times New Roman"/>
                <w:szCs w:val="28"/>
              </w:rPr>
            </w:pPr>
            <w:r w:rsidRPr="00C92534">
              <w:rPr>
                <w:rFonts w:cs="Times New Roman"/>
                <w:szCs w:val="28"/>
              </w:rPr>
              <w:t>H</w:t>
            </w:r>
            <w:r w:rsidR="00213E1C" w:rsidRPr="0036140D">
              <w:rPr>
                <w:rFonts w:cs="Times New Roman"/>
                <w:szCs w:val="28"/>
              </w:rPr>
              <w:t>a</w:t>
            </w:r>
          </w:p>
        </w:tc>
        <w:tc>
          <w:tcPr>
            <w:tcW w:w="7379" w:type="dxa"/>
          </w:tcPr>
          <w:p w:rsidR="00213E1C" w:rsidRPr="0036140D" w:rsidRDefault="00213E1C" w:rsidP="00C92534">
            <w:pPr>
              <w:rPr>
                <w:rFonts w:cs="Times New Roman"/>
                <w:szCs w:val="28"/>
              </w:rPr>
            </w:pPr>
            <w:r w:rsidRPr="0036140D">
              <w:rPr>
                <w:rFonts w:cs="Times New Roman"/>
                <w:szCs w:val="28"/>
              </w:rPr>
              <w:t>Finanšu ministrija</w:t>
            </w:r>
          </w:p>
          <w:p w:rsidR="00213E1C" w:rsidRPr="0036140D" w:rsidRDefault="00213E1C" w:rsidP="00C92534">
            <w:pPr>
              <w:rPr>
                <w:rFonts w:cs="Times New Roman"/>
                <w:szCs w:val="28"/>
              </w:rPr>
            </w:pPr>
            <w:r w:rsidRPr="0036140D">
              <w:rPr>
                <w:rFonts w:cs="Times New Roman"/>
                <w:szCs w:val="28"/>
              </w:rPr>
              <w:t>Polijas - Lietuvas gāzes starpsavienojuma izbūve</w:t>
            </w:r>
          </w:p>
          <w:p w:rsidR="00213E1C" w:rsidRPr="0036140D" w:rsidRDefault="00213E1C" w:rsidP="00C92534">
            <w:pPr>
              <w:rPr>
                <w:rFonts w:cs="Times New Roman"/>
                <w:szCs w:val="28"/>
              </w:rPr>
            </w:pPr>
            <w:r w:rsidRPr="0036140D">
              <w:rPr>
                <w:rFonts w:eastAsia="Times New Roman" w:cs="Times New Roman"/>
                <w:szCs w:val="28"/>
              </w:rPr>
              <w:t>Gāzes regulēšanas stacija</w:t>
            </w:r>
          </w:p>
          <w:p w:rsidR="00213E1C" w:rsidRPr="0036140D" w:rsidRDefault="00213E1C" w:rsidP="00C92534">
            <w:pPr>
              <w:rPr>
                <w:rFonts w:cs="Times New Roman"/>
                <w:szCs w:val="28"/>
              </w:rPr>
            </w:pPr>
            <w:r w:rsidRPr="0036140D">
              <w:rPr>
                <w:rFonts w:cs="Times New Roman"/>
                <w:szCs w:val="28"/>
              </w:rPr>
              <w:t>Gigavatu stundas</w:t>
            </w:r>
          </w:p>
          <w:p w:rsidR="00213E1C" w:rsidRPr="0036140D" w:rsidRDefault="008A0FA3" w:rsidP="00C92534">
            <w:pPr>
              <w:rPr>
                <w:rFonts w:cs="Times New Roman"/>
                <w:szCs w:val="28"/>
              </w:rPr>
            </w:pPr>
            <w:r w:rsidRPr="008A0FA3">
              <w:rPr>
                <w:rFonts w:cs="Times New Roman"/>
                <w:szCs w:val="28"/>
              </w:rPr>
              <w:t>H</w:t>
            </w:r>
            <w:r w:rsidR="00213E1C" w:rsidRPr="0036140D">
              <w:rPr>
                <w:rFonts w:cs="Times New Roman"/>
                <w:szCs w:val="28"/>
              </w:rPr>
              <w:t>ektārs</w:t>
            </w:r>
          </w:p>
        </w:tc>
      </w:tr>
      <w:tr w:rsidR="00213E1C" w:rsidRPr="00B66B52" w:rsidTr="00C92534">
        <w:tc>
          <w:tcPr>
            <w:tcW w:w="2133" w:type="dxa"/>
          </w:tcPr>
          <w:p w:rsidR="00213E1C" w:rsidRPr="0036140D" w:rsidRDefault="00213E1C" w:rsidP="00C92534">
            <w:pPr>
              <w:tabs>
                <w:tab w:val="left" w:pos="1005"/>
              </w:tabs>
              <w:rPr>
                <w:rFonts w:cs="Times New Roman"/>
                <w:szCs w:val="28"/>
              </w:rPr>
            </w:pPr>
            <w:r w:rsidRPr="0036140D">
              <w:rPr>
                <w:rFonts w:cs="Times New Roman"/>
                <w:szCs w:val="28"/>
              </w:rPr>
              <w:t>IKP</w:t>
            </w:r>
          </w:p>
          <w:p w:rsidR="00213E1C" w:rsidRPr="0036140D" w:rsidRDefault="00213E1C" w:rsidP="00C92534">
            <w:pPr>
              <w:rPr>
                <w:rFonts w:cs="Times New Roman"/>
                <w:szCs w:val="28"/>
              </w:rPr>
            </w:pPr>
            <w:r w:rsidRPr="0036140D">
              <w:rPr>
                <w:rFonts w:eastAsia="Times New Roman" w:cs="Times New Roman"/>
                <w:szCs w:val="28"/>
              </w:rPr>
              <w:t>IPGK</w:t>
            </w:r>
            <w:r w:rsidRPr="0036140D">
              <w:rPr>
                <w:rFonts w:cs="Times New Roman"/>
                <w:szCs w:val="28"/>
              </w:rPr>
              <w:tab/>
            </w:r>
          </w:p>
          <w:p w:rsidR="00213E1C" w:rsidRDefault="00213E1C" w:rsidP="00C92534">
            <w:pPr>
              <w:rPr>
                <w:rFonts w:cs="Times New Roman"/>
                <w:szCs w:val="28"/>
              </w:rPr>
            </w:pPr>
            <w:r w:rsidRPr="0036140D">
              <w:rPr>
                <w:rFonts w:cs="Times New Roman"/>
                <w:szCs w:val="28"/>
              </w:rPr>
              <w:t>J</w:t>
            </w:r>
          </w:p>
          <w:p w:rsidR="000A44AA" w:rsidRDefault="000A44AA" w:rsidP="00C92534">
            <w:pPr>
              <w:rPr>
                <w:rFonts w:cs="Times New Roman"/>
                <w:szCs w:val="28"/>
              </w:rPr>
            </w:pPr>
            <w:r>
              <w:rPr>
                <w:color w:val="000000" w:themeColor="text1"/>
              </w:rPr>
              <w:t>KEPS2030</w:t>
            </w:r>
          </w:p>
          <w:p w:rsidR="00973ED6" w:rsidRPr="0036140D" w:rsidRDefault="00973ED6" w:rsidP="00C92534">
            <w:pPr>
              <w:rPr>
                <w:rFonts w:cs="Times New Roman"/>
                <w:szCs w:val="28"/>
              </w:rPr>
            </w:pPr>
            <w:r>
              <w:rPr>
                <w:rFonts w:cs="Times New Roman"/>
                <w:szCs w:val="28"/>
              </w:rPr>
              <w:t>KIP</w:t>
            </w:r>
          </w:p>
          <w:p w:rsidR="00213E1C" w:rsidRPr="0036140D" w:rsidRDefault="00213E1C" w:rsidP="00C92534">
            <w:pPr>
              <w:rPr>
                <w:rFonts w:cs="Times New Roman"/>
                <w:szCs w:val="28"/>
              </w:rPr>
            </w:pPr>
            <w:r w:rsidRPr="0036140D">
              <w:rPr>
                <w:rFonts w:cs="Times New Roman"/>
                <w:szCs w:val="28"/>
              </w:rPr>
              <w:t>KPFI</w:t>
            </w:r>
          </w:p>
          <w:p w:rsidR="00213E1C" w:rsidRPr="0036140D" w:rsidRDefault="00213E1C" w:rsidP="00C92534">
            <w:pPr>
              <w:rPr>
                <w:rFonts w:cs="Times New Roman"/>
                <w:szCs w:val="28"/>
              </w:rPr>
            </w:pPr>
            <w:r w:rsidRPr="0036140D">
              <w:rPr>
                <w:rFonts w:cs="Times New Roman"/>
                <w:szCs w:val="28"/>
              </w:rPr>
              <w:t>kW</w:t>
            </w:r>
          </w:p>
          <w:p w:rsidR="00213E1C" w:rsidRPr="0036140D" w:rsidRDefault="00213E1C" w:rsidP="00C92534">
            <w:pPr>
              <w:rPr>
                <w:rFonts w:cs="Times New Roman"/>
                <w:szCs w:val="28"/>
              </w:rPr>
            </w:pPr>
            <w:r w:rsidRPr="0036140D">
              <w:rPr>
                <w:rFonts w:cs="Times New Roman"/>
                <w:szCs w:val="28"/>
              </w:rPr>
              <w:t>kWh</w:t>
            </w:r>
          </w:p>
          <w:p w:rsidR="00213E1C" w:rsidRPr="0036140D" w:rsidRDefault="00213E1C" w:rsidP="00C92534">
            <w:pPr>
              <w:rPr>
                <w:rFonts w:cs="Times New Roman"/>
                <w:szCs w:val="28"/>
              </w:rPr>
            </w:pPr>
            <w:r w:rsidRPr="0036140D">
              <w:rPr>
                <w:rFonts w:cs="Times New Roman"/>
                <w:szCs w:val="28"/>
              </w:rPr>
              <w:t>kV</w:t>
            </w:r>
          </w:p>
        </w:tc>
        <w:tc>
          <w:tcPr>
            <w:tcW w:w="7379" w:type="dxa"/>
          </w:tcPr>
          <w:p w:rsidR="00213E1C" w:rsidRPr="0036140D" w:rsidRDefault="00213E1C" w:rsidP="00C92534">
            <w:pPr>
              <w:rPr>
                <w:rFonts w:cs="Times New Roman"/>
                <w:szCs w:val="28"/>
              </w:rPr>
            </w:pPr>
            <w:r w:rsidRPr="0036140D">
              <w:rPr>
                <w:rFonts w:cs="Times New Roman"/>
                <w:szCs w:val="28"/>
              </w:rPr>
              <w:t>iekšzemes kopprodukts</w:t>
            </w:r>
          </w:p>
          <w:p w:rsidR="00213E1C" w:rsidRPr="0036140D" w:rsidRDefault="00213E1C" w:rsidP="00C92534">
            <w:pPr>
              <w:rPr>
                <w:rFonts w:cs="Times New Roman"/>
                <w:szCs w:val="28"/>
              </w:rPr>
            </w:pPr>
            <w:r w:rsidRPr="0036140D">
              <w:rPr>
                <w:rFonts w:eastAsia="Times New Roman" w:cs="Times New Roman"/>
                <w:szCs w:val="28"/>
              </w:rPr>
              <w:t>Inčukalna pazemes gāzes krātuve</w:t>
            </w:r>
            <w:r w:rsidRPr="0036140D">
              <w:rPr>
                <w:rFonts w:cs="Times New Roman"/>
                <w:szCs w:val="28"/>
              </w:rPr>
              <w:t xml:space="preserve"> </w:t>
            </w:r>
          </w:p>
          <w:p w:rsidR="00213E1C" w:rsidRDefault="00213E1C" w:rsidP="00C92534">
            <w:pPr>
              <w:jc w:val="both"/>
              <w:rPr>
                <w:rFonts w:cs="Times New Roman"/>
                <w:szCs w:val="28"/>
              </w:rPr>
            </w:pPr>
            <w:r w:rsidRPr="0036140D">
              <w:rPr>
                <w:rFonts w:cs="Times New Roman"/>
                <w:szCs w:val="28"/>
              </w:rPr>
              <w:t>Džouls</w:t>
            </w:r>
          </w:p>
          <w:p w:rsidR="000A44AA" w:rsidRDefault="000A44AA" w:rsidP="00C92534">
            <w:pPr>
              <w:jc w:val="both"/>
              <w:rPr>
                <w:rFonts w:cs="Times New Roman"/>
                <w:szCs w:val="28"/>
              </w:rPr>
            </w:pPr>
            <w:r>
              <w:rPr>
                <w:color w:val="000000" w:themeColor="text1"/>
              </w:rPr>
              <w:t>klimata un enerģētikas politikas satvars līdz 2030.gadam</w:t>
            </w:r>
          </w:p>
          <w:p w:rsidR="00973ED6" w:rsidRPr="0036140D" w:rsidRDefault="00973ED6" w:rsidP="00C92534">
            <w:pPr>
              <w:jc w:val="both"/>
              <w:rPr>
                <w:rFonts w:cs="Times New Roman"/>
                <w:szCs w:val="28"/>
              </w:rPr>
            </w:pPr>
            <w:r>
              <w:t>kopējā intereses projekti</w:t>
            </w:r>
          </w:p>
          <w:p w:rsidR="00213E1C" w:rsidRPr="0036140D" w:rsidRDefault="00213E1C" w:rsidP="00C92534">
            <w:pPr>
              <w:jc w:val="both"/>
              <w:rPr>
                <w:rFonts w:cs="Times New Roman"/>
                <w:szCs w:val="28"/>
              </w:rPr>
            </w:pPr>
            <w:r w:rsidRPr="0036140D">
              <w:rPr>
                <w:rFonts w:cs="Times New Roman"/>
                <w:szCs w:val="28"/>
              </w:rPr>
              <w:t>Klimata pārmaiņu finanšu instruments</w:t>
            </w:r>
          </w:p>
          <w:p w:rsidR="00213E1C" w:rsidRPr="0036140D" w:rsidRDefault="00213E1C" w:rsidP="00C92534">
            <w:pPr>
              <w:jc w:val="both"/>
              <w:rPr>
                <w:rFonts w:cs="Times New Roman"/>
                <w:szCs w:val="28"/>
              </w:rPr>
            </w:pPr>
            <w:r w:rsidRPr="0036140D">
              <w:rPr>
                <w:rFonts w:cs="Times New Roman"/>
                <w:szCs w:val="28"/>
              </w:rPr>
              <w:t>Kilovats</w:t>
            </w:r>
          </w:p>
          <w:p w:rsidR="00213E1C" w:rsidRPr="0036140D" w:rsidRDefault="00213E1C" w:rsidP="00C92534">
            <w:pPr>
              <w:rPr>
                <w:rFonts w:cs="Times New Roman"/>
                <w:szCs w:val="28"/>
              </w:rPr>
            </w:pPr>
            <w:r w:rsidRPr="0036140D">
              <w:rPr>
                <w:rFonts w:cs="Times New Roman"/>
                <w:szCs w:val="28"/>
              </w:rPr>
              <w:t>Kilovatu stundas</w:t>
            </w:r>
          </w:p>
          <w:p w:rsidR="00213E1C" w:rsidRPr="0036140D" w:rsidRDefault="008A0FA3" w:rsidP="00C92534">
            <w:pPr>
              <w:rPr>
                <w:rFonts w:cs="Times New Roman"/>
                <w:szCs w:val="28"/>
              </w:rPr>
            </w:pPr>
            <w:r w:rsidRPr="008A0FA3">
              <w:rPr>
                <w:rFonts w:cs="Times New Roman"/>
                <w:szCs w:val="28"/>
              </w:rPr>
              <w:t>K</w:t>
            </w:r>
            <w:r w:rsidR="00213E1C" w:rsidRPr="0036140D">
              <w:rPr>
                <w:rFonts w:cs="Times New Roman"/>
                <w:szCs w:val="28"/>
              </w:rPr>
              <w:t>ilovolts</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MK</w:t>
            </w:r>
          </w:p>
          <w:p w:rsidR="00213E1C" w:rsidRPr="0036140D" w:rsidRDefault="00213E1C" w:rsidP="00C92534">
            <w:pPr>
              <w:rPr>
                <w:rFonts w:cs="Times New Roman"/>
                <w:szCs w:val="28"/>
              </w:rPr>
            </w:pPr>
            <w:r w:rsidRPr="0036140D">
              <w:rPr>
                <w:rFonts w:cs="Times New Roman"/>
                <w:szCs w:val="28"/>
              </w:rPr>
              <w:t>Mtoe</w:t>
            </w:r>
          </w:p>
          <w:p w:rsidR="00213E1C" w:rsidRPr="0036140D" w:rsidRDefault="00213E1C" w:rsidP="00C92534">
            <w:pPr>
              <w:rPr>
                <w:rFonts w:cs="Times New Roman"/>
                <w:szCs w:val="28"/>
              </w:rPr>
            </w:pPr>
            <w:r w:rsidRPr="0036140D">
              <w:rPr>
                <w:rFonts w:cs="Times New Roman"/>
                <w:szCs w:val="28"/>
              </w:rPr>
              <w:t>MW</w:t>
            </w:r>
          </w:p>
          <w:p w:rsidR="00213E1C" w:rsidRPr="0036140D" w:rsidRDefault="00213E1C" w:rsidP="00C92534">
            <w:pPr>
              <w:rPr>
                <w:rFonts w:cs="Times New Roman"/>
                <w:szCs w:val="28"/>
              </w:rPr>
            </w:pPr>
            <w:r w:rsidRPr="0036140D">
              <w:rPr>
                <w:rFonts w:cs="Times New Roman"/>
                <w:szCs w:val="28"/>
              </w:rPr>
              <w:t>MWel</w:t>
            </w:r>
          </w:p>
          <w:p w:rsidR="00213E1C" w:rsidRPr="0036140D" w:rsidRDefault="00213E1C" w:rsidP="00C92534">
            <w:pPr>
              <w:rPr>
                <w:rFonts w:eastAsia="Times New Roman" w:cs="Times New Roman"/>
                <w:bCs/>
                <w:color w:val="000000"/>
                <w:szCs w:val="28"/>
                <w:lang w:eastAsia="lv-LV"/>
              </w:rPr>
            </w:pPr>
            <w:r w:rsidRPr="0036140D">
              <w:rPr>
                <w:rFonts w:eastAsia="Times New Roman" w:cs="Times New Roman"/>
                <w:bCs/>
                <w:color w:val="000000"/>
                <w:szCs w:val="28"/>
                <w:lang w:eastAsia="lv-LV"/>
              </w:rPr>
              <w:lastRenderedPageBreak/>
              <w:t>MWh</w:t>
            </w:r>
          </w:p>
          <w:p w:rsidR="00213E1C" w:rsidRPr="0036140D" w:rsidRDefault="00213E1C" w:rsidP="00C92534">
            <w:pPr>
              <w:rPr>
                <w:rFonts w:cs="Times New Roman"/>
                <w:szCs w:val="28"/>
                <w:vertAlign w:val="superscript"/>
              </w:rPr>
            </w:pPr>
            <w:r w:rsidRPr="0036140D">
              <w:rPr>
                <w:rFonts w:cs="Times New Roman"/>
                <w:szCs w:val="28"/>
              </w:rPr>
              <w:t>m</w:t>
            </w:r>
            <w:r w:rsidRPr="0036140D">
              <w:rPr>
                <w:rFonts w:cs="Times New Roman"/>
                <w:szCs w:val="28"/>
                <w:vertAlign w:val="superscript"/>
              </w:rPr>
              <w:t>2</w:t>
            </w:r>
          </w:p>
          <w:p w:rsidR="00213E1C" w:rsidRPr="0036140D" w:rsidRDefault="00213E1C" w:rsidP="00C92534">
            <w:pPr>
              <w:rPr>
                <w:rFonts w:eastAsia="Times New Roman" w:cs="Times New Roman"/>
                <w:szCs w:val="28"/>
                <w:vertAlign w:val="superscript"/>
              </w:rPr>
            </w:pPr>
            <w:r w:rsidRPr="0036140D">
              <w:rPr>
                <w:rFonts w:eastAsia="Times New Roman" w:cs="Times New Roman"/>
                <w:szCs w:val="28"/>
              </w:rPr>
              <w:t>m</w:t>
            </w:r>
            <w:r w:rsidRPr="0036140D">
              <w:rPr>
                <w:rFonts w:eastAsia="Times New Roman" w:cs="Times New Roman"/>
                <w:szCs w:val="28"/>
                <w:vertAlign w:val="superscript"/>
              </w:rPr>
              <w:t>3</w:t>
            </w:r>
          </w:p>
          <w:p w:rsidR="00213E1C" w:rsidRPr="0036140D" w:rsidRDefault="00213E1C" w:rsidP="00C92534">
            <w:pPr>
              <w:rPr>
                <w:rFonts w:eastAsia="Times New Roman" w:cs="Times New Roman"/>
                <w:szCs w:val="28"/>
                <w:vertAlign w:val="superscript"/>
              </w:rPr>
            </w:pPr>
            <w:r w:rsidRPr="0036140D">
              <w:rPr>
                <w:rFonts w:cs="Times New Roman"/>
                <w:szCs w:val="28"/>
              </w:rPr>
              <w:t>NPS</w:t>
            </w:r>
          </w:p>
          <w:p w:rsidR="00213E1C" w:rsidRPr="0036140D" w:rsidRDefault="00213E1C" w:rsidP="00C92534">
            <w:pPr>
              <w:rPr>
                <w:rFonts w:cs="Times New Roman"/>
                <w:szCs w:val="28"/>
              </w:rPr>
            </w:pPr>
            <w:r w:rsidRPr="0036140D">
              <w:rPr>
                <w:rFonts w:cs="Times New Roman"/>
                <w:szCs w:val="28"/>
              </w:rPr>
              <w:t>OI</w:t>
            </w:r>
          </w:p>
          <w:p w:rsidR="00213E1C" w:rsidRDefault="00213E1C" w:rsidP="00C92534">
            <w:pPr>
              <w:rPr>
                <w:rFonts w:cs="Times New Roman"/>
                <w:szCs w:val="28"/>
              </w:rPr>
            </w:pPr>
            <w:r w:rsidRPr="0036140D">
              <w:rPr>
                <w:rFonts w:cs="Times New Roman"/>
                <w:szCs w:val="28"/>
              </w:rPr>
              <w:t>OIK</w:t>
            </w:r>
          </w:p>
          <w:p w:rsidR="00973ED6" w:rsidRPr="0036140D" w:rsidRDefault="00973ED6" w:rsidP="00C92534">
            <w:pPr>
              <w:rPr>
                <w:rFonts w:cs="Times New Roman"/>
                <w:szCs w:val="28"/>
              </w:rPr>
            </w:pPr>
            <w:r>
              <w:rPr>
                <w:rFonts w:cs="Times New Roman"/>
                <w:szCs w:val="28"/>
              </w:rPr>
              <w:t>PER</w:t>
            </w:r>
          </w:p>
          <w:p w:rsidR="00213E1C" w:rsidRPr="0036140D" w:rsidRDefault="00213E1C" w:rsidP="00C92534">
            <w:pPr>
              <w:rPr>
                <w:rFonts w:cs="Times New Roman"/>
                <w:szCs w:val="28"/>
              </w:rPr>
            </w:pPr>
            <w:r w:rsidRPr="0036140D">
              <w:rPr>
                <w:rFonts w:cs="Times New Roman"/>
                <w:szCs w:val="28"/>
              </w:rPr>
              <w:t>PGK</w:t>
            </w:r>
          </w:p>
          <w:p w:rsidR="00213E1C" w:rsidRPr="0036140D" w:rsidRDefault="00213E1C" w:rsidP="00C92534">
            <w:pPr>
              <w:rPr>
                <w:rFonts w:eastAsia="Times New Roman" w:cs="Times New Roman"/>
                <w:bCs/>
                <w:color w:val="000000"/>
                <w:szCs w:val="28"/>
                <w:lang w:eastAsia="lv-LV"/>
              </w:rPr>
            </w:pPr>
            <w:r w:rsidRPr="0036140D">
              <w:rPr>
                <w:rFonts w:eastAsia="Times New Roman" w:cs="Times New Roman"/>
                <w:szCs w:val="28"/>
              </w:rPr>
              <w:t>PGV</w:t>
            </w:r>
          </w:p>
          <w:p w:rsidR="00213E1C" w:rsidRDefault="00213E1C" w:rsidP="00C92534">
            <w:pPr>
              <w:rPr>
                <w:rFonts w:cs="Times New Roman"/>
                <w:szCs w:val="28"/>
              </w:rPr>
            </w:pPr>
            <w:r w:rsidRPr="0036140D">
              <w:rPr>
                <w:rFonts w:cs="Times New Roman"/>
                <w:szCs w:val="28"/>
              </w:rPr>
              <w:t>PJ</w:t>
            </w:r>
          </w:p>
          <w:p w:rsidR="003D7738" w:rsidRDefault="003D7738" w:rsidP="00C92534">
            <w:pPr>
              <w:rPr>
                <w:rFonts w:cs="Times New Roman"/>
                <w:szCs w:val="28"/>
              </w:rPr>
            </w:pPr>
            <w:r>
              <w:rPr>
                <w:rFonts w:cs="Times New Roman"/>
                <w:szCs w:val="28"/>
              </w:rPr>
              <w:t>PSO</w:t>
            </w:r>
          </w:p>
          <w:p w:rsidR="006F3DBE" w:rsidRDefault="006F3DBE" w:rsidP="00C92534">
            <w:pPr>
              <w:rPr>
                <w:rFonts w:cs="Times New Roman"/>
                <w:szCs w:val="28"/>
              </w:rPr>
            </w:pPr>
            <w:r>
              <w:rPr>
                <w:rFonts w:cs="Times New Roman"/>
                <w:szCs w:val="28"/>
              </w:rPr>
              <w:t>SAIDI</w:t>
            </w:r>
          </w:p>
          <w:p w:rsidR="006F3DBE" w:rsidRPr="0036140D" w:rsidRDefault="006F3DBE" w:rsidP="00C92534">
            <w:pPr>
              <w:rPr>
                <w:rFonts w:cs="Times New Roman"/>
                <w:szCs w:val="28"/>
              </w:rPr>
            </w:pPr>
            <w:r>
              <w:rPr>
                <w:rFonts w:cs="Times New Roman"/>
                <w:szCs w:val="28"/>
              </w:rPr>
              <w:t>SAIFI</w:t>
            </w:r>
          </w:p>
          <w:p w:rsidR="00213E1C" w:rsidRPr="0036140D" w:rsidRDefault="00213E1C" w:rsidP="00C92534">
            <w:pPr>
              <w:rPr>
                <w:rFonts w:cs="Times New Roman"/>
                <w:szCs w:val="28"/>
              </w:rPr>
            </w:pPr>
            <w:r w:rsidRPr="0036140D">
              <w:rPr>
                <w:rFonts w:cs="Times New Roman"/>
                <w:szCs w:val="28"/>
              </w:rPr>
              <w:t>SDG</w:t>
            </w:r>
          </w:p>
        </w:tc>
        <w:tc>
          <w:tcPr>
            <w:tcW w:w="7379" w:type="dxa"/>
          </w:tcPr>
          <w:p w:rsidR="00213E1C" w:rsidRPr="0036140D" w:rsidRDefault="00213E1C" w:rsidP="00C92534">
            <w:pPr>
              <w:rPr>
                <w:rFonts w:cs="Times New Roman"/>
                <w:szCs w:val="28"/>
              </w:rPr>
            </w:pPr>
            <w:r w:rsidRPr="0036140D">
              <w:rPr>
                <w:rFonts w:cs="Times New Roman"/>
                <w:szCs w:val="28"/>
              </w:rPr>
              <w:lastRenderedPageBreak/>
              <w:t>Ministru kabinets</w:t>
            </w:r>
          </w:p>
          <w:p w:rsidR="00213E1C" w:rsidRPr="0036140D" w:rsidRDefault="00213E1C" w:rsidP="00C92534">
            <w:pPr>
              <w:rPr>
                <w:rFonts w:cs="Times New Roman"/>
                <w:szCs w:val="28"/>
              </w:rPr>
            </w:pPr>
            <w:r w:rsidRPr="00EE759E">
              <w:rPr>
                <w:rFonts w:cs="Times New Roman"/>
                <w:szCs w:val="28"/>
              </w:rPr>
              <w:t>miljons tonnas naftas ekvivalenta</w:t>
            </w:r>
          </w:p>
          <w:p w:rsidR="00213E1C" w:rsidRPr="0036140D" w:rsidRDefault="00213E1C" w:rsidP="00C92534">
            <w:pPr>
              <w:jc w:val="both"/>
              <w:rPr>
                <w:rFonts w:cs="Times New Roman"/>
                <w:szCs w:val="28"/>
              </w:rPr>
            </w:pPr>
            <w:r w:rsidRPr="0036140D">
              <w:rPr>
                <w:rFonts w:cs="Times New Roman"/>
                <w:szCs w:val="28"/>
              </w:rPr>
              <w:t>Megavats</w:t>
            </w:r>
          </w:p>
          <w:p w:rsidR="00213E1C" w:rsidRPr="0036140D" w:rsidRDefault="00213E1C" w:rsidP="00C92534">
            <w:pPr>
              <w:jc w:val="both"/>
              <w:rPr>
                <w:rFonts w:cs="Times New Roman"/>
                <w:szCs w:val="28"/>
              </w:rPr>
            </w:pPr>
            <w:r w:rsidRPr="00EE759E">
              <w:rPr>
                <w:rFonts w:cs="Times New Roman"/>
                <w:szCs w:val="28"/>
              </w:rPr>
              <w:t>Megavatu elektriskā jauda</w:t>
            </w:r>
          </w:p>
          <w:p w:rsidR="00213E1C" w:rsidRPr="0036140D" w:rsidRDefault="00213E1C" w:rsidP="00C92534">
            <w:pPr>
              <w:rPr>
                <w:rFonts w:cs="Times New Roman"/>
                <w:szCs w:val="28"/>
              </w:rPr>
            </w:pPr>
            <w:r w:rsidRPr="0036140D">
              <w:rPr>
                <w:rFonts w:cs="Times New Roman"/>
                <w:szCs w:val="28"/>
              </w:rPr>
              <w:lastRenderedPageBreak/>
              <w:t>Megavatu stundas</w:t>
            </w:r>
          </w:p>
          <w:p w:rsidR="00213E1C" w:rsidRPr="0036140D" w:rsidRDefault="00213E1C" w:rsidP="00C92534">
            <w:pPr>
              <w:rPr>
                <w:rFonts w:cs="Times New Roman"/>
                <w:szCs w:val="28"/>
              </w:rPr>
            </w:pPr>
            <w:r w:rsidRPr="0036140D">
              <w:rPr>
                <w:rFonts w:cs="Times New Roman"/>
                <w:szCs w:val="28"/>
              </w:rPr>
              <w:t xml:space="preserve">kvadrātmetrs </w:t>
            </w:r>
          </w:p>
          <w:p w:rsidR="00213E1C" w:rsidRPr="0036140D" w:rsidRDefault="00213E1C" w:rsidP="00C92534">
            <w:pPr>
              <w:rPr>
                <w:rFonts w:cs="Times New Roman"/>
                <w:szCs w:val="28"/>
              </w:rPr>
            </w:pPr>
            <w:r w:rsidRPr="0036140D">
              <w:rPr>
                <w:rFonts w:cs="Times New Roman"/>
                <w:szCs w:val="28"/>
              </w:rPr>
              <w:t>kubikmetrs</w:t>
            </w:r>
          </w:p>
          <w:p w:rsidR="00213E1C" w:rsidRPr="0036140D" w:rsidRDefault="00213E1C" w:rsidP="00C92534">
            <w:pPr>
              <w:rPr>
                <w:rFonts w:cs="Times New Roman"/>
                <w:szCs w:val="28"/>
              </w:rPr>
            </w:pPr>
            <w:r w:rsidRPr="0036140D">
              <w:rPr>
                <w:rFonts w:cs="Times New Roman"/>
                <w:szCs w:val="28"/>
              </w:rPr>
              <w:t>Nord Pool Spot</w:t>
            </w:r>
          </w:p>
          <w:p w:rsidR="00213E1C" w:rsidRPr="0036140D" w:rsidRDefault="00213E1C" w:rsidP="00C92534">
            <w:pPr>
              <w:rPr>
                <w:rFonts w:cs="Times New Roman"/>
                <w:szCs w:val="28"/>
              </w:rPr>
            </w:pPr>
            <w:r w:rsidRPr="0036140D">
              <w:rPr>
                <w:rFonts w:cs="Times New Roman"/>
                <w:szCs w:val="28"/>
              </w:rPr>
              <w:t>obligātais iepirkums</w:t>
            </w:r>
          </w:p>
          <w:p w:rsidR="00213E1C" w:rsidRDefault="00213E1C" w:rsidP="00C92534">
            <w:pPr>
              <w:rPr>
                <w:rFonts w:cs="Times New Roman"/>
                <w:szCs w:val="28"/>
              </w:rPr>
            </w:pPr>
            <w:r w:rsidRPr="0036140D">
              <w:rPr>
                <w:rFonts w:cs="Times New Roman"/>
                <w:szCs w:val="28"/>
              </w:rPr>
              <w:t>obligātā iepirkuma komponente</w:t>
            </w:r>
          </w:p>
          <w:p w:rsidR="00973ED6" w:rsidRPr="0036140D" w:rsidRDefault="00973ED6" w:rsidP="00C92534">
            <w:pPr>
              <w:rPr>
                <w:rFonts w:cs="Times New Roman"/>
                <w:szCs w:val="28"/>
              </w:rPr>
            </w:pPr>
            <w:r>
              <w:t>primārie energoresursi</w:t>
            </w:r>
          </w:p>
          <w:p w:rsidR="00213E1C" w:rsidRPr="0036140D" w:rsidRDefault="00213E1C" w:rsidP="00C92534">
            <w:pPr>
              <w:rPr>
                <w:rFonts w:cs="Times New Roman"/>
                <w:szCs w:val="28"/>
              </w:rPr>
            </w:pPr>
            <w:r w:rsidRPr="0036140D">
              <w:rPr>
                <w:rFonts w:eastAsia="Times New Roman" w:cs="Times New Roman"/>
                <w:szCs w:val="28"/>
              </w:rPr>
              <w:t>pazemes gāzes krātuve</w:t>
            </w:r>
          </w:p>
          <w:p w:rsidR="00213E1C" w:rsidRPr="0036140D" w:rsidRDefault="00213E1C" w:rsidP="00C92534">
            <w:pPr>
              <w:rPr>
                <w:rFonts w:cs="Times New Roman"/>
                <w:szCs w:val="28"/>
              </w:rPr>
            </w:pPr>
            <w:r w:rsidRPr="0036140D">
              <w:rPr>
                <w:rFonts w:eastAsia="Times New Roman" w:cs="Times New Roman"/>
                <w:szCs w:val="28"/>
              </w:rPr>
              <w:t>Pārvades gāzesvadi</w:t>
            </w:r>
          </w:p>
          <w:p w:rsidR="00213E1C" w:rsidRDefault="00213E1C" w:rsidP="00C92534">
            <w:pPr>
              <w:rPr>
                <w:rFonts w:cs="Times New Roman"/>
                <w:szCs w:val="28"/>
              </w:rPr>
            </w:pPr>
            <w:r w:rsidRPr="0036140D">
              <w:rPr>
                <w:rFonts w:cs="Times New Roman"/>
                <w:szCs w:val="28"/>
              </w:rPr>
              <w:t>peta džouls</w:t>
            </w:r>
          </w:p>
          <w:p w:rsidR="003D7738" w:rsidRDefault="003D7738" w:rsidP="00C92534">
            <w:pPr>
              <w:rPr>
                <w:rFonts w:cs="Times New Roman"/>
                <w:szCs w:val="28"/>
              </w:rPr>
            </w:pPr>
            <w:r>
              <w:rPr>
                <w:rFonts w:cs="Times New Roman"/>
                <w:szCs w:val="28"/>
              </w:rPr>
              <w:t>pārvades sistēmas operators</w:t>
            </w:r>
          </w:p>
          <w:p w:rsidR="006F3DBE" w:rsidRDefault="006F3DBE" w:rsidP="00C92534">
            <w:pPr>
              <w:rPr>
                <w:rFonts w:cs="Times New Roman"/>
                <w:szCs w:val="28"/>
              </w:rPr>
            </w:pPr>
            <w:r w:rsidRPr="00511EF9">
              <w:rPr>
                <w:rFonts w:cs="Times New Roman"/>
                <w:szCs w:val="28"/>
              </w:rPr>
              <w:t xml:space="preserve">elektroenerģijas padeves pārtraukumu ilgums </w:t>
            </w:r>
            <w:r>
              <w:rPr>
                <w:rFonts w:cs="Times New Roman"/>
                <w:szCs w:val="28"/>
              </w:rPr>
              <w:t>1</w:t>
            </w:r>
            <w:r w:rsidRPr="00511EF9">
              <w:rPr>
                <w:rFonts w:cs="Times New Roman"/>
                <w:szCs w:val="28"/>
              </w:rPr>
              <w:t xml:space="preserve"> klientam gadā</w:t>
            </w:r>
          </w:p>
          <w:p w:rsidR="006F3DBE" w:rsidRPr="0036140D" w:rsidRDefault="006F3DBE" w:rsidP="00C92534">
            <w:pPr>
              <w:rPr>
                <w:rFonts w:cs="Times New Roman"/>
                <w:szCs w:val="28"/>
              </w:rPr>
            </w:pPr>
            <w:r w:rsidRPr="00511EF9">
              <w:rPr>
                <w:rFonts w:cs="Times New Roman"/>
                <w:szCs w:val="28"/>
              </w:rPr>
              <w:t xml:space="preserve">elektroenerģijas padeves pārtraukumu </w:t>
            </w:r>
            <w:r>
              <w:rPr>
                <w:rFonts w:cs="Times New Roman"/>
                <w:szCs w:val="28"/>
              </w:rPr>
              <w:t>biež</w:t>
            </w:r>
            <w:r w:rsidRPr="00511EF9">
              <w:rPr>
                <w:rFonts w:cs="Times New Roman"/>
                <w:szCs w:val="28"/>
              </w:rPr>
              <w:t>ums 1 klientam gadā</w:t>
            </w:r>
          </w:p>
          <w:p w:rsidR="00213E1C" w:rsidRPr="0036140D" w:rsidRDefault="00213E1C" w:rsidP="00C92534">
            <w:pPr>
              <w:rPr>
                <w:rFonts w:cs="Times New Roman"/>
                <w:szCs w:val="28"/>
              </w:rPr>
            </w:pPr>
            <w:r w:rsidRPr="0036140D">
              <w:rPr>
                <w:rFonts w:cs="Times New Roman"/>
                <w:szCs w:val="28"/>
              </w:rPr>
              <w:t>sašķidrinātā dabasgāze</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lastRenderedPageBreak/>
              <w:t>SEG</w:t>
            </w:r>
          </w:p>
          <w:p w:rsidR="00213E1C" w:rsidRPr="0036140D" w:rsidRDefault="00213E1C" w:rsidP="00C92534">
            <w:pPr>
              <w:rPr>
                <w:rFonts w:cs="Times New Roman"/>
                <w:szCs w:val="28"/>
              </w:rPr>
            </w:pPr>
            <w:r w:rsidRPr="0036140D">
              <w:rPr>
                <w:rFonts w:cs="Times New Roman"/>
                <w:szCs w:val="28"/>
              </w:rPr>
              <w:t>SEN</w:t>
            </w:r>
          </w:p>
          <w:p w:rsidR="00213E1C" w:rsidRDefault="00213E1C" w:rsidP="00C92534">
            <w:pPr>
              <w:rPr>
                <w:rFonts w:cs="Times New Roman"/>
                <w:color w:val="000000"/>
                <w:szCs w:val="28"/>
              </w:rPr>
            </w:pPr>
            <w:r w:rsidRPr="0036140D">
              <w:rPr>
                <w:rFonts w:cs="Times New Roman"/>
                <w:color w:val="000000"/>
                <w:szCs w:val="28"/>
              </w:rPr>
              <w:t>SPRK</w:t>
            </w:r>
          </w:p>
          <w:p w:rsidR="00973ED6" w:rsidRPr="0036140D" w:rsidRDefault="00973ED6" w:rsidP="00C92534">
            <w:pPr>
              <w:rPr>
                <w:rFonts w:cs="Times New Roman"/>
                <w:color w:val="000000"/>
                <w:szCs w:val="28"/>
              </w:rPr>
            </w:pPr>
            <w:r>
              <w:rPr>
                <w:rFonts w:cs="Times New Roman"/>
                <w:color w:val="000000"/>
                <w:szCs w:val="28"/>
              </w:rPr>
              <w:t>SVID</w:t>
            </w:r>
          </w:p>
          <w:p w:rsidR="00213E1C" w:rsidRPr="0036140D" w:rsidRDefault="00213E1C" w:rsidP="00C92534">
            <w:pPr>
              <w:rPr>
                <w:rFonts w:cs="Times New Roman"/>
                <w:szCs w:val="28"/>
              </w:rPr>
            </w:pPr>
            <w:r w:rsidRPr="0036140D">
              <w:rPr>
                <w:rFonts w:eastAsia="Times New Roman" w:cs="Times New Roman"/>
                <w:szCs w:val="28"/>
                <w:lang w:eastAsia="lv-LV"/>
              </w:rPr>
              <w:t>TWh</w:t>
            </w:r>
          </w:p>
        </w:tc>
        <w:tc>
          <w:tcPr>
            <w:tcW w:w="7379" w:type="dxa"/>
          </w:tcPr>
          <w:p w:rsidR="00213E1C" w:rsidRPr="0036140D" w:rsidRDefault="00213E1C" w:rsidP="00C92534">
            <w:pPr>
              <w:rPr>
                <w:rFonts w:cs="Times New Roman"/>
                <w:szCs w:val="28"/>
              </w:rPr>
            </w:pPr>
            <w:r w:rsidRPr="0036140D">
              <w:rPr>
                <w:rFonts w:cs="Times New Roman"/>
                <w:szCs w:val="28"/>
              </w:rPr>
              <w:t>siltumnīcefekta gāzes</w:t>
            </w:r>
          </w:p>
          <w:p w:rsidR="00213E1C" w:rsidRPr="0036140D" w:rsidRDefault="00213E1C" w:rsidP="00C92534">
            <w:pPr>
              <w:rPr>
                <w:rFonts w:cs="Times New Roman"/>
                <w:szCs w:val="28"/>
              </w:rPr>
            </w:pPr>
            <w:r w:rsidRPr="0036140D">
              <w:rPr>
                <w:rFonts w:cs="Times New Roman"/>
                <w:szCs w:val="28"/>
              </w:rPr>
              <w:t>subsidētās enerģijas nodoklis</w:t>
            </w:r>
          </w:p>
          <w:p w:rsidR="00213E1C" w:rsidRDefault="00213E1C" w:rsidP="00C92534">
            <w:pPr>
              <w:rPr>
                <w:rFonts w:cs="Times New Roman"/>
                <w:szCs w:val="28"/>
              </w:rPr>
            </w:pPr>
            <w:r w:rsidRPr="0036140D">
              <w:rPr>
                <w:rFonts w:cs="Times New Roman"/>
                <w:szCs w:val="28"/>
              </w:rPr>
              <w:t>Sabiedrisko pakalpojumu regulēšanas komisija</w:t>
            </w:r>
          </w:p>
          <w:p w:rsidR="00973ED6" w:rsidRPr="0036140D" w:rsidRDefault="00973ED6" w:rsidP="00C92534">
            <w:pPr>
              <w:rPr>
                <w:rFonts w:cs="Times New Roman"/>
                <w:szCs w:val="28"/>
              </w:rPr>
            </w:pPr>
            <w:r w:rsidRPr="00955168">
              <w:t>stipr</w:t>
            </w:r>
            <w:r>
              <w:t>ās</w:t>
            </w:r>
            <w:r w:rsidRPr="00955168">
              <w:t xml:space="preserve"> un vāj</w:t>
            </w:r>
            <w:r>
              <w:t>ās</w:t>
            </w:r>
            <w:r w:rsidRPr="00955168">
              <w:t xml:space="preserve"> pu</w:t>
            </w:r>
            <w:r>
              <w:t>ses</w:t>
            </w:r>
            <w:r w:rsidRPr="00955168">
              <w:t>, iespēj</w:t>
            </w:r>
            <w:r>
              <w:t>as</w:t>
            </w:r>
            <w:r w:rsidRPr="00955168">
              <w:t xml:space="preserve"> un draud</w:t>
            </w:r>
            <w:r>
              <w:t>i</w:t>
            </w:r>
          </w:p>
          <w:p w:rsidR="00213E1C" w:rsidRPr="0036140D" w:rsidRDefault="00213E1C" w:rsidP="00C92534">
            <w:pPr>
              <w:rPr>
                <w:rFonts w:cs="Times New Roman"/>
                <w:szCs w:val="28"/>
              </w:rPr>
            </w:pPr>
            <w:r w:rsidRPr="0036140D">
              <w:rPr>
                <w:rFonts w:cs="Times New Roman"/>
                <w:szCs w:val="28"/>
              </w:rPr>
              <w:t>Teravatu stundas</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W</w:t>
            </w:r>
          </w:p>
        </w:tc>
        <w:tc>
          <w:tcPr>
            <w:tcW w:w="7379" w:type="dxa"/>
          </w:tcPr>
          <w:p w:rsidR="00213E1C" w:rsidRPr="0036140D" w:rsidRDefault="00213E1C" w:rsidP="00C92534">
            <w:pPr>
              <w:rPr>
                <w:rFonts w:cs="Times New Roman"/>
                <w:szCs w:val="28"/>
              </w:rPr>
            </w:pPr>
            <w:r w:rsidRPr="0036140D">
              <w:rPr>
                <w:rFonts w:cs="Times New Roman"/>
                <w:szCs w:val="28"/>
              </w:rPr>
              <w:t>Vats</w:t>
            </w:r>
          </w:p>
        </w:tc>
      </w:tr>
      <w:tr w:rsidR="00213E1C" w:rsidRPr="00B66B52" w:rsidTr="00C92534">
        <w:tc>
          <w:tcPr>
            <w:tcW w:w="2133" w:type="dxa"/>
          </w:tcPr>
          <w:p w:rsidR="00213E1C" w:rsidRPr="0036140D" w:rsidRDefault="00213E1C" w:rsidP="00C92534">
            <w:pPr>
              <w:rPr>
                <w:rFonts w:cs="Times New Roman"/>
                <w:szCs w:val="28"/>
              </w:rPr>
            </w:pPr>
            <w:r w:rsidRPr="0036140D">
              <w:rPr>
                <w:rFonts w:cs="Times New Roman"/>
                <w:szCs w:val="28"/>
              </w:rPr>
              <w:t>V</w:t>
            </w:r>
          </w:p>
        </w:tc>
        <w:tc>
          <w:tcPr>
            <w:tcW w:w="7379" w:type="dxa"/>
          </w:tcPr>
          <w:p w:rsidR="00213E1C" w:rsidRPr="0036140D" w:rsidRDefault="00213E1C" w:rsidP="00C92534">
            <w:pPr>
              <w:rPr>
                <w:rFonts w:cs="Times New Roman"/>
                <w:szCs w:val="28"/>
              </w:rPr>
            </w:pPr>
            <w:r w:rsidRPr="0036140D">
              <w:rPr>
                <w:rFonts w:cs="Times New Roman"/>
                <w:szCs w:val="28"/>
              </w:rPr>
              <w:t>Volts</w:t>
            </w:r>
          </w:p>
        </w:tc>
      </w:tr>
    </w:tbl>
    <w:p w:rsidR="00973ED6" w:rsidRDefault="00973ED6" w:rsidP="00B25A9B"/>
    <w:p w:rsidR="00973ED6" w:rsidRDefault="00973ED6">
      <w:r>
        <w:br w:type="page"/>
      </w:r>
    </w:p>
    <w:p w:rsidR="00264F33" w:rsidRDefault="001F4933" w:rsidP="00264F33">
      <w:pPr>
        <w:pStyle w:val="Heading1"/>
      </w:pPr>
      <w:bookmarkStart w:id="1" w:name="_Toc401644306"/>
      <w:r w:rsidRPr="00454987">
        <w:lastRenderedPageBreak/>
        <w:t>Ievads</w:t>
      </w:r>
      <w:bookmarkEnd w:id="1"/>
    </w:p>
    <w:p w:rsidR="00342F3D" w:rsidRPr="0041553D" w:rsidRDefault="00D10CEF" w:rsidP="0041553D">
      <w:pPr>
        <w:ind w:firstLine="720"/>
        <w:jc w:val="both"/>
        <w:rPr>
          <w:b/>
        </w:rPr>
      </w:pPr>
      <w:r w:rsidRPr="00454987">
        <w:rPr>
          <w:szCs w:val="28"/>
        </w:rPr>
        <w:t xml:space="preserve">Enerģētikas </w:t>
      </w:r>
      <w:r w:rsidR="00613052" w:rsidRPr="00454987">
        <w:rPr>
          <w:szCs w:val="28"/>
        </w:rPr>
        <w:t xml:space="preserve">attīstības </w:t>
      </w:r>
      <w:r w:rsidRPr="00454987">
        <w:rPr>
          <w:szCs w:val="28"/>
        </w:rPr>
        <w:t xml:space="preserve">pamatnostādnes </w:t>
      </w:r>
      <w:r w:rsidR="002E3EA1" w:rsidRPr="00363151">
        <w:t>2014. – 2020.gadam</w:t>
      </w:r>
      <w:r w:rsidR="002E3EA1">
        <w:t xml:space="preserve"> </w:t>
      </w:r>
      <w:r w:rsidR="002E3EA1" w:rsidRPr="00363151">
        <w:t>(turpmāk</w:t>
      </w:r>
      <w:r w:rsidR="002E3EA1" w:rsidRPr="00363151">
        <w:rPr>
          <w:szCs w:val="28"/>
        </w:rPr>
        <w:t>– Pamatnostādnes)</w:t>
      </w:r>
      <w:r w:rsidR="002E3EA1">
        <w:rPr>
          <w:szCs w:val="28"/>
        </w:rPr>
        <w:t xml:space="preserve"> </w:t>
      </w:r>
      <w:r w:rsidRPr="00454987">
        <w:rPr>
          <w:szCs w:val="28"/>
        </w:rPr>
        <w:t xml:space="preserve">ir politikas plānošanas dokuments, kas nosaka Latvijas valdības politikas pamatprincipus, mērķus un rīcības virzienus enerģētikā </w:t>
      </w:r>
      <w:r w:rsidR="00613052" w:rsidRPr="00454987">
        <w:rPr>
          <w:szCs w:val="28"/>
        </w:rPr>
        <w:t xml:space="preserve">laika posmam </w:t>
      </w:r>
      <w:r w:rsidR="00554E56">
        <w:rPr>
          <w:szCs w:val="28"/>
        </w:rPr>
        <w:t xml:space="preserve">no 2014.gada līdz </w:t>
      </w:r>
      <w:r w:rsidR="00613052" w:rsidRPr="00454987">
        <w:rPr>
          <w:szCs w:val="28"/>
        </w:rPr>
        <w:t xml:space="preserve">2020.gadam. </w:t>
      </w:r>
      <w:r w:rsidR="0041553D" w:rsidRPr="0041553D">
        <w:t>To</w:t>
      </w:r>
      <w:r w:rsidR="00DC0BF1">
        <w:t xml:space="preserve"> </w:t>
      </w:r>
      <w:r w:rsidR="00613052" w:rsidRPr="00454987">
        <w:rPr>
          <w:szCs w:val="28"/>
        </w:rPr>
        <w:t xml:space="preserve">mērķis ir </w:t>
      </w:r>
      <w:r w:rsidR="0041553D">
        <w:rPr>
          <w:szCs w:val="28"/>
        </w:rPr>
        <w:t>definēt</w:t>
      </w:r>
      <w:r w:rsidR="00613052" w:rsidRPr="00454987">
        <w:rPr>
          <w:szCs w:val="28"/>
        </w:rPr>
        <w:t xml:space="preserve"> stratēģiju konkurētspējīgai, drošai un  ilgtspējīgai enerģētikas politikai. </w:t>
      </w:r>
    </w:p>
    <w:p w:rsidR="001B09DD" w:rsidRDefault="001B09DD" w:rsidP="001B09DD">
      <w:pPr>
        <w:autoSpaceDE w:val="0"/>
        <w:autoSpaceDN w:val="0"/>
        <w:adjustRightInd w:val="0"/>
        <w:ind w:firstLine="720"/>
        <w:jc w:val="both"/>
      </w:pPr>
      <w:r>
        <w:rPr>
          <w:szCs w:val="28"/>
        </w:rPr>
        <w:t>2013.gada 28.maijā Ministru kabinets (</w:t>
      </w:r>
      <w:r>
        <w:rPr>
          <w:szCs w:val="28"/>
          <w:lang w:eastAsia="lv-LV"/>
        </w:rPr>
        <w:t>protokollēmums</w:t>
      </w:r>
      <w:r w:rsidR="00DC0BF1">
        <w:rPr>
          <w:szCs w:val="28"/>
          <w:lang w:eastAsia="lv-LV"/>
        </w:rPr>
        <w:t xml:space="preserve"> </w:t>
      </w:r>
      <w:r>
        <w:rPr>
          <w:szCs w:val="28"/>
          <w:lang w:eastAsia="lv-LV"/>
        </w:rPr>
        <w:t xml:space="preserve">TA – 378, </w:t>
      </w:r>
      <w:r w:rsidRPr="001B09DD">
        <w:rPr>
          <w:szCs w:val="28"/>
          <w:lang w:eastAsia="lv-LV"/>
        </w:rPr>
        <w:t>Nr.32,</w:t>
      </w:r>
      <w:r w:rsidR="00DC0BF1">
        <w:rPr>
          <w:szCs w:val="28"/>
          <w:lang w:eastAsia="lv-LV"/>
        </w:rPr>
        <w:t xml:space="preserve"> </w:t>
      </w:r>
      <w:r w:rsidRPr="001B09DD">
        <w:rPr>
          <w:szCs w:val="28"/>
          <w:lang w:eastAsia="lv-LV"/>
        </w:rPr>
        <w:t>59.§)</w:t>
      </w:r>
      <w:r w:rsidR="00DC0BF1">
        <w:rPr>
          <w:szCs w:val="28"/>
          <w:lang w:eastAsia="lv-LV"/>
        </w:rPr>
        <w:t xml:space="preserve"> </w:t>
      </w:r>
      <w:r>
        <w:rPr>
          <w:szCs w:val="28"/>
        </w:rPr>
        <w:t>pieņēma zināšanai Informatīvo ziņojumu</w:t>
      </w:r>
      <w:r w:rsidRPr="001B09DD">
        <w:rPr>
          <w:szCs w:val="28"/>
        </w:rPr>
        <w:t xml:space="preserve"> "Latvijas Enerģētikas ilgtermiņa stratēģija 2030 - konkurētspējīga enerģētika sabiedrībai"</w:t>
      </w:r>
      <w:r w:rsidR="00DC0BF1">
        <w:rPr>
          <w:szCs w:val="28"/>
        </w:rPr>
        <w:t xml:space="preserve"> </w:t>
      </w:r>
      <w:r w:rsidR="0041553D" w:rsidRPr="00363151">
        <w:rPr>
          <w:szCs w:val="28"/>
        </w:rPr>
        <w:t>(turpmāk – Stratēģija 2030)</w:t>
      </w:r>
      <w:r>
        <w:rPr>
          <w:szCs w:val="28"/>
        </w:rPr>
        <w:t xml:space="preserve">, uzdodot </w:t>
      </w:r>
      <w:r>
        <w:t>Ekonomikas ministrijai</w:t>
      </w:r>
      <w:r w:rsidR="00CE606B">
        <w:t xml:space="preserve"> </w:t>
      </w:r>
      <w:r w:rsidR="00CE606B" w:rsidRPr="00363151">
        <w:rPr>
          <w:szCs w:val="28"/>
          <w:lang w:eastAsia="lv-LV"/>
        </w:rPr>
        <w:t>(turpmāk – EM)</w:t>
      </w:r>
      <w:r>
        <w:t xml:space="preserve"> izstrādāt un iesniegt izskatīšanai Ministru kabinetā</w:t>
      </w:r>
      <w:r w:rsidR="00AB7E03">
        <w:t xml:space="preserve"> </w:t>
      </w:r>
      <w:r w:rsidR="00063D8C" w:rsidRPr="00363151">
        <w:rPr>
          <w:bCs/>
          <w:szCs w:val="28"/>
        </w:rPr>
        <w:t>(turpmāk – MK)</w:t>
      </w:r>
      <w:r>
        <w:t xml:space="preserve"> enerģētikas politikas pamatnostādnes laika periodam no 2014. līdz 2020.gadam.</w:t>
      </w:r>
    </w:p>
    <w:p w:rsidR="001B09DD" w:rsidRDefault="001B09DD" w:rsidP="00063D8C">
      <w:pPr>
        <w:ind w:firstLine="720"/>
        <w:jc w:val="both"/>
        <w:rPr>
          <w:szCs w:val="28"/>
          <w:lang w:eastAsia="lv-LV"/>
        </w:rPr>
      </w:pPr>
      <w:r w:rsidRPr="001B09DD">
        <w:rPr>
          <w:szCs w:val="28"/>
          <w:lang w:eastAsia="lv-LV"/>
        </w:rPr>
        <w:t>Informatīvais ziņojums "Par enerģētikas politikas finansēšanu laika posmā no 2014.-2020.gadam"</w:t>
      </w:r>
      <w:r w:rsidR="00554E56">
        <w:rPr>
          <w:szCs w:val="28"/>
          <w:lang w:eastAsia="lv-LV"/>
        </w:rPr>
        <w:t xml:space="preserve">, </w:t>
      </w:r>
      <w:r>
        <w:rPr>
          <w:szCs w:val="28"/>
          <w:lang w:eastAsia="lv-LV"/>
        </w:rPr>
        <w:t xml:space="preserve">tika izskatīts </w:t>
      </w:r>
      <w:r w:rsidR="00063D8C">
        <w:rPr>
          <w:szCs w:val="28"/>
          <w:lang w:eastAsia="lv-LV"/>
        </w:rPr>
        <w:t>MK</w:t>
      </w:r>
      <w:r>
        <w:rPr>
          <w:szCs w:val="28"/>
          <w:lang w:eastAsia="lv-LV"/>
        </w:rPr>
        <w:t xml:space="preserve"> 2014.gada 20.maija sēdē</w:t>
      </w:r>
      <w:r w:rsidR="00063D8C">
        <w:rPr>
          <w:szCs w:val="28"/>
          <w:lang w:eastAsia="lv-LV"/>
        </w:rPr>
        <w:t xml:space="preserve">.  </w:t>
      </w:r>
    </w:p>
    <w:p w:rsidR="008F02A1" w:rsidRDefault="008F02A1" w:rsidP="008F02A1">
      <w:pPr>
        <w:ind w:firstLine="720"/>
        <w:jc w:val="both"/>
        <w:rPr>
          <w:sz w:val="24"/>
          <w:szCs w:val="24"/>
          <w:lang w:eastAsia="lv-LV"/>
        </w:rPr>
      </w:pPr>
      <w:r w:rsidRPr="00363151">
        <w:rPr>
          <w:szCs w:val="28"/>
          <w:lang w:eastAsia="lv-LV"/>
        </w:rPr>
        <w:t>Pamatnostādnes izstrādātas, balstoties</w:t>
      </w:r>
      <w:r w:rsidR="00CE606B">
        <w:rPr>
          <w:szCs w:val="28"/>
          <w:lang w:eastAsia="lv-LV"/>
        </w:rPr>
        <w:t xml:space="preserve"> </w:t>
      </w:r>
      <w:r w:rsidRPr="00363151">
        <w:rPr>
          <w:szCs w:val="28"/>
          <w:lang w:eastAsia="lv-LV"/>
        </w:rPr>
        <w:t xml:space="preserve">uz </w:t>
      </w:r>
      <w:r w:rsidR="00CE606B">
        <w:rPr>
          <w:bCs/>
          <w:szCs w:val="28"/>
        </w:rPr>
        <w:t>MK</w:t>
      </w:r>
      <w:r w:rsidRPr="00363151">
        <w:rPr>
          <w:bCs/>
          <w:szCs w:val="28"/>
        </w:rPr>
        <w:t xml:space="preserve"> noteikumu Nr.271</w:t>
      </w:r>
      <w:r w:rsidRPr="00363151">
        <w:rPr>
          <w:szCs w:val="28"/>
        </w:rPr>
        <w:t xml:space="preserve"> „Ekonomikas ministrijas nolikums”</w:t>
      </w:r>
      <w:r w:rsidRPr="00363151">
        <w:rPr>
          <w:szCs w:val="28"/>
          <w:lang w:eastAsia="lv-LV"/>
        </w:rPr>
        <w:t xml:space="preserve"> 5.3</w:t>
      </w:r>
      <w:r w:rsidR="00F017C3">
        <w:rPr>
          <w:szCs w:val="28"/>
          <w:lang w:eastAsia="lv-LV"/>
        </w:rPr>
        <w:t>.</w:t>
      </w:r>
      <w:r w:rsidRPr="00363151">
        <w:rPr>
          <w:szCs w:val="28"/>
          <w:lang w:eastAsia="lv-LV"/>
        </w:rPr>
        <w:t xml:space="preserve">apakšpunktā  noteikto </w:t>
      </w:r>
      <w:r w:rsidR="00CE606B">
        <w:rPr>
          <w:szCs w:val="28"/>
          <w:lang w:eastAsia="lv-LV"/>
        </w:rPr>
        <w:t>EM</w:t>
      </w:r>
      <w:r w:rsidRPr="00363151">
        <w:rPr>
          <w:szCs w:val="28"/>
          <w:lang w:eastAsia="lv-LV"/>
        </w:rPr>
        <w:t xml:space="preserve"> kompetenci izstrādāt un īstenot politiku konkrētās tautsaimniecības nozarēs, </w:t>
      </w:r>
      <w:r w:rsidR="00CE606B">
        <w:rPr>
          <w:szCs w:val="28"/>
          <w:lang w:eastAsia="lv-LV"/>
        </w:rPr>
        <w:t>tajā skaitā</w:t>
      </w:r>
      <w:r w:rsidRPr="00363151">
        <w:rPr>
          <w:szCs w:val="28"/>
          <w:lang w:eastAsia="lv-LV"/>
        </w:rPr>
        <w:t xml:space="preserve"> enerģētikā, un MK noteikumu Nr.1178 „</w:t>
      </w:r>
      <w:r w:rsidRPr="00363151">
        <w:t>Attīstības plānošanas dokumentu izstrādes un ietekmes izvērtēšanas noteikumi” 12.un 13.punktiem</w:t>
      </w:r>
      <w:r w:rsidRPr="00363151">
        <w:rPr>
          <w:szCs w:val="28"/>
          <w:lang w:eastAsia="lv-LV"/>
        </w:rPr>
        <w:t>, kas nosaka Pamatnostādņu saturā ietveramo informāciju</w:t>
      </w:r>
      <w:r w:rsidR="00CE606B">
        <w:rPr>
          <w:szCs w:val="28"/>
          <w:lang w:eastAsia="lv-LV"/>
        </w:rPr>
        <w:t xml:space="preserve"> un</w:t>
      </w:r>
      <w:r w:rsidRPr="00363151">
        <w:rPr>
          <w:szCs w:val="28"/>
          <w:lang w:eastAsia="lv-LV"/>
        </w:rPr>
        <w:t xml:space="preserve"> dokumenta struktūru, pārskatu sniegšanas un novērtēšanas kārtību, kā arī paredzētos uzdevumus un to risināšanai realizējamos pasākumus.</w:t>
      </w:r>
    </w:p>
    <w:p w:rsidR="00342F3D" w:rsidRPr="00363151" w:rsidRDefault="002E3EA1" w:rsidP="00342F3D">
      <w:pPr>
        <w:ind w:firstLine="720"/>
        <w:jc w:val="both"/>
        <w:rPr>
          <w:b/>
        </w:rPr>
      </w:pPr>
      <w:r>
        <w:t>P</w:t>
      </w:r>
      <w:r w:rsidR="00342F3D" w:rsidRPr="00363151">
        <w:t xml:space="preserve">amatnostādnes </w:t>
      </w:r>
      <w:r w:rsidR="00342F3D" w:rsidRPr="00363151">
        <w:rPr>
          <w:szCs w:val="28"/>
        </w:rPr>
        <w:t xml:space="preserve"> precizē Latvijas valdības politikas pamatprincipus, mērķus un rīcības virzienus enerģētikā piecu līdz septiņu gadu periodam, nodrošinot sasaisti ar </w:t>
      </w:r>
      <w:r w:rsidR="0041553D">
        <w:rPr>
          <w:szCs w:val="28"/>
        </w:rPr>
        <w:t>Stratēģijas 2030</w:t>
      </w:r>
      <w:r w:rsidR="00342F3D" w:rsidRPr="00363151">
        <w:rPr>
          <w:szCs w:val="28"/>
        </w:rPr>
        <w:t xml:space="preserve"> uzstādījumiem, un iezīmē arī nozares ilgtermiņa attīstības tendences visās enerģētikas nozares jomās. </w:t>
      </w:r>
    </w:p>
    <w:p w:rsidR="00342F3D" w:rsidRPr="00363151" w:rsidRDefault="00342F3D" w:rsidP="00342F3D">
      <w:pPr>
        <w:ind w:firstLine="720"/>
        <w:jc w:val="both"/>
        <w:rPr>
          <w:szCs w:val="28"/>
          <w:lang w:eastAsia="lv-LV"/>
        </w:rPr>
      </w:pPr>
      <w:r w:rsidRPr="00363151">
        <w:rPr>
          <w:szCs w:val="28"/>
          <w:lang w:eastAsia="lv-LV"/>
        </w:rPr>
        <w:t xml:space="preserve">Pamatnostādnes </w:t>
      </w:r>
      <w:r w:rsidR="008F02A1">
        <w:rPr>
          <w:szCs w:val="28"/>
          <w:lang w:eastAsia="lv-LV"/>
        </w:rPr>
        <w:t xml:space="preserve">arī </w:t>
      </w:r>
      <w:r w:rsidRPr="00363151">
        <w:rPr>
          <w:szCs w:val="28"/>
        </w:rPr>
        <w:t xml:space="preserve">detalizē Nacionālā attīstības plāna 2014. – 2020.gadam (turpmāk – NAP2020) </w:t>
      </w:r>
      <w:r w:rsidR="008F02A1">
        <w:rPr>
          <w:szCs w:val="28"/>
        </w:rPr>
        <w:t>enerģētikas politikas</w:t>
      </w:r>
      <w:r w:rsidR="002E3EA1">
        <w:rPr>
          <w:szCs w:val="28"/>
        </w:rPr>
        <w:t xml:space="preserve"> </w:t>
      </w:r>
      <w:r w:rsidRPr="00363151">
        <w:rPr>
          <w:szCs w:val="28"/>
        </w:rPr>
        <w:t>uzstādījumus</w:t>
      </w:r>
      <w:r w:rsidRPr="00363151">
        <w:rPr>
          <w:szCs w:val="28"/>
          <w:lang w:eastAsia="lv-LV"/>
        </w:rPr>
        <w:t>.</w:t>
      </w:r>
    </w:p>
    <w:p w:rsidR="00342F3D" w:rsidRPr="00363151" w:rsidRDefault="004B1750" w:rsidP="00AC4A03">
      <w:pPr>
        <w:ind w:firstLine="720"/>
        <w:jc w:val="both"/>
        <w:rPr>
          <w:szCs w:val="28"/>
          <w:lang w:eastAsia="lv-LV"/>
        </w:rPr>
      </w:pPr>
      <w:r>
        <w:rPr>
          <w:szCs w:val="28"/>
          <w:lang w:eastAsia="lv-LV"/>
        </w:rPr>
        <w:t xml:space="preserve">Pastāv vēl vairāki faktori, kas pamato </w:t>
      </w:r>
      <w:r w:rsidR="00342F3D" w:rsidRPr="00363151">
        <w:rPr>
          <w:szCs w:val="28"/>
          <w:lang w:eastAsia="lv-LV"/>
        </w:rPr>
        <w:t xml:space="preserve">Pamatnostādņu izstrādes </w:t>
      </w:r>
      <w:r w:rsidR="00B63EE5">
        <w:rPr>
          <w:szCs w:val="28"/>
          <w:lang w:eastAsia="lv-LV"/>
        </w:rPr>
        <w:t>nepieciešamību</w:t>
      </w:r>
      <w:r>
        <w:rPr>
          <w:szCs w:val="28"/>
          <w:lang w:eastAsia="lv-LV"/>
        </w:rPr>
        <w:t xml:space="preserve">. </w:t>
      </w:r>
      <w:r w:rsidR="00342F3D" w:rsidRPr="00363151">
        <w:rPr>
          <w:szCs w:val="28"/>
          <w:lang w:eastAsia="lv-LV"/>
        </w:rPr>
        <w:t xml:space="preserve">Šobrīd spēkā </w:t>
      </w:r>
      <w:r w:rsidR="00B63EE5" w:rsidRPr="00363151">
        <w:rPr>
          <w:szCs w:val="28"/>
          <w:lang w:eastAsia="lv-LV"/>
        </w:rPr>
        <w:t>esoš</w:t>
      </w:r>
      <w:r w:rsidR="00B63EE5">
        <w:rPr>
          <w:szCs w:val="28"/>
          <w:lang w:eastAsia="lv-LV"/>
        </w:rPr>
        <w:t>ās</w:t>
      </w:r>
      <w:r w:rsidR="00B63EE5" w:rsidRPr="00363151">
        <w:rPr>
          <w:szCs w:val="28"/>
          <w:lang w:eastAsia="lv-LV"/>
        </w:rPr>
        <w:t xml:space="preserve"> </w:t>
      </w:r>
      <w:r w:rsidR="00342F3D" w:rsidRPr="00363151">
        <w:rPr>
          <w:szCs w:val="28"/>
        </w:rPr>
        <w:t>Enerģētikas attīstības pamatnostādnes 2007. – 2016. gadam</w:t>
      </w:r>
      <w:r w:rsidR="00342F3D" w:rsidRPr="00363151">
        <w:rPr>
          <w:szCs w:val="28"/>
          <w:lang w:eastAsia="lv-LV"/>
        </w:rPr>
        <w:t xml:space="preserve"> ir daļēji zaudējušas aktualitāti, jo </w:t>
      </w:r>
      <w:r>
        <w:rPr>
          <w:szCs w:val="28"/>
          <w:lang w:eastAsia="lv-LV"/>
        </w:rPr>
        <w:t xml:space="preserve">ievērojamā daļā </w:t>
      </w:r>
      <w:r w:rsidR="00DE2D26">
        <w:rPr>
          <w:szCs w:val="28"/>
          <w:lang w:eastAsia="lv-LV"/>
        </w:rPr>
        <w:t xml:space="preserve">tajās atspoguļoto pasākumu </w:t>
      </w:r>
      <w:r>
        <w:rPr>
          <w:szCs w:val="28"/>
          <w:lang w:eastAsia="lv-LV"/>
        </w:rPr>
        <w:t>ir izpildīta</w:t>
      </w:r>
      <w:r w:rsidR="00DE2D26">
        <w:rPr>
          <w:szCs w:val="28"/>
          <w:lang w:eastAsia="lv-LV"/>
        </w:rPr>
        <w:t>.</w:t>
      </w:r>
      <w:r>
        <w:rPr>
          <w:szCs w:val="28"/>
          <w:lang w:eastAsia="lv-LV"/>
        </w:rPr>
        <w:t xml:space="preserve"> </w:t>
      </w:r>
      <w:r w:rsidR="00DE2D26">
        <w:rPr>
          <w:szCs w:val="28"/>
          <w:lang w:eastAsia="lv-LV"/>
        </w:rPr>
        <w:t>Enerģētikas pamatnostādņu 2007.-2016.gadam</w:t>
      </w:r>
      <w:r w:rsidR="00342F3D" w:rsidRPr="00363151">
        <w:rPr>
          <w:szCs w:val="28"/>
          <w:lang w:eastAsia="lv-LV"/>
        </w:rPr>
        <w:t xml:space="preserve"> darbības periodā ir pilnveidota attīstības politiskās plānošanas sistēma, pieņemti jauni hierarhiski augstāki valsts attīstības plānošanas dokumenti (Latvija 2030, NAP2020), mainījusies situācija Latvijas un Baltijas elektroenerģijas sektora stratēģiskajā plānošanā un </w:t>
      </w:r>
      <w:r w:rsidR="00DE2D26">
        <w:rPr>
          <w:szCs w:val="28"/>
          <w:lang w:eastAsia="lv-LV"/>
        </w:rPr>
        <w:t>pārskatīts</w:t>
      </w:r>
      <w:r w:rsidR="00342F3D" w:rsidRPr="00363151">
        <w:rPr>
          <w:szCs w:val="28"/>
          <w:lang w:eastAsia="lv-LV"/>
        </w:rPr>
        <w:t xml:space="preserve"> enerģētikas politikas ieviešanas instrumentu klāsts. </w:t>
      </w:r>
    </w:p>
    <w:p w:rsidR="00342F3D" w:rsidRDefault="00342F3D" w:rsidP="00613052">
      <w:pPr>
        <w:autoSpaceDE w:val="0"/>
        <w:autoSpaceDN w:val="0"/>
        <w:adjustRightInd w:val="0"/>
        <w:ind w:firstLine="720"/>
        <w:jc w:val="both"/>
        <w:rPr>
          <w:szCs w:val="28"/>
        </w:rPr>
      </w:pPr>
    </w:p>
    <w:p w:rsidR="00342F3D" w:rsidRDefault="00342F3D" w:rsidP="00613052">
      <w:pPr>
        <w:autoSpaceDE w:val="0"/>
        <w:autoSpaceDN w:val="0"/>
        <w:adjustRightInd w:val="0"/>
        <w:ind w:firstLine="720"/>
        <w:jc w:val="both"/>
        <w:rPr>
          <w:szCs w:val="28"/>
        </w:rPr>
      </w:pPr>
    </w:p>
    <w:p w:rsidR="002346AE" w:rsidRDefault="002346AE" w:rsidP="00613052">
      <w:pPr>
        <w:autoSpaceDE w:val="0"/>
        <w:autoSpaceDN w:val="0"/>
        <w:adjustRightInd w:val="0"/>
        <w:ind w:firstLine="720"/>
        <w:jc w:val="both"/>
        <w:rPr>
          <w:szCs w:val="28"/>
        </w:rPr>
      </w:pPr>
    </w:p>
    <w:p w:rsidR="002346AE" w:rsidRDefault="002346AE" w:rsidP="002346AE">
      <w:pPr>
        <w:jc w:val="both"/>
        <w:rPr>
          <w:b/>
        </w:rPr>
        <w:sectPr w:rsidR="002346AE" w:rsidSect="00612260">
          <w:footerReference w:type="default" r:id="rId10"/>
          <w:type w:val="continuous"/>
          <w:pgSz w:w="11906" w:h="16838" w:code="9"/>
          <w:pgMar w:top="1418" w:right="1134" w:bottom="1134" w:left="1701" w:header="709" w:footer="709" w:gutter="0"/>
          <w:cols w:space="708"/>
          <w:titlePg/>
          <w:docGrid w:linePitch="381"/>
        </w:sectPr>
      </w:pPr>
    </w:p>
    <w:p w:rsidR="00065300" w:rsidRDefault="00264F33" w:rsidP="00617671">
      <w:pPr>
        <w:pStyle w:val="Heading1"/>
        <w:numPr>
          <w:ilvl w:val="0"/>
          <w:numId w:val="9"/>
        </w:numPr>
        <w:spacing w:after="120"/>
        <w:ind w:left="782" w:hanging="357"/>
      </w:pPr>
      <w:bookmarkStart w:id="2" w:name="_Toc401644307"/>
      <w:r w:rsidRPr="009B3223">
        <w:lastRenderedPageBreak/>
        <w:t>E</w:t>
      </w:r>
      <w:r w:rsidR="00065300" w:rsidRPr="009B3223">
        <w:t>nerģētikas</w:t>
      </w:r>
      <w:r w:rsidR="00065300" w:rsidRPr="00065300">
        <w:t xml:space="preserve"> politikas mērķi</w:t>
      </w:r>
      <w:bookmarkEnd w:id="2"/>
    </w:p>
    <w:p w:rsidR="004B1750" w:rsidRDefault="004B1750" w:rsidP="00D6300C">
      <w:pPr>
        <w:ind w:firstLine="720"/>
        <w:jc w:val="both"/>
        <w:rPr>
          <w:szCs w:val="28"/>
        </w:rPr>
      </w:pPr>
      <w:r>
        <w:rPr>
          <w:szCs w:val="28"/>
        </w:rPr>
        <w:t>Enerģētikas politikas mērķis ir v</w:t>
      </w:r>
      <w:r w:rsidRPr="004B1750">
        <w:rPr>
          <w:szCs w:val="28"/>
        </w:rPr>
        <w:t>eidot drošu, resursus efektīvi izmantojošu valsts enerģijas apgādes sistēmu, kas nodrošina enerģijas optimālu izmantošanu, ekonomisko izaugsmi, dzīves un vides kvalitāt</w:t>
      </w:r>
      <w:r w:rsidR="00B63EE5">
        <w:rPr>
          <w:szCs w:val="28"/>
        </w:rPr>
        <w:t>es paaugstināšanu</w:t>
      </w:r>
      <w:r w:rsidRPr="004B1750">
        <w:rPr>
          <w:szCs w:val="28"/>
        </w:rPr>
        <w:t>.</w:t>
      </w:r>
    </w:p>
    <w:p w:rsidR="004F3D19" w:rsidRDefault="00D6300C" w:rsidP="00617671">
      <w:pPr>
        <w:pStyle w:val="Heading2"/>
        <w:numPr>
          <w:ilvl w:val="1"/>
          <w:numId w:val="2"/>
        </w:numPr>
        <w:spacing w:after="120"/>
        <w:ind w:left="1429"/>
      </w:pPr>
      <w:bookmarkStart w:id="3" w:name="_Toc401644308"/>
      <w:r>
        <w:t>ES enerģētikas politikas mērķi</w:t>
      </w:r>
      <w:bookmarkEnd w:id="3"/>
    </w:p>
    <w:p w:rsidR="00B67D2D" w:rsidRPr="00505EE8" w:rsidRDefault="008A0FA3" w:rsidP="00B67D2D">
      <w:pPr>
        <w:ind w:firstLine="709"/>
        <w:jc w:val="both"/>
        <w:rPr>
          <w:szCs w:val="28"/>
        </w:rPr>
      </w:pPr>
      <w:r w:rsidRPr="008A0FA3">
        <w:rPr>
          <w:szCs w:val="28"/>
        </w:rPr>
        <w:t xml:space="preserve">Saskaņā ar Līguma par Eiropas Savienības (turpmāk – ES) darbību 4.pantu enerģētika ir viena no jomām, kurā ES un dalībvalstīm ir dalīta kompetence. </w:t>
      </w:r>
      <w:r w:rsidR="0077704E">
        <w:rPr>
          <w:szCs w:val="28"/>
        </w:rPr>
        <w:t xml:space="preserve">Laika posms </w:t>
      </w:r>
      <w:r w:rsidR="008B3819">
        <w:rPr>
          <w:szCs w:val="28"/>
        </w:rPr>
        <w:t xml:space="preserve">no 2014.gada </w:t>
      </w:r>
      <w:r w:rsidR="0077704E">
        <w:rPr>
          <w:szCs w:val="28"/>
        </w:rPr>
        <w:t xml:space="preserve">līdz 2020.gadam </w:t>
      </w:r>
      <w:r w:rsidR="00B67D2D" w:rsidRPr="00505EE8">
        <w:rPr>
          <w:szCs w:val="28"/>
        </w:rPr>
        <w:t>ES enerģētikas politik</w:t>
      </w:r>
      <w:r w:rsidR="0077704E">
        <w:rPr>
          <w:szCs w:val="28"/>
        </w:rPr>
        <w:t xml:space="preserve">ā ir </w:t>
      </w:r>
      <w:r w:rsidR="00B67D2D" w:rsidRPr="00505EE8">
        <w:rPr>
          <w:szCs w:val="28"/>
        </w:rPr>
        <w:t>pārejas posm</w:t>
      </w:r>
      <w:r w:rsidR="0077704E">
        <w:rPr>
          <w:szCs w:val="28"/>
        </w:rPr>
        <w:t>s, kurā</w:t>
      </w:r>
      <w:r w:rsidR="00B67D2D" w:rsidRPr="00505EE8">
        <w:rPr>
          <w:szCs w:val="28"/>
        </w:rPr>
        <w:t xml:space="preserve"> būs </w:t>
      </w:r>
      <w:r w:rsidR="0077704E" w:rsidRPr="00505EE8">
        <w:rPr>
          <w:szCs w:val="28"/>
        </w:rPr>
        <w:t>jā</w:t>
      </w:r>
      <w:r w:rsidR="0077704E">
        <w:rPr>
          <w:szCs w:val="28"/>
        </w:rPr>
        <w:t>sasniedz jau noteiktie politikas mērķi un jāizvirza</w:t>
      </w:r>
      <w:r w:rsidR="0077704E" w:rsidRPr="00505EE8">
        <w:rPr>
          <w:szCs w:val="28"/>
        </w:rPr>
        <w:t xml:space="preserve"> </w:t>
      </w:r>
      <w:r w:rsidR="00B67D2D" w:rsidRPr="00505EE8">
        <w:rPr>
          <w:szCs w:val="28"/>
        </w:rPr>
        <w:t xml:space="preserve">nākotnes </w:t>
      </w:r>
      <w:r w:rsidR="0077704E">
        <w:rPr>
          <w:szCs w:val="28"/>
        </w:rPr>
        <w:t xml:space="preserve">politikas </w:t>
      </w:r>
      <w:r w:rsidR="00B67D2D" w:rsidRPr="00505EE8">
        <w:rPr>
          <w:szCs w:val="28"/>
        </w:rPr>
        <w:t xml:space="preserve">mērķi. </w:t>
      </w:r>
    </w:p>
    <w:p w:rsidR="00B67D2D" w:rsidRPr="00505EE8" w:rsidRDefault="00B67D2D" w:rsidP="00B67D2D">
      <w:pPr>
        <w:ind w:firstLine="709"/>
        <w:jc w:val="both"/>
        <w:rPr>
          <w:szCs w:val="28"/>
        </w:rPr>
      </w:pPr>
      <w:r w:rsidRPr="00505EE8">
        <w:rPr>
          <w:szCs w:val="28"/>
        </w:rPr>
        <w:t xml:space="preserve">Līdz 2020.gadam ES </w:t>
      </w:r>
      <w:r w:rsidR="0077704E">
        <w:rPr>
          <w:szCs w:val="28"/>
        </w:rPr>
        <w:t>ir</w:t>
      </w:r>
      <w:r w:rsidR="0077704E" w:rsidRPr="00505EE8">
        <w:rPr>
          <w:szCs w:val="28"/>
        </w:rPr>
        <w:t xml:space="preserve"> </w:t>
      </w:r>
      <w:r w:rsidRPr="00505EE8">
        <w:rPr>
          <w:szCs w:val="28"/>
        </w:rPr>
        <w:t xml:space="preserve">jāsasniedz šādi klimata un enerģētikas </w:t>
      </w:r>
      <w:r w:rsidR="00223862">
        <w:rPr>
          <w:szCs w:val="28"/>
        </w:rPr>
        <w:t xml:space="preserve">politikas </w:t>
      </w:r>
      <w:r w:rsidRPr="00505EE8">
        <w:rPr>
          <w:szCs w:val="28"/>
        </w:rPr>
        <w:t xml:space="preserve">mērķi, kas tika </w:t>
      </w:r>
      <w:r w:rsidR="00223862">
        <w:rPr>
          <w:szCs w:val="28"/>
        </w:rPr>
        <w:t>izvirzīti</w:t>
      </w:r>
      <w:r w:rsidR="00223862" w:rsidRPr="00505EE8">
        <w:rPr>
          <w:szCs w:val="28"/>
        </w:rPr>
        <w:t xml:space="preserve"> </w:t>
      </w:r>
      <w:r w:rsidRPr="00505EE8">
        <w:rPr>
          <w:szCs w:val="28"/>
        </w:rPr>
        <w:t>2007.gada marta Eiropadomē:</w:t>
      </w:r>
    </w:p>
    <w:p w:rsidR="00B67D2D" w:rsidRPr="00505EE8" w:rsidRDefault="00787022" w:rsidP="003F7582">
      <w:pPr>
        <w:numPr>
          <w:ilvl w:val="0"/>
          <w:numId w:val="21"/>
        </w:numPr>
        <w:jc w:val="both"/>
        <w:rPr>
          <w:szCs w:val="28"/>
        </w:rPr>
      </w:pPr>
      <w:r>
        <w:rPr>
          <w:szCs w:val="28"/>
        </w:rPr>
        <w:t>s</w:t>
      </w:r>
      <w:r w:rsidRPr="00505EE8">
        <w:rPr>
          <w:szCs w:val="28"/>
        </w:rPr>
        <w:t xml:space="preserve">amazināt </w:t>
      </w:r>
      <w:r w:rsidR="00B67D2D" w:rsidRPr="00505EE8">
        <w:rPr>
          <w:szCs w:val="28"/>
        </w:rPr>
        <w:t xml:space="preserve">siltumnīcefekta gāzu </w:t>
      </w:r>
      <w:r w:rsidR="00E0115A" w:rsidRPr="00505EE8">
        <w:rPr>
          <w:szCs w:val="28"/>
        </w:rPr>
        <w:t>(</w:t>
      </w:r>
      <w:r w:rsidR="00E0115A">
        <w:rPr>
          <w:szCs w:val="28"/>
        </w:rPr>
        <w:t xml:space="preserve">turpmāk - </w:t>
      </w:r>
      <w:r w:rsidR="00E0115A" w:rsidRPr="00505EE8">
        <w:rPr>
          <w:szCs w:val="28"/>
        </w:rPr>
        <w:t>SEG)</w:t>
      </w:r>
      <w:r w:rsidR="00E0115A">
        <w:rPr>
          <w:szCs w:val="28"/>
        </w:rPr>
        <w:t xml:space="preserve"> </w:t>
      </w:r>
      <w:r w:rsidR="00B67D2D" w:rsidRPr="00505EE8">
        <w:rPr>
          <w:szCs w:val="28"/>
        </w:rPr>
        <w:t>emisijas  par 20%, salīdzinot ar 1990.gada līmeni;</w:t>
      </w:r>
    </w:p>
    <w:p w:rsidR="00B67D2D" w:rsidRPr="00505EE8" w:rsidRDefault="00B67D2D" w:rsidP="003F7582">
      <w:pPr>
        <w:numPr>
          <w:ilvl w:val="0"/>
          <w:numId w:val="21"/>
        </w:numPr>
        <w:jc w:val="both"/>
        <w:rPr>
          <w:szCs w:val="28"/>
        </w:rPr>
      </w:pPr>
      <w:r w:rsidRPr="00505EE8">
        <w:rPr>
          <w:szCs w:val="28"/>
        </w:rPr>
        <w:t>palielināt atjaunojamās enerģijas īpatsvaru enerģijas patēriņā līdz 20%;</w:t>
      </w:r>
    </w:p>
    <w:p w:rsidR="00B67D2D" w:rsidRPr="00505EE8" w:rsidRDefault="00B67D2D" w:rsidP="003F7582">
      <w:pPr>
        <w:numPr>
          <w:ilvl w:val="0"/>
          <w:numId w:val="21"/>
        </w:numPr>
        <w:jc w:val="both"/>
        <w:rPr>
          <w:szCs w:val="28"/>
        </w:rPr>
      </w:pPr>
      <w:r w:rsidRPr="00505EE8">
        <w:rPr>
          <w:szCs w:val="28"/>
        </w:rPr>
        <w:t>palielināt energoefektivitāti par 20%.</w:t>
      </w:r>
    </w:p>
    <w:p w:rsidR="00787022" w:rsidRDefault="00787022" w:rsidP="00B67D2D">
      <w:pPr>
        <w:ind w:firstLine="709"/>
        <w:jc w:val="both"/>
        <w:rPr>
          <w:szCs w:val="28"/>
        </w:rPr>
      </w:pPr>
    </w:p>
    <w:p w:rsidR="00B67D2D" w:rsidRPr="00505EE8" w:rsidRDefault="00787022" w:rsidP="008048CE">
      <w:pPr>
        <w:jc w:val="both"/>
        <w:rPr>
          <w:szCs w:val="28"/>
        </w:rPr>
      </w:pPr>
      <w:r>
        <w:rPr>
          <w:szCs w:val="28"/>
        </w:rPr>
        <w:tab/>
      </w:r>
      <w:r w:rsidR="00B67D2D" w:rsidRPr="00505EE8">
        <w:rPr>
          <w:szCs w:val="28"/>
        </w:rPr>
        <w:t xml:space="preserve">Savukārt iekšējā enerģijas tirgus izveidei </w:t>
      </w:r>
      <w:r w:rsidR="00D80F1A" w:rsidRPr="00505EE8">
        <w:rPr>
          <w:szCs w:val="28"/>
        </w:rPr>
        <w:t xml:space="preserve">Eiropadome </w:t>
      </w:r>
      <w:r w:rsidR="00B67D2D" w:rsidRPr="00505EE8">
        <w:rPr>
          <w:szCs w:val="28"/>
        </w:rPr>
        <w:t>2011.gada 4.martā</w:t>
      </w:r>
      <w:r>
        <w:rPr>
          <w:szCs w:val="28"/>
        </w:rPr>
        <w:t xml:space="preserve"> </w:t>
      </w:r>
      <w:r w:rsidR="00223862">
        <w:rPr>
          <w:szCs w:val="28"/>
        </w:rPr>
        <w:t>izvirzīja</w:t>
      </w:r>
      <w:r w:rsidR="00223862" w:rsidRPr="00505EE8">
        <w:rPr>
          <w:szCs w:val="28"/>
        </w:rPr>
        <w:t xml:space="preserve"> </w:t>
      </w:r>
      <w:r w:rsidR="00B67D2D" w:rsidRPr="00505EE8">
        <w:rPr>
          <w:szCs w:val="28"/>
        </w:rPr>
        <w:t xml:space="preserve">divus cieši saistītus mērķus: </w:t>
      </w:r>
    </w:p>
    <w:p w:rsidR="00B67D2D" w:rsidRDefault="00F71F3D" w:rsidP="003F7582">
      <w:pPr>
        <w:numPr>
          <w:ilvl w:val="0"/>
          <w:numId w:val="21"/>
        </w:numPr>
        <w:jc w:val="both"/>
        <w:rPr>
          <w:szCs w:val="28"/>
        </w:rPr>
      </w:pPr>
      <w:r>
        <w:rPr>
          <w:szCs w:val="28"/>
        </w:rPr>
        <w:t>p</w:t>
      </w:r>
      <w:r w:rsidRPr="00505EE8">
        <w:rPr>
          <w:szCs w:val="28"/>
        </w:rPr>
        <w:t xml:space="preserve">abeigt </w:t>
      </w:r>
      <w:r w:rsidR="00B67D2D" w:rsidRPr="00505EE8">
        <w:rPr>
          <w:szCs w:val="28"/>
        </w:rPr>
        <w:t>iekšējo enerģijas tirgu izveidi līdz 2014.gadam;</w:t>
      </w:r>
    </w:p>
    <w:p w:rsidR="000B3844" w:rsidRDefault="00F71F3D" w:rsidP="000A44AA">
      <w:pPr>
        <w:ind w:left="709"/>
        <w:jc w:val="both"/>
        <w:rPr>
          <w:szCs w:val="28"/>
        </w:rPr>
      </w:pPr>
      <w:r w:rsidRPr="000A44AA">
        <w:rPr>
          <w:szCs w:val="28"/>
        </w:rPr>
        <w:t>nodrošināt</w:t>
      </w:r>
      <w:r w:rsidR="00B67D2D" w:rsidRPr="000A44AA">
        <w:rPr>
          <w:szCs w:val="28"/>
        </w:rPr>
        <w:t xml:space="preserve">, ka pēc 2015.gada neviena </w:t>
      </w:r>
      <w:r w:rsidR="00223862" w:rsidRPr="000A44AA">
        <w:rPr>
          <w:szCs w:val="28"/>
        </w:rPr>
        <w:t>ES</w:t>
      </w:r>
      <w:r w:rsidR="00B67D2D" w:rsidRPr="000A44AA">
        <w:rPr>
          <w:szCs w:val="28"/>
        </w:rPr>
        <w:t xml:space="preserve"> dalībvalsts nav izolēta no</w:t>
      </w:r>
      <w:r w:rsidR="000A44AA">
        <w:rPr>
          <w:szCs w:val="28"/>
        </w:rPr>
        <w:t xml:space="preserve"> </w:t>
      </w:r>
      <w:r w:rsidR="00B67D2D" w:rsidRPr="000A44AA">
        <w:rPr>
          <w:szCs w:val="28"/>
        </w:rPr>
        <w:t xml:space="preserve">Eiropas gāzes un elektroenerģijas tīkliem. </w:t>
      </w:r>
    </w:p>
    <w:p w:rsidR="000A44AA" w:rsidRPr="006E7EC4" w:rsidRDefault="000A44AA" w:rsidP="00A753F0">
      <w:pPr>
        <w:pStyle w:val="Heading2"/>
        <w:numPr>
          <w:ilvl w:val="1"/>
          <w:numId w:val="2"/>
        </w:numPr>
        <w:spacing w:line="240" w:lineRule="auto"/>
        <w:ind w:left="1854"/>
      </w:pPr>
      <w:bookmarkStart w:id="4" w:name="_Toc401644309"/>
      <w:bookmarkStart w:id="5" w:name="_Toc398574149"/>
      <w:r w:rsidRPr="006E7EC4">
        <w:t>ES klimata un enerģētikas politikas satvars laika posmam no 2020. – 2030.gadam</w:t>
      </w:r>
      <w:bookmarkEnd w:id="4"/>
    </w:p>
    <w:p w:rsidR="000A44AA" w:rsidRDefault="000A44AA" w:rsidP="000A44AA">
      <w:pPr>
        <w:ind w:firstLine="709"/>
        <w:jc w:val="both"/>
        <w:rPr>
          <w:szCs w:val="28"/>
        </w:rPr>
      </w:pPr>
      <w:r>
        <w:rPr>
          <w:szCs w:val="28"/>
        </w:rPr>
        <w:t>Lai 2050.gadā ES sasniegtu ceļakartē</w:t>
      </w:r>
      <w:r>
        <w:rPr>
          <w:rStyle w:val="FootnoteReference"/>
        </w:rPr>
        <w:footnoteReference w:id="1"/>
      </w:r>
      <w:r>
        <w:rPr>
          <w:szCs w:val="28"/>
        </w:rPr>
        <w:t xml:space="preserve"> pārejai uz konkurētspējīgu zema oglekļa ekonomiku noteikto mērķi -</w:t>
      </w:r>
      <w:r w:rsidRPr="00505EE8">
        <w:rPr>
          <w:szCs w:val="28"/>
        </w:rPr>
        <w:t xml:space="preserve"> samazināt SEG emisijas par 80-95% un dotu skaidrību investoriem par </w:t>
      </w:r>
      <w:r>
        <w:rPr>
          <w:szCs w:val="28"/>
        </w:rPr>
        <w:t>abu politiku</w:t>
      </w:r>
      <w:r w:rsidRPr="00505EE8">
        <w:rPr>
          <w:szCs w:val="28"/>
        </w:rPr>
        <w:t xml:space="preserve"> attīstību pēc 2020.gada</w:t>
      </w:r>
      <w:r>
        <w:rPr>
          <w:szCs w:val="28"/>
        </w:rPr>
        <w:t>, EK ir nākusi klajā ar konkrētiem priekšlikumiem</w:t>
      </w:r>
      <w:r>
        <w:rPr>
          <w:rStyle w:val="FootnoteReference"/>
        </w:rPr>
        <w:footnoteReference w:id="2"/>
      </w:r>
      <w:r>
        <w:rPr>
          <w:rStyle w:val="FootnoteReference"/>
        </w:rPr>
        <w:footnoteReference w:id="3"/>
      </w:r>
      <w:r>
        <w:rPr>
          <w:szCs w:val="28"/>
        </w:rPr>
        <w:t xml:space="preserve"> attiecībā uz klimata un enerģētikas politikas mērķiem pēc 2020.gada</w:t>
      </w:r>
      <w:r w:rsidRPr="00505EE8">
        <w:rPr>
          <w:szCs w:val="28"/>
        </w:rPr>
        <w:t>.</w:t>
      </w:r>
      <w:r w:rsidR="001E5177" w:rsidRPr="001E5177">
        <w:t xml:space="preserve"> </w:t>
      </w:r>
      <w:r w:rsidR="001E5177">
        <w:t>Š</w:t>
      </w:r>
      <w:r w:rsidR="001E5177" w:rsidRPr="001E5177">
        <w:rPr>
          <w:szCs w:val="28"/>
        </w:rPr>
        <w:t>i</w:t>
      </w:r>
      <w:r w:rsidR="001E5177">
        <w:rPr>
          <w:szCs w:val="28"/>
        </w:rPr>
        <w:t>e</w:t>
      </w:r>
      <w:r w:rsidR="001E5177" w:rsidRPr="001E5177">
        <w:rPr>
          <w:szCs w:val="28"/>
        </w:rPr>
        <w:t>m lēmum</w:t>
      </w:r>
      <w:r w:rsidR="001E5177">
        <w:rPr>
          <w:szCs w:val="28"/>
        </w:rPr>
        <w:t xml:space="preserve">iem </w:t>
      </w:r>
      <w:r w:rsidR="001E5177" w:rsidRPr="001E5177">
        <w:rPr>
          <w:szCs w:val="28"/>
        </w:rPr>
        <w:t>būs ilgtermiņa ietekme uz Latvijas tautsaimniecības konkurētspēju un enerģētikas politikas attīstības tendencēm.</w:t>
      </w:r>
    </w:p>
    <w:p w:rsidR="000A44AA" w:rsidRPr="00F512EC" w:rsidRDefault="00F512EC" w:rsidP="000A44AA">
      <w:pPr>
        <w:pStyle w:val="ListParagraph"/>
        <w:numPr>
          <w:ilvl w:val="0"/>
          <w:numId w:val="63"/>
        </w:numPr>
        <w:suppressAutoHyphens/>
        <w:autoSpaceDN w:val="0"/>
        <w:spacing w:after="60"/>
        <w:ind w:left="397" w:firstLine="709"/>
        <w:contextualSpacing w:val="0"/>
        <w:jc w:val="both"/>
        <w:textAlignment w:val="baseline"/>
        <w:rPr>
          <w:color w:val="000000" w:themeColor="text1"/>
        </w:rPr>
      </w:pPr>
      <w:r w:rsidRPr="00CE0A61">
        <w:rPr>
          <w:b/>
          <w:color w:val="000000" w:themeColor="text1"/>
          <w:u w:val="single"/>
        </w:rPr>
        <w:t xml:space="preserve">Samazināt </w:t>
      </w:r>
      <w:r w:rsidR="000A44AA" w:rsidRPr="00CE0A61">
        <w:rPr>
          <w:b/>
          <w:color w:val="000000" w:themeColor="text1"/>
          <w:u w:val="single"/>
        </w:rPr>
        <w:t>ES dalībvalstu kopīg</w:t>
      </w:r>
      <w:r w:rsidRPr="00CE0A61">
        <w:rPr>
          <w:b/>
          <w:color w:val="000000" w:themeColor="text1"/>
          <w:u w:val="single"/>
        </w:rPr>
        <w:t xml:space="preserve">ās </w:t>
      </w:r>
      <w:r w:rsidR="000A44AA" w:rsidRPr="00CE0A61">
        <w:rPr>
          <w:b/>
          <w:color w:val="000000" w:themeColor="text1"/>
          <w:u w:val="single"/>
        </w:rPr>
        <w:t>SEG emisij</w:t>
      </w:r>
      <w:r w:rsidRPr="00CE0A61">
        <w:rPr>
          <w:b/>
          <w:color w:val="000000" w:themeColor="text1"/>
          <w:u w:val="single"/>
        </w:rPr>
        <w:t xml:space="preserve">as </w:t>
      </w:r>
      <w:r w:rsidR="000A44AA" w:rsidRPr="00CE0A61">
        <w:rPr>
          <w:b/>
          <w:color w:val="000000" w:themeColor="text1"/>
          <w:u w:val="single"/>
        </w:rPr>
        <w:t>2030.gadā</w:t>
      </w:r>
      <w:r w:rsidRPr="00CE0A61">
        <w:rPr>
          <w:b/>
          <w:color w:val="000000" w:themeColor="text1"/>
          <w:u w:val="single"/>
        </w:rPr>
        <w:t xml:space="preserve"> par </w:t>
      </w:r>
      <w:r w:rsidR="000A44AA" w:rsidRPr="00CE0A61">
        <w:rPr>
          <w:b/>
          <w:color w:val="000000" w:themeColor="text1"/>
          <w:u w:val="single"/>
        </w:rPr>
        <w:t xml:space="preserve"> 40% salīdzinot ar 1990.gad</w:t>
      </w:r>
      <w:r w:rsidRPr="00CE0A61">
        <w:rPr>
          <w:b/>
          <w:color w:val="000000" w:themeColor="text1"/>
          <w:u w:val="single"/>
        </w:rPr>
        <w:t xml:space="preserve">u. </w:t>
      </w:r>
      <w:r w:rsidR="000A44AA" w:rsidRPr="00F512EC">
        <w:rPr>
          <w:color w:val="000000" w:themeColor="text1"/>
        </w:rPr>
        <w:t xml:space="preserve">Tiek ierosināts, ka SEG emisiju </w:t>
      </w:r>
      <w:r w:rsidR="000A44AA" w:rsidRPr="00F512EC">
        <w:rPr>
          <w:color w:val="000000" w:themeColor="text1"/>
        </w:rPr>
        <w:lastRenderedPageBreak/>
        <w:t>samazinājuma apjoms tiks pārdalīts ES Emisijas kvotu tirdzniecības sistēmā (turpmāk – ETS) iekļautajām darbībām un to emisijām, un pārējām ETS neiekļautajām darbībām (turpmāk – ne-ETS darbības) un to emisijām</w:t>
      </w:r>
      <w:r w:rsidR="000A44AA" w:rsidRPr="00B76A65">
        <w:rPr>
          <w:rStyle w:val="FootnoteReference"/>
          <w:color w:val="000000" w:themeColor="text1"/>
        </w:rPr>
        <w:footnoteReference w:id="4"/>
      </w:r>
      <w:r w:rsidR="000A44AA" w:rsidRPr="00F512EC">
        <w:rPr>
          <w:color w:val="000000" w:themeColor="text1"/>
        </w:rPr>
        <w:t xml:space="preserve">. </w:t>
      </w:r>
    </w:p>
    <w:p w:rsidR="000A44AA" w:rsidRDefault="000A44AA" w:rsidP="000A44AA">
      <w:pPr>
        <w:spacing w:after="60"/>
        <w:ind w:firstLine="709"/>
        <w:jc w:val="both"/>
        <w:rPr>
          <w:color w:val="000000" w:themeColor="text1"/>
        </w:rPr>
      </w:pPr>
      <w:r w:rsidRPr="00B76A65">
        <w:rPr>
          <w:color w:val="000000" w:themeColor="text1"/>
        </w:rPr>
        <w:t xml:space="preserve">Saskaņā ar prognozēm pie esošajiem nosacījumiem 2030.gadā ir jānodrošina 43% ETS darbību SEG emisiju samazinājums, attiecībā pret 2005.gada ETS darbību SEG emisiju apjomu, bet ES dalībvalstu kopīgās ne-ETS darbību SEG emisijas ir jāsamazina 30% apjomā no 2005.gada kopējās ES dalībvalstu SEG emisiju apjoma. </w:t>
      </w:r>
    </w:p>
    <w:p w:rsidR="000A44AA" w:rsidRDefault="000A44AA" w:rsidP="000A44AA">
      <w:pPr>
        <w:spacing w:after="60"/>
        <w:ind w:firstLine="709"/>
        <w:jc w:val="both"/>
        <w:rPr>
          <w:color w:val="000000" w:themeColor="text1"/>
        </w:rPr>
      </w:pPr>
      <w:r w:rsidRPr="00B76A65">
        <w:rPr>
          <w:color w:val="000000" w:themeColor="text1"/>
        </w:rPr>
        <w:t>Līdzīgi kā 2013.</w:t>
      </w:r>
      <w:r>
        <w:rPr>
          <w:color w:val="000000" w:themeColor="text1"/>
        </w:rPr>
        <w:t xml:space="preserve"> </w:t>
      </w:r>
      <w:r w:rsidRPr="00B76A65">
        <w:rPr>
          <w:color w:val="000000" w:themeColor="text1"/>
        </w:rPr>
        <w:t>-</w:t>
      </w:r>
      <w:r>
        <w:rPr>
          <w:color w:val="000000" w:themeColor="text1"/>
        </w:rPr>
        <w:t xml:space="preserve"> </w:t>
      </w:r>
      <w:r w:rsidRPr="00B76A65">
        <w:rPr>
          <w:color w:val="000000" w:themeColor="text1"/>
        </w:rPr>
        <w:t xml:space="preserve">2020.gada periodā ETS mērķis būs kopīgs visām ES dalībvalstīm, bet ne-ETS darbību SEG emisiju mērķis tiks noteikts katrai dalībvalstij atsevišķi, pārdalot SEG emisiju samazināšanas saistības. </w:t>
      </w:r>
    </w:p>
    <w:p w:rsidR="001E5177" w:rsidRPr="001E5177" w:rsidRDefault="001E5177" w:rsidP="001E5177">
      <w:pPr>
        <w:spacing w:after="60"/>
        <w:ind w:firstLine="709"/>
        <w:jc w:val="both"/>
        <w:rPr>
          <w:color w:val="000000" w:themeColor="text1"/>
        </w:rPr>
      </w:pPr>
      <w:r>
        <w:rPr>
          <w:color w:val="000000" w:themeColor="text1"/>
        </w:rPr>
        <w:t xml:space="preserve">Pamatnostādņu izstrādes brīdī </w:t>
      </w:r>
      <w:r w:rsidRPr="001E5177">
        <w:rPr>
          <w:color w:val="000000" w:themeColor="text1"/>
        </w:rPr>
        <w:t xml:space="preserve">Latvijā </w:t>
      </w:r>
      <w:r>
        <w:rPr>
          <w:color w:val="000000" w:themeColor="text1"/>
        </w:rPr>
        <w:t xml:space="preserve">2014.gadā </w:t>
      </w:r>
      <w:r w:rsidRPr="001E5177">
        <w:rPr>
          <w:color w:val="000000" w:themeColor="text1"/>
        </w:rPr>
        <w:t xml:space="preserve">šobrīd mazāk kā 24% no emisijām tiek radītas ES ETS darbībās, līdz ar to tieši ne-ETS darbībās, kurās radīto SEG emisiju samazināšanas pasākumi ir jāveic pašām dalībvalstīm nevis uzņēmumiem, ir jāveic apjomīgākie un dārgākie SEG emisiju samazināšanas pasākumi. Jau šobrīd ES ETS Latvijas operatori ir veikuši liela apjoma energoefektivitātes un SEG emisiju samazināšanas pasākumus, piemēram, lielāko koģenerācijas iekārtu rekonstrukcija, katlu māju nomaiņa uz jaunām koģenerācijas iekārtām, rūpnieciskās ražošanas iekārtu modernizācija, fosilā kurināmā nomaiņa uz biomasu, klinkera ražošanas tehnoloģijas nomaiņa uz jaunu un efektīvu tehnoloģiju, martena krāšņu nomaiņa uz elektriskā loka krāsnīm dzelzs ražošanas uzņēmumā, kas vairumā gadījumu tiks ekspluatētas līdz 2030.gadam un ilgāk. </w:t>
      </w:r>
    </w:p>
    <w:p w:rsidR="001E5177" w:rsidRPr="001E5177" w:rsidRDefault="001E5177" w:rsidP="001E5177">
      <w:pPr>
        <w:spacing w:after="60"/>
        <w:ind w:firstLine="709"/>
        <w:jc w:val="both"/>
        <w:rPr>
          <w:color w:val="000000" w:themeColor="text1"/>
        </w:rPr>
      </w:pPr>
      <w:r w:rsidRPr="001E5177">
        <w:rPr>
          <w:color w:val="000000" w:themeColor="text1"/>
        </w:rPr>
        <w:t>Latvija jau šobrīd ir veikusi būtiskus energobilances uzlabojumus, pārejot no fosilā kurināmā izmantošanas (īpaši šķidrā kurināmā vai cietā kurināmā) uz biomasas izmantošanu, kā arī palielinot dabas gāzes izmantošanu, kā videi draudzīgāko fosilo kurināmo. Kopš 1990.gada kopējais kurināmā un degvielas izmantošanas apjoms ir samazinājies, kā arī īpaši strauji laika periodā no 1990.gada līdz 2012.gadam ir samazinājies fosilā kurināmā izmantojums – škidrie kurināmie par 60,32%, cietie kurināmie par 87,44% un dabasgāzes kurināmais par 49%. Savukārt biomasas izmantošanas apjoms ir palielinājies par 102,25% no 1990.gada līdz 2012.gadam. Latvija šobrīd ir 2.vietā ES 27 dalībvalstu vidū AER īpatsvarā gala enerģijas patēriņā.</w:t>
      </w:r>
    </w:p>
    <w:p w:rsidR="000A44AA" w:rsidRPr="00F512EC" w:rsidRDefault="00F512EC" w:rsidP="000A44AA">
      <w:pPr>
        <w:pStyle w:val="ListParagraph"/>
        <w:numPr>
          <w:ilvl w:val="0"/>
          <w:numId w:val="63"/>
        </w:numPr>
        <w:suppressAutoHyphens/>
        <w:autoSpaceDN w:val="0"/>
        <w:spacing w:after="60"/>
        <w:ind w:left="397" w:firstLine="709"/>
        <w:contextualSpacing w:val="0"/>
        <w:jc w:val="both"/>
        <w:textAlignment w:val="baseline"/>
        <w:rPr>
          <w:color w:val="000000" w:themeColor="text1"/>
        </w:rPr>
      </w:pPr>
      <w:r>
        <w:rPr>
          <w:b/>
          <w:color w:val="000000" w:themeColor="text1"/>
          <w:u w:val="single"/>
        </w:rPr>
        <w:t xml:space="preserve">Noteikt obligātu mērķi ES līmenī </w:t>
      </w:r>
      <w:r w:rsidR="008817FF" w:rsidRPr="00F512EC">
        <w:rPr>
          <w:b/>
          <w:color w:val="000000" w:themeColor="text1"/>
        </w:rPr>
        <w:t xml:space="preserve">atjaunojamās enerģijas </w:t>
      </w:r>
      <w:r w:rsidR="000A44AA" w:rsidRPr="00F512EC">
        <w:rPr>
          <w:b/>
          <w:color w:val="000000" w:themeColor="text1"/>
        </w:rPr>
        <w:t>īpatsvar</w:t>
      </w:r>
      <w:r>
        <w:rPr>
          <w:b/>
          <w:color w:val="000000" w:themeColor="text1"/>
        </w:rPr>
        <w:t xml:space="preserve">am </w:t>
      </w:r>
      <w:r w:rsidR="000A44AA" w:rsidRPr="00F512EC">
        <w:rPr>
          <w:b/>
          <w:color w:val="000000" w:themeColor="text1"/>
        </w:rPr>
        <w:t>kopējā patērētajā enerģijā ne mazāk kā 27%</w:t>
      </w:r>
      <w:r w:rsidR="00463584">
        <w:rPr>
          <w:b/>
          <w:color w:val="000000" w:themeColor="text1"/>
        </w:rPr>
        <w:t>,</w:t>
      </w:r>
      <w:r w:rsidRPr="00F512EC">
        <w:rPr>
          <w:b/>
          <w:color w:val="000000" w:themeColor="text1"/>
        </w:rPr>
        <w:t xml:space="preserve"> dodot </w:t>
      </w:r>
      <w:r w:rsidR="000A44AA" w:rsidRPr="00F512EC">
        <w:rPr>
          <w:b/>
          <w:color w:val="000000" w:themeColor="text1"/>
        </w:rPr>
        <w:t>dalībvalstīm tiesības pašām noteikt nacionāla līmeņa mērķus</w:t>
      </w:r>
      <w:r w:rsidRPr="00F512EC">
        <w:rPr>
          <w:color w:val="000000" w:themeColor="text1"/>
        </w:rPr>
        <w:t xml:space="preserve">. </w:t>
      </w:r>
      <w:r w:rsidR="000A44AA" w:rsidRPr="00F512EC">
        <w:rPr>
          <w:color w:val="000000" w:themeColor="text1"/>
        </w:rPr>
        <w:t xml:space="preserve">EK uzskata, ka tādējādi tiks nodrošināta </w:t>
      </w:r>
      <w:r w:rsidR="005055ED" w:rsidRPr="00F512EC">
        <w:rPr>
          <w:color w:val="000000" w:themeColor="text1"/>
        </w:rPr>
        <w:t>dalībvalstīm</w:t>
      </w:r>
      <w:r w:rsidR="000A44AA" w:rsidRPr="00F512EC">
        <w:rPr>
          <w:color w:val="000000" w:themeColor="text1"/>
        </w:rPr>
        <w:t xml:space="preserve"> lielāka elastība saskaņā ar </w:t>
      </w:r>
      <w:r w:rsidR="000A44AA" w:rsidRPr="00F512EC">
        <w:rPr>
          <w:color w:val="000000" w:themeColor="text1"/>
        </w:rPr>
        <w:lastRenderedPageBreak/>
        <w:t xml:space="preserve">to īpašajiem nacionālajiem apstākļiem, enerģijas avotu struktūru un AE attīstības potenciālu. </w:t>
      </w:r>
    </w:p>
    <w:p w:rsidR="000A44AA" w:rsidRPr="00F512EC" w:rsidRDefault="000A44AA" w:rsidP="00F512EC">
      <w:pPr>
        <w:pStyle w:val="ListParagraph"/>
        <w:numPr>
          <w:ilvl w:val="0"/>
          <w:numId w:val="63"/>
        </w:numPr>
        <w:spacing w:after="60"/>
        <w:jc w:val="both"/>
        <w:rPr>
          <w:b/>
          <w:color w:val="000000" w:themeColor="text1"/>
        </w:rPr>
      </w:pPr>
      <w:r w:rsidRPr="00F512EC">
        <w:rPr>
          <w:b/>
          <w:color w:val="000000" w:themeColor="text1"/>
        </w:rPr>
        <w:t xml:space="preserve">Lai sasniegtu 40% SEG emisiju samazināšanas mērķi, </w:t>
      </w:r>
      <w:r w:rsidR="00F512EC" w:rsidRPr="00F512EC">
        <w:rPr>
          <w:b/>
          <w:color w:val="000000" w:themeColor="text1"/>
        </w:rPr>
        <w:t xml:space="preserve">noteikt nesaistošu </w:t>
      </w:r>
      <w:r w:rsidR="008817FF" w:rsidRPr="00F512EC">
        <w:rPr>
          <w:b/>
          <w:color w:val="000000" w:themeColor="text1"/>
        </w:rPr>
        <w:t xml:space="preserve">energoefektivitātes </w:t>
      </w:r>
      <w:r w:rsidRPr="00F512EC">
        <w:rPr>
          <w:b/>
          <w:color w:val="000000" w:themeColor="text1"/>
        </w:rPr>
        <w:t>paaugstināšanas mērķi ES līmenī</w:t>
      </w:r>
      <w:r w:rsidR="00F512EC" w:rsidRPr="00F512EC">
        <w:rPr>
          <w:b/>
          <w:color w:val="000000" w:themeColor="text1"/>
        </w:rPr>
        <w:t xml:space="preserve"> – 30%. </w:t>
      </w:r>
    </w:p>
    <w:p w:rsidR="000A44AA" w:rsidRPr="001E5177" w:rsidRDefault="000A44AA" w:rsidP="000A44AA">
      <w:pPr>
        <w:ind w:firstLine="709"/>
        <w:jc w:val="both"/>
        <w:rPr>
          <w:i/>
          <w:szCs w:val="28"/>
        </w:rPr>
      </w:pPr>
      <w:r w:rsidRPr="001E5177">
        <w:rPr>
          <w:i/>
          <w:szCs w:val="28"/>
        </w:rPr>
        <w:t>Galīgā vienošanās starp ES dalībvalstīm par konkrētiem klimata un enerģētikas politiku mērķiem, kas jāsasniedz līdz 2030.gadam, ir paredzēta 2014.gada oktobrī notiekošajā Eiropadomē.</w:t>
      </w:r>
    </w:p>
    <w:p w:rsidR="000A44AA" w:rsidRPr="006033D0" w:rsidRDefault="009F6F0C" w:rsidP="00FB7232">
      <w:pPr>
        <w:pStyle w:val="Heading2"/>
        <w:numPr>
          <w:ilvl w:val="1"/>
          <w:numId w:val="2"/>
        </w:numPr>
      </w:pPr>
      <w:bookmarkStart w:id="6" w:name="_Toc401644310"/>
      <w:r>
        <w:t xml:space="preserve">Eiropas </w:t>
      </w:r>
      <w:r w:rsidR="000A44AA">
        <w:t>Enerģētikas savienība</w:t>
      </w:r>
      <w:bookmarkEnd w:id="6"/>
    </w:p>
    <w:p w:rsidR="00D52A45" w:rsidRDefault="000B3844" w:rsidP="000B3844">
      <w:pPr>
        <w:ind w:firstLine="709"/>
        <w:jc w:val="both"/>
      </w:pPr>
      <w:r w:rsidRPr="00EE759E">
        <w:t>Eiropas Enerģētikas savienības izveid</w:t>
      </w:r>
      <w:r w:rsidR="005A0E45">
        <w:t xml:space="preserve">e ir viena no </w:t>
      </w:r>
      <w:r w:rsidR="00D52A45">
        <w:t xml:space="preserve">EK prezidenta, </w:t>
      </w:r>
      <w:r w:rsidR="005A0E45">
        <w:t>Žana Kloda Junkera</w:t>
      </w:r>
      <w:r w:rsidR="00D52A45">
        <w:t xml:space="preserve">, kas darbu uzsāk 2014.gada 1.novembrī, </w:t>
      </w:r>
      <w:r w:rsidR="005A0E45">
        <w:t>prioritātēm</w:t>
      </w:r>
      <w:r w:rsidR="00D52A45">
        <w:t xml:space="preserve">. Tā ir </w:t>
      </w:r>
      <w:r w:rsidRPr="00EE759E">
        <w:t>saistīta ar enerģētikas politikas reformēšanu ES, uzsvaru liekot uz enerģētikas politikas pārvaldību. Reformēšanas būtība</w:t>
      </w:r>
      <w:r w:rsidR="00D52A45">
        <w:t>s</w:t>
      </w:r>
      <w:r w:rsidRPr="00EE759E">
        <w:t xml:space="preserve"> mērķis ir</w:t>
      </w:r>
      <w:r w:rsidR="009F6F0C">
        <w:t>:</w:t>
      </w:r>
      <w:r w:rsidRPr="00EE759E">
        <w:t xml:space="preserve"> </w:t>
      </w:r>
    </w:p>
    <w:p w:rsidR="009F6F0C" w:rsidRDefault="00D52A45" w:rsidP="00D52A45">
      <w:pPr>
        <w:pStyle w:val="ListParagraph"/>
        <w:numPr>
          <w:ilvl w:val="0"/>
          <w:numId w:val="63"/>
        </w:numPr>
        <w:jc w:val="both"/>
      </w:pPr>
      <w:r>
        <w:t xml:space="preserve">Solidaritāte un uzticība, kuras ietvaros dalībvalstīm būtu kopējas plānošanas procedūras, lai kopīgi </w:t>
      </w:r>
      <w:r w:rsidR="009F6F0C">
        <w:t xml:space="preserve">nepieļautu krīzi, </w:t>
      </w:r>
    </w:p>
    <w:p w:rsidR="009F6F0C" w:rsidRDefault="009F6F0C" w:rsidP="00D52A45">
      <w:pPr>
        <w:pStyle w:val="ListParagraph"/>
        <w:numPr>
          <w:ilvl w:val="0"/>
          <w:numId w:val="63"/>
        </w:numPr>
        <w:jc w:val="both"/>
      </w:pPr>
      <w:r>
        <w:t xml:space="preserve">Reāla koordinācija starp dalībvalstīm izstrādājot nacionālo enerģētikas politiku, </w:t>
      </w:r>
    </w:p>
    <w:p w:rsidR="009F6F0C" w:rsidRDefault="009F6F0C" w:rsidP="00D52A45">
      <w:pPr>
        <w:pStyle w:val="ListParagraph"/>
        <w:numPr>
          <w:ilvl w:val="0"/>
          <w:numId w:val="63"/>
        </w:numPr>
        <w:jc w:val="both"/>
      </w:pPr>
      <w:r>
        <w:t>Kopīgas investīcijas, kas paredzētu, ka dalībvalstīm aizvien vairāk jākoordinē investīciju programmas un nosacījumi,</w:t>
      </w:r>
    </w:p>
    <w:p w:rsidR="009F6F0C" w:rsidRPr="009F6F0C" w:rsidRDefault="00D52A45" w:rsidP="009F6F0C">
      <w:pPr>
        <w:pStyle w:val="ListParagraph"/>
        <w:numPr>
          <w:ilvl w:val="0"/>
          <w:numId w:val="63"/>
        </w:numPr>
        <w:jc w:val="both"/>
      </w:pPr>
      <w:r>
        <w:t>funkcionājoša ES tirgus iekšējā tirgus izveidošana</w:t>
      </w:r>
      <w:r w:rsidR="009F6F0C">
        <w:t xml:space="preserve"> paredzot, ka dalībvalstis aizvien mazāk sargās nacionālos tirgus vai pieņems lēmumus konkrētu kompāniju labā, </w:t>
      </w:r>
    </w:p>
    <w:p w:rsidR="009F6F0C" w:rsidRPr="009F6F0C" w:rsidRDefault="009F6F0C" w:rsidP="009F6F0C">
      <w:pPr>
        <w:pStyle w:val="ListParagraph"/>
        <w:numPr>
          <w:ilvl w:val="0"/>
          <w:numId w:val="63"/>
        </w:numPr>
        <w:jc w:val="both"/>
      </w:pPr>
      <w:r>
        <w:t xml:space="preserve">uzlabotas </w:t>
      </w:r>
      <w:r w:rsidR="000B3844" w:rsidRPr="00EE759E">
        <w:t>ES dalībval</w:t>
      </w:r>
      <w:r>
        <w:t>s</w:t>
      </w:r>
      <w:r w:rsidR="000B3844" w:rsidRPr="00EE759E">
        <w:t>tu spējas vest sarunas ar trešajām valstīm konsolidēšana</w:t>
      </w:r>
      <w:r>
        <w:t xml:space="preserve">, runāt vienā balsī. </w:t>
      </w:r>
    </w:p>
    <w:p w:rsidR="006B435B" w:rsidRPr="009F6F0C" w:rsidRDefault="009F6F0C" w:rsidP="009F6F0C">
      <w:pPr>
        <w:ind w:firstLine="709"/>
        <w:jc w:val="both"/>
      </w:pPr>
      <w:r>
        <w:t xml:space="preserve">Enerģijas savienība </w:t>
      </w:r>
      <w:r w:rsidR="000B3844" w:rsidRPr="00EE759E">
        <w:t>ir vērsta uz enerģijas avotu dažādošanu, ES dalībvalstu enerģētiskās atkarības mazināšanu, ES spēju nepieciešamības gadījumā mainīt energoresursu plūsmu virzienu, kā arī atjaunojamo energoresursu stiprināšanu kontinentā.</w:t>
      </w:r>
      <w:bookmarkEnd w:id="5"/>
    </w:p>
    <w:p w:rsidR="00AC4304" w:rsidRPr="004C07FB" w:rsidRDefault="004C07FB" w:rsidP="004C07FB">
      <w:pPr>
        <w:pStyle w:val="Heading2"/>
        <w:numPr>
          <w:ilvl w:val="1"/>
          <w:numId w:val="2"/>
        </w:numPr>
        <w:spacing w:after="120"/>
        <w:rPr>
          <w:szCs w:val="28"/>
        </w:rPr>
      </w:pPr>
      <w:bookmarkStart w:id="7" w:name="_Toc401644311"/>
      <w:r w:rsidRPr="004C07FB">
        <w:t>Latvijas enerģētikas politikas mērķi</w:t>
      </w:r>
      <w:bookmarkEnd w:id="7"/>
      <w:r w:rsidRPr="004C07FB">
        <w:rPr>
          <w:szCs w:val="28"/>
        </w:rPr>
        <w:t xml:space="preserve"> </w:t>
      </w:r>
    </w:p>
    <w:p w:rsidR="009B3223" w:rsidRPr="009B3223" w:rsidRDefault="009B3223" w:rsidP="009B3223">
      <w:pPr>
        <w:widowControl w:val="0"/>
        <w:suppressAutoHyphens/>
        <w:ind w:firstLine="709"/>
        <w:jc w:val="both"/>
        <w:rPr>
          <w:rFonts w:eastAsia="Times New Roman" w:cs="Times New Roman"/>
          <w:szCs w:val="28"/>
        </w:rPr>
      </w:pPr>
      <w:r w:rsidRPr="009B3223">
        <w:rPr>
          <w:rFonts w:eastAsia="Times New Roman" w:cs="Times New Roman"/>
          <w:b/>
          <w:szCs w:val="28"/>
          <w:u w:val="single"/>
        </w:rPr>
        <w:t>Latvijas enerģētikas politikas galvenais mērķis ir konkurētspējīga ekonomika</w:t>
      </w:r>
      <w:r w:rsidR="00061973">
        <w:rPr>
          <w:rFonts w:eastAsia="Times New Roman" w:cs="Times New Roman"/>
          <w:b/>
          <w:szCs w:val="28"/>
          <w:u w:val="single"/>
        </w:rPr>
        <w:t xml:space="preserve"> </w:t>
      </w:r>
      <w:r w:rsidR="00061973">
        <w:rPr>
          <w:rFonts w:eastAsia="Times New Roman" w:cs="Times New Roman"/>
          <w:szCs w:val="28"/>
        </w:rPr>
        <w:t xml:space="preserve">ar </w:t>
      </w:r>
      <w:r w:rsidRPr="009B3223">
        <w:rPr>
          <w:rFonts w:eastAsia="Times New Roman" w:cs="Times New Roman"/>
          <w:szCs w:val="28"/>
        </w:rPr>
        <w:t>divi</w:t>
      </w:r>
      <w:r w:rsidR="00061973">
        <w:rPr>
          <w:rFonts w:eastAsia="Times New Roman" w:cs="Times New Roman"/>
          <w:szCs w:val="28"/>
        </w:rPr>
        <w:t>em</w:t>
      </w:r>
      <w:r w:rsidRPr="009B3223">
        <w:rPr>
          <w:rFonts w:eastAsia="Times New Roman" w:cs="Times New Roman"/>
          <w:szCs w:val="28"/>
        </w:rPr>
        <w:t xml:space="preserve"> enerģētikas politikas apakšmērķi</w:t>
      </w:r>
      <w:r w:rsidR="00061973">
        <w:rPr>
          <w:rFonts w:eastAsia="Times New Roman" w:cs="Times New Roman"/>
          <w:szCs w:val="28"/>
        </w:rPr>
        <w:t>em</w:t>
      </w:r>
      <w:r w:rsidRPr="009B3223">
        <w:rPr>
          <w:rFonts w:eastAsia="Times New Roman" w:cs="Times New Roman"/>
          <w:szCs w:val="28"/>
        </w:rPr>
        <w:t>:</w:t>
      </w:r>
    </w:p>
    <w:p w:rsidR="005A784B" w:rsidRDefault="009B3223" w:rsidP="00061973">
      <w:pPr>
        <w:pStyle w:val="ListParagraph"/>
        <w:numPr>
          <w:ilvl w:val="0"/>
          <w:numId w:val="5"/>
        </w:numPr>
        <w:jc w:val="both"/>
      </w:pPr>
      <w:r w:rsidRPr="009B3223">
        <w:rPr>
          <w:rFonts w:eastAsia="Times New Roman" w:cs="Times New Roman"/>
          <w:b/>
          <w:szCs w:val="28"/>
          <w:u w:val="single"/>
        </w:rPr>
        <w:t xml:space="preserve">ilgtspējīga enerģētika, </w:t>
      </w:r>
      <w:r w:rsidRPr="009B3223">
        <w:rPr>
          <w:rFonts w:eastAsia="Times New Roman" w:cs="Times New Roman"/>
          <w:szCs w:val="28"/>
        </w:rPr>
        <w:t xml:space="preserve">kas nodrošina enerģētikas ilgtspēju gan ekonomiskā, gan sociālā, gan vides izpratnē. To plānots panākt, uzlabojot energoefektivitāti un veicinot </w:t>
      </w:r>
      <w:r w:rsidR="004B1750">
        <w:rPr>
          <w:rFonts w:eastAsia="Times New Roman" w:cs="Times New Roman"/>
          <w:szCs w:val="28"/>
        </w:rPr>
        <w:t xml:space="preserve">augsti </w:t>
      </w:r>
      <w:r w:rsidRPr="009B3223">
        <w:rPr>
          <w:rFonts w:eastAsia="Times New Roman" w:cs="Times New Roman"/>
          <w:szCs w:val="28"/>
        </w:rPr>
        <w:t>efektīv</w:t>
      </w:r>
      <w:r w:rsidR="004B1750">
        <w:rPr>
          <w:rFonts w:eastAsia="Times New Roman" w:cs="Times New Roman"/>
          <w:szCs w:val="28"/>
        </w:rPr>
        <w:t xml:space="preserve">u ražošanas tehnoloģiju un </w:t>
      </w:r>
      <w:r w:rsidRPr="009B3223">
        <w:rPr>
          <w:rFonts w:eastAsia="Times New Roman" w:cs="Times New Roman"/>
          <w:szCs w:val="28"/>
        </w:rPr>
        <w:t xml:space="preserve">AER izmantošanas tehnoloģijas. </w:t>
      </w:r>
    </w:p>
    <w:p w:rsidR="009B3223" w:rsidRDefault="009B3223" w:rsidP="003F7582">
      <w:pPr>
        <w:pStyle w:val="ListParagraph"/>
        <w:widowControl w:val="0"/>
        <w:numPr>
          <w:ilvl w:val="0"/>
          <w:numId w:val="5"/>
        </w:numPr>
        <w:suppressAutoHyphens/>
        <w:spacing w:before="60" w:after="60"/>
        <w:jc w:val="both"/>
        <w:rPr>
          <w:rFonts w:eastAsia="Times New Roman" w:cs="Times New Roman"/>
          <w:szCs w:val="28"/>
        </w:rPr>
      </w:pPr>
      <w:r w:rsidRPr="009B3223">
        <w:rPr>
          <w:rFonts w:eastAsia="Times New Roman" w:cs="Times New Roman"/>
          <w:b/>
          <w:szCs w:val="28"/>
          <w:u w:val="single"/>
        </w:rPr>
        <w:t>energoapgādes drošības paaugstināšana</w:t>
      </w:r>
      <w:r w:rsidRPr="009B3223">
        <w:rPr>
          <w:rFonts w:eastAsia="Times New Roman" w:cs="Times New Roman"/>
          <w:b/>
          <w:szCs w:val="28"/>
        </w:rPr>
        <w:t>,</w:t>
      </w:r>
      <w:r w:rsidRPr="009B3223">
        <w:rPr>
          <w:rFonts w:eastAsia="Times New Roman" w:cs="Times New Roman"/>
          <w:szCs w:val="28"/>
        </w:rPr>
        <w:t xml:space="preserve"> kas paredz enerģijas lietotājiem pieejamas, stabilas enerģijas piegādes, mazinot </w:t>
      </w:r>
      <w:r w:rsidRPr="009B3223">
        <w:rPr>
          <w:rFonts w:eastAsia="Times New Roman" w:cs="Times New Roman"/>
          <w:szCs w:val="28"/>
        </w:rPr>
        <w:lastRenderedPageBreak/>
        <w:t xml:space="preserve">ģeopolitiskos riskus, dažādojot enerģijas resursu piegāžu avotus un ceļus, attīstot starpsavienojumu infrastruktūru, veidojot rezerves un iesaistoties starptautiskā regulējuma pilnveidošanā. </w:t>
      </w:r>
      <w:r w:rsidR="00061973">
        <w:rPr>
          <w:rFonts w:eastAsia="Times New Roman" w:cs="Times New Roman"/>
          <w:szCs w:val="28"/>
        </w:rPr>
        <w:t>D</w:t>
      </w:r>
      <w:r w:rsidRPr="009B3223">
        <w:rPr>
          <w:rFonts w:eastAsia="Times New Roman" w:cs="Times New Roman"/>
          <w:szCs w:val="28"/>
        </w:rPr>
        <w:t>okumentā „Latvijas Ilgtspējīgas attīstības stratēģija līdz 2030.gadam” (turpmāk – Latvija 2030) kā galvenais mērķis enerģētikas sektorā ir noteikta  valsts enerģētiskās neatkarības nodrošināšana, palielinot energoresursu pašnodrošinājumu un integrējoties ES enerģijas tīklos. Lai ilgtermiņā samazinātu energoapgādes drošības izmaksas, nepieciešama reģionāla sadarbība projektu plānošanā un finansēšanā.</w:t>
      </w:r>
    </w:p>
    <w:p w:rsidR="0036140D" w:rsidRPr="0036140D" w:rsidRDefault="0036140D" w:rsidP="00A753F0">
      <w:pPr>
        <w:pStyle w:val="Heading2"/>
        <w:numPr>
          <w:ilvl w:val="1"/>
          <w:numId w:val="2"/>
        </w:numPr>
        <w:spacing w:after="120"/>
        <w:ind w:left="1429"/>
        <w:rPr>
          <w:rFonts w:eastAsia="Times New Roman"/>
        </w:rPr>
      </w:pPr>
      <w:bookmarkStart w:id="8" w:name="_Toc401644312"/>
      <w:r>
        <w:rPr>
          <w:rFonts w:eastAsia="Times New Roman"/>
        </w:rPr>
        <w:t>Sasniedzamie kvantitatīvie rādītāji</w:t>
      </w:r>
      <w:bookmarkEnd w:id="8"/>
      <w:r>
        <w:rPr>
          <w:rFonts w:eastAsia="Times New Roman"/>
        </w:rPr>
        <w:t xml:space="preserve"> </w:t>
      </w:r>
    </w:p>
    <w:p w:rsidR="0036140D" w:rsidRPr="007C51FC" w:rsidRDefault="0036140D" w:rsidP="0036140D">
      <w:pPr>
        <w:spacing w:before="120" w:after="120"/>
        <w:ind w:firstLine="720"/>
        <w:jc w:val="both"/>
        <w:rPr>
          <w:rFonts w:eastAsia="Calibri" w:cs="Times New Roman"/>
          <w:szCs w:val="28"/>
        </w:rPr>
      </w:pPr>
      <w:r w:rsidRPr="007C51FC">
        <w:rPr>
          <w:rFonts w:eastAsia="Calibri" w:cs="Times New Roman"/>
          <w:szCs w:val="28"/>
        </w:rPr>
        <w:t xml:space="preserve">Lai </w:t>
      </w:r>
      <w:r w:rsidR="00061973">
        <w:rPr>
          <w:rFonts w:eastAsia="Calibri" w:cs="Times New Roman"/>
          <w:szCs w:val="28"/>
        </w:rPr>
        <w:t xml:space="preserve">izvērtētu </w:t>
      </w:r>
      <w:r w:rsidRPr="007C51FC">
        <w:rPr>
          <w:rFonts w:eastAsia="Calibri" w:cs="Times New Roman"/>
          <w:szCs w:val="28"/>
        </w:rPr>
        <w:t xml:space="preserve">progresu mērķu sasniegšanā, </w:t>
      </w:r>
      <w:r w:rsidR="00061973">
        <w:rPr>
          <w:rFonts w:eastAsia="Calibri" w:cs="Times New Roman"/>
          <w:szCs w:val="28"/>
        </w:rPr>
        <w:t xml:space="preserve">ir </w:t>
      </w:r>
      <w:r w:rsidRPr="007C51FC">
        <w:rPr>
          <w:rFonts w:eastAsia="Calibri" w:cs="Times New Roman"/>
          <w:szCs w:val="28"/>
        </w:rPr>
        <w:t xml:space="preserve">noteikti </w:t>
      </w:r>
      <w:r w:rsidR="00061973">
        <w:rPr>
          <w:rFonts w:eastAsia="Calibri" w:cs="Times New Roman"/>
          <w:szCs w:val="28"/>
        </w:rPr>
        <w:t xml:space="preserve">sasniedzamie </w:t>
      </w:r>
      <w:r>
        <w:rPr>
          <w:rFonts w:eastAsia="Calibri" w:cs="Times New Roman"/>
          <w:szCs w:val="28"/>
        </w:rPr>
        <w:t xml:space="preserve">kvantitatīvie rādītāji. </w:t>
      </w:r>
      <w:r w:rsidRPr="007C51FC">
        <w:rPr>
          <w:rFonts w:eastAsia="Calibri" w:cs="Times New Roman"/>
          <w:szCs w:val="28"/>
        </w:rPr>
        <w:t xml:space="preserve">Tie ir gan ES līmenī, gan dalībvalstu līmenī, kā arī tie mēdz būt gan saistoši, gan indikatīvi. </w:t>
      </w:r>
    </w:p>
    <w:p w:rsidR="0036140D" w:rsidRDefault="00647314" w:rsidP="00ED22F0">
      <w:pPr>
        <w:spacing w:before="120" w:after="120"/>
        <w:ind w:firstLine="720"/>
        <w:jc w:val="both"/>
        <w:rPr>
          <w:rFonts w:eastAsia="Calibri" w:cs="Times New Roman"/>
          <w:szCs w:val="28"/>
        </w:rPr>
      </w:pPr>
      <w:r>
        <w:rPr>
          <w:rFonts w:eastAsia="Calibri" w:cs="Times New Roman"/>
          <w:szCs w:val="28"/>
        </w:rPr>
        <w:t xml:space="preserve">Saskaņā ar politikas dokumentu „Industriālās politikas pamatnostādnes 2014.-2020.gadam”, kas apstiprinātas ar 2013.gada 28.jūnija MK rīkojumus Nr. 282, </w:t>
      </w:r>
      <w:r w:rsidR="00061973">
        <w:rPr>
          <w:rFonts w:eastAsia="Calibri" w:cs="Times New Roman"/>
          <w:szCs w:val="28"/>
        </w:rPr>
        <w:t xml:space="preserve">Latvija nacionālajā līmenī is apņēmusies, ka </w:t>
      </w:r>
      <w:r w:rsidRPr="00647314">
        <w:rPr>
          <w:rFonts w:eastAsia="Calibri" w:cs="Times New Roman"/>
          <w:b/>
          <w:szCs w:val="28"/>
        </w:rPr>
        <w:t>a</w:t>
      </w:r>
      <w:r w:rsidR="0036140D" w:rsidRPr="00647314">
        <w:rPr>
          <w:rFonts w:eastAsia="Calibri" w:cs="Times New Roman"/>
          <w:b/>
          <w:szCs w:val="28"/>
        </w:rPr>
        <w:t xml:space="preserve">pstrādes rūpniecības daļa kopējā ekonomikā </w:t>
      </w:r>
      <w:r w:rsidRPr="00647314">
        <w:rPr>
          <w:rFonts w:eastAsia="Calibri" w:cs="Times New Roman"/>
          <w:b/>
          <w:szCs w:val="28"/>
        </w:rPr>
        <w:t xml:space="preserve">jāpalielina līdz </w:t>
      </w:r>
      <w:r w:rsidR="0036140D" w:rsidRPr="00647314">
        <w:rPr>
          <w:rFonts w:eastAsia="Calibri" w:cs="Times New Roman"/>
          <w:b/>
          <w:szCs w:val="28"/>
        </w:rPr>
        <w:t xml:space="preserve">20% līdz 2020.gadam. </w:t>
      </w:r>
      <w:r w:rsidR="0036140D" w:rsidRPr="00ED22F0">
        <w:rPr>
          <w:rFonts w:eastAsia="Calibri" w:cs="Times New Roman"/>
          <w:szCs w:val="28"/>
        </w:rPr>
        <w:t>Ņemot vērā apstrādes rūpniecības augsto energointensitāti, šī rādītāja sasniegšanu būtiski ietekmēs sekmīga enerģētikas politikas īstenošana</w:t>
      </w:r>
      <w:r>
        <w:rPr>
          <w:rFonts w:eastAsia="Calibri" w:cs="Times New Roman"/>
          <w:szCs w:val="28"/>
        </w:rPr>
        <w:t xml:space="preserve">. </w:t>
      </w:r>
    </w:p>
    <w:p w:rsidR="00061973" w:rsidRPr="00ED22F0" w:rsidRDefault="00061973" w:rsidP="00ED22F0">
      <w:pPr>
        <w:spacing w:before="120" w:after="120"/>
        <w:ind w:firstLine="720"/>
        <w:jc w:val="both"/>
        <w:rPr>
          <w:rFonts w:eastAsia="Calibri" w:cs="Times New Roman"/>
          <w:szCs w:val="28"/>
        </w:rPr>
      </w:pPr>
      <w:r w:rsidRPr="00061973">
        <w:rPr>
          <w:rFonts w:eastAsia="Calibri" w:cs="Times New Roman"/>
          <w:szCs w:val="28"/>
        </w:rPr>
        <w:t xml:space="preserve">Latvijai ir </w:t>
      </w:r>
      <w:r>
        <w:rPr>
          <w:rFonts w:eastAsia="Calibri" w:cs="Times New Roman"/>
          <w:szCs w:val="28"/>
        </w:rPr>
        <w:t xml:space="preserve">noteikts </w:t>
      </w:r>
      <w:r w:rsidRPr="00061973">
        <w:rPr>
          <w:rFonts w:eastAsia="Calibri" w:cs="Times New Roman"/>
          <w:szCs w:val="28"/>
        </w:rPr>
        <w:t xml:space="preserve">saistošs mērķis </w:t>
      </w:r>
      <w:r w:rsidRPr="00061973">
        <w:rPr>
          <w:rFonts w:eastAsia="Calibri" w:cs="Times New Roman"/>
          <w:b/>
          <w:szCs w:val="28"/>
        </w:rPr>
        <w:t>sasniegt 40% enerģijas, kas ražota no AER, īpatsvaru enerģijas</w:t>
      </w:r>
      <w:r w:rsidR="00463584" w:rsidRPr="00463584">
        <w:t xml:space="preserve"> </w:t>
      </w:r>
      <w:r w:rsidR="00463584" w:rsidRPr="00463584">
        <w:rPr>
          <w:rFonts w:eastAsia="Calibri" w:cs="Times New Roman"/>
          <w:b/>
          <w:szCs w:val="28"/>
        </w:rPr>
        <w:t>bruto</w:t>
      </w:r>
      <w:r w:rsidRPr="00061973">
        <w:rPr>
          <w:rFonts w:eastAsia="Calibri" w:cs="Times New Roman"/>
          <w:b/>
          <w:szCs w:val="28"/>
        </w:rPr>
        <w:t xml:space="preserve"> galapatēriņā 2020.gadā</w:t>
      </w:r>
      <w:r w:rsidRPr="00061973">
        <w:rPr>
          <w:rFonts w:eastAsia="Calibri" w:cs="Times New Roman"/>
          <w:szCs w:val="28"/>
        </w:rPr>
        <w:t xml:space="preserve">. Tas izriet no AER direktīvas  un Latvijas nacionālās reformu programmas „ES 2020”stratēģijas īstenošanai. Kamēr dalībvalstīm ir noteikti specifiski AER mērķi, transportā visām dalībvalstīm ir jāsasniedz 10% AER īpatsvars enerģijas bruto galapatēriņā, kas ražota no AER.  </w:t>
      </w:r>
    </w:p>
    <w:p w:rsidR="0077469E" w:rsidRDefault="00007705" w:rsidP="00007705">
      <w:pPr>
        <w:spacing w:before="120" w:after="120"/>
        <w:ind w:firstLine="720"/>
        <w:jc w:val="both"/>
        <w:rPr>
          <w:rFonts w:eastAsia="Calibri" w:cs="Times New Roman"/>
          <w:szCs w:val="28"/>
        </w:rPr>
      </w:pPr>
      <w:r w:rsidRPr="00007705">
        <w:rPr>
          <w:rFonts w:eastAsia="Calibri" w:cs="Times New Roman"/>
          <w:szCs w:val="28"/>
        </w:rPr>
        <w:t xml:space="preserve">Saskaņā ar Latvijas nacionālo reformu programmu </w:t>
      </w:r>
      <w:r w:rsidRPr="00007705">
        <w:rPr>
          <w:rFonts w:eastAsia="Calibri" w:cs="Times New Roman"/>
          <w:b/>
          <w:szCs w:val="28"/>
        </w:rPr>
        <w:t>Latvijai 2020.gadā ir jāsasniedz   primā</w:t>
      </w:r>
      <w:r w:rsidR="00463584">
        <w:rPr>
          <w:rFonts w:eastAsia="Calibri" w:cs="Times New Roman"/>
          <w:b/>
          <w:szCs w:val="28"/>
        </w:rPr>
        <w:t>rās enerģijas ietaupījums  0,670</w:t>
      </w:r>
      <w:r w:rsidRPr="00007705">
        <w:rPr>
          <w:rFonts w:eastAsia="Calibri" w:cs="Times New Roman"/>
          <w:b/>
          <w:szCs w:val="28"/>
        </w:rPr>
        <w:t xml:space="preserve"> Mtoe apmērā</w:t>
      </w:r>
      <w:r w:rsidRPr="00007705">
        <w:rPr>
          <w:rFonts w:eastAsia="Calibri" w:cs="Times New Roman"/>
          <w:szCs w:val="28"/>
        </w:rPr>
        <w:t xml:space="preserve"> (kopējais enerģijas ietaupījums gan gala patēriņā, gan pārveidošanas sektorā)</w:t>
      </w:r>
      <w:r w:rsidR="00DF298D">
        <w:rPr>
          <w:rFonts w:eastAsia="Calibri" w:cs="Times New Roman"/>
          <w:szCs w:val="28"/>
        </w:rPr>
        <w:t xml:space="preserve">, kas </w:t>
      </w:r>
      <w:r w:rsidR="00DF298D" w:rsidRPr="00DF298D">
        <w:rPr>
          <w:rFonts w:eastAsia="Calibri" w:cs="Times New Roman"/>
          <w:szCs w:val="28"/>
        </w:rPr>
        <w:t>sastāda 0,48% no kopējā devuma ES energoefektivitātes mērķa sasniegšanā</w:t>
      </w:r>
      <w:r w:rsidR="00DF298D">
        <w:rPr>
          <w:rFonts w:eastAsia="Calibri" w:cs="Times New Roman"/>
          <w:szCs w:val="28"/>
        </w:rPr>
        <w:t xml:space="preserve">. </w:t>
      </w:r>
    </w:p>
    <w:p w:rsidR="00007705" w:rsidRDefault="00007705" w:rsidP="00007705">
      <w:pPr>
        <w:spacing w:before="120" w:after="120"/>
        <w:ind w:firstLine="720"/>
        <w:jc w:val="both"/>
        <w:rPr>
          <w:rFonts w:eastAsia="Calibri" w:cs="Times New Roman"/>
          <w:szCs w:val="28"/>
        </w:rPr>
      </w:pPr>
      <w:r w:rsidRPr="00007705">
        <w:rPr>
          <w:rFonts w:eastAsia="Calibri" w:cs="Times New Roman"/>
          <w:szCs w:val="28"/>
        </w:rPr>
        <w:t>Papildus saskaņā ar Energoefektivitātes direktīvu, Latvijai ir jāsasniedz:</w:t>
      </w:r>
    </w:p>
    <w:p w:rsidR="0077469E" w:rsidRPr="00007705" w:rsidRDefault="0077469E" w:rsidP="00007705">
      <w:pPr>
        <w:spacing w:before="120" w:after="120"/>
        <w:ind w:firstLine="720"/>
        <w:jc w:val="both"/>
        <w:rPr>
          <w:rFonts w:eastAsia="Calibri" w:cs="Times New Roman"/>
          <w:szCs w:val="28"/>
        </w:rPr>
      </w:pPr>
      <w:r>
        <w:rPr>
          <w:rFonts w:eastAsia="Calibri" w:cs="Times New Roman"/>
          <w:szCs w:val="28"/>
        </w:rPr>
        <w:t xml:space="preserve">- </w:t>
      </w:r>
      <w:r w:rsidRPr="0077469E">
        <w:rPr>
          <w:rFonts w:eastAsia="Calibri" w:cs="Times New Roman"/>
          <w:b/>
          <w:szCs w:val="28"/>
        </w:rPr>
        <w:t>valsts indikatīvais energoefektivitātes mērķis - primārās enerģijas ietaupījums 2020. gadā - 0,670 Mtoe</w:t>
      </w:r>
      <w:r w:rsidRPr="0077469E">
        <w:rPr>
          <w:rFonts w:eastAsia="Calibri" w:cs="Times New Roman"/>
          <w:szCs w:val="28"/>
        </w:rPr>
        <w:t xml:space="preserve"> (28 PJ);</w:t>
      </w:r>
    </w:p>
    <w:p w:rsidR="00007705" w:rsidRPr="00007705" w:rsidRDefault="00007705" w:rsidP="00007705">
      <w:pPr>
        <w:spacing w:before="120" w:after="120"/>
        <w:ind w:firstLine="720"/>
        <w:jc w:val="both"/>
        <w:rPr>
          <w:rFonts w:eastAsia="Calibri" w:cs="Times New Roman"/>
          <w:b/>
          <w:szCs w:val="28"/>
        </w:rPr>
      </w:pPr>
      <w:r w:rsidRPr="00007705">
        <w:rPr>
          <w:rFonts w:eastAsia="Calibri" w:cs="Times New Roman"/>
          <w:szCs w:val="28"/>
        </w:rPr>
        <w:t>-</w:t>
      </w:r>
      <w:r w:rsidRPr="00007705">
        <w:rPr>
          <w:rFonts w:eastAsia="Calibri" w:cs="Times New Roman"/>
          <w:b/>
          <w:szCs w:val="28"/>
        </w:rPr>
        <w:tab/>
        <w:t>obligātais gala enerģijas ietaupījuma kumulatīvais mērķis - 1,5% apjomā no galalietotājiem piegādātās enerģijas – kopā</w:t>
      </w:r>
      <w:r w:rsidR="00463584">
        <w:rPr>
          <w:rFonts w:eastAsia="Calibri" w:cs="Times New Roman"/>
          <w:b/>
          <w:szCs w:val="28"/>
        </w:rPr>
        <w:t xml:space="preserve"> no 2014.</w:t>
      </w:r>
      <w:r w:rsidRPr="00007705">
        <w:rPr>
          <w:rFonts w:eastAsia="Calibri" w:cs="Times New Roman"/>
          <w:b/>
          <w:szCs w:val="28"/>
        </w:rPr>
        <w:t xml:space="preserve"> līdz 2020. gadam- 0,</w:t>
      </w:r>
      <w:r w:rsidR="00463584">
        <w:rPr>
          <w:rFonts w:eastAsia="Calibri" w:cs="Times New Roman"/>
          <w:b/>
          <w:szCs w:val="28"/>
        </w:rPr>
        <w:t xml:space="preserve">850 </w:t>
      </w:r>
      <w:r w:rsidRPr="00007705">
        <w:rPr>
          <w:rFonts w:eastAsia="Calibri" w:cs="Times New Roman"/>
          <w:b/>
          <w:szCs w:val="28"/>
        </w:rPr>
        <w:t>Mtoe,</w:t>
      </w:r>
    </w:p>
    <w:p w:rsidR="00007705" w:rsidRPr="00007705" w:rsidRDefault="00007705" w:rsidP="00007705">
      <w:pPr>
        <w:spacing w:before="120" w:after="120"/>
        <w:ind w:firstLine="720"/>
        <w:jc w:val="both"/>
        <w:rPr>
          <w:rFonts w:eastAsia="Calibri" w:cs="Times New Roman"/>
          <w:b/>
          <w:szCs w:val="28"/>
        </w:rPr>
      </w:pPr>
      <w:r w:rsidRPr="00007705">
        <w:rPr>
          <w:rFonts w:eastAsia="Calibri" w:cs="Times New Roman"/>
          <w:b/>
          <w:szCs w:val="28"/>
        </w:rPr>
        <w:t>-</w:t>
      </w:r>
      <w:r w:rsidRPr="00007705">
        <w:rPr>
          <w:rFonts w:eastAsia="Calibri" w:cs="Times New Roman"/>
          <w:b/>
          <w:szCs w:val="28"/>
        </w:rPr>
        <w:tab/>
        <w:t>ikgada valsts tiešās pārvaldes ēku 3% platības renovācijas mērķis (maksimālās aplēses – kopā renovēti 678 460 m2).</w:t>
      </w:r>
    </w:p>
    <w:p w:rsidR="00061973" w:rsidRPr="00845D87" w:rsidRDefault="00007705" w:rsidP="00007705">
      <w:pPr>
        <w:spacing w:before="120" w:after="120"/>
        <w:ind w:firstLine="720"/>
        <w:jc w:val="both"/>
        <w:rPr>
          <w:rFonts w:eastAsia="Calibri" w:cs="Times New Roman"/>
          <w:szCs w:val="28"/>
        </w:rPr>
      </w:pPr>
      <w:r w:rsidRPr="00845D87">
        <w:rPr>
          <w:rFonts w:eastAsia="Calibri" w:cs="Times New Roman"/>
          <w:szCs w:val="28"/>
        </w:rPr>
        <w:lastRenderedPageBreak/>
        <w:t xml:space="preserve">Papildus mērķi ir izvirzīti Enerģētikas stratēģijā 2030 - līdz 2030.gadam </w:t>
      </w:r>
      <w:r w:rsidRPr="00845D87">
        <w:rPr>
          <w:rFonts w:eastAsia="Calibri" w:cs="Times New Roman"/>
          <w:b/>
          <w:szCs w:val="28"/>
        </w:rPr>
        <w:t>vidējais siltumenerģijas patēriņš apkurei  (ar klimata korekciju)</w:t>
      </w:r>
      <w:r w:rsidRPr="00845D87">
        <w:rPr>
          <w:rFonts w:eastAsia="Calibri" w:cs="Times New Roman"/>
          <w:szCs w:val="28"/>
        </w:rPr>
        <w:t xml:space="preserve"> jāsamazina par 50% pret 2009.gada patēriņu – 202 kWh/m2. Šis rādītājs ir pietiekami ambiciozs, lai piesaistītu investīcijas un paaugstinātu  energoefektivitāti ēkās. Noteikts, ka </w:t>
      </w:r>
      <w:r w:rsidRPr="00845D87">
        <w:rPr>
          <w:rFonts w:eastAsia="Calibri" w:cs="Times New Roman"/>
          <w:b/>
          <w:szCs w:val="28"/>
        </w:rPr>
        <w:t>līdz 2020.gadam jāsasniedz mērķis 150 kWh/m2/gadā</w:t>
      </w:r>
      <w:r w:rsidRPr="00845D87">
        <w:rPr>
          <w:rFonts w:eastAsia="Calibri" w:cs="Times New Roman"/>
          <w:szCs w:val="28"/>
        </w:rPr>
        <w:t xml:space="preserve">.  </w:t>
      </w:r>
      <w:r w:rsidR="00061973" w:rsidRPr="00845D87">
        <w:rPr>
          <w:rFonts w:eastAsia="Calibri" w:cs="Times New Roman"/>
          <w:szCs w:val="28"/>
        </w:rPr>
        <w:tab/>
      </w:r>
    </w:p>
    <w:p w:rsidR="00061973" w:rsidRPr="00845D87" w:rsidRDefault="00845D87" w:rsidP="00061973">
      <w:pPr>
        <w:spacing w:before="120" w:after="120"/>
        <w:ind w:firstLine="720"/>
        <w:jc w:val="both"/>
        <w:rPr>
          <w:rFonts w:eastAsia="Calibri" w:cs="Times New Roman"/>
          <w:szCs w:val="28"/>
        </w:rPr>
      </w:pPr>
      <w:r w:rsidRPr="00845D87">
        <w:rPr>
          <w:rFonts w:eastAsia="Calibri" w:cs="Times New Roman"/>
          <w:szCs w:val="28"/>
        </w:rPr>
        <w:t>Eiropas līmenī siltumnīcefekta gāzu (SEG) emisijas jāsamazina par 20% pret emisiju apjomu 1990.gadā līdz 2020.gadam. Arī</w:t>
      </w:r>
      <w:r>
        <w:rPr>
          <w:rFonts w:eastAsia="Calibri" w:cs="Times New Roman"/>
          <w:b/>
          <w:szCs w:val="28"/>
        </w:rPr>
        <w:t xml:space="preserve"> </w:t>
      </w:r>
      <w:r w:rsidRPr="00845D87">
        <w:rPr>
          <w:rFonts w:eastAsia="Calibri" w:cs="Times New Roman"/>
          <w:szCs w:val="28"/>
        </w:rPr>
        <w:t>Latvijai ir obligāti mērķi vides sektorā, kas vistiešāk skar arī enerģētiku</w:t>
      </w:r>
      <w:r>
        <w:rPr>
          <w:rFonts w:eastAsia="Calibri" w:cs="Times New Roman"/>
          <w:szCs w:val="28"/>
        </w:rPr>
        <w:t xml:space="preserve">”: </w:t>
      </w:r>
    </w:p>
    <w:p w:rsidR="00061973" w:rsidRDefault="00061973" w:rsidP="00061973">
      <w:pPr>
        <w:spacing w:before="120" w:after="120"/>
        <w:ind w:firstLine="720"/>
        <w:jc w:val="both"/>
        <w:rPr>
          <w:rFonts w:eastAsia="Calibri" w:cs="Times New Roman"/>
          <w:b/>
          <w:szCs w:val="28"/>
        </w:rPr>
      </w:pPr>
      <w:r w:rsidRPr="00061973">
        <w:rPr>
          <w:rFonts w:eastAsia="Calibri" w:cs="Times New Roman"/>
          <w:b/>
          <w:szCs w:val="28"/>
        </w:rPr>
        <w:t>•</w:t>
      </w:r>
      <w:r w:rsidRPr="00061973">
        <w:rPr>
          <w:rFonts w:eastAsia="Calibri" w:cs="Times New Roman"/>
          <w:b/>
          <w:szCs w:val="28"/>
        </w:rPr>
        <w:tab/>
        <w:t>ierobežot siltumnīcefekta gāzu emisijas nozarēs ārpus ETS</w:t>
      </w:r>
      <w:r w:rsidR="003F2742">
        <w:rPr>
          <w:rFonts w:eastAsia="Calibri" w:cs="Times New Roman"/>
          <w:b/>
          <w:szCs w:val="28"/>
        </w:rPr>
        <w:t xml:space="preserve"> </w:t>
      </w:r>
      <w:r w:rsidR="003F2742" w:rsidRPr="003F2742">
        <w:rPr>
          <w:rFonts w:eastAsia="Calibri" w:cs="Times New Roman"/>
          <w:szCs w:val="28"/>
        </w:rPr>
        <w:t>(lauksaimniecība, transports, „mazā” enerģētika)</w:t>
      </w:r>
      <w:r w:rsidR="003F2742">
        <w:rPr>
          <w:rFonts w:eastAsia="Calibri" w:cs="Times New Roman"/>
          <w:b/>
          <w:szCs w:val="28"/>
        </w:rPr>
        <w:t xml:space="preserve"> </w:t>
      </w:r>
      <w:r w:rsidRPr="00061973">
        <w:rPr>
          <w:rFonts w:eastAsia="Calibri" w:cs="Times New Roman"/>
          <w:b/>
          <w:szCs w:val="28"/>
        </w:rPr>
        <w:t>tā, lai pieaugums nepārsniegtu 17%, salīdzinot ar 2005.gadu, kā arī ierobežot valsts kopējās SEG emisijas, lai 2020.gadā tās nepārsniegtu 12,19 Mt CO2 ekvivalenta.</w:t>
      </w:r>
    </w:p>
    <w:p w:rsidR="00647314" w:rsidRDefault="0036140D" w:rsidP="003F2742">
      <w:pPr>
        <w:widowControl w:val="0"/>
        <w:suppressAutoHyphens/>
        <w:spacing w:before="60" w:after="60"/>
        <w:ind w:firstLine="720"/>
        <w:jc w:val="both"/>
        <w:rPr>
          <w:rFonts w:eastAsia="Calibri" w:cs="Times New Roman"/>
          <w:szCs w:val="28"/>
        </w:rPr>
      </w:pPr>
      <w:r w:rsidRPr="00C74A05">
        <w:rPr>
          <w:rFonts w:eastAsia="Calibri" w:cs="Times New Roman"/>
          <w:b/>
          <w:szCs w:val="28"/>
        </w:rPr>
        <w:t>Energoatkarības mazināšana</w:t>
      </w:r>
      <w:r>
        <w:rPr>
          <w:rFonts w:eastAsia="Calibri" w:cs="Times New Roman"/>
          <w:szCs w:val="28"/>
        </w:rPr>
        <w:t xml:space="preserve"> – Stratēģijā 2030 noteikts, ka 2030.gadā e</w:t>
      </w:r>
      <w:r w:rsidRPr="00C74A05">
        <w:rPr>
          <w:rFonts w:eastAsia="Calibri" w:cs="Times New Roman"/>
          <w:szCs w:val="28"/>
        </w:rPr>
        <w:t>nergoatkarība</w:t>
      </w:r>
      <w:r>
        <w:rPr>
          <w:rFonts w:eastAsia="Calibri" w:cs="Times New Roman"/>
          <w:szCs w:val="28"/>
        </w:rPr>
        <w:t xml:space="preserve">i, kas izteikta kā </w:t>
      </w:r>
      <w:r w:rsidRPr="00C74A05">
        <w:rPr>
          <w:rFonts w:eastAsia="Calibri" w:cs="Times New Roman"/>
          <w:szCs w:val="28"/>
        </w:rPr>
        <w:t>neto energoresursu imports/ bruto iekšzemes enerģijas patēriņš plus bunkurēšana, %</w:t>
      </w:r>
      <w:r>
        <w:rPr>
          <w:rFonts w:eastAsia="Calibri" w:cs="Times New Roman"/>
          <w:szCs w:val="28"/>
        </w:rPr>
        <w:t xml:space="preserve">, nevajadzētu pārsniegt 50%. Savukārt, Enerģijas stratēģija 2030 paredz </w:t>
      </w:r>
      <w:r w:rsidRPr="002B7DFE">
        <w:rPr>
          <w:rFonts w:eastAsia="Calibri" w:cs="Times New Roman"/>
          <w:szCs w:val="28"/>
        </w:rPr>
        <w:t>par 50% samazināt enerģijas un energoresursu importu no esošajiem trešo valstu piegādātājiem,</w:t>
      </w:r>
      <w:r w:rsidRPr="00783441">
        <w:rPr>
          <w:rFonts w:eastAsia="Calibri" w:cs="Times New Roman"/>
          <w:szCs w:val="28"/>
        </w:rPr>
        <w:t xml:space="preserve"> salīdzinot ar 2011.gadu, kas tiks panākts ar jaunu enerģijas un resursu piegādes ceļu un avotu ienākšanu tirgū un līdz ar to arī jaunas un ilgtspējīgas enerģētikas infrastruktūras attīstību.</w:t>
      </w:r>
      <w:r w:rsidR="003F2742" w:rsidRPr="003F2742">
        <w:t xml:space="preserve"> </w:t>
      </w:r>
      <w:r w:rsidR="003F2742">
        <w:t xml:space="preserve">Lai sasniegtu 2020.gada mērķi , līdz </w:t>
      </w:r>
      <w:r w:rsidR="003F2742" w:rsidRPr="003F2742">
        <w:rPr>
          <w:rFonts w:eastAsia="Calibri" w:cs="Times New Roman"/>
          <w:szCs w:val="28"/>
        </w:rPr>
        <w:t xml:space="preserve">2020.gadam par 44,1 % </w:t>
      </w:r>
      <w:r w:rsidR="003F2742">
        <w:rPr>
          <w:rFonts w:eastAsia="Calibri" w:cs="Times New Roman"/>
          <w:szCs w:val="28"/>
        </w:rPr>
        <w:t>jā</w:t>
      </w:r>
      <w:r w:rsidR="003F2742" w:rsidRPr="003F2742">
        <w:rPr>
          <w:rFonts w:eastAsia="Calibri" w:cs="Times New Roman"/>
          <w:szCs w:val="28"/>
        </w:rPr>
        <w:t>samazin</w:t>
      </w:r>
      <w:r w:rsidR="003F2742">
        <w:rPr>
          <w:rFonts w:eastAsia="Calibri" w:cs="Times New Roman"/>
          <w:szCs w:val="28"/>
        </w:rPr>
        <w:t xml:space="preserve">a </w:t>
      </w:r>
      <w:r w:rsidR="003F2742" w:rsidRPr="003F2742">
        <w:rPr>
          <w:rFonts w:eastAsia="Calibri" w:cs="Times New Roman"/>
          <w:szCs w:val="28"/>
        </w:rPr>
        <w:t>enerģijas un energoresursu (tajā skaitā dabasgāze, naftas produkti, ogles un kokss, elektroenerģija) imports no trešo valstu piegādātājiem;</w:t>
      </w:r>
      <w:r w:rsidR="003F2742">
        <w:rPr>
          <w:rFonts w:eastAsia="Calibri" w:cs="Times New Roman"/>
          <w:szCs w:val="28"/>
        </w:rPr>
        <w:t xml:space="preserve"> </w:t>
      </w:r>
    </w:p>
    <w:p w:rsidR="00190498" w:rsidRDefault="00190498" w:rsidP="003F2742">
      <w:pPr>
        <w:widowControl w:val="0"/>
        <w:suppressAutoHyphens/>
        <w:spacing w:before="60" w:after="60"/>
        <w:ind w:firstLine="720"/>
        <w:jc w:val="both"/>
        <w:rPr>
          <w:rFonts w:eastAsia="Calibri" w:cs="Times New Roman"/>
          <w:szCs w:val="28"/>
        </w:rPr>
      </w:pPr>
      <w:r>
        <w:rPr>
          <w:rFonts w:eastAsia="Calibri" w:cs="Times New Roman"/>
          <w:szCs w:val="28"/>
        </w:rPr>
        <w:t>Ņemot vērā ES iekšēj</w:t>
      </w:r>
      <w:r w:rsidR="008301FE">
        <w:rPr>
          <w:rFonts w:eastAsia="Calibri" w:cs="Times New Roman"/>
          <w:szCs w:val="28"/>
        </w:rPr>
        <w:t xml:space="preserve">a </w:t>
      </w:r>
      <w:r>
        <w:rPr>
          <w:rFonts w:eastAsia="Calibri" w:cs="Times New Roman"/>
          <w:szCs w:val="28"/>
        </w:rPr>
        <w:t>tirgus attīstīstību,  aizvien svarīgāk</w:t>
      </w:r>
      <w:r w:rsidR="008301FE">
        <w:rPr>
          <w:rFonts w:eastAsia="Calibri" w:cs="Times New Roman"/>
          <w:szCs w:val="28"/>
        </w:rPr>
        <w:t>a</w:t>
      </w:r>
      <w:r>
        <w:rPr>
          <w:rFonts w:eastAsia="Calibri" w:cs="Times New Roman"/>
          <w:szCs w:val="28"/>
        </w:rPr>
        <w:t>i kļūst starpsavienojumu</w:t>
      </w:r>
      <w:r w:rsidR="008301FE">
        <w:rPr>
          <w:rFonts w:eastAsia="Calibri" w:cs="Times New Roman"/>
          <w:szCs w:val="28"/>
        </w:rPr>
        <w:t xml:space="preserve"> nozīme. </w:t>
      </w:r>
      <w:r>
        <w:rPr>
          <w:rFonts w:eastAsia="Calibri" w:cs="Times New Roman"/>
          <w:szCs w:val="28"/>
        </w:rPr>
        <w:t xml:space="preserve"> </w:t>
      </w:r>
      <w:r w:rsidR="008301FE">
        <w:rPr>
          <w:rFonts w:eastAsia="Calibri" w:cs="Times New Roman"/>
          <w:szCs w:val="28"/>
        </w:rPr>
        <w:t>2002.gada Eiropadome noteica 10% starpsavienojuma mērķi</w:t>
      </w:r>
      <w:r w:rsidR="00FE20D6">
        <w:rPr>
          <w:rFonts w:eastAsia="Calibri" w:cs="Times New Roman"/>
          <w:szCs w:val="28"/>
        </w:rPr>
        <w:t xml:space="preserve">, kas bija jšasniedz līdz 2005.gadam. </w:t>
      </w:r>
      <w:r w:rsidR="00FE20D6" w:rsidRPr="00FE20D6">
        <w:rPr>
          <w:rFonts w:eastAsia="Calibri" w:cs="Times New Roman"/>
          <w:szCs w:val="28"/>
        </w:rPr>
        <w:t xml:space="preserve">2014.gada </w:t>
      </w:r>
      <w:r w:rsidR="00FE20D6">
        <w:rPr>
          <w:rFonts w:eastAsia="Calibri" w:cs="Times New Roman"/>
          <w:szCs w:val="28"/>
        </w:rPr>
        <w:t xml:space="preserve">marta </w:t>
      </w:r>
      <w:r w:rsidR="00FE20D6" w:rsidRPr="00FE20D6">
        <w:rPr>
          <w:rFonts w:eastAsia="Calibri" w:cs="Times New Roman"/>
          <w:szCs w:val="28"/>
        </w:rPr>
        <w:t>Eiropadom</w:t>
      </w:r>
      <w:r w:rsidR="00FE20D6">
        <w:rPr>
          <w:rFonts w:eastAsia="Calibri" w:cs="Times New Roman"/>
          <w:szCs w:val="28"/>
        </w:rPr>
        <w:t xml:space="preserve">ē vēlreiz tika </w:t>
      </w:r>
      <w:r w:rsidR="00FE20D6" w:rsidRPr="00FE20D6">
        <w:rPr>
          <w:rFonts w:eastAsia="Calibri" w:cs="Times New Roman"/>
          <w:szCs w:val="28"/>
        </w:rPr>
        <w:t>vēr</w:t>
      </w:r>
      <w:r w:rsidR="00FE20D6">
        <w:rPr>
          <w:rFonts w:eastAsia="Calibri" w:cs="Times New Roman"/>
          <w:szCs w:val="28"/>
        </w:rPr>
        <w:t xml:space="preserve">sta </w:t>
      </w:r>
      <w:r w:rsidR="00FE20D6" w:rsidRPr="00FE20D6">
        <w:rPr>
          <w:rFonts w:eastAsia="Calibri" w:cs="Times New Roman"/>
          <w:szCs w:val="28"/>
        </w:rPr>
        <w:t>uzmanīb</w:t>
      </w:r>
      <w:r w:rsidR="00FE20D6">
        <w:rPr>
          <w:rFonts w:eastAsia="Calibri" w:cs="Times New Roman"/>
          <w:szCs w:val="28"/>
        </w:rPr>
        <w:t xml:space="preserve">a, ka visām valstīm starpsavienojuma mērķis </w:t>
      </w:r>
      <w:r w:rsidR="00FE20D6" w:rsidRPr="00FE20D6">
        <w:rPr>
          <w:rFonts w:eastAsia="Calibri" w:cs="Times New Roman"/>
          <w:szCs w:val="28"/>
        </w:rPr>
        <w:t xml:space="preserve">vismaz 10 % no uzstādītās elektroenerģijas ražošanas jaudas </w:t>
      </w:r>
      <w:r w:rsidR="00FE20D6">
        <w:rPr>
          <w:rFonts w:eastAsia="Calibri" w:cs="Times New Roman"/>
          <w:szCs w:val="28"/>
        </w:rPr>
        <w:t xml:space="preserve">būtu jāsasniedz. </w:t>
      </w:r>
      <w:r w:rsidR="004335B5">
        <w:rPr>
          <w:rFonts w:eastAsia="Calibri" w:cs="Times New Roman"/>
          <w:szCs w:val="28"/>
        </w:rPr>
        <w:t xml:space="preserve">2014.gada rudens Eiropadomē paredzēta diskusija par šī mērķa aktualizēšanu nosakot robežvērtību 15%, kas būtu sasniedzami 2030.gadā. Raugoties no Latvijas ģeogrāfiskās atrašanās vietas jau 2014.gadā tā būtu šo mērķi sasniegusi, līdz ar to Latvijai ir svarīgi arī citi mērķi, kā piemēram nodrošināt iespējas pirkt gāzi vairāk kā no viena piegādātā un elektroenerģijas jomā integrēties ES tīklos. </w:t>
      </w:r>
    </w:p>
    <w:p w:rsidR="001D7450" w:rsidRDefault="001D7450" w:rsidP="003F2742">
      <w:pPr>
        <w:widowControl w:val="0"/>
        <w:suppressAutoHyphens/>
        <w:spacing w:before="60" w:after="60"/>
        <w:ind w:firstLine="720"/>
        <w:jc w:val="both"/>
        <w:rPr>
          <w:rFonts w:eastAsia="Calibri" w:cs="Times New Roman"/>
          <w:szCs w:val="28"/>
        </w:rPr>
      </w:pPr>
    </w:p>
    <w:p w:rsidR="001D7450" w:rsidRDefault="001D7450" w:rsidP="003F2742">
      <w:pPr>
        <w:widowControl w:val="0"/>
        <w:suppressAutoHyphens/>
        <w:spacing w:before="60" w:after="60"/>
        <w:ind w:firstLine="720"/>
        <w:jc w:val="both"/>
        <w:rPr>
          <w:rFonts w:eastAsia="Calibri" w:cs="Times New Roman"/>
          <w:szCs w:val="28"/>
        </w:rPr>
      </w:pPr>
    </w:p>
    <w:p w:rsidR="001D7450" w:rsidRDefault="001D7450" w:rsidP="003F2742">
      <w:pPr>
        <w:widowControl w:val="0"/>
        <w:suppressAutoHyphens/>
        <w:spacing w:before="60" w:after="60"/>
        <w:ind w:firstLine="720"/>
        <w:jc w:val="both"/>
        <w:rPr>
          <w:rFonts w:eastAsia="Calibri" w:cs="Times New Roman"/>
          <w:szCs w:val="28"/>
        </w:rPr>
      </w:pPr>
    </w:p>
    <w:p w:rsidR="00547FD4" w:rsidRDefault="00547FD4" w:rsidP="003F2742">
      <w:pPr>
        <w:widowControl w:val="0"/>
        <w:suppressAutoHyphens/>
        <w:spacing w:before="60" w:after="60"/>
        <w:ind w:firstLine="720"/>
        <w:jc w:val="both"/>
        <w:rPr>
          <w:rFonts w:eastAsia="Calibri" w:cs="Times New Roman"/>
          <w:szCs w:val="28"/>
        </w:rPr>
      </w:pPr>
    </w:p>
    <w:p w:rsidR="00547FD4" w:rsidRDefault="00547FD4" w:rsidP="003F2742">
      <w:pPr>
        <w:widowControl w:val="0"/>
        <w:suppressAutoHyphens/>
        <w:spacing w:before="60" w:after="60"/>
        <w:ind w:firstLine="720"/>
        <w:jc w:val="both"/>
        <w:rPr>
          <w:rFonts w:eastAsia="Calibri" w:cs="Times New Roman"/>
          <w:szCs w:val="28"/>
        </w:rPr>
      </w:pPr>
    </w:p>
    <w:p w:rsidR="001D7450" w:rsidRDefault="001D7450" w:rsidP="003F2742">
      <w:pPr>
        <w:widowControl w:val="0"/>
        <w:suppressAutoHyphens/>
        <w:spacing w:before="60" w:after="60"/>
        <w:ind w:firstLine="720"/>
        <w:jc w:val="both"/>
        <w:rPr>
          <w:rFonts w:eastAsia="Calibri" w:cs="Times New Roman"/>
          <w:szCs w:val="28"/>
        </w:rPr>
      </w:pPr>
    </w:p>
    <w:p w:rsidR="0036140D" w:rsidRPr="00D26898" w:rsidRDefault="001D7450" w:rsidP="0036140D">
      <w:pPr>
        <w:jc w:val="right"/>
      </w:pPr>
      <w:r>
        <w:lastRenderedPageBreak/>
        <w:t>1</w:t>
      </w:r>
      <w:r w:rsidR="0036140D" w:rsidRPr="0072036A">
        <w:t>.</w:t>
      </w:r>
      <w:r w:rsidR="0036140D" w:rsidRPr="00D26898">
        <w:t xml:space="preserve">tabula </w:t>
      </w:r>
    </w:p>
    <w:p w:rsidR="0036140D" w:rsidRDefault="0036140D" w:rsidP="0036140D">
      <w:pPr>
        <w:jc w:val="center"/>
        <w:rPr>
          <w:rFonts w:cs="Times New Roman"/>
          <w:b/>
          <w:szCs w:val="28"/>
        </w:rPr>
      </w:pPr>
      <w:r w:rsidRPr="007D302F">
        <w:rPr>
          <w:rFonts w:cs="Times New Roman"/>
          <w:b/>
          <w:szCs w:val="28"/>
        </w:rPr>
        <w:t xml:space="preserve">ES un Latvijas enerģētikas politikas kvantitatīvie </w:t>
      </w:r>
      <w:r>
        <w:rPr>
          <w:rFonts w:cs="Times New Roman"/>
          <w:b/>
          <w:szCs w:val="28"/>
        </w:rPr>
        <w:t xml:space="preserve">rādītāji </w:t>
      </w:r>
    </w:p>
    <w:p w:rsidR="00617671" w:rsidRPr="007D302F" w:rsidRDefault="00617671" w:rsidP="0036140D">
      <w:pPr>
        <w:jc w:val="center"/>
        <w:rPr>
          <w:rFonts w:cs="Times New Roman"/>
          <w:b/>
          <w:szCs w:val="28"/>
        </w:rPr>
      </w:pPr>
    </w:p>
    <w:tbl>
      <w:tblPr>
        <w:tblW w:w="4833" w:type="pct"/>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919"/>
        <w:gridCol w:w="16"/>
        <w:gridCol w:w="1154"/>
        <w:gridCol w:w="1277"/>
        <w:gridCol w:w="1562"/>
        <w:gridCol w:w="2122"/>
      </w:tblGrid>
      <w:tr w:rsidR="0036140D" w:rsidRPr="00CB316D" w:rsidTr="00ED22F0">
        <w:trPr>
          <w:jc w:val="center"/>
        </w:trPr>
        <w:tc>
          <w:tcPr>
            <w:tcW w:w="1073" w:type="pct"/>
            <w:shd w:val="clear" w:color="auto" w:fill="D9D9D9"/>
          </w:tcPr>
          <w:p w:rsidR="0036140D" w:rsidRPr="00617671" w:rsidRDefault="0036140D" w:rsidP="0036140D">
            <w:pPr>
              <w:spacing w:before="60" w:after="60"/>
              <w:jc w:val="center"/>
              <w:rPr>
                <w:rFonts w:cs="Times New Roman"/>
                <w:sz w:val="17"/>
                <w:szCs w:val="17"/>
              </w:rPr>
            </w:pPr>
          </w:p>
        </w:tc>
        <w:tc>
          <w:tcPr>
            <w:tcW w:w="1164" w:type="pct"/>
            <w:gridSpan w:val="3"/>
            <w:shd w:val="clear" w:color="auto" w:fill="D9D9D9"/>
            <w:vAlign w:val="center"/>
          </w:tcPr>
          <w:p w:rsidR="0036140D" w:rsidRPr="00CB316D" w:rsidRDefault="0036140D" w:rsidP="0036140D">
            <w:pPr>
              <w:spacing w:before="60" w:after="60"/>
              <w:jc w:val="center"/>
              <w:rPr>
                <w:rFonts w:cs="Times New Roman"/>
                <w:sz w:val="18"/>
                <w:szCs w:val="18"/>
              </w:rPr>
            </w:pPr>
            <w:r w:rsidRPr="00CB316D">
              <w:rPr>
                <w:rFonts w:cs="Times New Roman"/>
                <w:b/>
                <w:sz w:val="18"/>
                <w:szCs w:val="18"/>
              </w:rPr>
              <w:t>ES-27/ES-28</w:t>
            </w:r>
          </w:p>
        </w:tc>
        <w:tc>
          <w:tcPr>
            <w:tcW w:w="2763" w:type="pct"/>
            <w:gridSpan w:val="3"/>
            <w:shd w:val="clear" w:color="auto" w:fill="D9D9D9"/>
          </w:tcPr>
          <w:p w:rsidR="0036140D" w:rsidRPr="00CB316D" w:rsidRDefault="0036140D" w:rsidP="0036140D">
            <w:pPr>
              <w:spacing w:before="60" w:after="60"/>
              <w:jc w:val="center"/>
              <w:rPr>
                <w:rFonts w:cs="Times New Roman"/>
                <w:sz w:val="18"/>
                <w:szCs w:val="18"/>
              </w:rPr>
            </w:pPr>
            <w:r w:rsidRPr="00CB316D">
              <w:rPr>
                <w:rFonts w:cs="Times New Roman"/>
                <w:b/>
                <w:sz w:val="18"/>
                <w:szCs w:val="18"/>
              </w:rPr>
              <w:t>Latvija</w:t>
            </w:r>
          </w:p>
        </w:tc>
      </w:tr>
      <w:tr w:rsidR="0036140D" w:rsidRPr="00CB316D" w:rsidTr="00ED22F0">
        <w:trPr>
          <w:jc w:val="center"/>
        </w:trPr>
        <w:tc>
          <w:tcPr>
            <w:tcW w:w="1073" w:type="pct"/>
          </w:tcPr>
          <w:p w:rsidR="0036140D" w:rsidRPr="00617671" w:rsidRDefault="0036140D" w:rsidP="0036140D">
            <w:pPr>
              <w:spacing w:before="60" w:after="60"/>
              <w:jc w:val="center"/>
              <w:rPr>
                <w:rFonts w:cs="Times New Roman"/>
                <w:b/>
                <w:sz w:val="17"/>
                <w:szCs w:val="17"/>
              </w:rPr>
            </w:pPr>
          </w:p>
        </w:tc>
        <w:tc>
          <w:tcPr>
            <w:tcW w:w="1164" w:type="pct"/>
            <w:gridSpan w:val="3"/>
            <w:shd w:val="clear" w:color="auto" w:fill="FFFFFF"/>
            <w:vAlign w:val="center"/>
          </w:tcPr>
          <w:p w:rsidR="0036140D" w:rsidRPr="00CB316D" w:rsidRDefault="00190498" w:rsidP="0036140D">
            <w:pPr>
              <w:spacing w:before="60" w:after="60"/>
              <w:jc w:val="center"/>
              <w:rPr>
                <w:rFonts w:cs="Times New Roman"/>
                <w:b/>
                <w:sz w:val="18"/>
                <w:szCs w:val="18"/>
              </w:rPr>
            </w:pPr>
            <w:r>
              <w:rPr>
                <w:rFonts w:cs="Times New Roman"/>
                <w:b/>
                <w:sz w:val="18"/>
                <w:szCs w:val="18"/>
              </w:rPr>
              <w:t>Mērķa vērtība</w:t>
            </w:r>
          </w:p>
        </w:tc>
        <w:tc>
          <w:tcPr>
            <w:tcW w:w="1581" w:type="pct"/>
            <w:gridSpan w:val="2"/>
            <w:shd w:val="clear" w:color="auto" w:fill="FFFFFF"/>
            <w:vAlign w:val="center"/>
          </w:tcPr>
          <w:p w:rsidR="0036140D" w:rsidRPr="00CB316D" w:rsidRDefault="0036140D" w:rsidP="003F2742">
            <w:pPr>
              <w:spacing w:before="60" w:after="60"/>
              <w:jc w:val="center"/>
              <w:rPr>
                <w:rFonts w:cs="Times New Roman"/>
                <w:b/>
                <w:sz w:val="18"/>
                <w:szCs w:val="18"/>
              </w:rPr>
            </w:pPr>
            <w:r w:rsidRPr="00CB316D">
              <w:rPr>
                <w:rFonts w:cs="Times New Roman"/>
                <w:b/>
                <w:sz w:val="18"/>
                <w:szCs w:val="18"/>
              </w:rPr>
              <w:t>Fakt</w:t>
            </w:r>
            <w:r w:rsidR="003F2742">
              <w:rPr>
                <w:rFonts w:cs="Times New Roman"/>
                <w:b/>
                <w:sz w:val="18"/>
                <w:szCs w:val="18"/>
              </w:rPr>
              <w:t xml:space="preserve">iskā vērtība </w:t>
            </w:r>
          </w:p>
        </w:tc>
        <w:tc>
          <w:tcPr>
            <w:tcW w:w="1182" w:type="pct"/>
            <w:shd w:val="clear" w:color="auto" w:fill="FFFFFF"/>
            <w:vAlign w:val="center"/>
          </w:tcPr>
          <w:p w:rsidR="0036140D" w:rsidRPr="00CB316D" w:rsidRDefault="00190498" w:rsidP="0036140D">
            <w:pPr>
              <w:spacing w:before="60" w:after="60"/>
              <w:jc w:val="center"/>
              <w:rPr>
                <w:rFonts w:cs="Times New Roman"/>
                <w:b/>
                <w:sz w:val="18"/>
                <w:szCs w:val="18"/>
              </w:rPr>
            </w:pPr>
            <w:r>
              <w:rPr>
                <w:rFonts w:cs="Times New Roman"/>
                <w:b/>
                <w:sz w:val="18"/>
                <w:szCs w:val="18"/>
              </w:rPr>
              <w:t>Mērķa vērtība</w:t>
            </w:r>
          </w:p>
        </w:tc>
      </w:tr>
      <w:tr w:rsidR="00ED22F0" w:rsidRPr="00CB316D" w:rsidTr="00ED22F0">
        <w:trPr>
          <w:jc w:val="center"/>
        </w:trPr>
        <w:tc>
          <w:tcPr>
            <w:tcW w:w="1073" w:type="pct"/>
            <w:shd w:val="clear" w:color="auto" w:fill="D9D9D9"/>
          </w:tcPr>
          <w:p w:rsidR="008F3207" w:rsidRPr="00617671" w:rsidRDefault="008F3207" w:rsidP="0036140D">
            <w:pPr>
              <w:pStyle w:val="ListParagraph"/>
              <w:spacing w:before="60" w:after="60"/>
              <w:ind w:left="0"/>
              <w:jc w:val="center"/>
              <w:rPr>
                <w:rFonts w:cs="Times New Roman"/>
                <w:b/>
                <w:sz w:val="17"/>
                <w:szCs w:val="17"/>
              </w:rPr>
            </w:pPr>
          </w:p>
        </w:tc>
        <w:tc>
          <w:tcPr>
            <w:tcW w:w="521" w:type="pct"/>
            <w:gridSpan w:val="2"/>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r w:rsidRPr="00CB316D">
              <w:rPr>
                <w:rFonts w:cs="Times New Roman"/>
                <w:b/>
                <w:sz w:val="18"/>
                <w:szCs w:val="18"/>
              </w:rPr>
              <w:t>2020</w:t>
            </w:r>
          </w:p>
        </w:tc>
        <w:tc>
          <w:tcPr>
            <w:tcW w:w="643" w:type="pct"/>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r w:rsidRPr="00CB316D">
              <w:rPr>
                <w:rFonts w:cs="Times New Roman"/>
                <w:b/>
                <w:sz w:val="18"/>
                <w:szCs w:val="18"/>
              </w:rPr>
              <w:t>2030</w:t>
            </w:r>
          </w:p>
        </w:tc>
        <w:tc>
          <w:tcPr>
            <w:tcW w:w="711" w:type="pct"/>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r w:rsidRPr="00CB316D">
              <w:rPr>
                <w:rFonts w:cs="Times New Roman"/>
                <w:b/>
                <w:sz w:val="18"/>
                <w:szCs w:val="18"/>
              </w:rPr>
              <w:t>Bāzes vērtība (gads)</w:t>
            </w:r>
          </w:p>
        </w:tc>
        <w:tc>
          <w:tcPr>
            <w:tcW w:w="870" w:type="pct"/>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r w:rsidRPr="00CB316D">
              <w:rPr>
                <w:rFonts w:cs="Times New Roman"/>
                <w:b/>
                <w:sz w:val="18"/>
                <w:szCs w:val="18"/>
              </w:rPr>
              <w:t>2012</w:t>
            </w:r>
          </w:p>
        </w:tc>
        <w:tc>
          <w:tcPr>
            <w:tcW w:w="1182" w:type="pct"/>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r w:rsidRPr="00CB316D">
              <w:rPr>
                <w:rFonts w:cs="Times New Roman"/>
                <w:b/>
                <w:sz w:val="18"/>
                <w:szCs w:val="18"/>
              </w:rPr>
              <w:t>2020</w:t>
            </w:r>
          </w:p>
        </w:tc>
      </w:tr>
      <w:tr w:rsidR="00ED22F0" w:rsidRPr="00CB316D" w:rsidTr="00ED22F0">
        <w:trPr>
          <w:jc w:val="center"/>
        </w:trPr>
        <w:tc>
          <w:tcPr>
            <w:tcW w:w="1073" w:type="pct"/>
            <w:shd w:val="clear" w:color="auto" w:fill="D9D9D9"/>
          </w:tcPr>
          <w:p w:rsidR="00ED22F0" w:rsidRPr="00617671" w:rsidRDefault="00ED22F0" w:rsidP="00ED22F0">
            <w:pPr>
              <w:pStyle w:val="ListParagraph"/>
              <w:spacing w:before="60" w:after="60"/>
              <w:ind w:left="0"/>
              <w:jc w:val="center"/>
              <w:rPr>
                <w:rFonts w:cs="Times New Roman"/>
                <w:b/>
                <w:sz w:val="17"/>
                <w:szCs w:val="17"/>
              </w:rPr>
            </w:pPr>
            <w:r>
              <w:rPr>
                <w:rFonts w:cs="Times New Roman"/>
                <w:b/>
                <w:sz w:val="17"/>
                <w:szCs w:val="17"/>
              </w:rPr>
              <w:t xml:space="preserve">Apstrādes rūpniecības daļa kopējā ekonomikā </w:t>
            </w:r>
          </w:p>
        </w:tc>
        <w:tc>
          <w:tcPr>
            <w:tcW w:w="521" w:type="pct"/>
            <w:gridSpan w:val="2"/>
            <w:shd w:val="clear" w:color="auto" w:fill="D9D9D9"/>
            <w:vAlign w:val="center"/>
          </w:tcPr>
          <w:p w:rsidR="00ED22F0" w:rsidRPr="00CB316D" w:rsidRDefault="00ED22F0" w:rsidP="0036140D">
            <w:pPr>
              <w:pStyle w:val="ListParagraph"/>
              <w:spacing w:before="60" w:after="60"/>
              <w:ind w:left="0"/>
              <w:jc w:val="center"/>
              <w:rPr>
                <w:rFonts w:cs="Times New Roman"/>
                <w:b/>
                <w:sz w:val="18"/>
                <w:szCs w:val="18"/>
              </w:rPr>
            </w:pPr>
          </w:p>
        </w:tc>
        <w:tc>
          <w:tcPr>
            <w:tcW w:w="643" w:type="pct"/>
            <w:shd w:val="clear" w:color="auto" w:fill="D9D9D9"/>
            <w:vAlign w:val="center"/>
          </w:tcPr>
          <w:p w:rsidR="00ED22F0" w:rsidRPr="00CB316D" w:rsidRDefault="00ED22F0" w:rsidP="0036140D">
            <w:pPr>
              <w:pStyle w:val="ListParagraph"/>
              <w:spacing w:before="60" w:after="60"/>
              <w:ind w:left="0"/>
              <w:jc w:val="center"/>
              <w:rPr>
                <w:rFonts w:cs="Times New Roman"/>
                <w:b/>
                <w:sz w:val="18"/>
                <w:szCs w:val="18"/>
              </w:rPr>
            </w:pPr>
          </w:p>
        </w:tc>
        <w:tc>
          <w:tcPr>
            <w:tcW w:w="711" w:type="pct"/>
            <w:shd w:val="clear" w:color="auto" w:fill="D9D9D9"/>
            <w:vAlign w:val="center"/>
          </w:tcPr>
          <w:p w:rsidR="00ED22F0" w:rsidRPr="00CB316D" w:rsidRDefault="00ED22F0" w:rsidP="0036140D">
            <w:pPr>
              <w:pStyle w:val="ListParagraph"/>
              <w:spacing w:before="60" w:after="60"/>
              <w:ind w:left="0"/>
              <w:jc w:val="center"/>
              <w:rPr>
                <w:rFonts w:cs="Times New Roman"/>
                <w:b/>
                <w:sz w:val="18"/>
                <w:szCs w:val="18"/>
              </w:rPr>
            </w:pPr>
          </w:p>
        </w:tc>
        <w:tc>
          <w:tcPr>
            <w:tcW w:w="870" w:type="pct"/>
            <w:shd w:val="clear" w:color="auto" w:fill="D9D9D9"/>
            <w:vAlign w:val="center"/>
          </w:tcPr>
          <w:p w:rsidR="00ED22F0" w:rsidRPr="00CB316D" w:rsidRDefault="00ED22F0" w:rsidP="00ED22F0">
            <w:pPr>
              <w:pStyle w:val="ListParagraph"/>
              <w:spacing w:before="60" w:after="60"/>
              <w:ind w:left="0"/>
              <w:jc w:val="center"/>
              <w:rPr>
                <w:rFonts w:cs="Times New Roman"/>
                <w:b/>
                <w:sz w:val="18"/>
                <w:szCs w:val="18"/>
              </w:rPr>
            </w:pPr>
            <w:r>
              <w:rPr>
                <w:rFonts w:cs="Times New Roman"/>
                <w:b/>
                <w:sz w:val="18"/>
                <w:szCs w:val="18"/>
              </w:rPr>
              <w:t xml:space="preserve">14,1 (2011) </w:t>
            </w:r>
          </w:p>
        </w:tc>
        <w:tc>
          <w:tcPr>
            <w:tcW w:w="1182" w:type="pct"/>
            <w:shd w:val="clear" w:color="auto" w:fill="D9D9D9"/>
            <w:vAlign w:val="center"/>
          </w:tcPr>
          <w:p w:rsidR="00ED22F0" w:rsidRPr="00CB316D" w:rsidRDefault="00ED22F0" w:rsidP="0036140D">
            <w:pPr>
              <w:pStyle w:val="ListParagraph"/>
              <w:spacing w:before="60" w:after="60"/>
              <w:ind w:left="0"/>
              <w:jc w:val="center"/>
              <w:rPr>
                <w:rFonts w:cs="Times New Roman"/>
                <w:b/>
                <w:sz w:val="18"/>
                <w:szCs w:val="18"/>
              </w:rPr>
            </w:pPr>
            <w:r>
              <w:rPr>
                <w:rFonts w:cs="Times New Roman"/>
                <w:b/>
                <w:sz w:val="18"/>
                <w:szCs w:val="18"/>
              </w:rPr>
              <w:t>20%</w:t>
            </w:r>
          </w:p>
        </w:tc>
      </w:tr>
      <w:tr w:rsidR="00647314" w:rsidRPr="00CB316D" w:rsidTr="00985767">
        <w:trPr>
          <w:jc w:val="center"/>
        </w:trPr>
        <w:tc>
          <w:tcPr>
            <w:tcW w:w="1073" w:type="pct"/>
            <w:shd w:val="clear" w:color="auto" w:fill="D9D9D9"/>
            <w:vAlign w:val="center"/>
          </w:tcPr>
          <w:p w:rsidR="00647314" w:rsidRPr="00FA5CE5" w:rsidRDefault="00647314" w:rsidP="00985767">
            <w:pPr>
              <w:pStyle w:val="ListParagraph"/>
              <w:spacing w:before="60" w:after="60"/>
              <w:ind w:left="0"/>
              <w:rPr>
                <w:rFonts w:cs="Times New Roman"/>
                <w:b/>
                <w:bCs/>
                <w:sz w:val="17"/>
                <w:szCs w:val="17"/>
              </w:rPr>
            </w:pPr>
            <w:r w:rsidRPr="00FA5CE5">
              <w:rPr>
                <w:rFonts w:cs="Times New Roman"/>
                <w:b/>
                <w:bCs/>
                <w:sz w:val="17"/>
                <w:szCs w:val="17"/>
              </w:rPr>
              <w:t xml:space="preserve">Enerģijas, kas ražota no AER īpatsvars </w:t>
            </w:r>
            <w:r w:rsidRPr="00FA5CE5">
              <w:rPr>
                <w:rFonts w:cs="Times New Roman"/>
                <w:b/>
                <w:sz w:val="17"/>
                <w:szCs w:val="17"/>
              </w:rPr>
              <w:t xml:space="preserve">enerģijas </w:t>
            </w:r>
            <w:r w:rsidRPr="00FA5CE5">
              <w:rPr>
                <w:rFonts w:cs="Times New Roman"/>
                <w:b/>
                <w:bCs/>
                <w:sz w:val="17"/>
                <w:szCs w:val="17"/>
              </w:rPr>
              <w:t xml:space="preserve">bruto </w:t>
            </w:r>
            <w:r w:rsidRPr="00FA5CE5">
              <w:rPr>
                <w:rFonts w:cs="Times New Roman"/>
                <w:b/>
                <w:sz w:val="17"/>
                <w:szCs w:val="17"/>
              </w:rPr>
              <w:t xml:space="preserve">galapatēriņā </w:t>
            </w:r>
            <w:r w:rsidRPr="00FA5CE5">
              <w:rPr>
                <w:rFonts w:cs="Times New Roman"/>
                <w:sz w:val="17"/>
                <w:szCs w:val="17"/>
              </w:rPr>
              <w:t>(%)</w:t>
            </w:r>
          </w:p>
        </w:tc>
        <w:tc>
          <w:tcPr>
            <w:tcW w:w="521" w:type="pct"/>
            <w:gridSpan w:val="2"/>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20</w:t>
            </w:r>
          </w:p>
        </w:tc>
        <w:tc>
          <w:tcPr>
            <w:tcW w:w="643" w:type="pct"/>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27</w:t>
            </w:r>
          </w:p>
        </w:tc>
        <w:tc>
          <w:tcPr>
            <w:tcW w:w="711" w:type="pct"/>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32,6</w:t>
            </w:r>
          </w:p>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(2005)</w:t>
            </w:r>
          </w:p>
        </w:tc>
        <w:tc>
          <w:tcPr>
            <w:tcW w:w="870" w:type="pct"/>
            <w:shd w:val="clear" w:color="auto" w:fill="D9D9D9"/>
            <w:vAlign w:val="center"/>
          </w:tcPr>
          <w:p w:rsidR="00647314" w:rsidRPr="00FA5CE5" w:rsidRDefault="00647314" w:rsidP="00985767">
            <w:pPr>
              <w:pStyle w:val="ListParagraph"/>
              <w:spacing w:before="60" w:after="60"/>
              <w:ind w:left="0"/>
              <w:jc w:val="center"/>
              <w:rPr>
                <w:rFonts w:cs="Times New Roman"/>
                <w:b/>
                <w:sz w:val="17"/>
                <w:szCs w:val="17"/>
              </w:rPr>
            </w:pPr>
            <w:r w:rsidRPr="00FA5CE5">
              <w:rPr>
                <w:rFonts w:cs="Times New Roman"/>
                <w:b/>
                <w:sz w:val="17"/>
                <w:szCs w:val="17"/>
              </w:rPr>
              <w:t>35,8</w:t>
            </w:r>
          </w:p>
        </w:tc>
        <w:tc>
          <w:tcPr>
            <w:tcW w:w="1182" w:type="pct"/>
            <w:shd w:val="clear" w:color="auto" w:fill="D9D9D9"/>
            <w:vAlign w:val="center"/>
          </w:tcPr>
          <w:p w:rsidR="00647314" w:rsidRPr="00FA5CE5" w:rsidRDefault="00647314" w:rsidP="00985767">
            <w:pPr>
              <w:pStyle w:val="ListParagraph"/>
              <w:spacing w:before="60" w:after="60"/>
              <w:ind w:left="0"/>
              <w:jc w:val="center"/>
              <w:rPr>
                <w:rFonts w:cs="Times New Roman"/>
                <w:b/>
                <w:sz w:val="17"/>
                <w:szCs w:val="17"/>
              </w:rPr>
            </w:pPr>
            <w:r w:rsidRPr="00FA5CE5">
              <w:rPr>
                <w:rFonts w:cs="Times New Roman"/>
                <w:b/>
                <w:sz w:val="17"/>
                <w:szCs w:val="17"/>
              </w:rPr>
              <w:t>40</w:t>
            </w:r>
          </w:p>
        </w:tc>
      </w:tr>
      <w:tr w:rsidR="00647314" w:rsidRPr="00CB316D" w:rsidTr="00985767">
        <w:trPr>
          <w:jc w:val="center"/>
        </w:trPr>
        <w:tc>
          <w:tcPr>
            <w:tcW w:w="1073" w:type="pct"/>
            <w:shd w:val="clear" w:color="auto" w:fill="D9D9D9"/>
            <w:vAlign w:val="center"/>
          </w:tcPr>
          <w:p w:rsidR="00647314" w:rsidRPr="00FA5CE5" w:rsidRDefault="00647314" w:rsidP="00985767">
            <w:pPr>
              <w:pStyle w:val="ListParagraph"/>
              <w:spacing w:before="60" w:after="60"/>
              <w:ind w:left="0"/>
              <w:rPr>
                <w:rFonts w:cs="Times New Roman"/>
                <w:b/>
                <w:bCs/>
                <w:sz w:val="17"/>
                <w:szCs w:val="17"/>
              </w:rPr>
            </w:pPr>
            <w:r w:rsidRPr="00FA5CE5">
              <w:rPr>
                <w:rFonts w:cs="Times New Roman"/>
                <w:b/>
                <w:bCs/>
                <w:sz w:val="17"/>
                <w:szCs w:val="17"/>
              </w:rPr>
              <w:t xml:space="preserve">Enerģijas, kas ražota no AER  īpatsvars </w:t>
            </w:r>
            <w:r w:rsidRPr="00FA5CE5">
              <w:rPr>
                <w:rFonts w:cs="Times New Roman"/>
                <w:b/>
                <w:sz w:val="17"/>
                <w:szCs w:val="17"/>
              </w:rPr>
              <w:t xml:space="preserve">enerģijas </w:t>
            </w:r>
            <w:r w:rsidRPr="00FA5CE5">
              <w:rPr>
                <w:rFonts w:cs="Times New Roman"/>
                <w:b/>
                <w:bCs/>
                <w:sz w:val="17"/>
                <w:szCs w:val="17"/>
              </w:rPr>
              <w:t xml:space="preserve">bruto </w:t>
            </w:r>
            <w:r w:rsidRPr="00FA5CE5">
              <w:rPr>
                <w:rFonts w:cs="Times New Roman"/>
                <w:b/>
                <w:sz w:val="17"/>
                <w:szCs w:val="17"/>
              </w:rPr>
              <w:t xml:space="preserve">galapatēriņā transportā </w:t>
            </w:r>
            <w:r w:rsidRPr="00FA5CE5">
              <w:rPr>
                <w:rFonts w:cs="Times New Roman"/>
                <w:sz w:val="17"/>
                <w:szCs w:val="17"/>
              </w:rPr>
              <w:t>(%)</w:t>
            </w:r>
          </w:p>
        </w:tc>
        <w:tc>
          <w:tcPr>
            <w:tcW w:w="521" w:type="pct"/>
            <w:gridSpan w:val="2"/>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10</w:t>
            </w:r>
          </w:p>
        </w:tc>
        <w:tc>
          <w:tcPr>
            <w:tcW w:w="643" w:type="pct"/>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p>
        </w:tc>
        <w:tc>
          <w:tcPr>
            <w:tcW w:w="711" w:type="pct"/>
            <w:shd w:val="clear" w:color="auto" w:fill="D9D9D9"/>
            <w:vAlign w:val="center"/>
          </w:tcPr>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1,35</w:t>
            </w:r>
          </w:p>
          <w:p w:rsidR="00647314" w:rsidRPr="00FA5CE5" w:rsidRDefault="00647314" w:rsidP="00985767">
            <w:pPr>
              <w:pStyle w:val="ListParagraph"/>
              <w:spacing w:before="60" w:after="60"/>
              <w:ind w:left="0"/>
              <w:jc w:val="center"/>
              <w:rPr>
                <w:rFonts w:cs="Times New Roman"/>
                <w:sz w:val="17"/>
                <w:szCs w:val="17"/>
              </w:rPr>
            </w:pPr>
            <w:r w:rsidRPr="00FA5CE5">
              <w:rPr>
                <w:rFonts w:cs="Times New Roman"/>
                <w:sz w:val="17"/>
                <w:szCs w:val="17"/>
              </w:rPr>
              <w:t>(2005)</w:t>
            </w:r>
          </w:p>
        </w:tc>
        <w:tc>
          <w:tcPr>
            <w:tcW w:w="870" w:type="pct"/>
            <w:shd w:val="clear" w:color="auto" w:fill="D9D9D9"/>
            <w:vAlign w:val="center"/>
          </w:tcPr>
          <w:p w:rsidR="00647314" w:rsidRPr="00FA5CE5" w:rsidRDefault="00647314" w:rsidP="00985767">
            <w:pPr>
              <w:pStyle w:val="ListParagraph"/>
              <w:spacing w:before="60" w:after="60"/>
              <w:ind w:left="0"/>
              <w:jc w:val="center"/>
              <w:rPr>
                <w:rFonts w:cs="Times New Roman"/>
                <w:b/>
                <w:sz w:val="17"/>
                <w:szCs w:val="17"/>
              </w:rPr>
            </w:pPr>
            <w:r w:rsidRPr="00FA5CE5">
              <w:rPr>
                <w:rFonts w:cs="Times New Roman"/>
                <w:b/>
                <w:sz w:val="17"/>
                <w:szCs w:val="17"/>
              </w:rPr>
              <w:t>3,1</w:t>
            </w:r>
          </w:p>
        </w:tc>
        <w:tc>
          <w:tcPr>
            <w:tcW w:w="1182" w:type="pct"/>
            <w:shd w:val="clear" w:color="auto" w:fill="D9D9D9"/>
            <w:vAlign w:val="center"/>
          </w:tcPr>
          <w:p w:rsidR="00647314" w:rsidRPr="00FA5CE5" w:rsidRDefault="00647314" w:rsidP="00985767">
            <w:pPr>
              <w:pStyle w:val="ListParagraph"/>
              <w:spacing w:before="60" w:after="60"/>
              <w:ind w:left="0"/>
              <w:jc w:val="center"/>
              <w:rPr>
                <w:rFonts w:cs="Times New Roman"/>
                <w:b/>
                <w:sz w:val="17"/>
                <w:szCs w:val="17"/>
              </w:rPr>
            </w:pPr>
            <w:r w:rsidRPr="00FA5CE5">
              <w:rPr>
                <w:rFonts w:cs="Times New Roman"/>
                <w:b/>
                <w:sz w:val="17"/>
                <w:szCs w:val="17"/>
              </w:rPr>
              <w:t>10</w:t>
            </w:r>
          </w:p>
        </w:tc>
      </w:tr>
      <w:tr w:rsidR="00463584" w:rsidRPr="00CB316D" w:rsidTr="003A0C06">
        <w:trPr>
          <w:trHeight w:val="908"/>
          <w:jc w:val="center"/>
        </w:trPr>
        <w:tc>
          <w:tcPr>
            <w:tcW w:w="1073" w:type="pct"/>
            <w:shd w:val="clear" w:color="auto" w:fill="D9D9D9"/>
            <w:vAlign w:val="center"/>
          </w:tcPr>
          <w:p w:rsidR="00463584" w:rsidRPr="00617671" w:rsidRDefault="00463584" w:rsidP="0036140D">
            <w:pPr>
              <w:pStyle w:val="ListParagraph"/>
              <w:spacing w:before="60" w:after="60"/>
              <w:ind w:left="0"/>
              <w:rPr>
                <w:rFonts w:cs="Times New Roman"/>
                <w:b/>
                <w:bCs/>
                <w:sz w:val="17"/>
                <w:szCs w:val="17"/>
              </w:rPr>
            </w:pPr>
            <w:r w:rsidRPr="00617671">
              <w:rPr>
                <w:rFonts w:cs="Times New Roman"/>
                <w:b/>
                <w:bCs/>
                <w:sz w:val="17"/>
                <w:szCs w:val="17"/>
              </w:rPr>
              <w:t>Energoefektivitātes pieaugums (bruto iekšzemes enerģijas patēriņš, Mtoe)</w:t>
            </w:r>
          </w:p>
        </w:tc>
        <w:tc>
          <w:tcPr>
            <w:tcW w:w="521" w:type="pct"/>
            <w:gridSpan w:val="2"/>
            <w:shd w:val="clear" w:color="auto" w:fill="D9D9D9"/>
            <w:vAlign w:val="center"/>
          </w:tcPr>
          <w:p w:rsidR="00463584" w:rsidRPr="00CB316D" w:rsidRDefault="00463584" w:rsidP="0036140D">
            <w:pPr>
              <w:pStyle w:val="ListParagraph"/>
              <w:spacing w:before="60" w:after="60"/>
              <w:ind w:left="0"/>
              <w:jc w:val="center"/>
              <w:rPr>
                <w:rFonts w:cs="Times New Roman"/>
                <w:sz w:val="18"/>
                <w:szCs w:val="18"/>
              </w:rPr>
            </w:pPr>
            <w:r w:rsidRPr="00CB316D">
              <w:rPr>
                <w:rFonts w:cs="Times New Roman"/>
                <w:sz w:val="18"/>
                <w:szCs w:val="18"/>
              </w:rPr>
              <w:t>20%</w:t>
            </w:r>
          </w:p>
        </w:tc>
        <w:tc>
          <w:tcPr>
            <w:tcW w:w="643" w:type="pct"/>
            <w:shd w:val="clear" w:color="auto" w:fill="D9D9D9"/>
            <w:vAlign w:val="center"/>
          </w:tcPr>
          <w:p w:rsidR="00463584" w:rsidRPr="00CB316D" w:rsidRDefault="00463584" w:rsidP="00162D4E">
            <w:pPr>
              <w:pStyle w:val="ListParagraph"/>
              <w:spacing w:before="60" w:after="60"/>
              <w:ind w:left="0"/>
              <w:jc w:val="center"/>
              <w:rPr>
                <w:rFonts w:cs="Times New Roman"/>
                <w:sz w:val="18"/>
                <w:szCs w:val="18"/>
              </w:rPr>
            </w:pPr>
            <w:r w:rsidRPr="00664FD6">
              <w:rPr>
                <w:rFonts w:cs="Times New Roman"/>
                <w:sz w:val="18"/>
                <w:szCs w:val="18"/>
              </w:rPr>
              <w:t>30%</w:t>
            </w:r>
            <w:r>
              <w:rPr>
                <w:rFonts w:cs="Times New Roman"/>
                <w:sz w:val="18"/>
                <w:szCs w:val="18"/>
              </w:rPr>
              <w:t>*</w:t>
            </w:r>
          </w:p>
        </w:tc>
        <w:tc>
          <w:tcPr>
            <w:tcW w:w="711" w:type="pct"/>
            <w:shd w:val="clear" w:color="auto" w:fill="D9D9D9"/>
            <w:vAlign w:val="center"/>
          </w:tcPr>
          <w:p w:rsidR="00463584" w:rsidRPr="00CB316D" w:rsidRDefault="00463584" w:rsidP="00463584">
            <w:pPr>
              <w:pStyle w:val="ListParagraph"/>
              <w:spacing w:before="60" w:after="60"/>
              <w:ind w:left="0"/>
              <w:jc w:val="center"/>
              <w:rPr>
                <w:rFonts w:cs="Times New Roman"/>
                <w:sz w:val="18"/>
                <w:szCs w:val="18"/>
              </w:rPr>
            </w:pPr>
            <w:r>
              <w:rPr>
                <w:rFonts w:cs="Times New Roman"/>
                <w:sz w:val="18"/>
                <w:szCs w:val="18"/>
              </w:rPr>
              <w:t>0,144 Mtoe</w:t>
            </w:r>
            <w:r w:rsidRPr="00CB316D">
              <w:rPr>
                <w:rFonts w:cs="Times New Roman"/>
                <w:sz w:val="18"/>
                <w:szCs w:val="18"/>
              </w:rPr>
              <w:t xml:space="preserve"> (20</w:t>
            </w:r>
            <w:r>
              <w:rPr>
                <w:rFonts w:cs="Times New Roman"/>
                <w:sz w:val="18"/>
                <w:szCs w:val="18"/>
              </w:rPr>
              <w:t>12</w:t>
            </w:r>
            <w:r w:rsidRPr="00CB316D">
              <w:rPr>
                <w:rFonts w:cs="Times New Roman"/>
                <w:sz w:val="18"/>
                <w:szCs w:val="18"/>
              </w:rPr>
              <w:t>)</w:t>
            </w:r>
          </w:p>
        </w:tc>
        <w:tc>
          <w:tcPr>
            <w:tcW w:w="870" w:type="pct"/>
            <w:shd w:val="clear" w:color="auto" w:fill="D9D9D9"/>
            <w:vAlign w:val="center"/>
          </w:tcPr>
          <w:p w:rsidR="00463584" w:rsidRDefault="00463584" w:rsidP="00463584">
            <w:pPr>
              <w:pStyle w:val="ListParagraph"/>
              <w:spacing w:before="60" w:after="60"/>
              <w:ind w:left="0"/>
              <w:jc w:val="center"/>
              <w:rPr>
                <w:rFonts w:cs="Times New Roman"/>
                <w:sz w:val="18"/>
                <w:szCs w:val="18"/>
              </w:rPr>
            </w:pPr>
            <w:r>
              <w:rPr>
                <w:rFonts w:cs="Times New Roman"/>
                <w:sz w:val="18"/>
                <w:szCs w:val="18"/>
              </w:rPr>
              <w:t>Primārās enerģijas ietaupījums</w:t>
            </w:r>
          </w:p>
          <w:p w:rsidR="00463584" w:rsidRPr="00CB316D" w:rsidRDefault="00463584" w:rsidP="00463584">
            <w:pPr>
              <w:pStyle w:val="ListParagraph"/>
              <w:spacing w:before="60" w:after="60"/>
              <w:ind w:left="0"/>
              <w:jc w:val="center"/>
              <w:rPr>
                <w:rFonts w:cs="Times New Roman"/>
                <w:sz w:val="18"/>
                <w:szCs w:val="18"/>
              </w:rPr>
            </w:pPr>
            <w:r>
              <w:rPr>
                <w:rFonts w:cs="Times New Roman"/>
                <w:sz w:val="18"/>
                <w:szCs w:val="18"/>
              </w:rPr>
              <w:t>0,144 Mtoe</w:t>
            </w:r>
          </w:p>
        </w:tc>
        <w:tc>
          <w:tcPr>
            <w:tcW w:w="1182" w:type="pct"/>
            <w:shd w:val="clear" w:color="auto" w:fill="D9D9D9"/>
            <w:vAlign w:val="center"/>
          </w:tcPr>
          <w:p w:rsidR="00463584" w:rsidRPr="00CB316D" w:rsidRDefault="00463584" w:rsidP="00463584">
            <w:pPr>
              <w:pStyle w:val="ListParagraph"/>
              <w:spacing w:before="60" w:after="60"/>
              <w:ind w:left="0"/>
              <w:jc w:val="center"/>
              <w:rPr>
                <w:rFonts w:cs="Times New Roman"/>
                <w:b/>
                <w:sz w:val="18"/>
                <w:szCs w:val="18"/>
              </w:rPr>
            </w:pPr>
            <w:r w:rsidRPr="00CB316D">
              <w:rPr>
                <w:rFonts w:cs="Times New Roman"/>
                <w:b/>
                <w:sz w:val="18"/>
                <w:szCs w:val="18"/>
              </w:rPr>
              <w:t>0,</w:t>
            </w:r>
            <w:r>
              <w:rPr>
                <w:rFonts w:cs="Times New Roman"/>
                <w:b/>
                <w:sz w:val="18"/>
                <w:szCs w:val="18"/>
              </w:rPr>
              <w:t>670</w:t>
            </w:r>
            <w:r w:rsidRPr="00CB316D">
              <w:rPr>
                <w:rFonts w:cs="Times New Roman"/>
                <w:b/>
                <w:sz w:val="18"/>
                <w:szCs w:val="18"/>
              </w:rPr>
              <w:t> Mtoe enerģijas ietaupījum</w:t>
            </w:r>
            <w:r>
              <w:rPr>
                <w:rFonts w:cs="Times New Roman"/>
                <w:b/>
                <w:sz w:val="18"/>
                <w:szCs w:val="18"/>
              </w:rPr>
              <w:t>s</w:t>
            </w:r>
            <w:r w:rsidRPr="00CB316D">
              <w:rPr>
                <w:rFonts w:cs="Times New Roman"/>
                <w:b/>
                <w:sz w:val="18"/>
                <w:szCs w:val="18"/>
              </w:rPr>
              <w:t xml:space="preserve"> primāro energoresursu patēriņā</w:t>
            </w:r>
          </w:p>
        </w:tc>
      </w:tr>
      <w:tr w:rsidR="00FB7260" w:rsidRPr="00CB316D" w:rsidTr="00ED22F0">
        <w:trPr>
          <w:jc w:val="center"/>
        </w:trPr>
        <w:tc>
          <w:tcPr>
            <w:tcW w:w="1073" w:type="pct"/>
            <w:shd w:val="clear" w:color="auto" w:fill="D9D9D9"/>
            <w:vAlign w:val="center"/>
          </w:tcPr>
          <w:p w:rsidR="00FB7260" w:rsidRPr="00617671" w:rsidRDefault="00FB7260" w:rsidP="00547FD4">
            <w:pPr>
              <w:pStyle w:val="ListParagraph"/>
              <w:spacing w:before="60" w:after="60"/>
              <w:ind w:left="0"/>
              <w:rPr>
                <w:b/>
                <w:sz w:val="17"/>
                <w:szCs w:val="17"/>
              </w:rPr>
            </w:pPr>
            <w:r w:rsidRPr="00617671">
              <w:rPr>
                <w:b/>
                <w:sz w:val="17"/>
                <w:szCs w:val="17"/>
              </w:rPr>
              <w:t xml:space="preserve">Valsts obligātais  </w:t>
            </w:r>
            <w:r>
              <w:rPr>
                <w:b/>
                <w:sz w:val="17"/>
                <w:szCs w:val="17"/>
              </w:rPr>
              <w:t xml:space="preserve"> kumulatīvais </w:t>
            </w:r>
            <w:r w:rsidRPr="00617671">
              <w:rPr>
                <w:b/>
                <w:sz w:val="17"/>
                <w:szCs w:val="17"/>
              </w:rPr>
              <w:t>gala enerģijas ietaupījuma  mērķis</w:t>
            </w:r>
          </w:p>
        </w:tc>
        <w:tc>
          <w:tcPr>
            <w:tcW w:w="521" w:type="pct"/>
            <w:gridSpan w:val="2"/>
            <w:shd w:val="clear" w:color="auto" w:fill="D9D9D9"/>
            <w:vAlign w:val="center"/>
          </w:tcPr>
          <w:p w:rsidR="00FB7260" w:rsidRPr="00CB316D" w:rsidRDefault="00FB7260" w:rsidP="00547FD4">
            <w:pPr>
              <w:pStyle w:val="ListParagraph"/>
              <w:spacing w:before="60" w:after="60"/>
              <w:ind w:left="0"/>
              <w:jc w:val="center"/>
              <w:rPr>
                <w:rFonts w:cs="Times New Roman"/>
                <w:sz w:val="18"/>
                <w:szCs w:val="18"/>
              </w:rPr>
            </w:pPr>
          </w:p>
        </w:tc>
        <w:tc>
          <w:tcPr>
            <w:tcW w:w="643" w:type="pct"/>
            <w:shd w:val="clear" w:color="auto" w:fill="D9D9D9"/>
            <w:vAlign w:val="center"/>
          </w:tcPr>
          <w:p w:rsidR="00FB7260" w:rsidRPr="00CB316D" w:rsidRDefault="00FB7260" w:rsidP="00547FD4">
            <w:pPr>
              <w:pStyle w:val="ListParagraph"/>
              <w:spacing w:before="60" w:after="60"/>
              <w:ind w:left="0"/>
              <w:jc w:val="center"/>
              <w:rPr>
                <w:rFonts w:cs="Times New Roman"/>
                <w:sz w:val="18"/>
                <w:szCs w:val="18"/>
              </w:rPr>
            </w:pPr>
          </w:p>
        </w:tc>
        <w:tc>
          <w:tcPr>
            <w:tcW w:w="711" w:type="pct"/>
            <w:shd w:val="clear" w:color="auto" w:fill="D9D9D9"/>
            <w:vAlign w:val="center"/>
          </w:tcPr>
          <w:p w:rsidR="00FB7260" w:rsidRPr="00CB316D" w:rsidRDefault="00FB7260" w:rsidP="00547FD4">
            <w:pPr>
              <w:pStyle w:val="ListParagraph"/>
              <w:spacing w:before="60" w:after="60"/>
              <w:ind w:left="0"/>
              <w:jc w:val="center"/>
              <w:rPr>
                <w:rFonts w:cs="Times New Roman"/>
                <w:sz w:val="18"/>
                <w:szCs w:val="18"/>
              </w:rPr>
            </w:pPr>
          </w:p>
        </w:tc>
        <w:tc>
          <w:tcPr>
            <w:tcW w:w="870" w:type="pct"/>
            <w:shd w:val="clear" w:color="auto" w:fill="D9D9D9"/>
            <w:vAlign w:val="center"/>
          </w:tcPr>
          <w:p w:rsidR="00FB7260" w:rsidRPr="00CB316D" w:rsidRDefault="00FB7260" w:rsidP="00547FD4">
            <w:pPr>
              <w:pStyle w:val="ListParagraph"/>
              <w:spacing w:before="60" w:after="60"/>
              <w:ind w:left="0"/>
              <w:jc w:val="center"/>
              <w:rPr>
                <w:rFonts w:cs="Times New Roman"/>
                <w:b/>
                <w:sz w:val="18"/>
                <w:szCs w:val="18"/>
              </w:rPr>
            </w:pPr>
          </w:p>
        </w:tc>
        <w:tc>
          <w:tcPr>
            <w:tcW w:w="1182" w:type="pct"/>
            <w:shd w:val="clear" w:color="auto" w:fill="D9D9D9"/>
            <w:vAlign w:val="center"/>
          </w:tcPr>
          <w:p w:rsidR="00FB7260" w:rsidRPr="00CB316D" w:rsidRDefault="00FB7260" w:rsidP="00547FD4">
            <w:pPr>
              <w:pStyle w:val="ListParagraph"/>
              <w:spacing w:before="60" w:after="60"/>
              <w:ind w:left="0"/>
              <w:jc w:val="center"/>
              <w:rPr>
                <w:rFonts w:eastAsiaTheme="majorEastAsia"/>
                <w:b/>
                <w:bCs/>
                <w:sz w:val="18"/>
                <w:szCs w:val="18"/>
              </w:rPr>
            </w:pPr>
            <w:r w:rsidRPr="00026077">
              <w:rPr>
                <w:b/>
                <w:sz w:val="18"/>
                <w:szCs w:val="18"/>
              </w:rPr>
              <w:t>0,85 Mtoe</w:t>
            </w:r>
            <w:r>
              <w:rPr>
                <w:b/>
                <w:sz w:val="18"/>
                <w:szCs w:val="18"/>
              </w:rPr>
              <w:t xml:space="preserve"> (</w:t>
            </w:r>
            <w:r w:rsidRPr="00026077">
              <w:rPr>
                <w:b/>
                <w:sz w:val="18"/>
                <w:szCs w:val="18"/>
              </w:rPr>
              <w:t xml:space="preserve">9897 GWh; 35,6 PJ) </w:t>
            </w:r>
          </w:p>
        </w:tc>
      </w:tr>
      <w:tr w:rsidR="00ED22F0" w:rsidRPr="00CB316D" w:rsidTr="00ED22F0">
        <w:trPr>
          <w:jc w:val="center"/>
        </w:trPr>
        <w:tc>
          <w:tcPr>
            <w:tcW w:w="1073" w:type="pct"/>
            <w:shd w:val="clear" w:color="auto" w:fill="D9D9D9"/>
            <w:vAlign w:val="center"/>
          </w:tcPr>
          <w:p w:rsidR="008F3207" w:rsidRPr="00FA5CE5" w:rsidRDefault="008F3207" w:rsidP="0036140D">
            <w:pPr>
              <w:pStyle w:val="ListParagraph"/>
              <w:spacing w:before="60" w:after="60"/>
              <w:ind w:left="0"/>
              <w:rPr>
                <w:b/>
                <w:sz w:val="17"/>
                <w:szCs w:val="17"/>
              </w:rPr>
            </w:pPr>
            <w:r w:rsidRPr="00FA5CE5">
              <w:rPr>
                <w:b/>
                <w:sz w:val="17"/>
                <w:szCs w:val="17"/>
              </w:rPr>
              <w:t>Valsts tiešās pārvaldes ēku 3% platības renovācija (katru gadu)</w:t>
            </w:r>
            <w:r w:rsidR="00162D4E">
              <w:rPr>
                <w:b/>
                <w:sz w:val="17"/>
                <w:szCs w:val="17"/>
              </w:rPr>
              <w:t>(kopā renovēti)</w:t>
            </w:r>
          </w:p>
        </w:tc>
        <w:tc>
          <w:tcPr>
            <w:tcW w:w="512" w:type="pct"/>
            <w:shd w:val="clear" w:color="auto" w:fill="D9D9D9"/>
            <w:vAlign w:val="center"/>
          </w:tcPr>
          <w:p w:rsidR="008F3207" w:rsidRPr="000E0F03" w:rsidRDefault="008F3207" w:rsidP="0036140D">
            <w:pPr>
              <w:pStyle w:val="ListParagraph"/>
              <w:spacing w:before="60" w:after="60"/>
              <w:ind w:left="0"/>
              <w:jc w:val="center"/>
              <w:rPr>
                <w:rFonts w:cs="Times New Roman"/>
                <w:sz w:val="18"/>
                <w:szCs w:val="18"/>
              </w:rPr>
            </w:pPr>
          </w:p>
        </w:tc>
        <w:tc>
          <w:tcPr>
            <w:tcW w:w="652" w:type="pct"/>
            <w:gridSpan w:val="2"/>
            <w:shd w:val="clear" w:color="auto" w:fill="D9D9D9"/>
            <w:vAlign w:val="center"/>
          </w:tcPr>
          <w:p w:rsidR="008F3207" w:rsidRPr="00CB316D" w:rsidRDefault="008F3207" w:rsidP="0036140D">
            <w:pPr>
              <w:pStyle w:val="ListParagraph"/>
              <w:spacing w:before="60" w:after="60"/>
              <w:ind w:left="0"/>
              <w:jc w:val="center"/>
              <w:rPr>
                <w:rFonts w:cs="Times New Roman"/>
                <w:sz w:val="18"/>
                <w:szCs w:val="18"/>
              </w:rPr>
            </w:pPr>
          </w:p>
        </w:tc>
        <w:tc>
          <w:tcPr>
            <w:tcW w:w="711" w:type="pct"/>
            <w:shd w:val="clear" w:color="auto" w:fill="D9D9D9"/>
            <w:vAlign w:val="center"/>
          </w:tcPr>
          <w:p w:rsidR="008F3207" w:rsidRPr="00CB316D" w:rsidRDefault="008F3207" w:rsidP="0036140D">
            <w:pPr>
              <w:pStyle w:val="ListParagraph"/>
              <w:spacing w:before="60" w:after="60"/>
              <w:ind w:left="0"/>
              <w:jc w:val="center"/>
              <w:rPr>
                <w:rFonts w:cs="Times New Roman"/>
                <w:sz w:val="18"/>
                <w:szCs w:val="18"/>
              </w:rPr>
            </w:pPr>
          </w:p>
        </w:tc>
        <w:tc>
          <w:tcPr>
            <w:tcW w:w="870" w:type="pct"/>
            <w:shd w:val="clear" w:color="auto" w:fill="D9D9D9"/>
            <w:vAlign w:val="center"/>
          </w:tcPr>
          <w:p w:rsidR="008F3207" w:rsidRPr="00CB316D" w:rsidRDefault="008F3207" w:rsidP="0036140D">
            <w:pPr>
              <w:pStyle w:val="ListParagraph"/>
              <w:spacing w:before="60" w:after="60"/>
              <w:ind w:left="0"/>
              <w:jc w:val="center"/>
              <w:rPr>
                <w:rFonts w:cs="Times New Roman"/>
                <w:b/>
                <w:sz w:val="18"/>
                <w:szCs w:val="18"/>
              </w:rPr>
            </w:pPr>
          </w:p>
        </w:tc>
        <w:tc>
          <w:tcPr>
            <w:tcW w:w="1182" w:type="pct"/>
            <w:shd w:val="clear" w:color="auto" w:fill="D9D9D9"/>
            <w:vAlign w:val="center"/>
          </w:tcPr>
          <w:p w:rsidR="008F3207" w:rsidRPr="00CB316D" w:rsidRDefault="00162D4E" w:rsidP="0036140D">
            <w:pPr>
              <w:pStyle w:val="ListParagraph"/>
              <w:spacing w:before="60" w:after="60"/>
              <w:ind w:left="0"/>
              <w:jc w:val="center"/>
              <w:rPr>
                <w:b/>
                <w:sz w:val="18"/>
                <w:szCs w:val="18"/>
              </w:rPr>
            </w:pPr>
            <w:r>
              <w:rPr>
                <w:b/>
                <w:sz w:val="18"/>
                <w:szCs w:val="18"/>
              </w:rPr>
              <w:t>678 460 m2</w:t>
            </w:r>
          </w:p>
        </w:tc>
      </w:tr>
      <w:tr w:rsidR="00162D4E" w:rsidRPr="00CB316D" w:rsidTr="00ED22F0">
        <w:trPr>
          <w:jc w:val="center"/>
        </w:trPr>
        <w:tc>
          <w:tcPr>
            <w:tcW w:w="1073" w:type="pct"/>
            <w:shd w:val="clear" w:color="auto" w:fill="D9D9D9"/>
            <w:vAlign w:val="center"/>
          </w:tcPr>
          <w:p w:rsidR="00162D4E" w:rsidRPr="00FA5CE5" w:rsidRDefault="00162D4E" w:rsidP="00985767">
            <w:pPr>
              <w:pStyle w:val="ListParagraph"/>
              <w:spacing w:before="60" w:after="60"/>
              <w:ind w:left="0"/>
              <w:rPr>
                <w:rFonts w:cs="Times New Roman"/>
                <w:b/>
                <w:sz w:val="17"/>
                <w:szCs w:val="17"/>
              </w:rPr>
            </w:pPr>
            <w:r w:rsidRPr="00FA5CE5">
              <w:rPr>
                <w:rFonts w:cs="Times New Roman"/>
                <w:b/>
                <w:sz w:val="17"/>
                <w:szCs w:val="17"/>
              </w:rPr>
              <w:t>Īpatnējais siltumenerģijas patēriņš ēkās (kWh/m</w:t>
            </w:r>
            <w:r w:rsidRPr="00FA5CE5">
              <w:rPr>
                <w:rFonts w:cs="Times New Roman"/>
                <w:b/>
                <w:sz w:val="17"/>
                <w:szCs w:val="17"/>
                <w:vertAlign w:val="superscript"/>
              </w:rPr>
              <w:t>2</w:t>
            </w:r>
            <w:r w:rsidRPr="00FA5CE5">
              <w:rPr>
                <w:rFonts w:cs="Times New Roman"/>
                <w:b/>
                <w:sz w:val="17"/>
                <w:szCs w:val="17"/>
              </w:rPr>
              <w:t>/gadā.)</w:t>
            </w:r>
          </w:p>
        </w:tc>
        <w:tc>
          <w:tcPr>
            <w:tcW w:w="512" w:type="pct"/>
            <w:shd w:val="clear" w:color="auto" w:fill="D9D9D9"/>
            <w:vAlign w:val="center"/>
          </w:tcPr>
          <w:p w:rsidR="00162D4E" w:rsidRPr="00FA5CE5" w:rsidRDefault="00162D4E" w:rsidP="00985767">
            <w:pPr>
              <w:pStyle w:val="ListParagraph"/>
              <w:spacing w:before="60" w:after="60"/>
              <w:ind w:left="0"/>
              <w:jc w:val="center"/>
              <w:rPr>
                <w:rFonts w:cs="Times New Roman"/>
                <w:sz w:val="17"/>
                <w:szCs w:val="17"/>
              </w:rPr>
            </w:pPr>
          </w:p>
        </w:tc>
        <w:tc>
          <w:tcPr>
            <w:tcW w:w="652" w:type="pct"/>
            <w:gridSpan w:val="2"/>
            <w:shd w:val="clear" w:color="auto" w:fill="D9D9D9"/>
            <w:vAlign w:val="center"/>
          </w:tcPr>
          <w:p w:rsidR="00162D4E" w:rsidRPr="00FA5CE5" w:rsidRDefault="00162D4E" w:rsidP="00985767">
            <w:pPr>
              <w:pStyle w:val="ListParagraph"/>
              <w:spacing w:before="60" w:after="60"/>
              <w:ind w:left="0"/>
              <w:jc w:val="center"/>
              <w:rPr>
                <w:rFonts w:cs="Times New Roman"/>
                <w:sz w:val="17"/>
                <w:szCs w:val="17"/>
              </w:rPr>
            </w:pPr>
          </w:p>
        </w:tc>
        <w:tc>
          <w:tcPr>
            <w:tcW w:w="711" w:type="pct"/>
            <w:shd w:val="clear" w:color="auto" w:fill="D9D9D9"/>
            <w:vAlign w:val="center"/>
          </w:tcPr>
          <w:p w:rsidR="00162D4E" w:rsidRPr="00FA5CE5" w:rsidRDefault="00162D4E" w:rsidP="00985767">
            <w:pPr>
              <w:pStyle w:val="ListParagraph"/>
              <w:spacing w:before="60" w:after="60"/>
              <w:ind w:left="0"/>
              <w:jc w:val="center"/>
              <w:rPr>
                <w:rFonts w:cs="Times New Roman"/>
                <w:sz w:val="17"/>
                <w:szCs w:val="17"/>
              </w:rPr>
            </w:pPr>
            <w:r w:rsidRPr="00FA5CE5">
              <w:rPr>
                <w:rFonts w:cs="Times New Roman"/>
                <w:sz w:val="17"/>
                <w:szCs w:val="17"/>
              </w:rPr>
              <w:t>202</w:t>
            </w:r>
          </w:p>
          <w:p w:rsidR="00162D4E" w:rsidRPr="00FA5CE5" w:rsidRDefault="00162D4E" w:rsidP="00985767">
            <w:pPr>
              <w:pStyle w:val="ListParagraph"/>
              <w:spacing w:before="60" w:after="60"/>
              <w:ind w:left="0"/>
              <w:jc w:val="center"/>
              <w:rPr>
                <w:rFonts w:cs="Times New Roman"/>
                <w:sz w:val="17"/>
                <w:szCs w:val="17"/>
              </w:rPr>
            </w:pPr>
            <w:r w:rsidRPr="00FA5CE5">
              <w:rPr>
                <w:rFonts w:cs="Times New Roman"/>
                <w:sz w:val="17"/>
                <w:szCs w:val="17"/>
              </w:rPr>
              <w:t>(2009)</w:t>
            </w:r>
          </w:p>
        </w:tc>
        <w:tc>
          <w:tcPr>
            <w:tcW w:w="870" w:type="pct"/>
            <w:shd w:val="clear" w:color="auto" w:fill="D9D9D9"/>
            <w:vAlign w:val="center"/>
          </w:tcPr>
          <w:p w:rsidR="00162D4E" w:rsidRPr="00FA5CE5" w:rsidRDefault="00162D4E" w:rsidP="00985767">
            <w:pPr>
              <w:pStyle w:val="ListParagraph"/>
              <w:spacing w:before="60" w:after="60"/>
              <w:ind w:left="0"/>
              <w:jc w:val="center"/>
              <w:rPr>
                <w:rFonts w:cs="Times New Roman"/>
                <w:b/>
                <w:sz w:val="17"/>
                <w:szCs w:val="17"/>
              </w:rPr>
            </w:pPr>
          </w:p>
        </w:tc>
        <w:tc>
          <w:tcPr>
            <w:tcW w:w="1182" w:type="pct"/>
            <w:shd w:val="clear" w:color="auto" w:fill="D9D9D9"/>
            <w:vAlign w:val="center"/>
          </w:tcPr>
          <w:p w:rsidR="00162D4E" w:rsidRPr="00FA5CE5" w:rsidRDefault="00162D4E" w:rsidP="00985767">
            <w:pPr>
              <w:pStyle w:val="ListParagraph"/>
              <w:spacing w:before="60" w:after="60"/>
              <w:ind w:left="0"/>
              <w:jc w:val="center"/>
              <w:rPr>
                <w:rFonts w:cs="Times New Roman"/>
                <w:b/>
                <w:sz w:val="17"/>
                <w:szCs w:val="17"/>
              </w:rPr>
            </w:pPr>
            <w:r w:rsidRPr="00FA5CE5">
              <w:rPr>
                <w:rFonts w:cs="Times New Roman"/>
                <w:b/>
                <w:sz w:val="17"/>
                <w:szCs w:val="17"/>
              </w:rPr>
              <w:t>150</w:t>
            </w:r>
          </w:p>
        </w:tc>
      </w:tr>
      <w:tr w:rsidR="00ED22F0" w:rsidRPr="00FA5CE5" w:rsidTr="00ED22F0">
        <w:trPr>
          <w:jc w:val="center"/>
        </w:trPr>
        <w:tc>
          <w:tcPr>
            <w:tcW w:w="1073" w:type="pct"/>
            <w:shd w:val="clear" w:color="auto" w:fill="D9D9D9"/>
            <w:vAlign w:val="center"/>
          </w:tcPr>
          <w:p w:rsidR="008F3207" w:rsidRPr="00FA5CE5" w:rsidRDefault="008F3207" w:rsidP="0036140D">
            <w:pPr>
              <w:pStyle w:val="ListParagraph"/>
              <w:spacing w:before="60" w:after="60"/>
              <w:ind w:left="0"/>
              <w:rPr>
                <w:rFonts w:cs="Times New Roman"/>
                <w:b/>
                <w:bCs/>
                <w:sz w:val="17"/>
                <w:szCs w:val="17"/>
              </w:rPr>
            </w:pPr>
            <w:r w:rsidRPr="00FA5CE5">
              <w:rPr>
                <w:rFonts w:cs="Times New Roman"/>
                <w:b/>
                <w:bCs/>
                <w:sz w:val="17"/>
                <w:szCs w:val="17"/>
              </w:rPr>
              <w:t>Energointensitāte ekonomikā (bruto iekšzemes enerģijas patēriņš pret IKP, kg naftas ekvivalenta uz 1000 EUR no IKP)</w:t>
            </w:r>
          </w:p>
        </w:tc>
        <w:tc>
          <w:tcPr>
            <w:tcW w:w="512" w:type="pct"/>
            <w:shd w:val="clear" w:color="auto" w:fill="D9D9D9"/>
            <w:vAlign w:val="center"/>
          </w:tcPr>
          <w:p w:rsidR="008F3207" w:rsidRPr="00FA5CE5" w:rsidRDefault="008F3207" w:rsidP="0036140D">
            <w:pPr>
              <w:pStyle w:val="ListParagraph"/>
              <w:spacing w:before="60" w:after="60"/>
              <w:ind w:left="0"/>
              <w:jc w:val="center"/>
              <w:rPr>
                <w:rFonts w:cs="Times New Roman"/>
                <w:sz w:val="17"/>
                <w:szCs w:val="17"/>
              </w:rPr>
            </w:pPr>
          </w:p>
        </w:tc>
        <w:tc>
          <w:tcPr>
            <w:tcW w:w="652" w:type="pct"/>
            <w:gridSpan w:val="2"/>
            <w:shd w:val="clear" w:color="auto" w:fill="D9D9D9"/>
            <w:vAlign w:val="center"/>
          </w:tcPr>
          <w:p w:rsidR="008F3207" w:rsidRPr="00FA5CE5" w:rsidRDefault="008F3207" w:rsidP="0036140D">
            <w:pPr>
              <w:pStyle w:val="ListParagraph"/>
              <w:spacing w:before="60" w:after="60"/>
              <w:ind w:left="0"/>
              <w:jc w:val="center"/>
              <w:rPr>
                <w:rFonts w:cs="Times New Roman"/>
                <w:sz w:val="17"/>
                <w:szCs w:val="17"/>
              </w:rPr>
            </w:pPr>
          </w:p>
        </w:tc>
        <w:tc>
          <w:tcPr>
            <w:tcW w:w="711" w:type="pct"/>
            <w:shd w:val="clear" w:color="auto" w:fill="D9D9D9"/>
            <w:vAlign w:val="center"/>
          </w:tcPr>
          <w:p w:rsidR="008F3207" w:rsidRPr="00FA5CE5" w:rsidRDefault="008F3207" w:rsidP="0036140D">
            <w:pPr>
              <w:pStyle w:val="ListParagraph"/>
              <w:spacing w:before="60" w:after="60"/>
              <w:ind w:left="0"/>
              <w:jc w:val="center"/>
              <w:rPr>
                <w:rFonts w:cs="Times New Roman"/>
                <w:sz w:val="17"/>
                <w:szCs w:val="17"/>
              </w:rPr>
            </w:pPr>
            <w:r w:rsidRPr="00FA5CE5">
              <w:rPr>
                <w:rFonts w:cs="Times New Roman"/>
                <w:sz w:val="17"/>
                <w:szCs w:val="17"/>
              </w:rPr>
              <w:t>372,9</w:t>
            </w:r>
          </w:p>
          <w:p w:rsidR="008F3207" w:rsidRPr="00FA5CE5" w:rsidRDefault="008F3207" w:rsidP="0036140D">
            <w:pPr>
              <w:pStyle w:val="ListParagraph"/>
              <w:spacing w:before="60" w:after="60"/>
              <w:ind w:left="0"/>
              <w:jc w:val="center"/>
              <w:rPr>
                <w:rFonts w:cs="Times New Roman"/>
                <w:sz w:val="17"/>
                <w:szCs w:val="17"/>
              </w:rPr>
            </w:pPr>
            <w:r w:rsidRPr="00FA5CE5">
              <w:rPr>
                <w:rFonts w:cs="Times New Roman"/>
                <w:sz w:val="17"/>
                <w:szCs w:val="17"/>
              </w:rPr>
              <w:t>(2010)</w:t>
            </w:r>
          </w:p>
        </w:tc>
        <w:tc>
          <w:tcPr>
            <w:tcW w:w="870" w:type="pct"/>
            <w:shd w:val="clear" w:color="auto" w:fill="D9D9D9"/>
            <w:vAlign w:val="center"/>
          </w:tcPr>
          <w:p w:rsidR="008F3207" w:rsidRPr="00FA5CE5" w:rsidRDefault="008F3207"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8F3207" w:rsidRPr="00FA5CE5" w:rsidRDefault="008F3207" w:rsidP="0036140D">
            <w:pPr>
              <w:pStyle w:val="ListParagraph"/>
              <w:spacing w:before="60" w:after="60"/>
              <w:ind w:left="0"/>
              <w:jc w:val="center"/>
              <w:rPr>
                <w:rFonts w:cs="Times New Roman"/>
                <w:b/>
                <w:sz w:val="17"/>
                <w:szCs w:val="17"/>
              </w:rPr>
            </w:pPr>
            <w:r w:rsidRPr="00FA5CE5">
              <w:rPr>
                <w:rFonts w:cs="Times New Roman"/>
                <w:b/>
                <w:sz w:val="17"/>
                <w:szCs w:val="17"/>
              </w:rPr>
              <w:t>280</w:t>
            </w:r>
          </w:p>
        </w:tc>
      </w:tr>
      <w:tr w:rsidR="00ED22F0" w:rsidRPr="00617671" w:rsidTr="00ED22F0">
        <w:trPr>
          <w:trHeight w:val="1477"/>
          <w:jc w:val="center"/>
        </w:trPr>
        <w:tc>
          <w:tcPr>
            <w:tcW w:w="1073" w:type="pct"/>
            <w:shd w:val="clear" w:color="auto" w:fill="D9D9D9"/>
            <w:vAlign w:val="center"/>
          </w:tcPr>
          <w:p w:rsidR="008F3207" w:rsidRPr="00251313" w:rsidRDefault="008F3207" w:rsidP="0036140D">
            <w:pPr>
              <w:pStyle w:val="ListParagraph"/>
              <w:spacing w:before="60" w:after="60"/>
              <w:ind w:left="0"/>
              <w:rPr>
                <w:rFonts w:cs="Times New Roman"/>
                <w:b/>
                <w:bCs/>
                <w:sz w:val="17"/>
                <w:szCs w:val="17"/>
              </w:rPr>
            </w:pPr>
            <w:r w:rsidRPr="00251313">
              <w:rPr>
                <w:rFonts w:cs="Times New Roman"/>
                <w:b/>
                <w:sz w:val="17"/>
                <w:szCs w:val="17"/>
              </w:rPr>
              <w:t xml:space="preserve">Siltumnīcefekta gāzu (SEG) emisijas </w:t>
            </w:r>
          </w:p>
        </w:tc>
        <w:tc>
          <w:tcPr>
            <w:tcW w:w="512" w:type="pct"/>
            <w:shd w:val="clear" w:color="auto" w:fill="D9D9D9"/>
            <w:vAlign w:val="center"/>
          </w:tcPr>
          <w:p w:rsidR="008F3207" w:rsidRPr="00251313" w:rsidRDefault="008F3207" w:rsidP="0036140D">
            <w:pPr>
              <w:pStyle w:val="ListParagraph"/>
              <w:spacing w:before="60" w:after="60"/>
              <w:ind w:left="0"/>
              <w:jc w:val="center"/>
              <w:rPr>
                <w:rFonts w:cs="Times New Roman"/>
                <w:sz w:val="17"/>
                <w:szCs w:val="17"/>
              </w:rPr>
            </w:pPr>
            <w:r w:rsidRPr="00251313">
              <w:rPr>
                <w:rFonts w:cs="Times New Roman"/>
                <w:sz w:val="17"/>
                <w:szCs w:val="17"/>
              </w:rPr>
              <w:t>samazināt par 20%, salīdzinot ar 1990.gadu</w:t>
            </w:r>
          </w:p>
        </w:tc>
        <w:tc>
          <w:tcPr>
            <w:tcW w:w="652" w:type="pct"/>
            <w:gridSpan w:val="2"/>
            <w:shd w:val="clear" w:color="auto" w:fill="D9D9D9"/>
            <w:vAlign w:val="center"/>
          </w:tcPr>
          <w:p w:rsidR="008F3207" w:rsidRPr="00251313" w:rsidRDefault="008F3207" w:rsidP="00D47298">
            <w:pPr>
              <w:pStyle w:val="ListParagraph"/>
              <w:spacing w:before="60" w:after="60"/>
              <w:ind w:left="0"/>
              <w:jc w:val="center"/>
              <w:rPr>
                <w:rFonts w:cs="Times New Roman"/>
                <w:sz w:val="17"/>
                <w:szCs w:val="17"/>
              </w:rPr>
            </w:pPr>
            <w:r w:rsidRPr="00251313">
              <w:rPr>
                <w:rFonts w:cs="Times New Roman"/>
                <w:sz w:val="17"/>
                <w:szCs w:val="17"/>
              </w:rPr>
              <w:t>samazināt par 40%, salīdzinot ar 2005.gadu</w:t>
            </w:r>
          </w:p>
        </w:tc>
        <w:tc>
          <w:tcPr>
            <w:tcW w:w="711" w:type="pct"/>
            <w:shd w:val="clear" w:color="auto" w:fill="D9D9D9"/>
            <w:vAlign w:val="center"/>
          </w:tcPr>
          <w:p w:rsidR="008F3207" w:rsidRPr="00FA5CE5" w:rsidRDefault="008F3207" w:rsidP="0036140D">
            <w:pPr>
              <w:pStyle w:val="ListParagraph"/>
              <w:spacing w:before="60" w:after="60"/>
              <w:ind w:left="0"/>
              <w:jc w:val="center"/>
              <w:rPr>
                <w:rFonts w:cs="Times New Roman"/>
                <w:sz w:val="17"/>
                <w:szCs w:val="17"/>
              </w:rPr>
            </w:pPr>
            <w:r w:rsidRPr="00FA5CE5">
              <w:rPr>
                <w:rFonts w:cs="Times New Roman"/>
                <w:sz w:val="17"/>
                <w:szCs w:val="17"/>
              </w:rPr>
              <w:t>44,4</w:t>
            </w:r>
          </w:p>
          <w:p w:rsidR="008F3207" w:rsidRPr="00FA5CE5" w:rsidRDefault="008F3207" w:rsidP="0036140D">
            <w:pPr>
              <w:pStyle w:val="ListParagraph"/>
              <w:spacing w:before="60" w:after="60"/>
              <w:ind w:left="0"/>
              <w:jc w:val="center"/>
              <w:rPr>
                <w:rFonts w:cs="Times New Roman"/>
                <w:sz w:val="17"/>
                <w:szCs w:val="17"/>
              </w:rPr>
            </w:pPr>
            <w:r w:rsidRPr="00FA5CE5">
              <w:rPr>
                <w:rFonts w:cs="Times New Roman"/>
                <w:sz w:val="17"/>
                <w:szCs w:val="17"/>
              </w:rPr>
              <w:t>(2008)</w:t>
            </w:r>
          </w:p>
        </w:tc>
        <w:tc>
          <w:tcPr>
            <w:tcW w:w="870" w:type="pct"/>
            <w:shd w:val="clear" w:color="auto" w:fill="D9D9D9"/>
            <w:vAlign w:val="center"/>
          </w:tcPr>
          <w:p w:rsidR="008F3207" w:rsidRPr="00FA5CE5" w:rsidRDefault="008F3207"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8F3207" w:rsidRPr="00FA5CE5" w:rsidRDefault="008F3207" w:rsidP="0036140D">
            <w:pPr>
              <w:pStyle w:val="ListParagraph"/>
              <w:spacing w:before="60" w:after="60"/>
              <w:ind w:left="0"/>
              <w:jc w:val="center"/>
              <w:rPr>
                <w:rFonts w:cs="Times New Roman"/>
                <w:b/>
                <w:sz w:val="17"/>
                <w:szCs w:val="17"/>
              </w:rPr>
            </w:pPr>
            <w:r w:rsidRPr="00FA5CE5">
              <w:rPr>
                <w:rFonts w:cs="Times New Roman"/>
                <w:b/>
                <w:sz w:val="17"/>
                <w:szCs w:val="17"/>
              </w:rPr>
              <w:t>Ierobežot SEG nozarēs ārpus ne-ETS</w:t>
            </w:r>
            <w:r w:rsidRPr="00FA5CE5">
              <w:rPr>
                <w:rFonts w:cs="Times New Roman"/>
                <w:b/>
                <w:sz w:val="17"/>
                <w:szCs w:val="17"/>
                <w:vertAlign w:val="superscript"/>
              </w:rPr>
              <w:t xml:space="preserve">7 </w:t>
            </w:r>
            <w:r w:rsidRPr="00FA5CE5">
              <w:rPr>
                <w:rFonts w:cs="Times New Roman"/>
                <w:b/>
                <w:sz w:val="17"/>
                <w:szCs w:val="17"/>
              </w:rPr>
              <w:t>nozarēs tā, lai pieaugums nepārsniegtu 17%, salīdzinot ar 2005.gadu</w:t>
            </w:r>
          </w:p>
        </w:tc>
      </w:tr>
      <w:tr w:rsidR="00ED22F0" w:rsidRPr="00617671" w:rsidTr="00ED22F0">
        <w:trPr>
          <w:trHeight w:val="1476"/>
          <w:jc w:val="center"/>
        </w:trPr>
        <w:tc>
          <w:tcPr>
            <w:tcW w:w="1073" w:type="pct"/>
            <w:shd w:val="clear" w:color="auto" w:fill="D9D9D9"/>
            <w:vAlign w:val="center"/>
          </w:tcPr>
          <w:p w:rsidR="008F3207" w:rsidRPr="006E68C3" w:rsidRDefault="008F3207" w:rsidP="0036140D">
            <w:pPr>
              <w:pStyle w:val="ListParagraph"/>
              <w:spacing w:before="60" w:after="60"/>
              <w:ind w:left="0"/>
              <w:rPr>
                <w:rFonts w:cs="Times New Roman"/>
                <w:b/>
                <w:sz w:val="17"/>
                <w:szCs w:val="17"/>
              </w:rPr>
            </w:pPr>
          </w:p>
        </w:tc>
        <w:tc>
          <w:tcPr>
            <w:tcW w:w="512" w:type="pct"/>
            <w:shd w:val="clear" w:color="auto" w:fill="D9D9D9"/>
            <w:vAlign w:val="center"/>
          </w:tcPr>
          <w:p w:rsidR="008F3207" w:rsidRPr="006E68C3" w:rsidRDefault="008F3207" w:rsidP="0036140D">
            <w:pPr>
              <w:pStyle w:val="ListParagraph"/>
              <w:spacing w:before="60" w:after="60"/>
              <w:ind w:left="0"/>
              <w:jc w:val="center"/>
              <w:rPr>
                <w:rFonts w:cs="Times New Roman"/>
                <w:sz w:val="17"/>
                <w:szCs w:val="17"/>
              </w:rPr>
            </w:pPr>
          </w:p>
        </w:tc>
        <w:tc>
          <w:tcPr>
            <w:tcW w:w="652" w:type="pct"/>
            <w:gridSpan w:val="2"/>
            <w:shd w:val="clear" w:color="auto" w:fill="D9D9D9"/>
            <w:vAlign w:val="center"/>
          </w:tcPr>
          <w:p w:rsidR="008F3207" w:rsidRPr="006E68C3" w:rsidRDefault="008F3207" w:rsidP="0036140D">
            <w:pPr>
              <w:pStyle w:val="ListParagraph"/>
              <w:spacing w:before="60" w:after="60"/>
              <w:ind w:left="0"/>
              <w:jc w:val="center"/>
              <w:rPr>
                <w:rFonts w:cs="Times New Roman"/>
                <w:sz w:val="17"/>
                <w:szCs w:val="17"/>
              </w:rPr>
            </w:pPr>
          </w:p>
        </w:tc>
        <w:tc>
          <w:tcPr>
            <w:tcW w:w="711" w:type="pct"/>
            <w:shd w:val="clear" w:color="auto" w:fill="D9D9D9"/>
            <w:vAlign w:val="center"/>
          </w:tcPr>
          <w:p w:rsidR="008F3207" w:rsidRPr="006E68C3" w:rsidRDefault="008F3207" w:rsidP="0036140D">
            <w:pPr>
              <w:pStyle w:val="ListParagraph"/>
              <w:spacing w:before="60" w:after="60"/>
              <w:ind w:left="0"/>
              <w:jc w:val="center"/>
              <w:rPr>
                <w:rFonts w:cs="Times New Roman"/>
                <w:sz w:val="17"/>
                <w:szCs w:val="17"/>
              </w:rPr>
            </w:pPr>
            <w:r w:rsidRPr="006E68C3">
              <w:rPr>
                <w:rFonts w:cs="Times New Roman"/>
                <w:sz w:val="17"/>
                <w:szCs w:val="17"/>
              </w:rPr>
              <w:t>11,9 Mt</w:t>
            </w:r>
          </w:p>
          <w:p w:rsidR="008F3207" w:rsidRPr="006E68C3" w:rsidRDefault="008F3207" w:rsidP="0036140D">
            <w:pPr>
              <w:pStyle w:val="ListParagraph"/>
              <w:spacing w:before="60" w:after="60"/>
              <w:ind w:left="0"/>
              <w:jc w:val="center"/>
              <w:rPr>
                <w:rFonts w:cs="Times New Roman"/>
                <w:sz w:val="17"/>
                <w:szCs w:val="17"/>
              </w:rPr>
            </w:pPr>
            <w:r w:rsidRPr="006E68C3">
              <w:rPr>
                <w:rFonts w:cs="Times New Roman"/>
                <w:sz w:val="17"/>
                <w:szCs w:val="17"/>
              </w:rPr>
              <w:t>(2008)</w:t>
            </w:r>
          </w:p>
        </w:tc>
        <w:tc>
          <w:tcPr>
            <w:tcW w:w="870" w:type="pct"/>
            <w:shd w:val="clear" w:color="auto" w:fill="D9D9D9"/>
            <w:vAlign w:val="center"/>
          </w:tcPr>
          <w:p w:rsidR="008F3207" w:rsidRPr="006E68C3" w:rsidRDefault="008F3207"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8F3207" w:rsidRPr="006E68C3" w:rsidRDefault="008F3207" w:rsidP="0036140D">
            <w:pPr>
              <w:pStyle w:val="ListParagraph"/>
              <w:spacing w:before="60" w:after="60"/>
              <w:ind w:left="0"/>
              <w:jc w:val="center"/>
              <w:rPr>
                <w:rFonts w:cs="Times New Roman"/>
                <w:b/>
                <w:sz w:val="17"/>
                <w:szCs w:val="17"/>
              </w:rPr>
            </w:pPr>
            <w:r w:rsidRPr="006E68C3">
              <w:rPr>
                <w:rFonts w:cs="Times New Roman"/>
                <w:b/>
                <w:sz w:val="17"/>
                <w:szCs w:val="17"/>
              </w:rPr>
              <w:t>Ierobežot valsts kopējās SEG emisijas, lai 2020.gadā tās nepārsniegtu 12,19 Mt CO2 ekvivalenta</w:t>
            </w:r>
          </w:p>
        </w:tc>
      </w:tr>
    </w:tbl>
    <w:p w:rsidR="001D7450" w:rsidRDefault="001D7450" w:rsidP="001D7450">
      <w:pPr>
        <w:jc w:val="right"/>
      </w:pPr>
      <w:r>
        <w:br w:type="page"/>
      </w:r>
      <w:r>
        <w:lastRenderedPageBreak/>
        <w:t>1.tabulas turpinājums</w:t>
      </w:r>
    </w:p>
    <w:p w:rsidR="001D7450" w:rsidRPr="001D7450" w:rsidRDefault="001D7450" w:rsidP="001D7450">
      <w:pPr>
        <w:jc w:val="right"/>
      </w:pPr>
    </w:p>
    <w:tbl>
      <w:tblPr>
        <w:tblW w:w="4833" w:type="pct"/>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919"/>
        <w:gridCol w:w="1171"/>
        <w:gridCol w:w="1277"/>
        <w:gridCol w:w="1562"/>
        <w:gridCol w:w="2122"/>
      </w:tblGrid>
      <w:tr w:rsidR="00ED22F0" w:rsidRPr="00617671" w:rsidTr="00ED22F0">
        <w:trPr>
          <w:jc w:val="center"/>
        </w:trPr>
        <w:tc>
          <w:tcPr>
            <w:tcW w:w="1073" w:type="pct"/>
            <w:shd w:val="clear" w:color="auto" w:fill="D9D9D9"/>
            <w:vAlign w:val="center"/>
          </w:tcPr>
          <w:p w:rsidR="00ED22F0" w:rsidRPr="00251313" w:rsidRDefault="00ED22F0" w:rsidP="0036140D">
            <w:pPr>
              <w:pStyle w:val="ListParagraph"/>
              <w:spacing w:before="60" w:after="60"/>
              <w:ind w:left="0"/>
              <w:rPr>
                <w:rFonts w:cs="Times New Roman"/>
                <w:b/>
                <w:sz w:val="17"/>
                <w:szCs w:val="17"/>
              </w:rPr>
            </w:pPr>
            <w:r w:rsidRPr="00251313">
              <w:rPr>
                <w:rFonts w:cs="Times New Roman"/>
                <w:b/>
                <w:sz w:val="17"/>
                <w:szCs w:val="17"/>
              </w:rPr>
              <w:t>Tautsaimniecības SEG emisiju intensitāte (t CO2 ekvivalenta/ uz 1000LVL no IKP)</w:t>
            </w:r>
          </w:p>
        </w:tc>
        <w:tc>
          <w:tcPr>
            <w:tcW w:w="512"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p>
        </w:tc>
        <w:tc>
          <w:tcPr>
            <w:tcW w:w="652"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p>
        </w:tc>
        <w:tc>
          <w:tcPr>
            <w:tcW w:w="711"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r w:rsidRPr="00251313">
              <w:rPr>
                <w:rFonts w:cs="Times New Roman"/>
                <w:sz w:val="17"/>
                <w:szCs w:val="17"/>
              </w:rPr>
              <w:t>1,69</w:t>
            </w:r>
          </w:p>
        </w:tc>
        <w:tc>
          <w:tcPr>
            <w:tcW w:w="870" w:type="pct"/>
            <w:shd w:val="clear" w:color="auto" w:fill="D9D9D9"/>
            <w:vAlign w:val="center"/>
          </w:tcPr>
          <w:p w:rsidR="00ED22F0" w:rsidRPr="00251313" w:rsidRDefault="00ED22F0"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ED22F0" w:rsidRPr="00251313" w:rsidRDefault="00ED22F0" w:rsidP="0036140D">
            <w:pPr>
              <w:pStyle w:val="ListParagraph"/>
              <w:spacing w:before="60" w:after="60"/>
              <w:ind w:left="0"/>
              <w:jc w:val="center"/>
              <w:rPr>
                <w:rFonts w:cs="Times New Roman"/>
                <w:b/>
                <w:sz w:val="17"/>
                <w:szCs w:val="17"/>
              </w:rPr>
            </w:pPr>
            <w:r w:rsidRPr="00251313">
              <w:rPr>
                <w:rFonts w:cs="Times New Roman"/>
                <w:b/>
                <w:sz w:val="17"/>
                <w:szCs w:val="17"/>
              </w:rPr>
              <w:t>1,13</w:t>
            </w:r>
          </w:p>
        </w:tc>
      </w:tr>
      <w:tr w:rsidR="00ED22F0" w:rsidRPr="00617671" w:rsidTr="00ED22F0">
        <w:trPr>
          <w:jc w:val="center"/>
        </w:trPr>
        <w:tc>
          <w:tcPr>
            <w:tcW w:w="1073" w:type="pct"/>
            <w:shd w:val="clear" w:color="auto" w:fill="D9D9D9"/>
            <w:vAlign w:val="center"/>
          </w:tcPr>
          <w:p w:rsidR="00ED22F0" w:rsidRPr="00251313" w:rsidRDefault="00ED22F0" w:rsidP="0036140D">
            <w:pPr>
              <w:pStyle w:val="ListParagraph"/>
              <w:spacing w:before="60" w:after="60"/>
              <w:ind w:left="0"/>
              <w:rPr>
                <w:rFonts w:cs="Times New Roman"/>
                <w:b/>
                <w:sz w:val="17"/>
                <w:szCs w:val="17"/>
              </w:rPr>
            </w:pPr>
            <w:r w:rsidRPr="00251313">
              <w:rPr>
                <w:rFonts w:cs="Times New Roman"/>
                <w:b/>
                <w:sz w:val="17"/>
                <w:szCs w:val="17"/>
              </w:rPr>
              <w:t xml:space="preserve">Energoatkarība – (neto energoresursu imports/ bruto iekšzemes enerģijas patēriņš plus bunkurēšana, %)   </w:t>
            </w:r>
          </w:p>
        </w:tc>
        <w:tc>
          <w:tcPr>
            <w:tcW w:w="512"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p>
        </w:tc>
        <w:tc>
          <w:tcPr>
            <w:tcW w:w="652"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p>
        </w:tc>
        <w:tc>
          <w:tcPr>
            <w:tcW w:w="711"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r w:rsidRPr="00251313">
              <w:rPr>
                <w:rFonts w:cs="Times New Roman"/>
                <w:sz w:val="17"/>
                <w:szCs w:val="17"/>
              </w:rPr>
              <w:t>58</w:t>
            </w:r>
          </w:p>
          <w:p w:rsidR="00ED22F0" w:rsidRPr="00251313" w:rsidRDefault="00ED22F0" w:rsidP="0036140D">
            <w:pPr>
              <w:pStyle w:val="ListParagraph"/>
              <w:spacing w:before="60" w:after="60"/>
              <w:ind w:left="0"/>
              <w:jc w:val="center"/>
              <w:rPr>
                <w:rFonts w:cs="Times New Roman"/>
                <w:sz w:val="17"/>
                <w:szCs w:val="17"/>
              </w:rPr>
            </w:pPr>
            <w:r w:rsidRPr="00251313">
              <w:rPr>
                <w:rFonts w:cs="Times New Roman"/>
                <w:sz w:val="17"/>
                <w:szCs w:val="17"/>
              </w:rPr>
              <w:t>(2008)</w:t>
            </w:r>
          </w:p>
        </w:tc>
        <w:tc>
          <w:tcPr>
            <w:tcW w:w="870" w:type="pct"/>
            <w:shd w:val="clear" w:color="auto" w:fill="D9D9D9"/>
            <w:vAlign w:val="center"/>
          </w:tcPr>
          <w:p w:rsidR="00ED22F0" w:rsidRPr="00251313" w:rsidRDefault="00ED22F0"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ED22F0" w:rsidRPr="00251313" w:rsidRDefault="00ED22F0" w:rsidP="0036140D">
            <w:pPr>
              <w:pStyle w:val="ListParagraph"/>
              <w:spacing w:before="60" w:after="60"/>
              <w:ind w:left="0"/>
              <w:jc w:val="center"/>
              <w:rPr>
                <w:rFonts w:cs="Times New Roman"/>
                <w:b/>
                <w:sz w:val="17"/>
                <w:szCs w:val="17"/>
              </w:rPr>
            </w:pPr>
            <w:r w:rsidRPr="00251313">
              <w:rPr>
                <w:rFonts w:cs="Times New Roman"/>
                <w:b/>
                <w:sz w:val="17"/>
                <w:szCs w:val="17"/>
              </w:rPr>
              <w:t>44,1</w:t>
            </w:r>
          </w:p>
        </w:tc>
      </w:tr>
      <w:tr w:rsidR="00ED22F0" w:rsidRPr="00617671" w:rsidTr="00ED22F0">
        <w:trPr>
          <w:jc w:val="center"/>
        </w:trPr>
        <w:tc>
          <w:tcPr>
            <w:tcW w:w="1073" w:type="pct"/>
            <w:shd w:val="clear" w:color="auto" w:fill="D9D9D9"/>
            <w:vAlign w:val="center"/>
          </w:tcPr>
          <w:p w:rsidR="00ED22F0" w:rsidRPr="00251313" w:rsidRDefault="00ED22F0" w:rsidP="0036140D">
            <w:pPr>
              <w:pStyle w:val="ListParagraph"/>
              <w:spacing w:before="60" w:after="60"/>
              <w:ind w:left="0"/>
              <w:rPr>
                <w:rFonts w:cs="Times New Roman"/>
                <w:b/>
                <w:sz w:val="17"/>
                <w:szCs w:val="17"/>
              </w:rPr>
            </w:pPr>
            <w:r w:rsidRPr="00251313">
              <w:rPr>
                <w:rFonts w:cs="Times New Roman"/>
                <w:b/>
                <w:sz w:val="17"/>
                <w:szCs w:val="17"/>
              </w:rPr>
              <w:t xml:space="preserve">Infrastruktūras savienojumi </w:t>
            </w:r>
            <w:r w:rsidR="004335B5">
              <w:rPr>
                <w:rFonts w:cs="Times New Roman"/>
                <w:b/>
                <w:sz w:val="17"/>
                <w:szCs w:val="17"/>
              </w:rPr>
              <w:t xml:space="preserve">elektrības tirgū </w:t>
            </w:r>
            <w:r w:rsidRPr="00251313">
              <w:rPr>
                <w:rFonts w:cs="Times New Roman"/>
                <w:b/>
                <w:sz w:val="17"/>
                <w:szCs w:val="17"/>
              </w:rPr>
              <w:t>(starpsavienojumu jauda pret uzstādīto ģenerējošo jaudu) (%)</w:t>
            </w:r>
          </w:p>
        </w:tc>
        <w:tc>
          <w:tcPr>
            <w:tcW w:w="512" w:type="pct"/>
            <w:shd w:val="clear" w:color="auto" w:fill="D9D9D9"/>
            <w:vAlign w:val="center"/>
          </w:tcPr>
          <w:p w:rsidR="00ED22F0" w:rsidRPr="00251313" w:rsidRDefault="00ED22F0" w:rsidP="001A584C">
            <w:pPr>
              <w:pStyle w:val="ListParagraph"/>
              <w:spacing w:before="60" w:after="60"/>
              <w:ind w:left="0"/>
              <w:jc w:val="center"/>
              <w:rPr>
                <w:rFonts w:cs="Times New Roman"/>
                <w:sz w:val="17"/>
                <w:szCs w:val="17"/>
              </w:rPr>
            </w:pPr>
            <w:r w:rsidRPr="00251313">
              <w:rPr>
                <w:rFonts w:cs="Times New Roman"/>
                <w:sz w:val="17"/>
                <w:szCs w:val="17"/>
              </w:rPr>
              <w:t>10</w:t>
            </w:r>
          </w:p>
        </w:tc>
        <w:tc>
          <w:tcPr>
            <w:tcW w:w="652" w:type="pct"/>
            <w:shd w:val="clear" w:color="auto" w:fill="D9D9D9"/>
            <w:vAlign w:val="center"/>
          </w:tcPr>
          <w:p w:rsidR="00ED22F0" w:rsidRPr="00251313" w:rsidRDefault="00ED22F0" w:rsidP="001A584C">
            <w:pPr>
              <w:pStyle w:val="ListParagraph"/>
              <w:spacing w:before="60" w:after="60"/>
              <w:ind w:left="0"/>
              <w:jc w:val="center"/>
              <w:rPr>
                <w:rFonts w:cs="Times New Roman"/>
                <w:sz w:val="17"/>
                <w:szCs w:val="17"/>
              </w:rPr>
            </w:pPr>
            <w:r w:rsidRPr="00251313">
              <w:rPr>
                <w:rFonts w:cs="Times New Roman"/>
                <w:sz w:val="17"/>
                <w:szCs w:val="17"/>
              </w:rPr>
              <w:t>15</w:t>
            </w:r>
          </w:p>
        </w:tc>
        <w:tc>
          <w:tcPr>
            <w:tcW w:w="711" w:type="pct"/>
            <w:shd w:val="clear" w:color="auto" w:fill="D9D9D9"/>
            <w:vAlign w:val="center"/>
          </w:tcPr>
          <w:p w:rsidR="00ED22F0" w:rsidRPr="00251313" w:rsidRDefault="00ED22F0" w:rsidP="0036140D">
            <w:pPr>
              <w:pStyle w:val="ListParagraph"/>
              <w:spacing w:before="60" w:after="60"/>
              <w:ind w:left="0"/>
              <w:jc w:val="center"/>
              <w:rPr>
                <w:rFonts w:cs="Times New Roman"/>
                <w:sz w:val="17"/>
                <w:szCs w:val="17"/>
              </w:rPr>
            </w:pPr>
          </w:p>
        </w:tc>
        <w:tc>
          <w:tcPr>
            <w:tcW w:w="870" w:type="pct"/>
            <w:shd w:val="clear" w:color="auto" w:fill="D9D9D9"/>
            <w:vAlign w:val="center"/>
          </w:tcPr>
          <w:p w:rsidR="00ED22F0" w:rsidRPr="00251313" w:rsidRDefault="00ED22F0"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ED22F0" w:rsidRPr="00251313" w:rsidRDefault="00FE20D6" w:rsidP="0036140D">
            <w:pPr>
              <w:spacing w:before="60" w:after="60"/>
              <w:jc w:val="center"/>
              <w:rPr>
                <w:rFonts w:cs="Times New Roman"/>
                <w:b/>
                <w:sz w:val="17"/>
                <w:szCs w:val="17"/>
              </w:rPr>
            </w:pPr>
            <w:r>
              <w:rPr>
                <w:rFonts w:cs="Times New Roman"/>
                <w:b/>
                <w:sz w:val="17"/>
                <w:szCs w:val="17"/>
              </w:rPr>
              <w:t xml:space="preserve">Integrācija ES tīklos, </w:t>
            </w:r>
            <w:r w:rsidR="00ED22F0" w:rsidRPr="00251313">
              <w:rPr>
                <w:rFonts w:cs="Times New Roman"/>
                <w:b/>
                <w:sz w:val="17"/>
                <w:szCs w:val="17"/>
              </w:rPr>
              <w:t xml:space="preserve">elektrības tirgū cenas neatšķiras LV un EE cenu zonās; </w:t>
            </w:r>
          </w:p>
          <w:p w:rsidR="00ED22F0" w:rsidRPr="00251313" w:rsidRDefault="00190498" w:rsidP="00FE20D6">
            <w:pPr>
              <w:spacing w:before="60" w:after="60"/>
              <w:jc w:val="center"/>
              <w:rPr>
                <w:rFonts w:cs="Times New Roman"/>
                <w:b/>
                <w:sz w:val="17"/>
                <w:szCs w:val="17"/>
              </w:rPr>
            </w:pPr>
            <w:r>
              <w:rPr>
                <w:rFonts w:cs="Times New Roman"/>
                <w:b/>
                <w:sz w:val="17"/>
                <w:szCs w:val="17"/>
              </w:rPr>
              <w:t xml:space="preserve">iespējas pirkt dabasgāzi no dažādiem avotiem </w:t>
            </w:r>
          </w:p>
        </w:tc>
      </w:tr>
      <w:tr w:rsidR="004335B5" w:rsidRPr="00617671" w:rsidTr="00ED22F0">
        <w:trPr>
          <w:jc w:val="center"/>
        </w:trPr>
        <w:tc>
          <w:tcPr>
            <w:tcW w:w="1073" w:type="pct"/>
            <w:shd w:val="clear" w:color="auto" w:fill="D9D9D9"/>
            <w:vAlign w:val="center"/>
          </w:tcPr>
          <w:p w:rsidR="004335B5" w:rsidRPr="00251313" w:rsidRDefault="00FE20D6" w:rsidP="00FE20D6">
            <w:pPr>
              <w:pStyle w:val="ListParagraph"/>
              <w:spacing w:before="60" w:after="60"/>
              <w:ind w:left="0"/>
              <w:rPr>
                <w:rFonts w:cs="Times New Roman"/>
                <w:b/>
                <w:sz w:val="17"/>
                <w:szCs w:val="17"/>
              </w:rPr>
            </w:pPr>
            <w:r w:rsidRPr="00FE20D6">
              <w:rPr>
                <w:rFonts w:cs="Times New Roman"/>
                <w:b/>
                <w:sz w:val="17"/>
                <w:szCs w:val="17"/>
              </w:rPr>
              <w:t xml:space="preserve">Infrastruktūras savienojumi </w:t>
            </w:r>
            <w:r>
              <w:rPr>
                <w:rFonts w:cs="Times New Roman"/>
                <w:b/>
                <w:sz w:val="17"/>
                <w:szCs w:val="17"/>
              </w:rPr>
              <w:t xml:space="preserve">gāzes </w:t>
            </w:r>
            <w:r w:rsidRPr="00FE20D6">
              <w:rPr>
                <w:rFonts w:cs="Times New Roman"/>
                <w:b/>
                <w:sz w:val="17"/>
                <w:szCs w:val="17"/>
              </w:rPr>
              <w:t>tirgū (starpsavienojumu jauda pret uzstādīto ģenerējošo jaudu) (%)</w:t>
            </w:r>
          </w:p>
        </w:tc>
        <w:tc>
          <w:tcPr>
            <w:tcW w:w="512" w:type="pct"/>
            <w:shd w:val="clear" w:color="auto" w:fill="D9D9D9"/>
            <w:vAlign w:val="center"/>
          </w:tcPr>
          <w:p w:rsidR="004335B5" w:rsidRPr="00251313" w:rsidRDefault="004335B5" w:rsidP="001A584C">
            <w:pPr>
              <w:pStyle w:val="ListParagraph"/>
              <w:spacing w:before="60" w:after="60"/>
              <w:ind w:left="0"/>
              <w:jc w:val="center"/>
              <w:rPr>
                <w:rFonts w:cs="Times New Roman"/>
                <w:sz w:val="17"/>
                <w:szCs w:val="17"/>
              </w:rPr>
            </w:pPr>
          </w:p>
        </w:tc>
        <w:tc>
          <w:tcPr>
            <w:tcW w:w="652" w:type="pct"/>
            <w:shd w:val="clear" w:color="auto" w:fill="D9D9D9"/>
            <w:vAlign w:val="center"/>
          </w:tcPr>
          <w:p w:rsidR="004335B5" w:rsidRPr="00251313" w:rsidRDefault="004335B5" w:rsidP="001A584C">
            <w:pPr>
              <w:pStyle w:val="ListParagraph"/>
              <w:spacing w:before="60" w:after="60"/>
              <w:ind w:left="0"/>
              <w:jc w:val="center"/>
              <w:rPr>
                <w:rFonts w:cs="Times New Roman"/>
                <w:sz w:val="17"/>
                <w:szCs w:val="17"/>
              </w:rPr>
            </w:pPr>
          </w:p>
        </w:tc>
        <w:tc>
          <w:tcPr>
            <w:tcW w:w="711" w:type="pct"/>
            <w:shd w:val="clear" w:color="auto" w:fill="D9D9D9"/>
            <w:vAlign w:val="center"/>
          </w:tcPr>
          <w:p w:rsidR="004335B5" w:rsidRPr="00251313" w:rsidRDefault="004335B5" w:rsidP="0036140D">
            <w:pPr>
              <w:pStyle w:val="ListParagraph"/>
              <w:spacing w:before="60" w:after="60"/>
              <w:ind w:left="0"/>
              <w:jc w:val="center"/>
              <w:rPr>
                <w:rFonts w:cs="Times New Roman"/>
                <w:sz w:val="17"/>
                <w:szCs w:val="17"/>
              </w:rPr>
            </w:pPr>
          </w:p>
        </w:tc>
        <w:tc>
          <w:tcPr>
            <w:tcW w:w="870" w:type="pct"/>
            <w:shd w:val="clear" w:color="auto" w:fill="D9D9D9"/>
            <w:vAlign w:val="center"/>
          </w:tcPr>
          <w:p w:rsidR="004335B5" w:rsidRPr="00251313" w:rsidRDefault="004335B5" w:rsidP="0036140D">
            <w:pPr>
              <w:pStyle w:val="ListParagraph"/>
              <w:spacing w:before="60" w:after="60"/>
              <w:ind w:left="0"/>
              <w:jc w:val="center"/>
              <w:rPr>
                <w:rFonts w:cs="Times New Roman"/>
                <w:b/>
                <w:sz w:val="17"/>
                <w:szCs w:val="17"/>
              </w:rPr>
            </w:pPr>
          </w:p>
        </w:tc>
        <w:tc>
          <w:tcPr>
            <w:tcW w:w="1182" w:type="pct"/>
            <w:shd w:val="clear" w:color="auto" w:fill="D9D9D9"/>
            <w:vAlign w:val="center"/>
          </w:tcPr>
          <w:p w:rsidR="004335B5" w:rsidRPr="00251313" w:rsidRDefault="00FE20D6" w:rsidP="00FE20D6">
            <w:pPr>
              <w:spacing w:before="60" w:after="60"/>
              <w:jc w:val="center"/>
              <w:rPr>
                <w:rFonts w:cs="Times New Roman"/>
                <w:b/>
                <w:sz w:val="17"/>
                <w:szCs w:val="17"/>
              </w:rPr>
            </w:pPr>
            <w:r w:rsidRPr="00FE20D6">
              <w:rPr>
                <w:rFonts w:cs="Times New Roman"/>
                <w:b/>
                <w:sz w:val="17"/>
                <w:szCs w:val="17"/>
              </w:rPr>
              <w:t>iespējas pirkt dabasgāzi no dažādiem avotiem</w:t>
            </w:r>
          </w:p>
        </w:tc>
      </w:tr>
    </w:tbl>
    <w:p w:rsidR="0036140D" w:rsidRPr="00D26898" w:rsidRDefault="0036140D" w:rsidP="0036140D">
      <w:pPr>
        <w:suppressAutoHyphens/>
        <w:ind w:left="360"/>
        <w:rPr>
          <w:sz w:val="24"/>
          <w:szCs w:val="24"/>
          <w:lang w:eastAsia="lv-LV"/>
        </w:rPr>
      </w:pPr>
      <w:r>
        <w:rPr>
          <w:sz w:val="24"/>
          <w:szCs w:val="24"/>
          <w:lang w:eastAsia="lv-LV"/>
        </w:rPr>
        <w:t>*</w:t>
      </w:r>
      <w:r w:rsidRPr="00D26898">
        <w:rPr>
          <w:sz w:val="24"/>
          <w:szCs w:val="24"/>
          <w:lang w:eastAsia="lv-LV"/>
        </w:rPr>
        <w:t xml:space="preserve">- </w:t>
      </w:r>
      <w:r>
        <w:rPr>
          <w:sz w:val="24"/>
          <w:szCs w:val="24"/>
          <w:lang w:eastAsia="lv-LV"/>
        </w:rPr>
        <w:t xml:space="preserve">projekts </w:t>
      </w:r>
    </w:p>
    <w:p w:rsidR="008612C5" w:rsidRDefault="008612C5" w:rsidP="00921EDE">
      <w:pPr>
        <w:pStyle w:val="Heading1"/>
        <w:numPr>
          <w:ilvl w:val="0"/>
          <w:numId w:val="2"/>
        </w:numPr>
        <w:spacing w:after="120"/>
        <w:ind w:left="641" w:hanging="357"/>
      </w:pPr>
      <w:bookmarkStart w:id="9" w:name="_Toc401644313"/>
      <w:r>
        <w:t>Enerģētikas politikas  pamatprincipi</w:t>
      </w:r>
      <w:bookmarkEnd w:id="9"/>
    </w:p>
    <w:p w:rsidR="009C488C" w:rsidRPr="009C488C" w:rsidRDefault="009C488C" w:rsidP="003B2A68">
      <w:pPr>
        <w:ind w:firstLine="709"/>
        <w:jc w:val="both"/>
        <w:rPr>
          <w:highlight w:val="yellow"/>
        </w:rPr>
      </w:pPr>
      <w:r>
        <w:t>Nākotnes enerģētikas politika tiks veidota</w:t>
      </w:r>
      <w:r w:rsidR="001A584C">
        <w:t>,</w:t>
      </w:r>
      <w:r>
        <w:t xml:space="preserve"> balstoties uz šādiem pamatprincipiem:  </w:t>
      </w:r>
    </w:p>
    <w:p w:rsidR="00EA4579" w:rsidRDefault="00EA4579" w:rsidP="00662D11">
      <w:pPr>
        <w:pStyle w:val="ListParagraph"/>
        <w:numPr>
          <w:ilvl w:val="0"/>
          <w:numId w:val="7"/>
        </w:numPr>
        <w:ind w:left="709" w:hanging="295"/>
        <w:jc w:val="both"/>
      </w:pPr>
      <w:r>
        <w:t>Konkurētspējīga enerģijas cena, kas veidojas pēc reģionālo tirgus principiem, kā arī reaģē uz patēriņa svārstībām.</w:t>
      </w:r>
    </w:p>
    <w:p w:rsidR="009C488C" w:rsidRDefault="009C488C" w:rsidP="00662D11">
      <w:pPr>
        <w:pStyle w:val="ListParagraph"/>
        <w:numPr>
          <w:ilvl w:val="0"/>
          <w:numId w:val="7"/>
        </w:numPr>
        <w:ind w:left="709" w:hanging="295"/>
        <w:jc w:val="both"/>
      </w:pPr>
      <w:r>
        <w:t>Energoa</w:t>
      </w:r>
      <w:r w:rsidRPr="009C488C">
        <w:t>pgādes drošība</w:t>
      </w:r>
      <w:r w:rsidR="0079099D">
        <w:t xml:space="preserve"> </w:t>
      </w:r>
      <w:r w:rsidRPr="009C488C">
        <w:t xml:space="preserve">ir katra lēmuma </w:t>
      </w:r>
      <w:r>
        <w:t xml:space="preserve">pieņemšanas pamatā, lai energoresursu nodrošinājums būtu pietiekams gan tautsaimniecībai, gan mājsaimniecībām. </w:t>
      </w:r>
    </w:p>
    <w:p w:rsidR="009C488C" w:rsidRPr="009C488C" w:rsidRDefault="009C488C" w:rsidP="00662D11">
      <w:pPr>
        <w:pStyle w:val="ListParagraph"/>
        <w:numPr>
          <w:ilvl w:val="0"/>
          <w:numId w:val="7"/>
        </w:numPr>
        <w:ind w:left="709" w:hanging="295"/>
        <w:jc w:val="both"/>
      </w:pPr>
      <w:r>
        <w:t xml:space="preserve">Lēmumiem, kas skar enerģētikas politiku, jābalstās uz dažādu </w:t>
      </w:r>
      <w:r w:rsidRPr="009C488C">
        <w:t>tautsaimniecības sektoru mijiedarbību</w:t>
      </w:r>
      <w:r>
        <w:t xml:space="preserve">. </w:t>
      </w:r>
    </w:p>
    <w:p w:rsidR="009C488C" w:rsidRDefault="009C488C" w:rsidP="00662D11">
      <w:pPr>
        <w:pStyle w:val="ListParagraph"/>
        <w:numPr>
          <w:ilvl w:val="0"/>
          <w:numId w:val="7"/>
        </w:numPr>
        <w:ind w:left="709" w:hanging="295"/>
        <w:jc w:val="both"/>
      </w:pPr>
      <w:r>
        <w:t>Resursu efektīva izmantošana un izmaksu efektivitāte tiek veicināta visos enerģijas ražošanas, pārveidošanas, t</w:t>
      </w:r>
      <w:r w:rsidRPr="009C488C">
        <w:t xml:space="preserve">ransportēšanas un izmantošanas posmos. </w:t>
      </w:r>
    </w:p>
    <w:p w:rsidR="009C488C" w:rsidRDefault="00CC58F2" w:rsidP="00662D11">
      <w:pPr>
        <w:pStyle w:val="ListParagraph"/>
        <w:numPr>
          <w:ilvl w:val="0"/>
          <w:numId w:val="7"/>
        </w:numPr>
        <w:ind w:left="709" w:hanging="295"/>
        <w:jc w:val="both"/>
      </w:pPr>
      <w:r>
        <w:t>Politika, kas reaģē uz tirgus signāliem</w:t>
      </w:r>
      <w:r w:rsidR="009C488C" w:rsidRPr="009C488C">
        <w:t>, neierobežojot ekonomikas izaugsm</w:t>
      </w:r>
      <w:r w:rsidR="009C488C">
        <w:t>i</w:t>
      </w:r>
      <w:r w:rsidR="009C488C" w:rsidRPr="007B44DF">
        <w:t xml:space="preserve">, vai </w:t>
      </w:r>
      <w:r w:rsidR="000C5051" w:rsidRPr="007B44DF">
        <w:t>ne</w:t>
      </w:r>
      <w:r w:rsidR="009C488C" w:rsidRPr="00847A8C">
        <w:t>radot</w:t>
      </w:r>
      <w:r w:rsidR="009C488C" w:rsidRPr="007B44DF">
        <w:t xml:space="preserve"> </w:t>
      </w:r>
      <w:r w:rsidR="000C5051" w:rsidRPr="009C488C">
        <w:t>nevienlīdzīg</w:t>
      </w:r>
      <w:r w:rsidR="000C5051">
        <w:t>us</w:t>
      </w:r>
      <w:r w:rsidR="000C5051" w:rsidRPr="009C488C">
        <w:t xml:space="preserve"> </w:t>
      </w:r>
      <w:r w:rsidR="009C488C" w:rsidRPr="009C488C">
        <w:t>tirgus konkurences apstākļ</w:t>
      </w:r>
      <w:r w:rsidR="009C488C">
        <w:t xml:space="preserve">us </w:t>
      </w:r>
      <w:r w:rsidR="009C488C" w:rsidRPr="009C488C">
        <w:t xml:space="preserve">atsevišķām ražotāju vai piegādātāju grupām. Tirgus orientācijas izrietošā mērķa sasniegšanai Latvijas enerģētikā nebūtu pieļaujama nedz negatīvā, nedz pozitīvā tirgus dalībnieku un tirgus operatoru (biržu) diskriminācija. </w:t>
      </w:r>
    </w:p>
    <w:p w:rsidR="009C488C" w:rsidRPr="00271E23" w:rsidRDefault="00271E23" w:rsidP="00662D11">
      <w:pPr>
        <w:pStyle w:val="ListParagraph"/>
        <w:numPr>
          <w:ilvl w:val="0"/>
          <w:numId w:val="7"/>
        </w:numPr>
        <w:ind w:left="709" w:hanging="295"/>
        <w:jc w:val="both"/>
      </w:pPr>
      <w:r w:rsidRPr="00271E23">
        <w:t xml:space="preserve">Sociālā atbalsta nodrošināšana </w:t>
      </w:r>
      <w:r w:rsidR="006B435B">
        <w:t xml:space="preserve">ģimenēm(personām) ar salīdzinoši zemu ienākumu līmeni; </w:t>
      </w:r>
      <w:r>
        <w:t>elektroen</w:t>
      </w:r>
      <w:r w:rsidR="000C5051">
        <w:t>e</w:t>
      </w:r>
      <w:r>
        <w:t>rģijas iegādei</w:t>
      </w:r>
      <w:r w:rsidR="009C488C" w:rsidRPr="00271E23">
        <w:t xml:space="preserve">. </w:t>
      </w:r>
    </w:p>
    <w:p w:rsidR="009C488C" w:rsidRDefault="009C488C" w:rsidP="00662D11">
      <w:pPr>
        <w:pStyle w:val="ListParagraph"/>
        <w:numPr>
          <w:ilvl w:val="0"/>
          <w:numId w:val="7"/>
        </w:numPr>
        <w:ind w:left="709" w:hanging="295"/>
        <w:jc w:val="both"/>
      </w:pPr>
      <w:r>
        <w:t>Enerģijas lietotājiem</w:t>
      </w:r>
      <w:r w:rsidR="0097153E">
        <w:t xml:space="preserve"> </w:t>
      </w:r>
      <w:r>
        <w:t>ir jābūt pieejamai informācijai par enerģētikas politikas veidošanos</w:t>
      </w:r>
      <w:r w:rsidR="00BE1443">
        <w:t>,</w:t>
      </w:r>
      <w:r>
        <w:t xml:space="preserve"> energoefektivitātes pasākumiem, kas laika gaitā ļauj ietaupīt ievērojamus līdzekļus</w:t>
      </w:r>
      <w:r w:rsidR="00BE1443">
        <w:t>, enerģijas tirgus darbību,</w:t>
      </w:r>
      <w:r>
        <w:t xml:space="preserve"> rīcību enerģijas </w:t>
      </w:r>
      <w:r w:rsidR="00A41EF7">
        <w:t xml:space="preserve">pārtraukuma </w:t>
      </w:r>
      <w:r>
        <w:t>vai pat krīzes gadījumā</w:t>
      </w:r>
      <w:r w:rsidR="00BE1443">
        <w:t xml:space="preserve"> u.c</w:t>
      </w:r>
      <w:r>
        <w:t xml:space="preserve">. </w:t>
      </w:r>
    </w:p>
    <w:p w:rsidR="009C488C" w:rsidRPr="009C488C" w:rsidRDefault="009C488C" w:rsidP="00662D11">
      <w:pPr>
        <w:pStyle w:val="ListParagraph"/>
        <w:numPr>
          <w:ilvl w:val="0"/>
          <w:numId w:val="7"/>
        </w:numPr>
        <w:ind w:left="709" w:hanging="295"/>
        <w:jc w:val="both"/>
      </w:pPr>
      <w:r w:rsidRPr="009C488C">
        <w:lastRenderedPageBreak/>
        <w:t xml:space="preserve">Reģionālā sadarbība un koordinācija ar valstīm ap Baltijas jūru </w:t>
      </w:r>
      <w:r>
        <w:t xml:space="preserve">(BEMIP) </w:t>
      </w:r>
      <w:r w:rsidRPr="009C488C">
        <w:t xml:space="preserve">un sevišķi Lietuvu un Igauniju. </w:t>
      </w:r>
      <w:r>
        <w:t>K</w:t>
      </w:r>
      <w:r w:rsidRPr="009C488C">
        <w:t>opējā Baltijas elektroenerģijas tirgus funkcionēšana, kā arī kopīgu stratēģisko nostādņu izstrāde jautājumā par reģiona energoapgādei svarīgu objektu darbību un izveidošanu.</w:t>
      </w:r>
    </w:p>
    <w:p w:rsidR="008612C5" w:rsidRDefault="009C488C" w:rsidP="00662D11">
      <w:pPr>
        <w:pStyle w:val="ListParagraph"/>
        <w:numPr>
          <w:ilvl w:val="0"/>
          <w:numId w:val="7"/>
        </w:numPr>
        <w:ind w:left="709" w:hanging="295"/>
        <w:jc w:val="both"/>
      </w:pPr>
      <w:r>
        <w:t xml:space="preserve">Enerģijas lietotājam tiek piedāvāts kvalitatīvs tīkla pakalpojums.  </w:t>
      </w:r>
    </w:p>
    <w:p w:rsidR="009C488C" w:rsidRDefault="009C488C" w:rsidP="00662D11">
      <w:pPr>
        <w:pStyle w:val="ListParagraph"/>
        <w:numPr>
          <w:ilvl w:val="0"/>
          <w:numId w:val="7"/>
        </w:numPr>
        <w:ind w:left="709" w:hanging="295"/>
        <w:jc w:val="both"/>
      </w:pPr>
      <w:r w:rsidRPr="009C488C">
        <w:t xml:space="preserve">Apzinoties </w:t>
      </w:r>
      <w:r>
        <w:t xml:space="preserve">vides aizsardzības un klimata pārmaiņu problēmas, </w:t>
      </w:r>
      <w:r w:rsidRPr="009C488C">
        <w:t>enerģētika</w:t>
      </w:r>
      <w:r>
        <w:t xml:space="preserve">s sektoram </w:t>
      </w:r>
      <w:r w:rsidRPr="009C488C">
        <w:t>jāorientē</w:t>
      </w:r>
      <w:r>
        <w:t>jas</w:t>
      </w:r>
      <w:r w:rsidRPr="009C488C">
        <w:t xml:space="preserve"> uz siltumnīcefekta gāzu emisijas samazināšanu.  </w:t>
      </w:r>
    </w:p>
    <w:p w:rsidR="009C488C" w:rsidRDefault="009C488C" w:rsidP="00662D11">
      <w:pPr>
        <w:pStyle w:val="ListParagraph"/>
        <w:numPr>
          <w:ilvl w:val="0"/>
          <w:numId w:val="7"/>
        </w:numPr>
        <w:ind w:left="709" w:hanging="295"/>
        <w:jc w:val="both"/>
      </w:pPr>
      <w:r>
        <w:t xml:space="preserve">Energoefektivitāte ir viens no instrumentiem, kas ļauj samazināt energoresursu patēriņu </w:t>
      </w:r>
      <w:r w:rsidR="000C5051">
        <w:t xml:space="preserve">tādējādi </w:t>
      </w:r>
      <w:r>
        <w:t xml:space="preserve">paaugstinot energoapgādes drošību, samazināt izmaksas īsākā vai ilgākā termiņā atkarībā no ieguldījuma apjoma, samazināt ietekmi uz klimata izmaiņām. </w:t>
      </w:r>
    </w:p>
    <w:p w:rsidR="00C7493D" w:rsidRPr="00144A54" w:rsidRDefault="008E7CB2" w:rsidP="00921EDE">
      <w:pPr>
        <w:pStyle w:val="Heading1"/>
        <w:numPr>
          <w:ilvl w:val="0"/>
          <w:numId w:val="2"/>
        </w:numPr>
        <w:spacing w:after="120"/>
        <w:ind w:left="641" w:hanging="357"/>
        <w:jc w:val="left"/>
      </w:pPr>
      <w:bookmarkStart w:id="10" w:name="_Toc401644314"/>
      <w:r>
        <w:t>E</w:t>
      </w:r>
      <w:r w:rsidR="008A0FA3">
        <w:t xml:space="preserve">nerģētikas sektora </w:t>
      </w:r>
      <w:r>
        <w:t xml:space="preserve">vispārējs </w:t>
      </w:r>
      <w:r w:rsidR="0039482D">
        <w:t>raksturojums</w:t>
      </w:r>
      <w:r w:rsidR="008A0FA3">
        <w:t xml:space="preserve"> un attīstības </w:t>
      </w:r>
      <w:r>
        <w:t>tendences</w:t>
      </w:r>
      <w:bookmarkEnd w:id="10"/>
      <w:r w:rsidR="008A0FA3">
        <w:t xml:space="preserve"> </w:t>
      </w:r>
      <w:r w:rsidR="00F90740">
        <w:t xml:space="preserve"> </w:t>
      </w:r>
    </w:p>
    <w:p w:rsidR="00844357" w:rsidRDefault="00BA4A32" w:rsidP="008E7CB2">
      <w:pPr>
        <w:ind w:firstLine="709"/>
        <w:jc w:val="both"/>
        <w:rPr>
          <w:rFonts w:eastAsia="Times New Roman" w:cs="Times New Roman"/>
          <w:szCs w:val="28"/>
        </w:rPr>
      </w:pPr>
      <w:r>
        <w:rPr>
          <w:rFonts w:eastAsia="Times New Roman" w:cs="Times New Roman"/>
          <w:szCs w:val="28"/>
        </w:rPr>
        <w:t xml:space="preserve">Starp </w:t>
      </w:r>
      <w:r w:rsidR="00E13778">
        <w:rPr>
          <w:rFonts w:eastAsia="Times New Roman" w:cs="Times New Roman"/>
          <w:szCs w:val="28"/>
        </w:rPr>
        <w:t>e</w:t>
      </w:r>
      <w:r w:rsidR="00844357">
        <w:rPr>
          <w:rFonts w:eastAsia="Times New Roman" w:cs="Times New Roman"/>
          <w:szCs w:val="28"/>
        </w:rPr>
        <w:t>konomik</w:t>
      </w:r>
      <w:r w:rsidR="00E13778">
        <w:rPr>
          <w:rFonts w:eastAsia="Times New Roman" w:cs="Times New Roman"/>
          <w:szCs w:val="28"/>
        </w:rPr>
        <w:t>u</w:t>
      </w:r>
      <w:r w:rsidR="00844357">
        <w:rPr>
          <w:rFonts w:eastAsia="Times New Roman" w:cs="Times New Roman"/>
          <w:szCs w:val="28"/>
        </w:rPr>
        <w:t>, enerģētik</w:t>
      </w:r>
      <w:r w:rsidR="00E13778">
        <w:rPr>
          <w:rFonts w:eastAsia="Times New Roman" w:cs="Times New Roman"/>
          <w:szCs w:val="28"/>
        </w:rPr>
        <w:t>u</w:t>
      </w:r>
      <w:r w:rsidR="00844357">
        <w:rPr>
          <w:rFonts w:eastAsia="Times New Roman" w:cs="Times New Roman"/>
          <w:szCs w:val="28"/>
        </w:rPr>
        <w:t xml:space="preserve"> un vid</w:t>
      </w:r>
      <w:r w:rsidR="00E13778">
        <w:rPr>
          <w:rFonts w:eastAsia="Times New Roman" w:cs="Times New Roman"/>
          <w:szCs w:val="28"/>
        </w:rPr>
        <w:t>i</w:t>
      </w:r>
      <w:r>
        <w:rPr>
          <w:rFonts w:eastAsia="Times New Roman" w:cs="Times New Roman"/>
          <w:szCs w:val="28"/>
        </w:rPr>
        <w:t xml:space="preserve"> pastāv cieša mijiedarbība. </w:t>
      </w:r>
      <w:r w:rsidR="00E13778">
        <w:rPr>
          <w:rFonts w:eastAsia="Times New Roman" w:cs="Times New Roman"/>
          <w:szCs w:val="28"/>
        </w:rPr>
        <w:t xml:space="preserve">To arī ilustrē </w:t>
      </w:r>
      <w:r w:rsidR="00844357" w:rsidRPr="00844357">
        <w:rPr>
          <w:rFonts w:eastAsia="Times New Roman" w:cs="Times New Roman"/>
          <w:szCs w:val="28"/>
        </w:rPr>
        <w:t xml:space="preserve">Latvijas tautsaimniecības </w:t>
      </w:r>
      <w:r w:rsidR="002C36C8" w:rsidRPr="00844357">
        <w:rPr>
          <w:rFonts w:eastAsia="Times New Roman" w:cs="Times New Roman"/>
          <w:szCs w:val="28"/>
        </w:rPr>
        <w:t>iekšzemes kopprodukta (turpmāk – IKP)</w:t>
      </w:r>
      <w:r w:rsidR="002C36C8">
        <w:rPr>
          <w:rFonts w:eastAsia="Times New Roman" w:cs="Times New Roman"/>
          <w:szCs w:val="28"/>
        </w:rPr>
        <w:t xml:space="preserve">, primāro energoresursu patēriņa, bruto elektroenerģijas patēriņa un </w:t>
      </w:r>
      <w:r w:rsidR="002C36C8" w:rsidRPr="00844357">
        <w:rPr>
          <w:rFonts w:eastAsia="Times New Roman" w:cs="Times New Roman"/>
          <w:szCs w:val="28"/>
        </w:rPr>
        <w:t xml:space="preserve">siltumnīcas efektu izraisošo gāzu </w:t>
      </w:r>
      <w:r w:rsidR="002C36C8">
        <w:rPr>
          <w:rFonts w:eastAsia="Times New Roman" w:cs="Times New Roman"/>
          <w:szCs w:val="28"/>
        </w:rPr>
        <w:t xml:space="preserve">emisiju </w:t>
      </w:r>
      <w:r w:rsidR="00844357" w:rsidRPr="00844357">
        <w:rPr>
          <w:rFonts w:eastAsia="Times New Roman" w:cs="Times New Roman"/>
          <w:szCs w:val="28"/>
        </w:rPr>
        <w:t xml:space="preserve">attīstības tendences aizvadītajos gados </w:t>
      </w:r>
      <w:r w:rsidR="00844357" w:rsidRPr="000336C5">
        <w:rPr>
          <w:rFonts w:eastAsia="Times New Roman" w:cs="Times New Roman"/>
          <w:szCs w:val="28"/>
        </w:rPr>
        <w:t xml:space="preserve">(sk. </w:t>
      </w:r>
      <w:r w:rsidR="00E0115A" w:rsidRPr="000336C5">
        <w:rPr>
          <w:rFonts w:eastAsia="Times New Roman" w:cs="Times New Roman"/>
          <w:szCs w:val="28"/>
        </w:rPr>
        <w:t>1</w:t>
      </w:r>
      <w:r w:rsidR="00844357" w:rsidRPr="000336C5">
        <w:rPr>
          <w:rFonts w:eastAsia="Times New Roman" w:cs="Times New Roman"/>
          <w:szCs w:val="28"/>
        </w:rPr>
        <w:t>.attēlu)</w:t>
      </w:r>
      <w:r w:rsidR="002C36C8" w:rsidRPr="00E0115A">
        <w:rPr>
          <w:rFonts w:eastAsia="Times New Roman" w:cs="Times New Roman"/>
          <w:szCs w:val="28"/>
        </w:rPr>
        <w:t>.</w:t>
      </w:r>
      <w:r w:rsidR="000336C5" w:rsidRPr="000336C5">
        <w:t xml:space="preserve"> </w:t>
      </w:r>
      <w:r w:rsidR="000336C5" w:rsidRPr="000336C5">
        <w:rPr>
          <w:rFonts w:eastAsia="Times New Roman" w:cs="Times New Roman"/>
          <w:szCs w:val="28"/>
        </w:rPr>
        <w:t>Izvērsts enerģētikas sektora vispārējs raksturojums ir pievienots 1.pielikumā.</w:t>
      </w:r>
    </w:p>
    <w:p w:rsidR="001D7450" w:rsidRDefault="001D7450" w:rsidP="008E7CB2">
      <w:pPr>
        <w:ind w:firstLine="709"/>
        <w:jc w:val="both"/>
        <w:rPr>
          <w:rFonts w:eastAsia="Times New Roman" w:cs="Times New Roman"/>
          <w:szCs w:val="28"/>
        </w:rPr>
      </w:pPr>
    </w:p>
    <w:p w:rsidR="00844357" w:rsidRPr="00844357" w:rsidRDefault="00CB6588" w:rsidP="00CB6588">
      <w:pPr>
        <w:jc w:val="center"/>
        <w:rPr>
          <w:rFonts w:eastAsia="Calibri" w:cs="Times New Roman"/>
          <w:sz w:val="20"/>
          <w:szCs w:val="20"/>
          <w:lang w:eastAsia="lv-LV"/>
        </w:rPr>
      </w:pPr>
      <w:r>
        <w:rPr>
          <w:rFonts w:eastAsia="Calibri" w:cs="Times New Roman"/>
          <w:sz w:val="20"/>
          <w:szCs w:val="20"/>
          <w:lang w:eastAsia="lv-LV"/>
        </w:rPr>
        <w:object w:dxaOrig="12992" w:dyaOrig="5826" w14:anchorId="33453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4pt;height:200.1pt" o:ole="">
            <v:imagedata r:id="rId11" o:title=""/>
          </v:shape>
          <o:OLEObject Type="Embed" ProgID="Excel.Sheet.12" ShapeID="_x0000_i1025" DrawAspect="Content" ObjectID="_1475403094" r:id="rId12"/>
        </w:object>
      </w:r>
    </w:p>
    <w:p w:rsidR="00844357" w:rsidRPr="00844357" w:rsidRDefault="00844357" w:rsidP="00844357">
      <w:pPr>
        <w:ind w:left="360"/>
        <w:rPr>
          <w:rFonts w:eastAsia="Calibri" w:cs="Times New Roman"/>
          <w:lang w:eastAsia="lv-LV"/>
        </w:rPr>
      </w:pPr>
      <w:r w:rsidRPr="00844357">
        <w:rPr>
          <w:rFonts w:eastAsia="Calibri" w:cs="Times New Roman"/>
          <w:sz w:val="20"/>
          <w:szCs w:val="20"/>
          <w:lang w:eastAsia="lv-LV"/>
        </w:rPr>
        <w:t>Avots: Latvijas Republikas Centrālā statistikas pārvalde</w:t>
      </w:r>
    </w:p>
    <w:p w:rsidR="00251313" w:rsidRDefault="00E0115A" w:rsidP="00CB6588">
      <w:pPr>
        <w:jc w:val="both"/>
        <w:rPr>
          <w:rFonts w:eastAsia="Times New Roman" w:cs="Times New Roman"/>
          <w:szCs w:val="28"/>
        </w:rPr>
      </w:pPr>
      <w:r w:rsidRPr="00D47298">
        <w:rPr>
          <w:rFonts w:eastAsia="Times New Roman" w:cs="Times New Roman"/>
          <w:b/>
          <w:sz w:val="24"/>
          <w:szCs w:val="24"/>
        </w:rPr>
        <w:t>1</w:t>
      </w:r>
      <w:r w:rsidR="00844357" w:rsidRPr="00D47298">
        <w:rPr>
          <w:rFonts w:eastAsia="Times New Roman" w:cs="Times New Roman"/>
          <w:b/>
          <w:sz w:val="24"/>
          <w:szCs w:val="24"/>
        </w:rPr>
        <w:t>.attēls. Enerģētikas, ekonomikas un vides kvalitātes rādītāju mijiedarbība Latvijā</w:t>
      </w:r>
      <w:r w:rsidR="00CB6588">
        <w:rPr>
          <w:rFonts w:eastAsia="Times New Roman" w:cs="Times New Roman"/>
          <w:b/>
          <w:sz w:val="24"/>
          <w:szCs w:val="24"/>
        </w:rPr>
        <w:t>.</w:t>
      </w:r>
      <w:r w:rsidR="00251313" w:rsidRPr="00251313">
        <w:rPr>
          <w:rFonts w:eastAsia="Times New Roman" w:cs="Times New Roman"/>
          <w:szCs w:val="28"/>
        </w:rPr>
        <w:t xml:space="preserve"> </w:t>
      </w:r>
    </w:p>
    <w:p w:rsidR="006E68C3" w:rsidRDefault="006E68C3" w:rsidP="00251313">
      <w:pPr>
        <w:ind w:firstLine="720"/>
        <w:jc w:val="both"/>
        <w:rPr>
          <w:rFonts w:eastAsia="Times New Roman" w:cs="Times New Roman"/>
          <w:szCs w:val="28"/>
        </w:rPr>
      </w:pPr>
    </w:p>
    <w:p w:rsidR="00251313" w:rsidRDefault="00251313" w:rsidP="00251313">
      <w:pPr>
        <w:ind w:firstLine="720"/>
        <w:jc w:val="both"/>
        <w:rPr>
          <w:rFonts w:eastAsia="Times New Roman" w:cs="Times New Roman"/>
          <w:szCs w:val="28"/>
        </w:rPr>
      </w:pPr>
      <w:r>
        <w:rPr>
          <w:rFonts w:eastAsia="Times New Roman" w:cs="Times New Roman"/>
          <w:szCs w:val="28"/>
        </w:rPr>
        <w:t>Kā ir redzams 1.attēlā, starp primāro energoresursu patēriņu un izmaiņām iekšzemes kopprodukta līmenī pastāv cieša korelācija. Primāro energoresursu patēriņa struktūra ir nozīmīgs valsts ekonomisko attīstību raksturojošs rādītājs.</w:t>
      </w:r>
    </w:p>
    <w:p w:rsidR="00CB1B52" w:rsidRPr="00EE1D2B" w:rsidRDefault="00CB1B52" w:rsidP="00921EDE">
      <w:pPr>
        <w:pStyle w:val="Heading2"/>
        <w:numPr>
          <w:ilvl w:val="1"/>
          <w:numId w:val="2"/>
        </w:numPr>
        <w:spacing w:after="120"/>
        <w:ind w:left="1429"/>
        <w:rPr>
          <w:rFonts w:eastAsia="Times New Roman"/>
        </w:rPr>
      </w:pPr>
      <w:bookmarkStart w:id="11" w:name="_Toc401644315"/>
      <w:r w:rsidRPr="000336C5">
        <w:rPr>
          <w:rFonts w:eastAsia="Times New Roman"/>
        </w:rPr>
        <w:lastRenderedPageBreak/>
        <w:t>Primārie energoresursi</w:t>
      </w:r>
      <w:bookmarkEnd w:id="11"/>
    </w:p>
    <w:p w:rsidR="00436DD5" w:rsidRPr="00436DD5" w:rsidRDefault="00436DD5" w:rsidP="00436DD5">
      <w:pPr>
        <w:ind w:firstLine="720"/>
        <w:jc w:val="both"/>
        <w:rPr>
          <w:rFonts w:eastAsia="Times New Roman" w:cs="Times New Roman"/>
          <w:szCs w:val="28"/>
        </w:rPr>
      </w:pPr>
      <w:r w:rsidRPr="00436DD5">
        <w:rPr>
          <w:rFonts w:eastAsia="Times New Roman" w:cs="Times New Roman"/>
          <w:szCs w:val="28"/>
        </w:rPr>
        <w:t xml:space="preserve">Katram reģionam </w:t>
      </w:r>
      <w:r>
        <w:rPr>
          <w:rFonts w:eastAsia="Times New Roman" w:cs="Times New Roman"/>
          <w:szCs w:val="28"/>
        </w:rPr>
        <w:t xml:space="preserve">enerģijas avoti atšķiras un to struktūru pamatos veido: </w:t>
      </w:r>
    </w:p>
    <w:p w:rsidR="00200571" w:rsidRDefault="00436DD5" w:rsidP="00436DD5">
      <w:pPr>
        <w:ind w:firstLine="720"/>
        <w:jc w:val="both"/>
        <w:rPr>
          <w:rFonts w:eastAsia="Times New Roman" w:cs="Times New Roman"/>
          <w:szCs w:val="28"/>
        </w:rPr>
      </w:pPr>
      <w:r w:rsidRPr="00436DD5">
        <w:rPr>
          <w:rFonts w:eastAsia="Times New Roman" w:cs="Times New Roman"/>
          <w:szCs w:val="28"/>
        </w:rPr>
        <w:t>• pieejam</w:t>
      </w:r>
      <w:r w:rsidR="00200571">
        <w:rPr>
          <w:rFonts w:eastAsia="Times New Roman" w:cs="Times New Roman"/>
          <w:szCs w:val="28"/>
        </w:rPr>
        <w:t>ie energoresursi valsts teritorijā un iespējas tos importēt,</w:t>
      </w:r>
    </w:p>
    <w:p w:rsidR="00436DD5" w:rsidRPr="00436DD5" w:rsidRDefault="00436DD5" w:rsidP="00436DD5">
      <w:pPr>
        <w:ind w:firstLine="720"/>
        <w:jc w:val="both"/>
        <w:rPr>
          <w:rFonts w:eastAsia="Times New Roman" w:cs="Times New Roman"/>
          <w:szCs w:val="28"/>
        </w:rPr>
      </w:pPr>
      <w:r w:rsidRPr="00436DD5">
        <w:rPr>
          <w:rFonts w:eastAsia="Times New Roman" w:cs="Times New Roman"/>
          <w:szCs w:val="28"/>
        </w:rPr>
        <w:t xml:space="preserve">• </w:t>
      </w:r>
      <w:r w:rsidR="002F3513">
        <w:rPr>
          <w:rFonts w:eastAsia="Times New Roman" w:cs="Times New Roman"/>
          <w:szCs w:val="28"/>
        </w:rPr>
        <w:t xml:space="preserve">patērētās </w:t>
      </w:r>
      <w:r w:rsidR="00200571">
        <w:rPr>
          <w:rFonts w:eastAsia="Times New Roman" w:cs="Times New Roman"/>
          <w:szCs w:val="28"/>
        </w:rPr>
        <w:t xml:space="preserve">enerģijas veidi un </w:t>
      </w:r>
      <w:r w:rsidR="002F3513">
        <w:rPr>
          <w:rFonts w:eastAsia="Times New Roman" w:cs="Times New Roman"/>
          <w:szCs w:val="28"/>
        </w:rPr>
        <w:t xml:space="preserve">patēriņa </w:t>
      </w:r>
      <w:r w:rsidR="00200571">
        <w:rPr>
          <w:rFonts w:eastAsia="Times New Roman" w:cs="Times New Roman"/>
          <w:szCs w:val="28"/>
        </w:rPr>
        <w:t>apjom</w:t>
      </w:r>
      <w:r w:rsidR="002F3513">
        <w:rPr>
          <w:rFonts w:eastAsia="Times New Roman" w:cs="Times New Roman"/>
          <w:szCs w:val="28"/>
        </w:rPr>
        <w:t>s</w:t>
      </w:r>
      <w:r w:rsidR="00200571">
        <w:rPr>
          <w:rFonts w:eastAsia="Times New Roman" w:cs="Times New Roman"/>
          <w:szCs w:val="28"/>
        </w:rPr>
        <w:t xml:space="preserve">; </w:t>
      </w:r>
    </w:p>
    <w:p w:rsidR="00436DD5" w:rsidRPr="00436DD5" w:rsidRDefault="00436DD5" w:rsidP="00436DD5">
      <w:pPr>
        <w:ind w:firstLine="720"/>
        <w:jc w:val="both"/>
        <w:rPr>
          <w:rFonts w:eastAsia="Times New Roman" w:cs="Times New Roman"/>
          <w:szCs w:val="28"/>
        </w:rPr>
      </w:pPr>
      <w:r w:rsidRPr="00436DD5">
        <w:rPr>
          <w:rFonts w:eastAsia="Times New Roman" w:cs="Times New Roman"/>
          <w:szCs w:val="28"/>
        </w:rPr>
        <w:t>• ekonomi</w:t>
      </w:r>
      <w:r w:rsidR="00200571">
        <w:rPr>
          <w:rFonts w:eastAsia="Times New Roman" w:cs="Times New Roman"/>
          <w:szCs w:val="28"/>
        </w:rPr>
        <w:t>s</w:t>
      </w:r>
      <w:r w:rsidRPr="00436DD5">
        <w:rPr>
          <w:rFonts w:eastAsia="Times New Roman" w:cs="Times New Roman"/>
          <w:szCs w:val="28"/>
        </w:rPr>
        <w:t>k</w:t>
      </w:r>
      <w:r w:rsidR="00200571">
        <w:rPr>
          <w:rFonts w:eastAsia="Times New Roman" w:cs="Times New Roman"/>
          <w:szCs w:val="28"/>
        </w:rPr>
        <w:t xml:space="preserve">ā, </w:t>
      </w:r>
      <w:r w:rsidRPr="00436DD5">
        <w:rPr>
          <w:rFonts w:eastAsia="Times New Roman" w:cs="Times New Roman"/>
          <w:szCs w:val="28"/>
        </w:rPr>
        <w:t>sociāl</w:t>
      </w:r>
      <w:r w:rsidR="00200571">
        <w:rPr>
          <w:rFonts w:eastAsia="Times New Roman" w:cs="Times New Roman"/>
          <w:szCs w:val="28"/>
        </w:rPr>
        <w:t xml:space="preserve">ā, </w:t>
      </w:r>
      <w:r w:rsidRPr="00436DD5">
        <w:rPr>
          <w:rFonts w:eastAsia="Times New Roman" w:cs="Times New Roman"/>
          <w:szCs w:val="28"/>
        </w:rPr>
        <w:t xml:space="preserve">vides un ģeopolitiskā situācija; </w:t>
      </w:r>
    </w:p>
    <w:p w:rsidR="00436DD5" w:rsidRDefault="00436DD5" w:rsidP="00436DD5">
      <w:pPr>
        <w:ind w:firstLine="720"/>
        <w:jc w:val="both"/>
        <w:rPr>
          <w:rFonts w:eastAsia="Times New Roman" w:cs="Times New Roman"/>
          <w:szCs w:val="28"/>
        </w:rPr>
      </w:pPr>
      <w:r w:rsidRPr="00436DD5">
        <w:rPr>
          <w:rFonts w:eastAsia="Times New Roman" w:cs="Times New Roman"/>
          <w:szCs w:val="28"/>
        </w:rPr>
        <w:t>• politiskie lēmumi, kas izriet no iepriekš</w:t>
      </w:r>
      <w:r w:rsidR="00200571">
        <w:rPr>
          <w:rFonts w:eastAsia="Times New Roman" w:cs="Times New Roman"/>
          <w:szCs w:val="28"/>
        </w:rPr>
        <w:t xml:space="preserve">minētajiem apstākļiem. </w:t>
      </w:r>
    </w:p>
    <w:p w:rsidR="00200571" w:rsidRDefault="00200571" w:rsidP="00436DD5">
      <w:pPr>
        <w:ind w:firstLine="720"/>
        <w:jc w:val="both"/>
        <w:rPr>
          <w:rFonts w:eastAsia="Times New Roman" w:cs="Times New Roman"/>
          <w:szCs w:val="28"/>
        </w:rPr>
      </w:pPr>
    </w:p>
    <w:p w:rsidR="00200571" w:rsidRPr="000336C5" w:rsidRDefault="005776AA" w:rsidP="003B2A68">
      <w:pPr>
        <w:ind w:firstLine="709"/>
        <w:jc w:val="both"/>
        <w:rPr>
          <w:rFonts w:eastAsia="Times New Roman" w:cs="Times New Roman"/>
          <w:szCs w:val="28"/>
        </w:rPr>
      </w:pPr>
      <w:r w:rsidRPr="000336C5">
        <w:rPr>
          <w:rFonts w:eastAsia="Times New Roman" w:cs="Times New Roman"/>
          <w:szCs w:val="28"/>
        </w:rPr>
        <w:t>Eiropas atkarība no importētajiem energoresursiem aizvien pieaug</w:t>
      </w:r>
      <w:r w:rsidR="008A0FA3">
        <w:rPr>
          <w:rFonts w:eastAsia="Times New Roman" w:cs="Times New Roman"/>
          <w:szCs w:val="28"/>
        </w:rPr>
        <w:t xml:space="preserve">. Saskaņā ar SEA </w:t>
      </w:r>
      <w:r w:rsidRPr="000336C5">
        <w:rPr>
          <w:rFonts w:eastAsia="Times New Roman" w:cs="Times New Roman"/>
          <w:szCs w:val="28"/>
        </w:rPr>
        <w:t>prognoz</w:t>
      </w:r>
      <w:r w:rsidR="008A0FA3">
        <w:rPr>
          <w:rFonts w:eastAsia="Times New Roman" w:cs="Times New Roman"/>
          <w:szCs w:val="28"/>
        </w:rPr>
        <w:t>ēm</w:t>
      </w:r>
      <w:r w:rsidRPr="000336C5">
        <w:rPr>
          <w:rFonts w:eastAsia="Times New Roman" w:cs="Times New Roman"/>
          <w:szCs w:val="28"/>
        </w:rPr>
        <w:t xml:space="preserve"> 2035.gadā vairāk kā 80% no patērētās naftas un gāzes tiks importēts. </w:t>
      </w:r>
      <w:r w:rsidR="008A0FA3">
        <w:rPr>
          <w:rFonts w:eastAsia="Times New Roman" w:cs="Times New Roman"/>
          <w:szCs w:val="28"/>
        </w:rPr>
        <w:t>G</w:t>
      </w:r>
      <w:r w:rsidRPr="000336C5">
        <w:rPr>
          <w:rFonts w:eastAsia="Times New Roman" w:cs="Times New Roman"/>
          <w:szCs w:val="28"/>
        </w:rPr>
        <w:t xml:space="preserve">lobālais enerģijas patēriņš 2035.gadā </w:t>
      </w:r>
      <w:r w:rsidR="008A0FA3">
        <w:rPr>
          <w:rFonts w:eastAsia="Times New Roman" w:cs="Times New Roman"/>
          <w:szCs w:val="28"/>
        </w:rPr>
        <w:t xml:space="preserve">varētu pieaugt </w:t>
      </w:r>
      <w:r w:rsidRPr="000336C5">
        <w:rPr>
          <w:rFonts w:eastAsia="Times New Roman" w:cs="Times New Roman"/>
          <w:szCs w:val="28"/>
        </w:rPr>
        <w:t xml:space="preserve">vairāk kā par trešdaļu, kur Ķīna, Indija un vidējo austrumu valstis patērēs vairāk kā 60% no prognozētā pieauguma. Enerģijas </w:t>
      </w:r>
      <w:r w:rsidR="008A0FA3">
        <w:rPr>
          <w:rFonts w:eastAsia="Times New Roman" w:cs="Times New Roman"/>
          <w:szCs w:val="28"/>
        </w:rPr>
        <w:t xml:space="preserve">patēriņa </w:t>
      </w:r>
      <w:r w:rsidRPr="000336C5">
        <w:rPr>
          <w:rFonts w:eastAsia="Times New Roman" w:cs="Times New Roman"/>
          <w:szCs w:val="28"/>
        </w:rPr>
        <w:t>pieaugums citās pasaules valstīs var atstāt vistiešāk</w:t>
      </w:r>
      <w:r w:rsidR="000442C1">
        <w:rPr>
          <w:rFonts w:eastAsia="Times New Roman" w:cs="Times New Roman"/>
          <w:szCs w:val="28"/>
        </w:rPr>
        <w:t>o</w:t>
      </w:r>
      <w:r w:rsidRPr="000336C5">
        <w:rPr>
          <w:rFonts w:eastAsia="Times New Roman" w:cs="Times New Roman"/>
          <w:szCs w:val="28"/>
        </w:rPr>
        <w:t xml:space="preserve"> ietekmi uz Eiropu. Piemēram, </w:t>
      </w:r>
      <w:r w:rsidR="008A0FA3">
        <w:rPr>
          <w:rFonts w:eastAsia="Times New Roman" w:cs="Times New Roman"/>
          <w:szCs w:val="28"/>
        </w:rPr>
        <w:t xml:space="preserve">tā iemesla dēļ, ka </w:t>
      </w:r>
      <w:r w:rsidRPr="000336C5">
        <w:rPr>
          <w:rFonts w:eastAsia="Times New Roman" w:cs="Times New Roman"/>
          <w:szCs w:val="28"/>
        </w:rPr>
        <w:t xml:space="preserve">Japāna un Koreja par SDG maksā apmēram par 60% </w:t>
      </w:r>
      <w:r w:rsidR="00C97989">
        <w:rPr>
          <w:rFonts w:eastAsia="Times New Roman" w:cs="Times New Roman"/>
          <w:szCs w:val="28"/>
        </w:rPr>
        <w:t xml:space="preserve">vairāk </w:t>
      </w:r>
      <w:r w:rsidRPr="000336C5">
        <w:rPr>
          <w:rFonts w:eastAsia="Times New Roman" w:cs="Times New Roman"/>
          <w:szCs w:val="28"/>
        </w:rPr>
        <w:t>nekā vidēji, SDG imports uz ES 2013</w:t>
      </w:r>
      <w:r w:rsidR="000442C1">
        <w:rPr>
          <w:rFonts w:eastAsia="Times New Roman" w:cs="Times New Roman"/>
          <w:szCs w:val="28"/>
        </w:rPr>
        <w:t>.</w:t>
      </w:r>
      <w:r w:rsidRPr="000336C5">
        <w:rPr>
          <w:rFonts w:eastAsia="Times New Roman" w:cs="Times New Roman"/>
          <w:szCs w:val="28"/>
        </w:rPr>
        <w:t xml:space="preserve"> gada februārī samazinājās par 30%, </w:t>
      </w:r>
      <w:r w:rsidR="00C97989">
        <w:rPr>
          <w:rFonts w:eastAsia="Times New Roman" w:cs="Times New Roman"/>
          <w:szCs w:val="28"/>
        </w:rPr>
        <w:t>salīdzinājumā</w:t>
      </w:r>
      <w:r w:rsidRPr="000336C5">
        <w:rPr>
          <w:rFonts w:eastAsia="Times New Roman" w:cs="Times New Roman"/>
          <w:szCs w:val="28"/>
        </w:rPr>
        <w:t xml:space="preserve"> ar 2011.gadu. </w:t>
      </w:r>
    </w:p>
    <w:p w:rsidR="00CB6588" w:rsidRDefault="000442C1" w:rsidP="00CB6588">
      <w:pPr>
        <w:ind w:firstLine="720"/>
        <w:jc w:val="both"/>
        <w:rPr>
          <w:rFonts w:eastAsia="Times New Roman" w:cs="Times New Roman"/>
          <w:szCs w:val="28"/>
        </w:rPr>
      </w:pPr>
      <w:r>
        <w:rPr>
          <w:rFonts w:eastAsia="Times New Roman" w:cs="Times New Roman"/>
          <w:szCs w:val="28"/>
        </w:rPr>
        <w:t xml:space="preserve">Vienlaikus </w:t>
      </w:r>
      <w:r w:rsidR="005776AA" w:rsidRPr="000336C5">
        <w:rPr>
          <w:rFonts w:eastAsia="Times New Roman" w:cs="Times New Roman"/>
          <w:szCs w:val="28"/>
        </w:rPr>
        <w:t xml:space="preserve">ASV gatavojas kļūt par tīro </w:t>
      </w:r>
      <w:r w:rsidR="008A0FA3">
        <w:rPr>
          <w:rFonts w:eastAsia="Times New Roman" w:cs="Times New Roman"/>
          <w:szCs w:val="28"/>
        </w:rPr>
        <w:t xml:space="preserve">enerģijas resusrsu </w:t>
      </w:r>
      <w:r w:rsidR="005776AA" w:rsidRPr="000336C5">
        <w:rPr>
          <w:rFonts w:eastAsia="Times New Roman" w:cs="Times New Roman"/>
          <w:szCs w:val="28"/>
        </w:rPr>
        <w:t>eksportētājvalsti. Elektrības cen</w:t>
      </w:r>
      <w:r w:rsidR="002D2C8A">
        <w:rPr>
          <w:rFonts w:eastAsia="Times New Roman" w:cs="Times New Roman"/>
          <w:szCs w:val="28"/>
        </w:rPr>
        <w:t>u</w:t>
      </w:r>
      <w:r w:rsidR="005776AA" w:rsidRPr="000336C5">
        <w:rPr>
          <w:rFonts w:eastAsia="Times New Roman" w:cs="Times New Roman"/>
          <w:szCs w:val="28"/>
        </w:rPr>
        <w:t xml:space="preserve"> atšķirības </w:t>
      </w:r>
      <w:r w:rsidR="008A0FA3">
        <w:rPr>
          <w:rFonts w:eastAsia="Times New Roman" w:cs="Times New Roman"/>
          <w:szCs w:val="28"/>
        </w:rPr>
        <w:t xml:space="preserve">globālajā </w:t>
      </w:r>
      <w:r w:rsidR="002D2C8A">
        <w:rPr>
          <w:rFonts w:eastAsia="Times New Roman" w:cs="Times New Roman"/>
          <w:szCs w:val="28"/>
        </w:rPr>
        <w:t>tirgū</w:t>
      </w:r>
      <w:r w:rsidR="008A0FA3">
        <w:rPr>
          <w:rFonts w:eastAsia="Times New Roman" w:cs="Times New Roman"/>
          <w:szCs w:val="28"/>
        </w:rPr>
        <w:t xml:space="preserve"> </w:t>
      </w:r>
      <w:r w:rsidR="003B2A68">
        <w:rPr>
          <w:rFonts w:eastAsia="Times New Roman" w:cs="Times New Roman"/>
          <w:szCs w:val="28"/>
        </w:rPr>
        <w:t>ievērojam</w:t>
      </w:r>
      <w:r w:rsidR="005776AA" w:rsidRPr="000336C5">
        <w:rPr>
          <w:rFonts w:eastAsia="Times New Roman" w:cs="Times New Roman"/>
          <w:szCs w:val="28"/>
        </w:rPr>
        <w:t xml:space="preserve">i ietekmē fosilās enerģijas cenas. Piemēram slānekļa gāzes revolūcija ASV </w:t>
      </w:r>
      <w:r w:rsidRPr="000336C5">
        <w:rPr>
          <w:rFonts w:eastAsia="Times New Roman" w:cs="Times New Roman"/>
          <w:szCs w:val="28"/>
        </w:rPr>
        <w:t>nodrošina priekšrocības energointensīvajiem rūpnieciskajiem ražotājiem salīdzin</w:t>
      </w:r>
      <w:r w:rsidR="003B2A68">
        <w:rPr>
          <w:rFonts w:eastAsia="Times New Roman" w:cs="Times New Roman"/>
          <w:szCs w:val="28"/>
        </w:rPr>
        <w:t>ājumā</w:t>
      </w:r>
      <w:r w:rsidRPr="000336C5">
        <w:rPr>
          <w:rFonts w:eastAsia="Times New Roman" w:cs="Times New Roman"/>
          <w:szCs w:val="28"/>
        </w:rPr>
        <w:t xml:space="preserve"> ar ES. 2012.gadā gāzes cena rūpnieciskajiem ražotājiem </w:t>
      </w:r>
      <w:r w:rsidR="008A0FA3">
        <w:rPr>
          <w:rFonts w:eastAsia="Times New Roman" w:cs="Times New Roman"/>
          <w:szCs w:val="28"/>
        </w:rPr>
        <w:t xml:space="preserve">ASV </w:t>
      </w:r>
      <w:r w:rsidRPr="000336C5">
        <w:rPr>
          <w:rFonts w:eastAsia="Times New Roman" w:cs="Times New Roman"/>
          <w:szCs w:val="28"/>
        </w:rPr>
        <w:t>bija vairāk kā četras reizes zemāka nekā ES. SEA noteiktais industriālais cenu indekss reālajai elektrības cenai pieauga par 37% starp Eiropas OECD dalībvalstīm 7 gadu laikā (</w:t>
      </w:r>
      <w:r w:rsidR="00200571" w:rsidRPr="000336C5">
        <w:rPr>
          <w:rFonts w:eastAsia="Times New Roman" w:cs="Times New Roman"/>
          <w:szCs w:val="28"/>
        </w:rPr>
        <w:t xml:space="preserve">2005 </w:t>
      </w:r>
      <w:r w:rsidRPr="000336C5">
        <w:rPr>
          <w:rFonts w:eastAsia="Times New Roman" w:cs="Times New Roman"/>
          <w:szCs w:val="28"/>
        </w:rPr>
        <w:t xml:space="preserve">- </w:t>
      </w:r>
      <w:r w:rsidR="00200571" w:rsidRPr="000336C5">
        <w:rPr>
          <w:rFonts w:eastAsia="Times New Roman" w:cs="Times New Roman"/>
          <w:szCs w:val="28"/>
        </w:rPr>
        <w:t xml:space="preserve">2012), </w:t>
      </w:r>
      <w:r w:rsidRPr="000336C5">
        <w:rPr>
          <w:rFonts w:eastAsia="Times New Roman" w:cs="Times New Roman"/>
          <w:szCs w:val="28"/>
        </w:rPr>
        <w:t xml:space="preserve">kamēr ASV tas samazinājās par 4%. Vēl viens efekts ko radīja slānekļa gāzes revolūcija ASV ir pieaugoša tendence akmeņogļu izmantošanai ES. </w:t>
      </w:r>
    </w:p>
    <w:p w:rsidR="00CC15D2" w:rsidRDefault="00CB6588" w:rsidP="00CB6588">
      <w:pPr>
        <w:ind w:firstLine="720"/>
        <w:jc w:val="both"/>
        <w:rPr>
          <w:rFonts w:eastAsia="Times New Roman" w:cs="Times New Roman"/>
          <w:szCs w:val="28"/>
        </w:rPr>
      </w:pPr>
      <w:r>
        <w:rPr>
          <w:rFonts w:eastAsia="Times New Roman" w:cs="Times New Roman"/>
          <w:szCs w:val="28"/>
        </w:rPr>
        <w:t xml:space="preserve">Latvijā pretēji atsevišķām ES valstīm, akmeņogļu patēriņš aizvien samazinās un </w:t>
      </w:r>
      <w:r w:rsidRPr="00FD7F67">
        <w:rPr>
          <w:rFonts w:eastAsia="Times New Roman" w:cs="Times New Roman"/>
          <w:szCs w:val="28"/>
        </w:rPr>
        <w:t xml:space="preserve">2012.gadā </w:t>
      </w:r>
      <w:r>
        <w:rPr>
          <w:rFonts w:eastAsia="Times New Roman" w:cs="Times New Roman"/>
          <w:szCs w:val="28"/>
        </w:rPr>
        <w:t xml:space="preserve">tas bija vien </w:t>
      </w:r>
      <w:r w:rsidRPr="00FD7F67">
        <w:rPr>
          <w:rFonts w:eastAsia="Times New Roman" w:cs="Times New Roman"/>
          <w:szCs w:val="28"/>
        </w:rPr>
        <w:t>139 tūkst. tonnu</w:t>
      </w:r>
      <w:r>
        <w:rPr>
          <w:rFonts w:eastAsia="Times New Roman" w:cs="Times New Roman"/>
          <w:szCs w:val="28"/>
        </w:rPr>
        <w:t>. Kopumā a</w:t>
      </w:r>
      <w:r w:rsidRPr="00F26661">
        <w:rPr>
          <w:rFonts w:eastAsia="Times New Roman" w:cs="Times New Roman"/>
          <w:szCs w:val="28"/>
        </w:rPr>
        <w:t xml:space="preserve">kmeņogles ir izplatīts, pasaules tirgū plaši pieejams primāro energoresursu veids, labi un elastīgi transportējams un uzkrājams. </w:t>
      </w:r>
      <w:r>
        <w:rPr>
          <w:rFonts w:eastAsia="Times New Roman" w:cs="Times New Roman"/>
          <w:szCs w:val="28"/>
        </w:rPr>
        <w:t xml:space="preserve">Akmeņogļu </w:t>
      </w:r>
      <w:r w:rsidRPr="00F26661">
        <w:rPr>
          <w:rFonts w:eastAsia="Times New Roman" w:cs="Times New Roman"/>
          <w:szCs w:val="28"/>
        </w:rPr>
        <w:t>priekšrocība ir iespēja to sadedzināt kopā ar biomasu, kūdru un citiem cietā kurināmā veidiem, samazinot ietekmi uz vidi un paplašinot AER un vietējo energoresursu izmantošanu elektroenerģijas ģenerācijā.</w:t>
      </w:r>
      <w:r>
        <w:rPr>
          <w:rFonts w:eastAsia="Times New Roman" w:cs="Times New Roman"/>
          <w:szCs w:val="28"/>
        </w:rPr>
        <w:t xml:space="preserve"> </w:t>
      </w:r>
    </w:p>
    <w:p w:rsidR="00CB6588" w:rsidRPr="002E749F" w:rsidRDefault="00CB6588" w:rsidP="00CB6588">
      <w:pPr>
        <w:ind w:firstLine="720"/>
        <w:jc w:val="both"/>
        <w:rPr>
          <w:rFonts w:eastAsia="Times New Roman" w:cs="Times New Roman"/>
          <w:bCs/>
          <w:szCs w:val="28"/>
        </w:rPr>
      </w:pPr>
      <w:r>
        <w:rPr>
          <w:rFonts w:eastAsia="Times New Roman" w:cs="Times New Roman"/>
          <w:szCs w:val="28"/>
        </w:rPr>
        <w:t xml:space="preserve">Latvijā pārsvarā izmanto importētos energoresursus. 2012.gadā vietējie energoresursi nodrošināja 35,5% no kopējā primāro energoresursu patēriņa. Lielākā daļa no tiem bija AER –  </w:t>
      </w:r>
      <w:r w:rsidRPr="00F26661">
        <w:rPr>
          <w:rFonts w:eastAsia="Times New Roman" w:cs="Times New Roman"/>
          <w:szCs w:val="28"/>
        </w:rPr>
        <w:t>koksn</w:t>
      </w:r>
      <w:r>
        <w:rPr>
          <w:rFonts w:eastAsia="Times New Roman" w:cs="Times New Roman"/>
          <w:szCs w:val="28"/>
        </w:rPr>
        <w:t>es biomasa</w:t>
      </w:r>
      <w:r w:rsidRPr="00F26661">
        <w:rPr>
          <w:rFonts w:eastAsia="Times New Roman" w:cs="Times New Roman"/>
          <w:szCs w:val="28"/>
        </w:rPr>
        <w:t xml:space="preserve">, hidroresursi, vējš, </w:t>
      </w:r>
      <w:r>
        <w:rPr>
          <w:rFonts w:eastAsia="Times New Roman" w:cs="Times New Roman"/>
          <w:szCs w:val="28"/>
        </w:rPr>
        <w:t xml:space="preserve">citi </w:t>
      </w:r>
      <w:r w:rsidRPr="00F26661">
        <w:rPr>
          <w:rFonts w:eastAsia="Times New Roman" w:cs="Times New Roman"/>
          <w:szCs w:val="28"/>
        </w:rPr>
        <w:t>biomasa</w:t>
      </w:r>
      <w:r>
        <w:rPr>
          <w:rFonts w:eastAsia="Times New Roman" w:cs="Times New Roman"/>
          <w:szCs w:val="28"/>
        </w:rPr>
        <w:t>s veidi (izņemot koksnes biomasu)</w:t>
      </w:r>
      <w:r w:rsidRPr="00F26661">
        <w:rPr>
          <w:rFonts w:eastAsia="Times New Roman" w:cs="Times New Roman"/>
          <w:szCs w:val="28"/>
        </w:rPr>
        <w:t>,</w:t>
      </w:r>
      <w:r>
        <w:rPr>
          <w:rFonts w:eastAsia="Times New Roman" w:cs="Times New Roman"/>
          <w:szCs w:val="28"/>
        </w:rPr>
        <w:t xml:space="preserve"> biogāze, </w:t>
      </w:r>
      <w:r w:rsidRPr="00F26661">
        <w:rPr>
          <w:rFonts w:eastAsia="Times New Roman" w:cs="Times New Roman"/>
          <w:szCs w:val="28"/>
        </w:rPr>
        <w:t>biodegviela</w:t>
      </w:r>
      <w:r>
        <w:rPr>
          <w:rFonts w:eastAsia="Times New Roman" w:cs="Times New Roman"/>
          <w:szCs w:val="28"/>
        </w:rPr>
        <w:t xml:space="preserve">s un vietējie energoresursi - kūdra, atkritumi. Pārējā daļa jeb 64,5% </w:t>
      </w:r>
      <w:r w:rsidRPr="00F26661">
        <w:rPr>
          <w:rFonts w:eastAsia="Times New Roman" w:cs="Times New Roman"/>
          <w:szCs w:val="28"/>
        </w:rPr>
        <w:t>energoresurs</w:t>
      </w:r>
      <w:r>
        <w:rPr>
          <w:rFonts w:eastAsia="Times New Roman" w:cs="Times New Roman"/>
          <w:szCs w:val="28"/>
        </w:rPr>
        <w:t xml:space="preserve">i, starp kuriem svarīgākie ir naftas produkti un dabasgāze, tika importēti no dažādām Baltijas reģiona, ES un trešajām valstīm, tajā skaitā no Krievijas. </w:t>
      </w:r>
      <w:r>
        <w:rPr>
          <w:rFonts w:eastAsia="Times New Roman" w:cs="Times New Roman"/>
          <w:bCs/>
          <w:szCs w:val="28"/>
        </w:rPr>
        <w:t>D</w:t>
      </w:r>
      <w:r w:rsidRPr="002E749F">
        <w:rPr>
          <w:rFonts w:eastAsia="Times New Roman" w:cs="Times New Roman"/>
          <w:bCs/>
          <w:szCs w:val="28"/>
        </w:rPr>
        <w:t>abasgāze</w:t>
      </w:r>
      <w:r>
        <w:rPr>
          <w:rFonts w:eastAsia="Times New Roman" w:cs="Times New Roman"/>
          <w:bCs/>
          <w:szCs w:val="28"/>
        </w:rPr>
        <w:t xml:space="preserve"> tika piegādāta tikai no Krievijas, un kas sastādīja 26,7</w:t>
      </w:r>
      <w:r w:rsidRPr="002E749F">
        <w:rPr>
          <w:rFonts w:eastAsia="Times New Roman" w:cs="Times New Roman"/>
          <w:bCs/>
          <w:szCs w:val="28"/>
        </w:rPr>
        <w:t xml:space="preserve">% </w:t>
      </w:r>
      <w:r>
        <w:rPr>
          <w:rFonts w:eastAsia="Times New Roman" w:cs="Times New Roman"/>
          <w:bCs/>
          <w:szCs w:val="28"/>
        </w:rPr>
        <w:t>(50,81</w:t>
      </w:r>
      <w:r w:rsidRPr="002E749F">
        <w:rPr>
          <w:rFonts w:eastAsia="Times New Roman" w:cs="Times New Roman"/>
          <w:bCs/>
          <w:szCs w:val="28"/>
        </w:rPr>
        <w:t xml:space="preserve"> PJ)</w:t>
      </w:r>
      <w:r>
        <w:rPr>
          <w:rFonts w:eastAsia="Times New Roman" w:cs="Times New Roman"/>
          <w:bCs/>
          <w:szCs w:val="28"/>
        </w:rPr>
        <w:t xml:space="preserve"> </w:t>
      </w:r>
      <w:r w:rsidRPr="00C47BDB">
        <w:rPr>
          <w:rFonts w:eastAsia="Times New Roman" w:cs="Times New Roman"/>
          <w:bCs/>
          <w:szCs w:val="28"/>
        </w:rPr>
        <w:t>(</w:t>
      </w:r>
      <w:r w:rsidRPr="000336C5">
        <w:rPr>
          <w:rFonts w:eastAsia="Times New Roman" w:cs="Times New Roman"/>
          <w:bCs/>
          <w:szCs w:val="28"/>
        </w:rPr>
        <w:t>skat. 2.attēlu</w:t>
      </w:r>
      <w:r w:rsidRPr="00C47BDB">
        <w:rPr>
          <w:rFonts w:eastAsia="Times New Roman" w:cs="Times New Roman"/>
          <w:bCs/>
          <w:szCs w:val="28"/>
        </w:rPr>
        <w:t>)</w:t>
      </w:r>
      <w:r>
        <w:rPr>
          <w:rFonts w:eastAsia="Times New Roman" w:cs="Times New Roman"/>
          <w:bCs/>
          <w:szCs w:val="28"/>
        </w:rPr>
        <w:t>.</w:t>
      </w:r>
    </w:p>
    <w:p w:rsidR="00F90740" w:rsidRPr="00F26661" w:rsidRDefault="00F90740" w:rsidP="00F90740">
      <w:pPr>
        <w:jc w:val="center"/>
        <w:rPr>
          <w:rFonts w:eastAsia="Calibri" w:cs="Times New Roman"/>
        </w:rPr>
      </w:pPr>
      <w:r w:rsidRPr="002E749F">
        <w:rPr>
          <w:rFonts w:eastAsia="Times New Roman" w:cs="Times New Roman"/>
          <w:bCs/>
          <w:szCs w:val="28"/>
        </w:rPr>
        <w:lastRenderedPageBreak/>
        <w:t xml:space="preserve"> </w:t>
      </w:r>
      <w:r w:rsidRPr="00997975">
        <w:rPr>
          <w:rFonts w:eastAsia="Calibri" w:cs="Times New Roman"/>
          <w:noProof/>
          <w:lang w:eastAsia="lv-LV"/>
        </w:rPr>
        <w:drawing>
          <wp:inline distT="0" distB="0" distL="0" distR="0" wp14:anchorId="200881BC" wp14:editId="0165D401">
            <wp:extent cx="5686425" cy="3095625"/>
            <wp:effectExtent l="0" t="0" r="9525" b="9525"/>
            <wp:docPr id="9" name="Picture 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3095625"/>
                    </a:xfrm>
                    <a:prstGeom prst="rect">
                      <a:avLst/>
                    </a:prstGeom>
                    <a:noFill/>
                    <a:extLst/>
                  </pic:spPr>
                </pic:pic>
              </a:graphicData>
            </a:graphic>
          </wp:inline>
        </w:drawing>
      </w:r>
    </w:p>
    <w:p w:rsidR="00F90740" w:rsidRDefault="00F90740" w:rsidP="00F90740">
      <w:pPr>
        <w:ind w:firstLine="720"/>
        <w:rPr>
          <w:rFonts w:eastAsia="Calibri" w:cs="Times New Roman"/>
          <w:sz w:val="20"/>
          <w:szCs w:val="20"/>
          <w:lang w:eastAsia="lv-LV"/>
        </w:rPr>
      </w:pPr>
      <w:r w:rsidRPr="00F26661">
        <w:rPr>
          <w:rFonts w:eastAsia="Calibri" w:cs="Times New Roman"/>
          <w:sz w:val="20"/>
          <w:szCs w:val="20"/>
          <w:lang w:eastAsia="lv-LV"/>
        </w:rPr>
        <w:t xml:space="preserve">Avots: </w:t>
      </w:r>
      <w:r>
        <w:rPr>
          <w:rFonts w:eastAsia="Calibri" w:cs="Times New Roman"/>
          <w:sz w:val="20"/>
          <w:szCs w:val="20"/>
          <w:lang w:eastAsia="lv-LV"/>
        </w:rPr>
        <w:t xml:space="preserve">Aprēķinos izmantota </w:t>
      </w:r>
      <w:r w:rsidRPr="00F26661">
        <w:rPr>
          <w:rFonts w:eastAsia="Calibri" w:cs="Times New Roman"/>
          <w:sz w:val="20"/>
          <w:szCs w:val="20"/>
          <w:lang w:eastAsia="lv-LV"/>
        </w:rPr>
        <w:t xml:space="preserve"> Eurostat External trade datu bāz</w:t>
      </w:r>
      <w:r>
        <w:rPr>
          <w:rFonts w:eastAsia="Calibri" w:cs="Times New Roman"/>
          <w:sz w:val="20"/>
          <w:szCs w:val="20"/>
          <w:lang w:eastAsia="lv-LV"/>
        </w:rPr>
        <w:t>e</w:t>
      </w:r>
    </w:p>
    <w:p w:rsidR="00F90740" w:rsidRPr="00F26661" w:rsidRDefault="00F90740" w:rsidP="00F90740">
      <w:pPr>
        <w:ind w:firstLine="720"/>
        <w:rPr>
          <w:rFonts w:eastAsia="Calibri" w:cs="Times New Roman"/>
          <w:lang w:eastAsia="lv-LV"/>
        </w:rPr>
      </w:pPr>
      <w:r>
        <w:rPr>
          <w:rFonts w:eastAsia="Calibri" w:cs="Times New Roman"/>
          <w:sz w:val="20"/>
          <w:szCs w:val="20"/>
          <w:lang w:eastAsia="lv-LV"/>
        </w:rPr>
        <w:t>** - Neatkarīgo valstu sadraudzība</w:t>
      </w:r>
    </w:p>
    <w:p w:rsidR="00F90740" w:rsidRPr="00D47298" w:rsidRDefault="00C47BDB" w:rsidP="00D47298">
      <w:pPr>
        <w:rPr>
          <w:rFonts w:eastAsia="Calibri" w:cs="Times New Roman"/>
          <w:b/>
          <w:sz w:val="24"/>
          <w:szCs w:val="24"/>
        </w:rPr>
      </w:pPr>
      <w:r w:rsidRPr="00D47298">
        <w:rPr>
          <w:rFonts w:eastAsia="Calibri" w:cs="Times New Roman"/>
          <w:b/>
          <w:sz w:val="24"/>
          <w:szCs w:val="24"/>
        </w:rPr>
        <w:t>2</w:t>
      </w:r>
      <w:r w:rsidR="00F90740" w:rsidRPr="00D47298">
        <w:rPr>
          <w:rFonts w:eastAsia="Calibri" w:cs="Times New Roman"/>
          <w:b/>
          <w:sz w:val="24"/>
          <w:szCs w:val="24"/>
        </w:rPr>
        <w:t>.attēls. Primāro energoresursu plūsma Latvijā 2012.</w:t>
      </w:r>
      <w:r w:rsidR="002A45EB" w:rsidRPr="00D47298">
        <w:rPr>
          <w:rFonts w:eastAsia="Calibri" w:cs="Times New Roman"/>
          <w:b/>
          <w:sz w:val="24"/>
          <w:szCs w:val="24"/>
        </w:rPr>
        <w:t>gadā</w:t>
      </w:r>
      <w:r w:rsidR="00CB6588">
        <w:rPr>
          <w:rFonts w:eastAsia="Calibri" w:cs="Times New Roman"/>
          <w:b/>
          <w:sz w:val="24"/>
          <w:szCs w:val="24"/>
        </w:rPr>
        <w:t>.</w:t>
      </w:r>
    </w:p>
    <w:p w:rsidR="008A0FA3" w:rsidRPr="000336C5" w:rsidRDefault="008A0FA3" w:rsidP="000336C5">
      <w:pPr>
        <w:ind w:left="720"/>
        <w:jc w:val="center"/>
        <w:rPr>
          <w:rFonts w:eastAsia="Calibri" w:cs="Times New Roman"/>
          <w:szCs w:val="28"/>
        </w:rPr>
      </w:pPr>
    </w:p>
    <w:p w:rsidR="003837D9" w:rsidRDefault="003837D9" w:rsidP="000336C5">
      <w:pPr>
        <w:ind w:firstLine="720"/>
        <w:jc w:val="both"/>
        <w:rPr>
          <w:rFonts w:eastAsia="Times New Roman" w:cs="Times New Roman"/>
          <w:bCs/>
          <w:szCs w:val="28"/>
        </w:rPr>
      </w:pPr>
      <w:r>
        <w:rPr>
          <w:rFonts w:eastAsia="Times New Roman" w:cs="Times New Roman"/>
          <w:bCs/>
          <w:szCs w:val="28"/>
        </w:rPr>
        <w:t xml:space="preserve">Latvijas energoresursu struktūrā dominē atjaunojamie energoresursi, naftas produkti un dabasgāze </w:t>
      </w:r>
      <w:r w:rsidRPr="000336C5">
        <w:rPr>
          <w:rFonts w:eastAsia="Times New Roman" w:cs="Times New Roman"/>
          <w:bCs/>
          <w:szCs w:val="28"/>
        </w:rPr>
        <w:t xml:space="preserve">(skat. </w:t>
      </w:r>
      <w:r w:rsidR="00C47BDB" w:rsidRPr="000336C5">
        <w:rPr>
          <w:rFonts w:eastAsia="Times New Roman" w:cs="Times New Roman"/>
          <w:bCs/>
          <w:szCs w:val="28"/>
        </w:rPr>
        <w:t>3.</w:t>
      </w:r>
      <w:r w:rsidRPr="000336C5">
        <w:rPr>
          <w:rFonts w:eastAsia="Times New Roman" w:cs="Times New Roman"/>
          <w:bCs/>
          <w:szCs w:val="28"/>
        </w:rPr>
        <w:t>attēlu).</w:t>
      </w:r>
      <w:r>
        <w:rPr>
          <w:rFonts w:eastAsia="Times New Roman" w:cs="Times New Roman"/>
          <w:bCs/>
          <w:szCs w:val="28"/>
        </w:rPr>
        <w:t xml:space="preserve"> </w:t>
      </w:r>
    </w:p>
    <w:p w:rsidR="003837D9" w:rsidRDefault="003837D9" w:rsidP="00F90740">
      <w:pPr>
        <w:jc w:val="both"/>
        <w:rPr>
          <w:rFonts w:eastAsia="Times New Roman" w:cs="Times New Roman"/>
          <w:bCs/>
          <w:szCs w:val="28"/>
        </w:rPr>
      </w:pPr>
    </w:p>
    <w:p w:rsidR="00F90740" w:rsidRDefault="00CB6588" w:rsidP="00F90740">
      <w:pPr>
        <w:jc w:val="center"/>
        <w:rPr>
          <w:rFonts w:eastAsia="Times New Roman" w:cs="Times New Roman"/>
          <w:szCs w:val="28"/>
        </w:rPr>
      </w:pPr>
      <w:r>
        <w:rPr>
          <w:noProof/>
          <w:lang w:eastAsia="lv-LV"/>
        </w:rPr>
        <w:drawing>
          <wp:inline distT="0" distB="0" distL="0" distR="0" wp14:anchorId="3A82E183" wp14:editId="4A122C71">
            <wp:extent cx="5741377" cy="3912577"/>
            <wp:effectExtent l="0" t="0" r="1206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0740" w:rsidRPr="00D47298" w:rsidRDefault="00C47BDB" w:rsidP="00D47298">
      <w:pPr>
        <w:rPr>
          <w:rFonts w:eastAsia="Times New Roman" w:cs="Times New Roman"/>
          <w:b/>
          <w:bCs/>
          <w:sz w:val="24"/>
          <w:szCs w:val="24"/>
        </w:rPr>
      </w:pPr>
      <w:r w:rsidRPr="00D47298">
        <w:rPr>
          <w:rFonts w:eastAsia="Times New Roman" w:cs="Times New Roman"/>
          <w:b/>
          <w:bCs/>
          <w:sz w:val="24"/>
          <w:szCs w:val="24"/>
        </w:rPr>
        <w:t>3</w:t>
      </w:r>
      <w:r w:rsidR="00F90740" w:rsidRPr="00D47298">
        <w:rPr>
          <w:rFonts w:eastAsia="Times New Roman" w:cs="Times New Roman"/>
          <w:b/>
          <w:bCs/>
          <w:sz w:val="24"/>
          <w:szCs w:val="24"/>
        </w:rPr>
        <w:t xml:space="preserve">.attēls. </w:t>
      </w:r>
      <w:r w:rsidR="00CB6588" w:rsidRPr="00834B2A">
        <w:rPr>
          <w:rFonts w:eastAsia="Times New Roman" w:cs="Times New Roman"/>
          <w:b/>
          <w:bCs/>
          <w:sz w:val="24"/>
          <w:szCs w:val="24"/>
        </w:rPr>
        <w:t>Latvijas energoresursu struktūra 2012.gadā (pa resursu veidiem</w:t>
      </w:r>
      <w:r w:rsidR="00CB6588">
        <w:rPr>
          <w:rFonts w:eastAsia="Times New Roman" w:cs="Times New Roman"/>
          <w:b/>
          <w:bCs/>
          <w:sz w:val="24"/>
          <w:szCs w:val="24"/>
        </w:rPr>
        <w:t>)</w:t>
      </w:r>
      <w:r w:rsidR="00CB6588" w:rsidRPr="00834B2A">
        <w:rPr>
          <w:rFonts w:eastAsia="Times New Roman" w:cs="Times New Roman"/>
          <w:b/>
          <w:bCs/>
          <w:sz w:val="24"/>
          <w:szCs w:val="24"/>
        </w:rPr>
        <w:t>, PJ un %.</w:t>
      </w:r>
    </w:p>
    <w:p w:rsidR="00CC15D2" w:rsidRDefault="00CC15D2" w:rsidP="00CB6588">
      <w:pPr>
        <w:ind w:firstLine="720"/>
        <w:jc w:val="both"/>
        <w:rPr>
          <w:rFonts w:eastAsia="Times New Roman" w:cs="Times New Roman"/>
          <w:szCs w:val="28"/>
        </w:rPr>
      </w:pPr>
    </w:p>
    <w:p w:rsidR="00CB6588" w:rsidRDefault="00CB6588" w:rsidP="00CB6588">
      <w:pPr>
        <w:ind w:firstLine="720"/>
        <w:jc w:val="both"/>
        <w:rPr>
          <w:rFonts w:eastAsia="Calibri" w:cs="Times New Roman"/>
        </w:rPr>
      </w:pPr>
      <w:r w:rsidRPr="003837D9">
        <w:rPr>
          <w:rFonts w:eastAsia="Times New Roman" w:cs="Times New Roman"/>
          <w:szCs w:val="28"/>
        </w:rPr>
        <w:t>Svarīgāk</w:t>
      </w:r>
      <w:r>
        <w:rPr>
          <w:rFonts w:eastAsia="Times New Roman" w:cs="Times New Roman"/>
          <w:szCs w:val="28"/>
        </w:rPr>
        <w:t>ie</w:t>
      </w:r>
      <w:r w:rsidRPr="003837D9">
        <w:rPr>
          <w:rFonts w:eastAsia="Times New Roman" w:cs="Times New Roman"/>
          <w:szCs w:val="28"/>
        </w:rPr>
        <w:t xml:space="preserve"> </w:t>
      </w:r>
      <w:r>
        <w:rPr>
          <w:rFonts w:eastAsia="Times New Roman" w:cs="Times New Roman"/>
          <w:szCs w:val="28"/>
        </w:rPr>
        <w:t>AER</w:t>
      </w:r>
      <w:r w:rsidRPr="003837D9">
        <w:rPr>
          <w:rFonts w:eastAsia="Times New Roman" w:cs="Times New Roman"/>
          <w:szCs w:val="28"/>
        </w:rPr>
        <w:t xml:space="preserve"> Latvijā ir kurināmā koksne u</w:t>
      </w:r>
      <w:r>
        <w:rPr>
          <w:rFonts w:eastAsia="Times New Roman" w:cs="Times New Roman"/>
          <w:szCs w:val="28"/>
        </w:rPr>
        <w:t>n</w:t>
      </w:r>
      <w:r w:rsidRPr="003837D9">
        <w:rPr>
          <w:rFonts w:eastAsia="Times New Roman" w:cs="Times New Roman"/>
          <w:szCs w:val="28"/>
        </w:rPr>
        <w:t xml:space="preserve"> hidroenerģija</w:t>
      </w:r>
      <w:r>
        <w:rPr>
          <w:rFonts w:eastAsia="Times New Roman" w:cs="Times New Roman"/>
          <w:szCs w:val="28"/>
        </w:rPr>
        <w:t>, kā arī pašlaik tiek izpētītas ģeotermālā enerģijas izmantošanas iespējas</w:t>
      </w:r>
      <w:r w:rsidRPr="003837D9">
        <w:rPr>
          <w:rFonts w:eastAsia="Times New Roman" w:cs="Times New Roman"/>
          <w:szCs w:val="28"/>
        </w:rPr>
        <w:t xml:space="preserve">. </w:t>
      </w:r>
      <w:r w:rsidRPr="0097153E">
        <w:rPr>
          <w:rFonts w:eastAsia="Times New Roman" w:cs="Times New Roman"/>
          <w:b/>
          <w:szCs w:val="28"/>
        </w:rPr>
        <w:t>Koksnes biomasa ir nozīmīgākais vietējais kurināmais.</w:t>
      </w:r>
      <w:r>
        <w:rPr>
          <w:rFonts w:eastAsia="Times New Roman" w:cs="Times New Roman"/>
          <w:szCs w:val="28"/>
        </w:rPr>
        <w:t xml:space="preserve"> Kurināmās koksnes</w:t>
      </w:r>
      <w:r w:rsidRPr="00F26661">
        <w:rPr>
          <w:rFonts w:eastAsia="Times New Roman" w:cs="Times New Roman"/>
          <w:szCs w:val="28"/>
        </w:rPr>
        <w:t xml:space="preserve"> īpatsvars 201</w:t>
      </w:r>
      <w:r>
        <w:rPr>
          <w:rFonts w:eastAsia="Times New Roman" w:cs="Times New Roman"/>
          <w:szCs w:val="28"/>
        </w:rPr>
        <w:t>2</w:t>
      </w:r>
      <w:r w:rsidRPr="00F26661">
        <w:rPr>
          <w:rFonts w:eastAsia="Times New Roman" w:cs="Times New Roman"/>
          <w:szCs w:val="28"/>
        </w:rPr>
        <w:t xml:space="preserve">.gada Latvijas primāro energoresursu bilancē sastādīja </w:t>
      </w:r>
      <w:r>
        <w:rPr>
          <w:rFonts w:eastAsia="Times New Roman" w:cs="Times New Roman"/>
          <w:szCs w:val="28"/>
        </w:rPr>
        <w:t>27,5</w:t>
      </w:r>
      <w:r w:rsidRPr="00F26661">
        <w:rPr>
          <w:rFonts w:eastAsia="Times New Roman" w:cs="Times New Roman"/>
          <w:szCs w:val="28"/>
        </w:rPr>
        <w:t>% jeb 5</w:t>
      </w:r>
      <w:r>
        <w:rPr>
          <w:rFonts w:eastAsia="Times New Roman" w:cs="Times New Roman"/>
          <w:szCs w:val="28"/>
        </w:rPr>
        <w:t>2,50</w:t>
      </w:r>
      <w:r w:rsidRPr="00F26661">
        <w:rPr>
          <w:rFonts w:eastAsia="Times New Roman" w:cs="Times New Roman"/>
          <w:szCs w:val="28"/>
        </w:rPr>
        <w:t>PJ no kopējā energoresursu patēriņa. Koksn</w:t>
      </w:r>
      <w:r>
        <w:rPr>
          <w:rFonts w:eastAsia="Times New Roman" w:cs="Times New Roman"/>
          <w:szCs w:val="28"/>
        </w:rPr>
        <w:t>i</w:t>
      </w:r>
      <w:r w:rsidRPr="00F26661">
        <w:rPr>
          <w:rFonts w:eastAsia="Times New Roman" w:cs="Times New Roman"/>
          <w:szCs w:val="28"/>
        </w:rPr>
        <w:t xml:space="preserve"> Latvijā izmanto centralizētajā, lokālajā un individuālajā siltumapgādē, kā arī koģenerācijā.</w:t>
      </w:r>
      <w:r>
        <w:rPr>
          <w:rFonts w:eastAsia="Times New Roman" w:cs="Times New Roman"/>
          <w:szCs w:val="28"/>
        </w:rPr>
        <w:t xml:space="preserve"> Lai arī Latvijā ir potenciāls koksnes izmantošanai enerģijas ražošanā, p</w:t>
      </w:r>
      <w:r w:rsidRPr="00F26661">
        <w:rPr>
          <w:rFonts w:eastAsia="Calibri" w:cs="Times New Roman"/>
          <w:szCs w:val="28"/>
        </w:rPr>
        <w:t xml:space="preserve">alielinoties koksnes biomasas pieprasījumam, samazināsies cenu priekšrocības koksnes </w:t>
      </w:r>
      <w:r>
        <w:rPr>
          <w:rFonts w:eastAsia="Calibri" w:cs="Times New Roman"/>
          <w:szCs w:val="28"/>
        </w:rPr>
        <w:t xml:space="preserve">biomasas </w:t>
      </w:r>
      <w:r w:rsidRPr="00F26661">
        <w:rPr>
          <w:rFonts w:eastAsia="Calibri" w:cs="Times New Roman"/>
          <w:szCs w:val="28"/>
        </w:rPr>
        <w:t>izmantošanai produktu (celulozes, koksnes plātņu) ražošanā pret tās pielietojumu enerģijas ražošanā.</w:t>
      </w:r>
      <w:r w:rsidRPr="00F26661">
        <w:rPr>
          <w:rFonts w:eastAsia="Calibri" w:cs="Times New Roman"/>
        </w:rPr>
        <w:t xml:space="preserve"> </w:t>
      </w:r>
    </w:p>
    <w:p w:rsidR="000C3504" w:rsidRDefault="004F5BB9" w:rsidP="000C3504">
      <w:pPr>
        <w:ind w:firstLine="720"/>
        <w:jc w:val="both"/>
        <w:rPr>
          <w:rFonts w:eastAsia="Times New Roman"/>
          <w:color w:val="000000"/>
          <w:szCs w:val="28"/>
        </w:rPr>
      </w:pPr>
      <w:r w:rsidRPr="0097153E">
        <w:rPr>
          <w:rFonts w:eastAsia="Times New Roman" w:cs="Times New Roman"/>
          <w:b/>
          <w:szCs w:val="28"/>
        </w:rPr>
        <w:t>Mazo upju hidroenerģijas resursi</w:t>
      </w:r>
      <w:r w:rsidRPr="000C3504">
        <w:rPr>
          <w:rFonts w:eastAsia="Times New Roman" w:cs="Times New Roman"/>
          <w:szCs w:val="28"/>
        </w:rPr>
        <w:t xml:space="preserve"> tiek lēsti robežās no 150 – 300 GWh</w:t>
      </w:r>
      <w:r w:rsidRPr="000C3504">
        <w:rPr>
          <w:rFonts w:eastAsia="Times New Roman" w:cs="Times New Roman"/>
          <w:color w:val="000000"/>
          <w:position w:val="6"/>
          <w:szCs w:val="28"/>
          <w:vertAlign w:val="superscript"/>
        </w:rPr>
        <w:footnoteReference w:id="5"/>
      </w:r>
      <w:r w:rsidRPr="000C3504">
        <w:rPr>
          <w:rFonts w:eastAsia="Times New Roman" w:cs="Times New Roman"/>
          <w:szCs w:val="28"/>
        </w:rPr>
        <w:t xml:space="preserve"> elektroenerģijas gadā. Praktiski izmantojamais potenciāls ir ievērojami mazāks, jo noteiktus ierobežojumus hidroenerģijas izmantošanai nosaka dabas un ainavu aizsardzības prasības. Ir noteikta m</w:t>
      </w:r>
      <w:r w:rsidRPr="000C3504">
        <w:rPr>
          <w:rFonts w:eastAsia="Times New Roman" w:cs="Times New Roman"/>
          <w:color w:val="000000"/>
          <w:szCs w:val="28"/>
        </w:rPr>
        <w:t>azo HES celtniecības ierobežošana uz zivju sugu migrācijai būtiskām upē.</w:t>
      </w:r>
      <w:r w:rsidR="000C3504" w:rsidRPr="000C3504">
        <w:rPr>
          <w:rFonts w:eastAsia="Times New Roman"/>
          <w:color w:val="000000"/>
          <w:szCs w:val="28"/>
        </w:rPr>
        <w:t xml:space="preserve"> </w:t>
      </w:r>
    </w:p>
    <w:p w:rsidR="000C3504" w:rsidRPr="001D323C" w:rsidRDefault="000C3504" w:rsidP="000C3504">
      <w:pPr>
        <w:ind w:firstLine="720"/>
        <w:jc w:val="both"/>
        <w:rPr>
          <w:rFonts w:eastAsia="Times New Roman"/>
          <w:szCs w:val="28"/>
        </w:rPr>
      </w:pPr>
      <w:r w:rsidRPr="001D323C">
        <w:rPr>
          <w:rFonts w:eastAsia="Times New Roman"/>
          <w:color w:val="000000"/>
          <w:szCs w:val="28"/>
        </w:rPr>
        <w:t xml:space="preserve">Savukārt, </w:t>
      </w:r>
      <w:r w:rsidRPr="0097153E">
        <w:rPr>
          <w:rFonts w:eastAsia="Times New Roman"/>
          <w:b/>
          <w:color w:val="000000"/>
          <w:szCs w:val="28"/>
        </w:rPr>
        <w:t>v</w:t>
      </w:r>
      <w:r w:rsidRPr="0097153E">
        <w:rPr>
          <w:rFonts w:eastAsia="Times New Roman"/>
          <w:b/>
          <w:szCs w:val="28"/>
        </w:rPr>
        <w:t>ēja energoresursu sadalījums</w:t>
      </w:r>
      <w:r w:rsidRPr="001D323C">
        <w:rPr>
          <w:rFonts w:eastAsia="Times New Roman"/>
          <w:szCs w:val="28"/>
        </w:rPr>
        <w:t xml:space="preserve"> Latvijā ir izteikti nevienmērīgs (sk</w:t>
      </w:r>
      <w:r>
        <w:rPr>
          <w:rFonts w:eastAsia="Times New Roman"/>
          <w:szCs w:val="28"/>
        </w:rPr>
        <w:t>at</w:t>
      </w:r>
      <w:r w:rsidRPr="001D323C">
        <w:rPr>
          <w:rFonts w:eastAsia="Times New Roman"/>
          <w:szCs w:val="28"/>
        </w:rPr>
        <w:t xml:space="preserve">. </w:t>
      </w:r>
      <w:r>
        <w:rPr>
          <w:rFonts w:eastAsia="Times New Roman"/>
          <w:szCs w:val="28"/>
        </w:rPr>
        <w:t>4</w:t>
      </w:r>
      <w:r w:rsidRPr="001D323C">
        <w:rPr>
          <w:rFonts w:eastAsia="Times New Roman"/>
          <w:szCs w:val="28"/>
        </w:rPr>
        <w:t>.attēlu). Latvijas vēju atlasā ir iezīmētas zonas ar dažādiem gada vidējiem vēja ātruma intervāliem – no 3,5 m/s līdz pat vairāk kā 5,0 m/s. Vidējais teorētiskais potenciāls gadā ir no 250 – 1250 milj. kWh</w:t>
      </w:r>
      <w:r w:rsidRPr="001D323C">
        <w:rPr>
          <w:rFonts w:eastAsia="Times New Roman"/>
          <w:color w:val="000000"/>
          <w:position w:val="6"/>
          <w:szCs w:val="28"/>
          <w:vertAlign w:val="superscript"/>
        </w:rPr>
        <w:footnoteReference w:id="6"/>
      </w:r>
      <w:r w:rsidRPr="001D323C">
        <w:rPr>
          <w:rFonts w:eastAsia="Times New Roman"/>
          <w:szCs w:val="28"/>
        </w:rPr>
        <w:t>.</w:t>
      </w:r>
    </w:p>
    <w:p w:rsidR="004F5BB9" w:rsidRPr="001D323C" w:rsidRDefault="004F5BB9" w:rsidP="004F5BB9">
      <w:pPr>
        <w:jc w:val="center"/>
        <w:rPr>
          <w:rFonts w:eastAsia="Times New Roman"/>
          <w:szCs w:val="28"/>
        </w:rPr>
      </w:pPr>
      <w:r w:rsidRPr="001D323C">
        <w:rPr>
          <w:rFonts w:eastAsia="Times New Roman"/>
          <w:noProof/>
          <w:szCs w:val="28"/>
          <w:lang w:eastAsia="lv-LV"/>
        </w:rPr>
        <w:drawing>
          <wp:inline distT="0" distB="0" distL="0" distR="0" wp14:anchorId="363FC5CA" wp14:editId="4793AEF3">
            <wp:extent cx="5259995" cy="3248025"/>
            <wp:effectExtent l="0" t="0" r="0" b="0"/>
            <wp:docPr id="35" name="Picture 1122" descr="kart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karte01.gif"/>
                    <pic:cNvPicPr>
                      <a:picLocks noChangeAspect="1" noChangeArrowheads="1"/>
                    </pic:cNvPicPr>
                  </pic:nvPicPr>
                  <pic:blipFill>
                    <a:blip r:embed="rId15" cstate="print"/>
                    <a:srcRect/>
                    <a:stretch>
                      <a:fillRect/>
                    </a:stretch>
                  </pic:blipFill>
                  <pic:spPr bwMode="auto">
                    <a:xfrm>
                      <a:off x="0" y="0"/>
                      <a:ext cx="5260454" cy="3248309"/>
                    </a:xfrm>
                    <a:prstGeom prst="rect">
                      <a:avLst/>
                    </a:prstGeom>
                    <a:noFill/>
                    <a:ln w="9525">
                      <a:noFill/>
                      <a:miter lim="800000"/>
                      <a:headEnd/>
                      <a:tailEnd/>
                    </a:ln>
                  </pic:spPr>
                </pic:pic>
              </a:graphicData>
            </a:graphic>
          </wp:inline>
        </w:drawing>
      </w:r>
    </w:p>
    <w:p w:rsidR="004F5BB9" w:rsidRPr="001D323C" w:rsidRDefault="004F5BB9" w:rsidP="004F5BB9">
      <w:pPr>
        <w:rPr>
          <w:rFonts w:eastAsia="Times New Roman"/>
          <w:szCs w:val="28"/>
        </w:rPr>
      </w:pPr>
      <w:r w:rsidRPr="001D323C">
        <w:rPr>
          <w:rFonts w:eastAsia="Times New Roman"/>
          <w:sz w:val="20"/>
          <w:szCs w:val="20"/>
        </w:rPr>
        <w:t xml:space="preserve">Avots: </w:t>
      </w:r>
      <w:r w:rsidRPr="001D323C">
        <w:rPr>
          <w:rFonts w:eastAsia="Times New Roman"/>
          <w:i/>
          <w:sz w:val="20"/>
          <w:szCs w:val="20"/>
        </w:rPr>
        <w:t>naturepower.lv</w:t>
      </w:r>
      <w:r w:rsidRPr="001D323C">
        <w:rPr>
          <w:rFonts w:eastAsia="Times New Roman"/>
          <w:sz w:val="20"/>
          <w:szCs w:val="20"/>
        </w:rPr>
        <w:t xml:space="preserve"> </w:t>
      </w:r>
    </w:p>
    <w:p w:rsidR="004F5BB9" w:rsidRPr="00D47298" w:rsidRDefault="006A7EBA" w:rsidP="00D47298">
      <w:pPr>
        <w:tabs>
          <w:tab w:val="left" w:pos="1318"/>
        </w:tabs>
        <w:rPr>
          <w:rFonts w:eastAsia="Times New Roman"/>
          <w:b/>
          <w:sz w:val="24"/>
          <w:szCs w:val="24"/>
        </w:rPr>
      </w:pPr>
      <w:r w:rsidRPr="00D47298">
        <w:rPr>
          <w:rFonts w:eastAsia="Times New Roman"/>
          <w:b/>
          <w:sz w:val="24"/>
          <w:szCs w:val="24"/>
        </w:rPr>
        <w:t>4</w:t>
      </w:r>
      <w:r w:rsidR="004F5BB9" w:rsidRPr="00D47298">
        <w:rPr>
          <w:rFonts w:eastAsia="Times New Roman"/>
          <w:b/>
          <w:sz w:val="24"/>
          <w:szCs w:val="24"/>
        </w:rPr>
        <w:t>.attēls. Latvijas vēju atlass.</w:t>
      </w:r>
    </w:p>
    <w:p w:rsidR="000C3504" w:rsidRDefault="000C3504" w:rsidP="000C3504">
      <w:pPr>
        <w:pStyle w:val="Default"/>
        <w:ind w:firstLine="720"/>
        <w:jc w:val="both"/>
        <w:rPr>
          <w:rFonts w:ascii="Times New Roman" w:eastAsia="Arial Unicode MS" w:hAnsi="Times New Roman" w:cs="Times New Roman"/>
          <w:sz w:val="28"/>
          <w:szCs w:val="28"/>
        </w:rPr>
      </w:pPr>
    </w:p>
    <w:p w:rsidR="000C3504" w:rsidRPr="00AA64B0" w:rsidRDefault="000C3504" w:rsidP="000C3504">
      <w:pPr>
        <w:pStyle w:val="Default"/>
        <w:ind w:firstLine="720"/>
        <w:jc w:val="both"/>
        <w:rPr>
          <w:rFonts w:ascii="Times New Roman" w:hAnsi="Times New Roman" w:cs="Times New Roman"/>
          <w:sz w:val="28"/>
          <w:szCs w:val="28"/>
        </w:rPr>
      </w:pPr>
      <w:r w:rsidRPr="0097153E">
        <w:rPr>
          <w:rFonts w:ascii="Times New Roman" w:eastAsia="Arial Unicode MS" w:hAnsi="Times New Roman" w:cs="Times New Roman"/>
          <w:b/>
          <w:sz w:val="28"/>
          <w:szCs w:val="28"/>
        </w:rPr>
        <w:t>Ģeotermālā enerģija</w:t>
      </w:r>
      <w:r w:rsidRPr="00AA64B0">
        <w:rPr>
          <w:rFonts w:ascii="Times New Roman" w:eastAsia="Arial Unicode MS" w:hAnsi="Times New Roman" w:cs="Times New Roman"/>
          <w:sz w:val="28"/>
          <w:szCs w:val="28"/>
        </w:rPr>
        <w:t xml:space="preserve"> ir </w:t>
      </w:r>
      <w:r>
        <w:rPr>
          <w:rFonts w:ascii="Times New Roman" w:eastAsia="Arial Unicode MS" w:hAnsi="Times New Roman" w:cs="Times New Roman"/>
          <w:sz w:val="28"/>
          <w:szCs w:val="28"/>
        </w:rPr>
        <w:t xml:space="preserve">pasaulē </w:t>
      </w:r>
      <w:r w:rsidRPr="00AA64B0">
        <w:rPr>
          <w:rFonts w:ascii="Times New Roman" w:eastAsia="Arial Unicode MS" w:hAnsi="Times New Roman" w:cs="Times New Roman"/>
          <w:sz w:val="28"/>
          <w:szCs w:val="28"/>
        </w:rPr>
        <w:t>nākošā izplatītākā AER tehnoloģija</w:t>
      </w:r>
      <w:r w:rsidRPr="00FD461A">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p</w:t>
      </w:r>
      <w:r w:rsidRPr="00AA64B0">
        <w:rPr>
          <w:rFonts w:ascii="Times New Roman" w:eastAsia="Arial Unicode MS" w:hAnsi="Times New Roman" w:cs="Times New Roman"/>
          <w:sz w:val="28"/>
          <w:szCs w:val="28"/>
        </w:rPr>
        <w:t xml:space="preserve">ēc hidroenerģijas. </w:t>
      </w:r>
      <w:r w:rsidRPr="00AA64B0">
        <w:rPr>
          <w:rFonts w:ascii="Times New Roman" w:hAnsi="Times New Roman" w:cs="Times New Roman"/>
          <w:sz w:val="28"/>
          <w:szCs w:val="28"/>
        </w:rPr>
        <w:t xml:space="preserve">Eiropas Savienībā ir </w:t>
      </w:r>
      <w:r>
        <w:rPr>
          <w:rFonts w:ascii="Times New Roman" w:hAnsi="Times New Roman" w:cs="Times New Roman"/>
          <w:sz w:val="28"/>
          <w:szCs w:val="28"/>
        </w:rPr>
        <w:t xml:space="preserve">ap </w:t>
      </w:r>
      <w:r w:rsidRPr="00AA64B0">
        <w:rPr>
          <w:rFonts w:ascii="Times New Roman" w:hAnsi="Times New Roman" w:cs="Times New Roman"/>
          <w:sz w:val="28"/>
          <w:szCs w:val="28"/>
        </w:rPr>
        <w:t>180 ģeotermālās centralizētās siltumapgādes sistēmas ar kopējo uzstādītu jaudu 1,1 GWth, kas ražo ap 4256 GWh gadā.</w:t>
      </w:r>
    </w:p>
    <w:p w:rsidR="000C3504" w:rsidRPr="002D6AD3" w:rsidRDefault="000C3504" w:rsidP="000C3504">
      <w:pPr>
        <w:pStyle w:val="Default"/>
        <w:ind w:right="-1" w:firstLine="720"/>
        <w:jc w:val="both"/>
        <w:rPr>
          <w:rFonts w:ascii="Times New Roman" w:hAnsi="Times New Roman" w:cs="Times New Roman"/>
          <w:sz w:val="28"/>
          <w:szCs w:val="28"/>
        </w:rPr>
      </w:pPr>
      <w:r w:rsidRPr="00AA64B0">
        <w:rPr>
          <w:rFonts w:ascii="Times New Roman" w:hAnsi="Times New Roman" w:cs="Times New Roman"/>
          <w:sz w:val="28"/>
          <w:szCs w:val="28"/>
        </w:rPr>
        <w:t xml:space="preserve"> </w:t>
      </w:r>
      <w:r w:rsidRPr="002D6AD3">
        <w:rPr>
          <w:rFonts w:ascii="Times New Roman" w:hAnsi="Times New Roman" w:cs="Times New Roman"/>
          <w:sz w:val="28"/>
          <w:szCs w:val="28"/>
        </w:rPr>
        <w:t xml:space="preserve">Latvijas teritorijas galvenie ģeotermālie resursi ir saistīti ar pazemes ūdeņiem, kuru temperatūra pārsniedz 30ºC, un pamatklintāja karstajiem iežiem. </w:t>
      </w:r>
      <w:r>
        <w:rPr>
          <w:rFonts w:ascii="Times New Roman" w:hAnsi="Times New Roman" w:cs="Times New Roman"/>
          <w:sz w:val="28"/>
          <w:szCs w:val="28"/>
        </w:rPr>
        <w:t>Ģeo</w:t>
      </w:r>
      <w:r w:rsidRPr="002D6AD3">
        <w:rPr>
          <w:rFonts w:ascii="Times New Roman" w:hAnsi="Times New Roman" w:cs="Times New Roman"/>
          <w:sz w:val="28"/>
          <w:szCs w:val="28"/>
        </w:rPr>
        <w:t>termālo ūdeņu izmantošanas iespējas saistās ar Elejas un Dienvidlatvijas ģeotermālajām anomālijām, kur temperatūra sasniedz 57ºC uz pamatklintāja Elejas rajonā un 50ºC līdz 65ºC Baltijas jūras piekrastes daļā.</w:t>
      </w:r>
    </w:p>
    <w:p w:rsidR="000C3504" w:rsidRDefault="000C3504" w:rsidP="000C3504">
      <w:pPr>
        <w:autoSpaceDE w:val="0"/>
        <w:autoSpaceDN w:val="0"/>
        <w:adjustRightInd w:val="0"/>
        <w:ind w:firstLine="720"/>
        <w:jc w:val="both"/>
        <w:rPr>
          <w:rFonts w:cs="Times New Roman"/>
          <w:szCs w:val="28"/>
        </w:rPr>
      </w:pPr>
      <w:r w:rsidRPr="00614344">
        <w:rPr>
          <w:rFonts w:cs="Times New Roman"/>
          <w:szCs w:val="28"/>
        </w:rPr>
        <w:t>Ģeotermālās enerģijas izmantošana Latvijā ir perspektīvs virziens</w:t>
      </w:r>
      <w:r>
        <w:rPr>
          <w:rFonts w:cs="Times New Roman"/>
          <w:szCs w:val="28"/>
        </w:rPr>
        <w:t>, jo ģ</w:t>
      </w:r>
      <w:r w:rsidRPr="00614344">
        <w:rPr>
          <w:rFonts w:cs="Times New Roman"/>
          <w:szCs w:val="28"/>
        </w:rPr>
        <w:t>eotermālās enerģijas izmantošana augstas efektivitātes apkures tehnoloģijās ļauj samazināt CO2 emisijas, daļēji atteikties no fosilā kurināma izmantošanas un paaugstināt ne</w:t>
      </w:r>
      <w:r>
        <w:rPr>
          <w:rFonts w:cs="Times New Roman"/>
          <w:szCs w:val="28"/>
        </w:rPr>
        <w:t>atkarību no importēta kurināma. Savukārt viens no pašlaik būtiskākajiem ierobežojumiem ģ</w:t>
      </w:r>
      <w:r w:rsidRPr="00614344">
        <w:rPr>
          <w:rFonts w:cs="Times New Roman"/>
          <w:szCs w:val="28"/>
        </w:rPr>
        <w:t>eotermālās enerģijas izmantošana</w:t>
      </w:r>
      <w:r>
        <w:rPr>
          <w:rFonts w:cs="Times New Roman"/>
          <w:szCs w:val="28"/>
        </w:rPr>
        <w:t>i</w:t>
      </w:r>
      <w:r w:rsidRPr="00614344">
        <w:rPr>
          <w:rFonts w:cs="Times New Roman"/>
          <w:szCs w:val="28"/>
        </w:rPr>
        <w:t xml:space="preserve"> Latvijā</w:t>
      </w:r>
      <w:r>
        <w:rPr>
          <w:rFonts w:cs="Times New Roman"/>
          <w:szCs w:val="28"/>
        </w:rPr>
        <w:t xml:space="preserve"> ir samērā lielas investīcijas, kas nepieciešamas, lai ieviestu Latvijā jaunos tehnoloģiskos risinājumus.</w:t>
      </w:r>
    </w:p>
    <w:p w:rsidR="0097153E" w:rsidRDefault="0097153E" w:rsidP="00662D11">
      <w:pPr>
        <w:ind w:firstLine="720"/>
        <w:jc w:val="both"/>
        <w:rPr>
          <w:rFonts w:eastAsia="Times New Roman" w:cs="Times New Roman"/>
          <w:szCs w:val="28"/>
        </w:rPr>
      </w:pPr>
    </w:p>
    <w:p w:rsidR="00662D11" w:rsidRDefault="00157239" w:rsidP="00662D11">
      <w:pPr>
        <w:ind w:firstLine="720"/>
        <w:jc w:val="both"/>
        <w:rPr>
          <w:rFonts w:eastAsia="Times New Roman" w:cs="Times New Roman"/>
          <w:szCs w:val="28"/>
        </w:rPr>
      </w:pPr>
      <w:r w:rsidRPr="00F26661">
        <w:rPr>
          <w:rFonts w:eastAsia="Times New Roman" w:cs="Times New Roman"/>
          <w:szCs w:val="28"/>
        </w:rPr>
        <w:t xml:space="preserve">2012.gadā </w:t>
      </w:r>
      <w:r w:rsidRPr="0097153E">
        <w:rPr>
          <w:rFonts w:eastAsia="Times New Roman" w:cs="Times New Roman"/>
          <w:b/>
          <w:szCs w:val="28"/>
        </w:rPr>
        <w:t xml:space="preserve">naftas produktu kopējais patēriņš </w:t>
      </w:r>
      <w:r w:rsidRPr="00F26661">
        <w:rPr>
          <w:rFonts w:eastAsia="Times New Roman" w:cs="Times New Roman"/>
          <w:szCs w:val="28"/>
        </w:rPr>
        <w:t>Latvijā sasniedza 1362 tūkst. tonnu jeb 58,39PJ, lielākā daļa no kur</w:t>
      </w:r>
      <w:r>
        <w:rPr>
          <w:rFonts w:eastAsia="Times New Roman" w:cs="Times New Roman"/>
          <w:szCs w:val="28"/>
        </w:rPr>
        <w:t>ie</w:t>
      </w:r>
      <w:r w:rsidRPr="00F26661">
        <w:rPr>
          <w:rFonts w:eastAsia="Times New Roman" w:cs="Times New Roman"/>
          <w:szCs w:val="28"/>
        </w:rPr>
        <w:t xml:space="preserve">m tika izlietota transporta sektorā  – 1011 tūkst. tonnu (no tām 810 tūkst. tonnu autotransportā). </w:t>
      </w:r>
      <w:r w:rsidRPr="00F26661">
        <w:rPr>
          <w:rFonts w:eastAsia="Calibri" w:cs="Times New Roman"/>
          <w:szCs w:val="28"/>
        </w:rPr>
        <w:t>Termināli naftas produktu tranzīta nodrošināšanai pa jūras ceļiem Latvijā ir labi attīstīti</w:t>
      </w:r>
      <w:r>
        <w:rPr>
          <w:rFonts w:eastAsia="Calibri" w:cs="Times New Roman"/>
          <w:szCs w:val="28"/>
        </w:rPr>
        <w:t xml:space="preserve"> (Rīga, Ventspils),</w:t>
      </w:r>
      <w:r w:rsidRPr="00F26661">
        <w:rPr>
          <w:rFonts w:eastAsia="Calibri" w:cs="Times New Roman"/>
          <w:szCs w:val="28"/>
        </w:rPr>
        <w:t xml:space="preserve"> </w:t>
      </w:r>
      <w:r>
        <w:rPr>
          <w:rFonts w:eastAsia="Calibri" w:cs="Times New Roman"/>
          <w:szCs w:val="28"/>
        </w:rPr>
        <w:t>kas</w:t>
      </w:r>
      <w:r w:rsidRPr="00F26661">
        <w:rPr>
          <w:rFonts w:eastAsia="Calibri" w:cs="Times New Roman"/>
          <w:szCs w:val="28"/>
        </w:rPr>
        <w:t xml:space="preserve"> ievērojami paplašina piegāžu daudzveidību un konkurenci. Naftas produktu piegādes kanāli ir pietiekami diversificēti, jo naftas produkti tiek piegādāti gan no Austrumu, gan Rietumu tirgiem. Latvijā darbojas starptautiskas mazumtirdzniecības naftas kompānijas, kuras naftas un naftas produktu iepirkumus var veikt </w:t>
      </w:r>
      <w:r>
        <w:rPr>
          <w:rFonts w:eastAsia="Calibri" w:cs="Times New Roman"/>
          <w:szCs w:val="28"/>
        </w:rPr>
        <w:t>dažādos pasaules reģionos</w:t>
      </w:r>
      <w:r w:rsidRPr="00F26661">
        <w:rPr>
          <w:rFonts w:eastAsia="Calibri" w:cs="Times New Roman"/>
          <w:szCs w:val="28"/>
        </w:rPr>
        <w:t xml:space="preserve">. </w:t>
      </w:r>
      <w:r w:rsidRPr="00F26661">
        <w:rPr>
          <w:rFonts w:eastAsia="Times New Roman" w:cs="Times New Roman"/>
          <w:szCs w:val="28"/>
        </w:rPr>
        <w:t>Autobenzīna un dīzeļdegvielas ievešana vairum</w:t>
      </w:r>
      <w:r>
        <w:rPr>
          <w:rFonts w:eastAsia="Times New Roman" w:cs="Times New Roman"/>
          <w:szCs w:val="28"/>
        </w:rPr>
        <w:t>tirdzniecības</w:t>
      </w:r>
      <w:r w:rsidRPr="00F26661">
        <w:rPr>
          <w:rFonts w:eastAsia="Times New Roman" w:cs="Times New Roman"/>
          <w:szCs w:val="28"/>
        </w:rPr>
        <w:t xml:space="preserve"> un mazumtirdzniecības vajadzībām Latvijā iespējama no vismaz 10 naftas pārstrādes uzņēmumiem 1000 – 1500 km rādiusā. Naftas produktu cauruļvads no Samāras Krievijā</w:t>
      </w:r>
      <w:r>
        <w:rPr>
          <w:rFonts w:eastAsia="Times New Roman" w:cs="Times New Roman"/>
          <w:szCs w:val="28"/>
        </w:rPr>
        <w:t>,</w:t>
      </w:r>
      <w:r w:rsidRPr="00F26661">
        <w:rPr>
          <w:rFonts w:eastAsia="Times New Roman" w:cs="Times New Roman"/>
          <w:szCs w:val="28"/>
        </w:rPr>
        <w:t xml:space="preserve"> un Novopolockas Baltkrievijā</w:t>
      </w:r>
      <w:r>
        <w:rPr>
          <w:rFonts w:eastAsia="Times New Roman" w:cs="Times New Roman"/>
          <w:szCs w:val="28"/>
        </w:rPr>
        <w:t>,</w:t>
      </w:r>
      <w:r w:rsidRPr="00F26661">
        <w:rPr>
          <w:rFonts w:eastAsia="Times New Roman" w:cs="Times New Roman"/>
          <w:szCs w:val="28"/>
        </w:rPr>
        <w:t xml:space="preserve"> ļauj transportēt dīzeļdegvielu ar iespēju to piegādāt Ilūkstē un Ventspilī.</w:t>
      </w:r>
    </w:p>
    <w:p w:rsidR="00662D11" w:rsidRPr="00E46F67" w:rsidRDefault="00ED2E9B" w:rsidP="00662D11">
      <w:pPr>
        <w:ind w:firstLine="720"/>
        <w:jc w:val="both"/>
        <w:rPr>
          <w:rFonts w:eastAsia="Times New Roman" w:cs="Times New Roman"/>
          <w:szCs w:val="28"/>
        </w:rPr>
      </w:pPr>
      <w:r>
        <w:rPr>
          <w:rFonts w:eastAsia="Times New Roman" w:cs="Times New Roman"/>
          <w:szCs w:val="28"/>
        </w:rPr>
        <w:t xml:space="preserve">Latvijai ir poteiciāls ogļūdeņražu ieguvei. </w:t>
      </w:r>
      <w:r w:rsidR="00662D11" w:rsidRPr="00E46F67">
        <w:rPr>
          <w:rFonts w:eastAsia="Times New Roman" w:cs="Times New Roman"/>
          <w:szCs w:val="28"/>
        </w:rPr>
        <w:t xml:space="preserve">Kā sauszemē, tā arī Baltijas jūrā kopā </w:t>
      </w:r>
      <w:r w:rsidR="00662D11">
        <w:rPr>
          <w:rFonts w:eastAsia="Times New Roman" w:cs="Times New Roman"/>
          <w:szCs w:val="28"/>
        </w:rPr>
        <w:t xml:space="preserve">Latvijā ir </w:t>
      </w:r>
      <w:r w:rsidR="00662D11" w:rsidRPr="00E46F67">
        <w:rPr>
          <w:rFonts w:eastAsia="Times New Roman" w:cs="Times New Roman"/>
          <w:szCs w:val="28"/>
        </w:rPr>
        <w:t>atklātas apmēram 35 ogļūdeņražu iegulas, daļu no tām pašreiz veiksmīgi izstrādā.</w:t>
      </w:r>
      <w:r w:rsidR="00662D11" w:rsidRPr="006A7EBA">
        <w:rPr>
          <w:rFonts w:eastAsia="Times New Roman" w:cs="Times New Roman"/>
          <w:szCs w:val="28"/>
        </w:rPr>
        <w:t xml:space="preserve"> </w:t>
      </w:r>
      <w:r w:rsidR="00662D11" w:rsidRPr="00E46F67">
        <w:rPr>
          <w:rFonts w:eastAsia="Times New Roman" w:cs="Times New Roman"/>
          <w:szCs w:val="28"/>
        </w:rPr>
        <w:t>Līdz šim Latvijā ir atklāta viena naftas atradne (Kuldīgas) un vairākas nelielas iegulas. Bez tam, daudzviet naftas meklēšanas un izpētes urbumos bija novērotas naftas izpausmes (pazīmēs) iežu porās vai plaisās.</w:t>
      </w:r>
    </w:p>
    <w:p w:rsidR="00662D11" w:rsidRPr="00E46F67" w:rsidRDefault="00662D11" w:rsidP="00662D11">
      <w:pPr>
        <w:ind w:firstLine="720"/>
        <w:jc w:val="both"/>
        <w:rPr>
          <w:rFonts w:eastAsia="Times New Roman" w:cs="Times New Roman"/>
          <w:szCs w:val="28"/>
        </w:rPr>
      </w:pPr>
      <w:r w:rsidRPr="00E46F67">
        <w:rPr>
          <w:rFonts w:eastAsia="Times New Roman" w:cs="Times New Roman"/>
          <w:szCs w:val="28"/>
        </w:rPr>
        <w:t xml:space="preserve">Visperspektīvākā ir Latvijas šelfa dienviddaļa ar mazāko ģeoloģiskā riska pakāpi, proti, prognozējamo naftas iegulu atklāšanas iespējas ir vislielākās. Šeit liela un vidēja izmēra lokālpacēlumos varētu būt izveidojušās komerciālas naftas iegulas. Vairāki no naftas meklēšanas viedokļa nozīmīgi objekti atrodas </w:t>
      </w:r>
      <w:r w:rsidRPr="00E46F67">
        <w:rPr>
          <w:rFonts w:eastAsia="Times New Roman" w:cs="Times New Roman"/>
          <w:szCs w:val="28"/>
        </w:rPr>
        <w:lastRenderedPageBreak/>
        <w:t>Latvijas-Lietuvas robežas strīdus zonā, un neskatoties uz interesi, pašreiz nav pieejami izpētei.</w:t>
      </w:r>
    </w:p>
    <w:p w:rsidR="00662D11" w:rsidRPr="00E46F67" w:rsidRDefault="00662D11" w:rsidP="00662D11">
      <w:pPr>
        <w:ind w:firstLine="720"/>
        <w:jc w:val="both"/>
        <w:rPr>
          <w:rFonts w:eastAsia="Times New Roman" w:cs="Times New Roman"/>
          <w:szCs w:val="28"/>
        </w:rPr>
      </w:pPr>
      <w:r w:rsidRPr="00E46F67">
        <w:rPr>
          <w:rFonts w:eastAsia="Times New Roman" w:cs="Times New Roman"/>
          <w:szCs w:val="28"/>
        </w:rPr>
        <w:t>Otra naftas perspektīvo objektu grupa ir centrālajā šelfā un tam piekļautajā sauszemē apzinātie objekti. Daudzos no tiem tika konstatētas naftas izpausmes un nelielas naftas iegulas, kā arī atklāta vienīgā Latvijā Kuldīgas naftas atradne.</w:t>
      </w:r>
    </w:p>
    <w:p w:rsidR="00157239" w:rsidRDefault="00157239" w:rsidP="00157239">
      <w:pPr>
        <w:ind w:firstLine="720"/>
        <w:jc w:val="both"/>
        <w:rPr>
          <w:rFonts w:eastAsia="Times New Roman" w:cs="Times New Roman"/>
          <w:szCs w:val="28"/>
        </w:rPr>
      </w:pPr>
    </w:p>
    <w:p w:rsidR="006A7EBA" w:rsidRDefault="006A7EBA" w:rsidP="000C3504">
      <w:pPr>
        <w:jc w:val="center"/>
        <w:rPr>
          <w:rFonts w:eastAsia="Times New Roman" w:cs="Times New Roman"/>
          <w:sz w:val="20"/>
          <w:szCs w:val="20"/>
          <w:highlight w:val="yellow"/>
        </w:rPr>
      </w:pPr>
      <w:r w:rsidRPr="00EE759E">
        <w:rPr>
          <w:rFonts w:eastAsia="Times New Roman" w:cs="Times New Roman"/>
          <w:noProof/>
          <w:sz w:val="20"/>
          <w:szCs w:val="20"/>
          <w:lang w:eastAsia="lv-LV"/>
        </w:rPr>
        <w:drawing>
          <wp:inline distT="0" distB="0" distL="0" distR="0" wp14:anchorId="07AB6E95" wp14:editId="56BDF67C">
            <wp:extent cx="4151497" cy="451924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703" cy="4539064"/>
                    </a:xfrm>
                    <a:prstGeom prst="rect">
                      <a:avLst/>
                    </a:prstGeom>
                    <a:noFill/>
                    <a:ln>
                      <a:noFill/>
                    </a:ln>
                  </pic:spPr>
                </pic:pic>
              </a:graphicData>
            </a:graphic>
          </wp:inline>
        </w:drawing>
      </w:r>
    </w:p>
    <w:p w:rsidR="00E46F67" w:rsidRPr="00EE759E" w:rsidRDefault="00E46F67" w:rsidP="00E46F67">
      <w:pPr>
        <w:ind w:firstLine="720"/>
        <w:jc w:val="both"/>
        <w:rPr>
          <w:rFonts w:eastAsia="Times New Roman" w:cs="Times New Roman"/>
          <w:sz w:val="20"/>
          <w:szCs w:val="20"/>
        </w:rPr>
      </w:pPr>
      <w:r w:rsidRPr="00EE759E">
        <w:rPr>
          <w:rFonts w:eastAsia="Times New Roman" w:cs="Times New Roman"/>
          <w:sz w:val="20"/>
          <w:szCs w:val="20"/>
        </w:rPr>
        <w:t xml:space="preserve">Avots:Latvijas vides, ģeoloģijas un metereoloģijas centrs </w:t>
      </w:r>
    </w:p>
    <w:p w:rsidR="006A7EBA" w:rsidRPr="00D47298" w:rsidRDefault="006A7EBA" w:rsidP="00D47298">
      <w:pPr>
        <w:tabs>
          <w:tab w:val="left" w:pos="1318"/>
        </w:tabs>
        <w:rPr>
          <w:rFonts w:eastAsia="Times New Roman"/>
          <w:b/>
          <w:sz w:val="24"/>
          <w:szCs w:val="24"/>
        </w:rPr>
      </w:pPr>
      <w:r w:rsidRPr="00D47298">
        <w:rPr>
          <w:rFonts w:eastAsia="Times New Roman"/>
          <w:b/>
          <w:sz w:val="24"/>
          <w:szCs w:val="24"/>
        </w:rPr>
        <w:t>5.attēls. Ogļūdeņražu iegulas un naftas ieguve Baltijas naftas provincē.</w:t>
      </w:r>
    </w:p>
    <w:p w:rsidR="000A0F27" w:rsidRDefault="000A0F27" w:rsidP="00A01433">
      <w:pPr>
        <w:ind w:firstLine="720"/>
        <w:jc w:val="both"/>
        <w:rPr>
          <w:rFonts w:eastAsia="Times New Roman" w:cs="Times New Roman"/>
          <w:szCs w:val="28"/>
        </w:rPr>
      </w:pPr>
    </w:p>
    <w:p w:rsidR="00E46F67" w:rsidRPr="00E46F67" w:rsidRDefault="00E46F67" w:rsidP="00E46F67">
      <w:pPr>
        <w:ind w:firstLine="720"/>
        <w:jc w:val="both"/>
        <w:rPr>
          <w:rFonts w:eastAsia="Times New Roman" w:cs="Times New Roman"/>
          <w:szCs w:val="28"/>
        </w:rPr>
      </w:pPr>
      <w:r w:rsidRPr="00E46F67">
        <w:rPr>
          <w:rFonts w:eastAsia="Times New Roman" w:cs="Times New Roman"/>
          <w:szCs w:val="28"/>
        </w:rPr>
        <w:t xml:space="preserve">Pašlaik vairākiem uzņēmējiem ir izsniegtas licences ogļūdeņražu izpētei un ieguvei gan Baltijas jūrā (E6, E5, E23 struktūras), gan uz sauszemes Dunalkas apkaimē, Gudenieku pagastā Kuldīgas naftas atradnes teritorijā un Nīcas pagastā Bernātu apkaimē. </w:t>
      </w:r>
    </w:p>
    <w:p w:rsidR="008B0FA1" w:rsidRDefault="00C80CDD" w:rsidP="008B0FA1">
      <w:pPr>
        <w:ind w:firstLine="720"/>
        <w:jc w:val="both"/>
        <w:rPr>
          <w:rFonts w:eastAsia="Times New Roman" w:cs="Times New Roman"/>
          <w:szCs w:val="28"/>
        </w:rPr>
      </w:pPr>
      <w:r w:rsidRPr="00ED2E9B">
        <w:rPr>
          <w:rFonts w:eastAsia="Times New Roman" w:cs="Times New Roman"/>
          <w:b/>
          <w:szCs w:val="28"/>
        </w:rPr>
        <w:t>D</w:t>
      </w:r>
      <w:r w:rsidR="008B0FA1" w:rsidRPr="00ED2E9B">
        <w:rPr>
          <w:rFonts w:eastAsia="Times New Roman" w:cs="Times New Roman"/>
          <w:b/>
          <w:szCs w:val="28"/>
        </w:rPr>
        <w:t>abasgāzei</w:t>
      </w:r>
      <w:r w:rsidR="008B0FA1">
        <w:rPr>
          <w:rFonts w:eastAsia="Times New Roman" w:cs="Times New Roman"/>
          <w:szCs w:val="28"/>
        </w:rPr>
        <w:t xml:space="preserve"> ir nozīmīga vieta Latvijas energoresursu struktūrā, </w:t>
      </w:r>
      <w:r w:rsidR="00131526">
        <w:rPr>
          <w:rFonts w:eastAsia="Times New Roman" w:cs="Times New Roman"/>
          <w:szCs w:val="28"/>
        </w:rPr>
        <w:t xml:space="preserve">2012.gadā </w:t>
      </w:r>
      <w:r w:rsidR="008B0FA1">
        <w:rPr>
          <w:rFonts w:eastAsia="Times New Roman" w:cs="Times New Roman"/>
          <w:szCs w:val="28"/>
        </w:rPr>
        <w:t xml:space="preserve">tā </w:t>
      </w:r>
      <w:r w:rsidR="00131526">
        <w:rPr>
          <w:rFonts w:eastAsia="Times New Roman" w:cs="Times New Roman"/>
          <w:szCs w:val="28"/>
        </w:rPr>
        <w:t xml:space="preserve">aizņēma </w:t>
      </w:r>
      <w:r w:rsidR="008B0FA1">
        <w:rPr>
          <w:rFonts w:eastAsia="Times New Roman" w:cs="Times New Roman"/>
          <w:szCs w:val="28"/>
        </w:rPr>
        <w:t xml:space="preserve">26,7%. </w:t>
      </w:r>
      <w:r w:rsidR="00F90740" w:rsidRPr="00F26661">
        <w:rPr>
          <w:rFonts w:eastAsia="Times New Roman" w:cs="Times New Roman"/>
          <w:szCs w:val="28"/>
        </w:rPr>
        <w:t>2012.gadā Latvijā dabasgāzes lietotājiem tika pārdoti 1,464 milj. m</w:t>
      </w:r>
      <w:r w:rsidR="00F90740" w:rsidRPr="00F26661">
        <w:rPr>
          <w:rFonts w:eastAsia="Times New Roman" w:cs="Times New Roman"/>
          <w:szCs w:val="28"/>
          <w:vertAlign w:val="superscript"/>
        </w:rPr>
        <w:t>3</w:t>
      </w:r>
      <w:r w:rsidR="00F90740" w:rsidRPr="00F26661">
        <w:rPr>
          <w:rFonts w:eastAsia="Times New Roman" w:cs="Times New Roman"/>
          <w:szCs w:val="28"/>
        </w:rPr>
        <w:t xml:space="preserve">, kas ir par 6% mazāk nekā 2011.gadā. </w:t>
      </w:r>
      <w:r w:rsidR="008B0FA1" w:rsidRPr="008B0FA1">
        <w:rPr>
          <w:rFonts w:eastAsia="Times New Roman" w:cs="Times New Roman"/>
          <w:szCs w:val="28"/>
        </w:rPr>
        <w:t>Lielākā daļa no dabasgāzes resursiem – 940 milj. m</w:t>
      </w:r>
      <w:r w:rsidR="008B0FA1" w:rsidRPr="000336C5">
        <w:rPr>
          <w:rFonts w:eastAsia="Times New Roman" w:cs="Times New Roman"/>
          <w:szCs w:val="28"/>
          <w:vertAlign w:val="superscript"/>
        </w:rPr>
        <w:t>3</w:t>
      </w:r>
      <w:r w:rsidR="008B0FA1" w:rsidRPr="008B0FA1">
        <w:rPr>
          <w:rFonts w:eastAsia="Times New Roman" w:cs="Times New Roman"/>
          <w:szCs w:val="28"/>
        </w:rPr>
        <w:t xml:space="preserve"> jeb 64,2%, izlietoti pārveidošanas sektorā. Attiecīgi, 778 milj. m</w:t>
      </w:r>
      <w:r w:rsidR="008B0FA1" w:rsidRPr="000336C5">
        <w:rPr>
          <w:rFonts w:eastAsia="Times New Roman" w:cs="Times New Roman"/>
          <w:szCs w:val="28"/>
          <w:vertAlign w:val="superscript"/>
        </w:rPr>
        <w:t>3</w:t>
      </w:r>
      <w:r w:rsidR="008B0FA1" w:rsidRPr="008B0FA1">
        <w:rPr>
          <w:rFonts w:eastAsia="Times New Roman" w:cs="Times New Roman"/>
          <w:szCs w:val="28"/>
        </w:rPr>
        <w:t xml:space="preserve"> patērēti elektroenerģijas un siltumenerģijas ražošanai koģenerācijā, bet 160 milj. m</w:t>
      </w:r>
      <w:r w:rsidR="008B0FA1" w:rsidRPr="000336C5">
        <w:rPr>
          <w:rFonts w:eastAsia="Times New Roman" w:cs="Times New Roman"/>
          <w:szCs w:val="28"/>
          <w:vertAlign w:val="superscript"/>
        </w:rPr>
        <w:t>3</w:t>
      </w:r>
      <w:r w:rsidR="008B0FA1" w:rsidRPr="008B0FA1">
        <w:rPr>
          <w:rFonts w:eastAsia="Times New Roman" w:cs="Times New Roman"/>
          <w:szCs w:val="28"/>
        </w:rPr>
        <w:t xml:space="preserve"> – siltumenerģijas ražošanai vispārējas lietošanas katlumājās.</w:t>
      </w:r>
      <w:r w:rsidR="008B0FA1">
        <w:rPr>
          <w:rFonts w:eastAsia="Times New Roman" w:cs="Times New Roman"/>
          <w:szCs w:val="28"/>
        </w:rPr>
        <w:t xml:space="preserve"> </w:t>
      </w:r>
      <w:r w:rsidR="008B0FA1" w:rsidRPr="008B0FA1">
        <w:rPr>
          <w:rFonts w:eastAsia="Times New Roman" w:cs="Times New Roman"/>
          <w:szCs w:val="28"/>
        </w:rPr>
        <w:lastRenderedPageBreak/>
        <w:t>Mājsaimniecību patēriņa sektorā 2012.gadā izlietoti 133 milj. m</w:t>
      </w:r>
      <w:r w:rsidR="008B0FA1" w:rsidRPr="000336C5">
        <w:rPr>
          <w:rFonts w:eastAsia="Times New Roman" w:cs="Times New Roman"/>
          <w:szCs w:val="28"/>
          <w:vertAlign w:val="superscript"/>
        </w:rPr>
        <w:t>3</w:t>
      </w:r>
      <w:r w:rsidR="008B0FA1" w:rsidRPr="008B0FA1">
        <w:rPr>
          <w:rFonts w:eastAsia="Times New Roman" w:cs="Times New Roman"/>
          <w:szCs w:val="28"/>
        </w:rPr>
        <w:t xml:space="preserve"> dabasgāzes jeb apmēram 9,1% no kopējā Latvijas dabasgāzes patēriņa.</w:t>
      </w:r>
    </w:p>
    <w:p w:rsidR="00F90740" w:rsidRDefault="008B0FA1" w:rsidP="00F90740">
      <w:pPr>
        <w:ind w:firstLine="720"/>
        <w:jc w:val="both"/>
        <w:rPr>
          <w:rFonts w:eastAsia="Times New Roman" w:cs="Times New Roman"/>
          <w:szCs w:val="28"/>
        </w:rPr>
      </w:pPr>
      <w:r w:rsidRPr="008B0FA1">
        <w:rPr>
          <w:rFonts w:eastAsia="Times New Roman" w:cs="Times New Roman"/>
          <w:szCs w:val="28"/>
        </w:rPr>
        <w:t>Vienīgais dabas gāzes piegādes ceļš Latvijas patērētājiem ir maģistrālie gāzesvadu tīkli, kuri atzarojas no Jamalas – Eiropa</w:t>
      </w:r>
      <w:r w:rsidR="000770B8">
        <w:rPr>
          <w:rFonts w:eastAsia="Times New Roman" w:cs="Times New Roman"/>
          <w:szCs w:val="28"/>
        </w:rPr>
        <w:t>s</w:t>
      </w:r>
      <w:r w:rsidRPr="008B0FA1">
        <w:rPr>
          <w:rFonts w:eastAsia="Times New Roman" w:cs="Times New Roman"/>
          <w:szCs w:val="28"/>
        </w:rPr>
        <w:t xml:space="preserve"> gāzes vada Tveras apgabalā Krievijā, uz Sanktpēterburgu, Pleskavu un tālāk uz Igauniju, Latviju.</w:t>
      </w:r>
      <w:r>
        <w:rPr>
          <w:rFonts w:eastAsia="Times New Roman" w:cs="Times New Roman"/>
          <w:szCs w:val="28"/>
        </w:rPr>
        <w:t xml:space="preserve"> </w:t>
      </w:r>
      <w:r w:rsidR="00F90740" w:rsidRPr="00F26661">
        <w:rPr>
          <w:rFonts w:eastAsia="Times New Roman" w:cs="Times New Roman"/>
          <w:szCs w:val="28"/>
        </w:rPr>
        <w:t>Baltijas valstu maģistrālie</w:t>
      </w:r>
      <w:r w:rsidR="00F90740">
        <w:rPr>
          <w:rFonts w:eastAsia="Times New Roman" w:cs="Times New Roman"/>
          <w:szCs w:val="28"/>
        </w:rPr>
        <w:t xml:space="preserve"> dabas</w:t>
      </w:r>
      <w:r w:rsidR="00F90740" w:rsidRPr="00F26661">
        <w:rPr>
          <w:rFonts w:eastAsia="Times New Roman" w:cs="Times New Roman"/>
          <w:szCs w:val="28"/>
        </w:rPr>
        <w:t>gāzes tīkli ir labi attīstīti un to spēju nodrošināt stabilas piegādes paaugstina Inčukalna pazemes gāzes krātuve (turpmāk – IPGK)</w:t>
      </w:r>
      <w:r>
        <w:rPr>
          <w:rFonts w:eastAsia="Times New Roman" w:cs="Times New Roman"/>
          <w:szCs w:val="28"/>
        </w:rPr>
        <w:t>, kuras ietilpība ir</w:t>
      </w:r>
      <w:r w:rsidR="000770B8">
        <w:rPr>
          <w:rFonts w:eastAsia="Times New Roman" w:cs="Times New Roman"/>
          <w:szCs w:val="28"/>
        </w:rPr>
        <w:t xml:space="preserve"> </w:t>
      </w:r>
      <w:r w:rsidR="00E05F68" w:rsidRPr="007E7903">
        <w:rPr>
          <w:rFonts w:eastAsia="Times New Roman" w:cs="Times New Roman"/>
          <w:szCs w:val="28"/>
        </w:rPr>
        <w:t>2,32 miljrd. m</w:t>
      </w:r>
      <w:r w:rsidR="00E05F68" w:rsidRPr="00380D55">
        <w:rPr>
          <w:rFonts w:eastAsia="Times New Roman" w:cs="Times New Roman"/>
          <w:szCs w:val="28"/>
          <w:vertAlign w:val="superscript"/>
        </w:rPr>
        <w:t>3</w:t>
      </w:r>
      <w:r w:rsidR="00E05F68" w:rsidRPr="007E7903">
        <w:rPr>
          <w:rFonts w:eastAsia="Times New Roman" w:cs="Times New Roman"/>
          <w:szCs w:val="28"/>
        </w:rPr>
        <w:t xml:space="preserve"> aktīvās gāzes</w:t>
      </w:r>
      <w:r>
        <w:rPr>
          <w:rFonts w:eastAsia="Times New Roman" w:cs="Times New Roman"/>
          <w:szCs w:val="28"/>
        </w:rPr>
        <w:t xml:space="preserve">. </w:t>
      </w:r>
    </w:p>
    <w:p w:rsidR="00F90740" w:rsidRDefault="008B0FA1" w:rsidP="00FD7F67">
      <w:pPr>
        <w:ind w:firstLine="720"/>
        <w:jc w:val="both"/>
      </w:pPr>
      <w:r>
        <w:rPr>
          <w:rFonts w:eastAsia="Times New Roman" w:cs="Times New Roman"/>
          <w:szCs w:val="28"/>
        </w:rPr>
        <w:t xml:space="preserve">Atlikušo daļu Latvijas </w:t>
      </w:r>
      <w:r w:rsidR="00131526">
        <w:rPr>
          <w:rFonts w:eastAsia="Times New Roman" w:cs="Times New Roman"/>
          <w:szCs w:val="28"/>
        </w:rPr>
        <w:t xml:space="preserve">primāro </w:t>
      </w:r>
      <w:r>
        <w:rPr>
          <w:rFonts w:eastAsia="Times New Roman" w:cs="Times New Roman"/>
          <w:szCs w:val="28"/>
        </w:rPr>
        <w:t>energo</w:t>
      </w:r>
      <w:r w:rsidR="00131526">
        <w:rPr>
          <w:rFonts w:eastAsia="Times New Roman" w:cs="Times New Roman"/>
          <w:szCs w:val="28"/>
        </w:rPr>
        <w:t xml:space="preserve">resursu </w:t>
      </w:r>
      <w:r>
        <w:rPr>
          <w:rFonts w:eastAsia="Times New Roman" w:cs="Times New Roman"/>
          <w:szCs w:val="28"/>
        </w:rPr>
        <w:t xml:space="preserve">struktūrā </w:t>
      </w:r>
      <w:r w:rsidR="00131526">
        <w:rPr>
          <w:rFonts w:eastAsia="Times New Roman" w:cs="Times New Roman"/>
          <w:szCs w:val="28"/>
        </w:rPr>
        <w:t>veido</w:t>
      </w:r>
      <w:r>
        <w:rPr>
          <w:rFonts w:eastAsia="Times New Roman" w:cs="Times New Roman"/>
          <w:szCs w:val="28"/>
        </w:rPr>
        <w:t xml:space="preserve">  elektroenerģijas </w:t>
      </w:r>
      <w:r w:rsidR="00131526">
        <w:rPr>
          <w:rFonts w:eastAsia="Times New Roman" w:cs="Times New Roman"/>
          <w:szCs w:val="28"/>
        </w:rPr>
        <w:t xml:space="preserve">neto </w:t>
      </w:r>
      <w:r>
        <w:rPr>
          <w:rFonts w:eastAsia="Times New Roman" w:cs="Times New Roman"/>
          <w:szCs w:val="28"/>
        </w:rPr>
        <w:t>imports</w:t>
      </w:r>
      <w:r w:rsidR="00832331">
        <w:rPr>
          <w:rFonts w:eastAsia="Times New Roman" w:cs="Times New Roman"/>
          <w:szCs w:val="28"/>
        </w:rPr>
        <w:t xml:space="preserve">, kā arī </w:t>
      </w:r>
      <w:r>
        <w:rPr>
          <w:rFonts w:eastAsia="Times New Roman" w:cs="Times New Roman"/>
          <w:szCs w:val="28"/>
        </w:rPr>
        <w:t xml:space="preserve"> </w:t>
      </w:r>
      <w:r w:rsidR="00FD7F67">
        <w:rPr>
          <w:rFonts w:eastAsia="Times New Roman" w:cs="Times New Roman"/>
          <w:szCs w:val="28"/>
        </w:rPr>
        <w:t>kūdra, ogles</w:t>
      </w:r>
      <w:r w:rsidR="00131526">
        <w:rPr>
          <w:rFonts w:eastAsia="Times New Roman" w:cs="Times New Roman"/>
          <w:szCs w:val="28"/>
        </w:rPr>
        <w:t xml:space="preserve">, </w:t>
      </w:r>
      <w:r w:rsidR="00FD7F67">
        <w:rPr>
          <w:rFonts w:eastAsia="Times New Roman" w:cs="Times New Roman"/>
          <w:szCs w:val="28"/>
        </w:rPr>
        <w:t>kok</w:t>
      </w:r>
      <w:r w:rsidR="00383505">
        <w:rPr>
          <w:rFonts w:eastAsia="Times New Roman" w:cs="Times New Roman"/>
          <w:szCs w:val="28"/>
        </w:rPr>
        <w:t>s</w:t>
      </w:r>
      <w:r w:rsidR="00FD7F67">
        <w:rPr>
          <w:rFonts w:eastAsia="Times New Roman" w:cs="Times New Roman"/>
          <w:szCs w:val="28"/>
        </w:rPr>
        <w:t>s</w:t>
      </w:r>
      <w:r w:rsidR="00383505">
        <w:rPr>
          <w:rFonts w:eastAsia="Times New Roman" w:cs="Times New Roman"/>
          <w:szCs w:val="28"/>
        </w:rPr>
        <w:t xml:space="preserve"> </w:t>
      </w:r>
      <w:r w:rsidR="00FD7F67">
        <w:rPr>
          <w:rFonts w:eastAsia="Times New Roman" w:cs="Times New Roman"/>
          <w:szCs w:val="28"/>
        </w:rPr>
        <w:t xml:space="preserve">un atkritumi. </w:t>
      </w:r>
      <w:r w:rsidR="00832331" w:rsidRPr="00ED2E9B">
        <w:rPr>
          <w:rFonts w:eastAsia="Times New Roman" w:cs="Times New Roman"/>
          <w:b/>
          <w:szCs w:val="28"/>
        </w:rPr>
        <w:t xml:space="preserve">Zināms </w:t>
      </w:r>
      <w:r w:rsidR="00FD7F67" w:rsidRPr="00ED2E9B">
        <w:rPr>
          <w:rFonts w:eastAsia="Times New Roman" w:cs="Times New Roman"/>
          <w:b/>
          <w:szCs w:val="28"/>
        </w:rPr>
        <w:t>potenciāls ir kūdras ieguvei.</w:t>
      </w:r>
      <w:r w:rsidR="00FD7F67">
        <w:rPr>
          <w:rFonts w:eastAsia="Times New Roman" w:cs="Times New Roman"/>
          <w:szCs w:val="28"/>
        </w:rPr>
        <w:t xml:space="preserve"> </w:t>
      </w:r>
      <w:bookmarkStart w:id="12" w:name="_Toc392432493"/>
      <w:r w:rsidR="00F90740" w:rsidRPr="00517BC5">
        <w:t>Enerģētiskās kūdras ieguvi jau sagatavotās kūdras atradnēs, kuru izstrādei ir spēkā esošas licences, var uzsākt aptuveni 4000 ha platībā, iegūstot vismaz 700 tūkst. t enerģētiskās kūdras gad</w:t>
      </w:r>
      <w:r w:rsidR="00F90740">
        <w:t>ā</w:t>
      </w:r>
      <w:r w:rsidR="00F90740" w:rsidRPr="00517BC5">
        <w:t>.</w:t>
      </w:r>
      <w:r w:rsidR="00F90740">
        <w:rPr>
          <w:rStyle w:val="FootnoteReference"/>
          <w:rFonts w:eastAsia="Calibri" w:cs="Times New Roman"/>
          <w:iCs/>
        </w:rPr>
        <w:footnoteReference w:id="7"/>
      </w:r>
      <w:r w:rsidR="00FD7F67">
        <w:t xml:space="preserve"> </w:t>
      </w:r>
      <w:r w:rsidR="00F90740" w:rsidRPr="004C679C">
        <w:t>Latvijā šobrīd darbojas vismaz 324 ūdenssildāmie katli, kuros</w:t>
      </w:r>
      <w:r w:rsidR="00F90740">
        <w:t xml:space="preserve"> iespējams līdzsadedzināt kūdru</w:t>
      </w:r>
      <w:r w:rsidR="00F90740" w:rsidRPr="004C679C">
        <w:t>.</w:t>
      </w:r>
      <w:bookmarkEnd w:id="12"/>
      <w:r w:rsidR="00FD7F67">
        <w:t xml:space="preserve"> </w:t>
      </w:r>
      <w:r w:rsidR="00F90740">
        <w:t>S</w:t>
      </w:r>
      <w:r w:rsidR="00F90740" w:rsidRPr="00D410EE">
        <w:t xml:space="preserve">iltumenerģijas ražošanai var izmantot </w:t>
      </w:r>
      <w:r w:rsidR="00F90740">
        <w:t xml:space="preserve">ap </w:t>
      </w:r>
      <w:r w:rsidR="00F90740" w:rsidRPr="00D410EE">
        <w:t>462 tūkstošus t kūdras gadā</w:t>
      </w:r>
      <w:r w:rsidR="00F90740">
        <w:t>.</w:t>
      </w:r>
      <w:r w:rsidR="00FD7F67">
        <w:t xml:space="preserve"> Tai pat laikā</w:t>
      </w:r>
      <w:r w:rsidR="00BB754E">
        <w:t>,</w:t>
      </w:r>
      <w:r w:rsidR="00FD7F67">
        <w:t xml:space="preserve"> </w:t>
      </w:r>
      <w:r w:rsidR="00832331">
        <w:t>izmantojot kūdru kā kurināmo</w:t>
      </w:r>
      <w:r w:rsidR="00BB754E">
        <w:t>,</w:t>
      </w:r>
      <w:r w:rsidR="00832331">
        <w:t xml:space="preserve"> varētu pasliktināties </w:t>
      </w:r>
      <w:r w:rsidR="00FD7F67">
        <w:t>vides kvalitāt</w:t>
      </w:r>
      <w:r w:rsidR="00BB754E">
        <w:t>e</w:t>
      </w:r>
      <w:r w:rsidR="0020465B">
        <w:t xml:space="preserve">, </w:t>
      </w:r>
      <w:r w:rsidR="00FD7F67">
        <w:t xml:space="preserve">it īpaši </w:t>
      </w:r>
      <w:r w:rsidR="00832331">
        <w:t xml:space="preserve">nepieļaujami tas būtu </w:t>
      </w:r>
      <w:r w:rsidR="00FD7F67">
        <w:t xml:space="preserve">blīvāk apdzīvotajās vietās. </w:t>
      </w:r>
    </w:p>
    <w:p w:rsidR="00814132" w:rsidRPr="00505EE8" w:rsidRDefault="00814132" w:rsidP="00921EDE">
      <w:pPr>
        <w:pStyle w:val="Heading2"/>
        <w:numPr>
          <w:ilvl w:val="1"/>
          <w:numId w:val="2"/>
        </w:numPr>
        <w:spacing w:after="120"/>
        <w:ind w:left="1429"/>
      </w:pPr>
      <w:bookmarkStart w:id="13" w:name="_Toc401644316"/>
      <w:bookmarkStart w:id="14" w:name="_Toc394681435"/>
      <w:r w:rsidRPr="00505EE8">
        <w:t>Iekšējā enerģijas tirgus izveide</w:t>
      </w:r>
      <w:bookmarkEnd w:id="13"/>
    </w:p>
    <w:p w:rsidR="00814132" w:rsidRPr="00505EE8" w:rsidRDefault="00814132" w:rsidP="00814132">
      <w:pPr>
        <w:ind w:firstLine="709"/>
        <w:jc w:val="both"/>
        <w:rPr>
          <w:szCs w:val="28"/>
        </w:rPr>
      </w:pPr>
      <w:r w:rsidRPr="00505EE8">
        <w:rPr>
          <w:szCs w:val="28"/>
        </w:rPr>
        <w:t xml:space="preserve">Integrētā un efektīvi funkcionējošā Eiropas iekšējā enerģijas tirgus izveide </w:t>
      </w:r>
      <w:r>
        <w:rPr>
          <w:szCs w:val="28"/>
        </w:rPr>
        <w:t xml:space="preserve">ilgtermiņā </w:t>
      </w:r>
      <w:r w:rsidRPr="00505EE8">
        <w:rPr>
          <w:szCs w:val="28"/>
        </w:rPr>
        <w:t>nodrošin</w:t>
      </w:r>
      <w:r w:rsidR="00352ADE">
        <w:rPr>
          <w:szCs w:val="28"/>
        </w:rPr>
        <w:t>a</w:t>
      </w:r>
      <w:r>
        <w:rPr>
          <w:szCs w:val="28"/>
        </w:rPr>
        <w:t xml:space="preserve"> </w:t>
      </w:r>
      <w:r w:rsidRPr="00505EE8">
        <w:rPr>
          <w:szCs w:val="28"/>
        </w:rPr>
        <w:t>lielāk</w:t>
      </w:r>
      <w:r>
        <w:rPr>
          <w:szCs w:val="28"/>
        </w:rPr>
        <w:t xml:space="preserve">u </w:t>
      </w:r>
      <w:r w:rsidRPr="00505EE8">
        <w:rPr>
          <w:szCs w:val="28"/>
        </w:rPr>
        <w:t>sistēmas elastīb</w:t>
      </w:r>
      <w:r w:rsidR="00ED2E9B">
        <w:rPr>
          <w:szCs w:val="28"/>
        </w:rPr>
        <w:t>u</w:t>
      </w:r>
      <w:r w:rsidRPr="00505EE8">
        <w:rPr>
          <w:szCs w:val="28"/>
        </w:rPr>
        <w:t>, konkurenc</w:t>
      </w:r>
      <w:r>
        <w:rPr>
          <w:szCs w:val="28"/>
        </w:rPr>
        <w:t>i</w:t>
      </w:r>
      <w:r w:rsidRPr="00505EE8">
        <w:rPr>
          <w:szCs w:val="28"/>
        </w:rPr>
        <w:t xml:space="preserve"> starp uzņēmumiem, </w:t>
      </w:r>
      <w:r>
        <w:rPr>
          <w:szCs w:val="28"/>
        </w:rPr>
        <w:t xml:space="preserve">tādejādi veicinot pakalpojumu attīstību un </w:t>
      </w:r>
      <w:r w:rsidR="00ED2E9B">
        <w:rPr>
          <w:szCs w:val="28"/>
        </w:rPr>
        <w:t xml:space="preserve">konkurētspējīgas </w:t>
      </w:r>
      <w:r w:rsidRPr="00505EE8">
        <w:rPr>
          <w:szCs w:val="28"/>
        </w:rPr>
        <w:t>cenas</w:t>
      </w:r>
      <w:r>
        <w:rPr>
          <w:szCs w:val="28"/>
        </w:rPr>
        <w:t xml:space="preserve">, </w:t>
      </w:r>
      <w:r w:rsidRPr="00505EE8">
        <w:rPr>
          <w:szCs w:val="28"/>
        </w:rPr>
        <w:t>kā arī stiprin</w:t>
      </w:r>
      <w:r w:rsidR="00352ADE">
        <w:rPr>
          <w:szCs w:val="28"/>
        </w:rPr>
        <w:t>a</w:t>
      </w:r>
      <w:r w:rsidRPr="00505EE8">
        <w:rPr>
          <w:szCs w:val="28"/>
        </w:rPr>
        <w:t xml:space="preserve"> tirgus caurspīdību un uzlabo enerģētisko drošību. </w:t>
      </w:r>
    </w:p>
    <w:p w:rsidR="00814132" w:rsidRDefault="00814132" w:rsidP="00814132">
      <w:pPr>
        <w:ind w:firstLine="709"/>
        <w:jc w:val="both"/>
        <w:rPr>
          <w:szCs w:val="28"/>
        </w:rPr>
      </w:pPr>
      <w:r w:rsidRPr="00505EE8">
        <w:rPr>
          <w:szCs w:val="28"/>
        </w:rPr>
        <w:t>2011.gada 4.f</w:t>
      </w:r>
      <w:r>
        <w:rPr>
          <w:szCs w:val="28"/>
        </w:rPr>
        <w:t>ebruāra Eiropadomes secinājumos ir minēti divi būtiski mērķi - p</w:t>
      </w:r>
      <w:r w:rsidRPr="00505EE8">
        <w:rPr>
          <w:szCs w:val="28"/>
        </w:rPr>
        <w:t xml:space="preserve">abeigt </w:t>
      </w:r>
      <w:r>
        <w:rPr>
          <w:szCs w:val="28"/>
        </w:rPr>
        <w:t xml:space="preserve">līdz 2014.gadam </w:t>
      </w:r>
      <w:r w:rsidRPr="00505EE8">
        <w:rPr>
          <w:szCs w:val="28"/>
        </w:rPr>
        <w:t xml:space="preserve">iekšējā enerģijas tirgus izveidi, lai nodrošinātu brīvu gāzes un elektroenerģijas plūsmu, kā arī </w:t>
      </w:r>
      <w:r>
        <w:rPr>
          <w:szCs w:val="28"/>
        </w:rPr>
        <w:t xml:space="preserve">panākt, ka </w:t>
      </w:r>
      <w:r w:rsidRPr="00505EE8">
        <w:rPr>
          <w:szCs w:val="28"/>
        </w:rPr>
        <w:t>pēc 2015.gada neviena ES dalībvalsts nav izolēta no Eiropas gāzes un elektroenerģijas tīkliem</w:t>
      </w:r>
      <w:r>
        <w:rPr>
          <w:szCs w:val="28"/>
        </w:rPr>
        <w:t xml:space="preserve">. </w:t>
      </w:r>
      <w:r w:rsidR="00A71591">
        <w:rPr>
          <w:szCs w:val="28"/>
        </w:rPr>
        <w:t>Izejot no tā EK ir paredzējusi vairākus pasākumus šādās jomās</w:t>
      </w:r>
      <w:r w:rsidR="00A71591">
        <w:rPr>
          <w:rStyle w:val="FootnoteReference"/>
        </w:rPr>
        <w:footnoteReference w:id="8"/>
      </w:r>
      <w:r w:rsidR="00A71591">
        <w:rPr>
          <w:szCs w:val="28"/>
        </w:rPr>
        <w:t xml:space="preserve">: </w:t>
      </w:r>
    </w:p>
    <w:p w:rsidR="00A71591" w:rsidRPr="00ED2E9B" w:rsidRDefault="00A71591" w:rsidP="00A71591">
      <w:pPr>
        <w:tabs>
          <w:tab w:val="left" w:pos="993"/>
        </w:tabs>
        <w:ind w:firstLine="709"/>
        <w:jc w:val="both"/>
        <w:rPr>
          <w:szCs w:val="28"/>
        </w:rPr>
      </w:pPr>
      <w:r w:rsidRPr="00505EE8">
        <w:rPr>
          <w:szCs w:val="28"/>
        </w:rPr>
        <w:t>1)</w:t>
      </w:r>
      <w:r w:rsidRPr="00505EE8">
        <w:rPr>
          <w:szCs w:val="28"/>
        </w:rPr>
        <w:tab/>
        <w:t xml:space="preserve">Iekšējā tirgus tiesību aktu īstenošana un konkurences noteikumu </w:t>
      </w:r>
      <w:r w:rsidRPr="00ED2E9B">
        <w:rPr>
          <w:szCs w:val="28"/>
        </w:rPr>
        <w:t>izpilde;</w:t>
      </w:r>
    </w:p>
    <w:p w:rsidR="00A71591" w:rsidRDefault="00A71591" w:rsidP="00A71591">
      <w:pPr>
        <w:tabs>
          <w:tab w:val="left" w:pos="993"/>
        </w:tabs>
        <w:ind w:firstLine="709"/>
        <w:jc w:val="both"/>
        <w:rPr>
          <w:szCs w:val="28"/>
        </w:rPr>
      </w:pPr>
      <w:r w:rsidRPr="00ED2E9B">
        <w:rPr>
          <w:szCs w:val="28"/>
        </w:rPr>
        <w:t>2) Patērētāju iespēju palielināšana</w:t>
      </w:r>
      <w:r w:rsidRPr="00002272">
        <w:rPr>
          <w:szCs w:val="28"/>
          <w:u w:val="single"/>
        </w:rPr>
        <w:t>;</w:t>
      </w:r>
      <w:r w:rsidRPr="00505EE8">
        <w:rPr>
          <w:szCs w:val="28"/>
        </w:rPr>
        <w:t xml:space="preserve"> </w:t>
      </w:r>
    </w:p>
    <w:p w:rsidR="00A71591" w:rsidRDefault="00A71591" w:rsidP="00A71591">
      <w:pPr>
        <w:ind w:firstLine="709"/>
        <w:jc w:val="both"/>
        <w:rPr>
          <w:szCs w:val="28"/>
        </w:rPr>
      </w:pPr>
      <w:r w:rsidRPr="00505EE8">
        <w:rPr>
          <w:szCs w:val="28"/>
        </w:rPr>
        <w:t>3)</w:t>
      </w:r>
      <w:r>
        <w:rPr>
          <w:szCs w:val="28"/>
        </w:rPr>
        <w:t xml:space="preserve"> </w:t>
      </w:r>
      <w:r w:rsidRPr="00505EE8">
        <w:rPr>
          <w:szCs w:val="28"/>
        </w:rPr>
        <w:t>Elastīgas tirgus struktūras nodrošināšana.</w:t>
      </w:r>
      <w:r>
        <w:rPr>
          <w:szCs w:val="28"/>
        </w:rPr>
        <w:t xml:space="preserve"> </w:t>
      </w:r>
    </w:p>
    <w:p w:rsidR="00A71591" w:rsidRDefault="00A71591" w:rsidP="00814132">
      <w:pPr>
        <w:ind w:firstLine="709"/>
        <w:jc w:val="both"/>
        <w:rPr>
          <w:szCs w:val="28"/>
        </w:rPr>
      </w:pPr>
    </w:p>
    <w:p w:rsidR="00814132" w:rsidRDefault="00814132" w:rsidP="00814132">
      <w:pPr>
        <w:ind w:firstLine="709"/>
        <w:jc w:val="both"/>
        <w:rPr>
          <w:szCs w:val="28"/>
        </w:rPr>
      </w:pPr>
      <w:r w:rsidRPr="00505EE8">
        <w:rPr>
          <w:szCs w:val="28"/>
        </w:rPr>
        <w:t xml:space="preserve">Vienlaikus tiek turpināts darbs pie tehniskāka līmeņa regulējuma izstrādes – pie tīkla kodeksiem elektrības un gāzes sektoros.  </w:t>
      </w:r>
      <w:r w:rsidR="00A71591" w:rsidRPr="00505EE8">
        <w:rPr>
          <w:szCs w:val="28"/>
        </w:rPr>
        <w:t xml:space="preserve">Trešā pakete nosaka, ka nepieciešams stiprināt un padziļināt ES dalībvalstu pārvades sistēmu operatoru (PSO) sadarbību, lai izstrādātu tīkla kodeksu, kas garantētu pārvades sistēmu </w:t>
      </w:r>
      <w:r w:rsidR="00A71591" w:rsidRPr="00505EE8">
        <w:rPr>
          <w:szCs w:val="28"/>
        </w:rPr>
        <w:lastRenderedPageBreak/>
        <w:t xml:space="preserve">vadības efektivitāti un caurredzamu pieeju elektroenerģijas un dabasgāzes pārvades infrastruktūrai uz nacionālo valstu robežām. </w:t>
      </w:r>
    </w:p>
    <w:p w:rsidR="00352ADE" w:rsidRDefault="006E0293" w:rsidP="00352ADE">
      <w:pPr>
        <w:ind w:firstLine="709"/>
        <w:jc w:val="both"/>
        <w:rPr>
          <w:bCs/>
          <w:lang w:eastAsia="lv-LV"/>
        </w:rPr>
      </w:pPr>
      <w:r>
        <w:t xml:space="preserve">Elektroenerģijas jomā </w:t>
      </w:r>
      <w:r w:rsidR="00A71591">
        <w:t>2013.gadā EK</w:t>
      </w:r>
      <w:r w:rsidR="00A71591" w:rsidRPr="00EF1691">
        <w:t xml:space="preserve"> nāca klajā ar iniciatīvu izstrādāt </w:t>
      </w:r>
      <w:r w:rsidR="00A71591">
        <w:t>ES dokumentu</w:t>
      </w:r>
      <w:r w:rsidR="00A71591" w:rsidRPr="00EF1691">
        <w:t xml:space="preserve"> paketi, </w:t>
      </w:r>
      <w:r w:rsidR="00A71591">
        <w:t xml:space="preserve">nosakot ES līmeņa tīklu kodeksus, kas līdz šim tika noteikti </w:t>
      </w:r>
      <w:r w:rsidR="00A71591" w:rsidRPr="00EF1691">
        <w:t xml:space="preserve">tikai </w:t>
      </w:r>
      <w:r w:rsidR="00A71591">
        <w:t>dalībvalstu</w:t>
      </w:r>
      <w:r w:rsidR="00A71591" w:rsidRPr="00EF1691">
        <w:t xml:space="preserve"> vai ENTSO-E </w:t>
      </w:r>
      <w:r w:rsidR="00A71591">
        <w:t>regulējumos</w:t>
      </w:r>
      <w:r w:rsidR="00A71591" w:rsidRPr="00EF1691">
        <w:t>.</w:t>
      </w:r>
      <w:r w:rsidR="00A71591">
        <w:t xml:space="preserve"> </w:t>
      </w:r>
      <w:r w:rsidR="00352ADE">
        <w:rPr>
          <w:bCs/>
          <w:lang w:eastAsia="lv-LV"/>
        </w:rPr>
        <w:t xml:space="preserve">Eiropas elektroenerģijas pārvades sektorā tīkla kodeksi aptvers trīs jomas – tīkla savienojumus, tīkla darbību un pārrobežu elektroenerģijas tirgu. Šajās trīs jomās, kopumā tiks izveidoti 9 tīkla kodeksi (skat. </w:t>
      </w:r>
      <w:r w:rsidR="006C575D">
        <w:rPr>
          <w:bCs/>
          <w:lang w:eastAsia="lv-LV"/>
        </w:rPr>
        <w:t>2</w:t>
      </w:r>
      <w:r w:rsidR="00352ADE">
        <w:rPr>
          <w:bCs/>
          <w:lang w:eastAsia="lv-LV"/>
        </w:rPr>
        <w:t>.tabulu).</w:t>
      </w:r>
    </w:p>
    <w:p w:rsidR="00352ADE" w:rsidRPr="00352ADE" w:rsidRDefault="006C575D" w:rsidP="00352ADE">
      <w:pPr>
        <w:jc w:val="right"/>
        <w:rPr>
          <w:bCs/>
          <w:szCs w:val="28"/>
          <w:lang w:eastAsia="lv-LV"/>
        </w:rPr>
      </w:pPr>
      <w:r>
        <w:rPr>
          <w:bCs/>
          <w:szCs w:val="28"/>
          <w:lang w:eastAsia="lv-LV"/>
        </w:rPr>
        <w:t>2</w:t>
      </w:r>
      <w:r w:rsidR="00352ADE" w:rsidRPr="00352ADE">
        <w:rPr>
          <w:bCs/>
          <w:szCs w:val="28"/>
          <w:lang w:eastAsia="lv-LV"/>
        </w:rPr>
        <w:t>.</w:t>
      </w:r>
      <w:r>
        <w:rPr>
          <w:bCs/>
          <w:szCs w:val="28"/>
          <w:lang w:eastAsia="lv-LV"/>
        </w:rPr>
        <w:t>t</w:t>
      </w:r>
      <w:r w:rsidRPr="00352ADE">
        <w:rPr>
          <w:bCs/>
          <w:szCs w:val="28"/>
          <w:lang w:eastAsia="lv-LV"/>
        </w:rPr>
        <w:t>abula</w:t>
      </w:r>
      <w:r w:rsidR="00352ADE" w:rsidRPr="00352ADE">
        <w:rPr>
          <w:bCs/>
          <w:szCs w:val="28"/>
          <w:lang w:eastAsia="lv-LV"/>
        </w:rPr>
        <w:t>.</w:t>
      </w:r>
    </w:p>
    <w:p w:rsidR="00352ADE" w:rsidRDefault="00352ADE" w:rsidP="00352ADE">
      <w:pPr>
        <w:pStyle w:val="ListParagraph"/>
        <w:ind w:left="714"/>
        <w:jc w:val="center"/>
        <w:rPr>
          <w:bCs/>
          <w:szCs w:val="28"/>
          <w:lang w:eastAsia="lv-LV"/>
        </w:rPr>
      </w:pPr>
      <w:r w:rsidRPr="00352ADE">
        <w:rPr>
          <w:bCs/>
          <w:szCs w:val="28"/>
          <w:lang w:eastAsia="lv-LV"/>
        </w:rPr>
        <w:t>Tīkla kodeksi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478"/>
        <w:gridCol w:w="2264"/>
        <w:gridCol w:w="2686"/>
      </w:tblGrid>
      <w:tr w:rsidR="00352ADE" w:rsidTr="00352ADE">
        <w:trPr>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jc w:val="center"/>
              <w:rPr>
                <w:b/>
                <w:sz w:val="26"/>
                <w:szCs w:val="26"/>
              </w:rPr>
            </w:pPr>
            <w:r w:rsidRPr="00352ADE">
              <w:rPr>
                <w:b/>
                <w:sz w:val="26"/>
                <w:szCs w:val="26"/>
              </w:rPr>
              <w:t>Nr.</w:t>
            </w:r>
          </w:p>
        </w:tc>
        <w:tc>
          <w:tcPr>
            <w:tcW w:w="2478"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jc w:val="center"/>
              <w:rPr>
                <w:b/>
                <w:sz w:val="26"/>
                <w:szCs w:val="26"/>
              </w:rPr>
            </w:pPr>
            <w:r w:rsidRPr="00352ADE">
              <w:rPr>
                <w:b/>
                <w:sz w:val="26"/>
                <w:szCs w:val="26"/>
              </w:rPr>
              <w:t>Tīkla savienojumi</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rsidP="00352ADE">
            <w:pPr>
              <w:jc w:val="center"/>
              <w:rPr>
                <w:b/>
                <w:sz w:val="26"/>
                <w:szCs w:val="26"/>
              </w:rPr>
            </w:pPr>
            <w:r w:rsidRPr="00352ADE">
              <w:rPr>
                <w:b/>
                <w:sz w:val="26"/>
                <w:szCs w:val="26"/>
              </w:rPr>
              <w:t>Tīkla darbība</w:t>
            </w:r>
          </w:p>
        </w:tc>
        <w:tc>
          <w:tcPr>
            <w:tcW w:w="2686"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rsidP="00352ADE">
            <w:pPr>
              <w:ind w:left="-94"/>
              <w:jc w:val="center"/>
              <w:rPr>
                <w:b/>
                <w:sz w:val="26"/>
                <w:szCs w:val="26"/>
              </w:rPr>
            </w:pPr>
            <w:r w:rsidRPr="00352ADE">
              <w:rPr>
                <w:b/>
                <w:sz w:val="26"/>
                <w:szCs w:val="26"/>
              </w:rPr>
              <w:t>Pārrobežu elektroenerģijas tirgus</w:t>
            </w:r>
          </w:p>
        </w:tc>
      </w:tr>
      <w:tr w:rsidR="00352ADE" w:rsidTr="00352ADE">
        <w:trPr>
          <w:trHeight w:val="445"/>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jc w:val="center"/>
              <w:rPr>
                <w:sz w:val="26"/>
                <w:szCs w:val="26"/>
              </w:rPr>
            </w:pPr>
            <w:r w:rsidRPr="00352ADE">
              <w:rPr>
                <w:sz w:val="26"/>
                <w:szCs w:val="26"/>
              </w:rPr>
              <w:t>1.</w:t>
            </w:r>
          </w:p>
        </w:tc>
        <w:tc>
          <w:tcPr>
            <w:tcW w:w="2478"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rPr>
            </w:pPr>
            <w:r w:rsidRPr="00352ADE">
              <w:rPr>
                <w:sz w:val="26"/>
                <w:szCs w:val="26"/>
              </w:rPr>
              <w:t>Prasības attiecībā uz ģenerāciju</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rsidP="00352ADE">
            <w:pPr>
              <w:rPr>
                <w:sz w:val="26"/>
                <w:szCs w:val="26"/>
              </w:rPr>
            </w:pPr>
            <w:r w:rsidRPr="00352ADE">
              <w:rPr>
                <w:sz w:val="26"/>
                <w:szCs w:val="26"/>
              </w:rPr>
              <w:t>Darbības drošība</w:t>
            </w:r>
          </w:p>
        </w:tc>
        <w:tc>
          <w:tcPr>
            <w:tcW w:w="2686"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u w:val="single"/>
              </w:rPr>
            </w:pPr>
            <w:r w:rsidRPr="00352ADE">
              <w:rPr>
                <w:sz w:val="26"/>
                <w:szCs w:val="26"/>
                <w:u w:val="single"/>
              </w:rPr>
              <w:t>Jaudas sadale un pārslodzes vadība</w:t>
            </w:r>
          </w:p>
        </w:tc>
      </w:tr>
      <w:tr w:rsidR="00352ADE" w:rsidTr="00352ADE">
        <w:trPr>
          <w:trHeight w:val="794"/>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jc w:val="center"/>
              <w:rPr>
                <w:sz w:val="26"/>
                <w:szCs w:val="26"/>
              </w:rPr>
            </w:pPr>
            <w:r w:rsidRPr="00352ADE">
              <w:rPr>
                <w:sz w:val="26"/>
                <w:szCs w:val="26"/>
              </w:rPr>
              <w:t>2.</w:t>
            </w:r>
          </w:p>
        </w:tc>
        <w:tc>
          <w:tcPr>
            <w:tcW w:w="2478"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rPr>
            </w:pPr>
            <w:r w:rsidRPr="00352ADE">
              <w:rPr>
                <w:sz w:val="26"/>
                <w:szCs w:val="26"/>
              </w:rPr>
              <w:t>Savienojuma kodekss pieprasījumam</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rsidP="00352ADE">
            <w:pPr>
              <w:rPr>
                <w:sz w:val="26"/>
                <w:szCs w:val="26"/>
              </w:rPr>
            </w:pPr>
            <w:r w:rsidRPr="00352ADE">
              <w:rPr>
                <w:sz w:val="26"/>
                <w:szCs w:val="26"/>
              </w:rPr>
              <w:t>Darbības plānošana un grafiks</w:t>
            </w:r>
          </w:p>
        </w:tc>
        <w:tc>
          <w:tcPr>
            <w:tcW w:w="2686"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rPr>
            </w:pPr>
            <w:r w:rsidRPr="00352ADE">
              <w:rPr>
                <w:sz w:val="26"/>
                <w:szCs w:val="26"/>
              </w:rPr>
              <w:t>Tālākā jaudas sadale</w:t>
            </w:r>
          </w:p>
        </w:tc>
      </w:tr>
      <w:tr w:rsidR="00352ADE" w:rsidTr="00352ADE">
        <w:trPr>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jc w:val="center"/>
              <w:rPr>
                <w:sz w:val="26"/>
                <w:szCs w:val="26"/>
              </w:rPr>
            </w:pPr>
            <w:r w:rsidRPr="00352ADE">
              <w:rPr>
                <w:sz w:val="26"/>
                <w:szCs w:val="26"/>
              </w:rPr>
              <w:t>3.</w:t>
            </w:r>
          </w:p>
        </w:tc>
        <w:tc>
          <w:tcPr>
            <w:tcW w:w="2478"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rPr>
            </w:pPr>
            <w:r w:rsidRPr="00352ADE">
              <w:rPr>
                <w:sz w:val="26"/>
                <w:szCs w:val="26"/>
              </w:rPr>
              <w:t>Augsta sprieguma līdzstrāvas savienojumi</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rsidP="00352ADE">
            <w:pPr>
              <w:rPr>
                <w:sz w:val="26"/>
                <w:szCs w:val="26"/>
              </w:rPr>
            </w:pPr>
            <w:r w:rsidRPr="00352ADE">
              <w:rPr>
                <w:sz w:val="26"/>
                <w:szCs w:val="26"/>
              </w:rPr>
              <w:t>Slodzes frekvences kontrole un rezerves</w:t>
            </w:r>
          </w:p>
        </w:tc>
        <w:tc>
          <w:tcPr>
            <w:tcW w:w="2686" w:type="dxa"/>
            <w:tcBorders>
              <w:top w:val="single" w:sz="4" w:space="0" w:color="auto"/>
              <w:left w:val="single" w:sz="4" w:space="0" w:color="auto"/>
              <w:bottom w:val="single" w:sz="4" w:space="0" w:color="auto"/>
              <w:right w:val="single" w:sz="4" w:space="0" w:color="auto"/>
            </w:tcBorders>
            <w:vAlign w:val="center"/>
            <w:hideMark/>
          </w:tcPr>
          <w:p w:rsidR="00352ADE" w:rsidRPr="00352ADE" w:rsidRDefault="00352ADE">
            <w:pPr>
              <w:rPr>
                <w:sz w:val="26"/>
                <w:szCs w:val="26"/>
              </w:rPr>
            </w:pPr>
            <w:r w:rsidRPr="00352ADE">
              <w:rPr>
                <w:sz w:val="26"/>
                <w:szCs w:val="26"/>
              </w:rPr>
              <w:t>Elektroenerģijas balansēšana</w:t>
            </w:r>
          </w:p>
        </w:tc>
      </w:tr>
    </w:tbl>
    <w:p w:rsidR="000E454C" w:rsidRDefault="000E454C" w:rsidP="00352ADE">
      <w:pPr>
        <w:ind w:firstLine="567"/>
        <w:jc w:val="both"/>
      </w:pPr>
    </w:p>
    <w:p w:rsidR="000E454C" w:rsidRDefault="000E454C" w:rsidP="000E454C">
      <w:pPr>
        <w:ind w:firstLine="720"/>
        <w:jc w:val="both"/>
        <w:rPr>
          <w:rFonts w:eastAsia="Times New Roman" w:cs="Times New Roman"/>
          <w:szCs w:val="28"/>
        </w:rPr>
      </w:pPr>
      <w:r>
        <w:t>Dabasgāzes sektorā ES tīklu kodeksu iniciatīvas ietvaros tiks noteikti vienoti principi un noteikumi</w:t>
      </w:r>
      <w:r w:rsidRPr="00E204D0">
        <w:t xml:space="preserve"> </w:t>
      </w:r>
      <w:r>
        <w:t>gāzes apgādes kopīgo tīklu ekspluatācijai un datu apmaiņai. Šie noteikumi būs saistoši arī Latvijai, kad Latvijas dabasgāzes sistēma tiks savienota ar citu dalībvalstu,</w:t>
      </w:r>
      <w:r w:rsidRPr="00E204D0">
        <w:t xml:space="preserve"> </w:t>
      </w:r>
      <w:r w:rsidRPr="00EE1712">
        <w:t>izņemot Igauniju, Lietuvu un Somiju</w:t>
      </w:r>
      <w:r>
        <w:t>, dabasgāzes sistēmām.</w:t>
      </w:r>
      <w:r w:rsidRPr="009F3329">
        <w:rPr>
          <w:rFonts w:eastAsia="Times New Roman" w:cs="Times New Roman"/>
          <w:szCs w:val="28"/>
        </w:rPr>
        <w:t xml:space="preserve"> </w:t>
      </w:r>
    </w:p>
    <w:p w:rsidR="00352ADE" w:rsidRDefault="00352ADE" w:rsidP="00352ADE">
      <w:pPr>
        <w:ind w:firstLine="567"/>
        <w:jc w:val="both"/>
        <w:rPr>
          <w:bCs/>
          <w:sz w:val="24"/>
          <w:szCs w:val="24"/>
          <w:lang w:eastAsia="lv-LV"/>
        </w:rPr>
      </w:pPr>
      <w:r>
        <w:t xml:space="preserve">ES tīklu kodeksi </w:t>
      </w:r>
      <w:r w:rsidRPr="00787CA2">
        <w:rPr>
          <w:bCs/>
          <w:lang w:eastAsia="lv-LV"/>
        </w:rPr>
        <w:t>garantē</w:t>
      </w:r>
      <w:r>
        <w:rPr>
          <w:bCs/>
          <w:lang w:eastAsia="lv-LV"/>
        </w:rPr>
        <w:t>s</w:t>
      </w:r>
      <w:r w:rsidRPr="00787CA2">
        <w:rPr>
          <w:bCs/>
          <w:lang w:eastAsia="lv-LV"/>
        </w:rPr>
        <w:t xml:space="preserve"> pārvades sistēmu </w:t>
      </w:r>
      <w:r>
        <w:rPr>
          <w:bCs/>
          <w:lang w:eastAsia="lv-LV"/>
        </w:rPr>
        <w:t>vadības</w:t>
      </w:r>
      <w:r w:rsidRPr="00787CA2">
        <w:rPr>
          <w:bCs/>
          <w:lang w:eastAsia="lv-LV"/>
        </w:rPr>
        <w:t xml:space="preserve"> efektivitāti un caurredzamu pieeju elektroenerģijas </w:t>
      </w:r>
      <w:r>
        <w:rPr>
          <w:bCs/>
          <w:lang w:eastAsia="lv-LV"/>
        </w:rPr>
        <w:t xml:space="preserve">un dabasgāzes </w:t>
      </w:r>
      <w:r w:rsidRPr="00787CA2">
        <w:rPr>
          <w:bCs/>
          <w:lang w:eastAsia="lv-LV"/>
        </w:rPr>
        <w:t xml:space="preserve">pārvades </w:t>
      </w:r>
      <w:r>
        <w:rPr>
          <w:bCs/>
          <w:lang w:eastAsia="lv-LV"/>
        </w:rPr>
        <w:t xml:space="preserve">infrastruktūrai </w:t>
      </w:r>
      <w:r w:rsidRPr="00787CA2">
        <w:rPr>
          <w:bCs/>
          <w:lang w:eastAsia="lv-LV"/>
        </w:rPr>
        <w:t xml:space="preserve">uz </w:t>
      </w:r>
      <w:r>
        <w:rPr>
          <w:bCs/>
          <w:lang w:eastAsia="lv-LV"/>
        </w:rPr>
        <w:t>ES dalībvalstu</w:t>
      </w:r>
      <w:r w:rsidRPr="00787CA2">
        <w:rPr>
          <w:bCs/>
          <w:lang w:eastAsia="lv-LV"/>
        </w:rPr>
        <w:t xml:space="preserve"> robežām.</w:t>
      </w:r>
      <w:r w:rsidRPr="00AF0AFF">
        <w:rPr>
          <w:bCs/>
          <w:lang w:eastAsia="lv-LV"/>
        </w:rPr>
        <w:t xml:space="preserve"> </w:t>
      </w:r>
      <w:r w:rsidRPr="00787CA2">
        <w:rPr>
          <w:bCs/>
          <w:lang w:eastAsia="lv-LV"/>
        </w:rPr>
        <w:t xml:space="preserve">ES līmenī būtu garantējama ilgtspējīga plānošana attiecībā uz pārvades sistēmas tehnisko novērtējumu, </w:t>
      </w:r>
      <w:r>
        <w:rPr>
          <w:bCs/>
          <w:lang w:eastAsia="lv-LV"/>
        </w:rPr>
        <w:t>tajā</w:t>
      </w:r>
      <w:r w:rsidRPr="00787CA2">
        <w:rPr>
          <w:bCs/>
          <w:lang w:eastAsia="lv-LV"/>
        </w:rPr>
        <w:t xml:space="preserve"> skaitā jaunu </w:t>
      </w:r>
      <w:r>
        <w:rPr>
          <w:bCs/>
          <w:lang w:eastAsia="lv-LV"/>
        </w:rPr>
        <w:t xml:space="preserve">starpvalstu </w:t>
      </w:r>
      <w:r w:rsidRPr="00787CA2">
        <w:rPr>
          <w:bCs/>
          <w:lang w:eastAsia="lv-LV"/>
        </w:rPr>
        <w:t>energosistēmu starpsaslēgumu izveides kontekstā.</w:t>
      </w:r>
    </w:p>
    <w:p w:rsidR="00CB1B52" w:rsidRPr="00547FD4" w:rsidRDefault="00CB1B52" w:rsidP="00547FD4">
      <w:pPr>
        <w:pStyle w:val="Heading3"/>
        <w:ind w:firstLine="567"/>
        <w:rPr>
          <w:rFonts w:ascii="Times New Roman" w:hAnsi="Times New Roman" w:cs="Times New Roman"/>
          <w:lang w:eastAsia="lv-LV"/>
        </w:rPr>
      </w:pPr>
      <w:bookmarkStart w:id="15" w:name="_Toc401644317"/>
      <w:r w:rsidRPr="00547FD4">
        <w:rPr>
          <w:rFonts w:ascii="Times New Roman" w:hAnsi="Times New Roman" w:cs="Times New Roman"/>
          <w:color w:val="auto"/>
          <w:lang w:eastAsia="lv-LV"/>
        </w:rPr>
        <w:t>Elektroenerģija</w:t>
      </w:r>
      <w:bookmarkEnd w:id="14"/>
      <w:r w:rsidR="0010381B" w:rsidRPr="00547FD4">
        <w:rPr>
          <w:rFonts w:ascii="Times New Roman" w:hAnsi="Times New Roman" w:cs="Times New Roman"/>
          <w:color w:val="auto"/>
          <w:lang w:eastAsia="lv-LV"/>
        </w:rPr>
        <w:t>s tirgus</w:t>
      </w:r>
      <w:bookmarkEnd w:id="15"/>
      <w:r w:rsidR="0010381B" w:rsidRPr="00547FD4">
        <w:rPr>
          <w:rFonts w:ascii="Times New Roman" w:hAnsi="Times New Roman" w:cs="Times New Roman"/>
          <w:lang w:eastAsia="lv-LV"/>
        </w:rPr>
        <w:t xml:space="preserve"> </w:t>
      </w:r>
    </w:p>
    <w:p w:rsidR="00113C59" w:rsidRPr="00CB1B52" w:rsidRDefault="00113C59" w:rsidP="00113C59">
      <w:pPr>
        <w:ind w:firstLine="720"/>
        <w:jc w:val="both"/>
        <w:rPr>
          <w:szCs w:val="28"/>
        </w:rPr>
      </w:pPr>
      <w:r w:rsidRPr="00CB1B52">
        <w:rPr>
          <w:rFonts w:cs="Times New Roman"/>
          <w:szCs w:val="28"/>
        </w:rPr>
        <w:t>Latvijas bruto elektroenerģijas patēriņš 2012.gadā bija 7859 GWh, kas ir par 7,1 % vairāk, nekā iepriekšējā gadā.</w:t>
      </w:r>
      <w:r w:rsidRPr="00CB1B52">
        <w:rPr>
          <w:szCs w:val="28"/>
        </w:rPr>
        <w:t xml:space="preserve"> Elektroenerģijas patēriņa struktūrā izceļami trīs dominējošie patēriņa sektori </w:t>
      </w:r>
      <w:r w:rsidRPr="00CB1B52">
        <w:rPr>
          <w:rFonts w:cs="Times New Roman"/>
          <w:szCs w:val="28"/>
        </w:rPr>
        <w:t>˗</w:t>
      </w:r>
      <w:r w:rsidRPr="00CB1B52">
        <w:rPr>
          <w:szCs w:val="28"/>
        </w:rPr>
        <w:t xml:space="preserve"> </w:t>
      </w:r>
      <w:r w:rsidR="004437BF">
        <w:rPr>
          <w:szCs w:val="28"/>
        </w:rPr>
        <w:t>komerciālie un sabiedriskie pakalpojumi</w:t>
      </w:r>
      <w:r w:rsidRPr="00CB1B52">
        <w:rPr>
          <w:szCs w:val="28"/>
        </w:rPr>
        <w:t xml:space="preserve"> (35,7%), </w:t>
      </w:r>
      <w:r w:rsidR="004437BF">
        <w:rPr>
          <w:szCs w:val="28"/>
        </w:rPr>
        <w:t>rūpniecība un būvniecība</w:t>
      </w:r>
      <w:r w:rsidRPr="00CB1B52">
        <w:rPr>
          <w:szCs w:val="28"/>
        </w:rPr>
        <w:t xml:space="preserve"> (25,4 %) un mājsaimniecību sektors (22,6%) (</w:t>
      </w:r>
      <w:r w:rsidR="00F04670" w:rsidRPr="00CB1B52">
        <w:rPr>
          <w:szCs w:val="28"/>
        </w:rPr>
        <w:t>skat</w:t>
      </w:r>
      <w:r w:rsidR="00F04670">
        <w:rPr>
          <w:szCs w:val="28"/>
        </w:rPr>
        <w:t>.</w:t>
      </w:r>
      <w:r w:rsidR="00F04670" w:rsidRPr="00CB1B52">
        <w:rPr>
          <w:szCs w:val="28"/>
        </w:rPr>
        <w:t xml:space="preserve"> </w:t>
      </w:r>
      <w:r w:rsidR="006A7EBA">
        <w:rPr>
          <w:szCs w:val="28"/>
        </w:rPr>
        <w:t>6</w:t>
      </w:r>
      <w:r w:rsidRPr="00CB1B52">
        <w:rPr>
          <w:szCs w:val="28"/>
        </w:rPr>
        <w:t xml:space="preserve">.attēlu). </w:t>
      </w:r>
    </w:p>
    <w:p w:rsidR="00113C59" w:rsidRPr="00CB1B52" w:rsidRDefault="00526BF2" w:rsidP="00113C59">
      <w:pPr>
        <w:jc w:val="center"/>
        <w:rPr>
          <w:rFonts w:eastAsia="Times New Roman" w:cs="Times New Roman"/>
          <w:b/>
          <w:szCs w:val="28"/>
        </w:rPr>
      </w:pPr>
      <w:r w:rsidRPr="00EE759E">
        <w:rPr>
          <w:rFonts w:eastAsia="Times New Roman" w:cs="Times New Roman"/>
          <w:noProof/>
          <w:sz w:val="24"/>
          <w:szCs w:val="24"/>
          <w:lang w:eastAsia="lv-LV"/>
        </w:rPr>
        <w:lastRenderedPageBreak/>
        <w:drawing>
          <wp:inline distT="0" distB="0" distL="0" distR="0" wp14:anchorId="50A5E144" wp14:editId="06BFCEF7">
            <wp:extent cx="4820686" cy="354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gov.lv/images/modules/items/Elektroen_pat_strukt_2012.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19149" cy="3542171"/>
                    </a:xfrm>
                    <a:prstGeom prst="rect">
                      <a:avLst/>
                    </a:prstGeom>
                    <a:noFill/>
                    <a:ln>
                      <a:noFill/>
                    </a:ln>
                  </pic:spPr>
                </pic:pic>
              </a:graphicData>
            </a:graphic>
          </wp:inline>
        </w:drawing>
      </w:r>
    </w:p>
    <w:p w:rsidR="00113C59" w:rsidRPr="00D47298" w:rsidRDefault="006A7EBA" w:rsidP="00D47298">
      <w:pPr>
        <w:rPr>
          <w:rFonts w:eastAsia="Times New Roman" w:cs="Times New Roman"/>
          <w:b/>
          <w:sz w:val="24"/>
          <w:szCs w:val="24"/>
        </w:rPr>
      </w:pPr>
      <w:r w:rsidRPr="00D47298">
        <w:rPr>
          <w:rFonts w:eastAsia="Times New Roman" w:cs="Times New Roman"/>
          <w:b/>
          <w:sz w:val="24"/>
          <w:szCs w:val="24"/>
        </w:rPr>
        <w:t>6</w:t>
      </w:r>
      <w:r w:rsidR="00113C59" w:rsidRPr="00D47298">
        <w:rPr>
          <w:rFonts w:eastAsia="Times New Roman" w:cs="Times New Roman"/>
          <w:b/>
          <w:sz w:val="24"/>
          <w:szCs w:val="24"/>
        </w:rPr>
        <w:t>.attēls. Elektroenerģijas patēriņa struktūra Latvijā 2012.gadā</w:t>
      </w:r>
      <w:r w:rsidR="00E86FE2">
        <w:rPr>
          <w:rFonts w:eastAsia="Times New Roman" w:cs="Times New Roman"/>
          <w:b/>
          <w:sz w:val="24"/>
          <w:szCs w:val="24"/>
        </w:rPr>
        <w:t xml:space="preserve">, </w:t>
      </w:r>
      <w:r w:rsidR="00113C59" w:rsidRPr="00D47298">
        <w:rPr>
          <w:rFonts w:eastAsia="Times New Roman" w:cs="Times New Roman"/>
          <w:b/>
          <w:sz w:val="24"/>
          <w:szCs w:val="24"/>
        </w:rPr>
        <w:t>GWh, PJ, %</w:t>
      </w:r>
      <w:r w:rsidR="00E86FE2">
        <w:rPr>
          <w:rFonts w:eastAsia="Times New Roman" w:cs="Times New Roman"/>
          <w:b/>
          <w:sz w:val="24"/>
          <w:szCs w:val="24"/>
        </w:rPr>
        <w:t>.</w:t>
      </w:r>
    </w:p>
    <w:p w:rsidR="006C575D" w:rsidRDefault="006C575D" w:rsidP="00113C59">
      <w:pPr>
        <w:ind w:firstLine="720"/>
        <w:jc w:val="both"/>
      </w:pPr>
    </w:p>
    <w:p w:rsidR="00113C59" w:rsidRPr="00CB1B52" w:rsidRDefault="00113C59" w:rsidP="00113C59">
      <w:pPr>
        <w:ind w:firstLine="720"/>
        <w:jc w:val="both"/>
        <w:rPr>
          <w:szCs w:val="28"/>
        </w:rPr>
      </w:pPr>
      <w:r w:rsidRPr="00CB1B52">
        <w:t xml:space="preserve">Rūpniecība un būvniecība ir </w:t>
      </w:r>
      <w:r w:rsidR="004437BF">
        <w:t>otrais</w:t>
      </w:r>
      <w:r w:rsidR="004437BF" w:rsidRPr="00E05F68">
        <w:t xml:space="preserve"> </w:t>
      </w:r>
      <w:r w:rsidRPr="00E05F68">
        <w:t>lielākais</w:t>
      </w:r>
      <w:r w:rsidRPr="00CB1B52">
        <w:t xml:space="preserve"> </w:t>
      </w:r>
      <w:r w:rsidR="004437BF">
        <w:t>elektro</w:t>
      </w:r>
      <w:r w:rsidRPr="00CB1B52">
        <w:t xml:space="preserve">enerģijas galapatērētājs Latvijā. Apstrādes rūpniecībā lielākie enerģijas patērētāji </w:t>
      </w:r>
      <w:r>
        <w:t xml:space="preserve">ir </w:t>
      </w:r>
      <w:r w:rsidRPr="00CB1B52">
        <w:t>koksnes izstrādājumu (izņemot mēbeļu ražošanu) ražošanas nozare</w:t>
      </w:r>
      <w:r>
        <w:t xml:space="preserve">, </w:t>
      </w:r>
      <w:r w:rsidRPr="00CB1B52">
        <w:t>metālu ražošanas nozare</w:t>
      </w:r>
      <w:r>
        <w:t xml:space="preserve">, </w:t>
      </w:r>
      <w:r w:rsidRPr="00CB1B52">
        <w:t>pārtikas produktu un dzērienu ražošanas nozare</w:t>
      </w:r>
      <w:r>
        <w:t xml:space="preserve">, </w:t>
      </w:r>
      <w:r w:rsidRPr="00CB1B52">
        <w:t>kā arī nemetālisko minerālu izstrādājumu ražošanas nozare</w:t>
      </w:r>
      <w:r>
        <w:t xml:space="preserve">. </w:t>
      </w:r>
      <w:r w:rsidRPr="00CB1B52">
        <w:t>Energoresursu tālāka sadārdzināšanās var ietekmēt vairākas ekonomikā būtiskas nozares, kā piemēram, komerciālo un sabiedrisko pakalpojumu sektoru, pārstrādes rūpniecību (tostarp, visa veida kokapstrādi), kā arī pārtikas ražošanu un būvniecību.</w:t>
      </w:r>
      <w:r w:rsidR="00F04670">
        <w:t xml:space="preserve"> </w:t>
      </w:r>
      <w:r w:rsidR="00F04670">
        <w:rPr>
          <w:szCs w:val="28"/>
        </w:rPr>
        <w:t>Pie</w:t>
      </w:r>
      <w:r w:rsidR="00F04670" w:rsidRPr="00CB1B52">
        <w:rPr>
          <w:szCs w:val="28"/>
        </w:rPr>
        <w:t xml:space="preserve"> </w:t>
      </w:r>
      <w:r w:rsidRPr="00CB1B52">
        <w:rPr>
          <w:szCs w:val="28"/>
        </w:rPr>
        <w:t>tam, 2014.gadā Latvija zaudēja vienu no lielākajiem rūpnieciskajiem elektroenerģijas un dabasgāzes patērētājiem – AS „Liepājas metalurgs”.</w:t>
      </w:r>
    </w:p>
    <w:p w:rsidR="0054392C" w:rsidRDefault="00ED2E9B" w:rsidP="0054392C">
      <w:pPr>
        <w:ind w:firstLine="720"/>
        <w:jc w:val="both"/>
      </w:pPr>
      <w:r>
        <w:t xml:space="preserve">ES vērojams </w:t>
      </w:r>
      <w:r w:rsidR="0054392C">
        <w:t xml:space="preserve">elektroenerģijas </w:t>
      </w:r>
      <w:r>
        <w:t xml:space="preserve">cenas pieaugums, </w:t>
      </w:r>
      <w:r w:rsidR="0054392C">
        <w:t xml:space="preserve">tāpēc atsevišķas ES dalībvalstis ir </w:t>
      </w:r>
      <w:r w:rsidR="00F04670">
        <w:t xml:space="preserve">izveidojušas </w:t>
      </w:r>
      <w:r w:rsidR="0054392C">
        <w:t>īpašus valsts atbalsta mehānismus energointensīvās rūpniecības atbalstam</w:t>
      </w:r>
      <w:r>
        <w:t xml:space="preserve">. </w:t>
      </w:r>
      <w:r w:rsidR="0054392C">
        <w:t>Šād</w:t>
      </w:r>
      <w:r w:rsidR="0020465B">
        <w:t xml:space="preserve">s </w:t>
      </w:r>
      <w:r w:rsidR="0054392C">
        <w:t>atbalst</w:t>
      </w:r>
      <w:r w:rsidR="0020465B">
        <w:t>s</w:t>
      </w:r>
      <w:r w:rsidR="00D0757A">
        <w:t xml:space="preserve"> citās valstīs</w:t>
      </w:r>
      <w:r w:rsidR="0020465B">
        <w:t xml:space="preserve"> </w:t>
      </w:r>
      <w:r w:rsidR="0054392C">
        <w:t>Latvijas energointensīvo</w:t>
      </w:r>
      <w:r w:rsidR="0020465B">
        <w:t>s</w:t>
      </w:r>
      <w:r w:rsidR="0054392C">
        <w:t xml:space="preserve"> uzņēmumu</w:t>
      </w:r>
      <w:r w:rsidR="0020465B">
        <w:t>s</w:t>
      </w:r>
      <w:r w:rsidR="0054392C">
        <w:t xml:space="preserve"> nostād</w:t>
      </w:r>
      <w:r w:rsidR="0020465B">
        <w:t xml:space="preserve">a </w:t>
      </w:r>
      <w:r w:rsidR="0054392C">
        <w:t>nelabvēlīgākā stāvoklī</w:t>
      </w:r>
      <w:r w:rsidR="0020465B">
        <w:t xml:space="preserve"> </w:t>
      </w:r>
      <w:r w:rsidR="0020465B" w:rsidRPr="0020465B">
        <w:t>eksporta tirgos</w:t>
      </w:r>
      <w:r w:rsidR="0020465B">
        <w:t xml:space="preserve">. </w:t>
      </w:r>
    </w:p>
    <w:p w:rsidR="0054392C" w:rsidRPr="00AD4AFC" w:rsidRDefault="0054392C" w:rsidP="0054392C">
      <w:pPr>
        <w:ind w:firstLine="720"/>
        <w:jc w:val="both"/>
        <w:rPr>
          <w:rFonts w:eastAsia="Times New Roman" w:cs="Times New Roman"/>
          <w:bCs/>
          <w:color w:val="000000"/>
          <w:szCs w:val="28"/>
          <w:lang w:eastAsia="lv-LV"/>
        </w:rPr>
      </w:pPr>
      <w:r>
        <w:rPr>
          <w:rFonts w:eastAsia="Times New Roman" w:cs="Times New Roman"/>
          <w:bCs/>
          <w:color w:val="000000"/>
          <w:szCs w:val="28"/>
          <w:lang w:eastAsia="lv-LV"/>
        </w:rPr>
        <w:t>Piemēram</w:t>
      </w:r>
      <w:r w:rsidR="001A584C">
        <w:rPr>
          <w:rFonts w:eastAsia="Times New Roman" w:cs="Times New Roman"/>
          <w:bCs/>
          <w:color w:val="000000"/>
          <w:szCs w:val="28"/>
          <w:lang w:eastAsia="lv-LV"/>
        </w:rPr>
        <w:t>,</w:t>
      </w:r>
      <w:r>
        <w:rPr>
          <w:rFonts w:eastAsia="Times New Roman" w:cs="Times New Roman"/>
          <w:bCs/>
          <w:color w:val="000000"/>
          <w:szCs w:val="28"/>
          <w:lang w:eastAsia="lv-LV"/>
        </w:rPr>
        <w:t xml:space="preserve"> aplūkojot</w:t>
      </w:r>
      <w:r w:rsidRPr="00AD4AFC">
        <w:rPr>
          <w:rFonts w:eastAsia="Times New Roman" w:cs="Times New Roman"/>
          <w:bCs/>
          <w:color w:val="000000"/>
          <w:szCs w:val="28"/>
          <w:lang w:eastAsia="lv-LV"/>
        </w:rPr>
        <w:t xml:space="preserve"> </w:t>
      </w:r>
      <w:r w:rsidR="0020465B">
        <w:rPr>
          <w:rFonts w:eastAsia="Times New Roman" w:cs="Times New Roman"/>
          <w:bCs/>
          <w:color w:val="000000"/>
          <w:szCs w:val="28"/>
          <w:lang w:eastAsia="lv-LV"/>
        </w:rPr>
        <w:t xml:space="preserve">rūpniecības uzņēmumu </w:t>
      </w:r>
      <w:r w:rsidRPr="00AD4AFC">
        <w:rPr>
          <w:rFonts w:eastAsia="Times New Roman" w:cs="Times New Roman"/>
          <w:bCs/>
          <w:color w:val="000000"/>
          <w:szCs w:val="28"/>
          <w:lang w:eastAsia="lv-LV"/>
        </w:rPr>
        <w:t>elektroenerģijas</w:t>
      </w:r>
      <w:r>
        <w:rPr>
          <w:rFonts w:eastAsia="Times New Roman" w:cs="Times New Roman"/>
          <w:bCs/>
          <w:color w:val="000000"/>
          <w:szCs w:val="28"/>
          <w:lang w:eastAsia="lv-LV"/>
        </w:rPr>
        <w:t xml:space="preserve"> kopējās cenas</w:t>
      </w:r>
      <w:r w:rsidRPr="00AD4AFC">
        <w:rPr>
          <w:rFonts w:eastAsia="Times New Roman" w:cs="Times New Roman"/>
          <w:bCs/>
          <w:color w:val="000000"/>
          <w:szCs w:val="28"/>
          <w:lang w:eastAsia="lv-LV"/>
        </w:rPr>
        <w:t xml:space="preserve"> </w:t>
      </w:r>
      <w:r>
        <w:rPr>
          <w:rFonts w:eastAsia="Times New Roman" w:cs="Times New Roman"/>
          <w:bCs/>
          <w:color w:val="000000"/>
          <w:szCs w:val="28"/>
          <w:lang w:eastAsia="lv-LV"/>
        </w:rPr>
        <w:t>ar patēriņu</w:t>
      </w:r>
      <w:r w:rsidRPr="00AD4AFC">
        <w:rPr>
          <w:rFonts w:eastAsia="Times New Roman" w:cs="Times New Roman"/>
          <w:bCs/>
          <w:color w:val="000000"/>
          <w:szCs w:val="28"/>
          <w:lang w:eastAsia="lv-LV"/>
        </w:rPr>
        <w:t xml:space="preserve"> </w:t>
      </w:r>
      <w:r w:rsidR="00D0757A">
        <w:rPr>
          <w:rFonts w:eastAsia="Times New Roman" w:cs="Times New Roman"/>
          <w:bCs/>
          <w:color w:val="000000"/>
          <w:szCs w:val="28"/>
          <w:lang w:eastAsia="lv-LV"/>
        </w:rPr>
        <w:t>virs 4GWh</w:t>
      </w:r>
      <w:r w:rsidR="0020465B">
        <w:rPr>
          <w:rFonts w:eastAsia="Times New Roman" w:cs="Times New Roman"/>
          <w:bCs/>
          <w:color w:val="000000"/>
          <w:szCs w:val="28"/>
          <w:lang w:eastAsia="lv-LV"/>
        </w:rPr>
        <w:t xml:space="preserve"> mēnesī</w:t>
      </w:r>
      <w:r w:rsidRPr="00AD4AFC">
        <w:rPr>
          <w:rFonts w:eastAsia="Times New Roman" w:cs="Times New Roman"/>
          <w:bCs/>
          <w:color w:val="000000"/>
          <w:szCs w:val="28"/>
          <w:lang w:eastAsia="lv-LV"/>
        </w:rPr>
        <w:t>, var secināt, ka Vācijā komersants maks</w:t>
      </w:r>
      <w:r>
        <w:rPr>
          <w:rFonts w:eastAsia="Times New Roman" w:cs="Times New Roman"/>
          <w:bCs/>
          <w:color w:val="000000"/>
          <w:szCs w:val="28"/>
          <w:lang w:eastAsia="lv-LV"/>
        </w:rPr>
        <w:t>ā 190,2 EUR</w:t>
      </w:r>
      <w:r w:rsidRPr="00AD4AFC">
        <w:rPr>
          <w:rFonts w:eastAsia="Times New Roman" w:cs="Times New Roman"/>
          <w:bCs/>
          <w:color w:val="000000"/>
          <w:szCs w:val="28"/>
          <w:lang w:eastAsia="lv-LV"/>
        </w:rPr>
        <w:t>/</w:t>
      </w:r>
      <w:r>
        <w:rPr>
          <w:rFonts w:eastAsia="Times New Roman" w:cs="Times New Roman"/>
          <w:bCs/>
          <w:color w:val="000000"/>
          <w:szCs w:val="28"/>
          <w:lang w:eastAsia="lv-LV"/>
        </w:rPr>
        <w:t xml:space="preserve">MWh, </w:t>
      </w:r>
      <w:r w:rsidR="0020465B">
        <w:rPr>
          <w:rFonts w:eastAsia="Times New Roman" w:cs="Times New Roman"/>
          <w:bCs/>
          <w:color w:val="000000"/>
          <w:szCs w:val="28"/>
          <w:lang w:eastAsia="lv-LV"/>
        </w:rPr>
        <w:t xml:space="preserve">bet Latvijas komersants vidēji </w:t>
      </w:r>
      <w:r>
        <w:rPr>
          <w:rFonts w:eastAsia="Times New Roman" w:cs="Times New Roman"/>
          <w:bCs/>
          <w:color w:val="000000"/>
          <w:szCs w:val="28"/>
          <w:lang w:eastAsia="lv-LV"/>
        </w:rPr>
        <w:t>139,4 EUR</w:t>
      </w:r>
      <w:r w:rsidRPr="00AD4AFC">
        <w:rPr>
          <w:rFonts w:eastAsia="Times New Roman" w:cs="Times New Roman"/>
          <w:bCs/>
          <w:color w:val="000000"/>
          <w:szCs w:val="28"/>
          <w:lang w:eastAsia="lv-LV"/>
        </w:rPr>
        <w:t>/MWh</w:t>
      </w:r>
      <w:r w:rsidR="0020465B">
        <w:rPr>
          <w:rFonts w:eastAsia="Times New Roman" w:cs="Times New Roman"/>
          <w:bCs/>
          <w:color w:val="000000"/>
          <w:szCs w:val="28"/>
          <w:lang w:eastAsia="lv-LV"/>
        </w:rPr>
        <w:t xml:space="preserve">. </w:t>
      </w:r>
      <w:r w:rsidRPr="00AD4AFC">
        <w:rPr>
          <w:rFonts w:eastAsia="Times New Roman" w:cs="Times New Roman"/>
          <w:bCs/>
          <w:color w:val="000000"/>
          <w:szCs w:val="28"/>
          <w:lang w:eastAsia="lv-LV"/>
        </w:rPr>
        <w:t xml:space="preserve">Neskatoties uz to elektroenerģijas izmaksas energointensīvām nozarēm ir </w:t>
      </w:r>
      <w:r w:rsidR="00ED2E9B">
        <w:rPr>
          <w:rFonts w:eastAsia="Times New Roman" w:cs="Times New Roman"/>
          <w:bCs/>
          <w:color w:val="000000"/>
          <w:szCs w:val="28"/>
          <w:lang w:eastAsia="lv-LV"/>
        </w:rPr>
        <w:t xml:space="preserve">pretējas, </w:t>
      </w:r>
      <w:r w:rsidRPr="00AD4AFC">
        <w:rPr>
          <w:rFonts w:eastAsia="Times New Roman" w:cs="Times New Roman"/>
          <w:bCs/>
          <w:color w:val="000000"/>
          <w:szCs w:val="28"/>
          <w:lang w:eastAsia="lv-LV"/>
        </w:rPr>
        <w:t>tas ir, Vācijā īste</w:t>
      </w:r>
      <w:r>
        <w:rPr>
          <w:rFonts w:eastAsia="Times New Roman" w:cs="Times New Roman"/>
          <w:bCs/>
          <w:color w:val="000000"/>
          <w:szCs w:val="28"/>
          <w:lang w:eastAsia="lv-LV"/>
        </w:rPr>
        <w:t>notais</w:t>
      </w:r>
      <w:r w:rsidRPr="00AD4AFC">
        <w:rPr>
          <w:rFonts w:eastAsia="Times New Roman" w:cs="Times New Roman"/>
          <w:bCs/>
          <w:color w:val="000000"/>
          <w:szCs w:val="28"/>
          <w:lang w:eastAsia="lv-LV"/>
        </w:rPr>
        <w:t xml:space="preserve"> atbalsta </w:t>
      </w:r>
      <w:r>
        <w:rPr>
          <w:rFonts w:eastAsia="Times New Roman" w:cs="Times New Roman"/>
          <w:bCs/>
          <w:color w:val="000000"/>
          <w:szCs w:val="28"/>
          <w:lang w:eastAsia="lv-LV"/>
        </w:rPr>
        <w:t>mehānisms</w:t>
      </w:r>
      <w:r w:rsidRPr="00AD4AFC">
        <w:rPr>
          <w:rFonts w:eastAsia="Times New Roman" w:cs="Times New Roman"/>
          <w:bCs/>
          <w:color w:val="000000"/>
          <w:szCs w:val="28"/>
          <w:lang w:eastAsia="lv-LV"/>
        </w:rPr>
        <w:t xml:space="preserve"> energointensīviem uzņēmumiem nodrošina iespēju samazināt elektroenerģijas izmaksas savās operatīvajās izmaksās, </w:t>
      </w:r>
      <w:r w:rsidR="00F04670" w:rsidRPr="00AD4AFC">
        <w:rPr>
          <w:rFonts w:eastAsia="Times New Roman" w:cs="Times New Roman"/>
          <w:bCs/>
          <w:color w:val="000000"/>
          <w:szCs w:val="28"/>
          <w:lang w:eastAsia="lv-LV"/>
        </w:rPr>
        <w:t>tād</w:t>
      </w:r>
      <w:r w:rsidR="00F04670">
        <w:rPr>
          <w:rFonts w:eastAsia="Times New Roman" w:cs="Times New Roman"/>
          <w:bCs/>
          <w:color w:val="000000"/>
          <w:szCs w:val="28"/>
          <w:lang w:eastAsia="lv-LV"/>
        </w:rPr>
        <w:t>ē</w:t>
      </w:r>
      <w:r w:rsidR="00F04670" w:rsidRPr="00AD4AFC">
        <w:rPr>
          <w:rFonts w:eastAsia="Times New Roman" w:cs="Times New Roman"/>
          <w:bCs/>
          <w:color w:val="000000"/>
          <w:szCs w:val="28"/>
          <w:lang w:eastAsia="lv-LV"/>
        </w:rPr>
        <w:t xml:space="preserve">jādi </w:t>
      </w:r>
      <w:r w:rsidRPr="00AD4AFC">
        <w:rPr>
          <w:rFonts w:eastAsia="Times New Roman" w:cs="Times New Roman"/>
          <w:bCs/>
          <w:color w:val="000000"/>
          <w:szCs w:val="28"/>
          <w:lang w:eastAsia="lv-LV"/>
        </w:rPr>
        <w:t>nodrošinot šo uzņēmumu starptautiskās konkurētspējas nemazināšanos un</w:t>
      </w:r>
      <w:r>
        <w:rPr>
          <w:rFonts w:eastAsia="Times New Roman" w:cs="Times New Roman"/>
          <w:bCs/>
          <w:color w:val="000000"/>
          <w:szCs w:val="28"/>
          <w:lang w:eastAsia="lv-LV"/>
        </w:rPr>
        <w:t>,</w:t>
      </w:r>
      <w:r w:rsidRPr="00AD4AFC">
        <w:rPr>
          <w:rFonts w:eastAsia="Times New Roman" w:cs="Times New Roman"/>
          <w:bCs/>
          <w:color w:val="000000"/>
          <w:szCs w:val="28"/>
          <w:lang w:eastAsia="lv-LV"/>
        </w:rPr>
        <w:t xml:space="preserve"> saglabājot un radot jaunas darba vietas šajās nozarēs. Savukārt, attiecīgie </w:t>
      </w:r>
      <w:r w:rsidRPr="00AD4AFC">
        <w:rPr>
          <w:rFonts w:eastAsia="Times New Roman" w:cs="Times New Roman"/>
          <w:bCs/>
          <w:color w:val="000000"/>
          <w:szCs w:val="28"/>
          <w:lang w:eastAsia="lv-LV"/>
        </w:rPr>
        <w:lastRenderedPageBreak/>
        <w:t xml:space="preserve">Latvijas energointensīvie uzņēmumi tieši saistībā ar augstajām </w:t>
      </w:r>
      <w:r>
        <w:rPr>
          <w:rFonts w:eastAsia="Times New Roman" w:cs="Times New Roman"/>
          <w:bCs/>
          <w:color w:val="000000"/>
          <w:szCs w:val="28"/>
          <w:lang w:eastAsia="lv-LV"/>
        </w:rPr>
        <w:t>elektroenerģijas izmaksām zaudē</w:t>
      </w:r>
      <w:r w:rsidRPr="008A312B">
        <w:rPr>
          <w:rFonts w:eastAsia="Times New Roman" w:cs="Times New Roman"/>
          <w:bCs/>
          <w:color w:val="000000"/>
          <w:szCs w:val="28"/>
          <w:lang w:eastAsia="lv-LV"/>
        </w:rPr>
        <w:t xml:space="preserve"> </w:t>
      </w:r>
      <w:r w:rsidRPr="00AD4AFC">
        <w:rPr>
          <w:rFonts w:eastAsia="Times New Roman" w:cs="Times New Roman"/>
          <w:bCs/>
          <w:color w:val="000000"/>
          <w:szCs w:val="28"/>
          <w:lang w:eastAsia="lv-LV"/>
        </w:rPr>
        <w:t>konkurencē</w:t>
      </w:r>
      <w:r>
        <w:rPr>
          <w:rFonts w:eastAsia="Times New Roman" w:cs="Times New Roman"/>
          <w:bCs/>
          <w:color w:val="000000"/>
          <w:szCs w:val="28"/>
          <w:lang w:eastAsia="lv-LV"/>
        </w:rPr>
        <w:t xml:space="preserve"> ar citu ES dalībvalstu </w:t>
      </w:r>
      <w:r w:rsidRPr="00AD4AFC">
        <w:rPr>
          <w:rFonts w:eastAsia="Times New Roman" w:cs="Times New Roman"/>
          <w:bCs/>
          <w:color w:val="000000"/>
          <w:szCs w:val="28"/>
          <w:lang w:eastAsia="lv-LV"/>
        </w:rPr>
        <w:t>ener</w:t>
      </w:r>
      <w:r>
        <w:rPr>
          <w:rFonts w:eastAsia="Times New Roman" w:cs="Times New Roman"/>
          <w:bCs/>
          <w:color w:val="000000"/>
          <w:szCs w:val="28"/>
          <w:lang w:eastAsia="lv-LV"/>
        </w:rPr>
        <w:t>gointensīvajiem uzņēmumiem</w:t>
      </w:r>
      <w:r w:rsidRPr="00AD4AFC">
        <w:rPr>
          <w:rFonts w:eastAsia="Times New Roman" w:cs="Times New Roman"/>
          <w:bCs/>
          <w:color w:val="000000"/>
          <w:szCs w:val="28"/>
          <w:lang w:eastAsia="lv-LV"/>
        </w:rPr>
        <w:t xml:space="preserve"> par attiecīgo tirgus daļu.  </w:t>
      </w:r>
    </w:p>
    <w:p w:rsidR="0054392C" w:rsidRDefault="0019696F" w:rsidP="0054392C">
      <w:pPr>
        <w:ind w:firstLine="720"/>
        <w:jc w:val="both"/>
      </w:pPr>
      <w:r>
        <w:t>Līdz ar to, lai sasniegtu Industriālās politikas pamatnostādnēs noteikto 20% mērķi rūpniecības pieaugumam</w:t>
      </w:r>
      <w:r w:rsidR="00402BB6">
        <w:t xml:space="preserve"> līdz 2020.gadam</w:t>
      </w:r>
      <w:r>
        <w:t xml:space="preserve">, ir nepieciešams </w:t>
      </w:r>
      <w:r w:rsidR="00402BB6">
        <w:t xml:space="preserve">nodrošināt </w:t>
      </w:r>
      <w:r>
        <w:t xml:space="preserve">energointensīvo uzņēmumu </w:t>
      </w:r>
      <w:r w:rsidR="00402BB6">
        <w:t xml:space="preserve">starptautisko </w:t>
      </w:r>
      <w:r>
        <w:t>konkurētspēj</w:t>
      </w:r>
      <w:r w:rsidR="00402BB6">
        <w:t xml:space="preserve">u. </w:t>
      </w:r>
      <w:r>
        <w:t>EK savās valsts atbalsta vadlīnijās ir definējusi nozares, kas ir energointensīvas, piemēram, finiera ražošana, celuloze, farmācija, stikla šķiedra, metālapstrāde un ražošana, cement</w:t>
      </w:r>
      <w:r w:rsidR="00402BB6">
        <w:t xml:space="preserve">a ražošana. </w:t>
      </w:r>
      <w:r w:rsidR="00145DFF">
        <w:t>P</w:t>
      </w:r>
      <w:r w:rsidR="00C74F08">
        <w:t>ēc AS „Sadales tīkls” informācijas</w:t>
      </w:r>
      <w:r w:rsidR="00145DFF">
        <w:t>,</w:t>
      </w:r>
      <w:r w:rsidR="00C74F08">
        <w:t xml:space="preserve"> uzņēmumi, kas </w:t>
      </w:r>
      <w:r w:rsidR="00402BB6">
        <w:t>2012.</w:t>
      </w:r>
      <w:r w:rsidR="00C74F08">
        <w:t xml:space="preserve">gadā </w:t>
      </w:r>
      <w:r w:rsidR="00145DFF">
        <w:t xml:space="preserve">Latvijā </w:t>
      </w:r>
      <w:r w:rsidR="00216530">
        <w:t>patērēja</w:t>
      </w:r>
      <w:r w:rsidR="00C74F08">
        <w:t xml:space="preserve"> vairāk kā 50</w:t>
      </w:r>
      <w:r w:rsidR="00D0757A">
        <w:t>GWh</w:t>
      </w:r>
      <w:r w:rsidR="00C74F08">
        <w:t>, veidoja 9,5% no valsts kopējā patēriņa.</w:t>
      </w:r>
      <w:r>
        <w:t xml:space="preserve"> </w:t>
      </w:r>
    </w:p>
    <w:p w:rsidR="00E76187" w:rsidRPr="00CB1B52" w:rsidRDefault="00402BB6" w:rsidP="00E76187">
      <w:pPr>
        <w:ind w:firstLine="720"/>
        <w:jc w:val="both"/>
      </w:pPr>
      <w:r>
        <w:t xml:space="preserve">No kopējā </w:t>
      </w:r>
      <w:r w:rsidR="00E76187" w:rsidRPr="00CB1B52">
        <w:t>2012.</w:t>
      </w:r>
      <w:r>
        <w:t>g</w:t>
      </w:r>
      <w:r w:rsidR="00E76187" w:rsidRPr="00CB1B52">
        <w:t>ad</w:t>
      </w:r>
      <w:r>
        <w:t xml:space="preserve">a </w:t>
      </w:r>
      <w:r w:rsidR="00E76187" w:rsidRPr="00CB1B52">
        <w:t>kopējā elektroenerģijas p</w:t>
      </w:r>
      <w:r>
        <w:t xml:space="preserve">atēriņa </w:t>
      </w:r>
      <w:r w:rsidR="00E76187" w:rsidRPr="00CB1B52">
        <w:t>7859 GWh</w:t>
      </w:r>
      <w:r>
        <w:t xml:space="preserve"> </w:t>
      </w:r>
      <w:r w:rsidR="00E76187" w:rsidRPr="00CB1B52">
        <w:t>AS „Latvenergo” savās stacijās (Rīgas TEC – 1 un TEC – 2; Daugavas HES kaskādes elektrostacijas) saražoja 64,6%</w:t>
      </w:r>
      <w:r>
        <w:t>,</w:t>
      </w:r>
      <w:r w:rsidR="00E76187" w:rsidRPr="00CB1B52">
        <w:t xml:space="preserve"> 13,9% – iepirka no mazajiem elektroenerģijas ražotājiem</w:t>
      </w:r>
      <w:r w:rsidR="00216530">
        <w:t>,</w:t>
      </w:r>
      <w:r>
        <w:t xml:space="preserve"> savukārt </w:t>
      </w:r>
      <w:r w:rsidR="00E76187" w:rsidRPr="00CB1B52">
        <w:t>21,5% – veidoja elektroenerģijas neto imports.</w:t>
      </w:r>
    </w:p>
    <w:p w:rsidR="00E76187" w:rsidRPr="00CB1B52" w:rsidRDefault="00E76187" w:rsidP="00E76187">
      <w:pPr>
        <w:autoSpaceDE w:val="0"/>
        <w:autoSpaceDN w:val="0"/>
        <w:adjustRightInd w:val="0"/>
        <w:ind w:firstLine="567"/>
        <w:jc w:val="both"/>
        <w:rPr>
          <w:rFonts w:cs="Times New Roman"/>
          <w:bCs/>
          <w:szCs w:val="28"/>
        </w:rPr>
      </w:pPr>
      <w:r w:rsidRPr="00CB1B52">
        <w:rPr>
          <w:rFonts w:cs="Times New Roman"/>
          <w:bCs/>
          <w:szCs w:val="28"/>
        </w:rPr>
        <w:t xml:space="preserve">Rīgas TEC – 1 un </w:t>
      </w:r>
      <w:r w:rsidR="00216530">
        <w:rPr>
          <w:rFonts w:cs="Times New Roman"/>
          <w:bCs/>
          <w:szCs w:val="28"/>
        </w:rPr>
        <w:t xml:space="preserve">TEC - </w:t>
      </w:r>
      <w:r w:rsidRPr="00CB1B52">
        <w:rPr>
          <w:rFonts w:cs="Times New Roman"/>
          <w:bCs/>
          <w:szCs w:val="28"/>
        </w:rPr>
        <w:t xml:space="preserve">2 ir vienīgās bāzes jaudu elektrostacijas Latvijā ar uzstādīto jaudu virs 100 MW, kas var nodrošināt nepārtrauktu elektroenerģijas un siltuma ražošanu </w:t>
      </w:r>
      <w:r w:rsidR="00402BB6">
        <w:rPr>
          <w:rFonts w:cs="Times New Roman"/>
          <w:bCs/>
          <w:szCs w:val="28"/>
        </w:rPr>
        <w:t xml:space="preserve">gan </w:t>
      </w:r>
      <w:r w:rsidRPr="00CB1B52">
        <w:rPr>
          <w:rFonts w:cs="Times New Roman"/>
          <w:bCs/>
          <w:szCs w:val="28"/>
        </w:rPr>
        <w:t>koģenerācijas</w:t>
      </w:r>
      <w:r w:rsidR="00402BB6">
        <w:rPr>
          <w:rFonts w:cs="Times New Roman"/>
          <w:bCs/>
          <w:szCs w:val="28"/>
        </w:rPr>
        <w:t xml:space="preserve">, gan </w:t>
      </w:r>
      <w:r w:rsidRPr="00CB1B52">
        <w:rPr>
          <w:rFonts w:cs="Times New Roman"/>
          <w:bCs/>
          <w:szCs w:val="28"/>
        </w:rPr>
        <w:t xml:space="preserve">kondensācijas režīmā ar maksimālo summāro gada noslodzi līdz 7500h. </w:t>
      </w:r>
      <w:r w:rsidR="00900B96">
        <w:rPr>
          <w:rFonts w:cs="Times New Roman"/>
          <w:bCs/>
          <w:szCs w:val="28"/>
        </w:rPr>
        <w:t xml:space="preserve">Izmantojot </w:t>
      </w:r>
      <w:r w:rsidR="00A93DC7" w:rsidRPr="00CB1B52">
        <w:rPr>
          <w:szCs w:val="28"/>
        </w:rPr>
        <w:t xml:space="preserve">TEC – 1 un TEC – 2 </w:t>
      </w:r>
      <w:r w:rsidR="00900B96">
        <w:rPr>
          <w:szCs w:val="28"/>
        </w:rPr>
        <w:t xml:space="preserve">vasarā kondensācijas režīmā, </w:t>
      </w:r>
      <w:r w:rsidR="00A93DC7" w:rsidRPr="00CB1B52">
        <w:rPr>
          <w:szCs w:val="28"/>
        </w:rPr>
        <w:t xml:space="preserve">elektroenerģijas </w:t>
      </w:r>
      <w:r w:rsidR="00900B96">
        <w:rPr>
          <w:szCs w:val="28"/>
        </w:rPr>
        <w:t xml:space="preserve">ražošanai ir </w:t>
      </w:r>
      <w:r w:rsidR="00A93DC7" w:rsidRPr="00CB1B52">
        <w:rPr>
          <w:szCs w:val="28"/>
        </w:rPr>
        <w:t>augst</w:t>
      </w:r>
      <w:r w:rsidR="00900B96">
        <w:rPr>
          <w:szCs w:val="28"/>
        </w:rPr>
        <w:t xml:space="preserve">as </w:t>
      </w:r>
      <w:r w:rsidR="00A93DC7" w:rsidRPr="00CB1B52">
        <w:rPr>
          <w:szCs w:val="28"/>
        </w:rPr>
        <w:t>mainīg</w:t>
      </w:r>
      <w:r w:rsidR="00900B96">
        <w:rPr>
          <w:szCs w:val="28"/>
        </w:rPr>
        <w:t xml:space="preserve">ās izmaksas. </w:t>
      </w:r>
      <w:r w:rsidR="00A93DC7" w:rsidRPr="00CB1B52">
        <w:rPr>
          <w:szCs w:val="28"/>
        </w:rPr>
        <w:t xml:space="preserve">Kondensācijas režīmā Rīgas TEC – 2 </w:t>
      </w:r>
      <w:r w:rsidR="00900B96">
        <w:rPr>
          <w:szCs w:val="28"/>
        </w:rPr>
        <w:t xml:space="preserve">ir izdevīgi slogot </w:t>
      </w:r>
      <w:r w:rsidR="00A93DC7" w:rsidRPr="00CB1B52">
        <w:rPr>
          <w:szCs w:val="28"/>
        </w:rPr>
        <w:t xml:space="preserve">ja, pie pašreizējām dabasgāzes cenām, elektroenerģijas cena Latvijas </w:t>
      </w:r>
      <w:r w:rsidR="00216530" w:rsidRPr="00CB1B52">
        <w:rPr>
          <w:i/>
          <w:szCs w:val="28"/>
        </w:rPr>
        <w:t>Nord Pool Spot</w:t>
      </w:r>
      <w:r w:rsidR="00216530" w:rsidRPr="00CB1B52">
        <w:rPr>
          <w:szCs w:val="28"/>
        </w:rPr>
        <w:t xml:space="preserve"> (turpmāk – NPS)</w:t>
      </w:r>
      <w:r w:rsidR="00A93DC7" w:rsidRPr="00CB1B52">
        <w:rPr>
          <w:szCs w:val="28"/>
        </w:rPr>
        <w:t xml:space="preserve"> tirdzniecības apgabalā pārsniedz 70EUR/MWh atzīmi, un turas šādā līmenī vismaz vienu diennakti. Īslaicīga maksimuma cenas sasniegšana Latvijas tirdzniecības apgabalā nav motivējoša Rīgas TEC – 2 darbināšanai kondensācijas režīmā, tomēr pieļauj stacijas darbināšanu koģenerācijas režīmā – gan rēķinoties ar nelielo Rīgas pilsētas siltumslodzi vasaras sezonā, jo saražotās siltumenerģijas nelietderīga izmantošana mazina stacijas ekspluatācijas efektivitāti un, attiecīgi, palielina izmaksas uz vienu saražoto MWh. Ierobežotu TEC – 2 slogošanu koģenerācijas režīmā vasaras sezonā iespējama, ja elektroenerģijas cena Latvijas NPS tirdzniecības apgabalā diennakts griezumā pārsniedz 45EUR/MWh.</w:t>
      </w:r>
    </w:p>
    <w:p w:rsidR="00E86FE2" w:rsidRDefault="00900B96" w:rsidP="00E86FE2">
      <w:pPr>
        <w:ind w:firstLine="720"/>
        <w:jc w:val="both"/>
      </w:pPr>
      <w:r>
        <w:rPr>
          <w:rFonts w:eastAsia="Times New Roman" w:cs="Times New Roman"/>
          <w:szCs w:val="28"/>
          <w:lang w:eastAsia="lv-LV"/>
        </w:rPr>
        <w:t>Latvijā l</w:t>
      </w:r>
      <w:r w:rsidR="00E76187" w:rsidRPr="00CB1B52">
        <w:rPr>
          <w:rFonts w:eastAsia="Times New Roman" w:cs="Times New Roman"/>
          <w:szCs w:val="28"/>
          <w:lang w:eastAsia="lv-LV"/>
        </w:rPr>
        <w:t>i</w:t>
      </w:r>
      <w:r w:rsidR="00E76187" w:rsidRPr="00CB1B52">
        <w:rPr>
          <w:szCs w:val="28"/>
        </w:rPr>
        <w:t xml:space="preserve">elākā daļa </w:t>
      </w:r>
      <w:r>
        <w:rPr>
          <w:szCs w:val="28"/>
        </w:rPr>
        <w:t xml:space="preserve">elektroenerģijas tiek </w:t>
      </w:r>
      <w:r w:rsidR="00E76187" w:rsidRPr="00CB1B52">
        <w:rPr>
          <w:szCs w:val="28"/>
        </w:rPr>
        <w:t>ģenerēt</w:t>
      </w:r>
      <w:r w:rsidR="00145DFF">
        <w:rPr>
          <w:szCs w:val="28"/>
        </w:rPr>
        <w:t>a</w:t>
      </w:r>
      <w:r w:rsidR="00E76187" w:rsidRPr="00CB1B52">
        <w:rPr>
          <w:szCs w:val="28"/>
        </w:rPr>
        <w:t xml:space="preserve"> tr</w:t>
      </w:r>
      <w:r>
        <w:rPr>
          <w:szCs w:val="28"/>
        </w:rPr>
        <w:t xml:space="preserve">īs </w:t>
      </w:r>
      <w:r w:rsidR="00E76187" w:rsidRPr="00CB1B52">
        <w:rPr>
          <w:szCs w:val="28"/>
        </w:rPr>
        <w:t>Daugavas HES  kaskādes elektrostacijā</w:t>
      </w:r>
      <w:r>
        <w:rPr>
          <w:szCs w:val="28"/>
        </w:rPr>
        <w:t>s</w:t>
      </w:r>
      <w:r w:rsidR="00E76187" w:rsidRPr="00CB1B52">
        <w:rPr>
          <w:szCs w:val="28"/>
        </w:rPr>
        <w:t xml:space="preserve">– Ķeguma, Pļaviņu un Rīgas HES, kuru kopējā uzstādītā jauda ir 1535,5MW. 2012.gadā šajās stacijās tika saražotas </w:t>
      </w:r>
      <w:r w:rsidR="004437BF" w:rsidRPr="00EA4579">
        <w:rPr>
          <w:szCs w:val="28"/>
        </w:rPr>
        <w:t>3627</w:t>
      </w:r>
      <w:r w:rsidR="004437BF" w:rsidRPr="00CB1B52">
        <w:rPr>
          <w:szCs w:val="28"/>
        </w:rPr>
        <w:t xml:space="preserve">GWh </w:t>
      </w:r>
      <w:r w:rsidR="00E76187" w:rsidRPr="00CB1B52">
        <w:rPr>
          <w:szCs w:val="28"/>
        </w:rPr>
        <w:t xml:space="preserve">elektroenerģijas, kas veido </w:t>
      </w:r>
      <w:r w:rsidR="004437BF">
        <w:rPr>
          <w:szCs w:val="28"/>
        </w:rPr>
        <w:t>58,8</w:t>
      </w:r>
      <w:r w:rsidR="00E76187" w:rsidRPr="00CB1B52">
        <w:rPr>
          <w:szCs w:val="28"/>
        </w:rPr>
        <w:t xml:space="preserve">% no kopējā Latvijā saražotā elektroenerģijas apjoma. HES uzstādīto jaudu pilnā apmērā ir iespējams izmantot tikai pavasarī palu jeb pilnūdens periodā, kas ilgst aptuveni divus mēnešus. Vislielākais elektroenerģijas izstrādes apjoms parasti ir aprīlī. </w:t>
      </w:r>
      <w:r>
        <w:rPr>
          <w:szCs w:val="28"/>
        </w:rPr>
        <w:t xml:space="preserve">Atsevišķos </w:t>
      </w:r>
      <w:r w:rsidR="00E76187" w:rsidRPr="00CB1B52">
        <w:rPr>
          <w:szCs w:val="28"/>
        </w:rPr>
        <w:t>gadījumos arī ziemā ir vērojami īsi pilnūdens periodi</w:t>
      </w:r>
      <w:r>
        <w:rPr>
          <w:szCs w:val="28"/>
        </w:rPr>
        <w:t xml:space="preserve">. </w:t>
      </w:r>
      <w:r w:rsidR="00E76187" w:rsidRPr="00CB1B52">
        <w:rPr>
          <w:szCs w:val="28"/>
        </w:rPr>
        <w:t xml:space="preserve">Gada griezumā Daugavas HES kaskādes </w:t>
      </w:r>
      <w:r w:rsidR="00E76187" w:rsidRPr="00CB1B52">
        <w:rPr>
          <w:szCs w:val="28"/>
        </w:rPr>
        <w:lastRenderedPageBreak/>
        <w:t>elektrostacijas bāzes režīmā spēj nodrošināt 200 – 250MW, no kuriem 100MW tiek rezervēti Igaunijas PSO e</w:t>
      </w:r>
      <w:r w:rsidR="002A5A7A">
        <w:rPr>
          <w:szCs w:val="28"/>
        </w:rPr>
        <w:t>lektro</w:t>
      </w:r>
      <w:r w:rsidR="00E76187" w:rsidRPr="00CB1B52">
        <w:rPr>
          <w:szCs w:val="28"/>
        </w:rPr>
        <w:t>e</w:t>
      </w:r>
      <w:r w:rsidR="002A5A7A">
        <w:rPr>
          <w:szCs w:val="28"/>
        </w:rPr>
        <w:t xml:space="preserve">nerģijas </w:t>
      </w:r>
      <w:r w:rsidR="00E76187" w:rsidRPr="00CB1B52">
        <w:rPr>
          <w:szCs w:val="28"/>
        </w:rPr>
        <w:t xml:space="preserve">sistēmas balansēšanai. Daugavas HES kaskādes stacijas kalpo arī kā </w:t>
      </w:r>
      <w:r w:rsidR="002A5A7A">
        <w:rPr>
          <w:szCs w:val="28"/>
        </w:rPr>
        <w:t xml:space="preserve">elektroenerģijas </w:t>
      </w:r>
      <w:r w:rsidR="00E76187" w:rsidRPr="00CB1B52">
        <w:rPr>
          <w:szCs w:val="28"/>
        </w:rPr>
        <w:t xml:space="preserve">sistēmas balansēšanas un pīķa (maksimuma) segšanas jaudas. </w:t>
      </w:r>
      <w:r w:rsidR="00A93DC7" w:rsidRPr="00CB1B52">
        <w:rPr>
          <w:szCs w:val="28"/>
        </w:rPr>
        <w:t>Pilnūdens perioda elektroenerģijas izstrādes ļauj Daugavas HES kaskādei veiksmīgi konkurēt Baltijas un Somijas NPS elektroenerģijas tirgū</w:t>
      </w:r>
      <w:r w:rsidR="00E86FE2">
        <w:t>.</w:t>
      </w:r>
    </w:p>
    <w:p w:rsidR="00E86FE2" w:rsidRDefault="00E86FE2" w:rsidP="00E86FE2">
      <w:pPr>
        <w:ind w:firstLine="720"/>
        <w:jc w:val="both"/>
        <w:rPr>
          <w:szCs w:val="28"/>
        </w:rPr>
      </w:pPr>
      <w:r w:rsidRPr="00CB1B52">
        <w:t xml:space="preserve">Elektroenerģijas pašnodrošinājums Latvijā </w:t>
      </w:r>
      <w:r>
        <w:t xml:space="preserve">pa gadiem ir mainīgs (skat. 7.attēlu) </w:t>
      </w:r>
      <w:r w:rsidRPr="00CB1B52">
        <w:t xml:space="preserve">2013.gadā </w:t>
      </w:r>
      <w:r>
        <w:t xml:space="preserve">tas </w:t>
      </w:r>
      <w:r w:rsidRPr="00CB1B52">
        <w:t xml:space="preserve">sastādīja 61%. </w:t>
      </w:r>
      <w:r w:rsidRPr="00CB1B52">
        <w:rPr>
          <w:szCs w:val="28"/>
        </w:rPr>
        <w:t xml:space="preserve">Latvijā uzstādīto jaudu – vairāk kā 2300MW, un maksimālās slodzes  </w:t>
      </w:r>
      <w:r w:rsidRPr="00CB1B52">
        <w:t>–</w:t>
      </w:r>
      <w:r w:rsidRPr="00CB1B52">
        <w:rPr>
          <w:szCs w:val="28"/>
        </w:rPr>
        <w:t xml:space="preserve"> apmēram 1300MW attiecība rāda, ka uzstādīto jaudu apjoms pārsniedz maksimālo slodzi</w:t>
      </w:r>
      <w:r>
        <w:rPr>
          <w:szCs w:val="28"/>
        </w:rPr>
        <w:t>. I</w:t>
      </w:r>
      <w:r w:rsidRPr="00CB1B52">
        <w:rPr>
          <w:szCs w:val="28"/>
        </w:rPr>
        <w:t>zņemot 4 – 6 nedēļas gadā palu laikā, pārējā laikā Latvijā ir izteikts jaudas deficīts 200 – 700 MW apjomā, kas tiek kompensēts</w:t>
      </w:r>
      <w:r>
        <w:rPr>
          <w:szCs w:val="28"/>
        </w:rPr>
        <w:t>,</w:t>
      </w:r>
      <w:r w:rsidRPr="00CB1B52">
        <w:rPr>
          <w:szCs w:val="28"/>
        </w:rPr>
        <w:t xml:space="preserve"> elektroenerģiju importējot.</w:t>
      </w:r>
      <w:r>
        <w:rPr>
          <w:szCs w:val="28"/>
        </w:rPr>
        <w:t xml:space="preserve"> Nodrošinot pietiekamus starpsavienojumus ES globālajā tirgū, pašnodrošinājumam ir mazāka nozīme drošai energoapgādei. </w:t>
      </w:r>
    </w:p>
    <w:p w:rsidR="00216530" w:rsidRDefault="00526BF2" w:rsidP="00D47298">
      <w:pPr>
        <w:jc w:val="center"/>
      </w:pPr>
      <w:r w:rsidRPr="0063735A">
        <w:rPr>
          <w:noProof/>
          <w:lang w:eastAsia="lv-LV"/>
        </w:rPr>
        <w:drawing>
          <wp:inline distT="0" distB="0" distL="0" distR="0" wp14:anchorId="0773845E" wp14:editId="75A9CB2F">
            <wp:extent cx="5732584" cy="3418316"/>
            <wp:effectExtent l="0" t="0" r="190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8804" cy="3422025"/>
                    </a:xfrm>
                    <a:prstGeom prst="rect">
                      <a:avLst/>
                    </a:prstGeom>
                    <a:solidFill>
                      <a:sysClr val="window" lastClr="FFFFFF"/>
                    </a:solidFill>
                  </pic:spPr>
                </pic:pic>
              </a:graphicData>
            </a:graphic>
          </wp:inline>
        </w:drawing>
      </w:r>
    </w:p>
    <w:p w:rsidR="00216530" w:rsidRPr="00D47298" w:rsidRDefault="00526BF2" w:rsidP="00D47298">
      <w:pPr>
        <w:rPr>
          <w:b/>
          <w:sz w:val="24"/>
          <w:szCs w:val="24"/>
        </w:rPr>
      </w:pPr>
      <w:r w:rsidRPr="00D47298">
        <w:rPr>
          <w:b/>
          <w:sz w:val="24"/>
          <w:szCs w:val="24"/>
        </w:rPr>
        <w:t>7</w:t>
      </w:r>
      <w:r w:rsidR="00216530" w:rsidRPr="00D47298">
        <w:rPr>
          <w:b/>
          <w:sz w:val="24"/>
          <w:szCs w:val="24"/>
        </w:rPr>
        <w:t>.attēls. Latvijas elektroenerģijas piegādes struktūra</w:t>
      </w:r>
      <w:r w:rsidR="00E86FE2">
        <w:rPr>
          <w:b/>
          <w:sz w:val="24"/>
          <w:szCs w:val="24"/>
        </w:rPr>
        <w:t>.</w:t>
      </w:r>
    </w:p>
    <w:p w:rsidR="000A0F27" w:rsidRDefault="00B577FD" w:rsidP="00E856C7">
      <w:pPr>
        <w:shd w:val="clear" w:color="auto" w:fill="FFFFFF" w:themeFill="background1"/>
        <w:ind w:firstLine="709"/>
        <w:jc w:val="both"/>
        <w:rPr>
          <w:szCs w:val="28"/>
        </w:rPr>
      </w:pPr>
      <w:r w:rsidRPr="00CB1B52">
        <w:rPr>
          <w:szCs w:val="28"/>
        </w:rPr>
        <w:t xml:space="preserve">   </w:t>
      </w:r>
    </w:p>
    <w:p w:rsidR="00E76187" w:rsidRPr="00CB1B52" w:rsidRDefault="00E76187" w:rsidP="00E856C7">
      <w:pPr>
        <w:shd w:val="clear" w:color="auto" w:fill="FFFFFF" w:themeFill="background1"/>
        <w:ind w:firstLine="709"/>
        <w:jc w:val="both"/>
        <w:rPr>
          <w:bCs/>
          <w:szCs w:val="28"/>
        </w:rPr>
      </w:pPr>
      <w:r w:rsidRPr="00CB1B52">
        <w:rPr>
          <w:szCs w:val="28"/>
        </w:rPr>
        <w:t>Lai attīstītu pārrobežu tirdzniecību, kā arī stimulētu konkurenci Baltijas elektroenerģijas tirgū, Baltijā tika atvērti elektroenerģijas biržas platformas  NPS</w:t>
      </w:r>
      <w:r w:rsidRPr="00CB1B52">
        <w:rPr>
          <w:i/>
          <w:szCs w:val="28"/>
        </w:rPr>
        <w:t xml:space="preserve"> </w:t>
      </w:r>
      <w:r w:rsidRPr="00CB1B52">
        <w:rPr>
          <w:szCs w:val="28"/>
        </w:rPr>
        <w:t xml:space="preserve"> tirdzniecības apgabali.</w:t>
      </w:r>
      <w:r>
        <w:rPr>
          <w:szCs w:val="28"/>
        </w:rPr>
        <w:t xml:space="preserve"> </w:t>
      </w:r>
      <w:r w:rsidRPr="00CB1B52">
        <w:rPr>
          <w:szCs w:val="28"/>
        </w:rPr>
        <w:t xml:space="preserve">Latvijas tirdzniecības apgabals uzsāka darbību 2013.gada 3.jūnijā, savukārt, </w:t>
      </w:r>
      <w:r w:rsidRPr="00CB1B52">
        <w:rPr>
          <w:bCs/>
          <w:szCs w:val="28"/>
        </w:rPr>
        <w:t xml:space="preserve">Lietuva </w:t>
      </w:r>
      <w:r w:rsidRPr="00CB1B52">
        <w:rPr>
          <w:szCs w:val="28"/>
        </w:rPr>
        <w:t>NPS</w:t>
      </w:r>
      <w:r w:rsidRPr="00CB1B52">
        <w:rPr>
          <w:bCs/>
          <w:szCs w:val="28"/>
        </w:rPr>
        <w:t xml:space="preserve"> elektroenerģijas biržai pievienojās 2012.g</w:t>
      </w:r>
      <w:r w:rsidR="007248EE">
        <w:rPr>
          <w:bCs/>
          <w:szCs w:val="28"/>
        </w:rPr>
        <w:t>ada</w:t>
      </w:r>
      <w:r w:rsidRPr="00CB1B52">
        <w:rPr>
          <w:bCs/>
          <w:szCs w:val="28"/>
        </w:rPr>
        <w:t xml:space="preserve"> jūnijā, bet Igaunija – 2010.g</w:t>
      </w:r>
      <w:r w:rsidR="007248EE">
        <w:rPr>
          <w:bCs/>
          <w:szCs w:val="28"/>
        </w:rPr>
        <w:t>adā.</w:t>
      </w:r>
    </w:p>
    <w:p w:rsidR="00E76187" w:rsidRPr="00CB1B52" w:rsidRDefault="00E76187" w:rsidP="00E76187">
      <w:pPr>
        <w:suppressAutoHyphens/>
        <w:ind w:firstLine="709"/>
        <w:jc w:val="both"/>
        <w:rPr>
          <w:szCs w:val="28"/>
        </w:rPr>
      </w:pPr>
      <w:r w:rsidRPr="00CB1B52">
        <w:rPr>
          <w:szCs w:val="28"/>
        </w:rPr>
        <w:t>Izteiktas cenu atšķirības vēroja</w:t>
      </w:r>
      <w:r w:rsidR="00B404FA">
        <w:rPr>
          <w:szCs w:val="28"/>
        </w:rPr>
        <w:t>ma</w:t>
      </w:r>
      <w:r w:rsidRPr="00CB1B52">
        <w:rPr>
          <w:szCs w:val="28"/>
        </w:rPr>
        <w:t>s Latvijas – Lietuvas tirdzniecības apgabal</w:t>
      </w:r>
      <w:r w:rsidR="008A145B">
        <w:rPr>
          <w:szCs w:val="28"/>
        </w:rPr>
        <w:t>iem pret</w:t>
      </w:r>
      <w:r w:rsidRPr="00CB1B52">
        <w:rPr>
          <w:szCs w:val="28"/>
        </w:rPr>
        <w:t xml:space="preserve"> Igaunijas – Somijas tirdzniecības apgabal</w:t>
      </w:r>
      <w:r w:rsidR="008A145B">
        <w:rPr>
          <w:szCs w:val="28"/>
        </w:rPr>
        <w:t>iem</w:t>
      </w:r>
      <w:r w:rsidRPr="00CB1B52">
        <w:rPr>
          <w:szCs w:val="28"/>
        </w:rPr>
        <w:t xml:space="preserve">. Cenu atšķirības veidošanās pamatā ir nepietiekama jaudu pārvades spēja Igaunijas – Latvijas šķērsgriezumā, un tirgū konkurētspējīgas ģenerācijas nepietiekamība Latvijā un </w:t>
      </w:r>
      <w:r w:rsidRPr="00CB1B52">
        <w:rPr>
          <w:szCs w:val="28"/>
        </w:rPr>
        <w:lastRenderedPageBreak/>
        <w:t>Lietuvā. Latvijas un Lietuvas kā elektroenerģijas deficīta reģionu cen</w:t>
      </w:r>
      <w:r w:rsidR="008A145B">
        <w:rPr>
          <w:szCs w:val="28"/>
        </w:rPr>
        <w:t>as</w:t>
      </w:r>
      <w:r w:rsidRPr="00CB1B52">
        <w:rPr>
          <w:szCs w:val="28"/>
        </w:rPr>
        <w:t xml:space="preserve"> ir </w:t>
      </w:r>
      <w:r w:rsidR="008A145B">
        <w:rPr>
          <w:szCs w:val="28"/>
        </w:rPr>
        <w:t>vienādas</w:t>
      </w:r>
      <w:r w:rsidRPr="00CB1B52">
        <w:rPr>
          <w:szCs w:val="28"/>
        </w:rPr>
        <w:t>, jo pārvades jauda starp abām valstīm ir pietiekam</w:t>
      </w:r>
      <w:r>
        <w:rPr>
          <w:szCs w:val="28"/>
        </w:rPr>
        <w:t xml:space="preserve">a. </w:t>
      </w:r>
      <w:r w:rsidRPr="00CB1B52">
        <w:rPr>
          <w:szCs w:val="28"/>
        </w:rPr>
        <w:t>NPS Latvijas cenu apgabala visaugstākā vidējā mēneša elektroenerģijas cena</w:t>
      </w:r>
      <w:r w:rsidR="0048211F">
        <w:rPr>
          <w:szCs w:val="28"/>
        </w:rPr>
        <w:t xml:space="preserve"> iepriekšējā periodā</w:t>
      </w:r>
      <w:r w:rsidRPr="00CB1B52">
        <w:rPr>
          <w:szCs w:val="28"/>
        </w:rPr>
        <w:t xml:space="preserve"> fiksēta 2013.gada oktobrī, kad tā sasniedza 64,18 EUR/MW</w:t>
      </w:r>
      <w:r w:rsidR="0048211F">
        <w:rPr>
          <w:szCs w:val="28"/>
        </w:rPr>
        <w:t>h</w:t>
      </w:r>
      <w:r w:rsidRPr="00CB1B52">
        <w:rPr>
          <w:szCs w:val="28"/>
        </w:rPr>
        <w:t xml:space="preserve">. </w:t>
      </w:r>
      <w:r w:rsidR="007248EE">
        <w:rPr>
          <w:szCs w:val="28"/>
        </w:rPr>
        <w:t>P</w:t>
      </w:r>
      <w:r w:rsidRPr="00CB1B52">
        <w:rPr>
          <w:szCs w:val="28"/>
        </w:rPr>
        <w:t xml:space="preserve">ārvades jaudu ierobežojumi liedza piegādāt </w:t>
      </w:r>
      <w:r w:rsidR="008A145B">
        <w:rPr>
          <w:szCs w:val="28"/>
        </w:rPr>
        <w:t>nepieciešamo</w:t>
      </w:r>
      <w:r w:rsidRPr="00CB1B52">
        <w:rPr>
          <w:szCs w:val="28"/>
        </w:rPr>
        <w:t xml:space="preserve"> apjomu lētākas elektroenerģijas no kaimiņu reģioniem (citām ES valstīm – Igaunijas un Somijas, un trešajām valstīm - Baltkrievijas un Krievijas).</w:t>
      </w:r>
      <w:r>
        <w:rPr>
          <w:szCs w:val="28"/>
        </w:rPr>
        <w:t xml:space="preserve"> </w:t>
      </w:r>
      <w:r w:rsidRPr="00CB1B52">
        <w:rPr>
          <w:szCs w:val="28"/>
        </w:rPr>
        <w:t xml:space="preserve">Savukārt, zemākā </w:t>
      </w:r>
      <w:r w:rsidR="0048211F">
        <w:rPr>
          <w:szCs w:val="28"/>
        </w:rPr>
        <w:t xml:space="preserve">mēneša </w:t>
      </w:r>
      <w:r w:rsidRPr="00CB1B52">
        <w:rPr>
          <w:szCs w:val="28"/>
        </w:rPr>
        <w:t xml:space="preserve">vidējā elektroenerģijas cena </w:t>
      </w:r>
      <w:r w:rsidR="0048211F">
        <w:rPr>
          <w:szCs w:val="28"/>
        </w:rPr>
        <w:t>iepriekšējā periodā</w:t>
      </w:r>
      <w:r w:rsidR="0048211F" w:rsidRPr="00CB1B52">
        <w:rPr>
          <w:szCs w:val="28"/>
        </w:rPr>
        <w:t xml:space="preserve"> </w:t>
      </w:r>
      <w:r w:rsidRPr="00CB1B52">
        <w:rPr>
          <w:szCs w:val="28"/>
        </w:rPr>
        <w:t>fiksēta 2013.gada decembrī, kad tā sasniedza 37,48 EUR/MW</w:t>
      </w:r>
      <w:r w:rsidR="0048211F">
        <w:rPr>
          <w:szCs w:val="28"/>
        </w:rPr>
        <w:t>h</w:t>
      </w:r>
      <w:r w:rsidRPr="00CB1B52">
        <w:rPr>
          <w:szCs w:val="28"/>
        </w:rPr>
        <w:t>. To noteica zemais elektroenerģijas patēriņš siltās ziemas dēļ un lielākas pieejamās pārvades jaudas, kas ļāva piegādāt vairāk elektroenerģiju no Igaunijas un Somijas.</w:t>
      </w:r>
      <w:r w:rsidR="0048211F">
        <w:rPr>
          <w:szCs w:val="28"/>
        </w:rPr>
        <w:t xml:space="preserve"> Pēc NordBalt (Zviedrija-Lietuva, caurlaides jauda 700MW) kabeļa ieslēgšanas 2015.gada beigās, sagaidāma cenu pazemināšanās elektroenerģijas biržas Latvijas un Lietuvas tirdzniecības apgabalos.</w:t>
      </w:r>
    </w:p>
    <w:p w:rsidR="00747791" w:rsidRDefault="00145DFF" w:rsidP="00E856C7">
      <w:pPr>
        <w:shd w:val="clear" w:color="auto" w:fill="FFFFFF" w:themeFill="background1"/>
        <w:ind w:firstLine="709"/>
        <w:jc w:val="both"/>
      </w:pPr>
      <w:r>
        <w:rPr>
          <w:bCs/>
          <w:szCs w:val="28"/>
        </w:rPr>
        <w:t>2014.gadā tika</w:t>
      </w:r>
      <w:r w:rsidR="00E76187" w:rsidRPr="00CB1B52">
        <w:rPr>
          <w:bCs/>
          <w:szCs w:val="28"/>
        </w:rPr>
        <w:t xml:space="preserve"> uzsākta arī </w:t>
      </w:r>
      <w:r w:rsidR="009474E9">
        <w:rPr>
          <w:bCs/>
          <w:szCs w:val="28"/>
        </w:rPr>
        <w:t xml:space="preserve">finanšu instrumentu </w:t>
      </w:r>
      <w:r w:rsidR="00E76187" w:rsidRPr="00CB1B52">
        <w:rPr>
          <w:bCs/>
          <w:i/>
          <w:szCs w:val="28"/>
        </w:rPr>
        <w:t>Nasdaq OMX Commodities</w:t>
      </w:r>
      <w:r w:rsidR="00E76187" w:rsidRPr="00CB1B52">
        <w:rPr>
          <w:bCs/>
          <w:szCs w:val="28"/>
        </w:rPr>
        <w:t xml:space="preserve"> biržas kontraktu tirdzniecība Latvijā. </w:t>
      </w:r>
      <w:r w:rsidR="00E76187" w:rsidRPr="00CB1B52">
        <w:t xml:space="preserve">Ziemeļvalstīs jau desmit gadus darbojas finanšu instrumentu tirgus, ko organizē </w:t>
      </w:r>
      <w:r w:rsidR="00E76187" w:rsidRPr="00CB1B52">
        <w:rPr>
          <w:i/>
        </w:rPr>
        <w:t>Nasdaq OMX Commodities</w:t>
      </w:r>
      <w:r w:rsidR="00E76187" w:rsidRPr="00CB1B52">
        <w:t xml:space="preserve"> birža, tomēr Latvijai un Lietuvai, kuras aptuveni sešus no 12 mēnešiem gadā pārvades jaudu ierobežojumi norobežo no Igaunijas un Ziemeļvalstu tirgus, finanšu instrumentu ieviešana varētu dot mazāku efektu, nekā valstīm, kur jaudu pārvades ierobežojumi neeksistē. Līdz Igaunijas </w:t>
      </w:r>
      <w:r w:rsidR="00E76187" w:rsidRPr="00CB1B52">
        <w:rPr>
          <w:rFonts w:cs="Times New Roman"/>
          <w:szCs w:val="28"/>
        </w:rPr>
        <w:t>–</w:t>
      </w:r>
      <w:r w:rsidR="00E76187" w:rsidRPr="00CB1B52">
        <w:t xml:space="preserve"> Latvijas trešā starpsavienojuma izveidei 2020.gadā </w:t>
      </w:r>
      <w:r w:rsidR="00E76187" w:rsidRPr="00CB1B52">
        <w:rPr>
          <w:i/>
        </w:rPr>
        <w:t>Nasdaq OMX Commodities</w:t>
      </w:r>
      <w:r w:rsidR="00E76187" w:rsidRPr="00CB1B52">
        <w:t xml:space="preserve"> finanšu instrumentu tirgū šajās valstīs ir prognozējama ierobežota likviditāte</w:t>
      </w:r>
      <w:r w:rsidR="007248EE">
        <w:t xml:space="preserve">, tomēr </w:t>
      </w:r>
      <w:r w:rsidR="007C2C51">
        <w:t>cenu svārstību risks varētu samazināties.</w:t>
      </w:r>
    </w:p>
    <w:p w:rsidR="000A080D" w:rsidRDefault="000A080D" w:rsidP="009474E9">
      <w:pPr>
        <w:ind w:firstLine="720"/>
        <w:jc w:val="both"/>
        <w:rPr>
          <w:rFonts w:eastAsia="Times New Roman" w:cs="Times New Roman"/>
          <w:szCs w:val="28"/>
          <w:lang w:eastAsia="lv-LV"/>
        </w:rPr>
      </w:pPr>
      <w:r w:rsidRPr="000A080D">
        <w:rPr>
          <w:rFonts w:eastAsia="Times New Roman" w:cs="Times New Roman"/>
          <w:szCs w:val="28"/>
          <w:lang w:eastAsia="lv-LV"/>
        </w:rPr>
        <w:t>Viens no galvenajiem ES enerģētikas politikas mērķiem ir labi funkcionējoša iekšējā elektroenerģijas tirgus izveide. Tas ietver gan tirgus organizāciju, gan starpsavienojumu izveidi.</w:t>
      </w:r>
    </w:p>
    <w:p w:rsidR="009474E9" w:rsidRDefault="00145DFF" w:rsidP="009474E9">
      <w:pPr>
        <w:ind w:firstLine="720"/>
        <w:jc w:val="both"/>
        <w:rPr>
          <w:rFonts w:eastAsia="Times New Roman" w:cs="Times New Roman"/>
          <w:szCs w:val="28"/>
          <w:lang w:eastAsia="lv-LV"/>
        </w:rPr>
      </w:pPr>
      <w:r>
        <w:rPr>
          <w:rFonts w:eastAsia="Times New Roman" w:cs="Times New Roman"/>
          <w:szCs w:val="28"/>
          <w:lang w:eastAsia="lv-LV"/>
        </w:rPr>
        <w:t xml:space="preserve">Līdz 2015.gada 1.janvārim </w:t>
      </w:r>
      <w:r w:rsidR="000A080D">
        <w:rPr>
          <w:rFonts w:eastAsia="Times New Roman" w:cs="Times New Roman"/>
          <w:szCs w:val="28"/>
          <w:lang w:eastAsia="lv-LV"/>
        </w:rPr>
        <w:t>e</w:t>
      </w:r>
      <w:r w:rsidR="009474E9" w:rsidRPr="00CB1B52">
        <w:rPr>
          <w:rFonts w:eastAsia="Times New Roman" w:cs="Times New Roman"/>
          <w:szCs w:val="28"/>
          <w:lang w:eastAsia="lv-LV"/>
        </w:rPr>
        <w:t xml:space="preserve">lektroenerģijas mazumtirdzniecības tirgus Latvijā </w:t>
      </w:r>
      <w:r>
        <w:rPr>
          <w:rFonts w:eastAsia="Times New Roman" w:cs="Times New Roman"/>
          <w:szCs w:val="28"/>
          <w:lang w:eastAsia="lv-LV"/>
        </w:rPr>
        <w:t>tika</w:t>
      </w:r>
      <w:r w:rsidR="009474E9" w:rsidRPr="00CB1B52">
        <w:rPr>
          <w:rFonts w:eastAsia="Times New Roman" w:cs="Times New Roman"/>
          <w:szCs w:val="28"/>
          <w:lang w:eastAsia="lv-LV"/>
        </w:rPr>
        <w:t xml:space="preserve"> sadalīts divos dažādos segmentos: regulētajā tirgū (mājsaimniecībām) un neregulētajā tirgū (komercsabiedrībām). </w:t>
      </w:r>
      <w:r>
        <w:rPr>
          <w:rFonts w:eastAsia="Times New Roman" w:cs="Times New Roman"/>
          <w:szCs w:val="28"/>
          <w:lang w:eastAsia="lv-LV"/>
        </w:rPr>
        <w:t>2014.gada 20.marta grozījumi Elektroenerģijas tirgus likumā paredz elektroenerģijas tirgus atvēršanu mājsaimniecībām, un līdz ar to regulēto tarifu atcelšanu, ar 2015.gada 1.janvāri.</w:t>
      </w:r>
    </w:p>
    <w:p w:rsidR="009474E9" w:rsidRPr="00CB1B52" w:rsidRDefault="009474E9" w:rsidP="009474E9">
      <w:pPr>
        <w:autoSpaceDE w:val="0"/>
        <w:autoSpaceDN w:val="0"/>
        <w:adjustRightInd w:val="0"/>
        <w:ind w:firstLine="720"/>
        <w:jc w:val="both"/>
        <w:rPr>
          <w:rFonts w:cs="Times New Roman"/>
          <w:bCs/>
          <w:szCs w:val="28"/>
        </w:rPr>
      </w:pPr>
      <w:r w:rsidRPr="00CB1B52">
        <w:rPr>
          <w:rFonts w:cs="Times New Roman"/>
          <w:color w:val="000000"/>
          <w:szCs w:val="28"/>
        </w:rPr>
        <w:t xml:space="preserve">Latvijā elektroenerģijas tirgus atvēršana </w:t>
      </w:r>
      <w:r>
        <w:rPr>
          <w:rFonts w:cs="Times New Roman"/>
          <w:color w:val="000000"/>
          <w:szCs w:val="28"/>
        </w:rPr>
        <w:t>aiz</w:t>
      </w:r>
      <w:r w:rsidRPr="00CB1B52">
        <w:rPr>
          <w:rFonts w:cs="Times New Roman"/>
          <w:color w:val="000000"/>
          <w:szCs w:val="28"/>
        </w:rPr>
        <w:t>sākās 2007.gadā</w:t>
      </w:r>
      <w:r>
        <w:rPr>
          <w:rFonts w:cs="Times New Roman"/>
          <w:color w:val="000000"/>
          <w:szCs w:val="28"/>
        </w:rPr>
        <w:t xml:space="preserve"> 1.jūlijā. </w:t>
      </w:r>
      <w:r w:rsidRPr="00CB1B52">
        <w:rPr>
          <w:rFonts w:cs="Times New Roman"/>
          <w:bCs/>
          <w:szCs w:val="28"/>
        </w:rPr>
        <w:t xml:space="preserve">Elektroenerģijas </w:t>
      </w:r>
      <w:r>
        <w:rPr>
          <w:rFonts w:cs="Times New Roman"/>
          <w:bCs/>
          <w:szCs w:val="28"/>
        </w:rPr>
        <w:t xml:space="preserve">tirgus atvēršanas dažādi posmi ir </w:t>
      </w:r>
      <w:r w:rsidRPr="00B404FA">
        <w:rPr>
          <w:rFonts w:cs="Times New Roman"/>
          <w:bCs/>
          <w:szCs w:val="28"/>
        </w:rPr>
        <w:t xml:space="preserve">attēloti </w:t>
      </w:r>
      <w:r w:rsidR="00526BF2">
        <w:rPr>
          <w:rFonts w:cs="Times New Roman"/>
          <w:bCs/>
          <w:szCs w:val="28"/>
        </w:rPr>
        <w:t>8</w:t>
      </w:r>
      <w:r w:rsidRPr="00002272">
        <w:rPr>
          <w:rFonts w:cs="Times New Roman"/>
          <w:bCs/>
          <w:szCs w:val="28"/>
        </w:rPr>
        <w:t>. attēlā:</w:t>
      </w:r>
    </w:p>
    <w:p w:rsidR="00526BF2" w:rsidRDefault="00526BF2" w:rsidP="00526BF2">
      <w:pPr>
        <w:ind w:firstLine="720"/>
        <w:jc w:val="both"/>
        <w:rPr>
          <w:rFonts w:cs="Times New Roman"/>
          <w:color w:val="000000"/>
          <w:szCs w:val="28"/>
        </w:rPr>
      </w:pPr>
      <w:r>
        <w:rPr>
          <w:color w:val="000000"/>
          <w:szCs w:val="28"/>
        </w:rPr>
        <w:t xml:space="preserve">Piemēram, </w:t>
      </w:r>
      <w:r>
        <w:rPr>
          <w:rFonts w:cs="Times New Roman"/>
          <w:color w:val="000000"/>
          <w:szCs w:val="28"/>
        </w:rPr>
        <w:t>Igaunija atvēra elektroenerģijas tirgu 2013.gada 1.janvārī. Ņemot vērā, ka arī Igaunijā tarifs neatspoguļoja patiesās elektroenerģijas kopējās izmaksas, 2013.gadā kopumā elektrības cena par vienu kilovatstundu (kWh) pieauga par 28,7% salīdzinājumā ar 2012.gadu.</w:t>
      </w:r>
    </w:p>
    <w:p w:rsidR="009474E9" w:rsidRPr="00CB1B52" w:rsidRDefault="009474E9" w:rsidP="009474E9">
      <w:pPr>
        <w:ind w:left="360"/>
        <w:jc w:val="both"/>
        <w:rPr>
          <w:rFonts w:cs="Times New Roman"/>
          <w:szCs w:val="28"/>
        </w:rPr>
      </w:pPr>
    </w:p>
    <w:p w:rsidR="009474E9" w:rsidRPr="00CB1B52" w:rsidRDefault="00A04353" w:rsidP="0010381B">
      <w:pPr>
        <w:tabs>
          <w:tab w:val="right" w:pos="851"/>
        </w:tabs>
        <w:ind w:left="360"/>
        <w:jc w:val="center"/>
        <w:rPr>
          <w:szCs w:val="28"/>
        </w:rPr>
      </w:pPr>
      <w:r>
        <w:rPr>
          <w:noProof/>
          <w:lang w:eastAsia="lv-LV"/>
        </w:rPr>
        <w:lastRenderedPageBreak/>
        <w:drawing>
          <wp:inline distT="0" distB="0" distL="0" distR="0" wp14:anchorId="0DE4BD64" wp14:editId="1B426DC9">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74E9" w:rsidRPr="00D47298" w:rsidRDefault="00526BF2" w:rsidP="00D47298">
      <w:pPr>
        <w:tabs>
          <w:tab w:val="right" w:pos="851"/>
        </w:tabs>
        <w:rPr>
          <w:b/>
          <w:sz w:val="24"/>
          <w:szCs w:val="24"/>
        </w:rPr>
      </w:pPr>
      <w:r w:rsidRPr="00D47298">
        <w:rPr>
          <w:b/>
          <w:sz w:val="24"/>
          <w:szCs w:val="24"/>
        </w:rPr>
        <w:t>8</w:t>
      </w:r>
      <w:r w:rsidR="009474E9" w:rsidRPr="00D47298">
        <w:rPr>
          <w:b/>
          <w:sz w:val="24"/>
          <w:szCs w:val="24"/>
        </w:rPr>
        <w:t xml:space="preserve">.attēls. </w:t>
      </w:r>
      <w:r w:rsidR="009474E9" w:rsidRPr="00D47298">
        <w:rPr>
          <w:rFonts w:cs="Times New Roman"/>
          <w:b/>
          <w:bCs/>
          <w:sz w:val="24"/>
          <w:szCs w:val="24"/>
        </w:rPr>
        <w:t>Elektroenerģijas kopējā apjoma un lietotāju struktūra.</w:t>
      </w:r>
    </w:p>
    <w:p w:rsidR="005A0CB2" w:rsidRDefault="005A0CB2" w:rsidP="00433FB7">
      <w:pPr>
        <w:ind w:firstLine="720"/>
        <w:jc w:val="both"/>
      </w:pPr>
    </w:p>
    <w:p w:rsidR="00433FB7" w:rsidRDefault="00433FB7" w:rsidP="00433FB7">
      <w:pPr>
        <w:ind w:firstLine="720"/>
        <w:jc w:val="both"/>
      </w:pPr>
      <w:r w:rsidRPr="00B05AE5">
        <w:t xml:space="preserve">2014.gada 23.janvārī </w:t>
      </w:r>
      <w:r>
        <w:t>EK</w:t>
      </w:r>
      <w:r w:rsidRPr="00B05AE5">
        <w:t xml:space="preserve"> </w:t>
      </w:r>
      <w:r>
        <w:t>nāca</w:t>
      </w:r>
      <w:r w:rsidRPr="00B05AE5">
        <w:t xml:space="preserve"> klajā ar Paziņojumu Eiropas Parlamentam, Padomei, Eiropas Ekonomikas un sociālo lietu komitejai un Reģionu komitejai „</w:t>
      </w:r>
      <w:r w:rsidRPr="00B05AE5">
        <w:rPr>
          <w:i/>
        </w:rPr>
        <w:t>Enerģijas cenas un izmaksas Eiropā</w:t>
      </w:r>
      <w:r w:rsidRPr="00B05AE5">
        <w:t>”. Paziņojumā un tā pielikumā esošajā ietekmes izvērtējumā Eiropas Komisija, atbildot uz Eiropadomes pieprasījumu, ir veikusi padziļinātu analīzi par enerģijas cenām un izmaksām Eiropā, lai palīdzētu politikas veidotājiem izprast problēmas kontekstu, nesenā cenu kāpuma ietekmi uz patērētājiem un politiskās sekas.</w:t>
      </w:r>
    </w:p>
    <w:p w:rsidR="00433FB7" w:rsidRPr="00B05AE5" w:rsidRDefault="00433FB7" w:rsidP="00EE759E">
      <w:pPr>
        <w:ind w:firstLine="720"/>
        <w:jc w:val="both"/>
        <w:rPr>
          <w:u w:val="single"/>
        </w:rPr>
      </w:pPr>
      <w:r w:rsidRPr="00B05AE5">
        <w:rPr>
          <w:u w:val="single"/>
        </w:rPr>
        <w:t>Komisijas ierosinātie darbības virzieni cenu kāpuma novēršanai:</w:t>
      </w:r>
    </w:p>
    <w:p w:rsidR="00433FB7" w:rsidRPr="00B05AE5" w:rsidRDefault="00433FB7" w:rsidP="00EA4579">
      <w:pPr>
        <w:pStyle w:val="ListParagraph"/>
        <w:numPr>
          <w:ilvl w:val="0"/>
          <w:numId w:val="52"/>
        </w:numPr>
        <w:spacing w:after="200"/>
        <w:ind w:left="714" w:hanging="357"/>
        <w:jc w:val="both"/>
      </w:pPr>
      <w:r w:rsidRPr="00B05AE5">
        <w:rPr>
          <w:szCs w:val="24"/>
        </w:rPr>
        <w:t>ES Iekšējā enerģētikas tirgus pabeigšana 2014.gadā un tirgus liberalizācija (t.sk. turpmāka enerģētikas infrastruktūras attīstīšana, izvēles iespējas nodrošināšana patērētājiem- ar mērķi ļaut izvēlēties enerģijas piegādātāju ar visizdevīgākajām cenām, enerģijas piegāžu ceļu un avotu diversifikācija);</w:t>
      </w:r>
    </w:p>
    <w:p w:rsidR="00433FB7" w:rsidRPr="00B05AE5" w:rsidRDefault="00433FB7" w:rsidP="00EA4579">
      <w:pPr>
        <w:pStyle w:val="ListParagraph"/>
        <w:numPr>
          <w:ilvl w:val="0"/>
          <w:numId w:val="52"/>
        </w:numPr>
        <w:spacing w:after="200"/>
        <w:ind w:left="714" w:hanging="357"/>
        <w:jc w:val="both"/>
      </w:pPr>
      <w:r w:rsidRPr="00B05AE5">
        <w:rPr>
          <w:szCs w:val="24"/>
        </w:rPr>
        <w:t>Izmaksu ziņā efektīvu nodevu un nodokļu piemērošana enerģijas politiku finansēšanai;</w:t>
      </w:r>
    </w:p>
    <w:p w:rsidR="00433FB7" w:rsidRPr="00433FB7" w:rsidRDefault="00433FB7" w:rsidP="00EA4579">
      <w:pPr>
        <w:pStyle w:val="ListParagraph"/>
        <w:numPr>
          <w:ilvl w:val="0"/>
          <w:numId w:val="52"/>
        </w:numPr>
        <w:spacing w:after="200"/>
        <w:ind w:left="714" w:hanging="357"/>
        <w:jc w:val="both"/>
      </w:pPr>
      <w:r w:rsidRPr="00B05AE5">
        <w:rPr>
          <w:szCs w:val="24"/>
        </w:rPr>
        <w:t>Mājsaimniecību un rūpniecības sektora energoefektivitātes veicināšana, tostarp veicinot jaunās paaudzes ar enerģijas inovāciju un tehnoloģiju attīstību;</w:t>
      </w:r>
    </w:p>
    <w:p w:rsidR="00D32160" w:rsidRPr="00EE759E" w:rsidRDefault="00433FB7" w:rsidP="00EA4579">
      <w:pPr>
        <w:pStyle w:val="ListParagraph"/>
        <w:numPr>
          <w:ilvl w:val="0"/>
          <w:numId w:val="52"/>
        </w:numPr>
        <w:spacing w:after="200"/>
        <w:ind w:left="714" w:hanging="357"/>
        <w:jc w:val="both"/>
      </w:pPr>
      <w:r w:rsidRPr="00433FB7">
        <w:rPr>
          <w:szCs w:val="24"/>
        </w:rPr>
        <w:t>Valdības rīcībpolitiku izstrādāšana mazaizsargāto patērētāju aizsargāšanai</w:t>
      </w:r>
      <w:r>
        <w:rPr>
          <w:szCs w:val="24"/>
        </w:rPr>
        <w:t>.</w:t>
      </w:r>
    </w:p>
    <w:p w:rsidR="006313AC" w:rsidRDefault="006313AC" w:rsidP="006313AC">
      <w:pPr>
        <w:ind w:firstLine="720"/>
        <w:jc w:val="both"/>
        <w:rPr>
          <w:rFonts w:eastAsia="Times New Roman" w:cs="Times New Roman"/>
          <w:bCs/>
          <w:szCs w:val="28"/>
          <w:lang w:eastAsia="lv-LV"/>
        </w:rPr>
      </w:pPr>
      <w:r w:rsidRPr="00D454AE">
        <w:rPr>
          <w:rFonts w:eastAsia="Times New Roman" w:cs="Times New Roman"/>
          <w:bCs/>
          <w:szCs w:val="28"/>
          <w:lang w:eastAsia="lv-LV"/>
        </w:rPr>
        <w:t>Saskaņā ar "Eurostat" datiem, elektroenerģijas cena mājsaimniecībām Latvijā 2013.gada pirmajā pusgadā bija</w:t>
      </w:r>
      <w:r w:rsidR="007A7903" w:rsidRPr="00D454AE">
        <w:rPr>
          <w:rFonts w:eastAsia="Times New Roman" w:cs="Times New Roman"/>
          <w:bCs/>
          <w:szCs w:val="28"/>
          <w:lang w:eastAsia="lv-LV"/>
        </w:rPr>
        <w:t xml:space="preserve"> </w:t>
      </w:r>
      <w:r w:rsidRPr="00D454AE">
        <w:rPr>
          <w:rFonts w:eastAsia="Times New Roman" w:cs="Times New Roman"/>
          <w:bCs/>
          <w:szCs w:val="28"/>
          <w:lang w:eastAsia="lv-LV"/>
        </w:rPr>
        <w:t>sestā zemākā</w:t>
      </w:r>
      <w:r w:rsidR="007A7903" w:rsidRPr="00D454AE">
        <w:rPr>
          <w:rFonts w:eastAsia="Times New Roman" w:cs="Times New Roman"/>
          <w:bCs/>
          <w:szCs w:val="28"/>
          <w:lang w:eastAsia="lv-LV"/>
        </w:rPr>
        <w:t xml:space="preserve"> ES</w:t>
      </w:r>
      <w:r w:rsidRPr="00D454AE">
        <w:rPr>
          <w:rFonts w:eastAsia="Times New Roman" w:cs="Times New Roman"/>
          <w:bCs/>
          <w:szCs w:val="28"/>
          <w:lang w:eastAsia="lv-LV"/>
        </w:rPr>
        <w:t>, bet 2013.gada otrajā pusgadā</w:t>
      </w:r>
      <w:r w:rsidR="007A7903" w:rsidRPr="00D454AE">
        <w:rPr>
          <w:rFonts w:eastAsia="Times New Roman" w:cs="Times New Roman"/>
          <w:bCs/>
          <w:szCs w:val="28"/>
          <w:lang w:eastAsia="lv-LV"/>
        </w:rPr>
        <w:t xml:space="preserve"> </w:t>
      </w:r>
      <w:r w:rsidRPr="00D454AE">
        <w:rPr>
          <w:rFonts w:eastAsia="Times New Roman" w:cs="Times New Roman"/>
          <w:bCs/>
          <w:szCs w:val="28"/>
          <w:lang w:eastAsia="lv-LV"/>
        </w:rPr>
        <w:t>– piektā zemākā starp ES valstīm. Elektroenerģijas cena (</w:t>
      </w:r>
      <w:r w:rsidR="00B404FA">
        <w:rPr>
          <w:rFonts w:eastAsia="Times New Roman" w:cs="Times New Roman"/>
          <w:bCs/>
          <w:szCs w:val="28"/>
          <w:lang w:eastAsia="lv-LV"/>
        </w:rPr>
        <w:t>ieskaitot</w:t>
      </w:r>
      <w:r w:rsidRPr="00D454AE">
        <w:rPr>
          <w:rFonts w:eastAsia="Times New Roman" w:cs="Times New Roman"/>
          <w:bCs/>
          <w:szCs w:val="28"/>
          <w:lang w:eastAsia="lv-LV"/>
        </w:rPr>
        <w:t xml:space="preserve"> </w:t>
      </w:r>
      <w:r w:rsidR="00B404FA" w:rsidRPr="00D454AE">
        <w:rPr>
          <w:rFonts w:eastAsia="Times New Roman" w:cs="Times New Roman"/>
          <w:bCs/>
          <w:szCs w:val="28"/>
          <w:lang w:eastAsia="lv-LV"/>
        </w:rPr>
        <w:t>nodokļ</w:t>
      </w:r>
      <w:r w:rsidR="00B404FA">
        <w:rPr>
          <w:rFonts w:eastAsia="Times New Roman" w:cs="Times New Roman"/>
          <w:bCs/>
          <w:szCs w:val="28"/>
          <w:lang w:eastAsia="lv-LV"/>
        </w:rPr>
        <w:t>us</w:t>
      </w:r>
      <w:r w:rsidRPr="00D454AE">
        <w:rPr>
          <w:rFonts w:eastAsia="Times New Roman" w:cs="Times New Roman"/>
          <w:bCs/>
          <w:szCs w:val="28"/>
          <w:lang w:eastAsia="lv-LV"/>
        </w:rPr>
        <w:t xml:space="preserve">) mājsaimniecībām (ar gada patēriņu 2500-5000 kWh) 2013.gada pirmajā pusgadā Latvijā bija 137,8 eiro/MWh, bet otrajā pusgadā – 135,8 </w:t>
      </w:r>
      <w:r w:rsidRPr="00D454AE">
        <w:rPr>
          <w:rFonts w:eastAsia="Times New Roman" w:cs="Times New Roman"/>
          <w:bCs/>
          <w:szCs w:val="28"/>
          <w:lang w:eastAsia="lv-LV"/>
        </w:rPr>
        <w:lastRenderedPageBreak/>
        <w:t>eiro/MWh</w:t>
      </w:r>
      <w:r w:rsidR="00B404FA">
        <w:rPr>
          <w:rFonts w:eastAsia="Times New Roman" w:cs="Times New Roman"/>
          <w:bCs/>
          <w:szCs w:val="28"/>
          <w:lang w:eastAsia="lv-LV"/>
        </w:rPr>
        <w:t xml:space="preserve"> (skat. </w:t>
      </w:r>
      <w:r w:rsidR="00526BF2">
        <w:rPr>
          <w:rFonts w:eastAsia="Times New Roman" w:cs="Times New Roman"/>
          <w:bCs/>
          <w:szCs w:val="28"/>
          <w:lang w:eastAsia="lv-LV"/>
        </w:rPr>
        <w:t>9</w:t>
      </w:r>
      <w:r w:rsidR="00B404FA">
        <w:rPr>
          <w:rFonts w:eastAsia="Times New Roman" w:cs="Times New Roman"/>
          <w:bCs/>
          <w:szCs w:val="28"/>
          <w:lang w:eastAsia="lv-LV"/>
        </w:rPr>
        <w:t>.attēlu)</w:t>
      </w:r>
      <w:r w:rsidRPr="00D454AE">
        <w:rPr>
          <w:rFonts w:eastAsia="Times New Roman" w:cs="Times New Roman"/>
          <w:bCs/>
          <w:szCs w:val="28"/>
          <w:lang w:eastAsia="lv-LV"/>
        </w:rPr>
        <w:t>.</w:t>
      </w:r>
      <w:r w:rsidR="00B404FA">
        <w:rPr>
          <w:rFonts w:eastAsia="Times New Roman" w:cs="Times New Roman"/>
          <w:bCs/>
          <w:szCs w:val="28"/>
          <w:lang w:eastAsia="lv-LV"/>
        </w:rPr>
        <w:t xml:space="preserve"> </w:t>
      </w:r>
      <w:r w:rsidRPr="00D454AE">
        <w:rPr>
          <w:rFonts w:eastAsia="Times New Roman" w:cs="Times New Roman"/>
          <w:bCs/>
          <w:szCs w:val="28"/>
          <w:lang w:eastAsia="lv-LV"/>
        </w:rPr>
        <w:t xml:space="preserve"> </w:t>
      </w:r>
      <w:r w:rsidR="000A080D">
        <w:rPr>
          <w:rFonts w:eastAsia="Times New Roman" w:cs="Times New Roman"/>
          <w:bCs/>
          <w:szCs w:val="28"/>
          <w:lang w:eastAsia="lv-LV"/>
        </w:rPr>
        <w:t xml:space="preserve">Attiecīgi </w:t>
      </w:r>
      <w:r w:rsidRPr="00D454AE">
        <w:rPr>
          <w:rFonts w:eastAsia="Times New Roman" w:cs="Times New Roman"/>
          <w:bCs/>
          <w:szCs w:val="28"/>
          <w:lang w:eastAsia="lv-LV"/>
        </w:rPr>
        <w:t>Igaunijā 2013.gada pirmajā pusgadā – 135,1 eiro/MWh, bet otrajā pusgadā – 136,7 eiro/MWh</w:t>
      </w:r>
      <w:r w:rsidR="000A080D">
        <w:rPr>
          <w:rFonts w:eastAsia="Times New Roman" w:cs="Times New Roman"/>
          <w:bCs/>
          <w:szCs w:val="28"/>
          <w:lang w:eastAsia="lv-LV"/>
        </w:rPr>
        <w:t>. S</w:t>
      </w:r>
      <w:r w:rsidRPr="00D454AE">
        <w:rPr>
          <w:rFonts w:eastAsia="Times New Roman" w:cs="Times New Roman"/>
          <w:bCs/>
          <w:szCs w:val="28"/>
          <w:lang w:eastAsia="lv-LV"/>
        </w:rPr>
        <w:t>avukārt, Lietuvā pirmajā pusgadā –137,0 eiro/MWh, bet otrajā pusgadā – 139,1 eiro/MWh.</w:t>
      </w:r>
    </w:p>
    <w:p w:rsidR="00832971" w:rsidRDefault="00832971" w:rsidP="006313AC">
      <w:pPr>
        <w:ind w:firstLine="720"/>
        <w:jc w:val="both"/>
        <w:rPr>
          <w:rFonts w:eastAsia="Times New Roman" w:cs="Times New Roman"/>
          <w:bCs/>
          <w:szCs w:val="28"/>
          <w:lang w:eastAsia="lv-LV"/>
        </w:rPr>
      </w:pPr>
    </w:p>
    <w:p w:rsidR="00C74F08" w:rsidRDefault="00832971" w:rsidP="00832971">
      <w:pPr>
        <w:jc w:val="center"/>
        <w:rPr>
          <w:rFonts w:eastAsia="Times New Roman" w:cs="Times New Roman"/>
          <w:bCs/>
          <w:szCs w:val="28"/>
          <w:lang w:eastAsia="lv-LV"/>
        </w:rPr>
      </w:pPr>
      <w:r>
        <w:rPr>
          <w:noProof/>
          <w:lang w:eastAsia="lv-LV"/>
        </w:rPr>
        <w:drawing>
          <wp:inline distT="0" distB="0" distL="0" distR="0" wp14:anchorId="5E7A844C" wp14:editId="1D322E01">
            <wp:extent cx="5565530" cy="3006969"/>
            <wp:effectExtent l="0" t="0" r="16510"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13AC" w:rsidRPr="001073BE" w:rsidRDefault="006313AC" w:rsidP="006313AC">
      <w:pPr>
        <w:jc w:val="both"/>
        <w:rPr>
          <w:i/>
          <w:sz w:val="20"/>
          <w:szCs w:val="20"/>
        </w:rPr>
      </w:pPr>
      <w:r w:rsidRPr="001073BE">
        <w:rPr>
          <w:i/>
          <w:sz w:val="20"/>
          <w:szCs w:val="20"/>
        </w:rPr>
        <w:t>Avots: Eurostat</w:t>
      </w:r>
    </w:p>
    <w:p w:rsidR="006313AC" w:rsidRPr="00D47298" w:rsidRDefault="00526BF2" w:rsidP="00D47298">
      <w:pPr>
        <w:tabs>
          <w:tab w:val="right" w:pos="851"/>
        </w:tabs>
        <w:rPr>
          <w:rFonts w:cs="Times New Roman"/>
          <w:b/>
          <w:bCs/>
          <w:sz w:val="24"/>
          <w:szCs w:val="24"/>
        </w:rPr>
      </w:pPr>
      <w:r w:rsidRPr="00D47298">
        <w:rPr>
          <w:b/>
          <w:sz w:val="24"/>
          <w:szCs w:val="24"/>
        </w:rPr>
        <w:t>9</w:t>
      </w:r>
      <w:r w:rsidR="00A67716" w:rsidRPr="00D47298">
        <w:rPr>
          <w:b/>
          <w:sz w:val="24"/>
          <w:szCs w:val="24"/>
        </w:rPr>
        <w:t>.attēls.</w:t>
      </w:r>
      <w:r w:rsidR="00C74F08" w:rsidRPr="00D47298">
        <w:rPr>
          <w:b/>
          <w:i/>
          <w:sz w:val="24"/>
          <w:szCs w:val="24"/>
        </w:rPr>
        <w:t xml:space="preserve"> </w:t>
      </w:r>
      <w:r w:rsidR="00C74F08" w:rsidRPr="00D47298">
        <w:rPr>
          <w:b/>
          <w:sz w:val="24"/>
          <w:szCs w:val="24"/>
        </w:rPr>
        <w:t xml:space="preserve">Elektroenerģijas cena </w:t>
      </w:r>
      <w:r w:rsidR="006313AC" w:rsidRPr="00D47298">
        <w:rPr>
          <w:b/>
          <w:sz w:val="24"/>
          <w:szCs w:val="24"/>
        </w:rPr>
        <w:t>(</w:t>
      </w:r>
      <w:r w:rsidR="00B404FA" w:rsidRPr="00D47298">
        <w:rPr>
          <w:b/>
          <w:sz w:val="24"/>
          <w:szCs w:val="24"/>
        </w:rPr>
        <w:t>ieskaitot</w:t>
      </w:r>
      <w:r w:rsidR="006313AC" w:rsidRPr="00D47298">
        <w:rPr>
          <w:b/>
          <w:sz w:val="24"/>
          <w:szCs w:val="24"/>
        </w:rPr>
        <w:t xml:space="preserve"> </w:t>
      </w:r>
      <w:r w:rsidR="00B404FA" w:rsidRPr="00D47298">
        <w:rPr>
          <w:b/>
          <w:sz w:val="24"/>
          <w:szCs w:val="24"/>
        </w:rPr>
        <w:t>nodokļus</w:t>
      </w:r>
      <w:r w:rsidR="006313AC" w:rsidRPr="00D47298">
        <w:rPr>
          <w:b/>
          <w:sz w:val="24"/>
          <w:szCs w:val="24"/>
        </w:rPr>
        <w:t>)</w:t>
      </w:r>
      <w:r w:rsidR="00C74F08" w:rsidRPr="00D47298">
        <w:rPr>
          <w:b/>
          <w:sz w:val="24"/>
          <w:szCs w:val="24"/>
        </w:rPr>
        <w:t xml:space="preserve"> </w:t>
      </w:r>
      <w:r w:rsidR="00C74F08" w:rsidRPr="00157239">
        <w:rPr>
          <w:b/>
          <w:sz w:val="24"/>
          <w:szCs w:val="24"/>
        </w:rPr>
        <w:t>mājsaimniecībām</w:t>
      </w:r>
      <w:r w:rsidR="00C74F08" w:rsidRPr="00D47298">
        <w:rPr>
          <w:b/>
          <w:sz w:val="24"/>
          <w:szCs w:val="24"/>
        </w:rPr>
        <w:t xml:space="preserve">, </w:t>
      </w:r>
      <w:r w:rsidR="006313AC" w:rsidRPr="00D47298">
        <w:rPr>
          <w:rFonts w:cs="Times New Roman"/>
          <w:b/>
          <w:bCs/>
          <w:sz w:val="24"/>
          <w:szCs w:val="24"/>
        </w:rPr>
        <w:t xml:space="preserve">(ar gada patēriņu </w:t>
      </w:r>
      <w:r w:rsidR="006313AC" w:rsidRPr="00D47298">
        <w:rPr>
          <w:b/>
          <w:sz w:val="24"/>
          <w:szCs w:val="24"/>
        </w:rPr>
        <w:t>2500-5000 kWh) 2013.gada 2.pusgadā, eiro/MWh</w:t>
      </w:r>
      <w:r w:rsidR="00832971">
        <w:rPr>
          <w:b/>
          <w:sz w:val="24"/>
          <w:szCs w:val="24"/>
        </w:rPr>
        <w:t>.</w:t>
      </w:r>
    </w:p>
    <w:p w:rsidR="006C575D" w:rsidRDefault="006C575D" w:rsidP="005E189A">
      <w:pPr>
        <w:ind w:firstLine="709"/>
        <w:contextualSpacing/>
        <w:jc w:val="both"/>
        <w:rPr>
          <w:rFonts w:cs="Times New Roman"/>
          <w:color w:val="000000"/>
          <w:szCs w:val="28"/>
        </w:rPr>
      </w:pPr>
    </w:p>
    <w:p w:rsidR="00EA7FC5" w:rsidRPr="00EA7FC5" w:rsidRDefault="009474E9" w:rsidP="005E189A">
      <w:pPr>
        <w:ind w:firstLine="709"/>
        <w:contextualSpacing/>
        <w:jc w:val="both"/>
        <w:rPr>
          <w:rFonts w:cs="Times New Roman"/>
          <w:color w:val="000000"/>
          <w:szCs w:val="28"/>
        </w:rPr>
      </w:pPr>
      <w:r>
        <w:rPr>
          <w:rFonts w:cs="Times New Roman"/>
          <w:color w:val="000000"/>
          <w:szCs w:val="28"/>
        </w:rPr>
        <w:t xml:space="preserve">Elektroenerģijas tirgus atvēršana mājsaimniecībām ir politiski </w:t>
      </w:r>
      <w:r w:rsidR="00B512A0">
        <w:rPr>
          <w:rFonts w:cs="Times New Roman"/>
          <w:color w:val="000000"/>
          <w:szCs w:val="28"/>
        </w:rPr>
        <w:t xml:space="preserve">jutīgs </w:t>
      </w:r>
      <w:r>
        <w:rPr>
          <w:rFonts w:cs="Times New Roman"/>
          <w:color w:val="000000"/>
          <w:szCs w:val="28"/>
        </w:rPr>
        <w:t>jautājums</w:t>
      </w:r>
      <w:r w:rsidR="00B512A0">
        <w:rPr>
          <w:rFonts w:cs="Times New Roman"/>
          <w:color w:val="000000"/>
          <w:szCs w:val="28"/>
        </w:rPr>
        <w:t xml:space="preserve">, jo </w:t>
      </w:r>
      <w:r w:rsidR="0011097D">
        <w:rPr>
          <w:rFonts w:cs="Times New Roman"/>
          <w:color w:val="000000"/>
          <w:szCs w:val="28"/>
        </w:rPr>
        <w:t xml:space="preserve">arī Latvijā </w:t>
      </w:r>
      <w:r w:rsidR="00D32160">
        <w:rPr>
          <w:rFonts w:cs="Times New Roman"/>
          <w:color w:val="000000"/>
          <w:szCs w:val="28"/>
        </w:rPr>
        <w:t xml:space="preserve">prognozējams </w:t>
      </w:r>
      <w:r w:rsidR="00B512A0">
        <w:rPr>
          <w:rFonts w:cs="Times New Roman"/>
          <w:color w:val="000000"/>
          <w:szCs w:val="28"/>
        </w:rPr>
        <w:t>kopējās cenas</w:t>
      </w:r>
      <w:r w:rsidR="00D32160">
        <w:rPr>
          <w:rStyle w:val="FootnoteReference"/>
          <w:rFonts w:cs="Times New Roman"/>
        </w:rPr>
        <w:footnoteReference w:id="9"/>
      </w:r>
      <w:r w:rsidR="00B512A0">
        <w:rPr>
          <w:rFonts w:cs="Times New Roman"/>
          <w:color w:val="000000"/>
          <w:szCs w:val="28"/>
        </w:rPr>
        <w:t xml:space="preserve"> kāpums tieši mājsaimniecības segmentā. </w:t>
      </w:r>
      <w:r w:rsidR="00B577FD">
        <w:rPr>
          <w:rFonts w:cs="Times New Roman"/>
          <w:color w:val="000000"/>
          <w:szCs w:val="28"/>
        </w:rPr>
        <w:t xml:space="preserve">Mājsaimniecībām </w:t>
      </w:r>
      <w:r w:rsidR="00ED06FC">
        <w:rPr>
          <w:rFonts w:cs="Times New Roman"/>
          <w:color w:val="000000"/>
          <w:szCs w:val="28"/>
        </w:rPr>
        <w:t>līdz 2015.gada 1.janvārim</w:t>
      </w:r>
      <w:r w:rsidR="00B577FD">
        <w:rPr>
          <w:rFonts w:cs="Times New Roman"/>
          <w:color w:val="000000"/>
          <w:szCs w:val="28"/>
        </w:rPr>
        <w:t xml:space="preserve"> ir iespēja nopirkt elektroenerģiju par tarifu, kuru SPRK apstiprināja </w:t>
      </w:r>
      <w:r w:rsidR="00B577FD" w:rsidRPr="00CB1B52">
        <w:t>2011.gada 15.februārī.</w:t>
      </w:r>
      <w:r w:rsidR="00B577FD">
        <w:t xml:space="preserve"> </w:t>
      </w:r>
      <w:r w:rsidR="00ED06FC">
        <w:t>Līdz tirgus atvēršanai 2015.gada 1.janvārī e</w:t>
      </w:r>
      <w:r w:rsidR="00D32160">
        <w:t>lektroenerģijas lietotāj</w:t>
      </w:r>
      <w:r w:rsidR="00ED06FC">
        <w:t>iem</w:t>
      </w:r>
      <w:r w:rsidR="00D32160">
        <w:t xml:space="preserve"> ar ievadaizsardzības aparāta strāvas lielumu līdz 40 A</w:t>
      </w:r>
      <w:r w:rsidR="002E55DB">
        <w:t>,</w:t>
      </w:r>
      <w:r w:rsidR="00D32160">
        <w:t xml:space="preserve"> iekaitot objekta patēriņam no 0-1200 kWh 12 mēnešu periodā no 1.aprīļa līdz nākamā gada 31.martam tiek piemērots </w:t>
      </w:r>
      <w:r w:rsidR="00B577FD">
        <w:t xml:space="preserve">Starta tarifs – </w:t>
      </w:r>
      <w:r w:rsidR="00D32160">
        <w:t>0,</w:t>
      </w:r>
      <w:r w:rsidR="00B577FD">
        <w:t>1164</w:t>
      </w:r>
      <w:r w:rsidR="00D32160">
        <w:t xml:space="preserve"> EUR/kWh</w:t>
      </w:r>
      <w:r w:rsidR="00F47936">
        <w:t xml:space="preserve"> (skat. </w:t>
      </w:r>
      <w:r w:rsidR="00526BF2">
        <w:t>10</w:t>
      </w:r>
      <w:r w:rsidR="00F47936">
        <w:t>.attēlu)</w:t>
      </w:r>
      <w:r w:rsidR="00BC5C4D">
        <w:t>, kurš ietver elektroenerģijas tirdzniecību par cenu 0,0131 EUR par vienu kilovatstundu</w:t>
      </w:r>
      <w:r w:rsidR="00D32160">
        <w:t xml:space="preserve">. Attiecīgi Pamata tarifs – 0,1515 EUR/kWh tiek piemērots objekta patēriņam sākot no 1201 </w:t>
      </w:r>
      <w:r w:rsidR="00F47936">
        <w:t xml:space="preserve">kWh </w:t>
      </w:r>
      <w:r w:rsidR="00D32160">
        <w:t xml:space="preserve">tajā pašā periodā. </w:t>
      </w:r>
    </w:p>
    <w:p w:rsidR="00D32160" w:rsidRDefault="00B404FA" w:rsidP="00F76DC7">
      <w:pPr>
        <w:ind w:firstLine="720"/>
        <w:jc w:val="both"/>
      </w:pPr>
      <w:r>
        <w:rPr>
          <w:rFonts w:cs="Times New Roman"/>
          <w:color w:val="000000"/>
          <w:szCs w:val="28"/>
        </w:rPr>
        <w:t xml:space="preserve">Prognozējams, ka pēc elektroenerģijas tirgus </w:t>
      </w:r>
      <w:r w:rsidRPr="00EA7FC5">
        <w:rPr>
          <w:rFonts w:cs="Times New Roman"/>
          <w:color w:val="000000"/>
          <w:szCs w:val="28"/>
        </w:rPr>
        <w:t xml:space="preserve">atvēršanas </w:t>
      </w:r>
      <w:r w:rsidRPr="00EA7FC5">
        <w:rPr>
          <w:rFonts w:cs="Times New Roman"/>
          <w:szCs w:val="28"/>
        </w:rPr>
        <w:t>vidējās izmaksas elektroenerģijas iegādei mājsaimn</w:t>
      </w:r>
      <w:r>
        <w:rPr>
          <w:rFonts w:cs="Times New Roman"/>
          <w:szCs w:val="28"/>
        </w:rPr>
        <w:t>ie</w:t>
      </w:r>
      <w:r w:rsidRPr="00EA7FC5">
        <w:rPr>
          <w:rFonts w:cs="Times New Roman"/>
          <w:szCs w:val="28"/>
        </w:rPr>
        <w:t xml:space="preserve">cībām varētu </w:t>
      </w:r>
      <w:r>
        <w:rPr>
          <w:rFonts w:cs="Times New Roman"/>
          <w:szCs w:val="28"/>
        </w:rPr>
        <w:t xml:space="preserve">sastādīt </w:t>
      </w:r>
      <w:r w:rsidRPr="00EA7FC5">
        <w:rPr>
          <w:rFonts w:cs="Times New Roman"/>
          <w:szCs w:val="28"/>
        </w:rPr>
        <w:t xml:space="preserve">aptuveni </w:t>
      </w:r>
      <w:r>
        <w:rPr>
          <w:rFonts w:cs="Times New Roman"/>
          <w:szCs w:val="28"/>
        </w:rPr>
        <w:t>17</w:t>
      </w:r>
      <w:r w:rsidRPr="00EA7FC5">
        <w:rPr>
          <w:rFonts w:cs="Times New Roman"/>
          <w:szCs w:val="28"/>
        </w:rPr>
        <w:t xml:space="preserve"> cent</w:t>
      </w:r>
      <w:r>
        <w:rPr>
          <w:rFonts w:cs="Times New Roman"/>
          <w:szCs w:val="28"/>
        </w:rPr>
        <w:t>i</w:t>
      </w:r>
      <w:r w:rsidRPr="00EA7FC5">
        <w:rPr>
          <w:rFonts w:cs="Times New Roman"/>
          <w:szCs w:val="28"/>
        </w:rPr>
        <w:t>/kWh.</w:t>
      </w:r>
    </w:p>
    <w:p w:rsidR="00BC5C4D" w:rsidRPr="009474E9" w:rsidRDefault="00BC5C4D" w:rsidP="00F47936">
      <w:pPr>
        <w:ind w:firstLine="709"/>
        <w:contextualSpacing/>
        <w:jc w:val="both"/>
        <w:rPr>
          <w:rFonts w:cs="Times New Roman"/>
          <w:color w:val="000000"/>
          <w:szCs w:val="28"/>
        </w:rPr>
      </w:pPr>
    </w:p>
    <w:p w:rsidR="009474E9" w:rsidRPr="00CB1B52" w:rsidRDefault="00C8380D" w:rsidP="00C8380D">
      <w:pPr>
        <w:jc w:val="center"/>
        <w:rPr>
          <w:rFonts w:eastAsia="Times New Roman" w:cs="Times New Roman"/>
          <w:bCs/>
          <w:szCs w:val="28"/>
          <w:lang w:eastAsia="lv-LV"/>
        </w:rPr>
      </w:pPr>
      <w:r w:rsidRPr="00CB1B52">
        <w:rPr>
          <w:noProof/>
          <w:lang w:eastAsia="lv-LV"/>
        </w:rPr>
        <w:lastRenderedPageBreak/>
        <w:drawing>
          <wp:inline distT="0" distB="0" distL="0" distR="0" wp14:anchorId="291BA066" wp14:editId="23E54033">
            <wp:extent cx="5114925" cy="26384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74E9" w:rsidRPr="00D47298" w:rsidRDefault="00526BF2" w:rsidP="00D47298">
      <w:pPr>
        <w:tabs>
          <w:tab w:val="right" w:pos="851"/>
        </w:tabs>
        <w:rPr>
          <w:b/>
          <w:sz w:val="24"/>
          <w:szCs w:val="24"/>
        </w:rPr>
      </w:pPr>
      <w:r w:rsidRPr="00D47298">
        <w:rPr>
          <w:b/>
          <w:sz w:val="24"/>
          <w:szCs w:val="24"/>
        </w:rPr>
        <w:t>10</w:t>
      </w:r>
      <w:r w:rsidR="009474E9" w:rsidRPr="00D47298">
        <w:rPr>
          <w:b/>
          <w:sz w:val="24"/>
          <w:szCs w:val="24"/>
        </w:rPr>
        <w:t>.attēls. Elektroenerģijas tarifa struktūra mājsaimniecību elektroenerģijas lietotājiem.</w:t>
      </w:r>
    </w:p>
    <w:p w:rsidR="00EA7FC5" w:rsidRDefault="00EA7FC5" w:rsidP="009474E9">
      <w:pPr>
        <w:contextualSpacing/>
        <w:jc w:val="both"/>
        <w:rPr>
          <w:rFonts w:ascii="Arial" w:hAnsi="Arial" w:cs="Arial"/>
          <w:sz w:val="20"/>
          <w:szCs w:val="20"/>
        </w:rPr>
      </w:pPr>
    </w:p>
    <w:p w:rsidR="00925489" w:rsidRPr="0049061B" w:rsidRDefault="00925489" w:rsidP="00925489">
      <w:pPr>
        <w:suppressAutoHyphens/>
        <w:ind w:firstLine="709"/>
        <w:jc w:val="both"/>
        <w:rPr>
          <w:szCs w:val="28"/>
        </w:rPr>
      </w:pPr>
      <w:r>
        <w:rPr>
          <w:szCs w:val="28"/>
        </w:rPr>
        <w:t xml:space="preserve">2014.gada 26.septembrī tika pieņemti grozījumi Elektroenerģijas tirgus likumā, kas nosaka </w:t>
      </w:r>
      <w:r w:rsidRPr="0049061B">
        <w:rPr>
          <w:szCs w:val="28"/>
        </w:rPr>
        <w:t>pastāvīgu sociāla atbalsta instrumentu noteiktam lokam elektroenerģijas lietotāju, kas tiek definēti kā  aizsargātie lietotāji (t.i. trūcīga vai maznodrošināta ģimene (</w:t>
      </w:r>
      <w:r w:rsidR="00F954E6">
        <w:rPr>
          <w:szCs w:val="28"/>
        </w:rPr>
        <w:t>persona) vai daudzbērnu ģimene).</w:t>
      </w:r>
    </w:p>
    <w:p w:rsidR="00925489" w:rsidRPr="0049061B" w:rsidRDefault="00F954E6" w:rsidP="00925489">
      <w:pPr>
        <w:pStyle w:val="PlainText"/>
        <w:spacing w:before="0"/>
        <w:rPr>
          <w:rFonts w:ascii="Times New Roman" w:hAnsi="Times New Roman"/>
          <w:szCs w:val="28"/>
        </w:rPr>
      </w:pPr>
      <w:r>
        <w:rPr>
          <w:rFonts w:ascii="Times New Roman" w:hAnsi="Times New Roman"/>
          <w:szCs w:val="28"/>
        </w:rPr>
        <w:t>Sākot ar 2015.gada 1.janvāri t</w:t>
      </w:r>
      <w:r w:rsidR="00925489" w:rsidRPr="0049061B">
        <w:rPr>
          <w:rFonts w:ascii="Times New Roman" w:hAnsi="Times New Roman"/>
          <w:szCs w:val="28"/>
        </w:rPr>
        <w:t>rūcīgai vai maznodrošinātai ģimenei (personai)  </w:t>
      </w:r>
      <w:r w:rsidR="00925489" w:rsidRPr="0049061B">
        <w:rPr>
          <w:rFonts w:ascii="Times New Roman" w:hAnsi="Times New Roman"/>
          <w:szCs w:val="28"/>
          <w:u w:val="single"/>
        </w:rPr>
        <w:t>tiks nodrošināta 100 kilovatstundu</w:t>
      </w:r>
      <w:r w:rsidR="00925489" w:rsidRPr="0049061B">
        <w:rPr>
          <w:rFonts w:ascii="Times New Roman" w:hAnsi="Times New Roman"/>
          <w:szCs w:val="28"/>
        </w:rPr>
        <w:t xml:space="preserve"> elektroenerģijas tirdzniecība par subsidēto cenu 0,0131 euro par vienu kilovatstundu katrā norēķinu periodā (kalendāra mēnesī) un daudzbērnu ģimenei  - </w:t>
      </w:r>
      <w:r w:rsidR="00925489" w:rsidRPr="0049061B">
        <w:rPr>
          <w:rFonts w:ascii="Times New Roman" w:hAnsi="Times New Roman"/>
          <w:szCs w:val="28"/>
          <w:u w:val="single"/>
        </w:rPr>
        <w:t>300 kilovatstundu</w:t>
      </w:r>
      <w:r w:rsidR="00925489" w:rsidRPr="0049061B">
        <w:rPr>
          <w:rFonts w:ascii="Times New Roman" w:hAnsi="Times New Roman"/>
          <w:szCs w:val="28"/>
        </w:rPr>
        <w:t xml:space="preserve"> elektroenerģijas tirdzniecība par cenu 0,0131 euro par vienu kilovatstundu katrā norēķinu periodā (kalendāra mēnesī). Šajā gadījumā kopējā elektroenerģijas cena (ieskaitot elektroenerģijas cenu, tirdzniecības pakalpojumus, obligāto iepirkuma komponenti, pievienotās vērtības nodokli un tīkla pakalpojumus) </w:t>
      </w:r>
      <w:r w:rsidR="00925489" w:rsidRPr="0049061B">
        <w:rPr>
          <w:rFonts w:ascii="Times New Roman" w:hAnsi="Times New Roman"/>
          <w:szCs w:val="28"/>
          <w:u w:val="single"/>
        </w:rPr>
        <w:t>būs vienāda ar pašreizējo starta tarifu – 11,64 centi par vienu kilovatstundu</w:t>
      </w:r>
      <w:r w:rsidR="00925489" w:rsidRPr="0049061B">
        <w:rPr>
          <w:rFonts w:ascii="Times New Roman" w:hAnsi="Times New Roman"/>
          <w:szCs w:val="28"/>
        </w:rPr>
        <w:t>. Savukārt par elektroenerģijas apjomu, kas norēķinu periodā pārsniedz minētās 100 kilovatstundas trūcīgai vai maznodrošinātai ģimenei (personai) un 300 kilovatstundas daudzbērnu ģimenei, aizsargātais lietotājs maksās elektroenerģijas tirgotāja piedāvāto  un aizsargātā lietotāja izvēlēto elektroenerģijas cenu vai noteikto universālā pakalpojuma cenu.</w:t>
      </w:r>
    </w:p>
    <w:p w:rsidR="009474E9" w:rsidRDefault="00A04379" w:rsidP="009474E9">
      <w:pPr>
        <w:suppressAutoHyphens/>
        <w:ind w:firstLine="709"/>
        <w:jc w:val="both"/>
        <w:rPr>
          <w:szCs w:val="28"/>
        </w:rPr>
      </w:pPr>
      <w:r>
        <w:rPr>
          <w:szCs w:val="28"/>
        </w:rPr>
        <w:t>Jāņem arī vērā, ka v</w:t>
      </w:r>
      <w:r w:rsidR="00C06B5D">
        <w:rPr>
          <w:szCs w:val="28"/>
        </w:rPr>
        <w:t xml:space="preserve">idējai mājsaimniecībai elektroenerģija nav būtiskākais </w:t>
      </w:r>
      <w:r w:rsidR="00A270BA">
        <w:rPr>
          <w:szCs w:val="28"/>
        </w:rPr>
        <w:t xml:space="preserve">patēriņu </w:t>
      </w:r>
      <w:r w:rsidR="00C06B5D">
        <w:rPr>
          <w:szCs w:val="28"/>
        </w:rPr>
        <w:t>izdevuma postenis</w:t>
      </w:r>
      <w:r w:rsidR="00A270BA">
        <w:rPr>
          <w:szCs w:val="28"/>
        </w:rPr>
        <w:t>. P</w:t>
      </w:r>
      <w:r w:rsidR="00C06B5D">
        <w:rPr>
          <w:szCs w:val="28"/>
        </w:rPr>
        <w:t>iemēram 2011.gadā</w:t>
      </w:r>
      <w:r w:rsidR="00A270BA">
        <w:rPr>
          <w:szCs w:val="28"/>
        </w:rPr>
        <w:t xml:space="preserve"> tikai 3,2% no mājsaimniecību patēriņa izdevumiem tika izmantoti maksājumiem par elektroenerģiju. Savukārt kopējā maksa par mājokli, ūdeni, elektroenerģiju, gāzi un citu kurināmo sastādīja 16,6% no mājsaimniecību patēriņa izdevumiem. Tas liecina par to, ka nepieciešams universāls mehānisms sociālās drošības sistēmas pilnveidošanai. Ne mazāk svarīgi ir nodrošināt sociālo aizsardzību tieši tam klientu lokam, kam tas visvairāk ir vajadzīgs. </w:t>
      </w:r>
      <w:r w:rsidR="00F954E6">
        <w:rPr>
          <w:szCs w:val="28"/>
        </w:rPr>
        <w:t>Līdz jaunā sociālā atbalsta instrumenta pieņemšanai</w:t>
      </w:r>
      <w:r w:rsidR="00A270BA">
        <w:rPr>
          <w:szCs w:val="28"/>
        </w:rPr>
        <w:t xml:space="preserve"> pastāv</w:t>
      </w:r>
      <w:r w:rsidR="00F954E6">
        <w:rPr>
          <w:szCs w:val="28"/>
        </w:rPr>
        <w:t>ēja</w:t>
      </w:r>
      <w:r w:rsidR="00A270BA">
        <w:rPr>
          <w:szCs w:val="28"/>
        </w:rPr>
        <w:t xml:space="preserve"> pret</w:t>
      </w:r>
      <w:r w:rsidR="009E4FB4">
        <w:rPr>
          <w:szCs w:val="28"/>
        </w:rPr>
        <w:t>r</w:t>
      </w:r>
      <w:r w:rsidR="00A270BA">
        <w:rPr>
          <w:szCs w:val="28"/>
        </w:rPr>
        <w:t xml:space="preserve">una ar </w:t>
      </w:r>
      <w:r>
        <w:rPr>
          <w:szCs w:val="28"/>
        </w:rPr>
        <w:t xml:space="preserve">elektroenerģijas </w:t>
      </w:r>
      <w:r w:rsidR="00A270BA">
        <w:rPr>
          <w:szCs w:val="28"/>
        </w:rPr>
        <w:t xml:space="preserve">tarifu sistēmu, kad </w:t>
      </w:r>
      <w:r w:rsidR="00F954E6">
        <w:rPr>
          <w:szCs w:val="28"/>
        </w:rPr>
        <w:t>tika</w:t>
      </w:r>
      <w:r w:rsidR="00A270BA">
        <w:rPr>
          <w:szCs w:val="28"/>
        </w:rPr>
        <w:t xml:space="preserve"> subsidēts ikviens </w:t>
      </w:r>
      <w:r w:rsidR="00A270BA">
        <w:rPr>
          <w:szCs w:val="28"/>
        </w:rPr>
        <w:lastRenderedPageBreak/>
        <w:t xml:space="preserve">elektroenerģijas lietotājs nodrošinot tam 1200 kWh gadā par starta tarifu. </w:t>
      </w:r>
      <w:r w:rsidR="009E4FB4">
        <w:rPr>
          <w:szCs w:val="28"/>
        </w:rPr>
        <w:t>J</w:t>
      </w:r>
      <w:r w:rsidR="00A270BA">
        <w:rPr>
          <w:szCs w:val="28"/>
        </w:rPr>
        <w:t xml:space="preserve">a lietotājam ir vairāki pieslēgumi, tad tas </w:t>
      </w:r>
      <w:r w:rsidR="00F954E6">
        <w:rPr>
          <w:szCs w:val="28"/>
        </w:rPr>
        <w:t>bija</w:t>
      </w:r>
      <w:r w:rsidR="00A270BA">
        <w:rPr>
          <w:szCs w:val="28"/>
        </w:rPr>
        <w:t xml:space="preserve"> tiesīgs saņemt subsidēto elektroenerģiju 1200kWh gadā katram pieslēgumam.</w:t>
      </w:r>
      <w:r w:rsidR="009E4FB4">
        <w:rPr>
          <w:szCs w:val="28"/>
        </w:rPr>
        <w:t xml:space="preserve"> Svarīgs priekšnoteikums atbalsta mehānisma izstrādei ir saderība ar iekšējo tirgu. </w:t>
      </w:r>
    </w:p>
    <w:p w:rsidR="00797C0E" w:rsidRDefault="009E4FB4" w:rsidP="009474E9">
      <w:pPr>
        <w:suppressAutoHyphens/>
        <w:ind w:firstLine="709"/>
        <w:jc w:val="both"/>
        <w:rPr>
          <w:szCs w:val="28"/>
        </w:rPr>
      </w:pPr>
      <w:r>
        <w:rPr>
          <w:szCs w:val="28"/>
        </w:rPr>
        <w:t xml:space="preserve">Līdz ar elektroenerģijas tirgus atvēršanu </w:t>
      </w:r>
      <w:r w:rsidR="00797C0E">
        <w:rPr>
          <w:szCs w:val="28"/>
        </w:rPr>
        <w:t xml:space="preserve">mājsaimniecībām, tirgū nonāks aptuveni </w:t>
      </w:r>
      <w:r w:rsidR="00EC6439" w:rsidRPr="009714BB">
        <w:rPr>
          <w:bCs/>
        </w:rPr>
        <w:t xml:space="preserve">847 300 </w:t>
      </w:r>
      <w:r w:rsidR="00EC6439">
        <w:rPr>
          <w:bCs/>
        </w:rPr>
        <w:t xml:space="preserve">mājsaimniecību </w:t>
      </w:r>
      <w:r w:rsidR="00EC6439" w:rsidRPr="00976F99">
        <w:rPr>
          <w:bCs/>
        </w:rPr>
        <w:t>lietotāji</w:t>
      </w:r>
      <w:r w:rsidR="005B3150">
        <w:rPr>
          <w:bCs/>
        </w:rPr>
        <w:t xml:space="preserve">, </w:t>
      </w:r>
      <w:r w:rsidR="00797C0E">
        <w:rPr>
          <w:szCs w:val="28"/>
        </w:rPr>
        <w:t xml:space="preserve">kas veido aptuveni 75% no kopējā lietotāju skaita. Viens no svarīgiem priekšnoteikumiem ir </w:t>
      </w:r>
      <w:r w:rsidR="00F954E6">
        <w:rPr>
          <w:szCs w:val="28"/>
        </w:rPr>
        <w:t>efektīvas komunikācijas nodrošināšana</w:t>
      </w:r>
      <w:r w:rsidR="00797C0E">
        <w:rPr>
          <w:szCs w:val="28"/>
        </w:rPr>
        <w:t xml:space="preserve"> par tirgus atvēršanas nosacījumiem, lai gan tirgotāji var laicīgi sagatavot piedāvājumus, gan mājsaimniecības attiecīgi izvēlēties visatbilstošāko</w:t>
      </w:r>
      <w:r w:rsidR="00B370DA">
        <w:rPr>
          <w:szCs w:val="28"/>
        </w:rPr>
        <w:t xml:space="preserve"> piedāvājumu</w:t>
      </w:r>
      <w:r w:rsidR="00797C0E">
        <w:rPr>
          <w:szCs w:val="28"/>
        </w:rPr>
        <w:t xml:space="preserve">. </w:t>
      </w:r>
    </w:p>
    <w:p w:rsidR="005B3150" w:rsidRDefault="00797C0E" w:rsidP="009474E9">
      <w:pPr>
        <w:suppressAutoHyphens/>
        <w:ind w:firstLine="709"/>
        <w:jc w:val="both"/>
        <w:rPr>
          <w:szCs w:val="28"/>
        </w:rPr>
      </w:pPr>
      <w:r>
        <w:rPr>
          <w:szCs w:val="28"/>
        </w:rPr>
        <w:t xml:space="preserve">Elektroenerģijas tirgus atvēršana ir nepieciešams solis, jo stratēģiski ilgtermiņā šādi visefektīvāk tiks noteikta elektroenerģijas cena. Atverot elektroenerģijas tirgu </w:t>
      </w:r>
      <w:r w:rsidR="005B3150">
        <w:rPr>
          <w:szCs w:val="28"/>
        </w:rPr>
        <w:t>jārēķinās ar vairākiem faktoriem. P</w:t>
      </w:r>
      <w:r>
        <w:rPr>
          <w:szCs w:val="28"/>
        </w:rPr>
        <w:t xml:space="preserve">irmkārt, tiks veicināta starpsavienojumu izveide </w:t>
      </w:r>
      <w:r w:rsidR="00F47936">
        <w:rPr>
          <w:szCs w:val="28"/>
        </w:rPr>
        <w:t xml:space="preserve">tādējādi </w:t>
      </w:r>
      <w:r>
        <w:rPr>
          <w:szCs w:val="28"/>
        </w:rPr>
        <w:t>diversificējot piegādes tirgus. Otrkārt, jāņem vērā, ka tirgus atvēršana atstās ietekmi uz inflāciju</w:t>
      </w:r>
      <w:r w:rsidR="004F21B0">
        <w:rPr>
          <w:szCs w:val="28"/>
        </w:rPr>
        <w:t xml:space="preserve">. Piemēram pirms elektroenerģijas tirgus atvēršanas Igaunijas Finanšu ministrija prognozēja, ka šī pasākuma ietekme uz inflāciju būs 0,65 procenta punkti. </w:t>
      </w:r>
    </w:p>
    <w:p w:rsidR="009E4FB4" w:rsidRPr="00CB1B52" w:rsidRDefault="005B3150" w:rsidP="009474E9">
      <w:pPr>
        <w:suppressAutoHyphens/>
        <w:ind w:firstLine="709"/>
        <w:jc w:val="both"/>
        <w:rPr>
          <w:szCs w:val="28"/>
        </w:rPr>
      </w:pPr>
      <w:r>
        <w:rPr>
          <w:szCs w:val="28"/>
        </w:rPr>
        <w:t>Savukārt l</w:t>
      </w:r>
      <w:r w:rsidR="004F21B0">
        <w:rPr>
          <w:szCs w:val="28"/>
        </w:rPr>
        <w:t>iberalizācijas atlikšana ietekmē</w:t>
      </w:r>
      <w:r w:rsidR="00AE382A">
        <w:rPr>
          <w:szCs w:val="28"/>
        </w:rPr>
        <w:t>tu</w:t>
      </w:r>
      <w:r w:rsidR="004F21B0">
        <w:rPr>
          <w:szCs w:val="28"/>
        </w:rPr>
        <w:t xml:space="preserve"> inflācijas tendences, kas savukārt apgrūtin</w:t>
      </w:r>
      <w:r w:rsidR="00AE382A">
        <w:rPr>
          <w:szCs w:val="28"/>
        </w:rPr>
        <w:t>ātu</w:t>
      </w:r>
      <w:r w:rsidR="004F21B0">
        <w:rPr>
          <w:szCs w:val="28"/>
        </w:rPr>
        <w:t xml:space="preserve"> saimniecisko lēmumu pieņemšanu. </w:t>
      </w:r>
      <w:r>
        <w:rPr>
          <w:szCs w:val="28"/>
        </w:rPr>
        <w:t>E</w:t>
      </w:r>
      <w:r w:rsidR="004F21B0">
        <w:rPr>
          <w:szCs w:val="28"/>
        </w:rPr>
        <w:t xml:space="preserve">lektroenerģijas tirgus atlikšana ietekmē Latviju kā sadarbības partnera tēlu, it īpaši attiecībā uz uzņēmumiem, kas nodarbojas ar elektroenerģijas tirdzniecību.  </w:t>
      </w:r>
    </w:p>
    <w:p w:rsidR="008F1CCD" w:rsidRPr="00D26898" w:rsidRDefault="008F1CCD" w:rsidP="008F1CCD">
      <w:pPr>
        <w:pStyle w:val="Heading3"/>
        <w:rPr>
          <w:rFonts w:eastAsia="Times New Roman"/>
          <w:color w:val="auto"/>
          <w:lang w:eastAsia="lv-LV"/>
        </w:rPr>
      </w:pPr>
      <w:bookmarkStart w:id="16" w:name="_Toc401644318"/>
      <w:r w:rsidRPr="00D26898">
        <w:rPr>
          <w:rFonts w:eastAsia="Times New Roman"/>
          <w:color w:val="auto"/>
          <w:lang w:eastAsia="lv-LV"/>
        </w:rPr>
        <w:t>Dabasgāzes tirgus</w:t>
      </w:r>
      <w:bookmarkEnd w:id="16"/>
    </w:p>
    <w:p w:rsidR="00D320AF" w:rsidRPr="00EE759E" w:rsidRDefault="00D320AF" w:rsidP="00D320AF">
      <w:pPr>
        <w:ind w:firstLine="720"/>
        <w:jc w:val="both"/>
      </w:pPr>
      <w:r>
        <w:t>Eiropa joprojām ir ļoti atkarīga no trešo valstu gāzes piegādēm, līdz ar to ir nepieciešams veikt tūlītējus pasākumus, lai rastu piemērotu risinājumu šai problēmai. Lai palielinātu energoapgādes drošību Eiropā, ir svarīgi efektīvi izmantot gāzes krātuvju potenciālu, tādējādi mazinot iespējamo piegādes krīžu negatīvo ietekmi. Lai optimizētu dabasgāzes piegādi un stiprinātu valsts energoapgādes drošību, gāzes kompānijas Eiropā palielina ieguldījumus dabasgāzes krātuvju vai pārrobežu uzglabāšanas pakalpojumu</w:t>
      </w:r>
      <w:r w:rsidRPr="00125B6E">
        <w:t xml:space="preserve"> </w:t>
      </w:r>
      <w:r>
        <w:t xml:space="preserve">attīstībā. Tā, piemēram, </w:t>
      </w:r>
      <w:r w:rsidRPr="00F26661">
        <w:rPr>
          <w:rFonts w:eastAsia="Times New Roman" w:cs="Times New Roman"/>
          <w:szCs w:val="28"/>
        </w:rPr>
        <w:t>IPGK</w:t>
      </w:r>
      <w:r>
        <w:t xml:space="preserve"> Latvijā ir vienīgā gāzes krātuve Baltijā. Vasaras sezonas laikā krātuvē iesūknētā gāze ziemā tiek piegādāta klientiem ne tikai uz Latviju, Igauniju un Lietuvu, bet arī Krievijas ziemeļrietumiem un Kaļiņingradu. </w:t>
      </w:r>
      <w:r w:rsidRPr="00F26661">
        <w:rPr>
          <w:rFonts w:eastAsia="Times New Roman" w:cs="Times New Roman"/>
          <w:szCs w:val="28"/>
        </w:rPr>
        <w:t>IPGK</w:t>
      </w:r>
      <w:r>
        <w:t xml:space="preserve"> ziemā pilnībā nodrošina Latvijas iekšzemes gāzes pieprasījumu, tādējādi radot stabilitātes garantiju reģionā.</w:t>
      </w:r>
    </w:p>
    <w:p w:rsidR="008F1CCD" w:rsidRPr="00EE1712" w:rsidRDefault="008F1CCD" w:rsidP="008F1CCD">
      <w:pPr>
        <w:ind w:firstLine="720"/>
        <w:jc w:val="both"/>
        <w:rPr>
          <w:rFonts w:eastAsia="Times New Roman" w:cs="Times New Roman"/>
          <w:szCs w:val="28"/>
        </w:rPr>
      </w:pPr>
      <w:r w:rsidRPr="00EE1712">
        <w:rPr>
          <w:rFonts w:eastAsia="Times New Roman" w:cs="Times New Roman"/>
          <w:szCs w:val="28"/>
        </w:rPr>
        <w:t xml:space="preserve">Dabas gāze Latvijā galvenokārt tiek izmantota elektroenerģijas un siltumenerģijas ražošanā. Papildus dabasgāzi izmantotā gan rūpniecībā, gan mājsaimniecības – pavardam un individuālo māju apkurei. </w:t>
      </w:r>
      <w:r w:rsidRPr="00EE1712">
        <w:rPr>
          <w:szCs w:val="24"/>
        </w:rPr>
        <w:t>Kopumā dabasgāzes patēriņš Latvijā pēdējo trīs gadu laikā ir samazinājies</w:t>
      </w:r>
      <w:r>
        <w:rPr>
          <w:szCs w:val="24"/>
        </w:rPr>
        <w:t xml:space="preserve"> (skat </w:t>
      </w:r>
      <w:r w:rsidR="00526BF2">
        <w:rPr>
          <w:szCs w:val="24"/>
        </w:rPr>
        <w:t>11</w:t>
      </w:r>
      <w:r>
        <w:rPr>
          <w:szCs w:val="24"/>
        </w:rPr>
        <w:t xml:space="preserve">.attēlu). </w:t>
      </w:r>
    </w:p>
    <w:p w:rsidR="008F1CCD" w:rsidRPr="00EE1712" w:rsidRDefault="00C8380D" w:rsidP="00A01433">
      <w:pPr>
        <w:jc w:val="center"/>
        <w:rPr>
          <w:rFonts w:eastAsia="Times New Roman" w:cs="Times New Roman"/>
          <w:szCs w:val="28"/>
        </w:rPr>
      </w:pPr>
      <w:r>
        <w:rPr>
          <w:noProof/>
          <w:lang w:eastAsia="lv-LV"/>
        </w:rPr>
        <w:lastRenderedPageBreak/>
        <w:drawing>
          <wp:inline distT="0" distB="0" distL="0" distR="0" wp14:anchorId="2CDCA185" wp14:editId="272D3F9D">
            <wp:extent cx="4237892" cy="3024554"/>
            <wp:effectExtent l="0" t="0" r="10795" b="234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1CCD" w:rsidRPr="00EE1712" w:rsidRDefault="008F1CCD" w:rsidP="008F1CCD">
      <w:pPr>
        <w:ind w:firstLine="720"/>
        <w:jc w:val="both"/>
        <w:rPr>
          <w:rFonts w:eastAsia="Times New Roman" w:cs="Times New Roman"/>
          <w:sz w:val="20"/>
          <w:szCs w:val="20"/>
        </w:rPr>
      </w:pPr>
      <w:r>
        <w:rPr>
          <w:rFonts w:eastAsia="Times New Roman" w:cs="Times New Roman"/>
          <w:sz w:val="20"/>
          <w:szCs w:val="20"/>
        </w:rPr>
        <w:t xml:space="preserve"> </w:t>
      </w:r>
      <w:r>
        <w:rPr>
          <w:rFonts w:eastAsia="Times New Roman" w:cs="Times New Roman"/>
          <w:sz w:val="20"/>
          <w:szCs w:val="20"/>
        </w:rPr>
        <w:tab/>
      </w:r>
      <w:r w:rsidRPr="00EE1712">
        <w:rPr>
          <w:rFonts w:eastAsia="Times New Roman" w:cs="Times New Roman"/>
          <w:sz w:val="20"/>
          <w:szCs w:val="20"/>
        </w:rPr>
        <w:t>Avots: CSP</w:t>
      </w:r>
    </w:p>
    <w:p w:rsidR="008F1CCD" w:rsidRPr="00950919" w:rsidRDefault="00526BF2" w:rsidP="00950919">
      <w:pPr>
        <w:rPr>
          <w:rFonts w:eastAsia="Times New Roman" w:cs="Times New Roman"/>
          <w:b/>
          <w:sz w:val="24"/>
          <w:szCs w:val="24"/>
        </w:rPr>
      </w:pPr>
      <w:r w:rsidRPr="00950919">
        <w:rPr>
          <w:rFonts w:eastAsia="Times New Roman" w:cs="Times New Roman"/>
          <w:b/>
          <w:sz w:val="24"/>
          <w:szCs w:val="24"/>
        </w:rPr>
        <w:t>11</w:t>
      </w:r>
      <w:r w:rsidR="008F1CCD" w:rsidRPr="00950919">
        <w:rPr>
          <w:rFonts w:eastAsia="Times New Roman" w:cs="Times New Roman"/>
          <w:b/>
          <w:sz w:val="24"/>
          <w:szCs w:val="24"/>
        </w:rPr>
        <w:t>.attēls. Kopējais dabasgāzes patēriņš Latvijā 2003.-2012.g., milj. m</w:t>
      </w:r>
      <w:r w:rsidR="008F1CCD" w:rsidRPr="00950919">
        <w:rPr>
          <w:rFonts w:eastAsia="Times New Roman" w:cs="Times New Roman"/>
          <w:b/>
          <w:sz w:val="24"/>
          <w:szCs w:val="24"/>
          <w:vertAlign w:val="superscript"/>
        </w:rPr>
        <w:t>3</w:t>
      </w:r>
      <w:r w:rsidR="008F1CCD" w:rsidRPr="00950919">
        <w:rPr>
          <w:rFonts w:eastAsia="Times New Roman" w:cs="Times New Roman"/>
          <w:b/>
          <w:sz w:val="24"/>
          <w:szCs w:val="24"/>
        </w:rPr>
        <w:t>/gadā</w:t>
      </w:r>
    </w:p>
    <w:p w:rsidR="008F1CCD" w:rsidRPr="00EE1712" w:rsidRDefault="008F1CCD" w:rsidP="008F1CCD">
      <w:pPr>
        <w:jc w:val="center"/>
        <w:rPr>
          <w:rFonts w:eastAsia="Times New Roman" w:cs="Times New Roman"/>
          <w:szCs w:val="28"/>
        </w:rPr>
      </w:pPr>
    </w:p>
    <w:p w:rsidR="006C575D" w:rsidRPr="00EE1712" w:rsidRDefault="006C575D" w:rsidP="006C575D">
      <w:pPr>
        <w:ind w:firstLine="720"/>
        <w:jc w:val="both"/>
        <w:rPr>
          <w:szCs w:val="24"/>
        </w:rPr>
      </w:pPr>
      <w:r w:rsidRPr="00EE1712">
        <w:rPr>
          <w:szCs w:val="24"/>
        </w:rPr>
        <w:t>Dabas gāzes patēriņu ietekmē šādi faktori:</w:t>
      </w:r>
    </w:p>
    <w:p w:rsidR="006C575D" w:rsidRPr="00EE1712" w:rsidRDefault="006C575D" w:rsidP="006C575D">
      <w:pPr>
        <w:numPr>
          <w:ilvl w:val="0"/>
          <w:numId w:val="29"/>
        </w:numPr>
        <w:contextualSpacing/>
        <w:jc w:val="both"/>
        <w:rPr>
          <w:szCs w:val="24"/>
        </w:rPr>
      </w:pPr>
      <w:r w:rsidRPr="00EE1712">
        <w:rPr>
          <w:szCs w:val="24"/>
        </w:rPr>
        <w:t xml:space="preserve">ārgaisa temperatūra, kā piemēram 2013.gadā </w:t>
      </w:r>
      <w:r>
        <w:rPr>
          <w:szCs w:val="24"/>
        </w:rPr>
        <w:t xml:space="preserve">siltās </w:t>
      </w:r>
      <w:r w:rsidRPr="00EE1712">
        <w:rPr>
          <w:szCs w:val="24"/>
        </w:rPr>
        <w:t xml:space="preserve">ziemas periodā </w:t>
      </w:r>
      <w:r>
        <w:rPr>
          <w:szCs w:val="24"/>
        </w:rPr>
        <w:t xml:space="preserve">tā </w:t>
      </w:r>
      <w:r w:rsidRPr="00EE1712">
        <w:rPr>
          <w:szCs w:val="24"/>
        </w:rPr>
        <w:t>ievērojami pārsniedza vidējo statistisko normu;</w:t>
      </w:r>
    </w:p>
    <w:p w:rsidR="006C575D" w:rsidRPr="00EE1712" w:rsidRDefault="006C575D" w:rsidP="006C575D">
      <w:pPr>
        <w:numPr>
          <w:ilvl w:val="0"/>
          <w:numId w:val="29"/>
        </w:numPr>
        <w:contextualSpacing/>
        <w:jc w:val="both"/>
        <w:rPr>
          <w:szCs w:val="24"/>
        </w:rPr>
      </w:pPr>
      <w:r w:rsidRPr="00EE1712">
        <w:rPr>
          <w:szCs w:val="24"/>
        </w:rPr>
        <w:t xml:space="preserve">kopējā tautsaimniecības, tajā skaitā rūpniecības, attīstība. Piemēram 2013.gada aprīlī tika apturēta AS „Liepājas Metalurgs” darbība, kas bija viens no lielākajiem enerģijas patērētājiem valstī; </w:t>
      </w:r>
    </w:p>
    <w:p w:rsidR="006C575D" w:rsidRPr="00EE1712" w:rsidRDefault="006C575D" w:rsidP="006C575D">
      <w:pPr>
        <w:numPr>
          <w:ilvl w:val="0"/>
          <w:numId w:val="29"/>
        </w:numPr>
        <w:contextualSpacing/>
        <w:jc w:val="both"/>
        <w:rPr>
          <w:szCs w:val="24"/>
        </w:rPr>
      </w:pPr>
      <w:r w:rsidRPr="00EE1712">
        <w:rPr>
          <w:szCs w:val="24"/>
        </w:rPr>
        <w:t>pāreja no dabas gāzes uz alternatīviem kurināmā veidiem centralizētā siltuma ražošanā,</w:t>
      </w:r>
    </w:p>
    <w:p w:rsidR="006C575D" w:rsidRDefault="006C575D" w:rsidP="006C575D">
      <w:pPr>
        <w:numPr>
          <w:ilvl w:val="0"/>
          <w:numId w:val="29"/>
        </w:numPr>
        <w:contextualSpacing/>
        <w:jc w:val="both"/>
        <w:rPr>
          <w:szCs w:val="24"/>
        </w:rPr>
      </w:pPr>
      <w:r w:rsidRPr="00EE1712">
        <w:rPr>
          <w:szCs w:val="24"/>
        </w:rPr>
        <w:t xml:space="preserve">energoefektivitātes pasākumu ieviešana, kā piemēram ēku siltināšana. </w:t>
      </w:r>
    </w:p>
    <w:p w:rsidR="006C575D" w:rsidRPr="00EE1712" w:rsidRDefault="006C575D" w:rsidP="006C575D">
      <w:pPr>
        <w:contextualSpacing/>
        <w:jc w:val="both"/>
        <w:rPr>
          <w:szCs w:val="24"/>
        </w:rPr>
      </w:pPr>
    </w:p>
    <w:p w:rsidR="008F1CCD" w:rsidRPr="00EE1712" w:rsidRDefault="008F1CCD" w:rsidP="008F1CCD">
      <w:pPr>
        <w:ind w:firstLine="482"/>
        <w:jc w:val="both"/>
        <w:rPr>
          <w:szCs w:val="24"/>
        </w:rPr>
      </w:pPr>
      <w:r>
        <w:rPr>
          <w:szCs w:val="24"/>
        </w:rPr>
        <w:t>P</w:t>
      </w:r>
      <w:r w:rsidRPr="00EE1712">
        <w:rPr>
          <w:szCs w:val="24"/>
        </w:rPr>
        <w:t>ēc „Eurostat”</w:t>
      </w:r>
      <w:r>
        <w:rPr>
          <w:szCs w:val="24"/>
        </w:rPr>
        <w:t xml:space="preserve"> arī </w:t>
      </w:r>
      <w:r w:rsidRPr="00EE1712">
        <w:rPr>
          <w:szCs w:val="24"/>
        </w:rPr>
        <w:t>ES valstīs pieprasījums pēc dabasgāzes samazinājās trešo gadu pēc kārtas: 2011.</w:t>
      </w:r>
      <w:r>
        <w:rPr>
          <w:szCs w:val="24"/>
        </w:rPr>
        <w:t xml:space="preserve">gadā </w:t>
      </w:r>
      <w:r w:rsidRPr="00EE1712">
        <w:rPr>
          <w:szCs w:val="24"/>
        </w:rPr>
        <w:t>par 10% salīdzinājumā ar 2010.gadu, un 2012.gadā par 2.2%, bet 2013.gadā par 1.4%. Arī Latvijā tika novērotas līdzīgas tendences, tomēr dabasgāzes patēriņa kritums bijis izteiktāks kā vidēji ES.</w:t>
      </w:r>
      <w:r>
        <w:rPr>
          <w:szCs w:val="24"/>
        </w:rPr>
        <w:t xml:space="preserve"> </w:t>
      </w:r>
    </w:p>
    <w:p w:rsidR="00640AEE" w:rsidRPr="00EE1712" w:rsidRDefault="00640AEE" w:rsidP="00640AEE">
      <w:pPr>
        <w:ind w:firstLine="482"/>
        <w:jc w:val="both"/>
        <w:rPr>
          <w:rFonts w:eastAsia="Times New Roman" w:cs="Times New Roman"/>
          <w:szCs w:val="28"/>
        </w:rPr>
      </w:pPr>
      <w:r w:rsidRPr="00EE1712">
        <w:rPr>
          <w:rFonts w:eastAsia="Times New Roman" w:cs="Times New Roman"/>
          <w:szCs w:val="28"/>
        </w:rPr>
        <w:t>Latvijas dabasgāzes patēriņa struktūra ir ar izteikti sezonālu raksturu (sk. 1</w:t>
      </w:r>
      <w:r>
        <w:rPr>
          <w:rFonts w:eastAsia="Times New Roman" w:cs="Times New Roman"/>
          <w:szCs w:val="28"/>
        </w:rPr>
        <w:t>2</w:t>
      </w:r>
      <w:r w:rsidRPr="00EE1712">
        <w:rPr>
          <w:rFonts w:eastAsia="Times New Roman" w:cs="Times New Roman"/>
          <w:szCs w:val="28"/>
        </w:rPr>
        <w:t>.attēlu). Ziemā centralizētās siltumapgādes sistēmas siltumslodzes būtiski pieaug. T</w:t>
      </w:r>
      <w:r>
        <w:rPr>
          <w:rFonts w:eastAsia="Times New Roman" w:cs="Times New Roman"/>
          <w:szCs w:val="28"/>
        </w:rPr>
        <w:t xml:space="preserve">e jāmin arī apstāklis, ka </w:t>
      </w:r>
      <w:r w:rsidRPr="00EE1712">
        <w:rPr>
          <w:rFonts w:eastAsia="Times New Roman" w:cs="Times New Roman"/>
          <w:szCs w:val="28"/>
        </w:rPr>
        <w:t xml:space="preserve">siltumapgādes uzņēmumi </w:t>
      </w:r>
      <w:r>
        <w:rPr>
          <w:rFonts w:eastAsia="Times New Roman" w:cs="Times New Roman"/>
          <w:szCs w:val="28"/>
        </w:rPr>
        <w:t xml:space="preserve">pakāpeniski </w:t>
      </w:r>
      <w:r w:rsidRPr="00EE1712">
        <w:rPr>
          <w:rFonts w:eastAsia="Times New Roman" w:cs="Times New Roman"/>
          <w:szCs w:val="28"/>
        </w:rPr>
        <w:t>pāriet uz alternatīvo resursu izmantošanu tād</w:t>
      </w:r>
      <w:r>
        <w:rPr>
          <w:rFonts w:eastAsia="Times New Roman" w:cs="Times New Roman"/>
          <w:szCs w:val="28"/>
        </w:rPr>
        <w:t>ē</w:t>
      </w:r>
      <w:r w:rsidRPr="00EE1712">
        <w:rPr>
          <w:rFonts w:eastAsia="Times New Roman" w:cs="Times New Roman"/>
          <w:szCs w:val="28"/>
        </w:rPr>
        <w:t xml:space="preserve">jādi samazinot dabasgāzes patēriņu. </w:t>
      </w:r>
    </w:p>
    <w:p w:rsidR="008F1CCD" w:rsidRPr="00EE1712" w:rsidRDefault="008F1CCD" w:rsidP="008F1CCD">
      <w:pPr>
        <w:jc w:val="center"/>
        <w:rPr>
          <w:rFonts w:eastAsia="Times New Roman" w:cs="Times New Roman"/>
          <w:szCs w:val="28"/>
          <w:highlight w:val="green"/>
        </w:rPr>
      </w:pPr>
      <w:r w:rsidRPr="00EE1712">
        <w:rPr>
          <w:rFonts w:eastAsia="Times New Roman" w:cs="Times New Roman"/>
          <w:noProof/>
          <w:szCs w:val="28"/>
          <w:lang w:eastAsia="lv-LV"/>
        </w:rPr>
        <w:lastRenderedPageBreak/>
        <w:drawing>
          <wp:inline distT="0" distB="0" distL="0" distR="0" wp14:anchorId="0DEE2AC7" wp14:editId="04EBC560">
            <wp:extent cx="3990975" cy="2546609"/>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4780" cy="2568179"/>
                    </a:xfrm>
                    <a:prstGeom prst="rect">
                      <a:avLst/>
                    </a:prstGeom>
                    <a:noFill/>
                  </pic:spPr>
                </pic:pic>
              </a:graphicData>
            </a:graphic>
          </wp:inline>
        </w:drawing>
      </w:r>
    </w:p>
    <w:p w:rsidR="008F1CCD" w:rsidRPr="001162AC" w:rsidRDefault="00526BF2" w:rsidP="001162AC">
      <w:pPr>
        <w:rPr>
          <w:rFonts w:eastAsia="Times New Roman" w:cs="Times New Roman"/>
          <w:b/>
          <w:sz w:val="24"/>
          <w:szCs w:val="24"/>
        </w:rPr>
      </w:pPr>
      <w:r w:rsidRPr="001162AC">
        <w:rPr>
          <w:rFonts w:eastAsia="Times New Roman" w:cs="Times New Roman"/>
          <w:b/>
          <w:sz w:val="24"/>
          <w:szCs w:val="24"/>
        </w:rPr>
        <w:t>12</w:t>
      </w:r>
      <w:r w:rsidR="008F1CCD" w:rsidRPr="001162AC">
        <w:rPr>
          <w:rFonts w:eastAsia="Times New Roman" w:cs="Times New Roman"/>
          <w:b/>
          <w:sz w:val="24"/>
          <w:szCs w:val="24"/>
        </w:rPr>
        <w:t>. attēls. Dabasgāzes patēriņa svārstības 2012. – 2013.gadā pa mēnešiem, milj. m</w:t>
      </w:r>
      <w:r w:rsidR="008F1CCD" w:rsidRPr="001162AC">
        <w:rPr>
          <w:rFonts w:eastAsia="Times New Roman" w:cs="Times New Roman"/>
          <w:b/>
          <w:sz w:val="24"/>
          <w:szCs w:val="24"/>
          <w:vertAlign w:val="superscript"/>
        </w:rPr>
        <w:t>3</w:t>
      </w:r>
      <w:r w:rsidR="008F1CCD" w:rsidRPr="001162AC">
        <w:rPr>
          <w:rFonts w:eastAsia="Times New Roman" w:cs="Times New Roman"/>
          <w:b/>
          <w:sz w:val="24"/>
          <w:szCs w:val="24"/>
        </w:rPr>
        <w:t>.</w:t>
      </w:r>
    </w:p>
    <w:p w:rsidR="00EA4579" w:rsidRDefault="00EA4579" w:rsidP="00A01433">
      <w:pPr>
        <w:ind w:firstLine="482"/>
        <w:jc w:val="both"/>
        <w:rPr>
          <w:rFonts w:eastAsia="Times New Roman" w:cs="Times New Roman"/>
          <w:szCs w:val="28"/>
        </w:rPr>
      </w:pPr>
    </w:p>
    <w:p w:rsidR="008F1CCD" w:rsidRDefault="008F1CCD" w:rsidP="008F1CCD">
      <w:pPr>
        <w:ind w:firstLine="720"/>
        <w:jc w:val="both"/>
        <w:rPr>
          <w:rFonts w:eastAsia="Times New Roman" w:cs="Times New Roman"/>
          <w:szCs w:val="28"/>
        </w:rPr>
      </w:pPr>
      <w:r w:rsidRPr="00EE1712">
        <w:rPr>
          <w:rFonts w:eastAsia="Times New Roman" w:cs="Times New Roman"/>
          <w:szCs w:val="28"/>
        </w:rPr>
        <w:t>Galvenās nozares, kur patērē dabasgāzi, ir pārveidošanas sektors (enerģētika), rūpniecība un būvniecība, kā arī mājsaimniecību jeb individuālā patēriņa sektors</w:t>
      </w:r>
      <w:r>
        <w:rPr>
          <w:rFonts w:eastAsia="Times New Roman" w:cs="Times New Roman"/>
          <w:szCs w:val="28"/>
        </w:rPr>
        <w:t xml:space="preserve">. </w:t>
      </w:r>
      <w:r w:rsidRPr="00EE1712">
        <w:rPr>
          <w:rFonts w:eastAsia="Times New Roman" w:cs="Times New Roman"/>
          <w:szCs w:val="28"/>
        </w:rPr>
        <w:t xml:space="preserve">Elektroenerģijas ražošanai tiek izmantots aptuveni 2/3 no kopējā gāzes patēriņa valstī. Divas lielākās Latvijas elektrostacijas (Rīgas TEC ˗1 un Rīgas TEC – 2) ir kombinētā cikla dabasgāzes stacijas, kurās vienlaikus tiek ražota elektroenerģija un siltums Rīgas pilsētas siltumapgādei. Ņemot vērā lielu siltumslodžu sezonālo raksturu, arī lielo koģenerācijas staciju enerģijas ražošanas intensitāte ir  sezonāla. </w:t>
      </w:r>
    </w:p>
    <w:p w:rsidR="008F1CCD" w:rsidRPr="00EE1712" w:rsidRDefault="008F1CCD" w:rsidP="008F1CCD">
      <w:pPr>
        <w:ind w:firstLine="720"/>
        <w:jc w:val="both"/>
        <w:rPr>
          <w:rFonts w:eastAsia="Times New Roman" w:cs="Times New Roman"/>
          <w:szCs w:val="28"/>
        </w:rPr>
      </w:pPr>
      <w:r w:rsidRPr="00EE1712">
        <w:rPr>
          <w:rFonts w:eastAsia="Times New Roman" w:cs="Times New Roman"/>
          <w:szCs w:val="28"/>
        </w:rPr>
        <w:t>Dabasgāzes cen</w:t>
      </w:r>
      <w:r>
        <w:rPr>
          <w:rFonts w:eastAsia="Times New Roman" w:cs="Times New Roman"/>
          <w:szCs w:val="28"/>
        </w:rPr>
        <w:t>as pēdējos gados ir nedaudz samazinājušās. D</w:t>
      </w:r>
      <w:r w:rsidRPr="00EE1712">
        <w:rPr>
          <w:rFonts w:eastAsia="Times New Roman" w:cs="Times New Roman"/>
          <w:szCs w:val="28"/>
        </w:rPr>
        <w:t xml:space="preserve">inamika lielākajās patēriņa grupās – dabasgāzes patēriņā rūpnieciskajiem patērētājiem un mājsaimniecībām, laika posmā no 2003. – 2013.gadam, redzama </w:t>
      </w:r>
      <w:r w:rsidR="00526BF2" w:rsidRPr="00EE1712">
        <w:rPr>
          <w:rFonts w:eastAsia="Times New Roman" w:cs="Times New Roman"/>
          <w:szCs w:val="28"/>
        </w:rPr>
        <w:t>1</w:t>
      </w:r>
      <w:r w:rsidR="00526BF2">
        <w:rPr>
          <w:rFonts w:eastAsia="Times New Roman" w:cs="Times New Roman"/>
          <w:szCs w:val="28"/>
        </w:rPr>
        <w:t>3</w:t>
      </w:r>
      <w:r w:rsidRPr="00EE1712">
        <w:rPr>
          <w:rFonts w:eastAsia="Times New Roman" w:cs="Times New Roman"/>
          <w:szCs w:val="28"/>
        </w:rPr>
        <w:t>.</w:t>
      </w:r>
      <w:r>
        <w:rPr>
          <w:rFonts w:eastAsia="Times New Roman" w:cs="Times New Roman"/>
          <w:szCs w:val="28"/>
        </w:rPr>
        <w:t xml:space="preserve">attēlā. </w:t>
      </w:r>
    </w:p>
    <w:p w:rsidR="008F1CCD" w:rsidRPr="00EE1712" w:rsidRDefault="008F1CCD" w:rsidP="008F1CCD">
      <w:pPr>
        <w:ind w:firstLine="720"/>
        <w:jc w:val="both"/>
        <w:rPr>
          <w:rFonts w:eastAsia="Times New Roman" w:cs="Times New Roman"/>
          <w:szCs w:val="28"/>
        </w:rPr>
      </w:pPr>
    </w:p>
    <w:p w:rsidR="008F1CCD" w:rsidRDefault="008F1CCD" w:rsidP="008F1CCD">
      <w:pPr>
        <w:jc w:val="center"/>
        <w:rPr>
          <w:rFonts w:eastAsia="Times New Roman" w:cs="Times New Roman"/>
          <w:szCs w:val="28"/>
        </w:rPr>
      </w:pPr>
      <w:r w:rsidRPr="00EE1712">
        <w:rPr>
          <w:rFonts w:eastAsia="Times New Roman" w:cs="Times New Roman"/>
          <w:noProof/>
          <w:szCs w:val="28"/>
          <w:lang w:eastAsia="lv-LV"/>
        </w:rPr>
        <w:drawing>
          <wp:inline distT="0" distB="0" distL="0" distR="0" wp14:anchorId="63FFA660" wp14:editId="619E9B0C">
            <wp:extent cx="4857577" cy="27813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860399" cy="2782916"/>
                    </a:xfrm>
                    <a:prstGeom prst="rect">
                      <a:avLst/>
                    </a:prstGeom>
                  </pic:spPr>
                </pic:pic>
              </a:graphicData>
            </a:graphic>
          </wp:inline>
        </w:drawing>
      </w:r>
    </w:p>
    <w:p w:rsidR="008F1CCD" w:rsidRPr="00EE1712" w:rsidRDefault="008F1CCD" w:rsidP="008F1CCD">
      <w:pPr>
        <w:ind w:firstLine="720"/>
        <w:jc w:val="both"/>
        <w:rPr>
          <w:rFonts w:eastAsia="Times New Roman" w:cs="Times New Roman"/>
          <w:sz w:val="20"/>
          <w:szCs w:val="20"/>
        </w:rPr>
      </w:pPr>
      <w:r w:rsidRPr="00EE1712">
        <w:rPr>
          <w:rFonts w:eastAsia="Times New Roman" w:cs="Times New Roman"/>
          <w:sz w:val="20"/>
          <w:szCs w:val="20"/>
        </w:rPr>
        <w:t>Avots: AS „Latvijas Gāze”</w:t>
      </w:r>
    </w:p>
    <w:p w:rsidR="008F1CCD" w:rsidRPr="001162AC" w:rsidRDefault="00526BF2" w:rsidP="001162AC">
      <w:pPr>
        <w:rPr>
          <w:rFonts w:eastAsia="Times New Roman" w:cs="Times New Roman"/>
          <w:b/>
          <w:sz w:val="24"/>
          <w:szCs w:val="24"/>
        </w:rPr>
      </w:pPr>
      <w:r w:rsidRPr="001162AC">
        <w:rPr>
          <w:rFonts w:eastAsia="Times New Roman" w:cs="Times New Roman"/>
          <w:b/>
          <w:sz w:val="24"/>
          <w:szCs w:val="24"/>
        </w:rPr>
        <w:t>13</w:t>
      </w:r>
      <w:r w:rsidR="008F1CCD" w:rsidRPr="001162AC">
        <w:rPr>
          <w:rFonts w:eastAsia="Times New Roman" w:cs="Times New Roman"/>
          <w:b/>
          <w:sz w:val="24"/>
          <w:szCs w:val="24"/>
        </w:rPr>
        <w:t>. attēls. Mazuta un dabasgāzes tarifu dinamika Latvijā 2003. – 2013.g.</w:t>
      </w:r>
    </w:p>
    <w:p w:rsidR="008F1CCD" w:rsidRPr="00EE1712" w:rsidRDefault="008F1CCD" w:rsidP="008F1CCD">
      <w:pPr>
        <w:ind w:firstLine="720"/>
        <w:jc w:val="both"/>
        <w:rPr>
          <w:rFonts w:eastAsia="Times New Roman" w:cs="Times New Roman"/>
          <w:szCs w:val="28"/>
        </w:rPr>
      </w:pPr>
      <w:r w:rsidRPr="00EE1712">
        <w:rPr>
          <w:rFonts w:eastAsia="Times New Roman" w:cs="Times New Roman"/>
          <w:szCs w:val="28"/>
        </w:rPr>
        <w:lastRenderedPageBreak/>
        <w:t xml:space="preserve">AS „Latvijas Gāze” ir noslēgusi ilgtermiņa līgumus ar gāzes piegādātājiem AAS „Gazprom” un SIA „ITERA Latvija” līdz 2030.gadam, kas paredz gāzes piegādes pietiekamā apjomā Latvijas lietotājiem. Piegādes un patēriņa atbilstību nodrošina </w:t>
      </w:r>
      <w:r>
        <w:rPr>
          <w:rFonts w:eastAsia="Times New Roman" w:cs="Times New Roman"/>
          <w:szCs w:val="28"/>
        </w:rPr>
        <w:t>I</w:t>
      </w:r>
      <w:r w:rsidRPr="00EE1712">
        <w:rPr>
          <w:rFonts w:eastAsia="Times New Roman" w:cs="Times New Roman"/>
          <w:szCs w:val="28"/>
        </w:rPr>
        <w:t xml:space="preserve">PGK, kuras aktīvās gāzes tilpums ir aptuveni vienāds ar 1,5 gadu gāzes patēriņu Latvijā. </w:t>
      </w:r>
    </w:p>
    <w:p w:rsidR="008F1CCD" w:rsidRDefault="008F1CCD" w:rsidP="008F1CCD">
      <w:pPr>
        <w:ind w:firstLine="720"/>
        <w:jc w:val="both"/>
      </w:pPr>
      <w:r w:rsidRPr="00EE1712">
        <w:rPr>
          <w:rFonts w:eastAsia="Times New Roman" w:cs="Times New Roman"/>
          <w:szCs w:val="28"/>
        </w:rPr>
        <w:t>Šobrīd Latvijas dabasgāzes sektorā un tirgū darbojas viens vertikāli integrēts uzņēmums – AS „Latvijas Gāze”, kas nodrošina dabasgāzes iepirkšanu, uzglabāšanu, pārvadi, sadali un tirdzniecību.</w:t>
      </w:r>
      <w:r w:rsidRPr="00EE1712">
        <w:t xml:space="preserve"> </w:t>
      </w:r>
    </w:p>
    <w:p w:rsidR="008F1CCD" w:rsidRDefault="008F1CCD" w:rsidP="008F1CCD">
      <w:pPr>
        <w:ind w:firstLine="567"/>
        <w:jc w:val="both"/>
        <w:rPr>
          <w:szCs w:val="28"/>
        </w:rPr>
      </w:pPr>
      <w:r w:rsidRPr="00EE1712">
        <w:rPr>
          <w:szCs w:val="28"/>
        </w:rPr>
        <w:t>Direktīvas 2009/73/EK kontekstā Latvija</w:t>
      </w:r>
      <w:r>
        <w:rPr>
          <w:szCs w:val="28"/>
        </w:rPr>
        <w:t>i</w:t>
      </w:r>
      <w:r w:rsidRPr="00EE1712">
        <w:rPr>
          <w:szCs w:val="28"/>
        </w:rPr>
        <w:t xml:space="preserve"> atbilst divas atsevišķas atkāpes no vairākām prasībām, kas piemērojamas atšķirīgos termiņos. </w:t>
      </w:r>
    </w:p>
    <w:p w:rsidR="008F1CCD" w:rsidRDefault="008F1CCD" w:rsidP="008F1CCD">
      <w:pPr>
        <w:pStyle w:val="ListParagraph"/>
        <w:numPr>
          <w:ilvl w:val="0"/>
          <w:numId w:val="1"/>
        </w:numPr>
        <w:jc w:val="both"/>
        <w:rPr>
          <w:szCs w:val="28"/>
        </w:rPr>
      </w:pPr>
      <w:r w:rsidRPr="00A46DE1">
        <w:rPr>
          <w:szCs w:val="28"/>
        </w:rPr>
        <w:t xml:space="preserve">„Jauna tirgus” atkāpe, kas </w:t>
      </w:r>
      <w:r w:rsidR="004E6344">
        <w:rPr>
          <w:szCs w:val="28"/>
        </w:rPr>
        <w:t>bija</w:t>
      </w:r>
      <w:r w:rsidRPr="00A46DE1">
        <w:rPr>
          <w:szCs w:val="28"/>
        </w:rPr>
        <w:t xml:space="preserve"> spēkā līdz 2014.gadam, kad apritējuši desmit gadi kopš pirmās komerciālās dabasgāzes piegādes saskaņā ar pirmo ilgtermiņa līgumu</w:t>
      </w:r>
      <w:r>
        <w:rPr>
          <w:szCs w:val="28"/>
        </w:rPr>
        <w:t>.</w:t>
      </w:r>
    </w:p>
    <w:p w:rsidR="008F1CCD" w:rsidRPr="00A46DE1" w:rsidRDefault="008F1CCD" w:rsidP="008F1CCD">
      <w:pPr>
        <w:pStyle w:val="ListParagraph"/>
        <w:numPr>
          <w:ilvl w:val="0"/>
          <w:numId w:val="1"/>
        </w:numPr>
        <w:jc w:val="both"/>
        <w:rPr>
          <w:szCs w:val="28"/>
        </w:rPr>
      </w:pPr>
      <w:r w:rsidRPr="00A46DE1">
        <w:rPr>
          <w:szCs w:val="28"/>
        </w:rPr>
        <w:t>„</w:t>
      </w:r>
      <w:r>
        <w:rPr>
          <w:szCs w:val="28"/>
        </w:rPr>
        <w:t>I</w:t>
      </w:r>
      <w:r w:rsidRPr="00A46DE1">
        <w:rPr>
          <w:szCs w:val="28"/>
        </w:rPr>
        <w:t>zolēta tirgus” atkāpe, kas darbojās līdz brīdim,  kad Latvijai (Baltijas valstīm) būs tiešs  starpsavienojums ar jebkuras Eiropas Savienības dalībvalsts, izņemot Igaunijas, Lietuvas un Somijas, dabasgāzes sistēmu vai dominējošā piegādātāja daļa kopējā Latvijas dabasgāzes patēriņā samazināsies zem 75%.</w:t>
      </w:r>
    </w:p>
    <w:p w:rsidR="00EA4579" w:rsidRDefault="00EA4579" w:rsidP="008F1CCD">
      <w:pPr>
        <w:ind w:firstLine="567"/>
        <w:jc w:val="both"/>
        <w:rPr>
          <w:szCs w:val="28"/>
        </w:rPr>
      </w:pPr>
    </w:p>
    <w:p w:rsidR="008F1CCD" w:rsidRPr="00EE1712" w:rsidRDefault="004E46E6" w:rsidP="008F1CCD">
      <w:pPr>
        <w:ind w:firstLine="567"/>
        <w:jc w:val="both"/>
        <w:rPr>
          <w:szCs w:val="28"/>
        </w:rPr>
      </w:pPr>
      <w:r>
        <w:rPr>
          <w:szCs w:val="28"/>
        </w:rPr>
        <w:t xml:space="preserve">2014.gada 20.marta </w:t>
      </w:r>
      <w:r w:rsidR="008F1CCD">
        <w:rPr>
          <w:szCs w:val="28"/>
        </w:rPr>
        <w:t>grozījum</w:t>
      </w:r>
      <w:r>
        <w:rPr>
          <w:szCs w:val="28"/>
        </w:rPr>
        <w:t xml:space="preserve">i Enerģētikas likumā </w:t>
      </w:r>
      <w:r w:rsidR="008F1CCD" w:rsidRPr="00EE1712">
        <w:rPr>
          <w:szCs w:val="28"/>
        </w:rPr>
        <w:t xml:space="preserve">paredz </w:t>
      </w:r>
      <w:r>
        <w:rPr>
          <w:szCs w:val="28"/>
        </w:rPr>
        <w:t xml:space="preserve">šādas </w:t>
      </w:r>
      <w:r w:rsidR="008F1CCD" w:rsidRPr="00EE1712">
        <w:rPr>
          <w:szCs w:val="28"/>
        </w:rPr>
        <w:t>normas</w:t>
      </w:r>
      <w:r w:rsidR="008F1CCD">
        <w:rPr>
          <w:szCs w:val="28"/>
        </w:rPr>
        <w:t xml:space="preserve">: </w:t>
      </w:r>
    </w:p>
    <w:p w:rsidR="008F1CCD" w:rsidRPr="00EE1712" w:rsidRDefault="008F1CCD" w:rsidP="008F1CCD">
      <w:pPr>
        <w:pStyle w:val="ListParagraph"/>
        <w:numPr>
          <w:ilvl w:val="0"/>
          <w:numId w:val="1"/>
        </w:numPr>
        <w:ind w:left="357" w:hanging="357"/>
        <w:jc w:val="both"/>
      </w:pPr>
      <w:r>
        <w:t>n</w:t>
      </w:r>
      <w:r w:rsidRPr="00EE1712">
        <w:t>o 2014.gada 4.aprīļa</w:t>
      </w:r>
      <w:r>
        <w:t>:</w:t>
      </w:r>
      <w:r w:rsidRPr="00EE1712">
        <w:t xml:space="preserve"> </w:t>
      </w:r>
    </w:p>
    <w:p w:rsidR="008F1CCD" w:rsidRPr="00EE1712" w:rsidRDefault="008F1CCD" w:rsidP="008F1CCD">
      <w:pPr>
        <w:ind w:left="720" w:firstLine="75"/>
        <w:jc w:val="both"/>
      </w:pPr>
      <w:r w:rsidRPr="00EE1712">
        <w:t xml:space="preserve">- </w:t>
      </w:r>
      <w:r w:rsidRPr="00EE1712">
        <w:rPr>
          <w:u w:val="single"/>
        </w:rPr>
        <w:t>trešo pušu pieeja dabasgāzes sadales, pārvades sistēmām un dabasgāzes krātuvei.</w:t>
      </w:r>
      <w:r w:rsidRPr="00EE1712">
        <w:t xml:space="preserve"> Līdz 2014.gada 4.septembrim a/s „Latvijas Gāze” ir jāizstrādā un jāiesniedz S</w:t>
      </w:r>
      <w:r>
        <w:t xml:space="preserve">PRK </w:t>
      </w:r>
      <w:r w:rsidRPr="00EE1712">
        <w:t>apstiprināšanai dabasgāzes sadales sistēmas, dabasgāzes pārvades sistēmas un dabasgāzes krātuves lietošanas noteikumi. Likums paredz, ka pieeju var atteikt, ja komersants uzskata, ka nonāks nopietnās ekonomiskās un finansiālās grūtībās sakarā ar fiksēta maksājuma apjoma līguma saistībām. Sistēmas operatoram 7 dienu laikā ir jāinformē Regulators par katru gadījumu, kad atteikta pieeja sistēmai;</w:t>
      </w:r>
    </w:p>
    <w:p w:rsidR="008F1CCD" w:rsidRPr="00EE1712" w:rsidRDefault="008F1CCD" w:rsidP="008F1CCD">
      <w:pPr>
        <w:ind w:left="720"/>
        <w:jc w:val="both"/>
      </w:pPr>
      <w:r w:rsidRPr="00EE1712">
        <w:t xml:space="preserve">- </w:t>
      </w:r>
      <w:r w:rsidRPr="00EE1712">
        <w:rPr>
          <w:u w:val="single"/>
        </w:rPr>
        <w:t>balansēšanas maksas ieviešana.</w:t>
      </w:r>
      <w:r w:rsidRPr="00EE1712">
        <w:t xml:space="preserve"> </w:t>
      </w:r>
      <w:r>
        <w:t>K</w:t>
      </w:r>
      <w:r w:rsidRPr="00EE1712">
        <w:t>atram lietotājam, kurš ir tirgus dalībnieks, kā arī sadales sistēmas operatoram ir jāslēdz līgums ar pārvades sistēmas operatoru par balansējošās gāzes piegādi, kā arī sistēmas operatora</w:t>
      </w:r>
      <w:r>
        <w:t>m ir</w:t>
      </w:r>
      <w:r w:rsidRPr="00EE1712">
        <w:t xml:space="preserve"> tiesības pieprasīt, lai enerģijas lietotājs sniedz garantijas par balansēšanas pakalpojumu samaksu atbilstoši sistēmas operatora izstrādātajiem un Regulatora apstiprinātajiem kritērijiem un kārtību šādu garantiju pieprasīšanai;</w:t>
      </w:r>
    </w:p>
    <w:p w:rsidR="008F1CCD" w:rsidRPr="00EE1712" w:rsidRDefault="008F1CCD" w:rsidP="008F1CCD">
      <w:pPr>
        <w:ind w:firstLine="720"/>
        <w:jc w:val="both"/>
      </w:pPr>
      <w:r w:rsidRPr="00EE1712">
        <w:t xml:space="preserve"> - </w:t>
      </w:r>
      <w:r w:rsidRPr="00EE1712">
        <w:rPr>
          <w:u w:val="single"/>
        </w:rPr>
        <w:t xml:space="preserve">šķērssubsīdiju aizliegums. </w:t>
      </w:r>
    </w:p>
    <w:p w:rsidR="008F1CCD" w:rsidRPr="00EE1712" w:rsidRDefault="004E46E6" w:rsidP="008F1CCD">
      <w:pPr>
        <w:pStyle w:val="ListParagraph"/>
        <w:numPr>
          <w:ilvl w:val="0"/>
          <w:numId w:val="1"/>
        </w:numPr>
        <w:ind w:left="357" w:hanging="357"/>
        <w:jc w:val="both"/>
      </w:pPr>
      <w:r>
        <w:t>Ministru kabineta</w:t>
      </w:r>
      <w:r w:rsidR="008F1CCD" w:rsidRPr="00EE1712">
        <w:t xml:space="preserve"> </w:t>
      </w:r>
      <w:r>
        <w:t>noteikumu izdošana</w:t>
      </w:r>
      <w:r w:rsidR="008F1CCD" w:rsidRPr="00EE1712">
        <w:t>, no</w:t>
      </w:r>
      <w:r>
        <w:t>sakot</w:t>
      </w:r>
      <w:r w:rsidR="008F1CCD" w:rsidRPr="00EE1712">
        <w:t xml:space="preserve"> kārtību, kādā lietotājam piegādā dabasgāzi un pārtrauc tās piegādi, tirgotāju, sistēmas operatoru un lietotāju tiesības un pienākumus dabasgāzes piegādē un lietošanā, kā arī sašķidrinātās dabasgāzes pakalpojuma sniegšanu.</w:t>
      </w:r>
    </w:p>
    <w:p w:rsidR="008F1CCD" w:rsidRPr="00FA5E1E" w:rsidRDefault="004E46E6" w:rsidP="008F1CCD">
      <w:pPr>
        <w:pStyle w:val="ListParagraph"/>
        <w:numPr>
          <w:ilvl w:val="0"/>
          <w:numId w:val="1"/>
        </w:numPr>
        <w:tabs>
          <w:tab w:val="num" w:pos="0"/>
        </w:tabs>
        <w:spacing w:before="240" w:after="60"/>
        <w:ind w:left="357" w:hanging="357"/>
        <w:jc w:val="both"/>
        <w:outlineLvl w:val="5"/>
        <w:rPr>
          <w:rFonts w:eastAsia="Times New Roman" w:cs="Times New Roman"/>
          <w:bCs/>
          <w:szCs w:val="28"/>
        </w:rPr>
      </w:pPr>
      <w:r>
        <w:lastRenderedPageBreak/>
        <w:t>Ministru kabineta</w:t>
      </w:r>
      <w:r w:rsidRPr="00EE1712">
        <w:t xml:space="preserve"> </w:t>
      </w:r>
      <w:r>
        <w:t>noteikumu izdošana</w:t>
      </w:r>
      <w:r w:rsidRPr="00EE1712">
        <w:t>, no</w:t>
      </w:r>
      <w:r>
        <w:t>sakot</w:t>
      </w:r>
      <w:r w:rsidRPr="00EE1712">
        <w:t xml:space="preserve"> </w:t>
      </w:r>
      <w:r w:rsidR="008F1CCD">
        <w:rPr>
          <w:rFonts w:eastAsia="Times New Roman" w:cs="Times New Roman"/>
          <w:bCs/>
          <w:szCs w:val="28"/>
        </w:rPr>
        <w:t xml:space="preserve">elektroenerģijas un dabasgāzes </w:t>
      </w:r>
      <w:r w:rsidR="008F1CCD" w:rsidRPr="00FA5E1E">
        <w:rPr>
          <w:rFonts w:eastAsia="Times New Roman" w:cs="Times New Roman"/>
          <w:bCs/>
          <w:szCs w:val="28"/>
        </w:rPr>
        <w:t>sistēmas operatora tirgus dalībnieka un tirgotāja atbildību par Enerģētikas likuma</w:t>
      </w:r>
      <w:r w:rsidR="008F1CCD">
        <w:rPr>
          <w:rFonts w:eastAsia="Times New Roman" w:cs="Times New Roman"/>
          <w:bCs/>
          <w:szCs w:val="28"/>
        </w:rPr>
        <w:t>, Elektroenerģijas tirdzniecības likuma</w:t>
      </w:r>
      <w:r w:rsidR="008F1CCD" w:rsidRPr="00FA5E1E">
        <w:rPr>
          <w:rFonts w:eastAsia="Times New Roman" w:cs="Times New Roman"/>
          <w:bCs/>
          <w:szCs w:val="28"/>
        </w:rPr>
        <w:t xml:space="preserve">, licenču, kā arī Regulas Nr. 1227/2011 normu neievērošanu. Naudas sods paredzēts </w:t>
      </w:r>
      <w:r w:rsidR="008F1CCD">
        <w:rPr>
          <w:rFonts w:eastAsia="Times New Roman" w:cs="Times New Roman"/>
          <w:bCs/>
          <w:szCs w:val="28"/>
        </w:rPr>
        <w:t xml:space="preserve">līdz </w:t>
      </w:r>
      <w:r w:rsidR="008F1CCD" w:rsidRPr="00FA5E1E">
        <w:rPr>
          <w:rFonts w:eastAsia="Times New Roman" w:cs="Times New Roman"/>
          <w:bCs/>
          <w:szCs w:val="28"/>
        </w:rPr>
        <w:t>10% no iepriekšējā finanšu gada neto apgrozījuma, bet ne mazāk kā 300 EUR.</w:t>
      </w:r>
    </w:p>
    <w:p w:rsidR="008F1CCD" w:rsidRPr="00EE1712" w:rsidRDefault="008F1CCD" w:rsidP="008F1CCD">
      <w:pPr>
        <w:jc w:val="both"/>
      </w:pPr>
      <w:r>
        <w:t>- n</w:t>
      </w:r>
      <w:r w:rsidRPr="00EE1712">
        <w:t>o 2015.gada 1.janvāra stā</w:t>
      </w:r>
      <w:r w:rsidR="004E46E6">
        <w:t>jas</w:t>
      </w:r>
      <w:r w:rsidRPr="00EE1712">
        <w:t xml:space="preserve"> spēkā normas, kas:</w:t>
      </w:r>
    </w:p>
    <w:p w:rsidR="008F1CCD" w:rsidRPr="00EE1712" w:rsidRDefault="008F1CCD" w:rsidP="008F1CCD">
      <w:pPr>
        <w:ind w:left="720" w:firstLine="75"/>
        <w:jc w:val="both"/>
      </w:pPr>
      <w:r w:rsidRPr="00EE1712">
        <w:t>- dod tiesības dabasgāzes pārvades sistēmā ievadīt biogāzi un no biomasas saražoto gāzi, kā arī sašķidrināto dabasgāzi. Ministru kabinetam līdz 2014.gada 31.decembrim ir jāizdod noteikumi, kas nosaka tehniskās un drošības prasības, kā arī gāzes kvalitātes raksturlielumus, lai gāzes ievadīšana un transportēšana dabasgāzes pārvades sistēmā būtu droša;</w:t>
      </w:r>
    </w:p>
    <w:p w:rsidR="008F1CCD" w:rsidRPr="00EE1712" w:rsidRDefault="008F1CCD" w:rsidP="008F1CCD">
      <w:pPr>
        <w:ind w:left="720"/>
        <w:jc w:val="both"/>
      </w:pPr>
      <w:r w:rsidRPr="00EE1712">
        <w:t xml:space="preserve">-  </w:t>
      </w:r>
      <w:r w:rsidR="004E46E6">
        <w:t>nosaka</w:t>
      </w:r>
      <w:r w:rsidRPr="00EE1712">
        <w:t>, kāda informācija tirgotājam ir jāiekļauj lietotājam izsniedzamajos galarēķinos un šīs informācijas apjomu.</w:t>
      </w:r>
    </w:p>
    <w:p w:rsidR="008F1CCD" w:rsidRPr="00EE1712" w:rsidRDefault="008F1CCD" w:rsidP="008F1CCD">
      <w:pPr>
        <w:pStyle w:val="ListParagraph"/>
        <w:numPr>
          <w:ilvl w:val="0"/>
          <w:numId w:val="1"/>
        </w:numPr>
        <w:ind w:left="0"/>
        <w:jc w:val="both"/>
      </w:pPr>
      <w:r>
        <w:t>n</w:t>
      </w:r>
      <w:r w:rsidRPr="00EE1712">
        <w:t>o 2017.gada 3.aprīļa stājas spēkā likuma panti, kas paredz, ka ir jānodrošina sadales sistēmas operatora juridiska nošķiršana. Sadales sistēmas operatoram līdz 2017.gada 2.aprīlim ir jāiesniedz Regulatoram neatkarības ziņojums.</w:t>
      </w:r>
    </w:p>
    <w:p w:rsidR="008F1CCD" w:rsidRPr="00EE1712" w:rsidRDefault="008F1CCD" w:rsidP="008F1CCD">
      <w:pPr>
        <w:pStyle w:val="ListParagraph"/>
        <w:numPr>
          <w:ilvl w:val="0"/>
          <w:numId w:val="1"/>
        </w:numPr>
        <w:ind w:left="0"/>
        <w:jc w:val="both"/>
      </w:pPr>
      <w:r>
        <w:t>n</w:t>
      </w:r>
      <w:r w:rsidRPr="00EE1712">
        <w:t>o 2017.gada 3.aprīļa, ja ātrāk nav iestājies viens no šādiem apstākļiem - Latvijas dabasgāzes sistēma ir tieši savienota ar jebkuras Eiropas Savienības dalībvalsts, starpsavienoto dabasgāzes sistēmu, izņemot Igauniju, Lietuvu un Somiju vai dominējošā piegādātāja daļa kopējā Latvijas dabasgāzes patēriņa nodrošināšanā ir mazāka par 75% - stāsies spēkā likuma panti, kas paredz pilnīgu dabasgāzes tirgus atvēršanu</w:t>
      </w:r>
      <w:r>
        <w:t xml:space="preserve">: </w:t>
      </w:r>
    </w:p>
    <w:p w:rsidR="008F1CCD" w:rsidRPr="00EE1712" w:rsidRDefault="008F1CCD" w:rsidP="008F1CCD">
      <w:pPr>
        <w:ind w:left="720" w:firstLine="75"/>
        <w:jc w:val="both"/>
      </w:pPr>
      <w:r>
        <w:t xml:space="preserve">- lietotājam ir tiesības </w:t>
      </w:r>
      <w:r w:rsidRPr="00EE1712">
        <w:t>izvēlēties tirgotāju un brīvi to mainīt;</w:t>
      </w:r>
    </w:p>
    <w:p w:rsidR="008F1CCD" w:rsidRPr="00EE1712" w:rsidRDefault="008F1CCD" w:rsidP="008F1CCD">
      <w:pPr>
        <w:ind w:left="720" w:firstLine="75"/>
        <w:jc w:val="both"/>
      </w:pPr>
      <w:r>
        <w:t xml:space="preserve">- lietotājam ir tiesības </w:t>
      </w:r>
      <w:r w:rsidRPr="00EE1712">
        <w:t>izbūvēt tiešo līniju;</w:t>
      </w:r>
    </w:p>
    <w:p w:rsidR="008F1CCD" w:rsidRPr="00EE1712" w:rsidRDefault="008F1CCD" w:rsidP="008F1CCD">
      <w:pPr>
        <w:ind w:left="720" w:firstLine="75"/>
        <w:jc w:val="both"/>
      </w:pPr>
      <w:r>
        <w:t xml:space="preserve">- nodalīts </w:t>
      </w:r>
      <w:r w:rsidRPr="00EE1712">
        <w:t>pārvades sistēmas operator</w:t>
      </w:r>
      <w:r>
        <w:t xml:space="preserve">s. </w:t>
      </w:r>
    </w:p>
    <w:p w:rsidR="008F1CCD" w:rsidRDefault="008F1CCD" w:rsidP="008F1CCD">
      <w:pPr>
        <w:ind w:firstLine="720"/>
        <w:jc w:val="both"/>
      </w:pPr>
    </w:p>
    <w:p w:rsidR="00640AEE" w:rsidRDefault="00640AEE" w:rsidP="00640AEE">
      <w:pPr>
        <w:ind w:firstLine="720"/>
        <w:jc w:val="both"/>
        <w:rPr>
          <w:szCs w:val="28"/>
        </w:rPr>
      </w:pPr>
      <w:r w:rsidRPr="00976F99">
        <w:rPr>
          <w:rFonts w:eastAsia="Times New Roman" w:cs="Times New Roman"/>
          <w:szCs w:val="28"/>
        </w:rPr>
        <w:t xml:space="preserve">AS „Latvijas Gāze” akcijas tiek kotētas </w:t>
      </w:r>
      <w:r w:rsidRPr="00976F99">
        <w:rPr>
          <w:rFonts w:eastAsia="Times New Roman" w:cs="Times New Roman"/>
          <w:i/>
          <w:szCs w:val="28"/>
        </w:rPr>
        <w:t>NASDAQ OMX</w:t>
      </w:r>
      <w:r w:rsidRPr="00976F99">
        <w:rPr>
          <w:rFonts w:eastAsia="Times New Roman" w:cs="Times New Roman"/>
          <w:szCs w:val="28"/>
        </w:rPr>
        <w:t xml:space="preserve"> Rīga biržā, un to kopējais skaits ir 39, 9 miljoni. AS „Latvijas Gāze” lielākie akcionāri ir „E.ON Ruhrgas International GmbH”, AAS Gazprom un SIA „ITERA Latvija” (sk. 1</w:t>
      </w:r>
      <w:r>
        <w:rPr>
          <w:rFonts w:eastAsia="Times New Roman" w:cs="Times New Roman"/>
          <w:szCs w:val="28"/>
        </w:rPr>
        <w:t>4</w:t>
      </w:r>
      <w:r w:rsidRPr="00976F99">
        <w:rPr>
          <w:rFonts w:eastAsia="Times New Roman" w:cs="Times New Roman"/>
          <w:szCs w:val="28"/>
        </w:rPr>
        <w:t xml:space="preserve">.attēlu). Tajā pašā laikā, jāatzīmē, ka </w:t>
      </w:r>
      <w:r w:rsidRPr="00976F99">
        <w:rPr>
          <w:color w:val="000000" w:themeColor="text1"/>
          <w:szCs w:val="28"/>
        </w:rPr>
        <w:t xml:space="preserve">AS „Latvijas Gāze” lielākais akcionārs „E.ON Ruhrgas International” GmbH ir izteicis paziņojumu par plānoto aiziešanu no </w:t>
      </w:r>
      <w:r>
        <w:rPr>
          <w:color w:val="000000" w:themeColor="text1"/>
          <w:szCs w:val="28"/>
        </w:rPr>
        <w:t>Baltijas</w:t>
      </w:r>
      <w:r w:rsidRPr="00976F99">
        <w:rPr>
          <w:color w:val="000000" w:themeColor="text1"/>
          <w:szCs w:val="28"/>
        </w:rPr>
        <w:t xml:space="preserve"> valst</w:t>
      </w:r>
      <w:r>
        <w:rPr>
          <w:color w:val="000000" w:themeColor="text1"/>
          <w:szCs w:val="28"/>
        </w:rPr>
        <w:t>u,</w:t>
      </w:r>
      <w:r w:rsidRPr="00976F99">
        <w:rPr>
          <w:color w:val="000000" w:themeColor="text1"/>
          <w:szCs w:val="28"/>
        </w:rPr>
        <w:t xml:space="preserve"> tajā skaitā Latvijas, dabasgāzes tirgus</w:t>
      </w:r>
      <w:r>
        <w:rPr>
          <w:color w:val="000000" w:themeColor="text1"/>
          <w:szCs w:val="28"/>
        </w:rPr>
        <w:t>.</w:t>
      </w:r>
      <w:r w:rsidRPr="00F65F0E">
        <w:rPr>
          <w:szCs w:val="28"/>
        </w:rPr>
        <w:t xml:space="preserve"> </w:t>
      </w:r>
    </w:p>
    <w:p w:rsidR="009F3329" w:rsidRDefault="009F3329" w:rsidP="009F3329">
      <w:pPr>
        <w:ind w:firstLine="720"/>
        <w:jc w:val="both"/>
        <w:rPr>
          <w:rFonts w:eastAsia="Times New Roman" w:cs="Times New Roman"/>
          <w:szCs w:val="28"/>
        </w:rPr>
      </w:pPr>
    </w:p>
    <w:p w:rsidR="008F1CCD" w:rsidRPr="00EE1712" w:rsidRDefault="001162AC" w:rsidP="009F3329">
      <w:pPr>
        <w:jc w:val="center"/>
        <w:rPr>
          <w:rFonts w:eastAsia="Times New Roman" w:cs="Times New Roman"/>
          <w:sz w:val="24"/>
          <w:szCs w:val="24"/>
        </w:rPr>
      </w:pPr>
      <w:r w:rsidRPr="00EE759E">
        <w:rPr>
          <w:rFonts w:eastAsia="Times New Roman" w:cs="Times New Roman"/>
          <w:noProof/>
          <w:sz w:val="24"/>
          <w:szCs w:val="20"/>
          <w:lang w:eastAsia="lv-LV"/>
        </w:rPr>
        <w:lastRenderedPageBreak/>
        <w:drawing>
          <wp:inline distT="0" distB="0" distL="0" distR="0" wp14:anchorId="1CAF03F6" wp14:editId="0137BDBA">
            <wp:extent cx="3964480" cy="331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73464" cy="3322212"/>
                    </a:xfrm>
                    <a:prstGeom prst="rect">
                      <a:avLst/>
                    </a:prstGeom>
                    <a:noFill/>
                    <a:ln w="9525">
                      <a:noFill/>
                      <a:miter lim="800000"/>
                      <a:headEnd/>
                      <a:tailEnd/>
                    </a:ln>
                  </pic:spPr>
                </pic:pic>
              </a:graphicData>
            </a:graphic>
          </wp:inline>
        </w:drawing>
      </w:r>
    </w:p>
    <w:p w:rsidR="008F1CCD" w:rsidRPr="001162AC" w:rsidRDefault="00924049" w:rsidP="001162AC">
      <w:pPr>
        <w:rPr>
          <w:rFonts w:eastAsia="Times New Roman" w:cs="Times New Roman"/>
          <w:b/>
          <w:sz w:val="24"/>
          <w:szCs w:val="24"/>
        </w:rPr>
      </w:pPr>
      <w:r w:rsidRPr="001162AC">
        <w:rPr>
          <w:rFonts w:eastAsia="Times New Roman" w:cs="Times New Roman"/>
          <w:b/>
          <w:sz w:val="24"/>
          <w:szCs w:val="24"/>
        </w:rPr>
        <w:t>14</w:t>
      </w:r>
      <w:r w:rsidR="008F1CCD" w:rsidRPr="001162AC">
        <w:rPr>
          <w:rFonts w:eastAsia="Times New Roman" w:cs="Times New Roman"/>
          <w:b/>
          <w:sz w:val="24"/>
          <w:szCs w:val="24"/>
        </w:rPr>
        <w:t>. attēls. AS „Latvijas Gāze” akcionāru struktūra</w:t>
      </w:r>
      <w:r w:rsidR="00F1150F">
        <w:rPr>
          <w:rFonts w:eastAsia="Times New Roman" w:cs="Times New Roman"/>
          <w:b/>
          <w:sz w:val="24"/>
          <w:szCs w:val="24"/>
        </w:rPr>
        <w:t xml:space="preserve">, </w:t>
      </w:r>
      <w:r w:rsidR="007A53B5">
        <w:rPr>
          <w:rFonts w:eastAsia="Times New Roman" w:cs="Times New Roman"/>
          <w:b/>
          <w:sz w:val="24"/>
          <w:szCs w:val="24"/>
        </w:rPr>
        <w:t>uz 31.12.2013</w:t>
      </w:r>
      <w:r w:rsidR="008F1CCD" w:rsidRPr="001162AC">
        <w:rPr>
          <w:rFonts w:eastAsia="Times New Roman" w:cs="Times New Roman"/>
          <w:b/>
          <w:sz w:val="24"/>
          <w:szCs w:val="24"/>
        </w:rPr>
        <w:t>.</w:t>
      </w:r>
    </w:p>
    <w:p w:rsidR="009F3329" w:rsidRDefault="009F3329" w:rsidP="00924049">
      <w:pPr>
        <w:ind w:firstLine="720"/>
        <w:jc w:val="both"/>
        <w:rPr>
          <w:rFonts w:eastAsia="Times New Roman" w:cs="Times New Roman"/>
          <w:szCs w:val="28"/>
        </w:rPr>
      </w:pPr>
    </w:p>
    <w:p w:rsidR="00924049" w:rsidRDefault="00924049" w:rsidP="00924049">
      <w:pPr>
        <w:ind w:firstLine="720"/>
        <w:jc w:val="both"/>
        <w:rPr>
          <w:color w:val="000000" w:themeColor="text1"/>
          <w:szCs w:val="28"/>
        </w:rPr>
      </w:pPr>
      <w:r w:rsidRPr="00EE1712">
        <w:rPr>
          <w:szCs w:val="28"/>
        </w:rPr>
        <w:t>Latvijas dabasgāzes apgādes sistēma nav savienota ar citu ES dalībvalstu, izņemot Lietuvu un Igauniju, sistēmām</w:t>
      </w:r>
      <w:r>
        <w:rPr>
          <w:szCs w:val="28"/>
        </w:rPr>
        <w:t xml:space="preserve">. </w:t>
      </w:r>
      <w:r w:rsidRPr="00EE1712">
        <w:rPr>
          <w:szCs w:val="28"/>
        </w:rPr>
        <w:t>Latvijai ir tikai viens dabasgāzes piegādātājs – Krievija, kā rezultātā ir izveidojies izolēts dabasgāzes tirgus jeb tā dēvētā „enerģijas sala”.</w:t>
      </w:r>
    </w:p>
    <w:p w:rsidR="00744A6E" w:rsidRDefault="0010381B" w:rsidP="00921EDE">
      <w:pPr>
        <w:pStyle w:val="Heading2"/>
        <w:numPr>
          <w:ilvl w:val="1"/>
          <w:numId w:val="2"/>
        </w:numPr>
        <w:spacing w:after="120"/>
        <w:ind w:left="1429"/>
      </w:pPr>
      <w:bookmarkStart w:id="17" w:name="_Toc401644319"/>
      <w:r>
        <w:t>Enerģijas i</w:t>
      </w:r>
      <w:r w:rsidR="00744A6E">
        <w:t>nfrastruktūra</w:t>
      </w:r>
      <w:bookmarkEnd w:id="17"/>
    </w:p>
    <w:p w:rsidR="00744A6E" w:rsidRPr="00505EE8" w:rsidRDefault="00744A6E" w:rsidP="00744A6E">
      <w:pPr>
        <w:pStyle w:val="Default"/>
        <w:ind w:firstLine="709"/>
        <w:jc w:val="both"/>
        <w:rPr>
          <w:rFonts w:ascii="Times New Roman" w:hAnsi="Times New Roman" w:cs="Times New Roman"/>
          <w:sz w:val="28"/>
          <w:szCs w:val="28"/>
        </w:rPr>
      </w:pPr>
      <w:r w:rsidRPr="00505EE8">
        <w:rPr>
          <w:rFonts w:ascii="Times New Roman" w:hAnsi="Times New Roman" w:cs="Times New Roman"/>
          <w:sz w:val="28"/>
          <w:szCs w:val="28"/>
        </w:rPr>
        <w:t>Paralēli likumdošanas iniciatīvām notiek aktīvs darbs pie fiziskās infrastruktūras projektu īstenošanas, jo bez fiziskas infrastruktūras, jo īpaši pārrobežu savienojumu izbūves, iekšējā tirgus izveides pabeigšana nav iespējama. Ciešāk</w:t>
      </w:r>
      <w:r>
        <w:rPr>
          <w:rFonts w:ascii="Times New Roman" w:hAnsi="Times New Roman" w:cs="Times New Roman"/>
          <w:sz w:val="28"/>
          <w:szCs w:val="28"/>
        </w:rPr>
        <w:t>a</w:t>
      </w:r>
      <w:r w:rsidRPr="00505EE8">
        <w:rPr>
          <w:rFonts w:ascii="Times New Roman" w:hAnsi="Times New Roman" w:cs="Times New Roman"/>
          <w:sz w:val="28"/>
          <w:szCs w:val="28"/>
        </w:rPr>
        <w:t xml:space="preserve"> tīklu integrācija ir īpaši svarīga valstīm, kuru elektrības vai gāzes tīkli nav saistīti ar citām ES valstīm („enerģijas salām”). </w:t>
      </w:r>
    </w:p>
    <w:p w:rsidR="008F1CCD" w:rsidRDefault="008F1CCD" w:rsidP="00744A6E">
      <w:pPr>
        <w:pStyle w:val="Default"/>
        <w:ind w:firstLine="709"/>
        <w:jc w:val="both"/>
        <w:rPr>
          <w:rFonts w:ascii="Times New Roman" w:hAnsi="Times New Roman" w:cs="Times New Roman"/>
          <w:sz w:val="28"/>
          <w:szCs w:val="28"/>
        </w:rPr>
      </w:pPr>
      <w:r>
        <w:rPr>
          <w:rFonts w:ascii="Times New Roman" w:hAnsi="Times New Roman" w:cs="Times New Roman"/>
          <w:sz w:val="28"/>
          <w:szCs w:val="28"/>
        </w:rPr>
        <w:t>L</w:t>
      </w:r>
      <w:r w:rsidR="00744A6E" w:rsidRPr="00505EE8">
        <w:rPr>
          <w:rFonts w:ascii="Times New Roman" w:hAnsi="Times New Roman" w:cs="Times New Roman"/>
          <w:sz w:val="28"/>
          <w:szCs w:val="28"/>
        </w:rPr>
        <w:t>aik</w:t>
      </w:r>
      <w:r>
        <w:rPr>
          <w:rFonts w:ascii="Times New Roman" w:hAnsi="Times New Roman" w:cs="Times New Roman"/>
          <w:sz w:val="28"/>
          <w:szCs w:val="28"/>
        </w:rPr>
        <w:t xml:space="preserve">a </w:t>
      </w:r>
      <w:r w:rsidR="00744A6E" w:rsidRPr="00505EE8">
        <w:rPr>
          <w:rFonts w:ascii="Times New Roman" w:hAnsi="Times New Roman" w:cs="Times New Roman"/>
          <w:sz w:val="28"/>
          <w:szCs w:val="28"/>
        </w:rPr>
        <w:t xml:space="preserve">posmam no 2014. līdz 2020.gadam </w:t>
      </w:r>
      <w:r w:rsidR="000E454C">
        <w:rPr>
          <w:rFonts w:ascii="Times New Roman" w:hAnsi="Times New Roman" w:cs="Times New Roman"/>
          <w:sz w:val="28"/>
          <w:szCs w:val="28"/>
        </w:rPr>
        <w:t>ES līmenī ir iedibināts</w:t>
      </w:r>
      <w:r>
        <w:rPr>
          <w:rFonts w:ascii="Times New Roman" w:hAnsi="Times New Roman" w:cs="Times New Roman"/>
          <w:sz w:val="28"/>
          <w:szCs w:val="28"/>
        </w:rPr>
        <w:t xml:space="preserve"> </w:t>
      </w:r>
      <w:r w:rsidR="00744A6E" w:rsidRPr="00505EE8">
        <w:rPr>
          <w:rFonts w:ascii="Times New Roman" w:hAnsi="Times New Roman" w:cs="Times New Roman"/>
          <w:sz w:val="28"/>
          <w:szCs w:val="28"/>
        </w:rPr>
        <w:t>jaun</w:t>
      </w:r>
      <w:r>
        <w:rPr>
          <w:rFonts w:ascii="Times New Roman" w:hAnsi="Times New Roman" w:cs="Times New Roman"/>
          <w:sz w:val="28"/>
          <w:szCs w:val="28"/>
        </w:rPr>
        <w:t xml:space="preserve">s finanšu instruments, kura ietvaros tiks sniegts </w:t>
      </w:r>
      <w:r w:rsidR="00744A6E" w:rsidRPr="00505EE8">
        <w:rPr>
          <w:rFonts w:ascii="Times New Roman" w:hAnsi="Times New Roman" w:cs="Times New Roman"/>
          <w:sz w:val="28"/>
          <w:szCs w:val="28"/>
        </w:rPr>
        <w:t>ieguldījumus ES  infrastruktūras attīstībai transporta, enerģētikas un telekomunikāciju jomā — "Eiropas infrastruktūras savienošanas instruments" (turpmāk — CEF</w:t>
      </w:r>
      <w:r w:rsidRPr="0010381B">
        <w:rPr>
          <w:rFonts w:ascii="Times New Roman" w:hAnsi="Times New Roman" w:cs="Times New Roman"/>
          <w:i/>
          <w:sz w:val="28"/>
          <w:szCs w:val="28"/>
        </w:rPr>
        <w:t>(Connecting Europe Facility)</w:t>
      </w:r>
      <w:r w:rsidR="00744A6E" w:rsidRPr="00505EE8">
        <w:rPr>
          <w:rFonts w:ascii="Times New Roman" w:hAnsi="Times New Roman" w:cs="Times New Roman"/>
          <w:sz w:val="28"/>
          <w:szCs w:val="28"/>
        </w:rPr>
        <w:t>). Enerģētikas sektoram paredzētais budžets laikposmam no 2014. līdz 2020.gadam CEF ietvaros sastāda 5 850 ml</w:t>
      </w:r>
      <w:r w:rsidR="00744A6E">
        <w:rPr>
          <w:rFonts w:ascii="Times New Roman" w:hAnsi="Times New Roman" w:cs="Times New Roman"/>
          <w:sz w:val="28"/>
          <w:szCs w:val="28"/>
        </w:rPr>
        <w:t>j</w:t>
      </w:r>
      <w:r w:rsidR="00744A6E" w:rsidRPr="00505EE8">
        <w:rPr>
          <w:rFonts w:ascii="Times New Roman" w:hAnsi="Times New Roman" w:cs="Times New Roman"/>
          <w:sz w:val="28"/>
          <w:szCs w:val="28"/>
        </w:rPr>
        <w:t xml:space="preserve">rd. EUR. </w:t>
      </w:r>
    </w:p>
    <w:p w:rsidR="00744A6E" w:rsidRPr="00505EE8" w:rsidRDefault="00744A6E" w:rsidP="0010381B">
      <w:pPr>
        <w:pStyle w:val="Default"/>
        <w:ind w:firstLine="709"/>
        <w:jc w:val="both"/>
        <w:rPr>
          <w:rFonts w:cs="Times New Roman"/>
          <w:szCs w:val="28"/>
          <w:lang w:eastAsia="lv-LV"/>
        </w:rPr>
      </w:pPr>
      <w:r w:rsidRPr="00505EE8">
        <w:rPr>
          <w:rFonts w:ascii="Times New Roman" w:hAnsi="Times New Roman" w:cs="Times New Roman"/>
          <w:sz w:val="28"/>
          <w:szCs w:val="28"/>
        </w:rPr>
        <w:t>Lai sekmēt</w:t>
      </w:r>
      <w:r>
        <w:rPr>
          <w:rFonts w:ascii="Times New Roman" w:hAnsi="Times New Roman" w:cs="Times New Roman"/>
          <w:sz w:val="28"/>
          <w:szCs w:val="28"/>
        </w:rPr>
        <w:t>u</w:t>
      </w:r>
      <w:r w:rsidRPr="00505EE8">
        <w:rPr>
          <w:rFonts w:ascii="Times New Roman" w:hAnsi="Times New Roman" w:cs="Times New Roman"/>
          <w:sz w:val="28"/>
          <w:szCs w:val="28"/>
        </w:rPr>
        <w:t xml:space="preserve"> investīciju realizācij</w:t>
      </w:r>
      <w:r>
        <w:rPr>
          <w:rFonts w:ascii="Times New Roman" w:hAnsi="Times New Roman" w:cs="Times New Roman"/>
          <w:sz w:val="28"/>
          <w:szCs w:val="28"/>
        </w:rPr>
        <w:t>as</w:t>
      </w:r>
      <w:r w:rsidRPr="00505EE8">
        <w:rPr>
          <w:rFonts w:ascii="Times New Roman" w:hAnsi="Times New Roman" w:cs="Times New Roman"/>
          <w:sz w:val="28"/>
          <w:szCs w:val="28"/>
        </w:rPr>
        <w:t xml:space="preserve"> gaitu un v</w:t>
      </w:r>
      <w:r>
        <w:rPr>
          <w:rFonts w:ascii="Times New Roman" w:hAnsi="Times New Roman" w:cs="Times New Roman"/>
          <w:sz w:val="28"/>
          <w:szCs w:val="28"/>
        </w:rPr>
        <w:t>ei</w:t>
      </w:r>
      <w:r w:rsidRPr="00505EE8">
        <w:rPr>
          <w:rFonts w:ascii="Times New Roman" w:hAnsi="Times New Roman" w:cs="Times New Roman"/>
          <w:sz w:val="28"/>
          <w:szCs w:val="28"/>
        </w:rPr>
        <w:t>cināt</w:t>
      </w:r>
      <w:r>
        <w:rPr>
          <w:rFonts w:ascii="Times New Roman" w:hAnsi="Times New Roman" w:cs="Times New Roman"/>
          <w:sz w:val="28"/>
          <w:szCs w:val="28"/>
        </w:rPr>
        <w:t>u</w:t>
      </w:r>
      <w:r w:rsidRPr="00505EE8">
        <w:rPr>
          <w:rFonts w:ascii="Times New Roman" w:hAnsi="Times New Roman" w:cs="Times New Roman"/>
          <w:sz w:val="28"/>
          <w:szCs w:val="28"/>
        </w:rPr>
        <w:t xml:space="preserve"> projektu īstenošanu</w:t>
      </w:r>
      <w:r>
        <w:rPr>
          <w:rFonts w:ascii="Times New Roman" w:hAnsi="Times New Roman" w:cs="Times New Roman"/>
          <w:sz w:val="28"/>
          <w:szCs w:val="28"/>
        </w:rPr>
        <w:t>,</w:t>
      </w:r>
      <w:r w:rsidRPr="00505EE8">
        <w:rPr>
          <w:rFonts w:ascii="Times New Roman" w:hAnsi="Times New Roman" w:cs="Times New Roman"/>
          <w:sz w:val="28"/>
          <w:szCs w:val="28"/>
        </w:rPr>
        <w:t xml:space="preserve"> ilgtermiņa enerģētikas infrastruktūras politika</w:t>
      </w:r>
      <w:r w:rsidR="008F1CCD">
        <w:rPr>
          <w:rFonts w:ascii="Times New Roman" w:hAnsi="Times New Roman" w:cs="Times New Roman"/>
          <w:sz w:val="28"/>
          <w:szCs w:val="28"/>
        </w:rPr>
        <w:t xml:space="preserve">s īstenošanu nosaka </w:t>
      </w:r>
      <w:r w:rsidRPr="00505EE8">
        <w:rPr>
          <w:rFonts w:ascii="Times New Roman" w:hAnsi="Times New Roman" w:cs="Times New Roman"/>
          <w:sz w:val="28"/>
          <w:szCs w:val="28"/>
        </w:rPr>
        <w:t>Eiropas Parlamenta un Padomes Regul</w:t>
      </w:r>
      <w:r w:rsidR="008F1CCD">
        <w:rPr>
          <w:rFonts w:ascii="Times New Roman" w:hAnsi="Times New Roman" w:cs="Times New Roman"/>
          <w:sz w:val="28"/>
          <w:szCs w:val="28"/>
        </w:rPr>
        <w:t xml:space="preserve">a </w:t>
      </w:r>
      <w:r w:rsidRPr="00505EE8">
        <w:rPr>
          <w:rFonts w:ascii="Times New Roman" w:hAnsi="Times New Roman" w:cs="Times New Roman"/>
          <w:sz w:val="28"/>
          <w:szCs w:val="28"/>
        </w:rPr>
        <w:t>(ES) Nr.347/2013 (2013.gada 17.aprīlis), ar ko nosaka Eiropas energoinfrastruktūras pamatnostādnes un atceļ Lēmumu Nr.1364/</w:t>
      </w:r>
      <w:r w:rsidRPr="00AA4431">
        <w:rPr>
          <w:rFonts w:ascii="Times New Roman" w:hAnsi="Times New Roman" w:cs="Times New Roman"/>
          <w:sz w:val="28"/>
          <w:szCs w:val="28"/>
        </w:rPr>
        <w:t>2006/EK, groza Regulu (EK) Nr.713/2009, Regulu (EK) Nr.714/2009 un Regulu (EK) Nr.715/2009 (turpmāk -  Regula 347/2013).</w:t>
      </w:r>
      <w:r w:rsidR="008F1CCD" w:rsidRPr="00AA4431">
        <w:rPr>
          <w:rFonts w:ascii="Times New Roman" w:hAnsi="Times New Roman" w:cs="Times New Roman"/>
          <w:sz w:val="28"/>
          <w:szCs w:val="28"/>
        </w:rPr>
        <w:t xml:space="preserve"> Šī regula nosaka </w:t>
      </w:r>
      <w:r w:rsidRPr="00EE759E">
        <w:rPr>
          <w:rFonts w:ascii="Times New Roman" w:hAnsi="Times New Roman" w:cs="Times New Roman"/>
          <w:bCs/>
          <w:sz w:val="28"/>
          <w:szCs w:val="28"/>
        </w:rPr>
        <w:t xml:space="preserve"> </w:t>
      </w:r>
      <w:r w:rsidRPr="00EE759E">
        <w:rPr>
          <w:rFonts w:ascii="Times New Roman" w:hAnsi="Times New Roman" w:cs="Times New Roman"/>
          <w:bCs/>
          <w:sz w:val="28"/>
          <w:szCs w:val="28"/>
        </w:rPr>
        <w:lastRenderedPageBreak/>
        <w:t xml:space="preserve">Kopējās intereses projektu (turpmāk – KIP) sarakstu </w:t>
      </w:r>
      <w:r w:rsidR="00F55033" w:rsidRPr="00EE759E">
        <w:rPr>
          <w:rFonts w:ascii="Times New Roman" w:hAnsi="Times New Roman" w:cs="Times New Roman"/>
          <w:bCs/>
          <w:sz w:val="28"/>
          <w:szCs w:val="28"/>
        </w:rPr>
        <w:t xml:space="preserve">izveidošanu </w:t>
      </w:r>
      <w:r w:rsidRPr="00EE759E">
        <w:rPr>
          <w:rFonts w:ascii="Times New Roman" w:hAnsi="Times New Roman" w:cs="Times New Roman"/>
          <w:bCs/>
          <w:sz w:val="28"/>
          <w:szCs w:val="28"/>
        </w:rPr>
        <w:t>ES līmenī. Regula paredz, ka projekti, kas iekļauti KIP sarakstā, varēs ne tikai pretendēt uz finansējumu, bet arī varēs izmantot ātras un efektīvas atļauju saņemšanas procedūras, vienlaikus ievērojot vides novērtēšanas un aizsardzības standartus. Lai īstenotu Regulas Nr.347/2013 prasības, EK 2013.gada 14.oktobrī, izmantojot deleģēto aktu procedūru, ir pieņēmusi pirmo ES KIP sarakstu, kurā ietverti 248 projekti –  elektroenerģijas un gāzes pārvades, uzglabāšanas un sašķidrinātās dabasgāzes (turpmāk – SDG) projekti, kā arī projekti viedo tīklu un naftas jomā.  Tāpat šī regula paredz arī ES finansējuma piešķiršanu no ES, gadījumos, ja šie projekti ir stratēģiski svarīgi, tomēr nevar tikt īstenoti, ņemot vērā tikai tirgus intereses. Šī regula būs spēkā līdz 2020.gadam un šajā laika periodā paredzēts ik pēc diviem gadiem atjaunot šo KIP sarakstu.</w:t>
      </w:r>
      <w:r w:rsidR="00F55033" w:rsidRPr="00EE759E">
        <w:rPr>
          <w:rFonts w:ascii="Times New Roman" w:hAnsi="Times New Roman" w:cs="Times New Roman"/>
          <w:bCs/>
          <w:sz w:val="28"/>
          <w:szCs w:val="28"/>
        </w:rPr>
        <w:t xml:space="preserve"> Regulas Nr.347/2013 ietvaros paredzētās kompetentās iestādes lomu, kurai uzticēts atvieglot administratīvās procedūras saistībā ar KIP projektu ieviešanu, uzdots pildīt Ekonomikas ministrijai. Līdz ar to nepieciešama turpmāka KIP projektu ieviešanas nosacījumu atvieglošana. </w:t>
      </w:r>
    </w:p>
    <w:p w:rsidR="00196021" w:rsidRPr="00EE759E" w:rsidRDefault="00744A6E" w:rsidP="0010381B">
      <w:pPr>
        <w:pStyle w:val="Heading3"/>
        <w:rPr>
          <w:rFonts w:ascii="Times New Roman" w:hAnsi="Times New Roman" w:cs="Times New Roman"/>
          <w:color w:val="auto"/>
        </w:rPr>
      </w:pPr>
      <w:bookmarkStart w:id="18" w:name="_Toc401644320"/>
      <w:r w:rsidRPr="00EE759E">
        <w:rPr>
          <w:rFonts w:ascii="Times New Roman" w:hAnsi="Times New Roman" w:cs="Times New Roman"/>
          <w:color w:val="auto"/>
        </w:rPr>
        <w:t>Elektroenerģija</w:t>
      </w:r>
      <w:r w:rsidR="0010381B" w:rsidRPr="00EE759E">
        <w:rPr>
          <w:rFonts w:ascii="Times New Roman" w:hAnsi="Times New Roman" w:cs="Times New Roman"/>
          <w:color w:val="auto"/>
        </w:rPr>
        <w:t>s infrastruktūra</w:t>
      </w:r>
      <w:bookmarkEnd w:id="18"/>
      <w:r w:rsidRPr="00EE759E">
        <w:rPr>
          <w:rFonts w:ascii="Times New Roman" w:hAnsi="Times New Roman" w:cs="Times New Roman"/>
          <w:color w:val="auto"/>
        </w:rPr>
        <w:t xml:space="preserve"> </w:t>
      </w:r>
    </w:p>
    <w:p w:rsidR="00F55033" w:rsidRPr="00A32804" w:rsidRDefault="00F55033" w:rsidP="00EE759E">
      <w:pPr>
        <w:pStyle w:val="Heading4"/>
        <w:rPr>
          <w:b w:val="0"/>
          <w:u w:val="single"/>
        </w:rPr>
      </w:pPr>
      <w:r w:rsidRPr="00A32804">
        <w:rPr>
          <w:b w:val="0"/>
          <w:u w:val="single"/>
        </w:rPr>
        <w:t>Pārvades sistēma</w:t>
      </w:r>
    </w:p>
    <w:p w:rsidR="004F21B0" w:rsidRPr="00CB1B52" w:rsidRDefault="00F76DC7" w:rsidP="004F21B0">
      <w:pPr>
        <w:ind w:firstLine="567"/>
        <w:jc w:val="both"/>
        <w:rPr>
          <w:szCs w:val="28"/>
        </w:rPr>
      </w:pPr>
      <w:r>
        <w:t xml:space="preserve">Pietiekami starpsavienojumi ir vissvarīgākais priekšnoteikums optimālai </w:t>
      </w:r>
      <w:r w:rsidR="004F21B0">
        <w:t xml:space="preserve">elektroenerģijas tirgus </w:t>
      </w:r>
      <w:r>
        <w:t xml:space="preserve">funkcionēšanai. </w:t>
      </w:r>
      <w:r w:rsidR="00CB1B52" w:rsidRPr="00CB1B52">
        <w:t>Atšķirībā no citām ES valstīm,</w:t>
      </w:r>
      <w:r w:rsidR="00CB1B52" w:rsidRPr="00CB1B52">
        <w:rPr>
          <w:b/>
        </w:rPr>
        <w:t xml:space="preserve"> </w:t>
      </w:r>
      <w:r w:rsidR="00CB1B52" w:rsidRPr="00CB1B52">
        <w:t xml:space="preserve">Baltijas valstu energosistēmas darbojas paralēlā, sinhronā režīmā ar IPS/UPS (Krievijas vienotā energosistēmu/Ukrainas, Baltkrievijas, Kazahstānas, Kirgizstānas, Azerbaidžānas, Gruzijas, Tadžikistānas, Moldovas un Mongolijas integrētā energosistēma) reģionu, nevis kontinentālās Eiropas energosistēmām. </w:t>
      </w:r>
      <w:r w:rsidR="00CB1B52" w:rsidRPr="00CB1B52">
        <w:rPr>
          <w:rFonts w:eastAsia="Calibri"/>
          <w:lang w:eastAsia="lv-LV"/>
        </w:rPr>
        <w:t xml:space="preserve">Baltijas valstu, Krievijas un Baltkrievijas elektroenerģijas tirgu pārrobežu darbību nosaka Baltkrievijas, Krievijas, Igaunijas, Lietuvas un Latvijas PSO noslēgtais </w:t>
      </w:r>
      <w:r w:rsidR="00CB1B52" w:rsidRPr="00CB1B52">
        <w:rPr>
          <w:rFonts w:eastAsia="Calibri"/>
          <w:i/>
          <w:lang w:eastAsia="lv-LV"/>
        </w:rPr>
        <w:t>BRELL</w:t>
      </w:r>
      <w:r w:rsidR="00CB1B52" w:rsidRPr="00CB1B52">
        <w:rPr>
          <w:rFonts w:eastAsia="Calibri"/>
          <w:lang w:eastAsia="lv-LV"/>
        </w:rPr>
        <w:t xml:space="preserve"> </w:t>
      </w:r>
      <w:r w:rsidR="00CB1B52" w:rsidRPr="00CB1B52">
        <w:rPr>
          <w:szCs w:val="28"/>
        </w:rPr>
        <w:t xml:space="preserve">(saīsinājums no: </w:t>
      </w:r>
      <w:r w:rsidR="00CB1B52" w:rsidRPr="00CB1B52">
        <w:rPr>
          <w:i/>
          <w:szCs w:val="28"/>
        </w:rPr>
        <w:t>Belarus, Russia, Estonia, Latvia, Lithuania</w:t>
      </w:r>
      <w:r w:rsidR="00CB1B52" w:rsidRPr="00CB1B52">
        <w:rPr>
          <w:szCs w:val="28"/>
        </w:rPr>
        <w:t xml:space="preserve">) </w:t>
      </w:r>
      <w:r w:rsidR="00CB1B52" w:rsidRPr="00CB1B52">
        <w:rPr>
          <w:rFonts w:eastAsia="Calibri"/>
          <w:lang w:eastAsia="lv-LV"/>
        </w:rPr>
        <w:t>līgums.</w:t>
      </w:r>
      <w:r w:rsidR="00CB1B52" w:rsidRPr="00CB1B52">
        <w:rPr>
          <w:szCs w:val="28"/>
        </w:rPr>
        <w:t xml:space="preserve"> Šobrīd tirgu pārrobežu darbība ar Krieviju un Baltkrieviju notiek tikai virzienā uz Baltijas valstīm NPS elektroenerģijas biržas platformā. </w:t>
      </w:r>
      <w:r w:rsidR="004F21B0" w:rsidRPr="00CB1B52">
        <w:rPr>
          <w:szCs w:val="28"/>
        </w:rPr>
        <w:t>Lai izvērtētu Baltijas valstu energosistēmu iekļaušanos ES iekšējā elektroenerģijas tirgū un iespējamo sinhrono darbu ar kontinentālās Eiropas PS, 2011.gada 22.septembrī trīs Baltijas valstu PSO AS ”Augstsprieguma tīkls”, „Elering” un „Litgrid” parakstīja sadarbības līgumu par izpētes darba veikšanu.</w:t>
      </w:r>
      <w:r w:rsidR="004F21B0">
        <w:rPr>
          <w:szCs w:val="28"/>
        </w:rPr>
        <w:t xml:space="preserve"> </w:t>
      </w:r>
      <w:r w:rsidR="004F21B0" w:rsidRPr="00CB1B52">
        <w:rPr>
          <w:szCs w:val="28"/>
        </w:rPr>
        <w:t xml:space="preserve">2013.gada 11.oktobrī </w:t>
      </w:r>
      <w:r w:rsidR="004F21B0">
        <w:rPr>
          <w:szCs w:val="28"/>
        </w:rPr>
        <w:t xml:space="preserve">tika </w:t>
      </w:r>
      <w:r w:rsidR="004F21B0" w:rsidRPr="00CB1B52">
        <w:rPr>
          <w:szCs w:val="28"/>
        </w:rPr>
        <w:t>pabeigts pētījums “</w:t>
      </w:r>
      <w:r w:rsidR="004F21B0" w:rsidRPr="00CB1B52">
        <w:rPr>
          <w:i/>
          <w:szCs w:val="28"/>
        </w:rPr>
        <w:t>Priekšizpēte par Baltijas valstu pārvades tīklu savienošanas variantiem ar Eiropas valstu pārvades tīkliem un Baltijas elektroenerģijas tirgus integrēšanu iekšējā Eiropas elektroenerģijas tirgū</w:t>
      </w:r>
      <w:r w:rsidR="004F21B0" w:rsidRPr="00CB1B52">
        <w:rPr>
          <w:szCs w:val="28"/>
        </w:rPr>
        <w:t>”, kurā analizēti trīs iespējamie rīcības scenāriji.</w:t>
      </w:r>
      <w:r w:rsidR="004F21B0">
        <w:rPr>
          <w:szCs w:val="28"/>
        </w:rPr>
        <w:t xml:space="preserve"> Darbs pie iespējamiem sinhronizācijas scenārijiem turpinās. </w:t>
      </w:r>
      <w:r w:rsidR="004F21B0" w:rsidRPr="00CB1B52">
        <w:rPr>
          <w:szCs w:val="28"/>
        </w:rPr>
        <w:t xml:space="preserve"> </w:t>
      </w:r>
    </w:p>
    <w:p w:rsidR="00CB1B52" w:rsidRDefault="00CB1B52" w:rsidP="00CB1B52">
      <w:pPr>
        <w:tabs>
          <w:tab w:val="right" w:pos="851"/>
        </w:tabs>
        <w:ind w:firstLine="567"/>
        <w:jc w:val="both"/>
        <w:rPr>
          <w:szCs w:val="28"/>
        </w:rPr>
      </w:pPr>
      <w:r w:rsidRPr="00CB1B52">
        <w:rPr>
          <w:szCs w:val="28"/>
        </w:rPr>
        <w:t xml:space="preserve">Energosistēmu starpsaslēguma saišu daudzums un pārvades jauda starp Baltijas valstīm un citām ES dalībvalstīm pagaidām ir pietiekams tikai starp </w:t>
      </w:r>
      <w:r w:rsidRPr="00CB1B52">
        <w:rPr>
          <w:szCs w:val="28"/>
        </w:rPr>
        <w:lastRenderedPageBreak/>
        <w:t xml:space="preserve">Somiju un Igauniju. </w:t>
      </w:r>
      <w:r w:rsidR="00A03F2B">
        <w:rPr>
          <w:szCs w:val="28"/>
        </w:rPr>
        <w:t>T</w:t>
      </w:r>
      <w:r w:rsidRPr="00CB1B52">
        <w:rPr>
          <w:szCs w:val="28"/>
        </w:rPr>
        <w:t xml:space="preserve">ie ir jūras kabeļi </w:t>
      </w:r>
      <w:r w:rsidRPr="00CB1B52">
        <w:rPr>
          <w:i/>
          <w:szCs w:val="28"/>
        </w:rPr>
        <w:t>Estlink 1</w:t>
      </w:r>
      <w:r w:rsidRPr="00CB1B52">
        <w:rPr>
          <w:szCs w:val="28"/>
        </w:rPr>
        <w:t xml:space="preserve"> un </w:t>
      </w:r>
      <w:r w:rsidRPr="00CB1B52">
        <w:rPr>
          <w:i/>
          <w:szCs w:val="28"/>
        </w:rPr>
        <w:t>Estlink 2</w:t>
      </w:r>
      <w:r w:rsidRPr="00CB1B52">
        <w:rPr>
          <w:szCs w:val="28"/>
        </w:rPr>
        <w:t xml:space="preserve">, kas savieno Somijas un Igaunijas energosistēmas. </w:t>
      </w:r>
      <w:r w:rsidRPr="00CB1B52">
        <w:rPr>
          <w:i/>
          <w:szCs w:val="28"/>
        </w:rPr>
        <w:t>Estlink 1</w:t>
      </w:r>
      <w:r w:rsidRPr="00CB1B52">
        <w:rPr>
          <w:szCs w:val="28"/>
        </w:rPr>
        <w:t xml:space="preserve"> (Harku – Espoo; pārvades jauda – 350MW) un </w:t>
      </w:r>
      <w:r w:rsidRPr="00CB1B52">
        <w:rPr>
          <w:i/>
          <w:szCs w:val="28"/>
        </w:rPr>
        <w:t xml:space="preserve">Estlink 2 </w:t>
      </w:r>
      <w:r w:rsidRPr="00CB1B52">
        <w:rPr>
          <w:szCs w:val="28"/>
        </w:rPr>
        <w:t>(Puusi – Anttila; pārvades jauda – 650 MW)</w:t>
      </w:r>
      <w:r w:rsidR="00F76DC7">
        <w:rPr>
          <w:szCs w:val="28"/>
        </w:rPr>
        <w:t xml:space="preserve">. </w:t>
      </w:r>
    </w:p>
    <w:p w:rsidR="00BB49ED" w:rsidRPr="00CB1B52" w:rsidRDefault="00CC58F2" w:rsidP="00BB49ED">
      <w:pPr>
        <w:tabs>
          <w:tab w:val="right" w:pos="851"/>
        </w:tabs>
        <w:ind w:firstLine="567"/>
        <w:jc w:val="both"/>
        <w:rPr>
          <w:szCs w:val="28"/>
        </w:rPr>
      </w:pPr>
      <w:r w:rsidRPr="00CB1B52">
        <w:rPr>
          <w:szCs w:val="28"/>
        </w:rPr>
        <w:t>20</w:t>
      </w:r>
      <w:r>
        <w:rPr>
          <w:szCs w:val="28"/>
        </w:rPr>
        <w:t>15</w:t>
      </w:r>
      <w:r w:rsidR="00BB49ED" w:rsidRPr="00CB1B52">
        <w:rPr>
          <w:szCs w:val="28"/>
        </w:rPr>
        <w:t>. gad</w:t>
      </w:r>
      <w:r w:rsidR="00BB49ED">
        <w:rPr>
          <w:szCs w:val="28"/>
        </w:rPr>
        <w:t xml:space="preserve">ā </w:t>
      </w:r>
      <w:r w:rsidR="00BB49ED" w:rsidRPr="00CB1B52">
        <w:rPr>
          <w:szCs w:val="28"/>
        </w:rPr>
        <w:t>plānots pabeigt starpsavienojuma starp Lietuvu un Zviedriju (</w:t>
      </w:r>
      <w:r w:rsidR="00BB49ED" w:rsidRPr="00CB1B52">
        <w:rPr>
          <w:i/>
          <w:szCs w:val="28"/>
        </w:rPr>
        <w:t>NordBalt</w:t>
      </w:r>
      <w:r w:rsidR="00BB49ED" w:rsidRPr="00CB1B52">
        <w:rPr>
          <w:szCs w:val="28"/>
        </w:rPr>
        <w:t>; pārvades jauda – 700MW, no Klaipēdas, Lietuvā uz Nībo, Zviedrijā) izbūvi</w:t>
      </w:r>
      <w:r w:rsidR="00E67487">
        <w:rPr>
          <w:szCs w:val="28"/>
        </w:rPr>
        <w:t xml:space="preserve"> (skat. </w:t>
      </w:r>
      <w:r w:rsidR="00924049">
        <w:rPr>
          <w:szCs w:val="28"/>
        </w:rPr>
        <w:t>15</w:t>
      </w:r>
      <w:r w:rsidR="00E67487">
        <w:rPr>
          <w:szCs w:val="28"/>
        </w:rPr>
        <w:t>.attēlu)</w:t>
      </w:r>
      <w:r w:rsidR="00BB49ED" w:rsidRPr="00CB1B52">
        <w:rPr>
          <w:szCs w:val="28"/>
        </w:rPr>
        <w:t xml:space="preserve">. Paredzams, ka </w:t>
      </w:r>
      <w:r w:rsidR="00BB49ED" w:rsidRPr="00CB1B52">
        <w:rPr>
          <w:i/>
          <w:szCs w:val="28"/>
        </w:rPr>
        <w:t>NordBalt</w:t>
      </w:r>
      <w:r w:rsidR="00BB49ED" w:rsidRPr="00CB1B52">
        <w:rPr>
          <w:szCs w:val="28"/>
        </w:rPr>
        <w:t xml:space="preserve"> starpsavienojums palīdzēs izveidot kopīgu, vienotu Baltijas un Ziemeļvalstu elektroenerģijas tirgu un nodrošinās Lietuvai un Latvijai iespējas lielākā apjomā pirkt elektroenerģiju no hidroresursiem bagātajām Ziemeļeiropas valstīm, tādējādi samazinot arī enerģētisko atkarību no trešo valstu elektroenerģijas piegādēm.</w:t>
      </w:r>
      <w:r w:rsidR="00BB49ED" w:rsidRPr="00CB1B52">
        <w:t xml:space="preserve"> </w:t>
      </w:r>
      <w:r w:rsidR="00BB49ED" w:rsidRPr="00CB1B52">
        <w:rPr>
          <w:szCs w:val="28"/>
        </w:rPr>
        <w:t xml:space="preserve">Tajā pašā laikā </w:t>
      </w:r>
      <w:r w:rsidR="00BB49ED" w:rsidRPr="00CB1B52">
        <w:rPr>
          <w:i/>
          <w:szCs w:val="28"/>
        </w:rPr>
        <w:t xml:space="preserve">NordBalt </w:t>
      </w:r>
      <w:r w:rsidR="00BB49ED" w:rsidRPr="00CB1B52">
        <w:rPr>
          <w:szCs w:val="28"/>
        </w:rPr>
        <w:t xml:space="preserve">savienos divus izteiktus elektroenerģijas ģenerācijas deficīta reģionus </w:t>
      </w:r>
      <w:r w:rsidR="005B3150">
        <w:rPr>
          <w:szCs w:val="28"/>
        </w:rPr>
        <w:t>-</w:t>
      </w:r>
      <w:r w:rsidR="00BB49ED" w:rsidRPr="00CB1B52">
        <w:rPr>
          <w:szCs w:val="28"/>
        </w:rPr>
        <w:t xml:space="preserve"> Lietuvas </w:t>
      </w:r>
      <w:r w:rsidR="0046599A">
        <w:rPr>
          <w:szCs w:val="28"/>
        </w:rPr>
        <w:t xml:space="preserve">un Latvijas </w:t>
      </w:r>
      <w:r w:rsidR="00BB49ED" w:rsidRPr="00CB1B52">
        <w:rPr>
          <w:szCs w:val="28"/>
        </w:rPr>
        <w:t>NPS tirdzniecības apgabalu</w:t>
      </w:r>
      <w:r w:rsidR="0046599A">
        <w:rPr>
          <w:szCs w:val="28"/>
        </w:rPr>
        <w:t>s</w:t>
      </w:r>
      <w:r w:rsidR="00BB49ED" w:rsidRPr="00CB1B52">
        <w:rPr>
          <w:szCs w:val="28"/>
        </w:rPr>
        <w:t xml:space="preserve"> un Zviedrijas 4. (SE4) NPS tirdzniecības apgabalu</w:t>
      </w:r>
      <w:r w:rsidR="005B3150">
        <w:rPr>
          <w:szCs w:val="28"/>
        </w:rPr>
        <w:t>. L</w:t>
      </w:r>
      <w:r w:rsidR="00BB49ED" w:rsidRPr="00CB1B52">
        <w:rPr>
          <w:szCs w:val="28"/>
        </w:rPr>
        <w:t xml:space="preserve">īdz ar </w:t>
      </w:r>
      <w:r w:rsidR="005B3150">
        <w:rPr>
          <w:szCs w:val="28"/>
        </w:rPr>
        <w:t>t</w:t>
      </w:r>
      <w:r w:rsidR="00BB49ED" w:rsidRPr="00CB1B52">
        <w:rPr>
          <w:szCs w:val="28"/>
        </w:rPr>
        <w:t>o kā cenas reference Lietuvas un arī Latvijas NPS tirdzniecības apgabalos, starp kuriem nepastāv tehniski pārvades jaudu ierobežojumi, varētu nostiprināties SE4 apgabala elektroenerģijas cena.</w:t>
      </w:r>
    </w:p>
    <w:p w:rsidR="00BB49ED" w:rsidRDefault="00BB49ED" w:rsidP="00CB1B52">
      <w:pPr>
        <w:tabs>
          <w:tab w:val="right" w:pos="851"/>
        </w:tabs>
        <w:ind w:firstLine="567"/>
        <w:jc w:val="both"/>
        <w:rPr>
          <w:szCs w:val="28"/>
        </w:rPr>
      </w:pPr>
    </w:p>
    <w:p w:rsidR="00BB49ED" w:rsidRPr="00CB1B52" w:rsidRDefault="001F5FD7" w:rsidP="00BB49ED">
      <w:pPr>
        <w:tabs>
          <w:tab w:val="right" w:pos="851"/>
        </w:tabs>
        <w:ind w:firstLine="567"/>
        <w:jc w:val="center"/>
        <w:rPr>
          <w:szCs w:val="28"/>
        </w:rPr>
      </w:pPr>
      <w:r>
        <w:rPr>
          <w:noProof/>
          <w:lang w:eastAsia="lv-LV"/>
        </w:rPr>
        <w:drawing>
          <wp:inline distT="0" distB="0" distL="0" distR="0" wp14:anchorId="52763560" wp14:editId="1BEA958B">
            <wp:extent cx="2851584" cy="4162425"/>
            <wp:effectExtent l="0" t="0" r="6350" b="0"/>
            <wp:docPr id="3" name="Picture 3" descr="C:\Users\BogdanovaO\AppData\Local\Microsoft\Windows\Temporary Internet Files\Content.Word\starpsavienojumu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ovaO\AppData\Local\Microsoft\Windows\Temporary Internet Files\Content.Word\starpsavienojumu_kar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0819" cy="4161309"/>
                    </a:xfrm>
                    <a:prstGeom prst="rect">
                      <a:avLst/>
                    </a:prstGeom>
                    <a:noFill/>
                    <a:ln>
                      <a:noFill/>
                    </a:ln>
                  </pic:spPr>
                </pic:pic>
              </a:graphicData>
            </a:graphic>
          </wp:inline>
        </w:drawing>
      </w:r>
    </w:p>
    <w:p w:rsidR="00BB49ED" w:rsidRPr="001162AC" w:rsidRDefault="00924049" w:rsidP="001162AC">
      <w:pPr>
        <w:tabs>
          <w:tab w:val="right" w:pos="851"/>
        </w:tabs>
        <w:rPr>
          <w:b/>
          <w:sz w:val="24"/>
          <w:szCs w:val="24"/>
        </w:rPr>
      </w:pPr>
      <w:r w:rsidRPr="001162AC">
        <w:rPr>
          <w:b/>
          <w:sz w:val="24"/>
          <w:szCs w:val="24"/>
        </w:rPr>
        <w:t>15</w:t>
      </w:r>
      <w:r w:rsidR="00BB49ED" w:rsidRPr="001162AC">
        <w:rPr>
          <w:b/>
          <w:sz w:val="24"/>
          <w:szCs w:val="24"/>
        </w:rPr>
        <w:t>.attēls. Energosistēmu starpsavienojumu karte.</w:t>
      </w:r>
    </w:p>
    <w:p w:rsidR="009F7E8F" w:rsidRDefault="009F7E8F" w:rsidP="00A03F2B">
      <w:pPr>
        <w:tabs>
          <w:tab w:val="right" w:pos="851"/>
        </w:tabs>
        <w:ind w:firstLine="567"/>
        <w:jc w:val="both"/>
        <w:rPr>
          <w:szCs w:val="28"/>
        </w:rPr>
      </w:pPr>
    </w:p>
    <w:p w:rsidR="00CB1B52" w:rsidRPr="00CB1B52" w:rsidRDefault="00A03F2B" w:rsidP="00A03F2B">
      <w:pPr>
        <w:tabs>
          <w:tab w:val="right" w:pos="851"/>
        </w:tabs>
        <w:ind w:firstLine="567"/>
        <w:jc w:val="both"/>
        <w:rPr>
          <w:szCs w:val="28"/>
        </w:rPr>
      </w:pPr>
      <w:r>
        <w:rPr>
          <w:szCs w:val="28"/>
        </w:rPr>
        <w:t xml:space="preserve">Lai uzlabotu pārvades sistēmas infrastruktūru </w:t>
      </w:r>
      <w:r w:rsidR="00CB1B52" w:rsidRPr="00CB1B52">
        <w:rPr>
          <w:szCs w:val="28"/>
        </w:rPr>
        <w:t>turpinās projekta „Kurzemes loks” realizācija Latvijā.</w:t>
      </w:r>
      <w:r>
        <w:rPr>
          <w:szCs w:val="28"/>
        </w:rPr>
        <w:t xml:space="preserve"> </w:t>
      </w:r>
      <w:r w:rsidR="00CB1B52" w:rsidRPr="00CB1B52">
        <w:rPr>
          <w:szCs w:val="28"/>
        </w:rPr>
        <w:t xml:space="preserve">„Kurzemes loka” pirmais posms ietvēra 330kV augstsprieguma līnijas izbūvi, savienojot 330kV apakšstaciju </w:t>
      </w:r>
      <w:r w:rsidR="0046599A">
        <w:rPr>
          <w:szCs w:val="28"/>
        </w:rPr>
        <w:t>„</w:t>
      </w:r>
      <w:r w:rsidR="00CB1B52" w:rsidRPr="00CB1B52">
        <w:rPr>
          <w:szCs w:val="28"/>
        </w:rPr>
        <w:t>Rīgas TEC-1</w:t>
      </w:r>
      <w:r w:rsidR="0046599A">
        <w:rPr>
          <w:szCs w:val="28"/>
        </w:rPr>
        <w:t>”</w:t>
      </w:r>
      <w:r w:rsidR="00CB1B52" w:rsidRPr="00CB1B52">
        <w:rPr>
          <w:szCs w:val="28"/>
        </w:rPr>
        <w:t xml:space="preserve"> ar </w:t>
      </w:r>
      <w:r w:rsidR="00CB1B52" w:rsidRPr="00CB1B52">
        <w:rPr>
          <w:szCs w:val="28"/>
        </w:rPr>
        <w:lastRenderedPageBreak/>
        <w:t>apakšstaciju „Imanta” (noslēdzot 330kV loku ap Rīgu)</w:t>
      </w:r>
      <w:r w:rsidR="00CC58F2">
        <w:rPr>
          <w:szCs w:val="28"/>
        </w:rPr>
        <w:t xml:space="preserve"> un tika realizēts 2013.gadā</w:t>
      </w:r>
      <w:r w:rsidR="00CB1B52" w:rsidRPr="00CB1B52">
        <w:rPr>
          <w:szCs w:val="28"/>
        </w:rPr>
        <w:t xml:space="preserve">. </w:t>
      </w:r>
      <w:r w:rsidR="00F76DC7">
        <w:rPr>
          <w:szCs w:val="28"/>
        </w:rPr>
        <w:t>O</w:t>
      </w:r>
      <w:r w:rsidR="00CB1B52" w:rsidRPr="00CB1B52">
        <w:rPr>
          <w:szCs w:val="28"/>
        </w:rPr>
        <w:t>trais posms 330kV augstsprieguma līnija Grobiņa – Ventspils</w:t>
      </w:r>
      <w:r w:rsidR="0046599A">
        <w:rPr>
          <w:szCs w:val="28"/>
        </w:rPr>
        <w:t xml:space="preserve"> </w:t>
      </w:r>
      <w:r w:rsidR="00CC58F2">
        <w:rPr>
          <w:szCs w:val="28"/>
        </w:rPr>
        <w:t>iz</w:t>
      </w:r>
      <w:r w:rsidR="0046599A">
        <w:rPr>
          <w:szCs w:val="28"/>
        </w:rPr>
        <w:t>būvēts</w:t>
      </w:r>
      <w:r w:rsidR="00CB1B52" w:rsidRPr="00CB1B52">
        <w:rPr>
          <w:szCs w:val="28"/>
        </w:rPr>
        <w:t xml:space="preserve"> 2014. gadā. Projekta pirmā un otrā posma izbūves izmaksas ir 98,5 milj. EUR, no tiem 38,5 milj. EUR sedza no Eiropas Enerģētikas atjaunošanas programmas (turpmāk </w:t>
      </w:r>
      <w:r w:rsidR="00CB1B52" w:rsidRPr="00CB1B52">
        <w:rPr>
          <w:rFonts w:eastAsia="Times New Roman" w:cs="Times New Roman"/>
          <w:szCs w:val="28"/>
        </w:rPr>
        <w:t>–</w:t>
      </w:r>
      <w:r w:rsidR="00CB1B52" w:rsidRPr="00CB1B52">
        <w:rPr>
          <w:szCs w:val="28"/>
        </w:rPr>
        <w:t xml:space="preserve"> EEPR) līdzekļiemKurzemes loka 3.posma izmaksas ir 127,42 milj. eiro un to plānots pabeigt </w:t>
      </w:r>
      <w:r w:rsidR="0046599A" w:rsidRPr="00CB1B52">
        <w:rPr>
          <w:szCs w:val="28"/>
        </w:rPr>
        <w:t>201</w:t>
      </w:r>
      <w:r w:rsidR="0046599A">
        <w:rPr>
          <w:szCs w:val="28"/>
        </w:rPr>
        <w:t>9</w:t>
      </w:r>
      <w:r w:rsidR="00CB1B52" w:rsidRPr="00CB1B52">
        <w:rPr>
          <w:szCs w:val="28"/>
        </w:rPr>
        <w:t xml:space="preserve">.gada beigās. </w:t>
      </w:r>
      <w:r w:rsidR="00FA17B4">
        <w:rPr>
          <w:szCs w:val="28"/>
        </w:rPr>
        <w:t xml:space="preserve">Kurzemes loks ir iekļauts </w:t>
      </w:r>
      <w:r w:rsidR="00F55033">
        <w:rPr>
          <w:szCs w:val="28"/>
        </w:rPr>
        <w:t xml:space="preserve">KIP </w:t>
      </w:r>
      <w:r w:rsidR="00FA17B4">
        <w:rPr>
          <w:szCs w:val="28"/>
        </w:rPr>
        <w:t xml:space="preserve">sarakstā </w:t>
      </w:r>
      <w:r w:rsidR="000E454C">
        <w:rPr>
          <w:szCs w:val="28"/>
        </w:rPr>
        <w:t xml:space="preserve">un tā realizācijai ir piešķirts CEF </w:t>
      </w:r>
      <w:r w:rsidR="00FA17B4">
        <w:rPr>
          <w:szCs w:val="28"/>
        </w:rPr>
        <w:t>finansējum</w:t>
      </w:r>
      <w:r w:rsidR="000E454C">
        <w:rPr>
          <w:szCs w:val="28"/>
        </w:rPr>
        <w:t>s</w:t>
      </w:r>
      <w:r w:rsidR="00FA17B4">
        <w:rPr>
          <w:szCs w:val="28"/>
        </w:rPr>
        <w:t>.</w:t>
      </w:r>
    </w:p>
    <w:p w:rsidR="0010381B" w:rsidRDefault="00FA17B4" w:rsidP="0010381B">
      <w:pPr>
        <w:tabs>
          <w:tab w:val="right" w:pos="851"/>
        </w:tabs>
        <w:ind w:firstLine="567"/>
        <w:jc w:val="both"/>
      </w:pPr>
      <w:r>
        <w:rPr>
          <w:szCs w:val="28"/>
        </w:rPr>
        <w:t>Paralēli</w:t>
      </w:r>
      <w:r w:rsidR="00CB1B52" w:rsidRPr="00CB1B52">
        <w:rPr>
          <w:szCs w:val="28"/>
        </w:rPr>
        <w:t xml:space="preserve"> </w:t>
      </w:r>
      <w:r w:rsidR="00CB1B52" w:rsidRPr="00CB1B52">
        <w:rPr>
          <w:i/>
          <w:szCs w:val="28"/>
        </w:rPr>
        <w:t>NordBalt</w:t>
      </w:r>
      <w:r w:rsidR="00CB1B52" w:rsidRPr="00CB1B52">
        <w:rPr>
          <w:szCs w:val="28"/>
        </w:rPr>
        <w:t xml:space="preserve"> projekta īstenošanai, tiek strādāts arī pie Latvijas – Igaunijas energosistēmu 3.starpsavienojuma izveides. Projekts paredz savienot Rīgas TEC-2 apakšstaciju un Kilingi-Nomme Igaunijā, kā arī Igaunijas pusē izbūvēt savienojumu starp Harku un Sindi. Projektu paredzams realizēt līdz 2020.gadam</w:t>
      </w:r>
      <w:r>
        <w:rPr>
          <w:szCs w:val="28"/>
        </w:rPr>
        <w:t xml:space="preserve"> tas nodrošinās caurlaides spējas palielinājumu starp Latviju un Igauniju 500-600MW apjomā.  </w:t>
      </w:r>
      <w:r w:rsidR="00A120AE" w:rsidRPr="00CB1B52">
        <w:rPr>
          <w:szCs w:val="28"/>
        </w:rPr>
        <w:t>Latvijas – Igaunijas energosistēmu 3.</w:t>
      </w:r>
      <w:r w:rsidR="00E67487">
        <w:rPr>
          <w:szCs w:val="28"/>
        </w:rPr>
        <w:t>s</w:t>
      </w:r>
      <w:r w:rsidR="00A120AE" w:rsidRPr="00CB1B52">
        <w:rPr>
          <w:szCs w:val="28"/>
        </w:rPr>
        <w:t>tarpsavienojum</w:t>
      </w:r>
      <w:r w:rsidR="00A120AE">
        <w:rPr>
          <w:szCs w:val="28"/>
        </w:rPr>
        <w:t xml:space="preserve">s </w:t>
      </w:r>
      <w:r>
        <w:rPr>
          <w:szCs w:val="28"/>
        </w:rPr>
        <w:t xml:space="preserve"> ir iekļauts Eiropas kopienas </w:t>
      </w:r>
      <w:r w:rsidR="00E67487">
        <w:rPr>
          <w:szCs w:val="28"/>
        </w:rPr>
        <w:t>KIP</w:t>
      </w:r>
      <w:r>
        <w:rPr>
          <w:szCs w:val="28"/>
        </w:rPr>
        <w:t xml:space="preserve"> sarakstā </w:t>
      </w:r>
      <w:r w:rsidR="000E454C">
        <w:rPr>
          <w:szCs w:val="28"/>
        </w:rPr>
        <w:t xml:space="preserve">un tā realizācijai ir piešķirts CEF finansējums. </w:t>
      </w:r>
      <w:r w:rsidR="00A03F2B">
        <w:rPr>
          <w:szCs w:val="28"/>
        </w:rPr>
        <w:t>N</w:t>
      </w:r>
      <w:r w:rsidR="004F21B0" w:rsidRPr="00CB1B52">
        <w:rPr>
          <w:szCs w:val="28"/>
        </w:rPr>
        <w:t xml:space="preserve">orit darbs arī pie Lietuvas </w:t>
      </w:r>
      <w:r w:rsidR="004F21B0" w:rsidRPr="00CB1B52">
        <w:rPr>
          <w:rFonts w:cs="Times New Roman"/>
          <w:szCs w:val="28"/>
        </w:rPr>
        <w:t>–</w:t>
      </w:r>
      <w:r w:rsidR="004F21B0" w:rsidRPr="00CB1B52">
        <w:rPr>
          <w:szCs w:val="28"/>
        </w:rPr>
        <w:t xml:space="preserve"> Polijas elektroenerģijas </w:t>
      </w:r>
      <w:r>
        <w:rPr>
          <w:szCs w:val="28"/>
        </w:rPr>
        <w:t xml:space="preserve">līdzstrāvas </w:t>
      </w:r>
      <w:r w:rsidR="004F21B0" w:rsidRPr="00CB1B52">
        <w:rPr>
          <w:szCs w:val="28"/>
        </w:rPr>
        <w:t xml:space="preserve">savienojuma </w:t>
      </w:r>
      <w:r w:rsidR="004F21B0" w:rsidRPr="00CB1B52">
        <w:rPr>
          <w:i/>
          <w:szCs w:val="28"/>
        </w:rPr>
        <w:t>LitPolLink</w:t>
      </w:r>
      <w:r>
        <w:rPr>
          <w:i/>
          <w:szCs w:val="28"/>
        </w:rPr>
        <w:t xml:space="preserve"> 1 ar </w:t>
      </w:r>
      <w:r w:rsidR="004F21B0" w:rsidRPr="00CB1B52">
        <w:rPr>
          <w:szCs w:val="28"/>
        </w:rPr>
        <w:t xml:space="preserve"> pārvades jaud</w:t>
      </w:r>
      <w:r w:rsidR="00CC58F2">
        <w:rPr>
          <w:szCs w:val="28"/>
        </w:rPr>
        <w:t>u</w:t>
      </w:r>
      <w:r w:rsidR="004F21B0" w:rsidRPr="00CB1B52">
        <w:rPr>
          <w:szCs w:val="28"/>
        </w:rPr>
        <w:t>1000MW; no Kroņu hidroakumulējošās stacijas (HAES), Lietuvā, caur Elku un Alitus uz Narevu, Polijā) izveides. Šīs energosistēmas starpsavienojuma saites pirmo kārtu (ar pārvades jaudu 500MW) plānots nodot ekspluatācijā 2015.gadā.</w:t>
      </w:r>
      <w:r>
        <w:rPr>
          <w:szCs w:val="28"/>
        </w:rPr>
        <w:t xml:space="preserve"> </w:t>
      </w:r>
      <w:r w:rsidR="00E67487">
        <w:rPr>
          <w:szCs w:val="28"/>
        </w:rPr>
        <w:t>N</w:t>
      </w:r>
      <w:r>
        <w:rPr>
          <w:szCs w:val="28"/>
        </w:rPr>
        <w:t>otiek aktīvas diskusijas par otra LitPol Link 2 starpsavienojuma nepieciešamību, it īpaši sinhronizācijas ar Eiropu gadījumā.</w:t>
      </w:r>
    </w:p>
    <w:p w:rsidR="00196021" w:rsidRPr="00A32804" w:rsidRDefault="00196021" w:rsidP="0010381B">
      <w:pPr>
        <w:pStyle w:val="Heading4"/>
        <w:rPr>
          <w:b w:val="0"/>
        </w:rPr>
      </w:pPr>
      <w:r w:rsidRPr="00A32804">
        <w:rPr>
          <w:b w:val="0"/>
          <w:u w:val="single"/>
        </w:rPr>
        <w:t>Sadales sistēma</w:t>
      </w:r>
      <w:r w:rsidRPr="00A32804">
        <w:rPr>
          <w:b w:val="0"/>
        </w:rPr>
        <w:t xml:space="preserve"> </w:t>
      </w:r>
    </w:p>
    <w:p w:rsidR="00F55033" w:rsidRDefault="00F55033" w:rsidP="00A03F2B">
      <w:pPr>
        <w:shd w:val="clear" w:color="auto" w:fill="FFFFFF" w:themeFill="background1"/>
        <w:ind w:firstLine="567"/>
        <w:jc w:val="both"/>
        <w:rPr>
          <w:szCs w:val="28"/>
        </w:rPr>
      </w:pPr>
      <w:r w:rsidRPr="00F55033">
        <w:rPr>
          <w:szCs w:val="28"/>
        </w:rPr>
        <w:t xml:space="preserve">Lai nodrošinātu elektroenerģijas piegādi lietotājiem, kas Latvijā ir vairāk nekā </w:t>
      </w:r>
      <w:r w:rsidR="00C636B9">
        <w:rPr>
          <w:szCs w:val="28"/>
        </w:rPr>
        <w:t xml:space="preserve">viens </w:t>
      </w:r>
      <w:r w:rsidRPr="00F55033">
        <w:rPr>
          <w:szCs w:val="28"/>
        </w:rPr>
        <w:t xml:space="preserve">miljons, liela loma ir </w:t>
      </w:r>
      <w:r w:rsidR="009E2BCE" w:rsidRPr="00F55033">
        <w:rPr>
          <w:szCs w:val="28"/>
        </w:rPr>
        <w:t>kvalitatīv</w:t>
      </w:r>
      <w:r w:rsidR="009E2BCE">
        <w:rPr>
          <w:szCs w:val="28"/>
        </w:rPr>
        <w:t>u</w:t>
      </w:r>
      <w:r w:rsidR="009E2BCE" w:rsidRPr="00F55033">
        <w:rPr>
          <w:szCs w:val="28"/>
        </w:rPr>
        <w:t xml:space="preserve"> </w:t>
      </w:r>
      <w:r w:rsidRPr="00F55033">
        <w:rPr>
          <w:szCs w:val="28"/>
        </w:rPr>
        <w:t xml:space="preserve">sadales sistēmas </w:t>
      </w:r>
      <w:r w:rsidR="009E2BCE" w:rsidRPr="00F55033">
        <w:rPr>
          <w:szCs w:val="28"/>
        </w:rPr>
        <w:t>pakalpojum</w:t>
      </w:r>
      <w:r w:rsidR="009E2BCE">
        <w:rPr>
          <w:szCs w:val="28"/>
        </w:rPr>
        <w:t>u sniegšanai</w:t>
      </w:r>
      <w:r>
        <w:rPr>
          <w:szCs w:val="28"/>
        </w:rPr>
        <w:t xml:space="preserve">. </w:t>
      </w:r>
      <w:r w:rsidRPr="00F55033">
        <w:rPr>
          <w:szCs w:val="28"/>
        </w:rPr>
        <w:t xml:space="preserve"> </w:t>
      </w:r>
      <w:r w:rsidRPr="00CB1B52">
        <w:rPr>
          <w:szCs w:val="28"/>
        </w:rPr>
        <w:t xml:space="preserve">Latvijā sadales </w:t>
      </w:r>
      <w:r w:rsidR="009E2BCE">
        <w:rPr>
          <w:szCs w:val="28"/>
        </w:rPr>
        <w:t>sistēmas</w:t>
      </w:r>
      <w:r w:rsidR="009E2BCE" w:rsidRPr="00CB1B52">
        <w:rPr>
          <w:szCs w:val="28"/>
        </w:rPr>
        <w:t xml:space="preserve"> </w:t>
      </w:r>
      <w:r w:rsidRPr="00CB1B52">
        <w:rPr>
          <w:szCs w:val="28"/>
        </w:rPr>
        <w:t>operatora funkcijas pilda vienpadsmit uzņēmumi, no kuriem lielākais ir AS "Sadales tīkls"</w:t>
      </w:r>
      <w:r>
        <w:rPr>
          <w:szCs w:val="28"/>
        </w:rPr>
        <w:t xml:space="preserve">, kas ir AS „Latvenergo” koncerna uzņēmums. </w:t>
      </w:r>
      <w:r w:rsidRPr="00CB1B52">
        <w:rPr>
          <w:szCs w:val="28"/>
        </w:rPr>
        <w:t>Tas nodrošina elektroenerģijas piegādi vairāk nekā 99% no valsts elektroenerģijas lietotāju</w:t>
      </w:r>
      <w:r w:rsidR="009E2BCE">
        <w:rPr>
          <w:szCs w:val="28"/>
        </w:rPr>
        <w:t xml:space="preserve"> un jaunu elektroenerģijas lietotāju pieslēgšanu elektrotīklam</w:t>
      </w:r>
      <w:r w:rsidRPr="00CB1B52">
        <w:rPr>
          <w:szCs w:val="28"/>
        </w:rPr>
        <w:t>, kā arī veic elektroenerģijas izlietošanas uzraudzību,</w:t>
      </w:r>
      <w:r w:rsidR="009E2BCE">
        <w:rPr>
          <w:szCs w:val="28"/>
        </w:rPr>
        <w:t xml:space="preserve"> elektroenerģijas patēriņa uzskaiti un</w:t>
      </w:r>
      <w:r w:rsidRPr="00CB1B52">
        <w:rPr>
          <w:szCs w:val="28"/>
        </w:rPr>
        <w:t xml:space="preserve"> sadales tīkla zudumu samazināšanas pasākumus.</w:t>
      </w:r>
      <w:r>
        <w:rPr>
          <w:szCs w:val="28"/>
        </w:rPr>
        <w:t xml:space="preserve"> </w:t>
      </w:r>
    </w:p>
    <w:p w:rsidR="00CB1B52" w:rsidRPr="00CB1B52" w:rsidRDefault="00CB1B52" w:rsidP="00A03F2B">
      <w:pPr>
        <w:shd w:val="clear" w:color="auto" w:fill="FFFFFF" w:themeFill="background1"/>
        <w:ind w:firstLine="567"/>
        <w:jc w:val="both"/>
        <w:rPr>
          <w:szCs w:val="28"/>
        </w:rPr>
      </w:pPr>
      <w:r w:rsidRPr="00CB1B52">
        <w:rPr>
          <w:szCs w:val="28"/>
        </w:rPr>
        <w:t xml:space="preserve">Elektroenerģijas sadales tīklu kopgarums Latvijā 2014. gadā sasniedz 94 701 kilometru. Sadales pakalpojumu sniegšanai tiek izmantotas zemsprieguma 0,4 kV un vidsprieguma 6 – 20 kV </w:t>
      </w:r>
      <w:r w:rsidR="009E2BCE">
        <w:rPr>
          <w:szCs w:val="28"/>
        </w:rPr>
        <w:t>elektro</w:t>
      </w:r>
      <w:r w:rsidRPr="00CB1B52">
        <w:rPr>
          <w:szCs w:val="28"/>
        </w:rPr>
        <w:t>iekārtas. Apmēram trešo daļu (35 235 kilometru) no sadales sistēmas veido vidsprieguma 6 – 20 kV tīkls un apmēram divas trešdaļas – 59 466 km zemsprieguma 0,4 kV tīkls. Elektrotīklam pieslēgto lietotāju elektroietaišu apgādi nodrošina 26 052 transformatoru apakšstacijas (6-20/ 0,4 kV).</w:t>
      </w:r>
      <w:r w:rsidR="00A03F2B">
        <w:rPr>
          <w:szCs w:val="28"/>
        </w:rPr>
        <w:t xml:space="preserve"> </w:t>
      </w:r>
      <w:r w:rsidR="00867FC8">
        <w:rPr>
          <w:szCs w:val="28"/>
        </w:rPr>
        <w:t>K</w:t>
      </w:r>
      <w:r w:rsidR="00867FC8" w:rsidRPr="00CB1B52">
        <w:rPr>
          <w:szCs w:val="28"/>
        </w:rPr>
        <w:t>opš 2011.gada 1.aprīļa</w:t>
      </w:r>
      <w:r w:rsidR="00867FC8">
        <w:rPr>
          <w:szCs w:val="28"/>
        </w:rPr>
        <w:t xml:space="preserve"> līdz 2014.gadam</w:t>
      </w:r>
      <w:r w:rsidR="00867FC8" w:rsidRPr="00867FC8">
        <w:rPr>
          <w:szCs w:val="28"/>
        </w:rPr>
        <w:t xml:space="preserve"> </w:t>
      </w:r>
      <w:r w:rsidR="00867FC8" w:rsidRPr="00CB1B52">
        <w:rPr>
          <w:szCs w:val="28"/>
        </w:rPr>
        <w:t>AS „Sadales tīkls” elektroenerģijas sadales sistēmas diferencētie tarifi</w:t>
      </w:r>
      <w:r w:rsidR="00867FC8">
        <w:rPr>
          <w:szCs w:val="28"/>
        </w:rPr>
        <w:t xml:space="preserve"> netika pārskatīti</w:t>
      </w:r>
      <w:r w:rsidR="00867FC8" w:rsidRPr="00CB1B52">
        <w:rPr>
          <w:szCs w:val="28"/>
        </w:rPr>
        <w:t>.</w:t>
      </w:r>
      <w:r w:rsidR="00867FC8" w:rsidRPr="00CB1B52">
        <w:rPr>
          <w:color w:val="000000"/>
          <w:position w:val="6"/>
          <w:sz w:val="16"/>
          <w:szCs w:val="16"/>
          <w:vertAlign w:val="superscript"/>
        </w:rPr>
        <w:footnoteReference w:id="10"/>
      </w:r>
      <w:r w:rsidRPr="00CB1B52">
        <w:rPr>
          <w:szCs w:val="28"/>
        </w:rPr>
        <w:t xml:space="preserve"> </w:t>
      </w:r>
    </w:p>
    <w:p w:rsidR="00A03F2B" w:rsidRDefault="00A03F2B" w:rsidP="009E2BCE">
      <w:pPr>
        <w:suppressAutoHyphens/>
        <w:ind w:firstLine="567"/>
        <w:jc w:val="both"/>
        <w:rPr>
          <w:szCs w:val="28"/>
        </w:rPr>
      </w:pPr>
      <w:r w:rsidRPr="00CB1B52">
        <w:rPr>
          <w:szCs w:val="28"/>
        </w:rPr>
        <w:lastRenderedPageBreak/>
        <w:t>Elektroenerģijas piegādes kvalitāte tiek vērtēta divos nozares rādītājos - elektroenerģijas padeves pārtraukumu ilgums vienam klientam</w:t>
      </w:r>
      <w:r w:rsidR="009E2BCE">
        <w:rPr>
          <w:szCs w:val="28"/>
        </w:rPr>
        <w:t xml:space="preserve"> gadā</w:t>
      </w:r>
      <w:r w:rsidRPr="00CB1B52">
        <w:rPr>
          <w:szCs w:val="28"/>
        </w:rPr>
        <w:t xml:space="preserve"> (SAIDI) un elektroenerģijas padeves pārtraukumu biežums vienam klientam </w:t>
      </w:r>
      <w:r w:rsidR="009E2BCE">
        <w:rPr>
          <w:szCs w:val="28"/>
        </w:rPr>
        <w:t xml:space="preserve">gadā </w:t>
      </w:r>
      <w:r w:rsidRPr="00CB1B52">
        <w:rPr>
          <w:szCs w:val="28"/>
        </w:rPr>
        <w:t>(SAIFI).</w:t>
      </w:r>
      <w:r w:rsidR="009E2BCE">
        <w:rPr>
          <w:szCs w:val="28"/>
        </w:rPr>
        <w:t xml:space="preserve"> P</w:t>
      </w:r>
      <w:r w:rsidR="009E2BCE" w:rsidRPr="0003115D">
        <w:rPr>
          <w:szCs w:val="28"/>
        </w:rPr>
        <w:t>ēdējo 10 gad</w:t>
      </w:r>
      <w:r w:rsidR="009E2BCE">
        <w:rPr>
          <w:szCs w:val="28"/>
        </w:rPr>
        <w:t xml:space="preserve">u laikā SAIDI un SAIFI </w:t>
      </w:r>
      <w:r w:rsidR="009E2BCE" w:rsidRPr="0003115D">
        <w:rPr>
          <w:szCs w:val="28"/>
        </w:rPr>
        <w:t xml:space="preserve">parametru uzlabošana ir viens no </w:t>
      </w:r>
      <w:r w:rsidR="009E2BCE">
        <w:rPr>
          <w:szCs w:val="28"/>
        </w:rPr>
        <w:t>Eiropas valstu sadales sistēmas operatoru</w:t>
      </w:r>
      <w:r w:rsidR="009E2BCE" w:rsidRPr="0003115D">
        <w:rPr>
          <w:szCs w:val="28"/>
        </w:rPr>
        <w:t xml:space="preserve"> galveniem uzdevumiem.</w:t>
      </w:r>
      <w:r w:rsidR="009E2BCE">
        <w:rPr>
          <w:szCs w:val="28"/>
        </w:rPr>
        <w:t xml:space="preserve"> </w:t>
      </w:r>
    </w:p>
    <w:p w:rsidR="00CB1B52" w:rsidRPr="00CB1B52" w:rsidRDefault="00CB1B52" w:rsidP="00A03F2B">
      <w:pPr>
        <w:suppressAutoHyphens/>
        <w:ind w:firstLine="567"/>
        <w:jc w:val="both"/>
        <w:rPr>
          <w:szCs w:val="28"/>
        </w:rPr>
      </w:pPr>
      <w:r w:rsidRPr="00CB1B52">
        <w:rPr>
          <w:szCs w:val="28"/>
        </w:rPr>
        <w:t xml:space="preserve">2013.gadā elektroapgādes pārtraukumi gaisvadu elektrotīklā fiksēti 30 179 reizes, kas ir par 11%  mazāk nekā 2012. gadā. </w:t>
      </w:r>
      <w:r w:rsidR="005D3339" w:rsidRPr="009E5EA0">
        <w:rPr>
          <w:szCs w:val="28"/>
        </w:rPr>
        <w:t>Pārtraukumu skait</w:t>
      </w:r>
      <w:r w:rsidR="005D3339">
        <w:rPr>
          <w:szCs w:val="28"/>
        </w:rPr>
        <w:t>a lielāko īpatsvaru sastāda pārtraukumi</w:t>
      </w:r>
      <w:r w:rsidR="005D3339" w:rsidRPr="009E5EA0">
        <w:rPr>
          <w:szCs w:val="28"/>
        </w:rPr>
        <w:t xml:space="preserve"> zemsprieguma elektrotīklā.</w:t>
      </w:r>
      <w:r w:rsidR="005D3339">
        <w:rPr>
          <w:szCs w:val="28"/>
        </w:rPr>
        <w:t xml:space="preserve"> </w:t>
      </w:r>
      <w:r w:rsidRPr="00CB1B52">
        <w:rPr>
          <w:szCs w:val="28"/>
        </w:rPr>
        <w:t>Veicot kabeļu elektrotīkla atjaunošanu, izdevies samazināt kabeļu tīkla bojājumu skaitu par 9 % - no 7192 gadījumiem 2012. gadā līdz 6543 gadījumiem 2013. gadā.73 % no kopējā pārtraukumu skaita 2013. gadā radušies nelabvēlīgu laika apstākļu ietekmē.</w:t>
      </w:r>
      <w:r w:rsidR="00F76DC7">
        <w:rPr>
          <w:szCs w:val="28"/>
        </w:rPr>
        <w:t xml:space="preserve"> </w:t>
      </w:r>
      <w:r w:rsidRPr="00CB1B52">
        <w:rPr>
          <w:szCs w:val="28"/>
        </w:rPr>
        <w:t xml:space="preserve">68% gadījumu kabeļu elektrotīklā tehnoloģiskos traucējumus izraisa kabeļu līniju izbūvē izmantoto materiālu novecošanās. Lielu ietekmi elektroenerģijas piegādes kvalitātē rada trešo personu izraisītie elektrotīkla bojājumi. 2013. gadā trešo personu izraisītie bojājumi fiksēti 495 reizes, kas bija par 91 gadījumu  jeb 23% vairāk nekā 2012. gadā. </w:t>
      </w:r>
    </w:p>
    <w:p w:rsidR="00CB1B52" w:rsidRPr="00CB1B52" w:rsidRDefault="00CB1B52" w:rsidP="00CB1B52">
      <w:pPr>
        <w:suppressAutoHyphens/>
        <w:ind w:firstLine="360"/>
        <w:jc w:val="both"/>
        <w:rPr>
          <w:szCs w:val="28"/>
        </w:rPr>
      </w:pPr>
      <w:r w:rsidRPr="00CB1B52">
        <w:rPr>
          <w:szCs w:val="28"/>
        </w:rPr>
        <w:t xml:space="preserve">2013.gadā neplānoto elektrotīkla atslēgumu ilgumu vienam klientam izdevies samazināt līdz 192 minūtēm, 2012. gadā atslēguma ilgums sasniedza 256 minūtes. Rādītājus ietekmē gan elektroapgādes tīkla bojājuma raksturs, gan veicamo darbu apjoms, kā arī vide, kurā atrodas elektrotīkls. 53 % no Latvijas teritorijas ir meži, kuros ir apgrūtināta piekļuve pie elektrotīkla. </w:t>
      </w:r>
    </w:p>
    <w:p w:rsidR="005D3339" w:rsidRPr="0003115D" w:rsidRDefault="005D3339" w:rsidP="005D3339">
      <w:pPr>
        <w:suppressAutoHyphens/>
        <w:ind w:firstLine="360"/>
        <w:jc w:val="both"/>
        <w:rPr>
          <w:szCs w:val="28"/>
        </w:rPr>
      </w:pPr>
      <w:r>
        <w:rPr>
          <w:szCs w:val="28"/>
        </w:rPr>
        <w:t xml:space="preserve">SAIDI un SAIFI </w:t>
      </w:r>
      <w:r w:rsidRPr="0003115D">
        <w:rPr>
          <w:szCs w:val="28"/>
        </w:rPr>
        <w:t>parametru uzlabošana ir AS „Sadales tīkls” pēdējo 3 gadu prioritāte un nākamo 10 gadu mērķis</w:t>
      </w:r>
      <w:r>
        <w:rPr>
          <w:szCs w:val="28"/>
        </w:rPr>
        <w:t xml:space="preserve">, kas definēts 2014.gadā apstiprinātajā </w:t>
      </w:r>
      <w:r w:rsidRPr="007D20C6">
        <w:rPr>
          <w:szCs w:val="28"/>
        </w:rPr>
        <w:t>AS</w:t>
      </w:r>
      <w:r>
        <w:rPr>
          <w:szCs w:val="28"/>
        </w:rPr>
        <w:t> </w:t>
      </w:r>
      <w:r w:rsidRPr="007D20C6">
        <w:rPr>
          <w:szCs w:val="28"/>
        </w:rPr>
        <w:t>„Sadales tīkls”</w:t>
      </w:r>
      <w:r>
        <w:rPr>
          <w:szCs w:val="28"/>
        </w:rPr>
        <w:t xml:space="preserve"> Attīstības plānā elektrotīklu savlaicīgai un efektīvai atjaunošanai, lai paaugstinātu elektroapgādes kvalitāti un drošumu lietotājiem </w:t>
      </w:r>
      <w:r w:rsidRPr="0003115D">
        <w:rPr>
          <w:szCs w:val="28"/>
        </w:rPr>
        <w:t xml:space="preserve">Latvijā līdz 2023.gadam. </w:t>
      </w:r>
      <w:r w:rsidRPr="007D20C6">
        <w:rPr>
          <w:szCs w:val="28"/>
        </w:rPr>
        <w:t>AS</w:t>
      </w:r>
      <w:r>
        <w:rPr>
          <w:szCs w:val="28"/>
        </w:rPr>
        <w:t> </w:t>
      </w:r>
      <w:r w:rsidRPr="007D20C6">
        <w:rPr>
          <w:szCs w:val="28"/>
        </w:rPr>
        <w:t>„Sadales tīkls”</w:t>
      </w:r>
      <w:r>
        <w:rPr>
          <w:szCs w:val="28"/>
        </w:rPr>
        <w:t xml:space="preserve"> Attīstības plānā ir noteiktas sekojošas prioritātes</w:t>
      </w:r>
      <w:r w:rsidRPr="0003115D">
        <w:rPr>
          <w:szCs w:val="28"/>
        </w:rPr>
        <w:t>:</w:t>
      </w:r>
    </w:p>
    <w:p w:rsidR="005D3339" w:rsidRPr="004A1405" w:rsidRDefault="005D3339" w:rsidP="005D3339">
      <w:pPr>
        <w:pStyle w:val="ListParagraph"/>
        <w:numPr>
          <w:ilvl w:val="0"/>
          <w:numId w:val="60"/>
        </w:numPr>
        <w:suppressAutoHyphens/>
        <w:jc w:val="both"/>
        <w:rPr>
          <w:szCs w:val="28"/>
        </w:rPr>
      </w:pPr>
      <w:r>
        <w:rPr>
          <w:szCs w:val="28"/>
        </w:rPr>
        <w:t>e</w:t>
      </w:r>
      <w:r w:rsidRPr="004A1405">
        <w:rPr>
          <w:szCs w:val="28"/>
        </w:rPr>
        <w:t>lektrotīkla atjaunošana, izmantojot drošākus tehniskos risinājumus, un finansējum</w:t>
      </w:r>
      <w:r>
        <w:rPr>
          <w:szCs w:val="28"/>
        </w:rPr>
        <w:t>u prioritāri</w:t>
      </w:r>
      <w:r w:rsidRPr="004A1405">
        <w:rPr>
          <w:szCs w:val="28"/>
        </w:rPr>
        <w:t xml:space="preserve"> novirzot stratēģiski svarīgākā 6-20 kV elektrotīkla atjaunošanā</w:t>
      </w:r>
      <w:r>
        <w:rPr>
          <w:szCs w:val="28"/>
        </w:rPr>
        <w:t>;</w:t>
      </w:r>
    </w:p>
    <w:p w:rsidR="005D3339" w:rsidRPr="004A1405" w:rsidRDefault="005D3339" w:rsidP="005D3339">
      <w:pPr>
        <w:pStyle w:val="ListParagraph"/>
        <w:numPr>
          <w:ilvl w:val="0"/>
          <w:numId w:val="60"/>
        </w:numPr>
        <w:suppressAutoHyphens/>
        <w:jc w:val="both"/>
        <w:rPr>
          <w:szCs w:val="28"/>
        </w:rPr>
      </w:pPr>
      <w:r>
        <w:rPr>
          <w:szCs w:val="28"/>
        </w:rPr>
        <w:t>p</w:t>
      </w:r>
      <w:r w:rsidRPr="004A1405">
        <w:rPr>
          <w:szCs w:val="28"/>
        </w:rPr>
        <w:t xml:space="preserve">aātrināta elektroapgādes kvalitātes uzlabošana, realizējot 20 kV </w:t>
      </w:r>
      <w:r>
        <w:rPr>
          <w:szCs w:val="28"/>
        </w:rPr>
        <w:t>gaisvadu līniju</w:t>
      </w:r>
      <w:r w:rsidRPr="004A1405">
        <w:rPr>
          <w:szCs w:val="28"/>
        </w:rPr>
        <w:t xml:space="preserve"> pārbūvi</w:t>
      </w:r>
      <w:r>
        <w:rPr>
          <w:szCs w:val="28"/>
        </w:rPr>
        <w:t xml:space="preserve"> kabeļos</w:t>
      </w:r>
      <w:r w:rsidRPr="004A1405">
        <w:rPr>
          <w:szCs w:val="28"/>
        </w:rPr>
        <w:t xml:space="preserve">, elektrotīkla automatizēšana un jaunu 110 kV apakšstaciju izbūve, </w:t>
      </w:r>
      <w:r>
        <w:rPr>
          <w:szCs w:val="28"/>
        </w:rPr>
        <w:t>lai</w:t>
      </w:r>
      <w:r w:rsidRPr="004A1405">
        <w:rPr>
          <w:szCs w:val="28"/>
        </w:rPr>
        <w:t xml:space="preserve"> samazināt</w:t>
      </w:r>
      <w:r>
        <w:rPr>
          <w:szCs w:val="28"/>
        </w:rPr>
        <w:t>u</w:t>
      </w:r>
      <w:r w:rsidRPr="004A1405">
        <w:rPr>
          <w:szCs w:val="28"/>
        </w:rPr>
        <w:t xml:space="preserve"> SAIDI un SAIFI</w:t>
      </w:r>
      <w:r>
        <w:rPr>
          <w:szCs w:val="28"/>
        </w:rPr>
        <w:t>;</w:t>
      </w:r>
    </w:p>
    <w:p w:rsidR="005D3339" w:rsidRPr="004A1405" w:rsidRDefault="005D3339" w:rsidP="005D3339">
      <w:pPr>
        <w:pStyle w:val="ListParagraph"/>
        <w:numPr>
          <w:ilvl w:val="0"/>
          <w:numId w:val="60"/>
        </w:numPr>
        <w:suppressAutoHyphens/>
        <w:jc w:val="both"/>
        <w:rPr>
          <w:szCs w:val="28"/>
        </w:rPr>
      </w:pPr>
      <w:r>
        <w:rPr>
          <w:szCs w:val="28"/>
        </w:rPr>
        <w:t>p</w:t>
      </w:r>
      <w:r w:rsidRPr="00F11456">
        <w:rPr>
          <w:szCs w:val="28"/>
        </w:rPr>
        <w:t>ieslēgumu procesa efektivizēšana, samazinot</w:t>
      </w:r>
      <w:r w:rsidRPr="001D0478">
        <w:rPr>
          <w:szCs w:val="28"/>
        </w:rPr>
        <w:t xml:space="preserve"> nepieciešamo dokumentu skaitu un </w:t>
      </w:r>
      <w:r>
        <w:rPr>
          <w:szCs w:val="28"/>
        </w:rPr>
        <w:t>paātrinot pieslēguma p</w:t>
      </w:r>
      <w:r w:rsidRPr="004A1405">
        <w:rPr>
          <w:szCs w:val="28"/>
        </w:rPr>
        <w:t>roces</w:t>
      </w:r>
      <w:r>
        <w:rPr>
          <w:szCs w:val="28"/>
        </w:rPr>
        <w:t>u</w:t>
      </w:r>
      <w:r w:rsidRPr="004A1405">
        <w:rPr>
          <w:szCs w:val="28"/>
        </w:rPr>
        <w:t>;</w:t>
      </w:r>
    </w:p>
    <w:p w:rsidR="005D3339" w:rsidRPr="001D0478" w:rsidRDefault="005D3339" w:rsidP="005D3339">
      <w:pPr>
        <w:pStyle w:val="ListParagraph"/>
        <w:numPr>
          <w:ilvl w:val="0"/>
          <w:numId w:val="60"/>
        </w:numPr>
        <w:suppressAutoHyphens/>
        <w:jc w:val="both"/>
        <w:rPr>
          <w:szCs w:val="28"/>
        </w:rPr>
      </w:pPr>
      <w:r>
        <w:rPr>
          <w:szCs w:val="28"/>
        </w:rPr>
        <w:t>e</w:t>
      </w:r>
      <w:r w:rsidRPr="00F11456">
        <w:rPr>
          <w:szCs w:val="28"/>
        </w:rPr>
        <w:t>lektrotīkla uzturēšanas darbu pilnveidošana, lai samazinātu tiem nepieciešamo atslēgumu ilgumu</w:t>
      </w:r>
      <w:r w:rsidRPr="001D0478">
        <w:rPr>
          <w:szCs w:val="28"/>
        </w:rPr>
        <w:t>;</w:t>
      </w:r>
    </w:p>
    <w:p w:rsidR="005D3339" w:rsidRPr="000451AA" w:rsidRDefault="005D3339" w:rsidP="005D3339">
      <w:pPr>
        <w:pStyle w:val="ListParagraph"/>
        <w:numPr>
          <w:ilvl w:val="0"/>
          <w:numId w:val="60"/>
        </w:numPr>
        <w:suppressAutoHyphens/>
        <w:jc w:val="both"/>
        <w:rPr>
          <w:szCs w:val="28"/>
        </w:rPr>
      </w:pPr>
      <w:r>
        <w:rPr>
          <w:szCs w:val="28"/>
        </w:rPr>
        <w:t>v</w:t>
      </w:r>
      <w:r w:rsidRPr="001D0478">
        <w:rPr>
          <w:szCs w:val="28"/>
        </w:rPr>
        <w:t>iedā</w:t>
      </w:r>
      <w:r w:rsidR="00C636B9">
        <w:rPr>
          <w:szCs w:val="28"/>
        </w:rPr>
        <w:t xml:space="preserve"> tīkla attīstība</w:t>
      </w:r>
      <w:r w:rsidRPr="00633FEE">
        <w:rPr>
          <w:szCs w:val="28"/>
        </w:rPr>
        <w:t>;</w:t>
      </w:r>
    </w:p>
    <w:p w:rsidR="005D3339" w:rsidRDefault="005D3339" w:rsidP="00640AEE">
      <w:pPr>
        <w:pStyle w:val="ListParagraph"/>
        <w:numPr>
          <w:ilvl w:val="0"/>
          <w:numId w:val="60"/>
        </w:numPr>
        <w:suppressAutoHyphens/>
        <w:jc w:val="both"/>
        <w:rPr>
          <w:szCs w:val="28"/>
        </w:rPr>
      </w:pPr>
      <w:r>
        <w:rPr>
          <w:szCs w:val="28"/>
        </w:rPr>
        <w:t>t</w:t>
      </w:r>
      <w:r w:rsidRPr="00EE57FA">
        <w:rPr>
          <w:szCs w:val="28"/>
        </w:rPr>
        <w:t>ehnoloģiju izpēte</w:t>
      </w:r>
      <w:r>
        <w:rPr>
          <w:szCs w:val="28"/>
        </w:rPr>
        <w:t xml:space="preserve"> un iekšējo procesu tālāka optimizācija</w:t>
      </w:r>
      <w:r w:rsidRPr="003425D5">
        <w:rPr>
          <w:szCs w:val="28"/>
        </w:rPr>
        <w:t>, lai savlaicīgi varētu ieviest nepieciešamos tehniskos risinājumus, kuri efektīvāk ļauj sasniegt noteiktos mērķus;</w:t>
      </w:r>
    </w:p>
    <w:p w:rsidR="005D3339" w:rsidRPr="005D3339" w:rsidRDefault="005D3339" w:rsidP="00640AEE">
      <w:pPr>
        <w:pStyle w:val="ListParagraph"/>
        <w:numPr>
          <w:ilvl w:val="0"/>
          <w:numId w:val="60"/>
        </w:numPr>
        <w:suppressAutoHyphens/>
        <w:jc w:val="both"/>
        <w:rPr>
          <w:szCs w:val="28"/>
        </w:rPr>
      </w:pPr>
      <w:r>
        <w:rPr>
          <w:szCs w:val="28"/>
        </w:rPr>
        <w:lastRenderedPageBreak/>
        <w:t>s</w:t>
      </w:r>
      <w:r w:rsidRPr="005D3339">
        <w:rPr>
          <w:szCs w:val="28"/>
        </w:rPr>
        <w:t>adarbības pilnveidošana ar pašvaldībām un citiem komunikāciju turētājiem, kas ļauj efektivizēt elektrotīkla attīstību.</w:t>
      </w:r>
      <w:r w:rsidR="00EE1712" w:rsidRPr="005D3339">
        <w:rPr>
          <w:szCs w:val="28"/>
        </w:rPr>
        <w:t xml:space="preserve"> </w:t>
      </w:r>
    </w:p>
    <w:p w:rsidR="005D3339" w:rsidRDefault="005D3339" w:rsidP="00EE1712">
      <w:pPr>
        <w:suppressAutoHyphens/>
        <w:ind w:firstLine="360"/>
        <w:jc w:val="both"/>
        <w:rPr>
          <w:szCs w:val="28"/>
        </w:rPr>
      </w:pPr>
    </w:p>
    <w:p w:rsidR="00721F11" w:rsidRPr="0004655E" w:rsidRDefault="00721F11" w:rsidP="00721F11">
      <w:pPr>
        <w:suppressAutoHyphens/>
        <w:ind w:firstLine="360"/>
        <w:jc w:val="both"/>
      </w:pPr>
      <w:r w:rsidRPr="0004655E">
        <w:t xml:space="preserve">Sadales tīkliem arvien vairāk tiek pieslēgti alternatīvie elektroenerģijas ražotāju ģeneratori. </w:t>
      </w:r>
      <w:r w:rsidRPr="0004655E">
        <w:rPr>
          <w:bCs/>
        </w:rPr>
        <w:t>Pieaugot to īpatsvaram pieaug ietekme uz tīkla normālu darbību</w:t>
      </w:r>
      <w:r w:rsidRPr="0004655E">
        <w:t>, klientu  elektroapgādes drošumu un sprieguma kvalitāti. Līdz ar to ir jāveic izmaiņas tīkla tehniskā un tehnoloģiskā aprīkojumā, lai nodrošinātu  sadales sistēmas harmonisku, drošu un kvalitatīvu darbību nākotnē.</w:t>
      </w:r>
    </w:p>
    <w:p w:rsidR="00721F11" w:rsidRPr="0004655E" w:rsidRDefault="00721F11" w:rsidP="00721F11">
      <w:pPr>
        <w:suppressAutoHyphens/>
        <w:ind w:firstLine="360"/>
        <w:jc w:val="both"/>
        <w:rPr>
          <w:szCs w:val="28"/>
        </w:rPr>
      </w:pPr>
      <w:r w:rsidRPr="0004655E">
        <w:t>Latvijā elektromobilitātes attīstībai</w:t>
      </w:r>
      <w:r w:rsidR="00252669" w:rsidRPr="0004655E">
        <w:t xml:space="preserve"> (</w:t>
      </w:r>
      <w:r w:rsidRPr="0004655E">
        <w:t>atbilstoši valstī apstiprinātajam Elektromobilitātes attīstības plānam</w:t>
      </w:r>
      <w:r w:rsidR="00252669" w:rsidRPr="0004655E">
        <w:t>)</w:t>
      </w:r>
      <w:r w:rsidRPr="0004655E">
        <w:t xml:space="preserve">, nepieciešams izbūvēt vienotu elektrouzlādes staciju infrastruktūru. Lai nodrošinātu ērti lietojamu publisko elektromobiļu uzlādes infrastruktūru, tai jāsastāv no ātrās un vidēji ātrās uzlādes stacijām, kuras aprīkotas ar auto identificēšanas, viedās elektroenerģijas uzskaites un centralizētas datu uzkrāšanas infrastruktūru optimālai norēķinu organizēšanai par uzlādes pakalpojumu. Ņemot vērā kopīgo autoceļu garumu un attālumu, ko elektromobilis spēj nobraukt ar vienu uzlādi, valstī būtu nepieciešams ierīkot aptuveni 1000 šādu uzlādes staciju. Plānojot uzlādes staciju izbūvi, </w:t>
      </w:r>
      <w:r w:rsidRPr="0004655E">
        <w:rPr>
          <w:bCs/>
        </w:rPr>
        <w:t>jāņem vērā</w:t>
      </w:r>
      <w:r w:rsidRPr="0004655E">
        <w:t xml:space="preserve"> arī </w:t>
      </w:r>
      <w:r w:rsidRPr="0004655E">
        <w:rPr>
          <w:bCs/>
        </w:rPr>
        <w:t>esošās sadales elektrotīkla atrašanās vieta un pieejamās jaudas, lai lietderīgi izmantotu esošo infrastruktūru un optimizētu uzlādes infrastruktūras izbūves izmaksas</w:t>
      </w:r>
      <w:r w:rsidRPr="0004655E">
        <w:t>.</w:t>
      </w:r>
    </w:p>
    <w:p w:rsidR="00116956" w:rsidRDefault="00A03F2B" w:rsidP="00EE1712">
      <w:pPr>
        <w:suppressAutoHyphens/>
        <w:ind w:firstLine="360"/>
        <w:jc w:val="both"/>
        <w:rPr>
          <w:szCs w:val="28"/>
        </w:rPr>
      </w:pPr>
      <w:r w:rsidRPr="0004655E">
        <w:rPr>
          <w:szCs w:val="28"/>
        </w:rPr>
        <w:t>Lai ī</w:t>
      </w:r>
      <w:r w:rsidR="00CB1B52" w:rsidRPr="0004655E">
        <w:rPr>
          <w:szCs w:val="28"/>
        </w:rPr>
        <w:t>steno</w:t>
      </w:r>
      <w:r w:rsidRPr="0004655E">
        <w:rPr>
          <w:szCs w:val="28"/>
        </w:rPr>
        <w:t xml:space="preserve">tu </w:t>
      </w:r>
      <w:r w:rsidR="00CB1B52" w:rsidRPr="0004655E">
        <w:rPr>
          <w:szCs w:val="28"/>
        </w:rPr>
        <w:t>iecerētos investīciju</w:t>
      </w:r>
      <w:r w:rsidR="00CB1B52" w:rsidRPr="00CB1B52">
        <w:rPr>
          <w:szCs w:val="28"/>
        </w:rPr>
        <w:t xml:space="preserve"> projektus</w:t>
      </w:r>
      <w:r>
        <w:rPr>
          <w:szCs w:val="28"/>
        </w:rPr>
        <w:t xml:space="preserve">, nepieciešams </w:t>
      </w:r>
      <w:r w:rsidR="005D3339">
        <w:rPr>
          <w:szCs w:val="28"/>
        </w:rPr>
        <w:t xml:space="preserve">papildus </w:t>
      </w:r>
      <w:r w:rsidR="00747791">
        <w:rPr>
          <w:szCs w:val="28"/>
        </w:rPr>
        <w:t xml:space="preserve">pilnveidot </w:t>
      </w:r>
      <w:r w:rsidR="00CB1B52" w:rsidRPr="00CB1B52">
        <w:rPr>
          <w:szCs w:val="28"/>
        </w:rPr>
        <w:t>sadales sistēmas pakalpojum</w:t>
      </w:r>
      <w:r w:rsidR="00747791">
        <w:rPr>
          <w:szCs w:val="28"/>
        </w:rPr>
        <w:t>u tarifa noteikšanu</w:t>
      </w:r>
      <w:r w:rsidR="005D3339">
        <w:rPr>
          <w:szCs w:val="28"/>
        </w:rPr>
        <w:t xml:space="preserve"> un tarifa struktūru</w:t>
      </w:r>
      <w:r w:rsidR="00747791">
        <w:rPr>
          <w:szCs w:val="28"/>
        </w:rPr>
        <w:t xml:space="preserve">, </w:t>
      </w:r>
      <w:r>
        <w:rPr>
          <w:szCs w:val="28"/>
        </w:rPr>
        <w:t xml:space="preserve">kas nodrošinātu efektīvāku sadales sistēmas infrastruktūras izmantošanu. </w:t>
      </w:r>
      <w:r w:rsidR="00747791">
        <w:rPr>
          <w:szCs w:val="28"/>
        </w:rPr>
        <w:t xml:space="preserve">Kopējais </w:t>
      </w:r>
      <w:r w:rsidR="00CB1B52" w:rsidRPr="00CB1B52">
        <w:rPr>
          <w:szCs w:val="28"/>
        </w:rPr>
        <w:t>tarifa pieaugums varētu sastādīt 1 – 3% gadā atkarībā no tautsaimniecības izaugsmes un ar to saistīto elektroenerģijas patēriņu.</w:t>
      </w:r>
    </w:p>
    <w:p w:rsidR="00CB1B52" w:rsidRPr="00EE759E" w:rsidRDefault="00116956" w:rsidP="00116956">
      <w:pPr>
        <w:pStyle w:val="Heading3"/>
        <w:rPr>
          <w:rFonts w:ascii="Times New Roman" w:hAnsi="Times New Roman" w:cs="Times New Roman"/>
          <w:color w:val="auto"/>
        </w:rPr>
      </w:pPr>
      <w:bookmarkStart w:id="19" w:name="_Toc401644321"/>
      <w:r w:rsidRPr="00EE759E">
        <w:rPr>
          <w:rFonts w:ascii="Times New Roman" w:hAnsi="Times New Roman" w:cs="Times New Roman"/>
          <w:color w:val="auto"/>
        </w:rPr>
        <w:t>Dabasgāze</w:t>
      </w:r>
      <w:r w:rsidR="0010381B" w:rsidRPr="00EE759E">
        <w:rPr>
          <w:rFonts w:ascii="Times New Roman" w:hAnsi="Times New Roman" w:cs="Times New Roman"/>
          <w:color w:val="auto"/>
        </w:rPr>
        <w:t>s infrastruktūra</w:t>
      </w:r>
      <w:bookmarkEnd w:id="19"/>
      <w:r w:rsidR="00CB1B52" w:rsidRPr="00EE759E">
        <w:rPr>
          <w:rFonts w:ascii="Times New Roman" w:hAnsi="Times New Roman" w:cs="Times New Roman"/>
          <w:color w:val="auto"/>
        </w:rPr>
        <w:t xml:space="preserve"> </w:t>
      </w:r>
    </w:p>
    <w:p w:rsidR="00EE1712" w:rsidRPr="00EE1712" w:rsidRDefault="00EE1712" w:rsidP="00EE1712">
      <w:pPr>
        <w:ind w:firstLine="720"/>
        <w:jc w:val="both"/>
        <w:rPr>
          <w:rFonts w:eastAsia="Times New Roman" w:cs="Times New Roman"/>
          <w:szCs w:val="28"/>
        </w:rPr>
      </w:pPr>
      <w:r w:rsidRPr="00EE1712">
        <w:rPr>
          <w:rFonts w:eastAsia="Times New Roman" w:cs="Times New Roman"/>
          <w:szCs w:val="28"/>
        </w:rPr>
        <w:t>Latvijas pārvades gāzesvadi (turpmāk tekstā - PGV) ir Baltijas valstu dabasgāzes pārvades sistēmas sastāvdaļa. Esošā dabasgāzes pārvades sistēma dod iespēju saņemt dabasgāzi no Krievijas pa pārvades gāzesvadiem Valdaja – Pleskava – Rīga un Izborska – IPGK</w:t>
      </w:r>
      <w:r w:rsidR="00CD62BB">
        <w:rPr>
          <w:rFonts w:eastAsia="Times New Roman" w:cs="Times New Roman"/>
          <w:szCs w:val="28"/>
        </w:rPr>
        <w:t xml:space="preserve"> (skat. </w:t>
      </w:r>
      <w:r w:rsidR="00B12B32">
        <w:rPr>
          <w:rFonts w:eastAsia="Times New Roman" w:cs="Times New Roman"/>
          <w:szCs w:val="28"/>
        </w:rPr>
        <w:t>16</w:t>
      </w:r>
      <w:r w:rsidR="00CD62BB">
        <w:rPr>
          <w:rFonts w:eastAsia="Times New Roman" w:cs="Times New Roman"/>
          <w:szCs w:val="28"/>
        </w:rPr>
        <w:t>.attēlu)</w:t>
      </w:r>
      <w:r w:rsidRPr="00EE1712">
        <w:rPr>
          <w:rFonts w:eastAsia="Times New Roman" w:cs="Times New Roman"/>
          <w:szCs w:val="28"/>
        </w:rPr>
        <w:t>. Dabasgāzes piegāde virzienā no Pleskavas līdz Rīgai tiek nodrošināta ar diviem paralēliem gāzesvadiem, starp kuriem ir savienojošās līnijas.</w:t>
      </w:r>
      <w:r w:rsidR="007E0F57">
        <w:rPr>
          <w:rFonts w:eastAsia="Times New Roman" w:cs="Times New Roman"/>
          <w:szCs w:val="28"/>
        </w:rPr>
        <w:t xml:space="preserve"> </w:t>
      </w:r>
      <w:r w:rsidRPr="00EE1712">
        <w:rPr>
          <w:rFonts w:eastAsia="Times New Roman" w:cs="Times New Roman"/>
          <w:szCs w:val="28"/>
        </w:rPr>
        <w:t xml:space="preserve">Kopējais maģistrālo tīklu garums Latvijā ir 1239 km. </w:t>
      </w:r>
    </w:p>
    <w:p w:rsidR="00B12B32" w:rsidRPr="00EE1712" w:rsidRDefault="00B12B32" w:rsidP="00B12B32">
      <w:pPr>
        <w:ind w:firstLine="720"/>
        <w:jc w:val="both"/>
        <w:rPr>
          <w:rFonts w:eastAsia="Times New Roman" w:cs="Times New Roman"/>
          <w:szCs w:val="28"/>
        </w:rPr>
      </w:pPr>
      <w:r w:rsidRPr="00EE1712">
        <w:rPr>
          <w:rFonts w:eastAsia="Times New Roman" w:cs="Times New Roman"/>
          <w:szCs w:val="28"/>
        </w:rPr>
        <w:t xml:space="preserve">Pārvades sistēma nodrošina valsts lielāko pilsētu apgādi ar dabasgāzi pilnā apmērā, pastāvot gāzes pārvades un sadales sistēmu savienojošam posmam – gāzes regulēšanas staciju (turpmāk tekstā – GRS) caurlaides spēju rezervēm. </w:t>
      </w:r>
    </w:p>
    <w:p w:rsidR="00B12B32" w:rsidRPr="00EE1712" w:rsidRDefault="00B12B32" w:rsidP="00B12B32">
      <w:pPr>
        <w:ind w:firstLine="720"/>
        <w:jc w:val="both"/>
        <w:rPr>
          <w:rFonts w:eastAsia="Times New Roman" w:cs="Times New Roman"/>
          <w:szCs w:val="28"/>
        </w:rPr>
      </w:pPr>
      <w:r w:rsidRPr="00EE1712">
        <w:rPr>
          <w:rFonts w:eastAsia="Times New Roman" w:cs="Times New Roman"/>
          <w:szCs w:val="28"/>
        </w:rPr>
        <w:t xml:space="preserve">Lai uzlabotu gāzes piegādi un paaugstinātu gāzes apgādes drošību, AS „Latvijas Gāze” kopš tās privatizācijas 1997. gadā ir modernizējusi gāzes apgādes sistēmu kopā investējot 270.4 miljonus latu (384.7 miljonus EUR). 2013. gadā pilnībā tika pabeigts Latvijas – Lietuvas starpsavienojuma kapacitātes </w:t>
      </w:r>
      <w:r w:rsidR="00CC1C52" w:rsidRPr="00EE1712">
        <w:rPr>
          <w:rFonts w:eastAsia="Times New Roman" w:cs="Times New Roman"/>
          <w:szCs w:val="28"/>
        </w:rPr>
        <w:t xml:space="preserve">palielināšanas projekts </w:t>
      </w:r>
      <w:r w:rsidRPr="00EE1712">
        <w:rPr>
          <w:rFonts w:eastAsia="Times New Roman" w:cs="Times New Roman"/>
          <w:szCs w:val="28"/>
        </w:rPr>
        <w:t xml:space="preserve">līdz 6 milj.m3 dienā, kas tika realizēts </w:t>
      </w:r>
      <w:r w:rsidRPr="00EE1712">
        <w:rPr>
          <w:rFonts w:eastAsia="Times New Roman" w:cs="Times New Roman"/>
          <w:szCs w:val="28"/>
        </w:rPr>
        <w:lastRenderedPageBreak/>
        <w:t>Eiropas enerģētikas atveseļošanas programmas ietvaros</w:t>
      </w:r>
      <w:r>
        <w:rPr>
          <w:rFonts w:eastAsia="Times New Roman" w:cs="Times New Roman"/>
          <w:szCs w:val="28"/>
        </w:rPr>
        <w:t xml:space="preserve">, kur </w:t>
      </w:r>
      <w:r w:rsidRPr="00EE1712">
        <w:rPr>
          <w:rFonts w:eastAsia="Times New Roman" w:cs="Times New Roman"/>
          <w:szCs w:val="28"/>
        </w:rPr>
        <w:t xml:space="preserve">AS „Latvijas Gāze” saņēma 10 milj. eiro šī projekta realizācijai. </w:t>
      </w:r>
    </w:p>
    <w:p w:rsidR="00EE1712" w:rsidRPr="00EE1712" w:rsidRDefault="00EE1712" w:rsidP="00EE1712">
      <w:pPr>
        <w:ind w:firstLine="720"/>
        <w:jc w:val="both"/>
        <w:rPr>
          <w:rFonts w:eastAsia="Times New Roman" w:cs="Times New Roman"/>
          <w:szCs w:val="28"/>
        </w:rPr>
      </w:pPr>
    </w:p>
    <w:p w:rsidR="00B12B32" w:rsidRDefault="00EE1712" w:rsidP="00EE759E">
      <w:pPr>
        <w:spacing w:line="360" w:lineRule="auto"/>
        <w:jc w:val="center"/>
        <w:rPr>
          <w:rFonts w:eastAsia="Times New Roman" w:cs="Times New Roman"/>
          <w:sz w:val="20"/>
          <w:szCs w:val="20"/>
        </w:rPr>
      </w:pPr>
      <w:r w:rsidRPr="00EE1712">
        <w:rPr>
          <w:rFonts w:eastAsia="Times New Roman" w:cs="Times New Roman"/>
          <w:noProof/>
          <w:color w:val="FF0000"/>
          <w:sz w:val="24"/>
          <w:szCs w:val="24"/>
          <w:lang w:eastAsia="lv-LV"/>
        </w:rPr>
        <w:drawing>
          <wp:inline distT="0" distB="0" distL="0" distR="0" wp14:anchorId="1177C97E" wp14:editId="3B79B201">
            <wp:extent cx="5653675" cy="3333750"/>
            <wp:effectExtent l="0" t="0" r="4445" b="0"/>
            <wp:docPr id="22" name="Picture 22" descr="Ciparu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paru karte"/>
                    <pic:cNvPicPr>
                      <a:picLocks noChangeAspect="1" noChangeArrowheads="1"/>
                    </pic:cNvPicPr>
                  </pic:nvPicPr>
                  <pic:blipFill>
                    <a:blip r:embed="rId27" cstate="print"/>
                    <a:srcRect/>
                    <a:stretch>
                      <a:fillRect/>
                    </a:stretch>
                  </pic:blipFill>
                  <pic:spPr bwMode="auto">
                    <a:xfrm>
                      <a:off x="0" y="0"/>
                      <a:ext cx="5668332" cy="3342392"/>
                    </a:xfrm>
                    <a:prstGeom prst="rect">
                      <a:avLst/>
                    </a:prstGeom>
                    <a:noFill/>
                    <a:ln w="9525">
                      <a:noFill/>
                      <a:miter lim="800000"/>
                      <a:headEnd/>
                      <a:tailEnd/>
                    </a:ln>
                  </pic:spPr>
                </pic:pic>
              </a:graphicData>
            </a:graphic>
          </wp:inline>
        </w:drawing>
      </w:r>
    </w:p>
    <w:p w:rsidR="00EE1712" w:rsidRPr="00EE1712" w:rsidRDefault="00EE1712" w:rsidP="00640AEE">
      <w:pPr>
        <w:rPr>
          <w:rFonts w:eastAsia="Times New Roman" w:cs="Times New Roman"/>
          <w:sz w:val="24"/>
          <w:szCs w:val="24"/>
        </w:rPr>
      </w:pPr>
      <w:r w:rsidRPr="00EE1712">
        <w:rPr>
          <w:rFonts w:eastAsia="Times New Roman" w:cs="Times New Roman"/>
          <w:sz w:val="20"/>
          <w:szCs w:val="20"/>
        </w:rPr>
        <w:t>Avots: AS „Latvijas Gāze”</w:t>
      </w:r>
    </w:p>
    <w:p w:rsidR="00EE1712" w:rsidRPr="001162AC" w:rsidRDefault="00B12B32" w:rsidP="00640AEE">
      <w:pPr>
        <w:rPr>
          <w:rFonts w:eastAsia="Times New Roman" w:cs="Times New Roman"/>
          <w:b/>
          <w:sz w:val="24"/>
          <w:szCs w:val="24"/>
        </w:rPr>
      </w:pPr>
      <w:r w:rsidRPr="001162AC">
        <w:rPr>
          <w:rFonts w:eastAsia="Times New Roman" w:cs="Times New Roman"/>
          <w:b/>
          <w:sz w:val="24"/>
          <w:szCs w:val="24"/>
        </w:rPr>
        <w:t>16</w:t>
      </w:r>
      <w:r w:rsidR="00EE1712" w:rsidRPr="001162AC">
        <w:rPr>
          <w:rFonts w:eastAsia="Times New Roman" w:cs="Times New Roman"/>
          <w:b/>
          <w:sz w:val="24"/>
          <w:szCs w:val="24"/>
        </w:rPr>
        <w:t>. att</w:t>
      </w:r>
      <w:r w:rsidR="00F65F0E" w:rsidRPr="001162AC">
        <w:rPr>
          <w:rFonts w:eastAsia="Times New Roman" w:cs="Times New Roman"/>
          <w:b/>
          <w:sz w:val="24"/>
          <w:szCs w:val="24"/>
        </w:rPr>
        <w:t>ēls</w:t>
      </w:r>
      <w:r w:rsidR="00EE1712" w:rsidRPr="001162AC">
        <w:rPr>
          <w:rFonts w:eastAsia="Times New Roman" w:cs="Times New Roman"/>
          <w:b/>
          <w:sz w:val="24"/>
          <w:szCs w:val="24"/>
        </w:rPr>
        <w:t>. Dabasgāzes pārvades sistēma Latvijā.</w:t>
      </w:r>
    </w:p>
    <w:p w:rsidR="00640AEE" w:rsidRDefault="00640AEE" w:rsidP="007E0F57">
      <w:pPr>
        <w:suppressAutoHyphens/>
        <w:ind w:firstLine="709"/>
        <w:jc w:val="both"/>
        <w:rPr>
          <w:szCs w:val="28"/>
        </w:rPr>
      </w:pPr>
    </w:p>
    <w:p w:rsidR="007E0F57" w:rsidRPr="00A12010" w:rsidRDefault="007E0F57" w:rsidP="007E0F57">
      <w:pPr>
        <w:suppressAutoHyphens/>
        <w:ind w:firstLine="709"/>
        <w:jc w:val="both"/>
        <w:rPr>
          <w:szCs w:val="28"/>
        </w:rPr>
      </w:pPr>
      <w:r w:rsidRPr="00A12010">
        <w:rPr>
          <w:szCs w:val="28"/>
        </w:rPr>
        <w:t xml:space="preserve">Attiecībā uz dabasgāzes infrastruktūras </w:t>
      </w:r>
      <w:r>
        <w:rPr>
          <w:szCs w:val="28"/>
        </w:rPr>
        <w:t>attīstību</w:t>
      </w:r>
      <w:r w:rsidRPr="00A12010">
        <w:rPr>
          <w:szCs w:val="28"/>
        </w:rPr>
        <w:t xml:space="preserve"> jāņem vērā </w:t>
      </w:r>
      <w:r w:rsidR="00CC1C52">
        <w:rPr>
          <w:szCs w:val="28"/>
        </w:rPr>
        <w:t xml:space="preserve">Baltijas valstu </w:t>
      </w:r>
      <w:r w:rsidRPr="00A12010">
        <w:rPr>
          <w:szCs w:val="28"/>
        </w:rPr>
        <w:t>ierobežotais dabasgāzes tirgus, un līdz ar to projekta atmaksāšanās iespējas, ja tam nav investīciju atbalsta. Lai nodrošinātu enerģētisko neatkarību arī attiecībā uz dabasgāzes piegādēm, Baltijas reģionā tika ierosināti vairāki nozīmīgi starpsavienojumu infrastruktūras projekti</w:t>
      </w:r>
      <w:r>
        <w:rPr>
          <w:szCs w:val="28"/>
        </w:rPr>
        <w:t>, kā piemēram</w:t>
      </w:r>
      <w:r w:rsidRPr="00A12010">
        <w:rPr>
          <w:szCs w:val="28"/>
        </w:rPr>
        <w:t xml:space="preserve">: </w:t>
      </w:r>
    </w:p>
    <w:p w:rsidR="007E0F57" w:rsidRPr="008C1A28" w:rsidRDefault="007E0F57" w:rsidP="007E0F57">
      <w:pPr>
        <w:pStyle w:val="ListParagraph"/>
        <w:widowControl w:val="0"/>
        <w:numPr>
          <w:ilvl w:val="0"/>
          <w:numId w:val="8"/>
        </w:numPr>
        <w:suppressAutoHyphens/>
        <w:jc w:val="both"/>
        <w:rPr>
          <w:szCs w:val="28"/>
        </w:rPr>
      </w:pPr>
      <w:r w:rsidRPr="008C1A28">
        <w:rPr>
          <w:szCs w:val="28"/>
        </w:rPr>
        <w:t xml:space="preserve">Polijas - Lietuvas gāzes starpsavienojuma izbūve (GIPL). </w:t>
      </w:r>
    </w:p>
    <w:p w:rsidR="000C2DAF" w:rsidRDefault="000C2DAF" w:rsidP="000C2DAF">
      <w:pPr>
        <w:pStyle w:val="ListParagraph"/>
        <w:widowControl w:val="0"/>
        <w:numPr>
          <w:ilvl w:val="0"/>
          <w:numId w:val="8"/>
        </w:numPr>
        <w:suppressAutoHyphens/>
        <w:jc w:val="both"/>
        <w:rPr>
          <w:szCs w:val="28"/>
        </w:rPr>
      </w:pPr>
      <w:r w:rsidRPr="008C1A28">
        <w:rPr>
          <w:szCs w:val="28"/>
        </w:rPr>
        <w:t>Latvijas-Lietuvas gāzes starpsavienojuma uzlabošana.</w:t>
      </w:r>
      <w:r w:rsidRPr="008C1A28">
        <w:rPr>
          <w:szCs w:val="28"/>
        </w:rPr>
        <w:tab/>
        <w:t xml:space="preserve"> </w:t>
      </w:r>
    </w:p>
    <w:p w:rsidR="007E0F57" w:rsidRPr="008C1A28" w:rsidRDefault="007E0F57" w:rsidP="007E0F57">
      <w:pPr>
        <w:pStyle w:val="ListParagraph"/>
        <w:widowControl w:val="0"/>
        <w:numPr>
          <w:ilvl w:val="0"/>
          <w:numId w:val="8"/>
        </w:numPr>
        <w:suppressAutoHyphens/>
        <w:jc w:val="both"/>
        <w:rPr>
          <w:szCs w:val="28"/>
          <w:u w:val="single"/>
        </w:rPr>
      </w:pPr>
      <w:r w:rsidRPr="008C1A28">
        <w:rPr>
          <w:szCs w:val="28"/>
        </w:rPr>
        <w:t xml:space="preserve">Reģionālais sašķidrinātās dabasgāzes  terminālis. </w:t>
      </w:r>
    </w:p>
    <w:p w:rsidR="007E0F57" w:rsidRPr="008C1A28" w:rsidRDefault="00CD62BB" w:rsidP="007E0F57">
      <w:pPr>
        <w:pStyle w:val="ListParagraph"/>
        <w:widowControl w:val="0"/>
        <w:numPr>
          <w:ilvl w:val="0"/>
          <w:numId w:val="8"/>
        </w:numPr>
        <w:suppressAutoHyphens/>
        <w:jc w:val="both"/>
        <w:rPr>
          <w:szCs w:val="28"/>
        </w:rPr>
      </w:pPr>
      <w:r>
        <w:rPr>
          <w:szCs w:val="28"/>
        </w:rPr>
        <w:t>IPGK</w:t>
      </w:r>
      <w:r w:rsidR="007E0F57" w:rsidRPr="008C1A28">
        <w:rPr>
          <w:szCs w:val="28"/>
        </w:rPr>
        <w:t xml:space="preserve"> paplašināšana un modernizācija.</w:t>
      </w:r>
    </w:p>
    <w:p w:rsidR="008C1A28" w:rsidRPr="008C1A28" w:rsidRDefault="008C1A28" w:rsidP="008C1A28">
      <w:pPr>
        <w:pStyle w:val="ListParagraph"/>
        <w:widowControl w:val="0"/>
        <w:numPr>
          <w:ilvl w:val="0"/>
          <w:numId w:val="8"/>
        </w:numPr>
        <w:suppressAutoHyphens/>
        <w:jc w:val="both"/>
        <w:rPr>
          <w:szCs w:val="28"/>
        </w:rPr>
      </w:pPr>
      <w:r w:rsidRPr="008C1A28">
        <w:rPr>
          <w:szCs w:val="28"/>
        </w:rPr>
        <w:t>Latvijas- Igaunijas  gāzes starpsavienojuma uzlabošana.</w:t>
      </w:r>
    </w:p>
    <w:p w:rsidR="007E0F57" w:rsidRPr="00A12010" w:rsidRDefault="007E0F57" w:rsidP="007E0F57">
      <w:pPr>
        <w:suppressAutoHyphens/>
        <w:ind w:left="709"/>
        <w:rPr>
          <w:szCs w:val="28"/>
        </w:rPr>
      </w:pPr>
    </w:p>
    <w:p w:rsidR="007E0F57" w:rsidRDefault="007E0F57" w:rsidP="008C1A28">
      <w:pPr>
        <w:suppressAutoHyphens/>
        <w:ind w:firstLine="709"/>
        <w:jc w:val="both"/>
        <w:rPr>
          <w:szCs w:val="28"/>
        </w:rPr>
      </w:pPr>
      <w:r>
        <w:rPr>
          <w:szCs w:val="28"/>
        </w:rPr>
        <w:t>GIPL p</w:t>
      </w:r>
      <w:r w:rsidRPr="00A12010">
        <w:rPr>
          <w:szCs w:val="28"/>
        </w:rPr>
        <w:t xml:space="preserve">rojekta mērķis ir integrēt Baltijas valstu izolēto dabasgāzes tirgu ES  dabasgāzes tirgū, nodrošinot pieeju ES gāzes tirdzniecības platformām (piemērām, Centrāleiropas gāzes tirdzniecības platformai CEGH), kā arī pasaules sašķidrinātās dabasgāzes tirgum. </w:t>
      </w:r>
      <w:r w:rsidRPr="008C1A28">
        <w:rPr>
          <w:szCs w:val="28"/>
        </w:rPr>
        <w:t>Projekta īstenošana veicinās jaunu spēlētāju ienākšanu tirgū. Projekta attīstītāji ir Lietuvas pārvades sistēmas operators Amber Grid un Polijas pārvades sistēmas operators GazSystem S.A. GIPL priekšizpēte pabeigta 2013.g</w:t>
      </w:r>
      <w:r w:rsidR="00B12B32">
        <w:rPr>
          <w:szCs w:val="28"/>
        </w:rPr>
        <w:t>ada</w:t>
      </w:r>
      <w:r w:rsidR="00B12B32" w:rsidRPr="008C1A28">
        <w:rPr>
          <w:szCs w:val="28"/>
        </w:rPr>
        <w:t xml:space="preserve"> </w:t>
      </w:r>
      <w:r w:rsidRPr="008C1A28">
        <w:rPr>
          <w:szCs w:val="28"/>
        </w:rPr>
        <w:t xml:space="preserve">maijā. </w:t>
      </w:r>
      <w:r w:rsidR="008C1A28" w:rsidRPr="008C1A28">
        <w:rPr>
          <w:szCs w:val="28"/>
        </w:rPr>
        <w:t xml:space="preserve">Projekts ir </w:t>
      </w:r>
      <w:r w:rsidR="00CC1C52">
        <w:rPr>
          <w:szCs w:val="28"/>
        </w:rPr>
        <w:t>iekļauts KIP projektu sarakstā un tā realizācijai ir piešķirts CEF finansējums</w:t>
      </w:r>
      <w:r w:rsidR="008C1A28" w:rsidRPr="008C1A28">
        <w:rPr>
          <w:szCs w:val="28"/>
        </w:rPr>
        <w:t xml:space="preserve">. </w:t>
      </w:r>
      <w:r w:rsidRPr="008C1A28">
        <w:rPr>
          <w:szCs w:val="28"/>
        </w:rPr>
        <w:t xml:space="preserve">Plānotā </w:t>
      </w:r>
      <w:r w:rsidRPr="008C1A28">
        <w:rPr>
          <w:szCs w:val="28"/>
        </w:rPr>
        <w:lastRenderedPageBreak/>
        <w:t>starpsavienojuma kapacitāte sākotnēji būs 2,4 mljrd.m³ ar iespēju palielināt, sagaidāmās izmaksas</w:t>
      </w:r>
      <w:r w:rsidRPr="00A12010">
        <w:rPr>
          <w:szCs w:val="28"/>
        </w:rPr>
        <w:t xml:space="preserve"> –558 milj. EUR.</w:t>
      </w:r>
      <w:r>
        <w:rPr>
          <w:szCs w:val="28"/>
        </w:rPr>
        <w:t xml:space="preserve"> </w:t>
      </w:r>
      <w:r w:rsidR="0034087B" w:rsidRPr="00A12010">
        <w:rPr>
          <w:szCs w:val="28"/>
        </w:rPr>
        <w:t xml:space="preserve">Ar GIPL cieši saistīts ir arī cits BEMIP </w:t>
      </w:r>
      <w:r w:rsidR="0034087B" w:rsidRPr="008C1A28">
        <w:rPr>
          <w:szCs w:val="28"/>
        </w:rPr>
        <w:t>projekts – Polijas Svinojušče (</w:t>
      </w:r>
      <w:r w:rsidR="0034087B" w:rsidRPr="008C1A28">
        <w:rPr>
          <w:i/>
          <w:szCs w:val="28"/>
        </w:rPr>
        <w:t>Świnoujście</w:t>
      </w:r>
      <w:r w:rsidR="0034087B" w:rsidRPr="008C1A28">
        <w:rPr>
          <w:szCs w:val="28"/>
        </w:rPr>
        <w:t xml:space="preserve">) </w:t>
      </w:r>
      <w:r w:rsidR="00CD62BB">
        <w:rPr>
          <w:szCs w:val="28"/>
        </w:rPr>
        <w:t>SDG</w:t>
      </w:r>
      <w:r w:rsidR="0034087B" w:rsidRPr="008C1A28">
        <w:rPr>
          <w:szCs w:val="28"/>
        </w:rPr>
        <w:t xml:space="preserve">  termināļa izbūve</w:t>
      </w:r>
      <w:r w:rsidR="0034087B">
        <w:rPr>
          <w:szCs w:val="28"/>
        </w:rPr>
        <w:t xml:space="preserve">, kuru </w:t>
      </w:r>
      <w:r w:rsidR="0034087B" w:rsidRPr="008C1A28">
        <w:rPr>
          <w:szCs w:val="28"/>
        </w:rPr>
        <w:t>paredzēts</w:t>
      </w:r>
      <w:r w:rsidR="0034087B">
        <w:rPr>
          <w:szCs w:val="28"/>
        </w:rPr>
        <w:t xml:space="preserve"> pabeigt </w:t>
      </w:r>
      <w:r w:rsidR="0034087B" w:rsidRPr="008C1A28">
        <w:rPr>
          <w:szCs w:val="28"/>
        </w:rPr>
        <w:t>2014.gadā.</w:t>
      </w:r>
    </w:p>
    <w:p w:rsidR="007E0F57" w:rsidRPr="008C1A28" w:rsidRDefault="007E0F57" w:rsidP="008C1A28">
      <w:pPr>
        <w:widowControl w:val="0"/>
        <w:suppressAutoHyphens/>
        <w:ind w:firstLine="709"/>
        <w:jc w:val="both"/>
        <w:rPr>
          <w:szCs w:val="28"/>
        </w:rPr>
      </w:pPr>
      <w:r w:rsidRPr="008C1A28">
        <w:rPr>
          <w:szCs w:val="28"/>
        </w:rPr>
        <w:t xml:space="preserve">Polijas - Lietuvas gāzes starpsavienojuma (GIPL) pilnīgai izmantošanai no Latvijas interešu viedokļa ir svarīgi palielināt Latvijas-Lietuvas gāzes starpsavienojuma kapacitāti. Otrais etaps ir saistīts ar cauruļvada Iecava-Lietuvas robeža izbūve (plānotās izmaksas 31 milj. EUR). Projekta </w:t>
      </w:r>
      <w:r w:rsidR="001317AA">
        <w:rPr>
          <w:szCs w:val="28"/>
        </w:rPr>
        <w:t xml:space="preserve">potenciālie </w:t>
      </w:r>
      <w:r w:rsidRPr="008C1A28">
        <w:rPr>
          <w:szCs w:val="28"/>
        </w:rPr>
        <w:t xml:space="preserve">attīstītāji ir AS „Latvijas Gāze” un „Amber Grid” (Lietuvas PSO). </w:t>
      </w:r>
    </w:p>
    <w:p w:rsidR="00FD373D" w:rsidRDefault="00601D05" w:rsidP="001317AA">
      <w:pPr>
        <w:widowControl w:val="0"/>
        <w:suppressAutoHyphens/>
        <w:ind w:firstLine="720"/>
        <w:jc w:val="both"/>
        <w:rPr>
          <w:szCs w:val="28"/>
        </w:rPr>
      </w:pPr>
      <w:r w:rsidRPr="00FD373D">
        <w:rPr>
          <w:szCs w:val="28"/>
        </w:rPr>
        <w:t>ES K</w:t>
      </w:r>
      <w:r w:rsidR="00116956" w:rsidRPr="00FD373D">
        <w:rPr>
          <w:szCs w:val="28"/>
        </w:rPr>
        <w:t xml:space="preserve">IP </w:t>
      </w:r>
      <w:r w:rsidRPr="00FD373D">
        <w:rPr>
          <w:szCs w:val="28"/>
        </w:rPr>
        <w:t xml:space="preserve">sarakstā ir četri SDG termināļi, kas pretendē uz Baltijas reģionālā SDG termināļa statusu </w:t>
      </w:r>
      <w:r w:rsidRPr="00FD373D">
        <w:rPr>
          <w:rFonts w:eastAsia="Times New Roman"/>
          <w:szCs w:val="28"/>
        </w:rPr>
        <w:t>(1 Somijā, 2 Igaunijā un 1 Latvijā)</w:t>
      </w:r>
      <w:r w:rsidRPr="00FD373D">
        <w:rPr>
          <w:szCs w:val="28"/>
        </w:rPr>
        <w:t>. Paredzams, ka tikai viens no tiem varēs pretendēt uz ES līdzfinansējumu</w:t>
      </w:r>
      <w:r w:rsidR="001317AA" w:rsidRPr="00FD373D">
        <w:rPr>
          <w:szCs w:val="28"/>
        </w:rPr>
        <w:t xml:space="preserve">. </w:t>
      </w:r>
      <w:r w:rsidR="00FD373D">
        <w:rPr>
          <w:szCs w:val="28"/>
        </w:rPr>
        <w:t xml:space="preserve">Latvija ir ieenteresēta reģionālā SDG termināla izveidē, jo tas nodrošinās dabasgāzes piegādes ceļu un avotu diversifikāciju valstī un visā Baltijas reģionā. </w:t>
      </w:r>
      <w:r w:rsidRPr="00FD373D">
        <w:rPr>
          <w:rFonts w:eastAsia="Times New Roman"/>
          <w:szCs w:val="28"/>
        </w:rPr>
        <w:t>Pēc E</w:t>
      </w:r>
      <w:r w:rsidR="001317AA" w:rsidRPr="00FD373D">
        <w:rPr>
          <w:rFonts w:eastAsia="Times New Roman"/>
          <w:szCs w:val="28"/>
        </w:rPr>
        <w:t xml:space="preserve">K </w:t>
      </w:r>
      <w:r w:rsidRPr="00FD373D">
        <w:rPr>
          <w:rFonts w:eastAsia="Times New Roman"/>
          <w:szCs w:val="28"/>
        </w:rPr>
        <w:t xml:space="preserve">veiktā pētījuma rezultātiem tika secināts, ka labākā reģionālā SDG termināļa vieta ir Somijas līcī. </w:t>
      </w:r>
      <w:r w:rsidRPr="00FD373D">
        <w:rPr>
          <w:szCs w:val="28"/>
        </w:rPr>
        <w:t xml:space="preserve">Somijas-Igaunijas gāzes starpsavienojums </w:t>
      </w:r>
      <w:r w:rsidRPr="00FD373D">
        <w:rPr>
          <w:i/>
          <w:szCs w:val="28"/>
        </w:rPr>
        <w:t>Balticconnector</w:t>
      </w:r>
      <w:r w:rsidRPr="00FD373D">
        <w:rPr>
          <w:szCs w:val="28"/>
        </w:rPr>
        <w:t xml:space="preserve"> tiek skatīts kā neatņemama projekta sastāvdaļa. Latvijai ir svarīgi, ka reģionālais SDG projekts nodrošina reālu piegāžu diversifikāciju visekonomiskākā veidā. </w:t>
      </w:r>
      <w:r w:rsidR="00FD373D">
        <w:rPr>
          <w:szCs w:val="28"/>
        </w:rPr>
        <w:t>Pagaidām</w:t>
      </w:r>
      <w:r w:rsidRPr="00FD373D">
        <w:rPr>
          <w:szCs w:val="28"/>
        </w:rPr>
        <w:t xml:space="preserve"> vienošanās </w:t>
      </w:r>
      <w:r w:rsidR="00FD373D">
        <w:rPr>
          <w:szCs w:val="28"/>
        </w:rPr>
        <w:t xml:space="preserve">par termināla atrašanas vietu </w:t>
      </w:r>
      <w:r w:rsidRPr="00FD373D">
        <w:rPr>
          <w:szCs w:val="28"/>
        </w:rPr>
        <w:t>starp Igauniju un S</w:t>
      </w:r>
      <w:r w:rsidR="00FD373D">
        <w:rPr>
          <w:szCs w:val="28"/>
        </w:rPr>
        <w:t>omiju par SDG izvietojumu nav</w:t>
      </w:r>
      <w:r w:rsidRPr="00FD373D">
        <w:rPr>
          <w:szCs w:val="28"/>
        </w:rPr>
        <w:t xml:space="preserve"> panākta.</w:t>
      </w:r>
      <w:r w:rsidRPr="00FD373D">
        <w:rPr>
          <w:szCs w:val="28"/>
        </w:rPr>
        <w:tab/>
      </w:r>
    </w:p>
    <w:p w:rsidR="00844B88" w:rsidRPr="00844B88" w:rsidRDefault="00844B88" w:rsidP="001317AA">
      <w:pPr>
        <w:widowControl w:val="0"/>
        <w:suppressAutoHyphens/>
        <w:ind w:firstLine="720"/>
        <w:jc w:val="both"/>
        <w:rPr>
          <w:szCs w:val="28"/>
        </w:rPr>
      </w:pPr>
      <w:r w:rsidRPr="00844B88">
        <w:rPr>
          <w:bCs/>
          <w:szCs w:val="28"/>
        </w:rPr>
        <w:t>Alternatīva dabasgāzes piegāde, sākot ar 2015.gadu, Latvijā būs iespējama no Klaipēdas sašķidrinātās dabasgāzes termināļa. Pašreizējā Lietuvas – Latvijas starpsavienojuma jauda ir 6 milj.m</w:t>
      </w:r>
      <w:r w:rsidRPr="00844B88">
        <w:rPr>
          <w:bCs/>
          <w:szCs w:val="28"/>
          <w:vertAlign w:val="superscript"/>
        </w:rPr>
        <w:t>3</w:t>
      </w:r>
      <w:r w:rsidRPr="00844B88">
        <w:rPr>
          <w:bCs/>
          <w:szCs w:val="28"/>
        </w:rPr>
        <w:t>/dienā pie Latvijas dienas dabasgāzes patēriņa ziemā 12,14 milj.m</w:t>
      </w:r>
      <w:r w:rsidRPr="00844B88">
        <w:rPr>
          <w:bCs/>
          <w:szCs w:val="28"/>
          <w:vertAlign w:val="superscript"/>
        </w:rPr>
        <w:t>3</w:t>
      </w:r>
      <w:r w:rsidRPr="00844B88">
        <w:rPr>
          <w:bCs/>
          <w:szCs w:val="28"/>
        </w:rPr>
        <w:t xml:space="preserve">/dienā. </w:t>
      </w:r>
      <w:r>
        <w:rPr>
          <w:bCs/>
          <w:szCs w:val="28"/>
        </w:rPr>
        <w:t>Latvijas – Lietuvas dabasgāzes starpsavienojuma uzlabošanas p</w:t>
      </w:r>
      <w:r w:rsidRPr="00844B88">
        <w:rPr>
          <w:bCs/>
          <w:szCs w:val="28"/>
        </w:rPr>
        <w:t xml:space="preserve">rojekts, kas paredz </w:t>
      </w:r>
      <w:r w:rsidRPr="00844B88">
        <w:rPr>
          <w:szCs w:val="28"/>
        </w:rPr>
        <w:t>Klaipēdas – Kiemenai gāzes starpsavienojuma ieejas jaudu palielin</w:t>
      </w:r>
      <w:r>
        <w:rPr>
          <w:szCs w:val="28"/>
        </w:rPr>
        <w:t>āšanu</w:t>
      </w:r>
      <w:r w:rsidRPr="00844B88">
        <w:rPr>
          <w:szCs w:val="28"/>
        </w:rPr>
        <w:t xml:space="preserve"> līdz 12 milj.m</w:t>
      </w:r>
      <w:r w:rsidRPr="00844B88">
        <w:rPr>
          <w:szCs w:val="28"/>
          <w:vertAlign w:val="superscript"/>
        </w:rPr>
        <w:t>3</w:t>
      </w:r>
      <w:r w:rsidRPr="00844B88">
        <w:rPr>
          <w:szCs w:val="28"/>
        </w:rPr>
        <w:t>/dienā, ir iekļauts KIP sarakstā.</w:t>
      </w:r>
    </w:p>
    <w:p w:rsidR="001317AA" w:rsidRPr="00FD373D" w:rsidRDefault="001317AA" w:rsidP="001317AA">
      <w:pPr>
        <w:widowControl w:val="0"/>
        <w:suppressAutoHyphens/>
        <w:ind w:firstLine="720"/>
        <w:jc w:val="both"/>
      </w:pPr>
      <w:r w:rsidRPr="00FD373D">
        <w:rPr>
          <w:noProof/>
          <w:szCs w:val="28"/>
        </w:rPr>
        <w:t xml:space="preserve">SDG tiek izmantots kā nozīmīga alternatīvā degviela transporta līdzekļiem. 2013.gada 25.janvārī </w:t>
      </w:r>
      <w:r w:rsidR="00743CCF" w:rsidRPr="00FD373D">
        <w:rPr>
          <w:noProof/>
          <w:szCs w:val="28"/>
        </w:rPr>
        <w:t>EK</w:t>
      </w:r>
      <w:r w:rsidRPr="00FD373D">
        <w:rPr>
          <w:noProof/>
          <w:szCs w:val="28"/>
        </w:rPr>
        <w:t xml:space="preserve"> ir nākusi klājā ar jaunu direktīvas priekšlikumu par alternatīvo degvielu infrastruktūras ieviešanu. </w:t>
      </w:r>
      <w:r w:rsidRPr="00FD373D">
        <w:rPr>
          <w:szCs w:val="28"/>
          <w:lang w:eastAsia="lv-LV"/>
        </w:rPr>
        <w:t>Priekšlikuma mērķis ir nodrošināt alternatīvo degvielu infrastruktūras attīstīšanu un šīs infrastruktūras kopējo tehnisko specifikāciju ieviešanu ES. Direktīva paredz l</w:t>
      </w:r>
      <w:r w:rsidRPr="00FD373D">
        <w:rPr>
          <w:noProof/>
          <w:szCs w:val="28"/>
        </w:rPr>
        <w:t xml:space="preserve">īdz 2015.gada decembrim ES standartu izveidi, lai visi SDG uzpildes punkti autotransporta līdzekļiem, kā arī SDG uzpildes punkti kuģiem varētu būt savienoti un savstarpēji savienojami. </w:t>
      </w:r>
      <w:r w:rsidRPr="00FD373D">
        <w:rPr>
          <w:bCs/>
          <w:szCs w:val="28"/>
        </w:rPr>
        <w:t xml:space="preserve">Līdz 2025. gada 31. decembrim dalībvalstīm jānodrošina, ka vismaz pastāvošajā </w:t>
      </w:r>
      <w:r w:rsidRPr="00FD373D">
        <w:rPr>
          <w:bCs/>
          <w:iCs/>
          <w:szCs w:val="28"/>
        </w:rPr>
        <w:t>TEN-T</w:t>
      </w:r>
      <w:r w:rsidRPr="00FD373D">
        <w:rPr>
          <w:bCs/>
          <w:szCs w:val="28"/>
        </w:rPr>
        <w:t xml:space="preserve"> pamattīklā tiek izvietots attiecīgs skaits publiski pieejamu </w:t>
      </w:r>
      <w:r w:rsidRPr="00FD373D">
        <w:rPr>
          <w:bCs/>
          <w:iCs/>
          <w:szCs w:val="28"/>
        </w:rPr>
        <w:t>LNG</w:t>
      </w:r>
      <w:r w:rsidRPr="00FD373D">
        <w:rPr>
          <w:bCs/>
          <w:szCs w:val="28"/>
        </w:rPr>
        <w:t xml:space="preserve"> uzpildes punktu, lai panāktu, ka ar </w:t>
      </w:r>
      <w:r w:rsidRPr="00FD373D">
        <w:rPr>
          <w:bCs/>
          <w:iCs/>
          <w:szCs w:val="28"/>
        </w:rPr>
        <w:t>LNG</w:t>
      </w:r>
      <w:r w:rsidRPr="00FD373D">
        <w:rPr>
          <w:bCs/>
          <w:szCs w:val="28"/>
        </w:rPr>
        <w:t xml:space="preserve"> darbināmi lielas celtspējas/kravnesības transportlīdzekļi var pārvietoties visā Savienībā. Papildus tam, d</w:t>
      </w:r>
      <w:r w:rsidRPr="00FD373D">
        <w:rPr>
          <w:noProof/>
          <w:szCs w:val="28"/>
        </w:rPr>
        <w:t>irektīva nosaka, ka d</w:t>
      </w:r>
      <w:r w:rsidRPr="00FD373D">
        <w:rPr>
          <w:bCs/>
          <w:szCs w:val="28"/>
        </w:rPr>
        <w:t xml:space="preserve">alībvalstis ar savu valsts politikas regulējumu nodrošina, ka līdz 2030.gada 31.decembrim iekšzemes ostās tiek izvietots attiecīgs skaits </w:t>
      </w:r>
      <w:r w:rsidRPr="00FD373D">
        <w:rPr>
          <w:bCs/>
          <w:iCs/>
          <w:szCs w:val="28"/>
        </w:rPr>
        <w:t>SDG</w:t>
      </w:r>
      <w:r w:rsidRPr="00FD373D">
        <w:rPr>
          <w:bCs/>
          <w:szCs w:val="28"/>
        </w:rPr>
        <w:t xml:space="preserve"> uzpildes punktu, lai </w:t>
      </w:r>
      <w:r w:rsidRPr="00FD373D">
        <w:rPr>
          <w:bCs/>
          <w:iCs/>
          <w:szCs w:val="28"/>
        </w:rPr>
        <w:t>SDG</w:t>
      </w:r>
      <w:r w:rsidRPr="00FD373D">
        <w:rPr>
          <w:bCs/>
          <w:szCs w:val="28"/>
        </w:rPr>
        <w:t xml:space="preserve"> iekšzemes ūdensceļu </w:t>
      </w:r>
      <w:r w:rsidRPr="00FD373D">
        <w:rPr>
          <w:bCs/>
          <w:szCs w:val="28"/>
        </w:rPr>
        <w:lastRenderedPageBreak/>
        <w:t xml:space="preserve">kuģu vai jūras kuģu kustība būtu iespējama visā </w:t>
      </w:r>
      <w:r w:rsidRPr="00FD373D">
        <w:rPr>
          <w:bCs/>
          <w:iCs/>
          <w:szCs w:val="28"/>
        </w:rPr>
        <w:t>TEN-T</w:t>
      </w:r>
      <w:r w:rsidRPr="00FD373D">
        <w:rPr>
          <w:bCs/>
          <w:szCs w:val="28"/>
        </w:rPr>
        <w:t xml:space="preserve"> pamattīklā.</w:t>
      </w:r>
    </w:p>
    <w:p w:rsidR="003101EE" w:rsidRDefault="00CD62BB" w:rsidP="00EE1712">
      <w:pPr>
        <w:ind w:firstLine="720"/>
        <w:jc w:val="both"/>
        <w:rPr>
          <w:rFonts w:eastAsia="Times New Roman" w:cs="Times New Roman"/>
          <w:szCs w:val="28"/>
        </w:rPr>
      </w:pPr>
      <w:r w:rsidRPr="00FD373D">
        <w:rPr>
          <w:rFonts w:eastAsia="Times New Roman" w:cs="Times New Roman"/>
          <w:szCs w:val="28"/>
        </w:rPr>
        <w:t>IPGK</w:t>
      </w:r>
      <w:r w:rsidR="00EE1712" w:rsidRPr="00FD373D">
        <w:rPr>
          <w:rFonts w:eastAsia="Times New Roman" w:cs="Times New Roman"/>
          <w:szCs w:val="28"/>
        </w:rPr>
        <w:t xml:space="preserve"> ir viens no svarīgākajiem dabas gāzes infrastruktūras elementiem. </w:t>
      </w:r>
      <w:r w:rsidR="003101EE" w:rsidRPr="00FD373D">
        <w:rPr>
          <w:rFonts w:eastAsia="Times New Roman" w:cs="Times New Roman"/>
          <w:szCs w:val="28"/>
        </w:rPr>
        <w:t>Tas ir stratēģiski svarīgs energoapgādes objekts un saskaņā ar Enerģētikas</w:t>
      </w:r>
      <w:r w:rsidR="003101EE">
        <w:rPr>
          <w:rFonts w:eastAsia="Times New Roman" w:cs="Times New Roman"/>
          <w:szCs w:val="28"/>
        </w:rPr>
        <w:t xml:space="preserve"> likuma 20.pantu, pazemes dabasgāzes krātuvju pazemes daļa ir saglabājama valsts īpašumā. </w:t>
      </w:r>
    </w:p>
    <w:p w:rsidR="00640AEE" w:rsidRDefault="00CD62BB" w:rsidP="00640AEE">
      <w:pPr>
        <w:ind w:firstLine="720"/>
        <w:jc w:val="both"/>
        <w:rPr>
          <w:rFonts w:eastAsia="Times New Roman" w:cs="Times New Roman"/>
          <w:szCs w:val="28"/>
        </w:rPr>
      </w:pPr>
      <w:r>
        <w:rPr>
          <w:rFonts w:eastAsia="Times New Roman" w:cs="Times New Roman"/>
          <w:szCs w:val="28"/>
        </w:rPr>
        <w:t>IPGK</w:t>
      </w:r>
      <w:r w:rsidR="003101EE">
        <w:rPr>
          <w:rFonts w:eastAsia="Times New Roman" w:cs="Times New Roman"/>
          <w:szCs w:val="28"/>
        </w:rPr>
        <w:t xml:space="preserve"> </w:t>
      </w:r>
      <w:r w:rsidR="00EE1712" w:rsidRPr="00EE1712">
        <w:rPr>
          <w:rFonts w:eastAsia="Times New Roman" w:cs="Times New Roman"/>
          <w:szCs w:val="28"/>
        </w:rPr>
        <w:t>var uzglabāt līdz 2,32 miljrd. m</w:t>
      </w:r>
      <w:r w:rsidR="00EE1712" w:rsidRPr="00EE1712">
        <w:rPr>
          <w:rFonts w:eastAsia="Times New Roman" w:cs="Times New Roman"/>
          <w:szCs w:val="28"/>
          <w:vertAlign w:val="superscript"/>
        </w:rPr>
        <w:t>3</w:t>
      </w:r>
      <w:r w:rsidR="00EE1712" w:rsidRPr="00EE1712">
        <w:rPr>
          <w:rFonts w:eastAsia="Times New Roman" w:cs="Times New Roman"/>
          <w:szCs w:val="28"/>
        </w:rPr>
        <w:t xml:space="preserve"> aktīvās gāzes un ar tās palīdzību var balansēt pieprasījuma svārstības ne tikai Baltijas valstīs, bet arī Krievijas Ziemeļrietumu reģionā. Ziemas periodā Latvijas patērētāji saņem dabasgāzi tikai no Inčukalna pazemes gāzes krātuves. Tāpat, dabasgāze tiek padota patērētājiem Krievijā, Igaunijā un periodiski arī Lietuvā. </w:t>
      </w:r>
    </w:p>
    <w:p w:rsidR="00640AEE" w:rsidRPr="00EE1712" w:rsidRDefault="00640AEE" w:rsidP="00640AEE">
      <w:pPr>
        <w:ind w:firstLine="720"/>
        <w:jc w:val="both"/>
        <w:rPr>
          <w:rFonts w:eastAsia="Times New Roman" w:cs="Times New Roman"/>
          <w:szCs w:val="28"/>
        </w:rPr>
      </w:pPr>
      <w:r w:rsidRPr="00EE1712">
        <w:rPr>
          <w:rFonts w:eastAsia="Times New Roman" w:cs="Times New Roman"/>
          <w:szCs w:val="28"/>
        </w:rPr>
        <w:t>1</w:t>
      </w:r>
      <w:r>
        <w:rPr>
          <w:rFonts w:eastAsia="Times New Roman" w:cs="Times New Roman"/>
          <w:szCs w:val="28"/>
        </w:rPr>
        <w:t>7</w:t>
      </w:r>
      <w:r w:rsidRPr="00EE1712">
        <w:rPr>
          <w:rFonts w:eastAsia="Times New Roman" w:cs="Times New Roman"/>
          <w:szCs w:val="28"/>
        </w:rPr>
        <w:t xml:space="preserve">.attēlā rādīts procentuālais, no IPGK piegādātās dabasgāzes sadalījums starp patērētājiem trijās Baltijas valstīs un Krievijā laika posmā no 2000. – 2012.gadam. Šajā periodā lielākā daļa dabasgāzes no IPGK ir piegādātas Latvijai, Igaunijai un Krievijai. Dabasgāzes piegādes Lietuvai konkrētajā laika periodā attiecināmas tikai uz trim gadiem – 2008. –2010., to procentuālajam īpatsvaram svārstoties 1–7% robežās. </w:t>
      </w:r>
    </w:p>
    <w:p w:rsidR="00EE1712" w:rsidRPr="00EE1712" w:rsidRDefault="00EE1712" w:rsidP="00EE1712">
      <w:pPr>
        <w:ind w:firstLine="720"/>
        <w:jc w:val="both"/>
        <w:rPr>
          <w:rFonts w:eastAsia="Times New Roman" w:cs="Times New Roman"/>
          <w:szCs w:val="28"/>
        </w:rPr>
      </w:pPr>
    </w:p>
    <w:p w:rsidR="00EE1712" w:rsidRPr="00EE1712" w:rsidRDefault="00640AEE" w:rsidP="00A32804">
      <w:pPr>
        <w:jc w:val="center"/>
        <w:rPr>
          <w:rFonts w:eastAsia="Times New Roman" w:cs="Times New Roman"/>
          <w:szCs w:val="28"/>
        </w:rPr>
      </w:pPr>
      <w:r>
        <w:rPr>
          <w:noProof/>
          <w:lang w:eastAsia="lv-LV"/>
        </w:rPr>
        <w:drawing>
          <wp:inline distT="0" distB="0" distL="0" distR="0" wp14:anchorId="46AE91ED" wp14:editId="32210877">
            <wp:extent cx="5363308" cy="3200400"/>
            <wp:effectExtent l="0" t="0" r="2794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1712" w:rsidRPr="00EE1712" w:rsidRDefault="00EE1712" w:rsidP="00EE1712">
      <w:pPr>
        <w:ind w:firstLine="720"/>
        <w:jc w:val="both"/>
        <w:rPr>
          <w:rFonts w:eastAsia="Times New Roman" w:cs="Times New Roman"/>
          <w:sz w:val="20"/>
          <w:szCs w:val="20"/>
        </w:rPr>
      </w:pPr>
      <w:r w:rsidRPr="00EE1712">
        <w:rPr>
          <w:rFonts w:eastAsia="Times New Roman" w:cs="Times New Roman"/>
          <w:sz w:val="20"/>
          <w:szCs w:val="20"/>
        </w:rPr>
        <w:t>Avots. AS „Latvijas Gāze”.</w:t>
      </w:r>
    </w:p>
    <w:p w:rsidR="00EE1712" w:rsidRPr="001162AC" w:rsidRDefault="00B12B32" w:rsidP="001162AC">
      <w:pPr>
        <w:jc w:val="both"/>
        <w:rPr>
          <w:rFonts w:eastAsia="Times New Roman" w:cs="Times New Roman"/>
          <w:b/>
          <w:sz w:val="24"/>
          <w:szCs w:val="24"/>
        </w:rPr>
      </w:pPr>
      <w:r w:rsidRPr="001162AC">
        <w:rPr>
          <w:rFonts w:eastAsia="Times New Roman" w:cs="Times New Roman"/>
          <w:b/>
          <w:sz w:val="24"/>
          <w:szCs w:val="24"/>
        </w:rPr>
        <w:t>17</w:t>
      </w:r>
      <w:r w:rsidR="00EE1712" w:rsidRPr="001162AC">
        <w:rPr>
          <w:rFonts w:eastAsia="Times New Roman" w:cs="Times New Roman"/>
          <w:b/>
          <w:sz w:val="24"/>
          <w:szCs w:val="24"/>
        </w:rPr>
        <w:t>. attēls. Dabasgāzes piegādes no IPGK 2000.-2012.g., %, pa valstīm (dabasgāzes</w:t>
      </w:r>
      <w:r w:rsidR="00CD62BB" w:rsidRPr="001162AC">
        <w:rPr>
          <w:rFonts w:eastAsia="Times New Roman" w:cs="Times New Roman"/>
          <w:b/>
          <w:sz w:val="24"/>
          <w:szCs w:val="24"/>
        </w:rPr>
        <w:t xml:space="preserve"> </w:t>
      </w:r>
      <w:r w:rsidR="00EE1712" w:rsidRPr="001162AC">
        <w:rPr>
          <w:rFonts w:eastAsia="Times New Roman" w:cs="Times New Roman"/>
          <w:b/>
          <w:sz w:val="24"/>
          <w:szCs w:val="24"/>
        </w:rPr>
        <w:t xml:space="preserve">kompānijām). </w:t>
      </w:r>
    </w:p>
    <w:p w:rsidR="000A0F27" w:rsidRDefault="000A0F27" w:rsidP="00EE1712">
      <w:pPr>
        <w:ind w:firstLine="567"/>
        <w:jc w:val="both"/>
      </w:pPr>
    </w:p>
    <w:p w:rsidR="00EE1712" w:rsidRPr="00EE1712" w:rsidRDefault="00EE1712" w:rsidP="00EE1712">
      <w:pPr>
        <w:ind w:firstLine="567"/>
        <w:jc w:val="both"/>
      </w:pPr>
      <w:r w:rsidRPr="00EE1712">
        <w:t xml:space="preserve">Baltijas valstu gāzapgādes sistēmas principiālā shēma ar dabasgāzes piegādes virzienu un piegādes apjomu specifikāciju, īpaši izceļot IPGK nozīmi pašreizējās Baltijas dabasgāzes apgādes struktūrā redzama </w:t>
      </w:r>
      <w:r w:rsidR="00B12B32" w:rsidRPr="00EE1712">
        <w:t>1</w:t>
      </w:r>
      <w:r w:rsidR="00B12B32">
        <w:t>8</w:t>
      </w:r>
      <w:r w:rsidRPr="00EE1712">
        <w:t xml:space="preserve">. attēlā. Tāpat iezīmēti arī plānoto vai realizācijas stadijā esošo dabasgāzes infrastruktūras starpsavienojumu </w:t>
      </w:r>
      <w:r w:rsidR="00CC1C52">
        <w:t>projekti 2020.gadā</w:t>
      </w:r>
      <w:r w:rsidRPr="00EE1712">
        <w:t>.</w:t>
      </w:r>
    </w:p>
    <w:p w:rsidR="00B12B32" w:rsidRPr="00ED082D" w:rsidRDefault="00B12B32" w:rsidP="00B12B32">
      <w:pPr>
        <w:ind w:right="-18" w:firstLine="709"/>
        <w:jc w:val="both"/>
        <w:rPr>
          <w:rFonts w:cs="Times New Roman"/>
          <w:szCs w:val="28"/>
        </w:rPr>
      </w:pPr>
      <w:r w:rsidRPr="00ED082D">
        <w:rPr>
          <w:rFonts w:cs="Times New Roman"/>
          <w:szCs w:val="28"/>
        </w:rPr>
        <w:lastRenderedPageBreak/>
        <w:t>Ņemot vērā to, ka Baltijas valstu gāzes apgādes sistēma nav savienota ar ES kopējo gāzes apgādes sistēmu, pazemes gāzes krātuvju pieejamība un pietiekamība reģion</w:t>
      </w:r>
      <w:r>
        <w:rPr>
          <w:rFonts w:cs="Times New Roman"/>
          <w:szCs w:val="28"/>
        </w:rPr>
        <w:t>ā</w:t>
      </w:r>
      <w:r w:rsidRPr="00ED082D">
        <w:rPr>
          <w:rFonts w:cs="Times New Roman"/>
          <w:szCs w:val="28"/>
        </w:rPr>
        <w:t xml:space="preserve"> ir nozīmīga. Pazemes gāzes krātuve būtiski uzlabo gāzes piegādes drošību un ļauj regulēt gāzes piegādi atkarībā no sezonas. </w:t>
      </w:r>
    </w:p>
    <w:p w:rsidR="00EE1712" w:rsidRPr="00EE1712" w:rsidRDefault="00EE1712" w:rsidP="00EE1712">
      <w:pPr>
        <w:jc w:val="both"/>
        <w:rPr>
          <w:rFonts w:eastAsia="Times New Roman" w:cs="Times New Roman"/>
          <w:sz w:val="24"/>
          <w:szCs w:val="24"/>
        </w:rPr>
      </w:pPr>
    </w:p>
    <w:p w:rsidR="00EE1712" w:rsidRPr="00EE1712" w:rsidRDefault="00EE1712" w:rsidP="00072843">
      <w:pPr>
        <w:jc w:val="center"/>
        <w:rPr>
          <w:rFonts w:eastAsia="Times New Roman" w:cs="Times New Roman"/>
          <w:sz w:val="24"/>
          <w:szCs w:val="24"/>
        </w:rPr>
      </w:pPr>
      <w:r w:rsidRPr="00EE1712">
        <w:rPr>
          <w:rFonts w:eastAsia="Times New Roman" w:cs="Times New Roman"/>
          <w:noProof/>
          <w:szCs w:val="28"/>
          <w:lang w:eastAsia="lv-LV"/>
        </w:rPr>
        <w:drawing>
          <wp:inline distT="0" distB="0" distL="0" distR="0" wp14:anchorId="384E8F21" wp14:editId="38D5ACEC">
            <wp:extent cx="4099060" cy="5125916"/>
            <wp:effectExtent l="0" t="0" r="0" b="0"/>
            <wp:docPr id="2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1858" name="Picture 2"/>
                    <pic:cNvPicPr>
                      <a:picLocks noGrp="1" noChangeAspect="1" noChangeArrowheads="1"/>
                    </pic:cNvPicPr>
                  </pic:nvPicPr>
                  <pic:blipFill>
                    <a:blip r:embed="rId29" cstate="print"/>
                    <a:srcRect/>
                    <a:stretch>
                      <a:fillRect/>
                    </a:stretch>
                  </pic:blipFill>
                  <pic:spPr bwMode="auto">
                    <a:xfrm>
                      <a:off x="0" y="0"/>
                      <a:ext cx="4105050" cy="5133406"/>
                    </a:xfrm>
                    <a:prstGeom prst="rect">
                      <a:avLst/>
                    </a:prstGeom>
                    <a:noFill/>
                    <a:ln w="9525">
                      <a:noFill/>
                      <a:miter lim="800000"/>
                      <a:headEnd/>
                      <a:tailEnd/>
                    </a:ln>
                    <a:effectLst/>
                  </pic:spPr>
                </pic:pic>
              </a:graphicData>
            </a:graphic>
          </wp:inline>
        </w:drawing>
      </w:r>
    </w:p>
    <w:p w:rsidR="00EE1712" w:rsidRPr="001162AC" w:rsidRDefault="00B12B32" w:rsidP="001162AC">
      <w:pPr>
        <w:contextualSpacing/>
        <w:rPr>
          <w:rFonts w:eastAsia="Times New Roman" w:cs="Times New Roman"/>
          <w:b/>
          <w:sz w:val="24"/>
          <w:szCs w:val="24"/>
        </w:rPr>
      </w:pPr>
      <w:r w:rsidRPr="001162AC">
        <w:rPr>
          <w:rFonts w:eastAsia="Times New Roman" w:cs="Times New Roman"/>
          <w:b/>
          <w:sz w:val="24"/>
          <w:szCs w:val="24"/>
        </w:rPr>
        <w:t>18</w:t>
      </w:r>
      <w:r w:rsidR="00EE1712" w:rsidRPr="001162AC">
        <w:rPr>
          <w:rFonts w:eastAsia="Times New Roman" w:cs="Times New Roman"/>
          <w:b/>
          <w:sz w:val="24"/>
          <w:szCs w:val="24"/>
        </w:rPr>
        <w:t xml:space="preserve">.attēls. </w:t>
      </w:r>
      <w:r w:rsidR="00CC1C52">
        <w:rPr>
          <w:rFonts w:eastAsia="Times New Roman" w:cs="Times New Roman"/>
          <w:b/>
          <w:sz w:val="24"/>
          <w:szCs w:val="24"/>
        </w:rPr>
        <w:t>Prognozētās d</w:t>
      </w:r>
      <w:r w:rsidR="00EE1712" w:rsidRPr="001162AC">
        <w:rPr>
          <w:rFonts w:eastAsia="Times New Roman" w:cs="Times New Roman"/>
          <w:b/>
          <w:sz w:val="24"/>
          <w:szCs w:val="24"/>
        </w:rPr>
        <w:t>abasgāzes piegādes Latvijai un sezonālā dabasgāzes padošana no IPGK</w:t>
      </w:r>
      <w:r w:rsidR="00CC1C52">
        <w:rPr>
          <w:rFonts w:eastAsia="Times New Roman" w:cs="Times New Roman"/>
          <w:b/>
          <w:sz w:val="24"/>
          <w:szCs w:val="24"/>
        </w:rPr>
        <w:t xml:space="preserve"> 2020.gadā</w:t>
      </w:r>
      <w:r w:rsidR="00EE1712" w:rsidRPr="001162AC">
        <w:rPr>
          <w:rFonts w:eastAsia="Times New Roman" w:cs="Times New Roman"/>
          <w:b/>
          <w:sz w:val="24"/>
          <w:szCs w:val="24"/>
        </w:rPr>
        <w:t>.</w:t>
      </w:r>
    </w:p>
    <w:p w:rsidR="00A03348" w:rsidRDefault="00A03348" w:rsidP="00ED082D">
      <w:pPr>
        <w:ind w:firstLine="720"/>
        <w:jc w:val="both"/>
        <w:rPr>
          <w:rFonts w:eastAsia="Times New Roman" w:cs="Times New Roman"/>
          <w:szCs w:val="28"/>
        </w:rPr>
      </w:pPr>
    </w:p>
    <w:p w:rsidR="002C7420" w:rsidRPr="00ED082D" w:rsidRDefault="002C7420" w:rsidP="002C7420">
      <w:pPr>
        <w:ind w:firstLine="720"/>
        <w:jc w:val="both"/>
        <w:rPr>
          <w:rFonts w:eastAsia="Times New Roman" w:cs="Times New Roman"/>
          <w:szCs w:val="28"/>
          <w:lang w:eastAsia="lv-LV"/>
        </w:rPr>
      </w:pPr>
      <w:r w:rsidRPr="00ED082D">
        <w:rPr>
          <w:rFonts w:eastAsia="Times New Roman" w:cs="Times New Roman"/>
          <w:szCs w:val="28"/>
        </w:rPr>
        <w:t>IPGK ir iespējas nākotnē paplašināties un tād</w:t>
      </w:r>
      <w:r>
        <w:rPr>
          <w:rFonts w:eastAsia="Times New Roman" w:cs="Times New Roman"/>
          <w:szCs w:val="28"/>
        </w:rPr>
        <w:t>ē</w:t>
      </w:r>
      <w:r w:rsidRPr="00ED082D">
        <w:rPr>
          <w:rFonts w:eastAsia="Times New Roman" w:cs="Times New Roman"/>
          <w:szCs w:val="28"/>
        </w:rPr>
        <w:t>jādi uzglabāt vairāk gāzes. Aktīvās dabasgāzes apjoma uzglabāšanu iespējams palielināt no 2,32 mljrd. m</w:t>
      </w:r>
      <w:r w:rsidRPr="00ED082D">
        <w:rPr>
          <w:rFonts w:eastAsia="Times New Roman" w:cs="Times New Roman"/>
          <w:szCs w:val="28"/>
          <w:vertAlign w:val="superscript"/>
        </w:rPr>
        <w:t>3</w:t>
      </w:r>
      <w:r w:rsidRPr="00ED082D">
        <w:rPr>
          <w:rFonts w:eastAsia="Times New Roman" w:cs="Times New Roman"/>
          <w:szCs w:val="28"/>
        </w:rPr>
        <w:t xml:space="preserve"> līdz 2,6 – 2,8 mljrd. m</w:t>
      </w:r>
      <w:r w:rsidRPr="00ED082D">
        <w:rPr>
          <w:rFonts w:eastAsia="Times New Roman" w:cs="Times New Roman"/>
          <w:szCs w:val="28"/>
          <w:vertAlign w:val="superscript"/>
        </w:rPr>
        <w:t>3</w:t>
      </w:r>
      <w:r w:rsidRPr="00ED082D">
        <w:rPr>
          <w:rFonts w:eastAsia="Times New Roman" w:cs="Times New Roman"/>
          <w:szCs w:val="28"/>
        </w:rPr>
        <w:t>. Pēc paplašināšanas arī dabasgāzes padošanas apjoms pieaugs no 28–30 milj.m</w:t>
      </w:r>
      <w:r w:rsidRPr="00ED082D">
        <w:rPr>
          <w:rFonts w:eastAsia="Times New Roman" w:cs="Times New Roman"/>
          <w:szCs w:val="28"/>
          <w:vertAlign w:val="superscript"/>
        </w:rPr>
        <w:t>3</w:t>
      </w:r>
      <w:r w:rsidRPr="00ED082D">
        <w:rPr>
          <w:rFonts w:eastAsia="Times New Roman" w:cs="Times New Roman"/>
          <w:szCs w:val="28"/>
        </w:rPr>
        <w:t>/dienā līdz 34–35 milj.m</w:t>
      </w:r>
      <w:r w:rsidRPr="00ED082D">
        <w:rPr>
          <w:rFonts w:eastAsia="Times New Roman" w:cs="Times New Roman"/>
          <w:szCs w:val="28"/>
          <w:vertAlign w:val="superscript"/>
        </w:rPr>
        <w:t>3</w:t>
      </w:r>
      <w:r w:rsidRPr="00ED082D">
        <w:rPr>
          <w:rFonts w:eastAsia="Times New Roman" w:cs="Times New Roman"/>
          <w:szCs w:val="28"/>
        </w:rPr>
        <w:t>/dienā.</w:t>
      </w:r>
    </w:p>
    <w:p w:rsidR="008A14BD" w:rsidRDefault="00ED082D" w:rsidP="00ED082D">
      <w:pPr>
        <w:ind w:firstLine="720"/>
        <w:jc w:val="both"/>
        <w:rPr>
          <w:bCs/>
          <w:szCs w:val="28"/>
        </w:rPr>
      </w:pPr>
      <w:r>
        <w:rPr>
          <w:rFonts w:eastAsia="Times New Roman" w:cs="Times New Roman"/>
          <w:szCs w:val="28"/>
        </w:rPr>
        <w:t xml:space="preserve">Latvijā ir arī citas potenciāli dabas gāzes uzglabāšanai izmantojamas vietas, kuras var iegūt papildus nozīmi pēc starpsavienojumu izbūves ar ES tīkliem. </w:t>
      </w:r>
      <w:r w:rsidRPr="00ED082D">
        <w:rPr>
          <w:rFonts w:eastAsia="Times New Roman" w:cs="Times New Roman"/>
          <w:szCs w:val="28"/>
        </w:rPr>
        <w:t xml:space="preserve">Kopumā </w:t>
      </w:r>
      <w:r w:rsidRPr="00ED082D">
        <w:rPr>
          <w:bCs/>
          <w:szCs w:val="28"/>
        </w:rPr>
        <w:t xml:space="preserve">Latvijā atrodas vismaz 11 pazemes struktūras, kuras </w:t>
      </w:r>
      <w:r>
        <w:rPr>
          <w:bCs/>
          <w:szCs w:val="28"/>
        </w:rPr>
        <w:t xml:space="preserve">ir </w:t>
      </w:r>
      <w:r w:rsidRPr="00ED082D">
        <w:rPr>
          <w:bCs/>
          <w:szCs w:val="28"/>
        </w:rPr>
        <w:t xml:space="preserve">atzītas par perspektīvām tālākai izpētei (skat. </w:t>
      </w:r>
      <w:r w:rsidR="00640AEE">
        <w:rPr>
          <w:bCs/>
          <w:szCs w:val="28"/>
        </w:rPr>
        <w:t>3</w:t>
      </w:r>
      <w:r w:rsidRPr="00ED082D">
        <w:rPr>
          <w:bCs/>
          <w:szCs w:val="28"/>
        </w:rPr>
        <w:t xml:space="preserve">.tabulu). </w:t>
      </w:r>
    </w:p>
    <w:p w:rsidR="00A04353" w:rsidRDefault="00A04353" w:rsidP="00ED082D">
      <w:pPr>
        <w:ind w:firstLine="720"/>
        <w:jc w:val="both"/>
        <w:rPr>
          <w:bCs/>
          <w:szCs w:val="28"/>
        </w:rPr>
      </w:pPr>
    </w:p>
    <w:p w:rsidR="00ED082D" w:rsidRPr="00116956" w:rsidRDefault="00640AEE" w:rsidP="00116956">
      <w:pPr>
        <w:jc w:val="right"/>
        <w:rPr>
          <w:rFonts w:eastAsia="Calibri"/>
          <w:szCs w:val="28"/>
        </w:rPr>
      </w:pPr>
      <w:r>
        <w:rPr>
          <w:rFonts w:eastAsia="Calibri"/>
          <w:szCs w:val="28"/>
        </w:rPr>
        <w:lastRenderedPageBreak/>
        <w:t>3</w:t>
      </w:r>
      <w:r w:rsidR="00ED082D" w:rsidRPr="00116956">
        <w:rPr>
          <w:rFonts w:eastAsia="Calibri"/>
          <w:szCs w:val="28"/>
        </w:rPr>
        <w:t xml:space="preserve">.tabula </w:t>
      </w:r>
    </w:p>
    <w:p w:rsidR="00ED082D" w:rsidRPr="00ED082D" w:rsidRDefault="00ED082D" w:rsidP="00ED082D">
      <w:pPr>
        <w:jc w:val="center"/>
        <w:rPr>
          <w:rFonts w:eastAsia="Calibri"/>
          <w:b/>
          <w:iCs/>
          <w:szCs w:val="28"/>
        </w:rPr>
      </w:pPr>
      <w:r w:rsidRPr="00ED082D">
        <w:rPr>
          <w:rFonts w:eastAsia="Calibri"/>
          <w:b/>
          <w:iCs/>
          <w:szCs w:val="28"/>
        </w:rPr>
        <w:t xml:space="preserve">Latvijas ģeoloģiskās struktūras, </w:t>
      </w:r>
    </w:p>
    <w:p w:rsidR="00ED082D" w:rsidRPr="00ED082D" w:rsidRDefault="00ED082D" w:rsidP="00ED082D">
      <w:pPr>
        <w:jc w:val="center"/>
        <w:rPr>
          <w:rFonts w:eastAsia="Calibri"/>
          <w:b/>
          <w:iCs/>
          <w:szCs w:val="28"/>
        </w:rPr>
      </w:pPr>
      <w:r w:rsidRPr="00ED082D">
        <w:rPr>
          <w:rFonts w:eastAsia="Calibri"/>
          <w:b/>
          <w:iCs/>
          <w:szCs w:val="28"/>
        </w:rPr>
        <w:t>kas piemērotas pazemes gāzes krātuvju izveidei</w:t>
      </w:r>
    </w:p>
    <w:p w:rsidR="00ED082D" w:rsidRPr="00ED082D" w:rsidRDefault="00ED082D" w:rsidP="00ED082D">
      <w:pPr>
        <w:jc w:val="center"/>
        <w:rPr>
          <w:rFonts w:eastAsia="Calibri"/>
          <w:szCs w:val="28"/>
        </w:rPr>
      </w:pPr>
    </w:p>
    <w:tbl>
      <w:tblPr>
        <w:tblStyle w:val="TableGrid11"/>
        <w:tblW w:w="0" w:type="auto"/>
        <w:tblInd w:w="108" w:type="dxa"/>
        <w:tblLook w:val="04A0" w:firstRow="1" w:lastRow="0" w:firstColumn="1" w:lastColumn="0" w:noHBand="0" w:noVBand="1"/>
      </w:tblPr>
      <w:tblGrid>
        <w:gridCol w:w="993"/>
        <w:gridCol w:w="2551"/>
        <w:gridCol w:w="2552"/>
        <w:gridCol w:w="2976"/>
      </w:tblGrid>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Nr.</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Pazemes krātuve</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Laukums, km</w:t>
            </w:r>
            <w:r w:rsidRPr="00ED082D">
              <w:rPr>
                <w:b/>
                <w:vertAlign w:val="superscript"/>
              </w:rPr>
              <w:t>2</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autoSpaceDE w:val="0"/>
              <w:autoSpaceDN w:val="0"/>
              <w:adjustRightInd w:val="0"/>
              <w:rPr>
                <w:b/>
                <w:color w:val="000000"/>
              </w:rPr>
            </w:pPr>
            <w:r w:rsidRPr="00ED082D">
              <w:rPr>
                <w:b/>
                <w:color w:val="000000"/>
              </w:rPr>
              <w:t>Ietilpība, mljrd. m</w:t>
            </w:r>
            <w:r w:rsidRPr="00ED082D">
              <w:rPr>
                <w:b/>
                <w:color w:val="000000"/>
                <w:vertAlign w:val="superscript"/>
              </w:rPr>
              <w:t>3</w:t>
            </w:r>
            <w:r w:rsidRPr="00ED082D">
              <w:rPr>
                <w:b/>
                <w:color w:val="000000"/>
              </w:rPr>
              <w:t xml:space="preserve"> </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1.</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Snēpele</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75</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17,5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Aizpute</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95</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16,0</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3.</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Dobele</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47</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pPr>
              <w:rPr>
                <w:b/>
              </w:rPr>
            </w:pPr>
            <w:r w:rsidRPr="00ED082D">
              <w:rPr>
                <w:b/>
              </w:rPr>
              <w:t>10,0</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4.</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Z–Blīdene</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47</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9,0</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5.</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Līči</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65</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6.</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Liepāja</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39</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7.</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Degoles</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46</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3,5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8.</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Līgas</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40</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9.</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Z-Līgatnes</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3x8</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2,5</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10.</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Amatas</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5x5</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2,0</w:t>
            </w:r>
          </w:p>
        </w:tc>
      </w:tr>
      <w:tr w:rsidR="00ED082D" w:rsidRPr="00ED082D" w:rsidTr="00F5410F">
        <w:tc>
          <w:tcPr>
            <w:tcW w:w="993"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11.</w:t>
            </w:r>
          </w:p>
        </w:tc>
        <w:tc>
          <w:tcPr>
            <w:tcW w:w="2551"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Valmieras</w:t>
            </w:r>
          </w:p>
        </w:tc>
        <w:tc>
          <w:tcPr>
            <w:tcW w:w="2552"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3x10</w:t>
            </w:r>
          </w:p>
        </w:tc>
        <w:tc>
          <w:tcPr>
            <w:tcW w:w="2976" w:type="dxa"/>
            <w:tcBorders>
              <w:top w:val="single" w:sz="4" w:space="0" w:color="auto"/>
              <w:left w:val="single" w:sz="4" w:space="0" w:color="auto"/>
              <w:bottom w:val="single" w:sz="4" w:space="0" w:color="auto"/>
              <w:right w:val="single" w:sz="4" w:space="0" w:color="auto"/>
            </w:tcBorders>
            <w:hideMark/>
          </w:tcPr>
          <w:p w:rsidR="00ED082D" w:rsidRPr="00ED082D" w:rsidRDefault="00ED082D" w:rsidP="00ED082D">
            <w:r w:rsidRPr="00ED082D">
              <w:t>2,5</w:t>
            </w:r>
          </w:p>
        </w:tc>
      </w:tr>
    </w:tbl>
    <w:p w:rsidR="009F3329" w:rsidRDefault="009F3329" w:rsidP="00116956">
      <w:pPr>
        <w:autoSpaceDE w:val="0"/>
        <w:autoSpaceDN w:val="0"/>
        <w:adjustRightInd w:val="0"/>
        <w:ind w:firstLine="720"/>
        <w:jc w:val="both"/>
        <w:rPr>
          <w:szCs w:val="28"/>
        </w:rPr>
      </w:pPr>
    </w:p>
    <w:p w:rsidR="00640AEE" w:rsidRDefault="00640AEE" w:rsidP="00640AEE">
      <w:pPr>
        <w:ind w:firstLine="720"/>
        <w:jc w:val="both"/>
        <w:rPr>
          <w:szCs w:val="28"/>
        </w:rPr>
      </w:pPr>
      <w:r w:rsidRPr="003D18F5" w:rsidDel="00072843">
        <w:rPr>
          <w:szCs w:val="28"/>
        </w:rPr>
        <w:t xml:space="preserve">Šobrīd Dobeles pazemes struktūra ir visdetalizētāk izpētītā no Latvijas potenciālajām PGK un atzīta par piemērotu dabasgāzes krātuves izveidei. </w:t>
      </w:r>
      <w:r w:rsidRPr="003D18F5" w:rsidDel="00072843">
        <w:rPr>
          <w:rFonts w:eastAsia="Times New Roman" w:cs="Times New Roman"/>
          <w:szCs w:val="28"/>
          <w:lang w:eastAsia="lv-LV"/>
        </w:rPr>
        <w:t xml:space="preserve">ES līdzfinansētā  projekta “Ģeoloģiskā un ekonomiskā izpēte par dabasgāzes pazemes krātuves iespējamo izveidi Latvijā, Dobeles rajonā” ietvaros tika atzīts, ka </w:t>
      </w:r>
      <w:r w:rsidDel="00072843">
        <w:rPr>
          <w:rFonts w:eastAsia="Times New Roman" w:cs="Times New Roman"/>
          <w:szCs w:val="28"/>
          <w:lang w:eastAsia="lv-LV"/>
        </w:rPr>
        <w:t xml:space="preserve">potenciālā </w:t>
      </w:r>
      <w:r w:rsidRPr="00ED082D" w:rsidDel="00072843">
        <w:t>Dobeles pazemes gāzes krātuves  (turpmāk – DPGK)</w:t>
      </w:r>
      <w:r w:rsidRPr="00116956" w:rsidDel="00072843">
        <w:rPr>
          <w:szCs w:val="28"/>
        </w:rPr>
        <w:t xml:space="preserve"> izveides gadījumā, tā ietilpības ziņā būtu </w:t>
      </w:r>
      <w:r w:rsidR="003F41FA">
        <w:rPr>
          <w:szCs w:val="28"/>
        </w:rPr>
        <w:t xml:space="preserve">viena </w:t>
      </w:r>
      <w:r w:rsidRPr="00116956" w:rsidDel="00072843">
        <w:rPr>
          <w:szCs w:val="28"/>
        </w:rPr>
        <w:t>lielāk</w:t>
      </w:r>
      <w:r w:rsidR="003F41FA">
        <w:rPr>
          <w:szCs w:val="28"/>
        </w:rPr>
        <w:t>aj</w:t>
      </w:r>
      <w:r w:rsidRPr="00116956" w:rsidDel="00072843">
        <w:rPr>
          <w:szCs w:val="28"/>
        </w:rPr>
        <w:t>ā</w:t>
      </w:r>
      <w:r w:rsidR="003F41FA">
        <w:rPr>
          <w:szCs w:val="28"/>
        </w:rPr>
        <w:t>m</w:t>
      </w:r>
      <w:r w:rsidRPr="00116956" w:rsidDel="00072843">
        <w:rPr>
          <w:szCs w:val="28"/>
        </w:rPr>
        <w:t xml:space="preserve"> PGK ES valstīs.</w:t>
      </w:r>
    </w:p>
    <w:p w:rsidR="000A0F27" w:rsidRPr="00ED082D" w:rsidRDefault="000A0F27" w:rsidP="00640AEE">
      <w:pPr>
        <w:ind w:firstLine="720"/>
        <w:jc w:val="both"/>
        <w:rPr>
          <w:rFonts w:eastAsia="Times New Roman" w:cs="Times New Roman"/>
          <w:szCs w:val="28"/>
        </w:rPr>
      </w:pPr>
    </w:p>
    <w:p w:rsidR="00ED082D" w:rsidRPr="00ED082D" w:rsidRDefault="00ED082D" w:rsidP="00116956">
      <w:pPr>
        <w:spacing w:before="120" w:after="120"/>
        <w:jc w:val="center"/>
        <w:rPr>
          <w:rFonts w:eastAsia="Calibri"/>
        </w:rPr>
      </w:pPr>
      <w:r w:rsidRPr="00ED082D">
        <w:rPr>
          <w:rFonts w:eastAsia="Calibri"/>
          <w:noProof/>
          <w:lang w:eastAsia="lv-LV"/>
        </w:rPr>
        <w:drawing>
          <wp:inline distT="0" distB="0" distL="0" distR="0" wp14:anchorId="78579B98" wp14:editId="53F90975">
            <wp:extent cx="5394463" cy="295275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4463" cy="2952750"/>
                    </a:xfrm>
                    <a:prstGeom prst="rect">
                      <a:avLst/>
                    </a:prstGeom>
                    <a:noFill/>
                    <a:ln>
                      <a:noFill/>
                    </a:ln>
                  </pic:spPr>
                </pic:pic>
              </a:graphicData>
            </a:graphic>
          </wp:inline>
        </w:drawing>
      </w:r>
    </w:p>
    <w:p w:rsidR="00ED082D" w:rsidRPr="001162AC" w:rsidRDefault="00B12B32" w:rsidP="001162AC">
      <w:pPr>
        <w:rPr>
          <w:rFonts w:eastAsia="Times New Roman" w:cs="Times New Roman"/>
          <w:b/>
          <w:sz w:val="24"/>
          <w:szCs w:val="24"/>
        </w:rPr>
      </w:pPr>
      <w:r w:rsidRPr="001162AC">
        <w:rPr>
          <w:rFonts w:eastAsia="Calibri" w:cs="Times New Roman"/>
          <w:b/>
          <w:iCs/>
          <w:sz w:val="24"/>
          <w:szCs w:val="24"/>
        </w:rPr>
        <w:t>19</w:t>
      </w:r>
      <w:r w:rsidR="00ED082D" w:rsidRPr="001162AC">
        <w:rPr>
          <w:rFonts w:eastAsia="Calibri" w:cs="Times New Roman"/>
          <w:b/>
          <w:iCs/>
          <w:sz w:val="24"/>
          <w:szCs w:val="24"/>
        </w:rPr>
        <w:t>.attēls. Latvijas esošās un potenciālo pazemes gāzes krātuvju izvietojums.</w:t>
      </w:r>
    </w:p>
    <w:p w:rsidR="00972222" w:rsidRPr="003D18F5" w:rsidDel="00072843" w:rsidRDefault="00972222" w:rsidP="00972222">
      <w:pPr>
        <w:autoSpaceDE w:val="0"/>
        <w:autoSpaceDN w:val="0"/>
        <w:adjustRightInd w:val="0"/>
        <w:ind w:firstLine="720"/>
        <w:jc w:val="both"/>
        <w:rPr>
          <w:szCs w:val="28"/>
        </w:rPr>
      </w:pPr>
      <w:r w:rsidRPr="003D18F5" w:rsidDel="00072843">
        <w:rPr>
          <w:szCs w:val="28"/>
        </w:rPr>
        <w:lastRenderedPageBreak/>
        <w:t>Dobeles struktūra tika atzīta par piemērotu dabasgāzes krātuves izveidei. 1990.gadā Dobeles struktūras teritorijā tika ierīkoti 24 dziļie urbumi</w:t>
      </w:r>
      <w:r w:rsidRPr="00116956" w:rsidDel="00072843">
        <w:rPr>
          <w:color w:val="000000"/>
          <w:position w:val="6"/>
          <w:szCs w:val="28"/>
          <w:vertAlign w:val="superscript"/>
        </w:rPr>
        <w:footnoteReference w:id="11"/>
      </w:r>
      <w:r w:rsidRPr="003D18F5" w:rsidDel="00072843">
        <w:rPr>
          <w:szCs w:val="28"/>
        </w:rPr>
        <w:t>, no tiem laika periodā no 2009.</w:t>
      </w:r>
      <w:r w:rsidRPr="003D18F5" w:rsidDel="00072843">
        <w:rPr>
          <w:b/>
          <w:bCs/>
          <w:szCs w:val="28"/>
        </w:rPr>
        <w:t xml:space="preserve"> – </w:t>
      </w:r>
      <w:r w:rsidRPr="003D18F5" w:rsidDel="00072843">
        <w:rPr>
          <w:szCs w:val="28"/>
        </w:rPr>
        <w:t>2010.gadam tika apsekoti vien 18, un tikai 8</w:t>
      </w:r>
      <w:r w:rsidRPr="003D18F5" w:rsidDel="00072843">
        <w:rPr>
          <w:b/>
          <w:szCs w:val="28"/>
        </w:rPr>
        <w:t xml:space="preserve"> </w:t>
      </w:r>
      <w:r w:rsidRPr="003D18F5" w:rsidDel="00072843">
        <w:rPr>
          <w:szCs w:val="28"/>
        </w:rPr>
        <w:t>urbumu tehniskais stāvoklis bija apmierinošs, un tie var tikt izmantoti dažādiem mērķiem, tostarp tālākas izpētes un monitoringa veikšanai</w:t>
      </w:r>
      <w:r w:rsidR="009F7E8F">
        <w:rPr>
          <w:rStyle w:val="FootnoteReference"/>
        </w:rPr>
        <w:footnoteReference w:id="12"/>
      </w:r>
      <w:r w:rsidRPr="003D18F5" w:rsidDel="00072843">
        <w:rPr>
          <w:szCs w:val="28"/>
        </w:rPr>
        <w:t>.</w:t>
      </w:r>
    </w:p>
    <w:p w:rsidR="00EE1712" w:rsidRDefault="00ED082D" w:rsidP="00116956">
      <w:pPr>
        <w:ind w:firstLine="720"/>
        <w:jc w:val="both"/>
      </w:pPr>
      <w:r w:rsidRPr="00ED082D">
        <w:t>Dobeles struktūras ietilpība ir apmēram 7,74 milj. m</w:t>
      </w:r>
      <w:r w:rsidRPr="00ED082D">
        <w:rPr>
          <w:vertAlign w:val="superscript"/>
        </w:rPr>
        <w:t>3</w:t>
      </w:r>
      <w:r w:rsidRPr="00ED082D">
        <w:t>, tomēr visoptimistiskākās aplēses liecina, ka kopējā izbūvētās DPGK ietilpība varētu sasniegt 20 miljardus m</w:t>
      </w:r>
      <w:r w:rsidRPr="00ED082D">
        <w:rPr>
          <w:vertAlign w:val="superscript"/>
        </w:rPr>
        <w:t>3</w:t>
      </w:r>
      <w:r w:rsidRPr="00ED082D">
        <w:t xml:space="preserve"> dabasgāzes (no tiem 10 miljardi m</w:t>
      </w:r>
      <w:r w:rsidRPr="00ED082D">
        <w:rPr>
          <w:vertAlign w:val="superscript"/>
        </w:rPr>
        <w:t>3</w:t>
      </w:r>
      <w:r w:rsidRPr="00ED082D">
        <w:t xml:space="preserve"> bufergāzes ).</w:t>
      </w:r>
      <w:r>
        <w:t xml:space="preserve"> </w:t>
      </w:r>
      <w:r w:rsidRPr="00ED082D">
        <w:t>Reāli gan Dobeles struktūras  dabasgāzes uzglabāšanas apjoms varētu būt 10 miljardi m</w:t>
      </w:r>
      <w:r w:rsidRPr="00ED082D">
        <w:rPr>
          <w:vertAlign w:val="superscript"/>
        </w:rPr>
        <w:t>3</w:t>
      </w:r>
      <w:r w:rsidRPr="00ED082D">
        <w:t xml:space="preserve"> dabasgāzes (5 miljardi m</w:t>
      </w:r>
      <w:r w:rsidRPr="00ED082D">
        <w:rPr>
          <w:vertAlign w:val="superscript"/>
        </w:rPr>
        <w:t>3</w:t>
      </w:r>
      <w:r w:rsidRPr="00ED082D">
        <w:t xml:space="preserve"> aktīvās gāzes). Tādā gadījumā būtu nepieciešams ierīkot 80 dziļos urbumus. Kopējās investīcijas DPGK</w:t>
      </w:r>
      <w:r w:rsidRPr="00ED082D" w:rsidDel="003230ED">
        <w:t xml:space="preserve"> </w:t>
      </w:r>
      <w:r w:rsidRPr="00ED082D">
        <w:t xml:space="preserve">izveidē </w:t>
      </w:r>
      <w:r>
        <w:t xml:space="preserve">tiek vērtētas </w:t>
      </w:r>
      <w:r w:rsidRPr="00ED082D">
        <w:t>ap</w:t>
      </w:r>
      <w:r>
        <w:t xml:space="preserve">tuveni </w:t>
      </w:r>
      <w:r w:rsidRPr="00ED082D">
        <w:t>1,3 miljardus EUR</w:t>
      </w:r>
      <w:r>
        <w:t xml:space="preserve">. </w:t>
      </w:r>
    </w:p>
    <w:p w:rsidR="00C84DD3" w:rsidRPr="00F11BB3" w:rsidRDefault="00C84DD3" w:rsidP="00972222">
      <w:pPr>
        <w:pStyle w:val="Heading2"/>
        <w:numPr>
          <w:ilvl w:val="1"/>
          <w:numId w:val="2"/>
        </w:numPr>
        <w:spacing w:after="120"/>
        <w:ind w:left="1429"/>
        <w:rPr>
          <w:rFonts w:eastAsia="Times New Roman"/>
          <w:lang w:eastAsia="lv-LV"/>
        </w:rPr>
      </w:pPr>
      <w:bookmarkStart w:id="20" w:name="_Toc401644322"/>
      <w:r w:rsidRPr="00116956">
        <w:rPr>
          <w:rFonts w:eastAsia="Times New Roman"/>
          <w:lang w:eastAsia="lv-LV"/>
        </w:rPr>
        <w:t>Siltumapgāde</w:t>
      </w:r>
      <w:bookmarkEnd w:id="20"/>
      <w:r w:rsidR="001317AA" w:rsidRPr="00116956">
        <w:rPr>
          <w:rFonts w:eastAsia="Times New Roman"/>
          <w:lang w:eastAsia="lv-LV"/>
        </w:rPr>
        <w:t xml:space="preserve"> </w:t>
      </w:r>
      <w:r w:rsidRPr="00F11BB3">
        <w:rPr>
          <w:rFonts w:eastAsia="Times New Roman"/>
          <w:lang w:eastAsia="lv-LV"/>
        </w:rPr>
        <w:t xml:space="preserve"> </w:t>
      </w:r>
    </w:p>
    <w:p w:rsidR="00C84DD3" w:rsidRPr="00C84DD3" w:rsidRDefault="00C84DD3" w:rsidP="00C84DD3">
      <w:pPr>
        <w:ind w:firstLine="720"/>
        <w:jc w:val="both"/>
        <w:rPr>
          <w:rFonts w:cs="Times New Roman"/>
          <w:szCs w:val="28"/>
        </w:rPr>
      </w:pPr>
      <w:r w:rsidRPr="00C84DD3">
        <w:rPr>
          <w:rFonts w:cs="Times New Roman"/>
          <w:szCs w:val="28"/>
        </w:rPr>
        <w:t xml:space="preserve">Latvijā siltumapgāde tiek nodrošināta, izmantojot centralizētās siltumapgādes sistēmas, lokālo siltumapgādi un individuālo siltumapgādi.  Siltumapgādi savā administratīvajā teritorijā organizē pašvaldības saskaņā ar tām </w:t>
      </w:r>
      <w:r w:rsidRPr="00C84DD3">
        <w:rPr>
          <w:rFonts w:cs="Times New Roman"/>
          <w:color w:val="000000" w:themeColor="text1"/>
          <w:szCs w:val="28"/>
        </w:rPr>
        <w:t xml:space="preserve">likumā noteikto pastāvīgo funkciju. </w:t>
      </w:r>
    </w:p>
    <w:p w:rsidR="00C84DD3" w:rsidRPr="00C84DD3" w:rsidRDefault="00C84DD3" w:rsidP="00C84DD3">
      <w:pPr>
        <w:ind w:firstLine="720"/>
        <w:jc w:val="both"/>
        <w:rPr>
          <w:rFonts w:eastAsia="Times New Roman" w:cs="Times New Roman"/>
          <w:szCs w:val="28"/>
          <w:lang w:eastAsia="lv-LV"/>
        </w:rPr>
      </w:pPr>
      <w:r w:rsidRPr="00C84DD3">
        <w:rPr>
          <w:rFonts w:eastAsia="Times New Roman" w:cs="Times New Roman"/>
          <w:szCs w:val="28"/>
          <w:lang w:eastAsia="lv-LV"/>
        </w:rPr>
        <w:t xml:space="preserve">2012. gadā centralizēto siltumenerģiju pārdošanai ražoja 663 katlumājās un 132 koģenerācijas stacijās, kuras pārdošanai kopā saražoja 7,46 TWh centralizētās siltumenerģijas. </w:t>
      </w:r>
    </w:p>
    <w:p w:rsidR="00C84DD3" w:rsidRPr="00C84DD3" w:rsidRDefault="00C84DD3" w:rsidP="00C84DD3">
      <w:pPr>
        <w:ind w:firstLine="720"/>
        <w:jc w:val="both"/>
        <w:rPr>
          <w:rFonts w:eastAsia="Times New Roman" w:cs="Times New Roman"/>
          <w:szCs w:val="28"/>
          <w:lang w:eastAsia="lv-LV"/>
        </w:rPr>
      </w:pPr>
      <w:r w:rsidRPr="00C84DD3">
        <w:rPr>
          <w:rFonts w:eastAsia="Times New Roman" w:cs="Times New Roman"/>
          <w:szCs w:val="28"/>
          <w:lang w:eastAsia="lv-LV"/>
        </w:rPr>
        <w:t>Centralizētās siltumapgādes patērētāju struktūra pēdējo gadu laikā nav mainījusies, centrālā apkure ir 65–70%, karstā ūdens apgāde – 30–35%. </w:t>
      </w:r>
    </w:p>
    <w:p w:rsidR="00072843" w:rsidRPr="00C84DD3" w:rsidRDefault="00072843" w:rsidP="00072843">
      <w:pPr>
        <w:ind w:firstLine="720"/>
        <w:jc w:val="both"/>
        <w:rPr>
          <w:noProof/>
          <w:lang w:eastAsia="lv-LV"/>
        </w:rPr>
      </w:pPr>
      <w:r w:rsidRPr="00C84DD3">
        <w:rPr>
          <w:noProof/>
          <w:lang w:eastAsia="lv-LV"/>
        </w:rPr>
        <w:t xml:space="preserve">Kā redzams </w:t>
      </w:r>
      <w:r>
        <w:rPr>
          <w:noProof/>
          <w:lang w:eastAsia="lv-LV"/>
        </w:rPr>
        <w:t xml:space="preserve">20.attēlā attēlotajā </w:t>
      </w:r>
      <w:r w:rsidRPr="00C84DD3">
        <w:rPr>
          <w:noProof/>
          <w:lang w:eastAsia="lv-LV"/>
        </w:rPr>
        <w:t>grafikā, mājsaimniecības ir lielākais centralizētās siltumapgādes patērētājs ne tikai 2012.gadā, bet arī gados pirms tam.</w:t>
      </w:r>
    </w:p>
    <w:p w:rsidR="00C84DD3" w:rsidRPr="00C84DD3" w:rsidRDefault="001F5FD7" w:rsidP="00EE759E">
      <w:pPr>
        <w:jc w:val="center"/>
        <w:rPr>
          <w:noProof/>
          <w:lang w:eastAsia="lv-LV"/>
        </w:rPr>
      </w:pPr>
      <w:r>
        <w:rPr>
          <w:noProof/>
          <w:lang w:eastAsia="lv-LV"/>
        </w:rPr>
        <w:drawing>
          <wp:inline distT="0" distB="0" distL="0" distR="0" wp14:anchorId="13ECB548" wp14:editId="7AF35495">
            <wp:extent cx="3525715" cy="2145323"/>
            <wp:effectExtent l="0" t="0" r="1778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17AA" w:rsidRDefault="00B12B32" w:rsidP="001162AC">
      <w:pPr>
        <w:rPr>
          <w:b/>
          <w:noProof/>
          <w:sz w:val="24"/>
          <w:szCs w:val="24"/>
          <w:lang w:eastAsia="lv-LV"/>
        </w:rPr>
      </w:pPr>
      <w:r w:rsidRPr="001162AC">
        <w:rPr>
          <w:b/>
          <w:noProof/>
          <w:sz w:val="24"/>
          <w:szCs w:val="24"/>
          <w:lang w:eastAsia="lv-LV"/>
        </w:rPr>
        <w:t>20</w:t>
      </w:r>
      <w:r w:rsidR="001317AA" w:rsidRPr="001162AC">
        <w:rPr>
          <w:b/>
          <w:noProof/>
          <w:sz w:val="24"/>
          <w:szCs w:val="24"/>
          <w:lang w:eastAsia="lv-LV"/>
        </w:rPr>
        <w:t>. attēls. Centralizētās siltumenerģijas galapatēriņš, 2012.gads.</w:t>
      </w:r>
    </w:p>
    <w:p w:rsidR="00072843" w:rsidRDefault="00072843" w:rsidP="00072843">
      <w:pPr>
        <w:ind w:firstLine="720"/>
        <w:jc w:val="both"/>
        <w:rPr>
          <w:rFonts w:eastAsia="Times New Roman" w:cs="Times New Roman"/>
          <w:szCs w:val="28"/>
          <w:lang w:eastAsia="lv-LV"/>
        </w:rPr>
      </w:pPr>
      <w:r w:rsidRPr="00C84DD3">
        <w:rPr>
          <w:rFonts w:eastAsia="Times New Roman" w:cs="Times New Roman"/>
          <w:szCs w:val="28"/>
          <w:lang w:eastAsia="lv-LV"/>
        </w:rPr>
        <w:lastRenderedPageBreak/>
        <w:t>Savukārt, sadalījumā pa reģioniem Rīgas reģions ar 51,7% patērē vairāk kā pusi no centralizētās siltumenerģijas valstī</w:t>
      </w:r>
      <w:r>
        <w:rPr>
          <w:rFonts w:eastAsia="Times New Roman" w:cs="Times New Roman"/>
          <w:szCs w:val="28"/>
          <w:lang w:eastAsia="lv-LV"/>
        </w:rPr>
        <w:t xml:space="preserve"> (skat.21.attēlu)</w:t>
      </w:r>
      <w:r w:rsidRPr="00C84DD3">
        <w:rPr>
          <w:rFonts w:eastAsia="Times New Roman" w:cs="Times New Roman"/>
          <w:szCs w:val="28"/>
          <w:lang w:eastAsia="lv-LV"/>
        </w:rPr>
        <w:t>.</w:t>
      </w:r>
      <w:r w:rsidRPr="00C84DD3">
        <w:rPr>
          <w:rFonts w:cs="Times New Roman"/>
          <w:szCs w:val="28"/>
        </w:rPr>
        <w:t xml:space="preserve">  Lielākā daļa centralizētās siltumapgādes sistēmās saražotās siltumenerģijas apjomiem tiek saražoti Rīgā, no kuras 90% tiek saražoti augsti efektīvas koģenerācijas procesā. </w:t>
      </w:r>
      <w:r w:rsidRPr="00C84DD3">
        <w:rPr>
          <w:rFonts w:eastAsia="Times New Roman" w:cs="Times New Roman"/>
          <w:szCs w:val="28"/>
          <w:lang w:eastAsia="lv-LV"/>
        </w:rPr>
        <w:t xml:space="preserve">AS „Rīgas siltums” ir lielākais centralizētās siltumapgādes uzņēmums (43 siltumavoti, t.sk., 5 siltumcentrālēs un 38 gāzes katlu mājās) Latvijā un Baltijas valstīs. </w:t>
      </w:r>
    </w:p>
    <w:p w:rsidR="00C84DD3" w:rsidRPr="00C84DD3" w:rsidRDefault="001162AC" w:rsidP="00EE759E">
      <w:pPr>
        <w:ind w:firstLine="720"/>
        <w:jc w:val="center"/>
        <w:rPr>
          <w:noProof/>
          <w:lang w:eastAsia="lv-LV"/>
        </w:rPr>
      </w:pPr>
      <w:r>
        <w:rPr>
          <w:noProof/>
          <w:lang w:eastAsia="lv-LV"/>
        </w:rPr>
        <w:drawing>
          <wp:inline distT="0" distB="0" distL="0" distR="0" wp14:anchorId="6400D8A1" wp14:editId="0F83861D">
            <wp:extent cx="4000500" cy="348615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61D9" w:rsidRPr="001162AC" w:rsidRDefault="00B12B32" w:rsidP="001162AC">
      <w:pPr>
        <w:rPr>
          <w:rFonts w:eastAsia="Times New Roman" w:cs="Times New Roman"/>
          <w:b/>
          <w:sz w:val="24"/>
          <w:szCs w:val="24"/>
          <w:lang w:eastAsia="lv-LV"/>
        </w:rPr>
      </w:pPr>
      <w:r w:rsidRPr="001162AC">
        <w:rPr>
          <w:rFonts w:eastAsia="Times New Roman" w:cs="Times New Roman"/>
          <w:b/>
          <w:sz w:val="24"/>
          <w:szCs w:val="24"/>
          <w:lang w:eastAsia="lv-LV"/>
        </w:rPr>
        <w:t>21</w:t>
      </w:r>
      <w:r w:rsidR="003D18F5" w:rsidRPr="001162AC">
        <w:rPr>
          <w:rFonts w:eastAsia="Times New Roman" w:cs="Times New Roman"/>
          <w:b/>
          <w:sz w:val="24"/>
          <w:szCs w:val="24"/>
          <w:lang w:eastAsia="lv-LV"/>
        </w:rPr>
        <w:t>.</w:t>
      </w:r>
      <w:r w:rsidR="004D61D9" w:rsidRPr="001162AC">
        <w:rPr>
          <w:rFonts w:eastAsia="Times New Roman" w:cs="Times New Roman"/>
          <w:b/>
          <w:sz w:val="24"/>
          <w:szCs w:val="24"/>
          <w:lang w:eastAsia="lv-LV"/>
        </w:rPr>
        <w:t>attēls. Centralizētās siltumenerģijas galapatēriņa sadalījums pa reģioniem</w:t>
      </w:r>
    </w:p>
    <w:p w:rsidR="00662D11" w:rsidRDefault="00662D11" w:rsidP="009F3329">
      <w:pPr>
        <w:ind w:firstLine="720"/>
        <w:jc w:val="both"/>
        <w:rPr>
          <w:rFonts w:eastAsia="Times New Roman" w:cs="Times New Roman"/>
          <w:szCs w:val="28"/>
        </w:rPr>
      </w:pPr>
    </w:p>
    <w:p w:rsidR="009F3329" w:rsidRPr="002967B2" w:rsidRDefault="009F3329" w:rsidP="009F3329">
      <w:pPr>
        <w:ind w:firstLine="720"/>
        <w:jc w:val="both"/>
        <w:rPr>
          <w:rFonts w:eastAsia="Times New Roman" w:cs="Times New Roman"/>
          <w:szCs w:val="28"/>
        </w:rPr>
      </w:pPr>
      <w:r w:rsidRPr="002967B2">
        <w:rPr>
          <w:rFonts w:eastAsia="Times New Roman" w:cs="Times New Roman"/>
          <w:szCs w:val="28"/>
        </w:rPr>
        <w:t xml:space="preserve">Saskaņā ar Latvijas Siltumuzņēmumu asociācijas sniegto informāciju Latvijā </w:t>
      </w:r>
      <w:r w:rsidR="002E55DB">
        <w:rPr>
          <w:rFonts w:eastAsia="Times New Roman" w:cs="Times New Roman"/>
          <w:szCs w:val="28"/>
        </w:rPr>
        <w:t>dažādās pašvaldībās</w:t>
      </w:r>
      <w:r w:rsidRPr="002967B2">
        <w:rPr>
          <w:rFonts w:eastAsia="Times New Roman" w:cs="Times New Roman"/>
          <w:szCs w:val="28"/>
        </w:rPr>
        <w:t xml:space="preserve"> siltumenerģijas tarifi</w:t>
      </w:r>
      <w:r w:rsidR="002E55DB">
        <w:rPr>
          <w:rFonts w:eastAsia="Times New Roman" w:cs="Times New Roman"/>
          <w:szCs w:val="28"/>
        </w:rPr>
        <w:t xml:space="preserve"> atšķiras</w:t>
      </w:r>
      <w:r w:rsidRPr="002967B2">
        <w:rPr>
          <w:rFonts w:eastAsia="Times New Roman" w:cs="Times New Roman"/>
          <w:szCs w:val="28"/>
        </w:rPr>
        <w:t>. 2014.gadā vieni no zemākajiem tarifiem bija Ludzas pilsētā, Mālpils novadā, Valkas novadā, Kuldīgas pilsētā, kur gala lietotājs par vienu MWh maksāja līdz 50 EUR. Savukārt, vieni no augstākajiem tarifiem Saldus pilsētā, Olaines pilsētā, Jūrmalas pilsētā, Lielvārdes novadā un Grobiņas novadā, kur par vienu  MWh bija jāmaksā vairāk kā 65 EUR. Šīs siltumenerģijas tarifu atšķirības nosaka dažādi faktori, piemēram:</w:t>
      </w:r>
    </w:p>
    <w:p w:rsidR="009F3329" w:rsidRPr="002967B2" w:rsidRDefault="009F3329" w:rsidP="009F3329">
      <w:pPr>
        <w:ind w:left="993" w:hanging="273"/>
        <w:jc w:val="both"/>
        <w:rPr>
          <w:rFonts w:eastAsia="Times New Roman" w:cs="Times New Roman"/>
          <w:szCs w:val="28"/>
        </w:rPr>
      </w:pPr>
      <w:r w:rsidRPr="002967B2">
        <w:rPr>
          <w:rFonts w:eastAsia="Times New Roman" w:cs="Times New Roman"/>
          <w:szCs w:val="28"/>
        </w:rPr>
        <w:t>•</w:t>
      </w:r>
      <w:r w:rsidRPr="002967B2">
        <w:rPr>
          <w:rFonts w:eastAsia="Times New Roman" w:cs="Times New Roman"/>
          <w:szCs w:val="28"/>
        </w:rPr>
        <w:tab/>
        <w:t>izmantotais kurināmā veids, jo līdz 90% siltumenerģijas ražošanas mainīgajās izmaksās veido tieši kurināmā izmaksas;</w:t>
      </w:r>
    </w:p>
    <w:p w:rsidR="009F3329" w:rsidRPr="002967B2" w:rsidRDefault="009F3329" w:rsidP="009F3329">
      <w:pPr>
        <w:ind w:left="993" w:hanging="273"/>
        <w:jc w:val="both"/>
        <w:rPr>
          <w:rFonts w:eastAsia="Times New Roman" w:cs="Times New Roman"/>
          <w:szCs w:val="28"/>
        </w:rPr>
      </w:pPr>
      <w:r w:rsidRPr="002967B2">
        <w:rPr>
          <w:rFonts w:eastAsia="Times New Roman" w:cs="Times New Roman"/>
          <w:szCs w:val="28"/>
        </w:rPr>
        <w:t>•</w:t>
      </w:r>
      <w:r w:rsidRPr="002967B2">
        <w:rPr>
          <w:rFonts w:eastAsia="Times New Roman" w:cs="Times New Roman"/>
          <w:szCs w:val="28"/>
        </w:rPr>
        <w:tab/>
        <w:t>siltumapgādes sistēmas lielums un tehniskais stāvoklis;</w:t>
      </w:r>
    </w:p>
    <w:p w:rsidR="009F3329" w:rsidRPr="002967B2" w:rsidRDefault="009F3329" w:rsidP="009F3329">
      <w:pPr>
        <w:ind w:left="993" w:hanging="273"/>
        <w:jc w:val="both"/>
        <w:rPr>
          <w:rFonts w:eastAsia="Times New Roman" w:cs="Times New Roman"/>
          <w:szCs w:val="28"/>
        </w:rPr>
      </w:pPr>
      <w:r w:rsidRPr="002967B2">
        <w:rPr>
          <w:rFonts w:eastAsia="Times New Roman" w:cs="Times New Roman"/>
          <w:szCs w:val="28"/>
        </w:rPr>
        <w:t>•</w:t>
      </w:r>
      <w:r w:rsidRPr="002967B2">
        <w:rPr>
          <w:rFonts w:eastAsia="Times New Roman" w:cs="Times New Roman"/>
          <w:szCs w:val="28"/>
        </w:rPr>
        <w:tab/>
        <w:t>siltumslodzes blīvums, t.i., siltumenerģijas patēriņa attiecība pret siltumapgādes sistēmas aptvertās teritorijas lielumu;</w:t>
      </w:r>
    </w:p>
    <w:p w:rsidR="009F3329" w:rsidRDefault="009F3329" w:rsidP="009F3329">
      <w:pPr>
        <w:ind w:left="993" w:hanging="273"/>
        <w:jc w:val="both"/>
        <w:rPr>
          <w:rFonts w:eastAsia="Times New Roman" w:cs="Times New Roman"/>
          <w:szCs w:val="28"/>
        </w:rPr>
      </w:pPr>
      <w:r w:rsidRPr="002967B2">
        <w:rPr>
          <w:rFonts w:eastAsia="Times New Roman" w:cs="Times New Roman"/>
          <w:szCs w:val="28"/>
        </w:rPr>
        <w:t>•</w:t>
      </w:r>
      <w:r w:rsidRPr="002967B2">
        <w:rPr>
          <w:rFonts w:eastAsia="Times New Roman" w:cs="Times New Roman"/>
          <w:szCs w:val="28"/>
        </w:rPr>
        <w:tab/>
        <w:t>centralizētās siltumapgādes sistēmas jaudas atbilstība pieprasītajai slodzei.</w:t>
      </w:r>
    </w:p>
    <w:p w:rsidR="00972222" w:rsidRDefault="00972222" w:rsidP="00972222">
      <w:pPr>
        <w:shd w:val="clear" w:color="auto" w:fill="FFFFFF"/>
        <w:spacing w:after="120"/>
        <w:jc w:val="center"/>
        <w:rPr>
          <w:rFonts w:cs="Times New Roman"/>
          <w:color w:val="000000"/>
          <w:sz w:val="20"/>
          <w:szCs w:val="20"/>
        </w:rPr>
      </w:pPr>
      <w:r>
        <w:rPr>
          <w:noProof/>
          <w:lang w:eastAsia="lv-LV"/>
        </w:rPr>
        <w:lastRenderedPageBreak/>
        <w:drawing>
          <wp:inline distT="0" distB="0" distL="0" distR="0" wp14:anchorId="43BCB00C" wp14:editId="38BA87F6">
            <wp:extent cx="5760085" cy="2717228"/>
            <wp:effectExtent l="0" t="0" r="12065" b="260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325A4" w:rsidRPr="00C84DD3" w:rsidRDefault="002325A4" w:rsidP="009F3329">
      <w:pPr>
        <w:shd w:val="clear" w:color="auto" w:fill="FFFFFF"/>
        <w:spacing w:after="120"/>
        <w:rPr>
          <w:rFonts w:cs="Times New Roman"/>
          <w:sz w:val="20"/>
          <w:szCs w:val="20"/>
        </w:rPr>
      </w:pPr>
      <w:r w:rsidRPr="00C84DD3">
        <w:rPr>
          <w:rFonts w:cs="Times New Roman"/>
          <w:color w:val="000000"/>
          <w:sz w:val="20"/>
          <w:szCs w:val="20"/>
        </w:rPr>
        <w:t>Avots: Latvijas Siltumuzņēmumu asociācija.</w:t>
      </w:r>
    </w:p>
    <w:p w:rsidR="002325A4" w:rsidRPr="002325A4" w:rsidRDefault="002325A4" w:rsidP="002325A4">
      <w:pPr>
        <w:rPr>
          <w:b/>
          <w:i/>
          <w:color w:val="000000"/>
          <w:sz w:val="24"/>
        </w:rPr>
      </w:pPr>
      <w:r w:rsidRPr="002325A4">
        <w:rPr>
          <w:b/>
          <w:color w:val="000000"/>
          <w:sz w:val="24"/>
        </w:rPr>
        <w:t>22.attēls. Siltumenerģijas tarifi 2014.gada martā, EUR/MWh</w:t>
      </w:r>
      <w:r w:rsidR="00972222">
        <w:rPr>
          <w:b/>
          <w:color w:val="000000"/>
          <w:sz w:val="24"/>
        </w:rPr>
        <w:t>.</w:t>
      </w:r>
    </w:p>
    <w:p w:rsidR="002325A4" w:rsidRPr="002967B2" w:rsidRDefault="002325A4" w:rsidP="00732A1A">
      <w:pPr>
        <w:ind w:left="993" w:hanging="273"/>
        <w:jc w:val="both"/>
        <w:rPr>
          <w:rFonts w:eastAsia="Times New Roman" w:cs="Times New Roman"/>
          <w:szCs w:val="28"/>
        </w:rPr>
      </w:pPr>
    </w:p>
    <w:p w:rsidR="002325A4" w:rsidRPr="002325A4" w:rsidRDefault="002325A4" w:rsidP="002325A4">
      <w:pPr>
        <w:ind w:firstLine="720"/>
        <w:jc w:val="both"/>
      </w:pPr>
      <w:r w:rsidRPr="002967B2">
        <w:rPr>
          <w:rFonts w:eastAsia="Times New Roman" w:cs="Times New Roman"/>
          <w:szCs w:val="28"/>
        </w:rPr>
        <w:t>Pastāv tendence, ka</w:t>
      </w:r>
      <w:r w:rsidRPr="002325A4">
        <w:t xml:space="preserve"> atšķirības starp siltumenerģijas augstākajiem un zemākajiem tarifiem pakāpeniski mazinās. Zemākie tarifi vairumā gadījumu </w:t>
      </w:r>
      <w:r w:rsidRPr="002967B2">
        <w:rPr>
          <w:rFonts w:eastAsia="Times New Roman" w:cs="Times New Roman"/>
          <w:szCs w:val="28"/>
        </w:rPr>
        <w:t xml:space="preserve">nākotnē </w:t>
      </w:r>
      <w:r w:rsidRPr="002325A4">
        <w:t>tiks paaugstināti, jo tie nesedz siltumenerģijas ražošanas un piegādes izmaksas, savukārt, augstākie tarifi tiks samazināti, jo notiek nozīmīgi pilsētu siltumapgādes sistēmu optimizācijas pasākumi. 2013.gada 1.jūlijā stājās spēkā</w:t>
      </w:r>
      <w:r w:rsidRPr="002967B2">
        <w:rPr>
          <w:rFonts w:eastAsia="Times New Roman" w:cs="Times New Roman"/>
          <w:szCs w:val="28"/>
        </w:rPr>
        <w:t xml:space="preserve"> </w:t>
      </w:r>
      <w:r w:rsidRPr="002325A4">
        <w:t xml:space="preserve"> jaunie AS „Rīgas siltums” siltumenerģijas apgādes pakalpojumu tarifi, kas pieļautu samazinājumu robežās no 2,2% līdz 4,2% atkarībā no dabasgāzes tirdzniecības cenas. </w:t>
      </w:r>
    </w:p>
    <w:p w:rsidR="002325A4" w:rsidRPr="002967B2" w:rsidRDefault="002325A4" w:rsidP="002325A4">
      <w:pPr>
        <w:ind w:firstLine="720"/>
        <w:jc w:val="both"/>
        <w:rPr>
          <w:rFonts w:eastAsia="Times New Roman" w:cs="Times New Roman"/>
          <w:szCs w:val="28"/>
        </w:rPr>
      </w:pPr>
      <w:r w:rsidRPr="002967B2">
        <w:rPr>
          <w:rFonts w:eastAsia="Times New Roman" w:cs="Times New Roman"/>
          <w:szCs w:val="28"/>
        </w:rPr>
        <w:t xml:space="preserve">Pēdējos gados veiktie energoefektivitātes pasākumi ļāvuši siltumenerģijas zudumus tīklos samazināt, piemēram, Rīgā līdz 13%. Straujāku energoefektivitātes paaugstināšanas pasākumu īstenošanu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pārtēriņu un nespēj nodrošināt siltuma apgādi nepieciešamā kvalitātē. Veicot kompleksu sistēmas atjaunošanu, iespējams optimizēt enerģijas ražošanas procesu un samazināt siltumenerģijas zudumus pārvades sistēmās. </w:t>
      </w:r>
    </w:p>
    <w:p w:rsidR="002325A4" w:rsidRPr="002967B2" w:rsidRDefault="002325A4" w:rsidP="002325A4">
      <w:pPr>
        <w:ind w:firstLine="720"/>
        <w:jc w:val="both"/>
        <w:rPr>
          <w:rFonts w:eastAsia="Times New Roman" w:cs="Times New Roman"/>
          <w:szCs w:val="28"/>
        </w:rPr>
      </w:pPr>
      <w:r w:rsidRPr="002967B2">
        <w:rPr>
          <w:rFonts w:eastAsia="Times New Roman" w:cs="Times New Roman"/>
          <w:szCs w:val="28"/>
        </w:rPr>
        <w:t>AER izmantojošu katlumāju jaudas pieaugums laika posmā no 2007.-2013.gadam tika sekmēts, novirzot ne tikai ES budžeta finanšu līdzekļus, bet arī  Klimata pārmaiņu finanšu instrumenta finanšu līdzekļus. Piemēram, 2012.gadā AER īpatsvars centralizētajā siltumapgādē bija 18,8% un ir ar tendenci lēnām, bet konstanti pieaugt. Līdz ar to arī nākošajā plānošanas periodā paredzēts turpināt ieguldīt ES struktūrfondu atbalstu fosilos energoresursus izmantojošo siltumavotu nomaiņai pret AER izmantojošiem siltumavotiem.</w:t>
      </w:r>
    </w:p>
    <w:p w:rsidR="002325A4" w:rsidRPr="002967B2" w:rsidRDefault="002325A4" w:rsidP="002325A4">
      <w:pPr>
        <w:ind w:firstLine="720"/>
        <w:jc w:val="both"/>
        <w:rPr>
          <w:rFonts w:eastAsia="Times New Roman" w:cs="Times New Roman"/>
          <w:szCs w:val="28"/>
        </w:rPr>
      </w:pPr>
      <w:r w:rsidRPr="002967B2">
        <w:rPr>
          <w:rFonts w:eastAsia="Times New Roman" w:cs="Times New Roman"/>
          <w:szCs w:val="28"/>
        </w:rPr>
        <w:lastRenderedPageBreak/>
        <w:t xml:space="preserve">Energoefektivitātes direktīva nosaka, ka līdz 2015.gada beigām katrai no ES dalībvalstij ir jāveic augstas efektivitātes koģenerācijas un centralizētās siltumapgādes izvērtējums, lai nodrošinātu  rūpniecībā un elektroenerģijas ražošanā radītā pārpalikušā siltuma lietderīgu izmantošanu. Izvērtējuma mērķis ir nodrošināt, lai nākotnē visu līmeņu politikas veidotāji un lēmumu pieņēmēji apzinātu un ņemtu vērā katras nacionālās valsts potenciāla esamību vai neesamību, nodrošinot centralizētās siltumapgādes sistēmu efektīvu izmantošanu un attīstību. Latvijai šis novērtējums dos iespēju ne tikai novērtēt centralizētās siltumapgādes potenciālu, bet ļaus arī sakārtot koģenerācijas jomu, nodrošinot ilgtspējīgu un uz tirgus balstītas </w:t>
      </w:r>
      <w:r w:rsidR="00A52FAD">
        <w:rPr>
          <w:rFonts w:eastAsia="Times New Roman" w:cs="Times New Roman"/>
          <w:szCs w:val="28"/>
        </w:rPr>
        <w:t xml:space="preserve">siltumapgādes </w:t>
      </w:r>
      <w:r w:rsidRPr="002967B2">
        <w:rPr>
          <w:rFonts w:eastAsia="Times New Roman" w:cs="Times New Roman"/>
          <w:szCs w:val="28"/>
        </w:rPr>
        <w:t xml:space="preserve">sistēmas attīstību.    </w:t>
      </w:r>
    </w:p>
    <w:p w:rsidR="00FA1217" w:rsidRDefault="002325A4" w:rsidP="00972222">
      <w:pPr>
        <w:ind w:firstLine="720"/>
        <w:jc w:val="both"/>
        <w:rPr>
          <w:rFonts w:cs="Times New Roman"/>
          <w:szCs w:val="28"/>
        </w:rPr>
      </w:pPr>
      <w:r w:rsidRPr="002967B2">
        <w:rPr>
          <w:rFonts w:eastAsia="Times New Roman" w:cs="Times New Roman"/>
          <w:szCs w:val="28"/>
        </w:rPr>
        <w:t xml:space="preserve">Kā nākošais solis pēc koģenerācijas un centralizētās siltumapgādes sistēmas izvērtējuma sekos esošās </w:t>
      </w:r>
      <w:r w:rsidR="00A52FAD">
        <w:rPr>
          <w:rFonts w:eastAsia="Times New Roman" w:cs="Times New Roman"/>
          <w:szCs w:val="28"/>
        </w:rPr>
        <w:t xml:space="preserve">uz siltumapgādes jomu regulējošās normatīvās bāzes </w:t>
      </w:r>
      <w:r w:rsidRPr="002967B2">
        <w:rPr>
          <w:rFonts w:eastAsia="Times New Roman" w:cs="Times New Roman"/>
          <w:szCs w:val="28"/>
        </w:rPr>
        <w:t xml:space="preserve">pārskatīšana un sakārtošana attiecībā uz siltumapgādes jomu, lai nodrošinātu vienotu tiesisko ietvaru jomas sakārtošanai un attīstībai, novēršot esošās tiesiskās neskaidrības attiecībā uz iespējām izvēlēties izdevīgāko siltumapgādes veidu. Šī problēma pēdējos </w:t>
      </w:r>
      <w:r w:rsidR="00A52FAD">
        <w:rPr>
          <w:rFonts w:eastAsia="Times New Roman" w:cs="Times New Roman"/>
          <w:szCs w:val="28"/>
        </w:rPr>
        <w:t>gados</w:t>
      </w:r>
      <w:r w:rsidR="00A52FAD" w:rsidRPr="002967B2">
        <w:rPr>
          <w:rFonts w:eastAsia="Times New Roman" w:cs="Times New Roman"/>
          <w:szCs w:val="28"/>
        </w:rPr>
        <w:t xml:space="preserve"> </w:t>
      </w:r>
      <w:r w:rsidRPr="002967B2">
        <w:rPr>
          <w:rFonts w:eastAsia="Times New Roman" w:cs="Times New Roman"/>
          <w:szCs w:val="28"/>
        </w:rPr>
        <w:t>ir radījusi situācijas, kad, atslēdzoties daudzdzīvokļu ēkām no centralizētās siltumapgādes, ne tikai pieaug siltuma tarifi pārējiem gala lietotājiem, bet arī rada draudus attiecīgās centralizētās siltumapgādes sistēmas eksistencei vai tālākai attīstības perspektīvai.</w:t>
      </w:r>
      <w:r w:rsidRPr="00C84DD3">
        <w:rPr>
          <w:rFonts w:cs="Times New Roman"/>
          <w:szCs w:val="28"/>
        </w:rPr>
        <w:t xml:space="preserve"> </w:t>
      </w:r>
    </w:p>
    <w:p w:rsidR="00FA1217" w:rsidRPr="00FA1217" w:rsidRDefault="00612260" w:rsidP="00547FD4">
      <w:pPr>
        <w:pStyle w:val="Heading2"/>
        <w:ind w:firstLine="720"/>
        <w:rPr>
          <w:rFonts w:cs="Times New Roman"/>
          <w:szCs w:val="28"/>
          <w:lang w:eastAsia="lv-LV"/>
        </w:rPr>
      </w:pPr>
      <w:bookmarkStart w:id="21" w:name="_Toc401644323"/>
      <w:r w:rsidRPr="00FA1217">
        <w:rPr>
          <w:rFonts w:eastAsia="Times New Roman"/>
          <w:lang w:eastAsia="lv-LV"/>
        </w:rPr>
        <w:t>3.</w:t>
      </w:r>
      <w:r w:rsidR="00054AA1" w:rsidRPr="00FA1217">
        <w:rPr>
          <w:rFonts w:eastAsia="Times New Roman"/>
          <w:lang w:eastAsia="lv-LV"/>
        </w:rPr>
        <w:t>5</w:t>
      </w:r>
      <w:r w:rsidRPr="00FA1217">
        <w:rPr>
          <w:rFonts w:eastAsia="Times New Roman"/>
          <w:lang w:eastAsia="lv-LV"/>
        </w:rPr>
        <w:t xml:space="preserve">. </w:t>
      </w:r>
      <w:r w:rsidR="00651645" w:rsidRPr="00FA1217">
        <w:rPr>
          <w:rFonts w:eastAsia="Times New Roman"/>
          <w:lang w:eastAsia="lv-LV"/>
        </w:rPr>
        <w:t>Atjaunojamie energoresursi</w:t>
      </w:r>
      <w:bookmarkEnd w:id="21"/>
      <w:r w:rsidR="00651645" w:rsidRPr="00FA1217">
        <w:rPr>
          <w:rFonts w:eastAsia="Times New Roman"/>
          <w:lang w:eastAsia="lv-LV"/>
        </w:rPr>
        <w:t xml:space="preserve">  </w:t>
      </w:r>
    </w:p>
    <w:p w:rsidR="00FA1217" w:rsidRDefault="00732A1A" w:rsidP="000C3504">
      <w:pPr>
        <w:ind w:firstLine="720"/>
        <w:jc w:val="both"/>
        <w:rPr>
          <w:rFonts w:cs="Times New Roman"/>
          <w:szCs w:val="28"/>
          <w:lang w:eastAsia="lv-LV"/>
        </w:rPr>
      </w:pPr>
      <w:r w:rsidRPr="00E3577B">
        <w:rPr>
          <w:rFonts w:cs="Times New Roman"/>
          <w:szCs w:val="28"/>
          <w:lang w:eastAsia="lv-LV"/>
        </w:rPr>
        <w:t xml:space="preserve">ES atjaunojamo energoresursu (AER) veicināšanas politikas svarīgākais instruments ir AER direktīva. Tā nosaka nacionālos atjaunojamās enerģijas īpatsvara enerģijas patēriņā mērķus 2020.gadam, uzliek par pienākumu valstīm sagatavot nacionālos rīcības plānus. </w:t>
      </w:r>
      <w:r w:rsidR="005F32EF" w:rsidRPr="00E3577B">
        <w:rPr>
          <w:rFonts w:cs="Times New Roman"/>
          <w:szCs w:val="28"/>
          <w:lang w:eastAsia="lv-LV"/>
        </w:rPr>
        <w:t xml:space="preserve">Direktīva nosaka, ka nacionālajā līmenī </w:t>
      </w:r>
      <w:r w:rsidR="005F32EF">
        <w:rPr>
          <w:rFonts w:cs="Times New Roman"/>
          <w:szCs w:val="28"/>
          <w:lang w:eastAsia="lv-LV"/>
        </w:rPr>
        <w:t xml:space="preserve">valstis </w:t>
      </w:r>
      <w:r w:rsidR="005F32EF" w:rsidRPr="00E3577B">
        <w:rPr>
          <w:rFonts w:cs="Times New Roman"/>
          <w:szCs w:val="28"/>
          <w:lang w:eastAsia="lv-LV"/>
        </w:rPr>
        <w:t xml:space="preserve">šīs politikas īstenošanai </w:t>
      </w:r>
      <w:r w:rsidR="005F32EF" w:rsidRPr="00B73690">
        <w:rPr>
          <w:rFonts w:cs="Times New Roman"/>
          <w:szCs w:val="28"/>
          <w:lang w:eastAsia="lv-LV"/>
        </w:rPr>
        <w:t xml:space="preserve">var izstrādāt </w:t>
      </w:r>
      <w:r w:rsidR="005F32EF" w:rsidRPr="00E3577B">
        <w:rPr>
          <w:rFonts w:cs="Times New Roman"/>
          <w:szCs w:val="28"/>
          <w:lang w:eastAsia="lv-LV"/>
        </w:rPr>
        <w:t>dažād</w:t>
      </w:r>
      <w:r w:rsidR="005F32EF">
        <w:rPr>
          <w:rFonts w:cs="Times New Roman"/>
          <w:szCs w:val="28"/>
          <w:lang w:eastAsia="lv-LV"/>
        </w:rPr>
        <w:t>us nacionāla līmeņa</w:t>
      </w:r>
      <w:r w:rsidR="005F32EF" w:rsidRPr="00E3577B">
        <w:rPr>
          <w:rFonts w:cs="Times New Roman"/>
          <w:szCs w:val="28"/>
          <w:lang w:eastAsia="lv-LV"/>
        </w:rPr>
        <w:t xml:space="preserve"> valsts atbalsta </w:t>
      </w:r>
      <w:r w:rsidR="005F32EF">
        <w:rPr>
          <w:rFonts w:cs="Times New Roman"/>
          <w:szCs w:val="28"/>
          <w:lang w:eastAsia="lv-LV"/>
        </w:rPr>
        <w:t>pasākumus, gan veidot sadarbības mehānismsus ar citām ES dalībvalstīm, kā arī nosaka ilgstpējības kritērijus biodegvielām un bioloģiski šķidrajiem kurināmajiem.</w:t>
      </w:r>
      <w:r w:rsidR="005F32EF" w:rsidRPr="00E3577B">
        <w:rPr>
          <w:rFonts w:cs="Times New Roman"/>
          <w:szCs w:val="28"/>
          <w:lang w:eastAsia="lv-LV"/>
        </w:rPr>
        <w:t xml:space="preserve"> Tomēr </w:t>
      </w:r>
      <w:r w:rsidR="005F32EF">
        <w:rPr>
          <w:rFonts w:cs="Times New Roman"/>
          <w:szCs w:val="28"/>
          <w:lang w:eastAsia="lv-LV"/>
        </w:rPr>
        <w:t xml:space="preserve">ES valstu centieni, izveidojot valsts atbalsta mehānismus AER Direktīvā noteikto mērķu izpildei, </w:t>
      </w:r>
      <w:r w:rsidR="005F32EF" w:rsidRPr="00E3577B">
        <w:rPr>
          <w:rFonts w:cs="Times New Roman"/>
          <w:szCs w:val="28"/>
          <w:lang w:eastAsia="lv-LV"/>
        </w:rPr>
        <w:t xml:space="preserve">ir parādījusi nepieciešamību </w:t>
      </w:r>
      <w:r w:rsidR="005F32EF">
        <w:rPr>
          <w:rFonts w:cs="Times New Roman"/>
          <w:szCs w:val="28"/>
          <w:lang w:eastAsia="lv-LV"/>
        </w:rPr>
        <w:t xml:space="preserve">pievērst pastiprinātu uzmanību </w:t>
      </w:r>
      <w:r w:rsidR="005F32EF" w:rsidRPr="00E3577B">
        <w:rPr>
          <w:rFonts w:cs="Times New Roman"/>
          <w:szCs w:val="28"/>
          <w:lang w:eastAsia="lv-LV"/>
        </w:rPr>
        <w:t>izmaksu efektivitāt</w:t>
      </w:r>
      <w:r w:rsidR="005F32EF">
        <w:rPr>
          <w:rFonts w:cs="Times New Roman"/>
          <w:szCs w:val="28"/>
          <w:lang w:eastAsia="lv-LV"/>
        </w:rPr>
        <w:t>ei</w:t>
      </w:r>
      <w:r w:rsidR="005F32EF" w:rsidRPr="00E3577B">
        <w:rPr>
          <w:rFonts w:cs="Times New Roman"/>
          <w:szCs w:val="28"/>
          <w:lang w:eastAsia="lv-LV"/>
        </w:rPr>
        <w:t xml:space="preserve">, līdz ar </w:t>
      </w:r>
      <w:r w:rsidR="005F32EF">
        <w:rPr>
          <w:rFonts w:cs="Times New Roman"/>
          <w:szCs w:val="28"/>
          <w:lang w:eastAsia="lv-LV"/>
        </w:rPr>
        <w:t>ko</w:t>
      </w:r>
      <w:r w:rsidR="005F32EF" w:rsidRPr="00E3577B">
        <w:rPr>
          <w:rFonts w:cs="Times New Roman"/>
          <w:szCs w:val="28"/>
          <w:lang w:eastAsia="lv-LV"/>
        </w:rPr>
        <w:t xml:space="preserve"> Eiropas Komisija kā atbildi uz šo jautājumu Vadlīnijās par valsts atbalstu vides aizsardzībai un enerģētikai  ir noteikusi, ka ES dalībvalstīm ir jāpāriet no </w:t>
      </w:r>
      <w:r w:rsidR="005F32EF">
        <w:rPr>
          <w:rFonts w:cs="Times New Roman"/>
          <w:szCs w:val="28"/>
          <w:lang w:eastAsia="lv-LV"/>
        </w:rPr>
        <w:t>„feed-in” tarifiem</w:t>
      </w:r>
      <w:r w:rsidR="005F32EF" w:rsidRPr="00E3577B">
        <w:rPr>
          <w:rFonts w:cs="Times New Roman"/>
          <w:szCs w:val="28"/>
          <w:lang w:eastAsia="lv-LV"/>
        </w:rPr>
        <w:t xml:space="preserve"> uz </w:t>
      </w:r>
      <w:r w:rsidR="005F32EF">
        <w:rPr>
          <w:rFonts w:cs="Times New Roman"/>
          <w:szCs w:val="28"/>
          <w:lang w:eastAsia="lv-LV"/>
        </w:rPr>
        <w:t>„feed-in premium”</w:t>
      </w:r>
      <w:r w:rsidR="005F32EF" w:rsidRPr="00E3577B">
        <w:rPr>
          <w:rFonts w:cs="Times New Roman"/>
          <w:szCs w:val="28"/>
          <w:lang w:eastAsia="lv-LV"/>
        </w:rPr>
        <w:t xml:space="preserve"> mehānismiem</w:t>
      </w:r>
      <w:r w:rsidR="005F32EF">
        <w:rPr>
          <w:rFonts w:cs="Times New Roman"/>
          <w:szCs w:val="28"/>
          <w:lang w:eastAsia="lv-LV"/>
        </w:rPr>
        <w:t>. T</w:t>
      </w:r>
      <w:r w:rsidR="005F32EF" w:rsidRPr="00E3577B">
        <w:rPr>
          <w:rFonts w:cs="Times New Roman"/>
          <w:szCs w:val="28"/>
          <w:lang w:eastAsia="lv-LV"/>
        </w:rPr>
        <w:t>as ir, jārada tādi valsts atbalsta mehānismi, kur</w:t>
      </w:r>
      <w:r w:rsidR="005F32EF">
        <w:rPr>
          <w:rFonts w:cs="Times New Roman"/>
          <w:szCs w:val="28"/>
          <w:lang w:eastAsia="lv-LV"/>
        </w:rPr>
        <w:t>u</w:t>
      </w:r>
      <w:r w:rsidR="005F32EF" w:rsidRPr="00E3577B">
        <w:rPr>
          <w:rFonts w:cs="Times New Roman"/>
          <w:szCs w:val="28"/>
          <w:lang w:eastAsia="lv-LV"/>
        </w:rPr>
        <w:t xml:space="preserve"> pamatā </w:t>
      </w:r>
      <w:r w:rsidR="005F32EF">
        <w:rPr>
          <w:rFonts w:cs="Times New Roman"/>
          <w:szCs w:val="28"/>
          <w:lang w:eastAsia="lv-LV"/>
        </w:rPr>
        <w:t>ir</w:t>
      </w:r>
      <w:r w:rsidR="005F32EF" w:rsidRPr="00E3577B">
        <w:rPr>
          <w:rFonts w:cs="Times New Roman"/>
          <w:szCs w:val="28"/>
          <w:lang w:eastAsia="lv-LV"/>
        </w:rPr>
        <w:t xml:space="preserve"> uz tirgus balstīti principi.</w:t>
      </w:r>
      <w:r w:rsidR="005F32EF">
        <w:rPr>
          <w:rFonts w:cs="Times New Roman"/>
          <w:szCs w:val="28"/>
          <w:lang w:eastAsia="lv-LV"/>
        </w:rPr>
        <w:t xml:space="preserve"> </w:t>
      </w:r>
      <w:r w:rsidR="005F32EF" w:rsidRPr="00E3577B">
        <w:rPr>
          <w:rFonts w:cs="Times New Roman"/>
          <w:szCs w:val="28"/>
          <w:lang w:eastAsia="lv-LV"/>
        </w:rPr>
        <w:t>ES līmenī šobrīd tiek diskutēts par veidiem, kā šī sektora darbību pārveidot uz tirgus darbības principiem.</w:t>
      </w:r>
    </w:p>
    <w:p w:rsidR="00732A1A" w:rsidRDefault="00651645" w:rsidP="000C3504">
      <w:pPr>
        <w:ind w:firstLine="720"/>
        <w:jc w:val="both"/>
        <w:rPr>
          <w:rFonts w:cs="Times New Roman"/>
          <w:szCs w:val="28"/>
          <w:lang w:eastAsia="lv-LV"/>
        </w:rPr>
      </w:pPr>
      <w:r w:rsidRPr="001D323C">
        <w:rPr>
          <w:rFonts w:cs="Times New Roman"/>
          <w:szCs w:val="28"/>
          <w:lang w:eastAsia="lv-LV"/>
        </w:rPr>
        <w:lastRenderedPageBreak/>
        <w:t>Faktiskais AER īpatsvars kopējā primāro energoresursu patēriņā laika periodā no 1990.</w:t>
      </w:r>
      <w:r w:rsidR="000831BB">
        <w:rPr>
          <w:rFonts w:cs="Times New Roman"/>
          <w:szCs w:val="28"/>
          <w:lang w:eastAsia="lv-LV"/>
        </w:rPr>
        <w:t>gada</w:t>
      </w:r>
      <w:r w:rsidRPr="001D323C">
        <w:rPr>
          <w:rFonts w:cs="Times New Roman"/>
          <w:szCs w:val="28"/>
          <w:lang w:eastAsia="lv-LV"/>
        </w:rPr>
        <w:t xml:space="preserve"> līdz 2012. gadam atspoguļots </w:t>
      </w:r>
      <w:r w:rsidR="00732A1A" w:rsidRPr="001D323C">
        <w:rPr>
          <w:rFonts w:cs="Times New Roman"/>
          <w:szCs w:val="28"/>
          <w:lang w:eastAsia="lv-LV"/>
        </w:rPr>
        <w:t>2</w:t>
      </w:r>
      <w:r w:rsidR="00732A1A">
        <w:rPr>
          <w:rFonts w:cs="Times New Roman"/>
          <w:szCs w:val="28"/>
          <w:lang w:eastAsia="lv-LV"/>
        </w:rPr>
        <w:t>3</w:t>
      </w:r>
      <w:r w:rsidRPr="001D323C">
        <w:rPr>
          <w:rFonts w:cs="Times New Roman"/>
          <w:szCs w:val="28"/>
          <w:lang w:eastAsia="lv-LV"/>
        </w:rPr>
        <w:t>.attēlā.</w:t>
      </w:r>
      <w:r>
        <w:rPr>
          <w:rFonts w:cs="Times New Roman"/>
          <w:szCs w:val="28"/>
          <w:lang w:eastAsia="lv-LV"/>
        </w:rPr>
        <w:t xml:space="preserve"> Kopējā tendence ir ar lēnu, bet pieaugošu īpatsvara palielināšanos primārajā energoresursu patēriņā.</w:t>
      </w:r>
    </w:p>
    <w:p w:rsidR="003E1851" w:rsidRDefault="003E1851" w:rsidP="000C3504">
      <w:pPr>
        <w:ind w:firstLine="720"/>
        <w:jc w:val="both"/>
        <w:rPr>
          <w:rFonts w:cs="Times New Roman"/>
          <w:szCs w:val="28"/>
          <w:lang w:eastAsia="lv-LV"/>
        </w:rPr>
      </w:pPr>
    </w:p>
    <w:p w:rsidR="00651645" w:rsidRPr="001D323C" w:rsidRDefault="00732A1A" w:rsidP="00662D11">
      <w:pPr>
        <w:keepNext/>
        <w:jc w:val="center"/>
        <w:rPr>
          <w:rFonts w:eastAsia="Times New Roman" w:cs="Times New Roman"/>
          <w:b/>
          <w:szCs w:val="28"/>
        </w:rPr>
      </w:pPr>
      <w:r w:rsidRPr="001D323C">
        <w:rPr>
          <w:noProof/>
          <w:lang w:eastAsia="lv-LV"/>
        </w:rPr>
        <w:drawing>
          <wp:inline distT="0" distB="0" distL="0" distR="0" wp14:anchorId="66FECCC5" wp14:editId="58028AB1">
            <wp:extent cx="5229225" cy="284797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1645" w:rsidRPr="001D323C" w:rsidRDefault="00651645" w:rsidP="00651645">
      <w:pPr>
        <w:ind w:left="426"/>
        <w:jc w:val="both"/>
        <w:rPr>
          <w:rFonts w:eastAsia="Times New Roman" w:cs="Times New Roman"/>
          <w:sz w:val="24"/>
          <w:szCs w:val="28"/>
          <w:lang w:eastAsia="lv-LV"/>
        </w:rPr>
      </w:pPr>
      <w:r w:rsidRPr="001D323C">
        <w:rPr>
          <w:rFonts w:eastAsia="Times New Roman" w:cs="Times New Roman"/>
          <w:sz w:val="20"/>
          <w:szCs w:val="28"/>
          <w:lang w:eastAsia="lv-LV"/>
        </w:rPr>
        <w:t>Avots:  CSP</w:t>
      </w:r>
      <w:r w:rsidRPr="001D323C">
        <w:rPr>
          <w:rFonts w:eastAsia="Times New Roman" w:cs="Times New Roman"/>
          <w:sz w:val="24"/>
          <w:szCs w:val="28"/>
          <w:lang w:eastAsia="lv-LV"/>
        </w:rPr>
        <w:t xml:space="preserve"> </w:t>
      </w:r>
    </w:p>
    <w:p w:rsidR="00651645" w:rsidRPr="00732A1A" w:rsidRDefault="00732A1A" w:rsidP="00732A1A">
      <w:pPr>
        <w:rPr>
          <w:rFonts w:eastAsia="Times New Roman" w:cs="Times New Roman"/>
          <w:b/>
          <w:sz w:val="24"/>
          <w:szCs w:val="24"/>
          <w:lang w:eastAsia="lv-LV"/>
        </w:rPr>
      </w:pPr>
      <w:r w:rsidRPr="00732A1A">
        <w:rPr>
          <w:rFonts w:eastAsia="Times New Roman" w:cs="Times New Roman"/>
          <w:b/>
          <w:sz w:val="24"/>
          <w:szCs w:val="24"/>
          <w:lang w:eastAsia="lv-LV"/>
        </w:rPr>
        <w:t>23</w:t>
      </w:r>
      <w:r w:rsidR="00651645" w:rsidRPr="00732A1A">
        <w:rPr>
          <w:rFonts w:eastAsia="Times New Roman" w:cs="Times New Roman"/>
          <w:b/>
          <w:sz w:val="24"/>
          <w:szCs w:val="24"/>
          <w:lang w:eastAsia="lv-LV"/>
        </w:rPr>
        <w:t>.attēls. Faktiskais AER īpatsvars kopējā primāro energoresursu patēriņā</w:t>
      </w:r>
      <w:r w:rsidR="00972222">
        <w:rPr>
          <w:rFonts w:eastAsia="Times New Roman" w:cs="Times New Roman"/>
          <w:b/>
          <w:sz w:val="24"/>
          <w:szCs w:val="24"/>
          <w:lang w:eastAsia="lv-LV"/>
        </w:rPr>
        <w:t>.</w:t>
      </w:r>
    </w:p>
    <w:p w:rsidR="00651645" w:rsidRPr="001D323C" w:rsidRDefault="00651645" w:rsidP="00651645">
      <w:pPr>
        <w:ind w:left="426"/>
        <w:rPr>
          <w:rFonts w:eastAsia="Times New Roman" w:cs="Times New Roman"/>
          <w:sz w:val="20"/>
          <w:szCs w:val="28"/>
          <w:lang w:eastAsia="lv-LV"/>
        </w:rPr>
      </w:pPr>
      <w:r w:rsidRPr="001D323C">
        <w:rPr>
          <w:rFonts w:eastAsia="Times New Roman" w:cs="Times New Roman"/>
          <w:sz w:val="20"/>
          <w:szCs w:val="28"/>
          <w:lang w:eastAsia="lv-LV"/>
        </w:rPr>
        <w:t>.</w:t>
      </w:r>
    </w:p>
    <w:p w:rsidR="00651645" w:rsidRPr="001D323C" w:rsidRDefault="00651645" w:rsidP="00651645">
      <w:pPr>
        <w:ind w:firstLine="360"/>
        <w:jc w:val="both"/>
      </w:pPr>
      <w:r w:rsidRPr="001D323C">
        <w:t xml:space="preserve">Sasniegtais AER īpatsvars enerģijas bruto galapatēriņā 2011.–2012.gadā bija 34,7% (2011.gadā – 33,55% un 2012.gadā – 35,78%). </w:t>
      </w:r>
    </w:p>
    <w:p w:rsidR="00651645" w:rsidRPr="001D323C" w:rsidRDefault="00651645" w:rsidP="00651645">
      <w:pPr>
        <w:jc w:val="center"/>
      </w:pPr>
      <w:r w:rsidRPr="001D323C">
        <w:rPr>
          <w:noProof/>
          <w:lang w:eastAsia="lv-LV"/>
        </w:rPr>
        <w:drawing>
          <wp:inline distT="0" distB="0" distL="0" distR="0" wp14:anchorId="748F7C11" wp14:editId="3F979B3A">
            <wp:extent cx="3638550" cy="36025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9127" cy="3603097"/>
                    </a:xfrm>
                    <a:prstGeom prst="rect">
                      <a:avLst/>
                    </a:prstGeom>
                    <a:noFill/>
                    <a:ln>
                      <a:noFill/>
                    </a:ln>
                  </pic:spPr>
                </pic:pic>
              </a:graphicData>
            </a:graphic>
          </wp:inline>
        </w:drawing>
      </w:r>
    </w:p>
    <w:p w:rsidR="00651645" w:rsidRPr="001D323C" w:rsidRDefault="00651645" w:rsidP="00483702">
      <w:pPr>
        <w:ind w:left="426"/>
        <w:jc w:val="center"/>
        <w:rPr>
          <w:rFonts w:eastAsia="Times New Roman" w:cs="Times New Roman"/>
          <w:sz w:val="20"/>
          <w:szCs w:val="28"/>
          <w:lang w:eastAsia="lv-LV"/>
        </w:rPr>
      </w:pPr>
      <w:r w:rsidRPr="001D323C">
        <w:rPr>
          <w:rFonts w:eastAsia="Times New Roman" w:cs="Times New Roman"/>
          <w:sz w:val="20"/>
          <w:szCs w:val="28"/>
          <w:lang w:eastAsia="lv-LV"/>
        </w:rPr>
        <w:t>Avots: CSP</w:t>
      </w:r>
    </w:p>
    <w:p w:rsidR="00651645" w:rsidRPr="00732A1A" w:rsidRDefault="00732A1A" w:rsidP="00732A1A">
      <w:pPr>
        <w:rPr>
          <w:rFonts w:eastAsia="Times New Roman" w:cs="Times New Roman"/>
          <w:b/>
          <w:sz w:val="24"/>
          <w:szCs w:val="24"/>
          <w:lang w:eastAsia="lv-LV"/>
        </w:rPr>
      </w:pPr>
      <w:r w:rsidRPr="00732A1A">
        <w:rPr>
          <w:rFonts w:eastAsia="Times New Roman" w:cs="Times New Roman"/>
          <w:b/>
          <w:sz w:val="24"/>
          <w:szCs w:val="24"/>
          <w:lang w:eastAsia="lv-LV"/>
        </w:rPr>
        <w:t>24</w:t>
      </w:r>
      <w:r w:rsidR="00651645" w:rsidRPr="00732A1A">
        <w:rPr>
          <w:rFonts w:eastAsia="Times New Roman" w:cs="Times New Roman"/>
          <w:b/>
          <w:sz w:val="24"/>
          <w:szCs w:val="24"/>
          <w:lang w:eastAsia="lv-LV"/>
        </w:rPr>
        <w:t>.attēls. Enerģijas galapatēriņš 2011.gadā</w:t>
      </w:r>
    </w:p>
    <w:p w:rsidR="00651645" w:rsidRPr="001D323C" w:rsidRDefault="00651645" w:rsidP="00651645">
      <w:pPr>
        <w:ind w:firstLine="360"/>
        <w:jc w:val="both"/>
      </w:pPr>
      <w:r w:rsidRPr="001D323C">
        <w:lastRenderedPageBreak/>
        <w:t>Saskaņā ar CSP datiem AER izmantojošu elektrostaciju uzstādītā elektriskā jauda kopš 2008.gada pieauga par 127 MW, 2012.gadā sasniedzot 1701 MW, tostarp 1576 MW hidroelektrostacijas, 59 MW vēja elektrostacijas, 43 MW biogāzes elektrostacijas un 23 MW biomasas elektrostacijas. Joprojām lielāko daļu no Latvijas elektroenerģijas bruto galapatēriņa (39% 2012.gadā) nodrošina Daugavas kaskādē esošās lielās hidroelektrostacijas, kuru kopējā jauda ir 1536 MW.</w:t>
      </w:r>
      <w:r w:rsidR="005F32EF">
        <w:t xml:space="preserve"> Pieaugot saražotās elektroenerģijas jaudām, pieaug to saražotais apjoms, piemēram, 2012.gadā saražotais apjoms, izmantojot biomasu </w:t>
      </w:r>
      <w:r w:rsidR="005F32EF" w:rsidRPr="001D323C">
        <w:t>(t.sk., arī biogāzi), pieaug</w:t>
      </w:r>
      <w:r w:rsidR="005F32EF">
        <w:t>a</w:t>
      </w:r>
      <w:r w:rsidR="005F32EF" w:rsidRPr="001D323C">
        <w:t xml:space="preserve"> līdz 288,6 GWh</w:t>
      </w:r>
      <w:r w:rsidR="005F32EF">
        <w:t xml:space="preserve"> , mazajos HES – 80 GWh, vēju – 114 GWh.</w:t>
      </w:r>
    </w:p>
    <w:p w:rsidR="00651645" w:rsidRDefault="00651645" w:rsidP="00651645">
      <w:pPr>
        <w:ind w:firstLine="360"/>
        <w:jc w:val="both"/>
      </w:pPr>
      <w:r w:rsidRPr="001D323C">
        <w:t>AER izmantojošu avotu uzstādītā siltumenerģijas jauda šajā periodā pieauga par 292 MW, 2012.gadā sasniedzot 1356 MW, tostarp 355 MW koģenerācijas stacijās un 1001 MW katlumājās.</w:t>
      </w:r>
    </w:p>
    <w:p w:rsidR="000831BB" w:rsidRPr="001D323C" w:rsidRDefault="005F32EF" w:rsidP="00893494">
      <w:pPr>
        <w:ind w:firstLine="360"/>
        <w:jc w:val="both"/>
        <w:rPr>
          <w:rFonts w:asciiTheme="majorHAnsi" w:eastAsia="Times New Roman" w:hAnsiTheme="majorHAnsi"/>
          <w:b/>
          <w:color w:val="0070C0"/>
          <w:sz w:val="26"/>
          <w:szCs w:val="26"/>
        </w:rPr>
      </w:pPr>
      <w:r>
        <w:rPr>
          <w:rFonts w:eastAsia="Times New Roman"/>
          <w:szCs w:val="28"/>
        </w:rPr>
        <w:t>A</w:t>
      </w:r>
      <w:r w:rsidR="000831BB">
        <w:rPr>
          <w:rFonts w:eastAsia="Times New Roman"/>
          <w:szCs w:val="28"/>
        </w:rPr>
        <w:t>tsevišķu tehnoloģiju praktiskais potenciāls, lai ražotu elektroenerģiju, izmantojot AER, ir zemāks nekā teorētiskais</w:t>
      </w:r>
      <w:r>
        <w:rPr>
          <w:rFonts w:eastAsia="Times New Roman"/>
          <w:szCs w:val="28"/>
        </w:rPr>
        <w:t>, ko pierāda līdzšinējo atbalsta</w:t>
      </w:r>
      <w:r w:rsidRPr="00D33D96">
        <w:t xml:space="preserve"> </w:t>
      </w:r>
      <w:r w:rsidRPr="00D33D96">
        <w:rPr>
          <w:rFonts w:eastAsia="Times New Roman"/>
          <w:szCs w:val="28"/>
        </w:rPr>
        <w:t>mehānismu</w:t>
      </w:r>
      <w:r>
        <w:rPr>
          <w:rFonts w:eastAsia="Times New Roman"/>
          <w:szCs w:val="28"/>
        </w:rPr>
        <w:t xml:space="preserve"> īstenošanā gūtā pieredze. Piemēram, m</w:t>
      </w:r>
      <w:r w:rsidR="000831BB" w:rsidRPr="001D323C">
        <w:rPr>
          <w:rFonts w:eastAsia="Times New Roman"/>
          <w:szCs w:val="28"/>
        </w:rPr>
        <w:t>azo upju hidroenerģijas resurs</w:t>
      </w:r>
      <w:r w:rsidR="000831BB">
        <w:rPr>
          <w:rFonts w:eastAsia="Times New Roman"/>
          <w:szCs w:val="28"/>
        </w:rPr>
        <w:t>u praktiski izmantojamais potenciāls ir zemāks, jo noteikti ierobežojumi</w:t>
      </w:r>
      <w:r w:rsidR="000831BB" w:rsidRPr="001D323C">
        <w:rPr>
          <w:rFonts w:eastAsia="Times New Roman"/>
          <w:szCs w:val="28"/>
        </w:rPr>
        <w:t xml:space="preserve"> hidroenerģijas izmantošanai </w:t>
      </w:r>
      <w:r w:rsidR="000831BB">
        <w:rPr>
          <w:rFonts w:eastAsia="Times New Roman"/>
          <w:szCs w:val="28"/>
        </w:rPr>
        <w:t>saistībā ar</w:t>
      </w:r>
      <w:r w:rsidR="000831BB" w:rsidRPr="001D323C">
        <w:rPr>
          <w:rFonts w:eastAsia="Times New Roman"/>
          <w:szCs w:val="28"/>
        </w:rPr>
        <w:t xml:space="preserve"> dabas</w:t>
      </w:r>
      <w:r w:rsidR="000831BB">
        <w:rPr>
          <w:rFonts w:eastAsia="Times New Roman"/>
          <w:szCs w:val="28"/>
        </w:rPr>
        <w:t xml:space="preserve"> un ainavu aizsardzības prasībām un zivju sugu migrāciju, lai gan teorētiskais potenciāls</w:t>
      </w:r>
      <w:r w:rsidR="000831BB" w:rsidRPr="001D323C">
        <w:rPr>
          <w:rFonts w:eastAsia="Times New Roman"/>
          <w:szCs w:val="28"/>
        </w:rPr>
        <w:t xml:space="preserve"> tiek lēst</w:t>
      </w:r>
      <w:r w:rsidR="000831BB">
        <w:rPr>
          <w:rFonts w:eastAsia="Times New Roman"/>
          <w:szCs w:val="28"/>
        </w:rPr>
        <w:t>s</w:t>
      </w:r>
      <w:r w:rsidR="000831BB" w:rsidRPr="001D323C">
        <w:rPr>
          <w:rFonts w:eastAsia="Times New Roman"/>
          <w:szCs w:val="28"/>
        </w:rPr>
        <w:t xml:space="preserve"> robežās no 150 – 300 GWh</w:t>
      </w:r>
      <w:r w:rsidR="000831BB" w:rsidRPr="001D323C">
        <w:rPr>
          <w:rFonts w:eastAsia="Times New Roman"/>
          <w:color w:val="000000"/>
          <w:position w:val="6"/>
          <w:szCs w:val="28"/>
          <w:vertAlign w:val="superscript"/>
        </w:rPr>
        <w:footnoteReference w:id="13"/>
      </w:r>
      <w:r w:rsidR="000831BB" w:rsidRPr="001D323C">
        <w:rPr>
          <w:rFonts w:eastAsia="Times New Roman"/>
          <w:szCs w:val="28"/>
        </w:rPr>
        <w:t xml:space="preserve"> elektroenerģijas gadā. </w:t>
      </w:r>
    </w:p>
    <w:p w:rsidR="000831BB" w:rsidRPr="001D323C" w:rsidRDefault="000831BB" w:rsidP="000831BB">
      <w:pPr>
        <w:ind w:firstLine="720"/>
        <w:jc w:val="both"/>
        <w:rPr>
          <w:rFonts w:eastAsia="Times New Roman"/>
          <w:szCs w:val="28"/>
        </w:rPr>
      </w:pPr>
      <w:r w:rsidRPr="001D323C">
        <w:rPr>
          <w:rFonts w:eastAsia="Times New Roman"/>
          <w:color w:val="000000"/>
          <w:szCs w:val="28"/>
        </w:rPr>
        <w:t>Savukārt, v</w:t>
      </w:r>
      <w:r w:rsidRPr="001D323C">
        <w:rPr>
          <w:rFonts w:eastAsia="Times New Roman"/>
          <w:szCs w:val="28"/>
        </w:rPr>
        <w:t>ēja energoresursu sadalījums Latvijā ir izteikti nevienmērīgs (sk</w:t>
      </w:r>
      <w:r w:rsidR="00CA56ED">
        <w:rPr>
          <w:rFonts w:eastAsia="Times New Roman"/>
          <w:szCs w:val="28"/>
        </w:rPr>
        <w:t>at</w:t>
      </w:r>
      <w:r w:rsidRPr="001D323C">
        <w:rPr>
          <w:rFonts w:eastAsia="Times New Roman"/>
          <w:szCs w:val="28"/>
        </w:rPr>
        <w:t xml:space="preserve">. </w:t>
      </w:r>
      <w:r w:rsidR="00CA56ED">
        <w:rPr>
          <w:rFonts w:eastAsia="Times New Roman"/>
          <w:szCs w:val="28"/>
        </w:rPr>
        <w:t>4</w:t>
      </w:r>
      <w:r w:rsidRPr="001D323C">
        <w:rPr>
          <w:rFonts w:eastAsia="Times New Roman"/>
          <w:szCs w:val="28"/>
        </w:rPr>
        <w:t>.attēlu). Latvijas vēju atlasā ir iezīmētas zonas ar dažādiem gada vidējiem vēja ātruma intervāliem – no 3,5 m/s līdz pat vairāk kā 5,0 m/s. Vidējais teorētiskais potenciāls gadā ir no 250 – 1250 milj. kWh</w:t>
      </w:r>
      <w:r w:rsidRPr="001D323C">
        <w:rPr>
          <w:rFonts w:eastAsia="Times New Roman"/>
          <w:color w:val="000000"/>
          <w:position w:val="6"/>
          <w:szCs w:val="28"/>
          <w:vertAlign w:val="superscript"/>
        </w:rPr>
        <w:footnoteReference w:id="14"/>
      </w:r>
      <w:r w:rsidRPr="001D323C">
        <w:rPr>
          <w:rFonts w:eastAsia="Times New Roman"/>
          <w:szCs w:val="28"/>
        </w:rPr>
        <w:t>.</w:t>
      </w:r>
    </w:p>
    <w:p w:rsidR="000831BB" w:rsidRDefault="000831BB" w:rsidP="000831BB">
      <w:pPr>
        <w:ind w:firstLine="360"/>
        <w:jc w:val="both"/>
        <w:rPr>
          <w:rFonts w:eastAsia="Times New Roman"/>
          <w:szCs w:val="28"/>
        </w:rPr>
      </w:pPr>
      <w:r w:rsidRPr="001D323C">
        <w:rPr>
          <w:rFonts w:eastAsia="Times New Roman"/>
          <w:szCs w:val="28"/>
        </w:rPr>
        <w:t>2010. gada sākumā Baltijas valstīs uzstādītā vēja enerģijas jauda sasniedza 260 MW, no kuriem Latvijā bija uzstādīts vien 31 MW, kamēr Igaunijā  – 149 MW, Lietuvā – 154 MW</w:t>
      </w:r>
      <w:r w:rsidRPr="001D323C">
        <w:rPr>
          <w:rFonts w:ascii="Arial" w:eastAsia="Times New Roman" w:hAnsi="Arial" w:cs="Arial"/>
          <w:sz w:val="20"/>
          <w:szCs w:val="20"/>
        </w:rPr>
        <w:t>.</w:t>
      </w:r>
      <w:r w:rsidRPr="001D323C">
        <w:rPr>
          <w:rFonts w:eastAsia="Times New Roman"/>
          <w:szCs w:val="28"/>
        </w:rPr>
        <w:t xml:space="preserve"> Baltijas vēja enerģijas potenciālu vērtē robežās no 4,5 līdz 7TWh gadā (Igaunijā – 4TWh, Latvijā līdz 1,5TWh, Lietuvā – 1,5TWh). </w:t>
      </w:r>
    </w:p>
    <w:p w:rsidR="005F32EF" w:rsidRDefault="000831BB" w:rsidP="000831BB">
      <w:pPr>
        <w:ind w:firstLine="709"/>
        <w:jc w:val="both"/>
        <w:rPr>
          <w:rFonts w:cs="Times New Roman"/>
          <w:color w:val="000000"/>
          <w:szCs w:val="28"/>
        </w:rPr>
      </w:pPr>
      <w:r>
        <w:rPr>
          <w:rFonts w:eastAsia="Times New Roman"/>
          <w:szCs w:val="28"/>
        </w:rPr>
        <w:t>Ņemot vērā, ka Latvija ir apņēmusies sasniegt 40% AER mērķi enerģijas gala patēriņā, tad laika periodā līdz 2020.gadam būs nepieciešams papildu progress attiecībā pret pašreiz sasniegto 35,</w:t>
      </w:r>
      <w:r w:rsidR="005F32EF">
        <w:rPr>
          <w:rFonts w:eastAsia="Times New Roman"/>
          <w:szCs w:val="28"/>
        </w:rPr>
        <w:t>78</w:t>
      </w:r>
      <w:r>
        <w:rPr>
          <w:rFonts w:eastAsia="Times New Roman"/>
          <w:szCs w:val="28"/>
        </w:rPr>
        <w:t>% AER mērķi. Lai Latvija izpildītu savas apņemšanās</w:t>
      </w:r>
      <w:r w:rsidR="005F32EF" w:rsidRPr="005F32EF">
        <w:rPr>
          <w:rFonts w:eastAsia="Times New Roman"/>
          <w:szCs w:val="28"/>
        </w:rPr>
        <w:t xml:space="preserve"> </w:t>
      </w:r>
      <w:r w:rsidR="005F32EF">
        <w:rPr>
          <w:rFonts w:eastAsia="Times New Roman"/>
          <w:szCs w:val="28"/>
        </w:rPr>
        <w:t>attiecībā uz plašāku no AER ražotas enerģijas patēriņu, arī periodā līdz 2020.gadam</w:t>
      </w:r>
      <w:r>
        <w:rPr>
          <w:rFonts w:eastAsia="Times New Roman"/>
          <w:szCs w:val="28"/>
        </w:rPr>
        <w:t xml:space="preserve"> būs </w:t>
      </w:r>
      <w:r w:rsidR="005F32EF">
        <w:rPr>
          <w:rFonts w:eastAsia="Times New Roman"/>
          <w:szCs w:val="28"/>
        </w:rPr>
        <w:t xml:space="preserve">nepieciešami </w:t>
      </w:r>
      <w:r>
        <w:rPr>
          <w:rFonts w:eastAsia="Times New Roman"/>
          <w:szCs w:val="28"/>
        </w:rPr>
        <w:t xml:space="preserve">valsts atbalsta </w:t>
      </w:r>
      <w:r w:rsidR="005F32EF">
        <w:rPr>
          <w:rFonts w:eastAsia="Times New Roman"/>
          <w:szCs w:val="28"/>
        </w:rPr>
        <w:t>pasākumi</w:t>
      </w:r>
      <w:r>
        <w:rPr>
          <w:rFonts w:eastAsia="Times New Roman"/>
          <w:szCs w:val="28"/>
        </w:rPr>
        <w:t xml:space="preserve">, ņemot vērā </w:t>
      </w:r>
      <w:r>
        <w:rPr>
          <w:rFonts w:cs="Times New Roman"/>
          <w:szCs w:val="28"/>
        </w:rPr>
        <w:t>Eiropas Komisijas valsts atbalsta vadlīnijās</w:t>
      </w:r>
      <w:r w:rsidRPr="00AD4AFC">
        <w:rPr>
          <w:rFonts w:cs="Times New Roman"/>
          <w:szCs w:val="28"/>
        </w:rPr>
        <w:t xml:space="preserve"> </w:t>
      </w:r>
      <w:r w:rsidRPr="00AD4AFC">
        <w:rPr>
          <w:rFonts w:cs="Times New Roman"/>
          <w:color w:val="000000"/>
          <w:szCs w:val="28"/>
        </w:rPr>
        <w:t>„Pamatnostādnes par valsts atbalstu vides aizsardzībai un enerģētikai 2014.–2020. gadam</w:t>
      </w:r>
      <w:r w:rsidRPr="00AD4AFC">
        <w:rPr>
          <w:rFonts w:cs="Times New Roman"/>
          <w:color w:val="000000"/>
          <w:szCs w:val="28"/>
          <w:vertAlign w:val="superscript"/>
        </w:rPr>
        <w:footnoteReference w:id="15"/>
      </w:r>
      <w:r>
        <w:rPr>
          <w:rFonts w:cs="Times New Roman"/>
          <w:color w:val="000000"/>
          <w:szCs w:val="28"/>
        </w:rPr>
        <w:t xml:space="preserve"> noteikto, ka sākot ar 2016.gadu būs nepieciešams pāriet uz tirgus </w:t>
      </w:r>
      <w:r w:rsidR="005F32EF">
        <w:rPr>
          <w:rFonts w:cs="Times New Roman"/>
          <w:color w:val="000000"/>
          <w:szCs w:val="28"/>
        </w:rPr>
        <w:t xml:space="preserve">principiem </w:t>
      </w:r>
      <w:r>
        <w:rPr>
          <w:rFonts w:cs="Times New Roman"/>
          <w:color w:val="000000"/>
          <w:szCs w:val="28"/>
        </w:rPr>
        <w:t>balstītu mehānismu, gan nosaka konkrētus principus darbības atbalstam no AER, gan ierobežo laikā konkrēto valsta atbalsta mehānismu.</w:t>
      </w:r>
    </w:p>
    <w:p w:rsidR="005F32EF" w:rsidRDefault="005F32EF" w:rsidP="005F32EF">
      <w:pPr>
        <w:ind w:firstLine="709"/>
        <w:jc w:val="both"/>
        <w:rPr>
          <w:rFonts w:cs="Times New Roman"/>
          <w:color w:val="000000"/>
          <w:szCs w:val="28"/>
        </w:rPr>
      </w:pPr>
      <w:r>
        <w:rPr>
          <w:rFonts w:cs="Times New Roman"/>
          <w:color w:val="000000"/>
          <w:szCs w:val="28"/>
        </w:rPr>
        <w:lastRenderedPageBreak/>
        <w:t xml:space="preserve">Ņemot vērā, ka </w:t>
      </w:r>
      <w:r w:rsidRPr="0079543C">
        <w:rPr>
          <w:rFonts w:cs="Times New Roman"/>
          <w:color w:val="000000"/>
          <w:szCs w:val="28"/>
        </w:rPr>
        <w:t xml:space="preserve">līdz 2016.gada 1.janvārim </w:t>
      </w:r>
      <w:r>
        <w:rPr>
          <w:rFonts w:cs="Times New Roman"/>
          <w:color w:val="000000"/>
          <w:szCs w:val="28"/>
        </w:rPr>
        <w:t>elektroenerģijas obligāto iepirkumu regulējošie tiesību akti paredz moratoriju, kura laikā Ekonomikas ministrija neizsniedz jaunas tiesības saņem valsts atbalstu, bet provizoriski ir paredzams, ka esošā valsts atbalsta mehānisma izmaksu slogs uz valsts budžetu vismaz līdz 2016.gadam ir pieaugošs, lai saglabātu OIK 2,69 EURcenti/kWh apjomā līdz 2017.gadam, arī 2016.gadā moratorijs būtu saglabājams.</w:t>
      </w:r>
      <w:r w:rsidRPr="00C02A19">
        <w:t xml:space="preserve"> </w:t>
      </w:r>
      <w:r>
        <w:t xml:space="preserve">OIK noturēšanu 2,69 EURcenti/kWh apjomā līdz 2017.gada 1.aprīlim nodrošina 2014. gadā ieviestais </w:t>
      </w:r>
      <w:r w:rsidRPr="00C02A19">
        <w:rPr>
          <w:rFonts w:cs="Times New Roman"/>
          <w:color w:val="000000"/>
          <w:szCs w:val="28"/>
        </w:rPr>
        <w:t>subsidētās elektroenerģijas nodok</w:t>
      </w:r>
      <w:r>
        <w:rPr>
          <w:rFonts w:cs="Times New Roman"/>
          <w:color w:val="000000"/>
          <w:szCs w:val="28"/>
        </w:rPr>
        <w:t xml:space="preserve">lis, kura piemērošana paredzēta līdz 2017.gada 31.decembrim. </w:t>
      </w:r>
    </w:p>
    <w:p w:rsidR="000831BB" w:rsidRDefault="005F32EF" w:rsidP="005F32EF">
      <w:pPr>
        <w:ind w:firstLine="709"/>
        <w:jc w:val="both"/>
        <w:rPr>
          <w:rFonts w:cs="Times New Roman"/>
          <w:color w:val="000000"/>
          <w:szCs w:val="28"/>
        </w:rPr>
      </w:pPr>
      <w:r>
        <w:rPr>
          <w:rFonts w:cs="Times New Roman"/>
          <w:color w:val="000000"/>
          <w:szCs w:val="28"/>
        </w:rPr>
        <w:t xml:space="preserve">Papildus moratorija saglabāšanai 2016.gadā laika posmā līdz 2017.gadam paredzēts  pilnveidot esošo atbalsta mehānismu, kas īstenots obligātā elektroenerģijas iepirkuma veidā vai garantētas maksas veidā pēc Eiropas Komisijas norādījumiem atbalsta mehānisma saskaņošanas ietvaros, </w:t>
      </w:r>
      <w:r w:rsidRPr="00DD105A">
        <w:rPr>
          <w:rFonts w:cs="Times New Roman"/>
          <w:color w:val="000000"/>
          <w:szCs w:val="28"/>
        </w:rPr>
        <w:t>skatot to mijiedarbībā ar  subs</w:t>
      </w:r>
      <w:r>
        <w:rPr>
          <w:rFonts w:cs="Times New Roman"/>
          <w:color w:val="000000"/>
          <w:szCs w:val="28"/>
        </w:rPr>
        <w:t xml:space="preserve">idētās elektroenerģijas nodokli. Tāpat jāpieņem lēmums par turpmāku citu šobrīd spēkā esošu AER izmantošanu veicinošu pasākumu (atbrīvojums no elektroenerģijas nodokļa AER un koģenerācijai, akcīzes atlaides degvielām ar augstu biodegvielu piejaukumu) turpināšanu vai reformēšanu.  Ņemot vērā turpmāko no AER ražotas enerģijas attīstības dinamiku, ko ietekmē gan enerģijas patēriņš, gan īstenoto valsts atbalsta pasākumu rezultāti, un esošo atbalsta mehānismu ietekmi uz tautsaimniecību, jāvienojas par </w:t>
      </w:r>
      <w:r w:rsidRPr="00646879">
        <w:rPr>
          <w:rFonts w:cs="Times New Roman"/>
          <w:color w:val="000000"/>
          <w:szCs w:val="28"/>
        </w:rPr>
        <w:t>jaun</w:t>
      </w:r>
      <w:r>
        <w:rPr>
          <w:rFonts w:cs="Times New Roman"/>
          <w:color w:val="000000"/>
          <w:szCs w:val="28"/>
        </w:rPr>
        <w:t>a valsts</w:t>
      </w:r>
      <w:r w:rsidRPr="00646879">
        <w:rPr>
          <w:rFonts w:cs="Times New Roman"/>
          <w:color w:val="000000"/>
          <w:szCs w:val="28"/>
        </w:rPr>
        <w:t xml:space="preserve"> atbalsta mehānism</w:t>
      </w:r>
      <w:r>
        <w:rPr>
          <w:rFonts w:cs="Times New Roman"/>
          <w:color w:val="000000"/>
          <w:szCs w:val="28"/>
        </w:rPr>
        <w:t xml:space="preserve">a izveidošanas un tā finansēšanas </w:t>
      </w:r>
      <w:r w:rsidRPr="00C02A19">
        <w:rPr>
          <w:rFonts w:cs="Times New Roman"/>
          <w:color w:val="000000"/>
          <w:szCs w:val="28"/>
        </w:rPr>
        <w:t>iespējām</w:t>
      </w:r>
      <w:r>
        <w:rPr>
          <w:rFonts w:cs="Times New Roman"/>
          <w:color w:val="000000"/>
          <w:szCs w:val="28"/>
        </w:rPr>
        <w:t>. Jauno valsts atbalsta mehānismu pirms tā uzsākšanas jāsaskaņo ar Eiropas Komisiju, nodrošinot tā atbilstībuES kopējam tirgum.</w:t>
      </w:r>
    </w:p>
    <w:p w:rsidR="000831BB" w:rsidRPr="00AD4AFC" w:rsidRDefault="000831BB" w:rsidP="000831BB">
      <w:pPr>
        <w:ind w:firstLine="720"/>
        <w:jc w:val="both"/>
        <w:rPr>
          <w:rFonts w:eastAsia="Times New Roman" w:cs="Times New Roman"/>
          <w:bCs/>
          <w:color w:val="000000"/>
          <w:szCs w:val="28"/>
          <w:lang w:eastAsia="lv-LV"/>
        </w:rPr>
      </w:pPr>
      <w:r>
        <w:rPr>
          <w:rFonts w:cs="Times New Roman"/>
          <w:color w:val="000000"/>
          <w:szCs w:val="28"/>
        </w:rPr>
        <w:t xml:space="preserve">Papildus tam atbalsts AER attīstībai </w:t>
      </w:r>
      <w:r w:rsidR="00FA0BD9">
        <w:rPr>
          <w:rFonts w:cs="Times New Roman"/>
          <w:color w:val="000000"/>
          <w:szCs w:val="28"/>
        </w:rPr>
        <w:t xml:space="preserve">līdz šim </w:t>
      </w:r>
      <w:r>
        <w:rPr>
          <w:rFonts w:cs="Times New Roman"/>
          <w:color w:val="000000"/>
          <w:szCs w:val="28"/>
        </w:rPr>
        <w:t xml:space="preserve">ir </w:t>
      </w:r>
      <w:r w:rsidR="00FA0BD9">
        <w:rPr>
          <w:rFonts w:cs="Times New Roman"/>
          <w:color w:val="000000"/>
          <w:szCs w:val="28"/>
        </w:rPr>
        <w:t xml:space="preserve">identificēts kā </w:t>
      </w:r>
      <w:r>
        <w:rPr>
          <w:rFonts w:cs="Times New Roman"/>
          <w:color w:val="000000"/>
          <w:szCs w:val="28"/>
        </w:rPr>
        <w:t>viens no faktoriem, kas ietekmē energointensīvo uzņēmumu starptautisko konkurētspēju</w:t>
      </w:r>
      <w:r w:rsidR="00FA0BD9">
        <w:rPr>
          <w:rFonts w:cs="Times New Roman"/>
          <w:color w:val="000000"/>
          <w:szCs w:val="28"/>
        </w:rPr>
        <w:t xml:space="preserve">. Līdz ar to </w:t>
      </w:r>
      <w:r>
        <w:rPr>
          <w:rFonts w:cs="Times New Roman"/>
          <w:color w:val="000000"/>
          <w:szCs w:val="28"/>
        </w:rPr>
        <w:t xml:space="preserve">līdz 2016.gadam tiek plānots izstrādāt un saskaņot </w:t>
      </w:r>
      <w:r w:rsidR="00FA0BD9">
        <w:rPr>
          <w:rFonts w:cs="Times New Roman"/>
          <w:color w:val="000000"/>
          <w:szCs w:val="28"/>
        </w:rPr>
        <w:t xml:space="preserve">tādu </w:t>
      </w:r>
      <w:r>
        <w:rPr>
          <w:rFonts w:cs="Times New Roman"/>
          <w:color w:val="000000"/>
          <w:szCs w:val="28"/>
        </w:rPr>
        <w:t xml:space="preserve">valsts atbalsta mehānismu </w:t>
      </w:r>
      <w:r w:rsidR="00FA0BD9">
        <w:rPr>
          <w:rFonts w:cs="Times New Roman"/>
          <w:color w:val="000000"/>
          <w:szCs w:val="28"/>
        </w:rPr>
        <w:t xml:space="preserve">energointensīvu </w:t>
      </w:r>
      <w:r>
        <w:rPr>
          <w:rFonts w:cs="Times New Roman"/>
          <w:color w:val="000000"/>
          <w:szCs w:val="28"/>
        </w:rPr>
        <w:t xml:space="preserve">uzņēmumu konkurētspējas saglabāšanai. Šim mehānismam būs jābalstās uz sekojošiem principiem, </w:t>
      </w:r>
      <w:r w:rsidR="00FA0BD9">
        <w:rPr>
          <w:rFonts w:cs="Times New Roman"/>
          <w:color w:val="000000"/>
          <w:szCs w:val="28"/>
        </w:rPr>
        <w:t xml:space="preserve">ko </w:t>
      </w:r>
      <w:r>
        <w:rPr>
          <w:rFonts w:cs="Times New Roman"/>
          <w:color w:val="000000"/>
          <w:szCs w:val="28"/>
        </w:rPr>
        <w:t xml:space="preserve">izvirzījusi </w:t>
      </w:r>
      <w:r w:rsidRPr="00AD4AFC">
        <w:rPr>
          <w:rFonts w:eastAsia="Times New Roman" w:cs="Times New Roman"/>
          <w:bCs/>
          <w:color w:val="000000"/>
          <w:szCs w:val="28"/>
          <w:lang w:eastAsia="lv-LV"/>
        </w:rPr>
        <w:t>Eiropas Komisija:</w:t>
      </w:r>
    </w:p>
    <w:p w:rsidR="000831BB" w:rsidRPr="00AD4AFC" w:rsidRDefault="00FA0BD9" w:rsidP="000831BB">
      <w:pPr>
        <w:pStyle w:val="ListParagraph"/>
        <w:numPr>
          <w:ilvl w:val="0"/>
          <w:numId w:val="48"/>
        </w:numPr>
        <w:jc w:val="both"/>
        <w:rPr>
          <w:rFonts w:eastAsia="Times New Roman" w:cs="Times New Roman"/>
          <w:szCs w:val="28"/>
          <w:lang w:eastAsia="lv-LV"/>
        </w:rPr>
      </w:pPr>
      <w:r>
        <w:rPr>
          <w:rFonts w:eastAsia="Times New Roman" w:cs="Times New Roman"/>
          <w:szCs w:val="28"/>
          <w:lang w:eastAsia="lv-LV"/>
        </w:rPr>
        <w:t>Ir</w:t>
      </w:r>
      <w:r w:rsidRPr="00AD4AFC">
        <w:rPr>
          <w:rFonts w:eastAsia="Times New Roman" w:cs="Times New Roman"/>
          <w:szCs w:val="28"/>
          <w:lang w:eastAsia="lv-LV"/>
        </w:rPr>
        <w:t xml:space="preserve"> </w:t>
      </w:r>
      <w:r w:rsidR="000831BB" w:rsidRPr="00AD4AFC">
        <w:rPr>
          <w:rFonts w:eastAsia="Times New Roman" w:cs="Times New Roman"/>
          <w:szCs w:val="28"/>
          <w:lang w:eastAsia="lv-LV"/>
        </w:rPr>
        <w:t xml:space="preserve">jāpierāda, ka papildu izmaksas, kas atspoguļotas augstākajās elektroenerģijas cenās, kuras sedz atbalsta saņēmēji, izriet tikai no enerģijas no </w:t>
      </w:r>
      <w:r w:rsidR="000831BB">
        <w:rPr>
          <w:rFonts w:eastAsia="Times New Roman" w:cs="Times New Roman"/>
          <w:szCs w:val="28"/>
          <w:lang w:eastAsia="lv-LV"/>
        </w:rPr>
        <w:t>AER</w:t>
      </w:r>
      <w:r w:rsidR="000831BB" w:rsidRPr="00AD4AFC">
        <w:rPr>
          <w:rFonts w:eastAsia="Times New Roman" w:cs="Times New Roman"/>
          <w:szCs w:val="28"/>
          <w:lang w:eastAsia="lv-LV"/>
        </w:rPr>
        <w:t xml:space="preserve"> atbalsta. </w:t>
      </w:r>
    </w:p>
    <w:p w:rsidR="000831BB" w:rsidRPr="00AD4AFC" w:rsidRDefault="00FA0BD9" w:rsidP="000831BB">
      <w:pPr>
        <w:pStyle w:val="ListParagraph"/>
        <w:numPr>
          <w:ilvl w:val="0"/>
          <w:numId w:val="48"/>
        </w:numPr>
        <w:jc w:val="both"/>
        <w:rPr>
          <w:rFonts w:eastAsia="Times New Roman" w:cs="Times New Roman"/>
          <w:szCs w:val="28"/>
          <w:lang w:eastAsia="lv-LV"/>
        </w:rPr>
      </w:pPr>
      <w:r>
        <w:rPr>
          <w:rFonts w:eastAsia="Times New Roman" w:cs="Times New Roman"/>
          <w:szCs w:val="28"/>
          <w:lang w:eastAsia="lv-LV"/>
        </w:rPr>
        <w:t>A</w:t>
      </w:r>
      <w:r w:rsidRPr="00AD4AFC">
        <w:rPr>
          <w:rFonts w:eastAsia="Times New Roman" w:cs="Times New Roman"/>
          <w:szCs w:val="28"/>
          <w:lang w:eastAsia="lv-LV"/>
        </w:rPr>
        <w:t xml:space="preserve">tbalsts </w:t>
      </w:r>
      <w:r w:rsidR="000831BB" w:rsidRPr="00AD4AFC">
        <w:rPr>
          <w:rFonts w:eastAsia="Times New Roman" w:cs="Times New Roman"/>
          <w:szCs w:val="28"/>
          <w:lang w:eastAsia="lv-LV"/>
        </w:rPr>
        <w:t xml:space="preserve">būtu jāattiecina tikai uz nozarēm, kuru konkurētspēja ir apdraudēta to izmaksu dēļ, kas rodas finansējuma enerģijas no </w:t>
      </w:r>
      <w:r w:rsidR="000831BB">
        <w:rPr>
          <w:rFonts w:eastAsia="Times New Roman" w:cs="Times New Roman"/>
          <w:szCs w:val="28"/>
          <w:lang w:eastAsia="lv-LV"/>
        </w:rPr>
        <w:t>AER</w:t>
      </w:r>
      <w:r w:rsidR="000831BB" w:rsidRPr="00AD4AFC">
        <w:rPr>
          <w:rFonts w:eastAsia="Times New Roman" w:cs="Times New Roman"/>
          <w:szCs w:val="28"/>
          <w:lang w:eastAsia="lv-LV"/>
        </w:rPr>
        <w:t xml:space="preserve"> atbalstam rezultātā, ņemot vērā to elektroietilpību </w:t>
      </w:r>
      <w:r w:rsidR="000831BB">
        <w:rPr>
          <w:rFonts w:eastAsia="Times New Roman" w:cs="Times New Roman"/>
          <w:szCs w:val="28"/>
          <w:lang w:eastAsia="lv-LV"/>
        </w:rPr>
        <w:t>un starptautisko tirdzniecību</w:t>
      </w:r>
      <w:r w:rsidR="00DD41F2">
        <w:rPr>
          <w:rFonts w:eastAsia="Times New Roman" w:cs="Times New Roman"/>
          <w:szCs w:val="28"/>
          <w:lang w:eastAsia="lv-LV"/>
        </w:rPr>
        <w:t>.</w:t>
      </w:r>
    </w:p>
    <w:p w:rsidR="000831BB" w:rsidRPr="00AD4AFC" w:rsidRDefault="00FA0BD9" w:rsidP="000831BB">
      <w:pPr>
        <w:pStyle w:val="ListParagraph"/>
        <w:numPr>
          <w:ilvl w:val="0"/>
          <w:numId w:val="48"/>
        </w:numPr>
        <w:jc w:val="both"/>
        <w:rPr>
          <w:rFonts w:eastAsia="Times New Roman" w:cs="Times New Roman"/>
          <w:szCs w:val="28"/>
          <w:lang w:eastAsia="lv-LV"/>
        </w:rPr>
      </w:pPr>
      <w:r>
        <w:rPr>
          <w:rFonts w:eastAsia="Times New Roman" w:cs="Times New Roman"/>
          <w:szCs w:val="28"/>
          <w:lang w:eastAsia="lv-LV"/>
        </w:rPr>
        <w:t>A</w:t>
      </w:r>
      <w:r w:rsidRPr="00AD4AFC">
        <w:rPr>
          <w:rFonts w:eastAsia="Times New Roman" w:cs="Times New Roman"/>
          <w:szCs w:val="28"/>
          <w:lang w:eastAsia="lv-LV"/>
        </w:rPr>
        <w:t xml:space="preserve">tbalsta </w:t>
      </w:r>
      <w:r w:rsidR="000831BB" w:rsidRPr="00AD4AFC">
        <w:rPr>
          <w:rFonts w:eastAsia="Times New Roman" w:cs="Times New Roman"/>
          <w:szCs w:val="28"/>
          <w:lang w:eastAsia="lv-LV"/>
        </w:rPr>
        <w:t>saņēmēju atlase ir balstīta uz objektīviem, nediskriminējošiem un pārredzamiem kritērijiem</w:t>
      </w:r>
      <w:r w:rsidR="000831BB">
        <w:rPr>
          <w:rFonts w:eastAsia="Times New Roman" w:cs="Times New Roman"/>
          <w:szCs w:val="28"/>
          <w:lang w:eastAsia="lv-LV"/>
        </w:rPr>
        <w:t>,</w:t>
      </w:r>
      <w:r w:rsidR="000831BB" w:rsidRPr="00AD4AFC">
        <w:rPr>
          <w:rFonts w:eastAsia="Times New Roman" w:cs="Times New Roman"/>
          <w:szCs w:val="28"/>
          <w:lang w:eastAsia="lv-LV"/>
        </w:rPr>
        <w:t xml:space="preserve"> un atba</w:t>
      </w:r>
      <w:r w:rsidR="000831BB">
        <w:rPr>
          <w:rFonts w:eastAsia="Times New Roman" w:cs="Times New Roman"/>
          <w:szCs w:val="28"/>
          <w:lang w:eastAsia="lv-LV"/>
        </w:rPr>
        <w:t>lsta piešķiršana notiek</w:t>
      </w:r>
      <w:r w:rsidR="000831BB" w:rsidRPr="00AD4AFC">
        <w:rPr>
          <w:rFonts w:eastAsia="Times New Roman" w:cs="Times New Roman"/>
          <w:szCs w:val="28"/>
          <w:lang w:eastAsia="lv-LV"/>
        </w:rPr>
        <w:t xml:space="preserve"> tādā pašā veidā visiem konkurentiem tajā pašā nozarē, ja tie atrodas līdzīgā faktiskā situācijā</w:t>
      </w:r>
      <w:r w:rsidR="00DD41F2">
        <w:rPr>
          <w:rFonts w:eastAsia="Times New Roman" w:cs="Times New Roman"/>
          <w:szCs w:val="28"/>
          <w:lang w:eastAsia="lv-LV"/>
        </w:rPr>
        <w:t>.</w:t>
      </w:r>
    </w:p>
    <w:p w:rsidR="000831BB" w:rsidRDefault="00FA0BD9" w:rsidP="000831BB">
      <w:pPr>
        <w:pStyle w:val="ListParagraph"/>
        <w:numPr>
          <w:ilvl w:val="0"/>
          <w:numId w:val="48"/>
        </w:numPr>
        <w:jc w:val="both"/>
        <w:rPr>
          <w:rFonts w:eastAsia="Times New Roman" w:cs="Times New Roman"/>
          <w:szCs w:val="28"/>
          <w:lang w:eastAsia="lv-LV"/>
        </w:rPr>
      </w:pPr>
      <w:r>
        <w:rPr>
          <w:rFonts w:eastAsia="Times New Roman" w:cs="Times New Roman"/>
          <w:szCs w:val="28"/>
          <w:lang w:eastAsia="lv-LV"/>
        </w:rPr>
        <w:lastRenderedPageBreak/>
        <w:t>A</w:t>
      </w:r>
      <w:r w:rsidRPr="00AD4AFC">
        <w:rPr>
          <w:rFonts w:eastAsia="Times New Roman" w:cs="Times New Roman"/>
          <w:szCs w:val="28"/>
          <w:lang w:eastAsia="lv-LV"/>
        </w:rPr>
        <w:t xml:space="preserve">tbalsta </w:t>
      </w:r>
      <w:r w:rsidR="000831BB" w:rsidRPr="00AD4AFC">
        <w:rPr>
          <w:rFonts w:eastAsia="Times New Roman" w:cs="Times New Roman"/>
          <w:szCs w:val="28"/>
          <w:lang w:eastAsia="lv-LV"/>
        </w:rPr>
        <w:t>saņēmēji vismaz attiecībā uz 15% no maksājamajām papildu izmaksām nesaņem sa</w:t>
      </w:r>
      <w:r w:rsidR="000831BB">
        <w:rPr>
          <w:rFonts w:eastAsia="Times New Roman" w:cs="Times New Roman"/>
          <w:szCs w:val="28"/>
          <w:lang w:eastAsia="lv-LV"/>
        </w:rPr>
        <w:t>mazinājumu</w:t>
      </w:r>
      <w:r w:rsidR="00DD41F2">
        <w:rPr>
          <w:rFonts w:eastAsia="Times New Roman" w:cs="Times New Roman"/>
          <w:szCs w:val="28"/>
          <w:lang w:eastAsia="lv-LV"/>
        </w:rPr>
        <w:t>.</w:t>
      </w:r>
    </w:p>
    <w:p w:rsidR="000831BB" w:rsidRPr="00D13E92" w:rsidRDefault="00FA0BD9" w:rsidP="000831BB">
      <w:pPr>
        <w:pStyle w:val="ListParagraph"/>
        <w:numPr>
          <w:ilvl w:val="0"/>
          <w:numId w:val="48"/>
        </w:numPr>
        <w:jc w:val="both"/>
        <w:rPr>
          <w:rFonts w:eastAsia="Times New Roman" w:cs="Times New Roman"/>
          <w:szCs w:val="28"/>
          <w:lang w:eastAsia="lv-LV"/>
        </w:rPr>
      </w:pPr>
      <w:r>
        <w:rPr>
          <w:rFonts w:eastAsia="Times New Roman" w:cs="Times New Roman"/>
          <w:szCs w:val="28"/>
          <w:lang w:eastAsia="lv-LV"/>
        </w:rPr>
        <w:t>J</w:t>
      </w:r>
      <w:r w:rsidRPr="00D13E92">
        <w:rPr>
          <w:rFonts w:eastAsia="Times New Roman" w:cs="Times New Roman"/>
          <w:szCs w:val="28"/>
          <w:lang w:eastAsia="lv-LV"/>
        </w:rPr>
        <w:t xml:space="preserve">a </w:t>
      </w:r>
      <w:r w:rsidR="000831BB" w:rsidRPr="00D13E92">
        <w:rPr>
          <w:rFonts w:eastAsia="Times New Roman" w:cs="Times New Roman"/>
          <w:szCs w:val="28"/>
          <w:lang w:eastAsia="lv-LV"/>
        </w:rPr>
        <w:t>atbalstu piešķir maksas samazinājuma veidā, ir jāievieš </w:t>
      </w:r>
      <w:r w:rsidR="000831BB" w:rsidRPr="00D13E92">
        <w:rPr>
          <w:rFonts w:eastAsia="Times New Roman" w:cs="Times New Roman"/>
          <w:i/>
          <w:iCs/>
          <w:szCs w:val="28"/>
          <w:lang w:eastAsia="lv-LV"/>
        </w:rPr>
        <w:t>ex- post</w:t>
      </w:r>
      <w:r w:rsidR="000831BB" w:rsidRPr="00D13E92">
        <w:rPr>
          <w:rFonts w:eastAsia="Times New Roman" w:cs="Times New Roman"/>
          <w:szCs w:val="28"/>
          <w:lang w:eastAsia="lv-LV"/>
        </w:rPr>
        <w:t> uzraudzības mehānisms, lai nodrošinātu, ka jebkāda atbalsta pārmaksa tiks atmaksāta līdz nākamā gada 1.jūlijam. Ja atbalstu piešķir fiksētas ikgadējas kompensācijas veidā, tā ir jāaprēķina, pamatojoties uz vēsturiskiem datiem, t. i., uz datiem par patērēto elektroenerģiju un bruto pievienoto vērtību attiecīgajā bāzes gadā.</w:t>
      </w:r>
    </w:p>
    <w:p w:rsidR="000831BB" w:rsidRDefault="000831BB" w:rsidP="00651645">
      <w:pPr>
        <w:ind w:firstLine="360"/>
        <w:jc w:val="both"/>
      </w:pPr>
    </w:p>
    <w:p w:rsidR="00651645" w:rsidRPr="00483702" w:rsidRDefault="00651645" w:rsidP="002C7420">
      <w:pPr>
        <w:pStyle w:val="Subtitle"/>
        <w:jc w:val="both"/>
        <w:rPr>
          <w:rFonts w:ascii="Times New Roman" w:hAnsi="Times New Roman" w:cs="Times New Roman"/>
          <w:i w:val="0"/>
          <w:color w:val="auto"/>
          <w:sz w:val="28"/>
          <w:szCs w:val="28"/>
          <w:u w:val="single"/>
        </w:rPr>
      </w:pPr>
      <w:bookmarkStart w:id="22" w:name="_Toc394681467"/>
      <w:r w:rsidRPr="00483702">
        <w:rPr>
          <w:rFonts w:ascii="Times New Roman" w:hAnsi="Times New Roman" w:cs="Times New Roman"/>
          <w:i w:val="0"/>
          <w:color w:val="auto"/>
          <w:sz w:val="28"/>
          <w:szCs w:val="28"/>
          <w:u w:val="single"/>
        </w:rPr>
        <w:t>Elektroenerģijas obligātais iepirkums un subsidētās elektroenerģijas nodoklis</w:t>
      </w:r>
      <w:bookmarkEnd w:id="22"/>
    </w:p>
    <w:p w:rsidR="00651645" w:rsidRPr="001D323C" w:rsidRDefault="00651645" w:rsidP="00651645">
      <w:pPr>
        <w:ind w:firstLine="709"/>
        <w:jc w:val="both"/>
        <w:rPr>
          <w:rFonts w:cs="Times New Roman"/>
          <w:szCs w:val="28"/>
        </w:rPr>
      </w:pPr>
      <w:r w:rsidRPr="001D323C">
        <w:rPr>
          <w:rFonts w:cs="Times New Roman"/>
          <w:szCs w:val="28"/>
        </w:rPr>
        <w:t>AER īpatsvara pieaugumu sekmē elektroenerģijas obligātais iepirkums (turpmāk – OI), kas vērst</w:t>
      </w:r>
      <w:r w:rsidR="00BD6107">
        <w:rPr>
          <w:rFonts w:cs="Times New Roman"/>
          <w:szCs w:val="28"/>
        </w:rPr>
        <w:t>s</w:t>
      </w:r>
      <w:r w:rsidRPr="001D323C">
        <w:rPr>
          <w:rFonts w:cs="Times New Roman"/>
          <w:szCs w:val="28"/>
        </w:rPr>
        <w:t xml:space="preserve"> uz tādas elektroenerģijas ražošanas veicināšanu, kas izmanto AER, kā arī pieaugumu sekmē elektroenerģijas obligātais iepirkums no augstas efektivitātes koģenerācijas stacijām</w:t>
      </w:r>
      <w:r w:rsidR="00FA0BD9">
        <w:rPr>
          <w:rFonts w:cs="Times New Roman"/>
          <w:szCs w:val="28"/>
        </w:rPr>
        <w:t>, kas izmanto AER</w:t>
      </w:r>
      <w:r w:rsidRPr="001D323C">
        <w:rPr>
          <w:rFonts w:cs="Times New Roman"/>
          <w:szCs w:val="28"/>
        </w:rPr>
        <w:t xml:space="preserve">. </w:t>
      </w:r>
    </w:p>
    <w:p w:rsidR="00651645" w:rsidRPr="001D323C" w:rsidRDefault="00651645" w:rsidP="00651645">
      <w:pPr>
        <w:ind w:firstLine="709"/>
        <w:jc w:val="both"/>
        <w:rPr>
          <w:rFonts w:cs="Times New Roman"/>
          <w:szCs w:val="28"/>
        </w:rPr>
      </w:pPr>
      <w:r w:rsidRPr="001D323C">
        <w:rPr>
          <w:rFonts w:cs="Times New Roman"/>
          <w:szCs w:val="28"/>
        </w:rPr>
        <w:t xml:space="preserve">Ekonomikas ministrijas dati liecina, ka 2013.gadā OI ietvaros no AER izmantojošiem elektroenerģijas ražotājiem tika iepirkts 613,5 GWh elektroenerģijas. Pēdējos gados ir palielinājušās elektrostaciju, kas izmanto AER, uzstādītās elektriskās jaudas, tai skaitā tādu staciju jaudas, kas izmanto biogāzi un biomasu. </w:t>
      </w:r>
    </w:p>
    <w:p w:rsidR="009F3329" w:rsidRDefault="00651645" w:rsidP="00651645">
      <w:pPr>
        <w:ind w:firstLine="709"/>
        <w:jc w:val="both"/>
        <w:rPr>
          <w:rFonts w:cs="Times New Roman"/>
          <w:szCs w:val="28"/>
        </w:rPr>
      </w:pPr>
      <w:r w:rsidRPr="001D323C">
        <w:rPr>
          <w:rFonts w:cs="Times New Roman"/>
          <w:szCs w:val="28"/>
        </w:rPr>
        <w:t>OI komponente (turpmāk – OIK)</w:t>
      </w:r>
      <w:r w:rsidR="00FA0BD9">
        <w:rPr>
          <w:rFonts w:cs="Times New Roman"/>
          <w:szCs w:val="28"/>
        </w:rPr>
        <w:t>, kas ietver gan OI atbalsta izmaksas AER, gan koģenerācijai, kas izmanto dabasgāzi,</w:t>
      </w:r>
      <w:r w:rsidRPr="001D323C">
        <w:rPr>
          <w:rFonts w:cs="Times New Roman"/>
          <w:szCs w:val="28"/>
        </w:rPr>
        <w:t xml:space="preserve"> ar katru gadu pieauga, </w:t>
      </w:r>
      <w:r w:rsidR="008309EE" w:rsidRPr="001D323C">
        <w:rPr>
          <w:rFonts w:cs="Times New Roman"/>
          <w:szCs w:val="28"/>
        </w:rPr>
        <w:t>tād</w:t>
      </w:r>
      <w:r w:rsidR="008309EE">
        <w:rPr>
          <w:rFonts w:cs="Times New Roman"/>
          <w:szCs w:val="28"/>
        </w:rPr>
        <w:t>ē</w:t>
      </w:r>
      <w:r w:rsidR="008309EE" w:rsidRPr="001D323C">
        <w:rPr>
          <w:rFonts w:cs="Times New Roman"/>
          <w:szCs w:val="28"/>
        </w:rPr>
        <w:t xml:space="preserve">jādi </w:t>
      </w:r>
      <w:r w:rsidRPr="001D323C">
        <w:rPr>
          <w:rFonts w:cs="Times New Roman"/>
          <w:szCs w:val="28"/>
        </w:rPr>
        <w:t xml:space="preserve">radot papildu slogu elektroenerģijas lietotājiem. Kā redzams </w:t>
      </w:r>
      <w:r w:rsidR="00CA56ED">
        <w:rPr>
          <w:rFonts w:cs="Times New Roman"/>
          <w:szCs w:val="28"/>
        </w:rPr>
        <w:t>26.attēlā</w:t>
      </w:r>
      <w:r w:rsidRPr="001D323C">
        <w:rPr>
          <w:rFonts w:cs="Times New Roman"/>
          <w:szCs w:val="28"/>
        </w:rPr>
        <w:t>, ja 2008.gadā aprēķinātā kopējā OIK bija 0,80 centi/kWh, tad no 2010.gada 1.aprīļa SPRK aprēķinātā OIK bija 1,63 centi/kWh. 2012.gadā OIK bija pieaudzis līdz 1,75 centi/kWh un 2013.gadā kopējā OIK pieauga līdz 2,69 centi/kWh.</w:t>
      </w:r>
    </w:p>
    <w:p w:rsidR="00651645" w:rsidRPr="001D323C" w:rsidRDefault="00651645" w:rsidP="00651645">
      <w:pPr>
        <w:ind w:firstLine="709"/>
        <w:jc w:val="both"/>
        <w:rPr>
          <w:rFonts w:cs="Times New Roman"/>
          <w:szCs w:val="28"/>
        </w:rPr>
      </w:pPr>
      <w:r w:rsidRPr="001D323C">
        <w:rPr>
          <w:rFonts w:cs="Times New Roman"/>
          <w:szCs w:val="28"/>
        </w:rPr>
        <w:t xml:space="preserve"> </w:t>
      </w:r>
    </w:p>
    <w:p w:rsidR="00651645" w:rsidRPr="001D323C" w:rsidRDefault="00893494" w:rsidP="00651645">
      <w:pPr>
        <w:suppressAutoHyphens/>
        <w:spacing w:after="120"/>
        <w:jc w:val="center"/>
        <w:rPr>
          <w:rFonts w:eastAsia="Times New Roman" w:cs="Times New Roman"/>
          <w:color w:val="000000" w:themeColor="text1"/>
          <w:szCs w:val="28"/>
        </w:rPr>
      </w:pPr>
      <w:r w:rsidRPr="00592E44">
        <w:rPr>
          <w:rFonts w:cs="Times New Roman"/>
          <w:noProof/>
          <w:szCs w:val="28"/>
          <w:lang w:eastAsia="lv-LV"/>
        </w:rPr>
        <w:drawing>
          <wp:inline distT="0" distB="0" distL="0" distR="0" wp14:anchorId="362ACE12" wp14:editId="233065C0">
            <wp:extent cx="5213839" cy="2743200"/>
            <wp:effectExtent l="0" t="0" r="25400" b="19050"/>
            <wp:docPr id="20" name="Chart 9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1645" w:rsidRPr="00483702" w:rsidRDefault="00483702" w:rsidP="00483702">
      <w:pPr>
        <w:tabs>
          <w:tab w:val="left" w:pos="142"/>
          <w:tab w:val="left" w:pos="284"/>
        </w:tabs>
        <w:suppressAutoHyphens/>
        <w:spacing w:after="120"/>
        <w:rPr>
          <w:rFonts w:cs="Times New Roman"/>
          <w:b/>
          <w:color w:val="000000"/>
          <w:sz w:val="24"/>
          <w:szCs w:val="24"/>
        </w:rPr>
      </w:pPr>
      <w:r w:rsidRPr="00483702">
        <w:rPr>
          <w:rFonts w:cs="Times New Roman"/>
          <w:b/>
          <w:color w:val="000000"/>
          <w:sz w:val="24"/>
          <w:szCs w:val="24"/>
        </w:rPr>
        <w:t>2</w:t>
      </w:r>
      <w:r>
        <w:rPr>
          <w:rFonts w:cs="Times New Roman"/>
          <w:b/>
          <w:color w:val="000000"/>
          <w:sz w:val="24"/>
          <w:szCs w:val="24"/>
        </w:rPr>
        <w:t>5</w:t>
      </w:r>
      <w:r w:rsidR="00651645" w:rsidRPr="00483702">
        <w:rPr>
          <w:rFonts w:cs="Times New Roman"/>
          <w:b/>
          <w:color w:val="000000"/>
          <w:sz w:val="24"/>
          <w:szCs w:val="24"/>
        </w:rPr>
        <w:t>.attēls. Obligātā iepirkuma komponentes dinamika.</w:t>
      </w:r>
    </w:p>
    <w:p w:rsidR="00CA56ED" w:rsidRPr="001D323C" w:rsidRDefault="00CA56ED" w:rsidP="00CA56ED">
      <w:pPr>
        <w:ind w:firstLine="709"/>
        <w:jc w:val="both"/>
        <w:rPr>
          <w:rFonts w:cs="Times New Roman"/>
          <w:szCs w:val="28"/>
        </w:rPr>
      </w:pPr>
      <w:r w:rsidRPr="001D323C">
        <w:rPr>
          <w:rFonts w:cs="Times New Roman"/>
          <w:szCs w:val="28"/>
        </w:rPr>
        <w:lastRenderedPageBreak/>
        <w:t>2013.gadā tika pieņemts lēmums par elektroenerģijas lietotāju atbalsta mehānisma izveidošanu un ieviešanu, lai OIK maksājums turpmākajiem gadiem tiktu saglabāts nemainīgs – tas ir 2,69 centi/kWh apmērā. Papildus tika nolemts ar 2014.gada 1.janvāri ieviest subsidētās elektroenerģijas nodokli (turpmāk – SEN), kas tiktu piemērots ieņēmumiem par elektroenerģiju, kas pārdota OI ietvaros, kā arī ieņēmumiem no garantētās maksas par stacijā uzstādīto elektrisko jaudu. Pateicoties veiktajiem pasākumiem no 2014.gada 1.aprīļa OIK komponente nedaudz samazinājās līdz 2,68 centi/kWh.</w:t>
      </w:r>
    </w:p>
    <w:p w:rsidR="000831BB" w:rsidRPr="001D323C" w:rsidRDefault="000831BB" w:rsidP="000831BB">
      <w:pPr>
        <w:ind w:firstLine="644"/>
        <w:jc w:val="both"/>
        <w:rPr>
          <w:rFonts w:cs="Times New Roman"/>
          <w:szCs w:val="28"/>
        </w:rPr>
      </w:pPr>
      <w:r w:rsidRPr="001D323C">
        <w:rPr>
          <w:rFonts w:cs="Times New Roman"/>
          <w:szCs w:val="28"/>
        </w:rPr>
        <w:t xml:space="preserve">Lai saglabātu atbalstu elektroenerģijas ražošanai, izmantojot AER vai augstas efektivitātes koģenerācijas iekārtas, </w:t>
      </w:r>
      <w:r>
        <w:rPr>
          <w:rFonts w:cs="Times New Roman"/>
          <w:szCs w:val="28"/>
        </w:rPr>
        <w:t>un</w:t>
      </w:r>
      <w:r w:rsidRPr="001D323C">
        <w:rPr>
          <w:rFonts w:cs="Times New Roman"/>
          <w:szCs w:val="28"/>
        </w:rPr>
        <w:t xml:space="preserve"> nepieļaujot būtisku OIK palielinājumu un atstātu to 2013. gada līmenī (2,69 centi/kWh), ir ieviests SEN. Subsidētās elektroenerģijas nodokļa likums</w:t>
      </w:r>
      <w:r>
        <w:rPr>
          <w:rFonts w:cs="Times New Roman"/>
          <w:szCs w:val="28"/>
        </w:rPr>
        <w:t xml:space="preserve"> ir pieņemts</w:t>
      </w:r>
      <w:r w:rsidRPr="001D323C">
        <w:rPr>
          <w:rFonts w:cs="Times New Roman"/>
          <w:szCs w:val="28"/>
        </w:rPr>
        <w:t xml:space="preserve"> Latvijas Republikas Saeimā 2013.gada 6.novembrī un ir stājies spēkā 2014.gada 1.janvārī.</w:t>
      </w:r>
    </w:p>
    <w:p w:rsidR="000831BB" w:rsidRPr="001D323C" w:rsidRDefault="000831BB" w:rsidP="000831BB">
      <w:pPr>
        <w:ind w:firstLine="644"/>
        <w:jc w:val="both"/>
        <w:rPr>
          <w:rFonts w:cs="Times New Roman"/>
          <w:szCs w:val="28"/>
        </w:rPr>
      </w:pPr>
      <w:r w:rsidRPr="001D323C">
        <w:rPr>
          <w:rFonts w:cs="Times New Roman"/>
          <w:szCs w:val="28"/>
        </w:rPr>
        <w:t>Subsidētās elektroenerģijas nodokļa likums paredz SEN piemērot no 2014. gada 1. janvāra līdz 2017. gada 31. decembrim. Šim nodoklim ir noteiktas trīs dažādas likmes:</w:t>
      </w:r>
    </w:p>
    <w:p w:rsidR="000831BB" w:rsidRPr="001D323C" w:rsidRDefault="000831BB" w:rsidP="008A14BD">
      <w:pPr>
        <w:numPr>
          <w:ilvl w:val="1"/>
          <w:numId w:val="58"/>
        </w:numPr>
        <w:contextualSpacing/>
        <w:jc w:val="both"/>
        <w:rPr>
          <w:rFonts w:cs="Times New Roman"/>
          <w:szCs w:val="28"/>
        </w:rPr>
      </w:pPr>
      <w:r w:rsidRPr="001D323C">
        <w:rPr>
          <w:rFonts w:cs="Times New Roman"/>
          <w:szCs w:val="28"/>
        </w:rPr>
        <w:t>15% dabasgāzes koģenerācijas stacijām;</w:t>
      </w:r>
    </w:p>
    <w:p w:rsidR="000831BB" w:rsidRPr="001D323C" w:rsidRDefault="000831BB" w:rsidP="008A14BD">
      <w:pPr>
        <w:numPr>
          <w:ilvl w:val="1"/>
          <w:numId w:val="59"/>
        </w:numPr>
        <w:jc w:val="both"/>
        <w:rPr>
          <w:rFonts w:cs="Times New Roman"/>
          <w:szCs w:val="28"/>
        </w:rPr>
      </w:pPr>
      <w:r w:rsidRPr="001D323C">
        <w:rPr>
          <w:rFonts w:cs="Times New Roman"/>
          <w:szCs w:val="28"/>
        </w:rPr>
        <w:t>10% AER izmantojošām stacijām;</w:t>
      </w:r>
    </w:p>
    <w:p w:rsidR="000831BB" w:rsidRPr="005E4F7C" w:rsidRDefault="000831BB" w:rsidP="008A14BD">
      <w:pPr>
        <w:pStyle w:val="ListParagraph"/>
        <w:numPr>
          <w:ilvl w:val="0"/>
          <w:numId w:val="57"/>
        </w:numPr>
        <w:ind w:left="1440"/>
        <w:jc w:val="both"/>
        <w:rPr>
          <w:rFonts w:cs="Times New Roman"/>
          <w:szCs w:val="28"/>
        </w:rPr>
      </w:pPr>
      <w:r w:rsidRPr="005E4F7C">
        <w:rPr>
          <w:rFonts w:cs="Times New Roman"/>
          <w:szCs w:val="28"/>
        </w:rPr>
        <w:t>5% stacijām, kas atbilst noteiktiem nosacījumiem</w:t>
      </w:r>
      <w:r>
        <w:rPr>
          <w:rStyle w:val="FootnoteReference"/>
          <w:rFonts w:cs="Times New Roman"/>
        </w:rPr>
        <w:footnoteReference w:id="16"/>
      </w:r>
      <w:r w:rsidRPr="005E4F7C">
        <w:rPr>
          <w:rFonts w:cs="Times New Roman"/>
          <w:szCs w:val="28"/>
        </w:rPr>
        <w:t>.</w:t>
      </w:r>
    </w:p>
    <w:p w:rsidR="002C7420" w:rsidRDefault="002C7420" w:rsidP="000831BB">
      <w:pPr>
        <w:ind w:firstLine="708"/>
        <w:jc w:val="both"/>
        <w:rPr>
          <w:rFonts w:cs="Times New Roman"/>
          <w:szCs w:val="28"/>
        </w:rPr>
      </w:pPr>
    </w:p>
    <w:p w:rsidR="000831BB" w:rsidRPr="001D323C" w:rsidRDefault="000831BB" w:rsidP="000831BB">
      <w:pPr>
        <w:ind w:firstLine="708"/>
        <w:jc w:val="both"/>
        <w:rPr>
          <w:rFonts w:cs="Times New Roman"/>
          <w:szCs w:val="28"/>
        </w:rPr>
      </w:pPr>
      <w:r w:rsidRPr="001D323C">
        <w:rPr>
          <w:rFonts w:cs="Times New Roman"/>
          <w:szCs w:val="28"/>
        </w:rPr>
        <w:t xml:space="preserve">SEN ieviešana bija nepieciešama, lai novērstu izmaksu palielināšanos gan elektroenerģijas lietotājiem, gan valsts budžetam, kas var apdraudēt atbalstu videi draudzīgas elektroenerģijas ražošanai esošajā apmērā. Pie tam jāņem vērā, ka elektroenerģijas ražošanai no AER izmantoto tehnoloģiju izmaksas ar laiku samazinās, palielinoties to izplatībai, savukārt izmaksājamais atbalsta apjoms līdzšinējā atbalsta mehānismā palielinās, jo tā lielums ir piesaistīts dabasgāzes tirdzniecības tarifam. </w:t>
      </w:r>
    </w:p>
    <w:p w:rsidR="000831BB" w:rsidRDefault="000831BB" w:rsidP="000831BB">
      <w:pPr>
        <w:ind w:firstLine="720"/>
        <w:jc w:val="both"/>
        <w:rPr>
          <w:rFonts w:cs="Times New Roman"/>
          <w:szCs w:val="28"/>
        </w:rPr>
      </w:pPr>
      <w:r w:rsidRPr="001D323C">
        <w:rPr>
          <w:rFonts w:cs="Times New Roman"/>
          <w:szCs w:val="28"/>
        </w:rPr>
        <w:t xml:space="preserve">Kopumā laika posmā no 2014. gada 1. janvāra līdz 2017. gada 31. martam tiek prognozēts, ka no valsts budžeta papildus būs nepieciešami 202,16 milj. EUR, nosedzot visus OI maksājumus – gan ietverot jaudas komponenti, gan enerģijas komponenti. </w:t>
      </w:r>
      <w:r>
        <w:rPr>
          <w:rFonts w:cs="Times New Roman"/>
          <w:szCs w:val="28"/>
        </w:rPr>
        <w:t xml:space="preserve">Valsts budžetā ieņēmums OI maksājumu nosegšanai </w:t>
      </w:r>
      <w:r>
        <w:rPr>
          <w:rFonts w:cs="Times New Roman"/>
          <w:szCs w:val="28"/>
        </w:rPr>
        <w:lastRenderedPageBreak/>
        <w:t>veidos SEN, AS „Latvenergo” dividendes un PVN maksājumi no elektroenerģijas cenas pieaugšanas.</w:t>
      </w:r>
    </w:p>
    <w:p w:rsidR="000D755E" w:rsidRDefault="000D755E" w:rsidP="000D755E">
      <w:pPr>
        <w:ind w:firstLine="644"/>
        <w:jc w:val="both"/>
        <w:rPr>
          <w:rFonts w:cs="Times New Roman"/>
          <w:szCs w:val="28"/>
        </w:rPr>
      </w:pPr>
    </w:p>
    <w:p w:rsidR="000831BB" w:rsidRDefault="000831BB" w:rsidP="000831BB">
      <w:pPr>
        <w:jc w:val="both"/>
        <w:rPr>
          <w:rFonts w:eastAsiaTheme="majorEastAsia" w:cs="Times New Roman"/>
          <w:bCs/>
          <w:szCs w:val="28"/>
          <w:u w:val="single"/>
        </w:rPr>
      </w:pPr>
      <w:r w:rsidRPr="00483702">
        <w:rPr>
          <w:rFonts w:eastAsiaTheme="majorEastAsia" w:cs="Times New Roman"/>
          <w:bCs/>
          <w:szCs w:val="28"/>
          <w:u w:val="single"/>
        </w:rPr>
        <w:t>AER saražotās enerģijas īpatsvars transportā</w:t>
      </w:r>
    </w:p>
    <w:p w:rsidR="000831BB" w:rsidRPr="001D323C" w:rsidRDefault="000831BB" w:rsidP="000831BB">
      <w:pPr>
        <w:ind w:firstLine="851"/>
        <w:jc w:val="both"/>
      </w:pPr>
      <w:r>
        <w:t xml:space="preserve">Latvijai tāpat kā citām ES dalībvalstīm līdz 2020.gadam ir jāsasniedz 10% AER saražotās enerģijas īpatsvars enerģijas galapatēriņā transportā. </w:t>
      </w:r>
      <w:r w:rsidRPr="001D323C">
        <w:t xml:space="preserve">2011.gadā </w:t>
      </w:r>
      <w:r>
        <w:t xml:space="preserve">Latvija </w:t>
      </w:r>
      <w:r w:rsidRPr="001D323C">
        <w:t>sasnie</w:t>
      </w:r>
      <w:r>
        <w:t>dza</w:t>
      </w:r>
      <w:r w:rsidRPr="001D323C">
        <w:t xml:space="preserve"> 3,24% AER  enerģijas īpatsvara transporta sektorā, 2012.gadā – 3,10%. Latvijai</w:t>
      </w:r>
      <w:r>
        <w:t xml:space="preserve"> šī mērķa sasniegšana</w:t>
      </w:r>
      <w:r w:rsidRPr="001D323C">
        <w:t xml:space="preserve"> pamatā </w:t>
      </w:r>
      <w:r>
        <w:t xml:space="preserve">ir saistīta ar </w:t>
      </w:r>
      <w:r w:rsidRPr="001D323C">
        <w:t>tehnoloģi</w:t>
      </w:r>
      <w:r>
        <w:t>sko</w:t>
      </w:r>
      <w:r w:rsidRPr="001D323C">
        <w:t xml:space="preserve"> izaicinājums (to ietekmē novecojušais autoparks un jaunākās paaudzes biodegvielu ražošanas joprojām ierobežotās iespējas, kā arī degvielas patēriņa samazināšanās kopumā).</w:t>
      </w:r>
    </w:p>
    <w:p w:rsidR="000831BB" w:rsidRPr="001D323C" w:rsidRDefault="000831BB" w:rsidP="000831BB">
      <w:pPr>
        <w:ind w:firstLine="720"/>
        <w:jc w:val="both"/>
        <w:rPr>
          <w:rFonts w:eastAsia="Times New Roman" w:cs="Times New Roman"/>
          <w:szCs w:val="28"/>
        </w:rPr>
      </w:pPr>
      <w:r w:rsidRPr="001D323C">
        <w:rPr>
          <w:rFonts w:eastAsia="Times New Roman" w:cs="Times New Roman"/>
          <w:szCs w:val="28"/>
        </w:rPr>
        <w:t xml:space="preserve">Visplašāk pazīstamie biodegvielas veidi ir bioetanols un biodīzeļdegviela, tomēr pasaulē kā autotransporta degvielu izmanto arī tīru augu eļļu. </w:t>
      </w:r>
    </w:p>
    <w:p w:rsidR="000831BB" w:rsidRPr="001D323C" w:rsidRDefault="000831BB" w:rsidP="000831BB">
      <w:pPr>
        <w:ind w:firstLine="567"/>
        <w:jc w:val="both"/>
        <w:rPr>
          <w:rFonts w:eastAsia="Calibri" w:cs="Times New Roman"/>
          <w:szCs w:val="28"/>
        </w:rPr>
      </w:pPr>
      <w:r w:rsidRPr="001D323C">
        <w:rPr>
          <w:rFonts w:eastAsia="Calibri" w:cs="Times New Roman"/>
          <w:szCs w:val="28"/>
        </w:rPr>
        <w:t xml:space="preserve">Latvijā bioetanola ražošanai izmanto graudaugus - kviešus, rudzus un tritikāli, bet tīras augu eļļas un biodīzeļdegvielas ražošanai - rapsi. Daļa no Latvijā saražotās biodegvielas tiek izvesta uz Mažeiķu naftas pārstrādes rūpnīcu, kur biodegviela tiek sajaukta ar fosilo degvielu atbilstoši Latvijas prasībai, ka fosilo degvielu atļauts realizēt tikai ar 5% biodegvielu piejaukumu, un pēc tam ievesta atpakaļ realizācijai Latvijas tirgū. </w:t>
      </w:r>
    </w:p>
    <w:p w:rsidR="000831BB" w:rsidRPr="001D323C" w:rsidRDefault="000831BB" w:rsidP="000831BB">
      <w:pPr>
        <w:ind w:firstLine="720"/>
        <w:jc w:val="both"/>
        <w:rPr>
          <w:rFonts w:eastAsia="Times New Roman" w:cs="Times New Roman"/>
          <w:szCs w:val="28"/>
        </w:rPr>
      </w:pPr>
      <w:r w:rsidRPr="001D323C">
        <w:rPr>
          <w:rFonts w:eastAsia="Times New Roman" w:cs="Times New Roman"/>
          <w:szCs w:val="28"/>
        </w:rPr>
        <w:t>Biodegvielas īpatsvars Latvijas primāro energoresursu patēriņā 2012.gadā bija neliels un atbilda vien 0.94 PJ, kas ir, attiecīgi, par 0,22 un 0,13 PJ mazāk nekā 2010.un 2011.gadā.</w:t>
      </w:r>
    </w:p>
    <w:p w:rsidR="000831BB" w:rsidRPr="001D323C" w:rsidRDefault="000831BB" w:rsidP="000831BB">
      <w:pPr>
        <w:ind w:firstLine="720"/>
        <w:jc w:val="both"/>
        <w:rPr>
          <w:rFonts w:eastAsia="Times New Roman" w:cs="Times New Roman"/>
          <w:szCs w:val="28"/>
        </w:rPr>
      </w:pPr>
      <w:r w:rsidRPr="001D323C">
        <w:rPr>
          <w:rFonts w:eastAsia="Times New Roman" w:cs="Times New Roman"/>
          <w:szCs w:val="28"/>
        </w:rPr>
        <w:t>Pašlaik Latvijā netiek ražotas un izmantotas otrās paaudzes biodegvielas, kas ražotas no atkritumiem, atlikumiem, nepārtikas celulozes izejvielām un lignocelulozes izejvielām.</w:t>
      </w:r>
    </w:p>
    <w:p w:rsidR="000831BB" w:rsidRPr="001D323C" w:rsidRDefault="000831BB" w:rsidP="000831BB">
      <w:pPr>
        <w:ind w:firstLine="720"/>
        <w:jc w:val="both"/>
      </w:pPr>
      <w:r w:rsidRPr="001D323C">
        <w:t xml:space="preserve">Lai veicinātu biodegvielas patēriņu Latvijā atbilstoši Biodegvielas likuma nosacījumiem, ar 2009.gada 1.oktobri tika ieviests obligātais 5% biodegvielas piejaukums fosilajai degvielai. </w:t>
      </w:r>
    </w:p>
    <w:p w:rsidR="000831BB" w:rsidRPr="001D323C" w:rsidRDefault="000831BB" w:rsidP="000831BB">
      <w:pPr>
        <w:ind w:firstLine="720"/>
        <w:jc w:val="both"/>
        <w:rPr>
          <w:bCs/>
        </w:rPr>
      </w:pPr>
      <w:r w:rsidRPr="001D323C">
        <w:t>Līdzšinējā biodegvielu ražošanas nozares attīstība Latvijā un valsts atbalsta instrumentu efektivitātes analīze</w:t>
      </w:r>
      <w:r w:rsidRPr="001D323C">
        <w:rPr>
          <w:vertAlign w:val="superscript"/>
        </w:rPr>
        <w:footnoteReference w:id="17"/>
      </w:r>
      <w:r w:rsidRPr="001D323C">
        <w:t xml:space="preserve"> rāda, ka pieprasījuma pieaugumu vislabāk stimulē tieši ar patēriņu saistīti politikas instrumenti, tāpēc biodegvielas izmantošanu būtu nepieciešams veicināt ar dažādiem netiešā atbalsta pasākumiem.</w:t>
      </w:r>
    </w:p>
    <w:p w:rsidR="00651645" w:rsidRDefault="000831BB" w:rsidP="00651645">
      <w:pPr>
        <w:ind w:firstLine="720"/>
        <w:jc w:val="both"/>
        <w:rPr>
          <w:rFonts w:cs="Times New Roman"/>
          <w:szCs w:val="28"/>
        </w:rPr>
      </w:pPr>
      <w:r>
        <w:rPr>
          <w:rFonts w:cs="Times New Roman"/>
          <w:szCs w:val="28"/>
        </w:rPr>
        <w:t>Papildus tam Latvija laika posmā līdz 2020.gadam plāno īstenot vairākus videi draudzīga transporta attīstības pasākumus, sākot ar Latvijas dzelzceļa elektrifikāciju un beidzot ar bezizmešu transporta attīstību Rīgas pilsētā. Visi šie pasākumi dos ieguldījumu 10% AER transporta mērķa sasniegšanā.</w:t>
      </w:r>
    </w:p>
    <w:p w:rsidR="00C84DD3" w:rsidRDefault="00672E41" w:rsidP="00672E41">
      <w:pPr>
        <w:pStyle w:val="Heading2"/>
        <w:spacing w:after="120"/>
        <w:ind w:left="1429"/>
      </w:pPr>
      <w:bookmarkStart w:id="23" w:name="_Toc401644324"/>
      <w:r>
        <w:lastRenderedPageBreak/>
        <w:t xml:space="preserve">3.6. </w:t>
      </w:r>
      <w:r w:rsidR="00C84DD3" w:rsidRPr="00612260">
        <w:t>Energoefektivitāte</w:t>
      </w:r>
      <w:bookmarkEnd w:id="23"/>
    </w:p>
    <w:p w:rsidR="00612260" w:rsidRPr="00505EE8" w:rsidRDefault="00612260" w:rsidP="00612260">
      <w:pPr>
        <w:ind w:firstLine="709"/>
        <w:jc w:val="both"/>
        <w:rPr>
          <w:szCs w:val="28"/>
        </w:rPr>
      </w:pPr>
      <w:r w:rsidRPr="00505EE8">
        <w:rPr>
          <w:szCs w:val="28"/>
        </w:rPr>
        <w:t>ES enerģētikas politikā būtiska loma ir energoefektivitātes veicināšanai, jo tā horizontāli sniedz ieguldījumu SEG emisiju samazināšanā</w:t>
      </w:r>
      <w:r w:rsidR="00033131">
        <w:rPr>
          <w:szCs w:val="28"/>
        </w:rPr>
        <w:t xml:space="preserve"> un </w:t>
      </w:r>
      <w:r w:rsidRPr="00505EE8">
        <w:rPr>
          <w:szCs w:val="28"/>
        </w:rPr>
        <w:t>fosilās enerģijas importa samazināšanā</w:t>
      </w:r>
      <w:r w:rsidR="00033131">
        <w:rPr>
          <w:szCs w:val="28"/>
        </w:rPr>
        <w:t xml:space="preserve">. </w:t>
      </w:r>
      <w:r w:rsidRPr="00505EE8">
        <w:rPr>
          <w:szCs w:val="28"/>
        </w:rPr>
        <w:t>2007.gada marta Eiropadomē nospraustā mērķa (paaugstināt energoefektivitāti par 20% līdz 2020.gadam) īstenošanai tika izstrādāti trīs galvenie instrumenti:</w:t>
      </w:r>
    </w:p>
    <w:p w:rsidR="00612260" w:rsidRPr="00505EE8" w:rsidRDefault="00612260" w:rsidP="00612260">
      <w:pPr>
        <w:numPr>
          <w:ilvl w:val="0"/>
          <w:numId w:val="22"/>
        </w:numPr>
        <w:jc w:val="both"/>
        <w:rPr>
          <w:szCs w:val="28"/>
        </w:rPr>
      </w:pPr>
      <w:r w:rsidRPr="00505EE8">
        <w:rPr>
          <w:szCs w:val="28"/>
          <w:u w:val="single"/>
        </w:rPr>
        <w:t>Ēku energoefektivitātes direktīva</w:t>
      </w:r>
      <w:r>
        <w:rPr>
          <w:rStyle w:val="FootnoteReference"/>
          <w:u w:val="single"/>
        </w:rPr>
        <w:footnoteReference w:id="18"/>
      </w:r>
      <w:r w:rsidRPr="00505EE8">
        <w:rPr>
          <w:szCs w:val="28"/>
        </w:rPr>
        <w:t xml:space="preserve"> ir mērķtiecīgs instruments ēku sektora energoefektivitātes uzlabošanai, kas  paredz noteikt minimālos ēku energoefektivitātes standartus jaunām un atjaunotām ēkām un to daļām</w:t>
      </w:r>
      <w:r>
        <w:rPr>
          <w:szCs w:val="28"/>
        </w:rPr>
        <w:t>, kā arī</w:t>
      </w:r>
      <w:r w:rsidRPr="00505EE8">
        <w:rPr>
          <w:szCs w:val="28"/>
        </w:rPr>
        <w:t xml:space="preserve"> nacionālajā līmenī ieviest prasību virzīties uz gandrīz nulles enerģijas līmeņa ēkām. </w:t>
      </w:r>
    </w:p>
    <w:p w:rsidR="00612260" w:rsidRPr="00505EE8" w:rsidRDefault="00612260" w:rsidP="00612260">
      <w:pPr>
        <w:numPr>
          <w:ilvl w:val="0"/>
          <w:numId w:val="22"/>
        </w:numPr>
        <w:jc w:val="both"/>
        <w:rPr>
          <w:szCs w:val="28"/>
        </w:rPr>
      </w:pPr>
      <w:r w:rsidRPr="00505EE8">
        <w:rPr>
          <w:szCs w:val="28"/>
          <w:u w:val="single"/>
        </w:rPr>
        <w:t>Energomarķējuma</w:t>
      </w:r>
      <w:r>
        <w:rPr>
          <w:szCs w:val="28"/>
          <w:u w:val="single"/>
        </w:rPr>
        <w:t xml:space="preserve"> direktīva</w:t>
      </w:r>
      <w:r>
        <w:rPr>
          <w:rStyle w:val="FootnoteReference"/>
          <w:u w:val="single"/>
        </w:rPr>
        <w:footnoteReference w:id="19"/>
      </w:r>
      <w:r w:rsidRPr="00505EE8">
        <w:rPr>
          <w:szCs w:val="28"/>
          <w:u w:val="single"/>
        </w:rPr>
        <w:t xml:space="preserve">  un </w:t>
      </w:r>
      <w:r>
        <w:rPr>
          <w:szCs w:val="28"/>
          <w:u w:val="single"/>
        </w:rPr>
        <w:t>E</w:t>
      </w:r>
      <w:r w:rsidRPr="00505EE8">
        <w:rPr>
          <w:szCs w:val="28"/>
          <w:u w:val="single"/>
        </w:rPr>
        <w:t>kodizaina</w:t>
      </w:r>
      <w:r>
        <w:rPr>
          <w:szCs w:val="28"/>
          <w:u w:val="single"/>
        </w:rPr>
        <w:t xml:space="preserve"> direktīva</w:t>
      </w:r>
      <w:r>
        <w:rPr>
          <w:rStyle w:val="FootnoteReference"/>
          <w:u w:val="single"/>
        </w:rPr>
        <w:footnoteReference w:id="20"/>
      </w:r>
      <w:r w:rsidRPr="00505EE8">
        <w:rPr>
          <w:szCs w:val="28"/>
          <w:u w:val="single"/>
        </w:rPr>
        <w:t xml:space="preserve"> </w:t>
      </w:r>
      <w:r w:rsidRPr="00505EE8">
        <w:rPr>
          <w:szCs w:val="28"/>
        </w:rPr>
        <w:t xml:space="preserve">nosaka vispārējas prasības preču marķēšanai un minimālajiem energoefektivitātes rādītājiem. </w:t>
      </w:r>
    </w:p>
    <w:p w:rsidR="00612260" w:rsidRDefault="00612260" w:rsidP="00612260">
      <w:pPr>
        <w:numPr>
          <w:ilvl w:val="0"/>
          <w:numId w:val="22"/>
        </w:numPr>
        <w:jc w:val="both"/>
        <w:rPr>
          <w:szCs w:val="28"/>
        </w:rPr>
      </w:pPr>
      <w:r w:rsidRPr="00505EE8">
        <w:rPr>
          <w:szCs w:val="28"/>
          <w:u w:val="single"/>
        </w:rPr>
        <w:t>Energoefektivitātes direktīva</w:t>
      </w:r>
      <w:r>
        <w:rPr>
          <w:rStyle w:val="FootnoteReference"/>
          <w:u w:val="single"/>
        </w:rPr>
        <w:footnoteReference w:id="21"/>
      </w:r>
      <w:r w:rsidRPr="00505EE8">
        <w:rPr>
          <w:szCs w:val="28"/>
        </w:rPr>
        <w:t xml:space="preserve"> nosaka, ka ES energoefektivitātes mērķis paredz nepatērēt vairāk kā 1474</w:t>
      </w:r>
      <w:r>
        <w:rPr>
          <w:szCs w:val="28"/>
        </w:rPr>
        <w:t xml:space="preserve"> </w:t>
      </w:r>
      <w:r w:rsidRPr="00505EE8">
        <w:rPr>
          <w:szCs w:val="28"/>
        </w:rPr>
        <w:t xml:space="preserve">Mtoe enerģijas 2020.gadā. Direktīva nosaka arī virkni apakšmērķu: 1,5% </w:t>
      </w:r>
      <w:r w:rsidR="00CA0EE2">
        <w:rPr>
          <w:szCs w:val="28"/>
        </w:rPr>
        <w:t xml:space="preserve">gala </w:t>
      </w:r>
      <w:r w:rsidRPr="00505EE8">
        <w:rPr>
          <w:szCs w:val="28"/>
        </w:rPr>
        <w:t xml:space="preserve">enerģijas ietaupījuma mērķi, 3% mērķi </w:t>
      </w:r>
      <w:r w:rsidR="00CA0EE2">
        <w:rPr>
          <w:szCs w:val="28"/>
        </w:rPr>
        <w:t>tiešās valsts pārvaldes</w:t>
      </w:r>
      <w:r w:rsidR="00CA0EE2" w:rsidRPr="00505EE8">
        <w:rPr>
          <w:szCs w:val="28"/>
        </w:rPr>
        <w:t xml:space="preserve"> </w:t>
      </w:r>
      <w:r w:rsidRPr="00505EE8">
        <w:rPr>
          <w:szCs w:val="28"/>
        </w:rPr>
        <w:t>ēku ikgadējai atjaunošanai, kā arī prasību valstīm noteikt indikatīvu nacionālo mērķi.</w:t>
      </w:r>
    </w:p>
    <w:p w:rsidR="00612260" w:rsidRPr="007B44DF" w:rsidRDefault="00612260" w:rsidP="00612260">
      <w:pPr>
        <w:jc w:val="both"/>
        <w:rPr>
          <w:szCs w:val="28"/>
        </w:rPr>
      </w:pPr>
      <w:r w:rsidRPr="00505EE8">
        <w:rPr>
          <w:szCs w:val="28"/>
        </w:rPr>
        <w:t xml:space="preserve"> </w:t>
      </w:r>
    </w:p>
    <w:p w:rsidR="00612260" w:rsidRPr="00EE759E" w:rsidRDefault="00CA0EE2" w:rsidP="00612260">
      <w:pPr>
        <w:ind w:firstLine="709"/>
        <w:jc w:val="both"/>
        <w:rPr>
          <w:szCs w:val="28"/>
        </w:rPr>
      </w:pPr>
      <w:r>
        <w:rPr>
          <w:szCs w:val="28"/>
        </w:rPr>
        <w:t>Saskaņā ar Eiropas Komisijas paziņojumā</w:t>
      </w:r>
      <w:r>
        <w:rPr>
          <w:rStyle w:val="FootnoteReference"/>
        </w:rPr>
        <w:footnoteReference w:id="22"/>
      </w:r>
      <w:r>
        <w:rPr>
          <w:szCs w:val="28"/>
        </w:rPr>
        <w:t xml:space="preserve"> 2020.gadā būs iespējams energoefektivitāti paaugstināt par 18 – 19%</w:t>
      </w:r>
      <w:r w:rsidR="00612260" w:rsidRPr="00EE759E">
        <w:rPr>
          <w:szCs w:val="28"/>
        </w:rPr>
        <w:t xml:space="preserve">. Energoefektivitātes direktīvā ir ietverti pasākumi, kuri aptver visu energoapgādes ķēdi, t.sk. enerģijas ražošanu, pārvadi un sadali, un ietver publiskā sektora svarīgo lomu energoefektivitātes jomā, ēkas un ierīces, rūpniecību, kā arī nepieciešamību sniegt iespēju galalietotājiem pārvaldīt savu enerģijas patēriņu. </w:t>
      </w:r>
    </w:p>
    <w:p w:rsidR="00445524" w:rsidRPr="00445524" w:rsidRDefault="00445524" w:rsidP="00445524">
      <w:pPr>
        <w:pStyle w:val="BodyText"/>
        <w:spacing w:after="0"/>
        <w:ind w:firstLine="720"/>
        <w:jc w:val="both"/>
        <w:rPr>
          <w:rFonts w:eastAsiaTheme="minorHAnsi"/>
          <w:sz w:val="28"/>
        </w:rPr>
      </w:pPr>
      <w:r w:rsidRPr="00445524">
        <w:rPr>
          <w:rFonts w:eastAsiaTheme="minorHAnsi"/>
          <w:sz w:val="28"/>
        </w:rPr>
        <w:t xml:space="preserve">Augstas efektivitātes koģenerācijai un centralizētajai siltumapgādei un dzesēšanai ir ievērojams primārās enerģijas ietaupījuma potenciāls. </w:t>
      </w:r>
      <w:r w:rsidRPr="00E3577B">
        <w:rPr>
          <w:rFonts w:eastAsiaTheme="minorHAnsi" w:cstheme="minorBidi"/>
          <w:sz w:val="28"/>
          <w:szCs w:val="28"/>
        </w:rPr>
        <w:t>Tāpēc Energoefektivitātes direktīva uzdod valstīm veikt  izmaksu</w:t>
      </w:r>
      <w:r w:rsidRPr="00445524">
        <w:rPr>
          <w:rFonts w:eastAsiaTheme="minorHAnsi"/>
          <w:sz w:val="28"/>
        </w:rPr>
        <w:t xml:space="preserve"> un </w:t>
      </w:r>
      <w:r w:rsidRPr="00E3577B">
        <w:rPr>
          <w:rFonts w:eastAsiaTheme="minorHAnsi" w:cstheme="minorBidi"/>
          <w:sz w:val="28"/>
          <w:szCs w:val="28"/>
        </w:rPr>
        <w:t>ieguvumu izvērtējumu</w:t>
      </w:r>
      <w:r w:rsidRPr="00445524">
        <w:rPr>
          <w:rFonts w:eastAsiaTheme="minorHAnsi"/>
          <w:sz w:val="28"/>
        </w:rPr>
        <w:t xml:space="preserve"> par augstas efektivitātes koģenerācijas un centralizētas siltumapgādes un dzesēšanas potenciālu. </w:t>
      </w:r>
      <w:r w:rsidRPr="00E3577B">
        <w:rPr>
          <w:rFonts w:eastAsiaTheme="minorHAnsi" w:cstheme="minorBidi"/>
          <w:sz w:val="28"/>
          <w:szCs w:val="28"/>
        </w:rPr>
        <w:t xml:space="preserve">Ja valstī tiek konstatēts izmaksu efektīvs potenciāls rūpniecībā vai elektroenerģijas ražošanā pārpalikušā siltuma izmantošanai, jaunās rūpniecības un </w:t>
      </w:r>
      <w:r w:rsidRPr="00445524">
        <w:rPr>
          <w:rFonts w:eastAsiaTheme="minorHAnsi"/>
          <w:sz w:val="28"/>
        </w:rPr>
        <w:t xml:space="preserve"> elektroenerģijas ražošanas iekārtas un  </w:t>
      </w:r>
      <w:r w:rsidRPr="00445524">
        <w:rPr>
          <w:rFonts w:eastAsiaTheme="minorHAnsi"/>
          <w:sz w:val="28"/>
        </w:rPr>
        <w:lastRenderedPageBreak/>
        <w:t xml:space="preserve">iekārtas, kuras tiek būtiski modernizētas būtu, pamatojoties uz pozitīvu ieguvumu analīzi, jāaprīko ar augstas efektivitātes koģenerācijas iekārtām, lai </w:t>
      </w:r>
      <w:r w:rsidRPr="00E3577B">
        <w:rPr>
          <w:rFonts w:eastAsiaTheme="minorHAnsi" w:cstheme="minorBidi"/>
          <w:sz w:val="28"/>
          <w:szCs w:val="28"/>
        </w:rPr>
        <w:t xml:space="preserve">lietderīgi izmantotu </w:t>
      </w:r>
      <w:r w:rsidRPr="00445524">
        <w:rPr>
          <w:rFonts w:eastAsiaTheme="minorHAnsi"/>
          <w:sz w:val="28"/>
        </w:rPr>
        <w:t xml:space="preserve"> siltuma pārpalikumu</w:t>
      </w:r>
      <w:r w:rsidRPr="00E3577B">
        <w:rPr>
          <w:rFonts w:eastAsiaTheme="minorHAnsi" w:cstheme="minorBidi"/>
          <w:sz w:val="28"/>
          <w:szCs w:val="28"/>
        </w:rPr>
        <w:t xml:space="preserve">. </w:t>
      </w:r>
    </w:p>
    <w:p w:rsidR="00445524" w:rsidRDefault="00445524" w:rsidP="00445524">
      <w:pPr>
        <w:pStyle w:val="BodyText"/>
        <w:spacing w:after="0"/>
        <w:ind w:firstLine="720"/>
        <w:jc w:val="both"/>
        <w:rPr>
          <w:rFonts w:eastAsiaTheme="minorHAnsi" w:cstheme="minorBidi"/>
          <w:sz w:val="28"/>
          <w:szCs w:val="28"/>
        </w:rPr>
      </w:pPr>
    </w:p>
    <w:p w:rsidR="00445524" w:rsidRPr="00445524" w:rsidRDefault="00445524" w:rsidP="00672E41">
      <w:pPr>
        <w:pStyle w:val="BodyText"/>
        <w:spacing w:after="0"/>
        <w:jc w:val="both"/>
        <w:rPr>
          <w:sz w:val="28"/>
          <w:u w:val="single"/>
        </w:rPr>
      </w:pPr>
      <w:r w:rsidRPr="00445524">
        <w:rPr>
          <w:sz w:val="28"/>
          <w:u w:val="single"/>
        </w:rPr>
        <w:t xml:space="preserve">Energoefektivitāte elektroenerģijas </w:t>
      </w:r>
      <w:r>
        <w:rPr>
          <w:sz w:val="28"/>
          <w:szCs w:val="28"/>
          <w:u w:val="single"/>
        </w:rPr>
        <w:t xml:space="preserve">ražošanā, </w:t>
      </w:r>
      <w:r w:rsidRPr="00445524">
        <w:rPr>
          <w:sz w:val="28"/>
          <w:u w:val="single"/>
        </w:rPr>
        <w:t xml:space="preserve">sadalē un pārvadē </w:t>
      </w:r>
    </w:p>
    <w:p w:rsidR="00445524" w:rsidRPr="0014291E" w:rsidRDefault="00445524" w:rsidP="00445524">
      <w:pPr>
        <w:ind w:firstLine="720"/>
        <w:jc w:val="both"/>
      </w:pPr>
      <w:r w:rsidRPr="002967B2">
        <w:rPr>
          <w:rFonts w:eastAsia="Times New Roman" w:cs="Times New Roman"/>
          <w:szCs w:val="28"/>
        </w:rPr>
        <w:t>Elektroenerģijas</w:t>
      </w:r>
      <w:r w:rsidRPr="0014291E">
        <w:t xml:space="preserve"> ražošanas efektivitāti būtiski paaugstinājusi Rīgas TEC-1 un TEC-2 rekonstrukcija. </w:t>
      </w:r>
      <w:r w:rsidRPr="002967B2">
        <w:rPr>
          <w:rFonts w:eastAsia="Times New Roman" w:cs="Times New Roman"/>
          <w:szCs w:val="28"/>
        </w:rPr>
        <w:t>TEC-1 rekonstrukcijas</w:t>
      </w:r>
      <w:r w:rsidRPr="0014291E">
        <w:t xml:space="preserve"> gaitā vecās iekārtas tika aizvietotas ar jaunām augsti efektīvam un videi draudzīgām iekārtam. Rekonstrukcijas rezultātā tika radīta iespēja koģenerācijas režīmā izstrādāt ap 3-4 reizes lielāku elektroenerģijas apjomu, ievērojami (no 74% līdz 87,7%) paaugstināts kurināmā izmantošanas koeficients. </w:t>
      </w:r>
    </w:p>
    <w:p w:rsidR="00445524" w:rsidRDefault="00445524" w:rsidP="00445524">
      <w:pPr>
        <w:ind w:firstLine="720"/>
        <w:jc w:val="both"/>
        <w:rPr>
          <w:szCs w:val="28"/>
        </w:rPr>
      </w:pPr>
      <w:r w:rsidRPr="002967B2">
        <w:rPr>
          <w:szCs w:val="28"/>
        </w:rPr>
        <w:t>Līdz ar Rīgas TEC-2 rekonstrukcijas 1. kārtu ievērojami paaugstinājusies tās darbības efektivitāte. Ievērojami palielinājās attiecība starp elektrisko un siltuma jaudu koģenerācijā, no 0,5 līdz 0,98, tādējādi nodrošinot efektīvāku siltuma slodzes izmantošanu. Jaunais energobloks, arī strādājot kondensācijas režīmā, var sasniegt ļoti augstu lietderības koeficientu, līdz 57 - 58%. 2013. gadā TEC-2 rekonstrukcija noslēdzās ar termoelektrostacijas otrā bloka rekonstrukciju.  TEC-2 jaunajā blokā uz vienu siltuma vienību iespējams izstrādāt līdz pat 3 reizēm vairāk elektroenerģijas nekā iepriekš vecajos energoblokos.</w:t>
      </w:r>
    </w:p>
    <w:p w:rsidR="00445524" w:rsidRPr="002967B2" w:rsidRDefault="00445524" w:rsidP="00445524">
      <w:pPr>
        <w:ind w:firstLine="720"/>
        <w:jc w:val="both"/>
        <w:rPr>
          <w:szCs w:val="28"/>
        </w:rPr>
      </w:pPr>
      <w:r w:rsidRPr="002967B2">
        <w:rPr>
          <w:szCs w:val="28"/>
        </w:rPr>
        <w:t xml:space="preserve">Elektroenerģijas pārvades efektivitāti raksturo zudumi AS „Augstsprieguma tīkls” elektroenerģijas pārvades sistēmā, kas 2013.gadā bija 2,4% no kopējā pārvadītā elektroenerģijas daudzuma. Ņemot vērā, ka zudumu apjomu elektroenerģijas pārvades sistēmā būtiski ietekmē klimatiskie apstākļi un ar tehniskiem risinājumiem (iekārtu nomaiņa u.c.) panākamais zudumu apjoma samazinājums prasa apjomīgus finanšu ieguldījumus, AS „Augstsprieguma tīkls” savā 10 gadu attīstības plānā ir paredzējis ekonomiski un tehniski pamatotus pasākumus zudumu samazināšanai elektroenerģijas pārvades sistēmā. </w:t>
      </w:r>
    </w:p>
    <w:p w:rsidR="00445524" w:rsidRDefault="00445524" w:rsidP="00445524">
      <w:pPr>
        <w:ind w:firstLine="720"/>
        <w:jc w:val="both"/>
        <w:rPr>
          <w:szCs w:val="28"/>
        </w:rPr>
      </w:pPr>
      <w:r w:rsidRPr="002967B2">
        <w:rPr>
          <w:szCs w:val="28"/>
        </w:rPr>
        <w:t xml:space="preserve">Elektroenerģijas sadalē  zudumu līmenis AS „Sadales tīkls” elektroenerģijas sadales sistēmā </w:t>
      </w:r>
      <w:r w:rsidR="00DD41F2">
        <w:rPr>
          <w:szCs w:val="28"/>
        </w:rPr>
        <w:t>2013.gadā bija 4,95%</w:t>
      </w:r>
      <w:r w:rsidRPr="002967B2">
        <w:rPr>
          <w:szCs w:val="28"/>
        </w:rPr>
        <w:t xml:space="preserve"> no pārvadītā elektroenerģijas daudzuma. Zudumu līmenis kopš 90.-to gadu </w:t>
      </w:r>
      <w:r w:rsidR="00DD41F2">
        <w:rPr>
          <w:szCs w:val="28"/>
        </w:rPr>
        <w:t>vidus</w:t>
      </w:r>
      <w:r w:rsidR="00DD41F2" w:rsidRPr="002967B2">
        <w:rPr>
          <w:szCs w:val="28"/>
        </w:rPr>
        <w:t xml:space="preserve"> </w:t>
      </w:r>
      <w:r w:rsidRPr="002967B2">
        <w:rPr>
          <w:szCs w:val="28"/>
        </w:rPr>
        <w:t xml:space="preserve">ir </w:t>
      </w:r>
      <w:r w:rsidR="00C636B9">
        <w:rPr>
          <w:szCs w:val="28"/>
        </w:rPr>
        <w:t>samaz</w:t>
      </w:r>
      <w:r w:rsidR="00C636B9" w:rsidRPr="002967B2">
        <w:rPr>
          <w:szCs w:val="28"/>
        </w:rPr>
        <w:t xml:space="preserve">ināts </w:t>
      </w:r>
      <w:r w:rsidR="00C636B9">
        <w:rPr>
          <w:szCs w:val="28"/>
        </w:rPr>
        <w:t xml:space="preserve">vairāk nekā </w:t>
      </w:r>
      <w:r w:rsidR="00DD41F2">
        <w:rPr>
          <w:szCs w:val="28"/>
        </w:rPr>
        <w:t>trīs</w:t>
      </w:r>
      <w:r w:rsidRPr="002967B2">
        <w:rPr>
          <w:szCs w:val="28"/>
        </w:rPr>
        <w:t xml:space="preserve"> reizes. Lielāko zudumu daļu, </w:t>
      </w:r>
      <w:r w:rsidR="00CD0F24">
        <w:rPr>
          <w:szCs w:val="28"/>
        </w:rPr>
        <w:t>3,46%</w:t>
      </w:r>
      <w:r w:rsidRPr="002967B2">
        <w:rPr>
          <w:szCs w:val="28"/>
        </w:rPr>
        <w:t xml:space="preserve"> no pārvadītā elektroenerģijas daudzuma, veido tehniskie elektroenerģijas zudumi elektrolīnijās un transformatoros, t.sk. </w:t>
      </w:r>
      <w:r w:rsidR="00CD0F24">
        <w:rPr>
          <w:szCs w:val="28"/>
        </w:rPr>
        <w:t>2.43% vidējā/zemā sprieguma transformatoros un 0,50%</w:t>
      </w:r>
      <w:r w:rsidRPr="002967B2">
        <w:rPr>
          <w:szCs w:val="28"/>
        </w:rPr>
        <w:t xml:space="preserve"> zemsprieguma tīklos. Atlikušo zudumu daļu veido</w:t>
      </w:r>
      <w:r w:rsidR="00D900B6">
        <w:rPr>
          <w:szCs w:val="28"/>
        </w:rPr>
        <w:t xml:space="preserve"> netehniskie elektroenerģijas zudumi -</w:t>
      </w:r>
      <w:r w:rsidRPr="002967B2">
        <w:rPr>
          <w:szCs w:val="28"/>
        </w:rPr>
        <w:t xml:space="preserve"> komercuzskaišu un norēķinu rezultējošā kļūda, neapmaksātais elektroenerģijas patēriņš, kā arī elektroenerģijas nelikumīga lietošana.</w:t>
      </w:r>
    </w:p>
    <w:p w:rsidR="00D900B6" w:rsidRDefault="00445524" w:rsidP="00D900B6">
      <w:pPr>
        <w:ind w:firstLine="709"/>
        <w:jc w:val="both"/>
        <w:rPr>
          <w:szCs w:val="28"/>
        </w:rPr>
      </w:pPr>
      <w:r w:rsidRPr="002967B2">
        <w:rPr>
          <w:szCs w:val="28"/>
        </w:rPr>
        <w:t xml:space="preserve">Pārvades un sadales efektivitātes paaugstināšanai līdz 2020.gadam veicami pasākumi divos pamata virzienos - elektroenerģijas tīklos un </w:t>
      </w:r>
      <w:r w:rsidR="005B4739">
        <w:rPr>
          <w:szCs w:val="28"/>
        </w:rPr>
        <w:t xml:space="preserve">viedās elektroenerģijas </w:t>
      </w:r>
      <w:r w:rsidRPr="002967B2">
        <w:rPr>
          <w:szCs w:val="28"/>
        </w:rPr>
        <w:t xml:space="preserve">uzskaitē (konkrētāku informāciju par plānotajiem pasākumiem </w:t>
      </w:r>
      <w:r w:rsidRPr="002967B2">
        <w:rPr>
          <w:szCs w:val="28"/>
        </w:rPr>
        <w:lastRenderedPageBreak/>
        <w:t xml:space="preserve">attiecībā uz viedajiem skaitītājiem un tīklu uzlabojumiem skatīt </w:t>
      </w:r>
      <w:r w:rsidR="00D900B6">
        <w:rPr>
          <w:szCs w:val="28"/>
        </w:rPr>
        <w:t>5</w:t>
      </w:r>
      <w:r w:rsidRPr="002967B2">
        <w:rPr>
          <w:szCs w:val="28"/>
        </w:rPr>
        <w:t>.sadaļā). AS „Sadales tīkls” ir izstrādājis sadales tīklu Attīstības plānu</w:t>
      </w:r>
      <w:r w:rsidR="00D900B6">
        <w:rPr>
          <w:szCs w:val="28"/>
        </w:rPr>
        <w:t xml:space="preserve">, kura </w:t>
      </w:r>
      <w:r w:rsidR="00D900B6" w:rsidRPr="0046200E">
        <w:t xml:space="preserve">mērķis ir </w:t>
      </w:r>
      <w:r w:rsidR="00D900B6">
        <w:t>nodrošināt</w:t>
      </w:r>
      <w:r w:rsidR="00D900B6" w:rsidRPr="0046200E">
        <w:t xml:space="preserve"> līdzsvarotu </w:t>
      </w:r>
      <w:r w:rsidR="00D900B6">
        <w:t>sadales elektro</w:t>
      </w:r>
      <w:r w:rsidR="00D900B6" w:rsidRPr="0046200E">
        <w:t>tīkl</w:t>
      </w:r>
      <w:r w:rsidR="00D900B6" w:rsidDel="00AB01EC">
        <w:t>u</w:t>
      </w:r>
      <w:r w:rsidR="00D900B6" w:rsidRPr="0046200E">
        <w:t xml:space="preserve"> attīstību ilgtermiņā</w:t>
      </w:r>
      <w:r w:rsidR="00D900B6">
        <w:t xml:space="preserve"> un noteikt vadlīnijas sadales elektrotīklu tuvāko 10 gadu tehniskai un tehnoloģiskai attīstībai, kas vērsta uz klientu elektroapgādes kvalitātes uzlabošanu.</w:t>
      </w:r>
      <w:r w:rsidR="00D900B6">
        <w:rPr>
          <w:szCs w:val="28"/>
          <w:highlight w:val="yellow"/>
        </w:rPr>
        <w:t xml:space="preserve"> </w:t>
      </w:r>
    </w:p>
    <w:p w:rsidR="005B4739" w:rsidRPr="00BA32CF" w:rsidRDefault="00D900B6" w:rsidP="00D900B6">
      <w:pPr>
        <w:ind w:firstLine="709"/>
        <w:jc w:val="both"/>
      </w:pPr>
      <w:r>
        <w:t>AS „Sadales tīkls”</w:t>
      </w:r>
      <w:r w:rsidRPr="00BA32CF">
        <w:t xml:space="preserve"> 10 gadu periodā realizēs </w:t>
      </w:r>
      <w:r>
        <w:t xml:space="preserve">sekojošu </w:t>
      </w:r>
      <w:r w:rsidRPr="00BA32CF">
        <w:t>kapitālieguldī</w:t>
      </w:r>
      <w:r>
        <w:t xml:space="preserve">jumu programmas, kas paredzētas </w:t>
      </w:r>
      <w:r w:rsidRPr="00BA32CF">
        <w:t>elektroapgādes kvalitātes paaugstināšanai:</w:t>
      </w:r>
      <w:r w:rsidR="00445524" w:rsidRPr="002967B2">
        <w:rPr>
          <w:szCs w:val="28"/>
        </w:rPr>
        <w:t xml:space="preserve"> </w:t>
      </w:r>
    </w:p>
    <w:p w:rsidR="005B4739" w:rsidRPr="00BA32CF" w:rsidRDefault="005B4739" w:rsidP="005B4739">
      <w:pPr>
        <w:pStyle w:val="ListParagraph"/>
        <w:numPr>
          <w:ilvl w:val="0"/>
          <w:numId w:val="61"/>
        </w:numPr>
        <w:jc w:val="both"/>
      </w:pPr>
      <w:r>
        <w:t>elektrot</w:t>
      </w:r>
      <w:r w:rsidRPr="00BA32CF">
        <w:t>īkl</w:t>
      </w:r>
      <w:r>
        <w:t>u atjaunošana</w:t>
      </w:r>
      <w:r w:rsidRPr="00BA32CF">
        <w:t xml:space="preserve"> (2% gadā) un pieslēgumu nodrošināšana;</w:t>
      </w:r>
    </w:p>
    <w:p w:rsidR="00D900B6" w:rsidRPr="00BA32CF" w:rsidRDefault="00D900B6" w:rsidP="00D900B6">
      <w:pPr>
        <w:pStyle w:val="ListParagraph"/>
        <w:numPr>
          <w:ilvl w:val="0"/>
          <w:numId w:val="61"/>
        </w:numPr>
        <w:jc w:val="both"/>
      </w:pPr>
      <w:r>
        <w:t>viedā tīkla attīstība</w:t>
      </w:r>
      <w:r w:rsidRPr="00BA32CF">
        <w:t>;</w:t>
      </w:r>
    </w:p>
    <w:p w:rsidR="005B4739" w:rsidRPr="00BA32CF" w:rsidRDefault="00D900B6" w:rsidP="005B4739">
      <w:pPr>
        <w:pStyle w:val="ListParagraph"/>
        <w:numPr>
          <w:ilvl w:val="0"/>
          <w:numId w:val="61"/>
        </w:numPr>
        <w:jc w:val="both"/>
      </w:pPr>
      <w:r>
        <w:t>v</w:t>
      </w:r>
      <w:r w:rsidRPr="00BA32CF">
        <w:t xml:space="preserve">idsprieguma </w:t>
      </w:r>
      <w:r>
        <w:t>gaisvadu elektrotīkla pār</w:t>
      </w:r>
      <w:r w:rsidRPr="00BA32CF">
        <w:t>būves programma</w:t>
      </w:r>
      <w:r w:rsidRPr="001D0478">
        <w:t xml:space="preserve"> </w:t>
      </w:r>
      <w:r w:rsidRPr="00BA32CF">
        <w:t>kabeļ</w:t>
      </w:r>
      <w:r>
        <w:t>os</w:t>
      </w:r>
      <w:r w:rsidR="005B4739" w:rsidRPr="00BA32CF">
        <w:t>;</w:t>
      </w:r>
    </w:p>
    <w:p w:rsidR="005B4739" w:rsidRPr="00BA32CF" w:rsidRDefault="005B4739" w:rsidP="005B4739">
      <w:pPr>
        <w:pStyle w:val="ListParagraph"/>
        <w:numPr>
          <w:ilvl w:val="0"/>
          <w:numId w:val="61"/>
        </w:numPr>
        <w:jc w:val="both"/>
      </w:pPr>
      <w:r w:rsidRPr="00BA32CF">
        <w:t>1</w:t>
      </w:r>
      <w:r>
        <w:t>1</w:t>
      </w:r>
      <w:r w:rsidRPr="00BA32CF">
        <w:t>0/6-20 kV apakšstaciju izbūve</w:t>
      </w:r>
      <w:r>
        <w:t>s programma</w:t>
      </w:r>
      <w:r w:rsidRPr="00BA32CF">
        <w:t>.</w:t>
      </w:r>
    </w:p>
    <w:p w:rsidR="005B4739" w:rsidRDefault="005B4739" w:rsidP="00893494">
      <w:pPr>
        <w:ind w:firstLine="720"/>
        <w:jc w:val="both"/>
      </w:pPr>
    </w:p>
    <w:p w:rsidR="008B0C28" w:rsidRDefault="005B4739" w:rsidP="00893494">
      <w:pPr>
        <w:ind w:firstLine="720"/>
        <w:jc w:val="both"/>
      </w:pPr>
      <w:r>
        <w:t xml:space="preserve">Viedā tīkla attīstība ietver sevī sadales tīkla automatizāciju, pakāpenisku viedā tīkla elementu ieviešanu (sensori, aktīvas operatīvās elektrotīkla vadības iekārtas) un viedās elektroenerģijas uzskaites ieviešanu. </w:t>
      </w:r>
    </w:p>
    <w:p w:rsidR="00445524" w:rsidRDefault="008B0C28" w:rsidP="007A53B5">
      <w:pPr>
        <w:ind w:firstLine="567"/>
        <w:jc w:val="both"/>
        <w:rPr>
          <w:bCs/>
        </w:rPr>
      </w:pPr>
      <w:r w:rsidRPr="00A20175">
        <w:rPr>
          <w:szCs w:val="28"/>
        </w:rPr>
        <w:t xml:space="preserve">Plānots, ka </w:t>
      </w:r>
      <w:r w:rsidRPr="00C215B1">
        <w:rPr>
          <w:szCs w:val="28"/>
        </w:rPr>
        <w:t xml:space="preserve">līdz 2023.gadam </w:t>
      </w:r>
      <w:r w:rsidRPr="00A20175">
        <w:rPr>
          <w:szCs w:val="28"/>
        </w:rPr>
        <w:t>viedo</w:t>
      </w:r>
      <w:r>
        <w:rPr>
          <w:szCs w:val="28"/>
        </w:rPr>
        <w:t xml:space="preserve"> elektroenerģijas uzskaiti</w:t>
      </w:r>
      <w:r w:rsidRPr="00A20175">
        <w:rPr>
          <w:szCs w:val="28"/>
        </w:rPr>
        <w:t xml:space="preserve"> </w:t>
      </w:r>
      <w:r>
        <w:rPr>
          <w:szCs w:val="28"/>
        </w:rPr>
        <w:t xml:space="preserve">ieviesīs </w:t>
      </w:r>
      <w:r w:rsidRPr="00A20175">
        <w:rPr>
          <w:szCs w:val="28"/>
        </w:rPr>
        <w:t xml:space="preserve">visiem elektroenerģijas gala patērētājiem. Uz doto brīdi, piemēram, lielajiem </w:t>
      </w:r>
      <w:r>
        <w:rPr>
          <w:szCs w:val="28"/>
        </w:rPr>
        <w:t xml:space="preserve">juridiskajiem </w:t>
      </w:r>
      <w:r w:rsidRPr="00A20175">
        <w:rPr>
          <w:szCs w:val="28"/>
        </w:rPr>
        <w:t>elektroenerģijas patērētājiem jau ir uzstādīti 10</w:t>
      </w:r>
      <w:r>
        <w:rPr>
          <w:szCs w:val="28"/>
        </w:rPr>
        <w:t> </w:t>
      </w:r>
      <w:r w:rsidRPr="00A20175">
        <w:rPr>
          <w:szCs w:val="28"/>
        </w:rPr>
        <w:t>778 viedās uzskaites mēraparāti</w:t>
      </w:r>
      <w:r w:rsidRPr="00AD4D6C">
        <w:rPr>
          <w:szCs w:val="28"/>
        </w:rPr>
        <w:t>.</w:t>
      </w:r>
      <w:r w:rsidRPr="00A20175">
        <w:rPr>
          <w:szCs w:val="28"/>
        </w:rPr>
        <w:t xml:space="preserve"> </w:t>
      </w:r>
    </w:p>
    <w:p w:rsidR="007A53B5" w:rsidRDefault="007A53B5" w:rsidP="007A53B5">
      <w:pPr>
        <w:pStyle w:val="CM1"/>
        <w:jc w:val="both"/>
        <w:rPr>
          <w:rFonts w:ascii="Times New Roman" w:hAnsi="Times New Roman" w:cs="Times New Roman"/>
          <w:color w:val="000000"/>
          <w:sz w:val="28"/>
          <w:szCs w:val="28"/>
        </w:rPr>
      </w:pPr>
      <w:r w:rsidRPr="00E545D8">
        <w:rPr>
          <w:rFonts w:ascii="Times New Roman" w:hAnsi="Times New Roman" w:cs="Times New Roman"/>
          <w:sz w:val="28"/>
          <w:szCs w:val="28"/>
        </w:rPr>
        <w:tab/>
        <w:t xml:space="preserve">Energoefektivitātes direktīvas 7,pants nosaka pienākumu ES dalībvalstīm izveidot energoefektivitātes pienākumu shēmu ar mērķi enerģijas sadales uzņēmumus un / vai enerģijas mazumtirdzniecības uzņēmumus, kas noteikti kā atbildīgās puses pienākumu shēmā, sniegt ieguldījumu kumulatīvā mērķa sasniegšanā līdz 2020.gada 31.decembrim. </w:t>
      </w:r>
      <w:r w:rsidRPr="00E545D8">
        <w:rPr>
          <w:rFonts w:ascii="Times New Roman" w:hAnsi="Times New Roman" w:cs="Times New Roman"/>
          <w:color w:val="000000"/>
          <w:sz w:val="28"/>
          <w:szCs w:val="28"/>
        </w:rPr>
        <w:t>Minētais mērķis ir vismaz līdzvērtīgs mērķim ik gadu no 2014. gada 1. janvāra līdz 2020. gada 31. decembrim panākt jaunus ietaupījumus 1,5 % apmērā no tā enerģ</w:t>
      </w:r>
      <w:r>
        <w:rPr>
          <w:rFonts w:ascii="Times New Roman" w:hAnsi="Times New Roman" w:cs="Times New Roman"/>
          <w:color w:val="000000"/>
          <w:sz w:val="28"/>
          <w:szCs w:val="28"/>
        </w:rPr>
        <w:t>ijas apjoma</w:t>
      </w:r>
      <w:r w:rsidRPr="00E545D8">
        <w:rPr>
          <w:rFonts w:ascii="Times New Roman" w:hAnsi="Times New Roman" w:cs="Times New Roman"/>
          <w:color w:val="000000"/>
          <w:sz w:val="28"/>
          <w:szCs w:val="28"/>
        </w:rPr>
        <w:t>, kuru ik gadu pārdod visu enerģijas sadales uzņēmumu vai visu enerģijas mazumtirdzniecības uzņēmumu galalietotājiem.</w:t>
      </w:r>
      <w:r>
        <w:rPr>
          <w:rFonts w:ascii="Times New Roman" w:hAnsi="Times New Roman" w:cs="Times New Roman"/>
          <w:color w:val="000000"/>
          <w:sz w:val="28"/>
          <w:szCs w:val="28"/>
        </w:rPr>
        <w:t xml:space="preserve"> </w:t>
      </w:r>
    </w:p>
    <w:p w:rsidR="007A53B5" w:rsidRPr="00772A34" w:rsidRDefault="007A53B5" w:rsidP="007A53B5">
      <w:pPr>
        <w:pStyle w:val="Default"/>
        <w:jc w:val="both"/>
        <w:rPr>
          <w:rStyle w:val="hps"/>
          <w:rFonts w:ascii="Times New Roman" w:hAnsi="Times New Roman" w:cs="Times New Roman"/>
          <w:color w:val="auto"/>
          <w:sz w:val="28"/>
          <w:szCs w:val="28"/>
        </w:rPr>
      </w:pPr>
      <w:r>
        <w:rPr>
          <w:rFonts w:ascii="Times New Roman" w:hAnsi="Times New Roman" w:cs="Times New Roman"/>
          <w:sz w:val="28"/>
          <w:szCs w:val="28"/>
        </w:rPr>
        <w:t>Papildus tam ir noteikts, ka dalībvalstis var izvēlēties atsevišķas derogācijas, bet tās nedrīkst pārsniegt 25% no Latvijai aprēķinātā enerģijas ietaupījuma mērķa, tas ir, Latvija var samazināt savu mērķi par 25%. Izanalizējot atļautās derogācijas, Ministru kabinets pieņēma lēmumu</w:t>
      </w:r>
      <w:r>
        <w:rPr>
          <w:rStyle w:val="FootnoteReference"/>
          <w:rFonts w:cs="Times New Roman"/>
        </w:rPr>
        <w:footnoteReference w:id="23"/>
      </w:r>
      <w:r>
        <w:rPr>
          <w:rFonts w:ascii="Times New Roman" w:hAnsi="Times New Roman" w:cs="Times New Roman"/>
          <w:sz w:val="28"/>
          <w:szCs w:val="28"/>
        </w:rPr>
        <w:t xml:space="preserve">, ka Latvija no sava nacionālā enerģijas ietaupījuma mērķa neieskaitīs to enerģijas daudzumu, kas tiek </w:t>
      </w:r>
      <w:r w:rsidRPr="00772A34">
        <w:rPr>
          <w:rFonts w:ascii="Times New Roman" w:hAnsi="Times New Roman" w:cs="Times New Roman"/>
          <w:color w:val="auto"/>
          <w:sz w:val="28"/>
          <w:szCs w:val="28"/>
        </w:rPr>
        <w:t>izmantots apstrādes rūpniecībā.</w:t>
      </w:r>
      <w:r w:rsidRPr="00772A34">
        <w:rPr>
          <w:rFonts w:ascii="Times New Roman" w:hAnsi="Times New Roman" w:cs="Times New Roman"/>
          <w:color w:val="auto"/>
          <w:sz w:val="28"/>
          <w:szCs w:val="28"/>
        </w:rPr>
        <w:tab/>
        <w:t>Tiek uzskatīts, ka o</w:t>
      </w:r>
      <w:r w:rsidRPr="00772A34">
        <w:rPr>
          <w:rFonts w:ascii="Times New Roman" w:hAnsi="Times New Roman" w:cs="Times New Roman"/>
          <w:iCs/>
          <w:color w:val="auto"/>
          <w:sz w:val="28"/>
          <w:szCs w:val="28"/>
        </w:rPr>
        <w:t xml:space="preserve">bligātā mērķa izpildei energoefektivitātes pienākuma shēmas ietvaros vajadzētu ieskaitīt  Rīgas TEC-2/2 un Fortum biomasas staciju rezultātā panākto primāro resursu ietaupījumu, ņemot vērā, ka šos staciju būvniecība tika veikta laika posmā starp Energoefektivitātes direktīvas stāšanos spēkā un 2014. gadu. Kā jau iepriekš </w:t>
      </w:r>
      <w:r w:rsidRPr="00772A34">
        <w:rPr>
          <w:rFonts w:ascii="Times New Roman" w:hAnsi="Times New Roman" w:cs="Times New Roman"/>
          <w:iCs/>
          <w:color w:val="auto"/>
          <w:sz w:val="28"/>
          <w:szCs w:val="28"/>
        </w:rPr>
        <w:lastRenderedPageBreak/>
        <w:t>minēts, tad Direktīva atļauj  no obligātā mērķa atrēķināt ietaupījumu tikai no to iekārtu nomaiņas, kas notikusi pirms direktīvas pieņemšanas (iepriekšminēto 25% robežās). Savukārt, pēc direktīvas pieņemšanas notikušai iekārtu nomaiņai vajadzētu ļaut veikt tehnisku pārrēķinu no primārās enerģijas uz gala enerģijas ietaupījumu. Šo ietaupījumu tad varētu ieskaitīt obligātā mērķa izpildē. TEC-2/2 un Fortum veiktā modernizācija ļautu nosegt visu energoefektivitātes pienākumu shēmas ietvaros komersantiem uzlikto pienākumu</w:t>
      </w:r>
      <w:r w:rsidRPr="00772A34">
        <w:rPr>
          <w:rFonts w:ascii="Times New Roman" w:hAnsi="Times New Roman" w:cs="Times New Roman"/>
          <w:color w:val="auto"/>
          <w:sz w:val="28"/>
          <w:szCs w:val="28"/>
        </w:rPr>
        <w:t>.</w:t>
      </w:r>
    </w:p>
    <w:p w:rsidR="007A53B5" w:rsidRDefault="007A53B5" w:rsidP="007A53B5">
      <w:pPr>
        <w:pStyle w:val="Default"/>
        <w:ind w:firstLine="720"/>
        <w:jc w:val="both"/>
        <w:rPr>
          <w:rStyle w:val="hps"/>
          <w:rFonts w:ascii="Times New Roman" w:hAnsi="Times New Roman" w:cs="Times New Roman"/>
          <w:color w:val="222222"/>
          <w:sz w:val="28"/>
          <w:szCs w:val="28"/>
        </w:rPr>
      </w:pPr>
      <w:r>
        <w:rPr>
          <w:rStyle w:val="hps"/>
          <w:rFonts w:ascii="Times New Roman" w:hAnsi="Times New Roman" w:cs="Times New Roman"/>
          <w:color w:val="222222"/>
          <w:sz w:val="28"/>
          <w:szCs w:val="28"/>
        </w:rPr>
        <w:t>Tomēr neviens no 7(2).pantā noteiktajiem izņēmumiem nevar tikt</w:t>
      </w:r>
      <w:r w:rsidRPr="00D93214">
        <w:rPr>
          <w:rStyle w:val="hps"/>
          <w:rFonts w:ascii="Times New Roman" w:hAnsi="Times New Roman" w:cs="Times New Roman"/>
          <w:color w:val="222222"/>
          <w:sz w:val="28"/>
          <w:szCs w:val="28"/>
        </w:rPr>
        <w:t xml:space="preserve"> piemēr</w:t>
      </w:r>
      <w:r>
        <w:rPr>
          <w:rStyle w:val="hps"/>
          <w:rFonts w:ascii="Times New Roman" w:hAnsi="Times New Roman" w:cs="Times New Roman"/>
          <w:color w:val="222222"/>
          <w:sz w:val="28"/>
          <w:szCs w:val="28"/>
        </w:rPr>
        <w:t>ots attiecībā uz augstāk minētajām stacijām</w:t>
      </w:r>
      <w:r w:rsidRPr="00D93214">
        <w:rPr>
          <w:rFonts w:ascii="Times New Roman" w:hAnsi="Times New Roman" w:cs="Times New Roman"/>
          <w:color w:val="222222"/>
          <w:sz w:val="28"/>
          <w:szCs w:val="28"/>
        </w:rPr>
        <w:t xml:space="preserve">, kas </w:t>
      </w:r>
      <w:r w:rsidRPr="00D93214">
        <w:rPr>
          <w:rStyle w:val="hps"/>
          <w:rFonts w:ascii="Times New Roman" w:hAnsi="Times New Roman" w:cs="Times New Roman"/>
          <w:color w:val="222222"/>
          <w:sz w:val="28"/>
          <w:szCs w:val="28"/>
        </w:rPr>
        <w:t>sāka darboties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2013.gadā.</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Pirmkārt</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šo staciju darbības uzsākšana nevar tikt ieskaitīta kā darbības saistībā ar efektīvas koģenerācijas un centralizētās siltumapgādes sistēmas efektivitātes izvērtējumu  (14.pants ir vērsts uz nākotnes darbībām, jo izvērtējums ir jāveic 2015.gadā).</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15.pants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drīzāk</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attiecas uz</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pietiekamu</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infrastruktūras tīklu</w:t>
      </w:r>
      <w:r w:rsidRPr="00D93214">
        <w:rPr>
          <w:rFonts w:ascii="Times New Roman" w:hAnsi="Times New Roman" w:cs="Times New Roman"/>
          <w:color w:val="222222"/>
          <w:sz w:val="28"/>
          <w:szCs w:val="28"/>
        </w:rPr>
        <w:t xml:space="preserve"> </w:t>
      </w:r>
      <w:r>
        <w:rPr>
          <w:rStyle w:val="hps"/>
          <w:rFonts w:ascii="Times New Roman" w:hAnsi="Times New Roman" w:cs="Times New Roman"/>
          <w:color w:val="222222"/>
          <w:sz w:val="28"/>
          <w:szCs w:val="28"/>
        </w:rPr>
        <w:t>savienojumu</w:t>
      </w:r>
      <w:r w:rsidRPr="00D93214">
        <w:rPr>
          <w:rStyle w:val="hps"/>
          <w:rFonts w:ascii="Times New Roman" w:hAnsi="Times New Roman" w:cs="Times New Roman"/>
          <w:color w:val="222222"/>
          <w:sz w:val="28"/>
          <w:szCs w:val="28"/>
        </w:rPr>
        <w:t xml:space="preserve"> ar</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koģenerācijas stacijām</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Otrkārt,</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mērķis</w:t>
      </w:r>
      <w:r>
        <w:rPr>
          <w:rFonts w:ascii="Times New Roman" w:hAnsi="Times New Roman" w:cs="Times New Roman"/>
          <w:color w:val="222222"/>
          <w:sz w:val="28"/>
          <w:szCs w:val="28"/>
        </w:rPr>
        <w:t xml:space="preserve"> nav samazināt Latvijai noteikto enerģijas ietaupījuma mērķi, bet gan staciju darbība ir jāuzskata kā aktivitātes mērķa sasniegšanai. Tas ir, TEC-2 un FORTUM</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koģenerācijas stacijas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Rīgā</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un</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Jelgavā</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nodrošin</w:t>
      </w:r>
      <w:r>
        <w:rPr>
          <w:rStyle w:val="hps"/>
          <w:rFonts w:ascii="Times New Roman" w:hAnsi="Times New Roman" w:cs="Times New Roman"/>
          <w:color w:val="222222"/>
          <w:sz w:val="28"/>
          <w:szCs w:val="28"/>
        </w:rPr>
        <w:t xml:space="preserve">a </w:t>
      </w:r>
      <w:r w:rsidRPr="00D93214">
        <w:rPr>
          <w:rStyle w:val="hps"/>
          <w:rFonts w:ascii="Times New Roman" w:hAnsi="Times New Roman" w:cs="Times New Roman"/>
          <w:color w:val="222222"/>
          <w:sz w:val="28"/>
          <w:szCs w:val="28"/>
        </w:rPr>
        <w:t>siltum</w:t>
      </w:r>
      <w:r>
        <w:rPr>
          <w:rStyle w:val="hps"/>
          <w:rFonts w:ascii="Times New Roman" w:hAnsi="Times New Roman" w:cs="Times New Roman"/>
          <w:color w:val="222222"/>
          <w:sz w:val="28"/>
          <w:szCs w:val="28"/>
        </w:rPr>
        <w:t>enerģijas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un</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elektro</w:t>
      </w:r>
      <w:r w:rsidRPr="00D93214">
        <w:rPr>
          <w:rStyle w:val="hps"/>
          <w:rFonts w:ascii="Times New Roman" w:hAnsi="Times New Roman" w:cs="Times New Roman"/>
          <w:color w:val="222222"/>
          <w:sz w:val="28"/>
          <w:szCs w:val="28"/>
        </w:rPr>
        <w:t>enerģij</w:t>
      </w:r>
      <w:r>
        <w:rPr>
          <w:rStyle w:val="hps"/>
          <w:rFonts w:ascii="Times New Roman" w:hAnsi="Times New Roman" w:cs="Times New Roman"/>
          <w:color w:val="222222"/>
          <w:sz w:val="28"/>
          <w:szCs w:val="28"/>
        </w:rPr>
        <w:t>as ražošanu</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visefektīvākajā veidā</w:t>
      </w:r>
      <w:r w:rsidRPr="00D93214">
        <w:rPr>
          <w:rFonts w:ascii="Times New Roman" w:hAnsi="Times New Roman" w:cs="Times New Roman"/>
          <w:color w:val="222222"/>
          <w:sz w:val="28"/>
          <w:szCs w:val="28"/>
        </w:rPr>
        <w:t>,</w:t>
      </w:r>
      <w:r>
        <w:rPr>
          <w:rFonts w:ascii="Times New Roman" w:hAnsi="Times New Roman" w:cs="Times New Roman"/>
          <w:color w:val="222222"/>
          <w:sz w:val="28"/>
          <w:szCs w:val="28"/>
        </w:rPr>
        <w:t xml:space="preserve"> tādā veidā</w:t>
      </w:r>
      <w:r>
        <w:rPr>
          <w:rStyle w:val="hps"/>
          <w:rFonts w:ascii="Times New Roman" w:hAnsi="Times New Roman" w:cs="Times New Roman"/>
          <w:color w:val="222222"/>
          <w:sz w:val="28"/>
          <w:szCs w:val="28"/>
        </w:rPr>
        <w:t xml:space="preserve"> ietaupo</w:t>
      </w:r>
      <w:r w:rsidRPr="00D93214">
        <w:rPr>
          <w:rStyle w:val="hps"/>
          <w:rFonts w:ascii="Times New Roman" w:hAnsi="Times New Roman" w:cs="Times New Roman"/>
          <w:color w:val="222222"/>
          <w:sz w:val="28"/>
          <w:szCs w:val="28"/>
        </w:rPr>
        <w:t>t</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primāro</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energoresursu</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patēriņu</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T</w:t>
      </w:r>
      <w:r>
        <w:rPr>
          <w:rStyle w:val="hps"/>
          <w:rFonts w:ascii="Times New Roman" w:hAnsi="Times New Roman" w:cs="Times New Roman"/>
          <w:color w:val="222222"/>
          <w:sz w:val="28"/>
          <w:szCs w:val="28"/>
        </w:rPr>
        <w:t xml:space="preserve">omēr, kā norāda Ernest&amp;Young, šie veiktie pasākumi </w:t>
      </w:r>
      <w:r w:rsidRPr="00D93214">
        <w:rPr>
          <w:rFonts w:ascii="Times New Roman" w:hAnsi="Times New Roman" w:cs="Times New Roman"/>
          <w:color w:val="222222"/>
          <w:sz w:val="28"/>
          <w:szCs w:val="28"/>
        </w:rPr>
        <w:t xml:space="preserve">nevar </w:t>
      </w:r>
      <w:r w:rsidRPr="00D93214">
        <w:rPr>
          <w:rStyle w:val="hps"/>
          <w:rFonts w:ascii="Times New Roman" w:hAnsi="Times New Roman" w:cs="Times New Roman"/>
          <w:color w:val="222222"/>
          <w:sz w:val="28"/>
          <w:szCs w:val="28"/>
        </w:rPr>
        <w:t>tikt kvalificēti saskaņā ar</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Energoefektvitātes direktīvas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7(</w:t>
      </w:r>
      <w:r w:rsidRPr="00D93214">
        <w:rPr>
          <w:rFonts w:ascii="Times New Roman" w:hAnsi="Times New Roman" w:cs="Times New Roman"/>
          <w:color w:val="222222"/>
          <w:sz w:val="28"/>
          <w:szCs w:val="28"/>
        </w:rPr>
        <w:t>2)</w:t>
      </w:r>
      <w:r w:rsidRPr="00D93214">
        <w:rPr>
          <w:rStyle w:val="hps"/>
          <w:rFonts w:ascii="Times New Roman" w:hAnsi="Times New Roman" w:cs="Times New Roman"/>
          <w:color w:val="222222"/>
          <w:sz w:val="28"/>
          <w:szCs w:val="28"/>
        </w:rPr>
        <w:t>(</w:t>
      </w:r>
      <w:r w:rsidRPr="00D93214">
        <w:rPr>
          <w:rFonts w:ascii="Times New Roman" w:hAnsi="Times New Roman" w:cs="Times New Roman"/>
          <w:color w:val="222222"/>
          <w:sz w:val="28"/>
          <w:szCs w:val="28"/>
        </w:rPr>
        <w:t>d)</w:t>
      </w:r>
      <w:r>
        <w:rPr>
          <w:rFonts w:ascii="Times New Roman" w:hAnsi="Times New Roman" w:cs="Times New Roman"/>
          <w:color w:val="222222"/>
          <w:sz w:val="28"/>
          <w:szCs w:val="28"/>
        </w:rPr>
        <w:t>,pantu</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jo</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attiecas tikai</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uz tām darbībām</w:t>
      </w:r>
      <w:r w:rsidRPr="00D93214">
        <w:rPr>
          <w:rFonts w:ascii="Times New Roman" w:hAnsi="Times New Roman" w:cs="Times New Roman"/>
          <w:color w:val="222222"/>
          <w:sz w:val="28"/>
          <w:szCs w:val="28"/>
        </w:rPr>
        <w:t xml:space="preserve">, kas ir </w:t>
      </w:r>
      <w:r w:rsidRPr="00D93214">
        <w:rPr>
          <w:rStyle w:val="hps"/>
          <w:rFonts w:ascii="Times New Roman" w:hAnsi="Times New Roman" w:cs="Times New Roman"/>
          <w:color w:val="222222"/>
          <w:sz w:val="28"/>
          <w:szCs w:val="28"/>
        </w:rPr>
        <w:t>īstenotas</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starp 3</w:t>
      </w:r>
      <w:r>
        <w:rPr>
          <w:rStyle w:val="hps"/>
          <w:rFonts w:ascii="Times New Roman" w:hAnsi="Times New Roman" w:cs="Times New Roman"/>
          <w:color w:val="222222"/>
          <w:sz w:val="28"/>
          <w:szCs w:val="28"/>
        </w:rPr>
        <w:t>1.12.</w:t>
      </w:r>
      <w:r w:rsidRPr="00D93214">
        <w:rPr>
          <w:rStyle w:val="hps"/>
          <w:rFonts w:ascii="Times New Roman" w:hAnsi="Times New Roman" w:cs="Times New Roman"/>
          <w:color w:val="222222"/>
          <w:sz w:val="28"/>
          <w:szCs w:val="28"/>
        </w:rPr>
        <w:t>2008. un</w:t>
      </w:r>
      <w:r w:rsidRPr="00D93214">
        <w:rPr>
          <w:rFonts w:ascii="Times New Roman" w:hAnsi="Times New Roman" w:cs="Times New Roman"/>
          <w:color w:val="222222"/>
          <w:sz w:val="28"/>
          <w:szCs w:val="28"/>
        </w:rPr>
        <w:t xml:space="preserve"> </w:t>
      </w:r>
      <w:r w:rsidRPr="00D93214">
        <w:rPr>
          <w:rStyle w:val="hps"/>
          <w:rFonts w:ascii="Times New Roman" w:hAnsi="Times New Roman" w:cs="Times New Roman"/>
          <w:color w:val="222222"/>
          <w:sz w:val="28"/>
          <w:szCs w:val="28"/>
        </w:rPr>
        <w:t>14</w:t>
      </w:r>
      <w:r>
        <w:rPr>
          <w:rStyle w:val="hps"/>
          <w:rFonts w:ascii="Times New Roman" w:hAnsi="Times New Roman" w:cs="Times New Roman"/>
          <w:color w:val="222222"/>
          <w:sz w:val="28"/>
          <w:szCs w:val="28"/>
        </w:rPr>
        <w:t>.11.</w:t>
      </w:r>
      <w:r w:rsidRPr="00D93214">
        <w:rPr>
          <w:rStyle w:val="hps"/>
          <w:rFonts w:ascii="Times New Roman" w:hAnsi="Times New Roman" w:cs="Times New Roman"/>
          <w:color w:val="222222"/>
          <w:sz w:val="28"/>
          <w:szCs w:val="28"/>
        </w:rPr>
        <w:t>2012</w:t>
      </w:r>
      <w:r w:rsidRPr="00D93214">
        <w:rPr>
          <w:rFonts w:ascii="Times New Roman" w:hAnsi="Times New Roman" w:cs="Times New Roman"/>
          <w:color w:val="222222"/>
          <w:sz w:val="28"/>
          <w:szCs w:val="28"/>
        </w:rPr>
        <w:t xml:space="preserve">. </w:t>
      </w:r>
      <w:r>
        <w:rPr>
          <w:rFonts w:ascii="Times New Roman" w:hAnsi="Times New Roman" w:cs="Times New Roman"/>
          <w:color w:val="222222"/>
          <w:sz w:val="28"/>
          <w:szCs w:val="28"/>
        </w:rPr>
        <w:t>Līdz ar to konsultatnti piedāvā skatīt koģenerācijas stacijas saistībā ar Energoefektvitātes direktīvas 7(1).pantu.</w:t>
      </w:r>
    </w:p>
    <w:p w:rsidR="007A53B5" w:rsidRPr="001A3DCD" w:rsidRDefault="007A53B5" w:rsidP="007A53B5">
      <w:pPr>
        <w:pStyle w:val="Default"/>
        <w:ind w:firstLine="720"/>
        <w:jc w:val="both"/>
        <w:rPr>
          <w:rFonts w:ascii="Times New Roman" w:hAnsi="Times New Roman" w:cs="Times New Roman"/>
          <w:sz w:val="28"/>
          <w:szCs w:val="28"/>
        </w:rPr>
      </w:pPr>
      <w:r>
        <w:rPr>
          <w:rFonts w:ascii="Times New Roman" w:hAnsi="Times New Roman" w:cs="Times New Roman"/>
          <w:sz w:val="28"/>
          <w:szCs w:val="28"/>
        </w:rPr>
        <w:t xml:space="preserve">Konsultanti ir norādījuši, ka ņemot vērā koģenerācijas stacijās veiktās investīcijas un šo staciju pienesumu energoefektivitātei un enerģētiskai drošībai, Eiropas Komisijai būtu jārod iespēja atļaut Latvijai ieskaitīt šos ietaupījumus zem Energoefektivitātes direktīvas 7(1).panta nosacījumiem. Eiropas Komisija ir norādījsi, ka veiktās investīcijas TEC-2/2 un Fortum un prognozētos ietaupījumus Latvija var ieskaitīt primārās enerģijas ietaupījuma mērķī, kas Latvijai ir noteikts Nacionālajā reformu programmā </w:t>
      </w:r>
      <w:r w:rsidRPr="001A3DCD">
        <w:rPr>
          <w:rFonts w:ascii="Times New Roman" w:eastAsiaTheme="majorEastAsia" w:hAnsi="Times New Roman" w:cs="Times New Roman"/>
          <w:bCs/>
          <w:sz w:val="28"/>
          <w:szCs w:val="28"/>
        </w:rPr>
        <w:t>0,670 Mtoe</w:t>
      </w:r>
      <w:r>
        <w:rPr>
          <w:rFonts w:ascii="Times New Roman" w:hAnsi="Times New Roman" w:cs="Times New Roman"/>
          <w:sz w:val="28"/>
          <w:szCs w:val="28"/>
        </w:rPr>
        <w:t xml:space="preserve"> (2020.gadā). Savukārt, energoefektivitātes pienākumu shēmas mērķis ir obligātā ietaupījuma mērķa veikšana pie gala patērētājiem, nevis energoefektivitātes pasākumu īstenošana pārveidošanas sektorā.   </w:t>
      </w:r>
    </w:p>
    <w:p w:rsidR="008B0C28" w:rsidRPr="002967B2" w:rsidRDefault="008B0C28" w:rsidP="00893494">
      <w:pPr>
        <w:ind w:firstLine="720"/>
        <w:jc w:val="both"/>
        <w:rPr>
          <w:szCs w:val="28"/>
        </w:rPr>
      </w:pPr>
    </w:p>
    <w:p w:rsidR="00445524" w:rsidRPr="00445524" w:rsidRDefault="00445524" w:rsidP="00445524">
      <w:pPr>
        <w:jc w:val="both"/>
        <w:rPr>
          <w:u w:val="single"/>
        </w:rPr>
      </w:pPr>
      <w:r w:rsidRPr="00445524">
        <w:rPr>
          <w:u w:val="single"/>
        </w:rPr>
        <w:t>Energoefektivitāte centralizētajā siltumapgādē</w:t>
      </w:r>
    </w:p>
    <w:p w:rsidR="00445524" w:rsidRPr="00445524" w:rsidRDefault="00445524" w:rsidP="00893494">
      <w:pPr>
        <w:pStyle w:val="BodyText"/>
        <w:spacing w:after="0"/>
        <w:ind w:firstLine="720"/>
        <w:jc w:val="both"/>
        <w:rPr>
          <w:rFonts w:eastAsia="Calibri"/>
          <w:color w:val="000000"/>
          <w:sz w:val="28"/>
          <w:szCs w:val="28"/>
        </w:rPr>
      </w:pPr>
      <w:r w:rsidRPr="00445524">
        <w:rPr>
          <w:color w:val="000000"/>
          <w:sz w:val="28"/>
          <w:szCs w:val="28"/>
        </w:rPr>
        <w:t>Latvijas klimatiskajos apstākļos siltumapgāde ir nozīmīga enerģētikas nozares sastāvdaļa.</w:t>
      </w:r>
      <w:r w:rsidRPr="00445524">
        <w:rPr>
          <w:rFonts w:eastAsia="Calibri" w:cstheme="minorBidi"/>
          <w:color w:val="000000"/>
          <w:sz w:val="28"/>
          <w:szCs w:val="28"/>
          <w:lang w:eastAsia="lv-LV"/>
        </w:rPr>
        <w:t xml:space="preserve"> Siltumenerģijas lielākā daļa </w:t>
      </w:r>
      <w:r w:rsidRPr="00445524">
        <w:rPr>
          <w:rFonts w:eastAsia="Calibri"/>
          <w:color w:val="000000"/>
          <w:sz w:val="28"/>
          <w:szCs w:val="28"/>
        </w:rPr>
        <w:t xml:space="preserve"> tiek saražota </w:t>
      </w:r>
      <w:r w:rsidRPr="00445524">
        <w:rPr>
          <w:rFonts w:eastAsia="Calibri" w:cstheme="minorBidi"/>
          <w:color w:val="000000"/>
          <w:sz w:val="28"/>
          <w:szCs w:val="28"/>
          <w:lang w:eastAsia="lv-LV"/>
        </w:rPr>
        <w:t xml:space="preserve"> </w:t>
      </w:r>
      <w:r w:rsidRPr="00445524">
        <w:rPr>
          <w:rFonts w:eastAsia="Calibri"/>
          <w:color w:val="000000"/>
          <w:sz w:val="28"/>
          <w:szCs w:val="28"/>
        </w:rPr>
        <w:t>decentralizētajās (lokālajās un individuālajās) siltumapgādes sistēmās</w:t>
      </w:r>
      <w:r w:rsidRPr="00445524">
        <w:rPr>
          <w:rFonts w:eastAsia="Calibri" w:cstheme="minorBidi"/>
          <w:color w:val="000000"/>
          <w:sz w:val="28"/>
          <w:szCs w:val="28"/>
          <w:lang w:eastAsia="lv-LV"/>
        </w:rPr>
        <w:t xml:space="preserve"> - </w:t>
      </w:r>
      <w:r w:rsidRPr="00445524">
        <w:rPr>
          <w:rFonts w:eastAsia="Calibri"/>
          <w:color w:val="000000"/>
          <w:sz w:val="28"/>
          <w:szCs w:val="28"/>
        </w:rPr>
        <w:t xml:space="preserve"> tiek </w:t>
      </w:r>
      <w:r w:rsidRPr="00445524">
        <w:rPr>
          <w:rFonts w:eastAsia="Calibri" w:cstheme="minorBidi"/>
          <w:color w:val="000000"/>
          <w:sz w:val="28"/>
          <w:szCs w:val="28"/>
          <w:lang w:eastAsia="lv-LV"/>
        </w:rPr>
        <w:t xml:space="preserve">patērēta lielākā daļa no kopējā enerģijas patēriņa. 2012. </w:t>
      </w:r>
      <w:r w:rsidRPr="00445524">
        <w:rPr>
          <w:rFonts w:eastAsia="Calibri"/>
          <w:color w:val="000000"/>
          <w:sz w:val="28"/>
          <w:szCs w:val="28"/>
        </w:rPr>
        <w:t>gadā decentralizētajās siltumapgādes sistēmās kopā tika patērēts 64,3% no kopējā enerģijas galapatēriņa.</w:t>
      </w:r>
      <w:r w:rsidRPr="00445524">
        <w:rPr>
          <w:rFonts w:eastAsia="Calibri" w:cstheme="minorBidi"/>
          <w:color w:val="000000"/>
          <w:sz w:val="28"/>
          <w:szCs w:val="28"/>
          <w:lang w:eastAsia="lv-LV"/>
        </w:rPr>
        <w:t xml:space="preserve"> Vienlaikus tieši centralizētā siltumapgāde ir no resursu izmantošanas un vides aizsardzības </w:t>
      </w:r>
      <w:r w:rsidRPr="00445524">
        <w:rPr>
          <w:rFonts w:eastAsia="Calibri" w:cstheme="minorBidi"/>
          <w:color w:val="000000"/>
          <w:sz w:val="28"/>
          <w:szCs w:val="28"/>
          <w:lang w:eastAsia="lv-LV"/>
        </w:rPr>
        <w:lastRenderedPageBreak/>
        <w:t xml:space="preserve">viedokļa efektīvs risinājums. Centralizētā siltumapgāde ir energoefektīvākais siltumapgādes veids, kuru plaši izmanto gan sabiedrisko, gan daudzdzīvokļu dzīvojamo ēku apsildei. Būtiska daļa kurināmā centralizētai siltumapgādei ir jāimportē – 2011.gadā 62,9% katlumājās izmantoja dabasgāzi. </w:t>
      </w:r>
    </w:p>
    <w:p w:rsidR="00893494" w:rsidRDefault="00445524" w:rsidP="00893494">
      <w:pPr>
        <w:pStyle w:val="BodyText"/>
        <w:spacing w:after="0"/>
        <w:ind w:firstLine="720"/>
        <w:jc w:val="both"/>
        <w:rPr>
          <w:rFonts w:eastAsia="Calibri" w:cstheme="minorBidi"/>
          <w:color w:val="000000"/>
          <w:sz w:val="28"/>
          <w:szCs w:val="28"/>
          <w:lang w:eastAsia="lv-LV"/>
        </w:rPr>
      </w:pPr>
      <w:r w:rsidRPr="00445524">
        <w:rPr>
          <w:color w:val="000000"/>
          <w:sz w:val="28"/>
          <w:szCs w:val="28"/>
        </w:rPr>
        <w:t>Centralizētās siltumapgādes sistēmās Latvijā 2012.</w:t>
      </w:r>
      <w:r w:rsidRPr="00445524">
        <w:rPr>
          <w:rFonts w:eastAsia="Calibri" w:cstheme="minorBidi"/>
          <w:color w:val="000000"/>
          <w:sz w:val="28"/>
          <w:szCs w:val="28"/>
          <w:lang w:eastAsia="lv-LV"/>
        </w:rPr>
        <w:t xml:space="preserve"> gadā tika saražots 7460 GWh (26,86 PJ) siltumenerģijas;  </w:t>
      </w:r>
      <w:r w:rsidRPr="00445524">
        <w:rPr>
          <w:rFonts w:eastAsia="Calibri"/>
          <w:color w:val="000000"/>
          <w:sz w:val="28"/>
          <w:szCs w:val="28"/>
        </w:rPr>
        <w:t xml:space="preserve">Centralizētās siltumapgādes </w:t>
      </w:r>
      <w:r w:rsidRPr="00445524">
        <w:rPr>
          <w:rFonts w:eastAsia="Calibri"/>
          <w:color w:val="000000"/>
          <w:sz w:val="28"/>
          <w:szCs w:val="28"/>
          <w:lang w:eastAsia="lv-LV"/>
        </w:rPr>
        <w:t xml:space="preserve">galvenie klienti ir mājsaimniecības - 2012. gadā tās patērēja  72% no centralizēti piegādātās siltumenerģijas.   Centralizētās siltumapgādes sistēmās siltumenerģiju ražo koģenerācijas </w:t>
      </w:r>
      <w:r w:rsidRPr="00445524">
        <w:rPr>
          <w:color w:val="000000"/>
          <w:sz w:val="28"/>
          <w:szCs w:val="28"/>
        </w:rPr>
        <w:t xml:space="preserve">stacijās </w:t>
      </w:r>
      <w:r w:rsidRPr="00445524">
        <w:rPr>
          <w:rFonts w:eastAsia="Calibri"/>
          <w:color w:val="000000"/>
          <w:sz w:val="28"/>
          <w:szCs w:val="28"/>
          <w:lang w:eastAsia="lv-LV"/>
        </w:rPr>
        <w:t>(</w:t>
      </w:r>
      <w:r w:rsidRPr="00445524">
        <w:rPr>
          <w:color w:val="000000"/>
          <w:sz w:val="28"/>
          <w:szCs w:val="28"/>
        </w:rPr>
        <w:t>2012</w:t>
      </w:r>
      <w:r w:rsidRPr="00445524">
        <w:rPr>
          <w:rFonts w:eastAsia="Calibri"/>
          <w:color w:val="000000"/>
          <w:sz w:val="28"/>
          <w:szCs w:val="28"/>
          <w:lang w:eastAsia="lv-LV"/>
        </w:rPr>
        <w:t xml:space="preserve"> </w:t>
      </w:r>
      <w:r w:rsidRPr="00445524">
        <w:rPr>
          <w:color w:val="000000"/>
          <w:sz w:val="28"/>
          <w:szCs w:val="28"/>
        </w:rPr>
        <w:t>gadā  62,9%, centralizētās siltumenerģijas</w:t>
      </w:r>
      <w:r w:rsidRPr="00445524">
        <w:rPr>
          <w:rFonts w:eastAsia="Calibri"/>
          <w:color w:val="000000"/>
          <w:sz w:val="28"/>
          <w:szCs w:val="28"/>
          <w:lang w:eastAsia="lv-LV"/>
        </w:rPr>
        <w:t xml:space="preserve">) un </w:t>
      </w:r>
      <w:r w:rsidRPr="00445524">
        <w:rPr>
          <w:color w:val="000000"/>
          <w:sz w:val="28"/>
          <w:szCs w:val="28"/>
        </w:rPr>
        <w:t xml:space="preserve"> katlumājās </w:t>
      </w:r>
      <w:r w:rsidRPr="00445524">
        <w:rPr>
          <w:rFonts w:eastAsia="Calibri"/>
          <w:color w:val="000000"/>
          <w:sz w:val="28"/>
          <w:szCs w:val="28"/>
          <w:lang w:eastAsia="lv-LV"/>
        </w:rPr>
        <w:t>(</w:t>
      </w:r>
      <w:r w:rsidRPr="00445524">
        <w:rPr>
          <w:color w:val="000000"/>
          <w:sz w:val="28"/>
          <w:szCs w:val="28"/>
        </w:rPr>
        <w:t xml:space="preserve">37,1% </w:t>
      </w:r>
      <w:r w:rsidRPr="00445524">
        <w:rPr>
          <w:rFonts w:eastAsia="Calibri"/>
          <w:color w:val="000000"/>
          <w:sz w:val="28"/>
          <w:szCs w:val="28"/>
          <w:lang w:eastAsia="lv-LV"/>
        </w:rPr>
        <w:t xml:space="preserve">siltumenerģijas). Centralizētās siltumapgādes </w:t>
      </w:r>
      <w:r w:rsidRPr="00445524">
        <w:rPr>
          <w:color w:val="000000"/>
          <w:sz w:val="28"/>
          <w:szCs w:val="28"/>
        </w:rPr>
        <w:t xml:space="preserve">siltuma </w:t>
      </w:r>
      <w:r w:rsidRPr="00445524">
        <w:rPr>
          <w:rFonts w:eastAsia="Calibri" w:cstheme="minorBidi"/>
          <w:color w:val="000000"/>
          <w:sz w:val="28"/>
          <w:szCs w:val="28"/>
          <w:lang w:eastAsia="lv-LV"/>
        </w:rPr>
        <w:t>ražošanas un tīklu zudumu</w:t>
      </w:r>
      <w:r w:rsidRPr="00445524">
        <w:rPr>
          <w:rFonts w:eastAsia="Calibri"/>
          <w:color w:val="000000"/>
          <w:sz w:val="28"/>
          <w:szCs w:val="28"/>
        </w:rPr>
        <w:t xml:space="preserve"> efektivitātes </w:t>
      </w:r>
      <w:r w:rsidRPr="00445524">
        <w:rPr>
          <w:rFonts w:eastAsia="Calibri" w:cstheme="minorBidi"/>
          <w:color w:val="000000"/>
          <w:sz w:val="28"/>
          <w:szCs w:val="28"/>
          <w:lang w:eastAsia="lv-LV"/>
        </w:rPr>
        <w:t xml:space="preserve">rādītāji pa gadiem redzami </w:t>
      </w:r>
      <w:r w:rsidR="00164F39" w:rsidRPr="00445524">
        <w:rPr>
          <w:rFonts w:eastAsia="Calibri" w:cstheme="minorBidi"/>
          <w:color w:val="000000"/>
          <w:sz w:val="28"/>
          <w:szCs w:val="28"/>
          <w:lang w:eastAsia="lv-LV"/>
        </w:rPr>
        <w:t>2</w:t>
      </w:r>
      <w:r w:rsidR="00164F39">
        <w:rPr>
          <w:rFonts w:eastAsia="Calibri" w:cstheme="minorBidi"/>
          <w:color w:val="000000"/>
          <w:sz w:val="28"/>
          <w:szCs w:val="28"/>
          <w:lang w:eastAsia="lv-LV"/>
        </w:rPr>
        <w:t>6</w:t>
      </w:r>
      <w:r w:rsidRPr="00445524">
        <w:rPr>
          <w:rFonts w:eastAsia="Calibri" w:cstheme="minorBidi"/>
          <w:color w:val="000000"/>
          <w:sz w:val="28"/>
          <w:szCs w:val="28"/>
          <w:lang w:eastAsia="lv-LV"/>
        </w:rPr>
        <w:t xml:space="preserve">.attēlā. </w:t>
      </w:r>
    </w:p>
    <w:p w:rsidR="00893494" w:rsidRPr="00504AEE" w:rsidRDefault="00893494" w:rsidP="00893494">
      <w:pPr>
        <w:pStyle w:val="BodyText"/>
        <w:spacing w:after="0"/>
        <w:ind w:firstLine="720"/>
        <w:jc w:val="both"/>
        <w:rPr>
          <w:sz w:val="28"/>
          <w:szCs w:val="28"/>
        </w:rPr>
      </w:pPr>
      <w:r w:rsidRPr="00504AEE">
        <w:rPr>
          <w:sz w:val="28"/>
          <w:szCs w:val="28"/>
        </w:rPr>
        <w:t xml:space="preserve">Lielākā daļa centralizētās siltumapgādes sistēmu ir būvētas vairāk nekā pirms 25 gadiem, tās ir novecojušas un ar lieliem zudumiem. Kopējais siltumtīklu garums Latvijā ir apmēram 2000 km. Daudzviet tiek izmantotas zemas energoefektivitātes un videi nedraudzīgas siltumenerģijas ražošanas tehnoloģijas un nepietiekami tiek izmantoti atjaunojamie energoresursi. Pēdējos gados veiktie energoefektivitātes pasākumi ļāvuši siltumenerģijas zudumus tīklos samazināt, piemēram, Rīgā līdz 13%, tomēr citviet zudumi atsevišķos tīklu posmos var sasniegt līdz 30%. </w:t>
      </w:r>
    </w:p>
    <w:p w:rsidR="00445524" w:rsidRDefault="00445524" w:rsidP="00893494">
      <w:pPr>
        <w:pStyle w:val="BodyText"/>
        <w:spacing w:after="0"/>
        <w:ind w:firstLine="720"/>
        <w:jc w:val="both"/>
        <w:rPr>
          <w:rFonts w:eastAsia="Calibri" w:cstheme="minorBidi"/>
          <w:color w:val="000000"/>
          <w:sz w:val="28"/>
          <w:szCs w:val="28"/>
          <w:lang w:eastAsia="lv-LV"/>
        </w:rPr>
      </w:pPr>
    </w:p>
    <w:p w:rsidR="00445524" w:rsidRDefault="00445524" w:rsidP="00445524">
      <w:pPr>
        <w:pStyle w:val="BodyText"/>
        <w:spacing w:before="120"/>
        <w:jc w:val="center"/>
        <w:rPr>
          <w:sz w:val="28"/>
          <w:szCs w:val="28"/>
        </w:rPr>
      </w:pPr>
      <w:r>
        <w:rPr>
          <w:noProof/>
          <w:lang w:eastAsia="lv-LV"/>
        </w:rPr>
        <w:drawing>
          <wp:inline distT="0" distB="0" distL="0" distR="0" wp14:anchorId="12BC4F18" wp14:editId="5D33051D">
            <wp:extent cx="5120501" cy="3059723"/>
            <wp:effectExtent l="0" t="0" r="444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0320" cy="3059615"/>
                    </a:xfrm>
                    <a:prstGeom prst="rect">
                      <a:avLst/>
                    </a:prstGeom>
                    <a:noFill/>
                    <a:ln>
                      <a:noFill/>
                    </a:ln>
                  </pic:spPr>
                </pic:pic>
              </a:graphicData>
            </a:graphic>
          </wp:inline>
        </w:drawing>
      </w:r>
    </w:p>
    <w:p w:rsidR="00445524" w:rsidRPr="00EE759E" w:rsidRDefault="00164F39" w:rsidP="002C7420">
      <w:pPr>
        <w:pStyle w:val="BodyText"/>
        <w:spacing w:after="0"/>
        <w:rPr>
          <w:b/>
        </w:rPr>
      </w:pPr>
      <w:r w:rsidRPr="00327FD0">
        <w:rPr>
          <w:b/>
        </w:rPr>
        <w:t>2</w:t>
      </w:r>
      <w:r>
        <w:rPr>
          <w:b/>
        </w:rPr>
        <w:t>6</w:t>
      </w:r>
      <w:r w:rsidR="00445524" w:rsidRPr="00445524">
        <w:rPr>
          <w:b/>
        </w:rPr>
        <w:t>.attēls. Siltumenerģijas ražošanas iekārtu vidējais efektivitātes līmenis un vidējo siltumenerģijas zudumu līmenis  siltumenerģijas pārvades un sadales tīklos</w:t>
      </w:r>
      <w:r w:rsidR="00445524" w:rsidRPr="00EE759E">
        <w:rPr>
          <w:rStyle w:val="FootnoteReference"/>
          <w:sz w:val="24"/>
          <w:szCs w:val="24"/>
        </w:rPr>
        <w:footnoteReference w:id="24"/>
      </w:r>
    </w:p>
    <w:p w:rsidR="002C7420" w:rsidRDefault="002C7420" w:rsidP="008F1E3E">
      <w:pPr>
        <w:pStyle w:val="BodyText"/>
        <w:spacing w:after="0"/>
        <w:ind w:firstLine="720"/>
        <w:jc w:val="both"/>
        <w:rPr>
          <w:sz w:val="28"/>
          <w:szCs w:val="28"/>
        </w:rPr>
      </w:pPr>
    </w:p>
    <w:p w:rsidR="00445524" w:rsidRPr="00504AEE" w:rsidRDefault="00445524" w:rsidP="00893494">
      <w:pPr>
        <w:pStyle w:val="BodyText"/>
        <w:spacing w:after="0"/>
        <w:ind w:firstLine="720"/>
        <w:jc w:val="both"/>
        <w:rPr>
          <w:sz w:val="28"/>
          <w:szCs w:val="28"/>
        </w:rPr>
      </w:pPr>
      <w:r w:rsidRPr="00504AEE">
        <w:rPr>
          <w:sz w:val="28"/>
          <w:szCs w:val="28"/>
        </w:rPr>
        <w:lastRenderedPageBreak/>
        <w:t xml:space="preserve">Energoefektivitātes paaugstināšanu centralizētajā siltumapgādē kavē trūkstošais investīciju apjoms, pašvaldību ierobežotās spējas ņemt kredītu, kā arī lēnais kapitāla apgrozījuma ātrums. Šo iemeslu dēļ vēl aizvien pašvaldībās tiek darbinātas neefektīvas iekārtas, kas rada paaugstinātu kurināmā pārtēriņu un nespēj nodrošināt siltuma apgādi nepieciešamā kvalitātē. Veicot kompleksu sistēmas atjaunošanu, iespējams optimizēt enerģijas ražošanas procesu un samazināt siltumenerģijas zudumus pārvades sistēmās. </w:t>
      </w:r>
    </w:p>
    <w:p w:rsidR="00445524" w:rsidRPr="00504AEE" w:rsidRDefault="00445524" w:rsidP="00893494">
      <w:pPr>
        <w:pStyle w:val="BodyText"/>
        <w:spacing w:after="0"/>
        <w:ind w:firstLine="720"/>
        <w:jc w:val="both"/>
        <w:rPr>
          <w:sz w:val="28"/>
          <w:szCs w:val="28"/>
        </w:rPr>
      </w:pPr>
      <w:r w:rsidRPr="00504AEE">
        <w:rPr>
          <w:sz w:val="28"/>
          <w:szCs w:val="28"/>
        </w:rPr>
        <w:t>Centralizēto siltumapgādes sistēmu energoefektivitātes uzlabošanai nepieciešams paaugstināt siltumenerģijas ražošanas efektivitāti, samazināt siltumenerģijas zudumus pārvades un sadales sistēmās, kā arī vienlaikus sekmēt fosilā kurināmā veidu aizvietošanu ar atjaunojamiem kurināmiem. ES fondu 2014.-2020.gada plānošanas periodā darbības programma „Izaugsme un nodarbinātība” paredz finansēt pasākumus centralizētās siltumapgādes siltumavotu energoefektivitātes uzlabošanai un siltuma zudumu samazināšanai.</w:t>
      </w:r>
    </w:p>
    <w:p w:rsidR="007A53B5" w:rsidRDefault="007A53B5" w:rsidP="006179F9">
      <w:pPr>
        <w:pStyle w:val="BodyText"/>
        <w:spacing w:after="0"/>
        <w:jc w:val="both"/>
        <w:rPr>
          <w:sz w:val="28"/>
          <w:u w:val="single"/>
        </w:rPr>
      </w:pPr>
    </w:p>
    <w:p w:rsidR="00445524" w:rsidRDefault="00445524" w:rsidP="006179F9">
      <w:pPr>
        <w:pStyle w:val="BodyText"/>
        <w:spacing w:after="0"/>
        <w:jc w:val="both"/>
        <w:rPr>
          <w:sz w:val="28"/>
          <w:u w:val="single"/>
        </w:rPr>
      </w:pPr>
      <w:r w:rsidRPr="00445524">
        <w:rPr>
          <w:sz w:val="28"/>
          <w:u w:val="single"/>
        </w:rPr>
        <w:t>Energoefektivitāte galapatēriņā</w:t>
      </w:r>
    </w:p>
    <w:p w:rsidR="00445524" w:rsidRPr="00504AEE" w:rsidRDefault="00445524" w:rsidP="00893494">
      <w:pPr>
        <w:ind w:firstLine="720"/>
        <w:jc w:val="both"/>
        <w:rPr>
          <w:szCs w:val="28"/>
        </w:rPr>
      </w:pPr>
      <w:r w:rsidRPr="00504AEE">
        <w:rPr>
          <w:szCs w:val="28"/>
        </w:rPr>
        <w:t xml:space="preserve">Lielākie enerģijas patēriņa sektori Latvijā ir mājsaimniecības, transports, rūpniecība un pakalpojumi. Patērētāji ar visaugstāko energoefektivitātes potenciālu Latvijā ir publiskās, privātās un komersantu ēkas.  </w:t>
      </w:r>
    </w:p>
    <w:p w:rsidR="00445524" w:rsidRPr="00504AEE" w:rsidRDefault="00445524" w:rsidP="00893494">
      <w:pPr>
        <w:ind w:firstLine="720"/>
        <w:jc w:val="both"/>
        <w:rPr>
          <w:szCs w:val="28"/>
        </w:rPr>
      </w:pPr>
      <w:r w:rsidRPr="00504AEE">
        <w:rPr>
          <w:szCs w:val="28"/>
        </w:rPr>
        <w:t>Izmaksu efektīvā veidā var renovēt 60-70% no Latvijas ēku sektora – dzīvojamo ēku sektorā tie ir ap 25 tūkstoši daudzdzīvokļu māju kopplatībā 38 milj. m2. Lielākā daļa mājokļu ir uzbūvēti, pirms tika būtiski paaugstinātas siltumtehniskās prasības ēku norobežojošām konstrukcijām un ir ar zemu energoefektivitātes līmeni.  Latvijas Nacionālā reformu programmā uzstādīts mērķis samazināt vidējo īpatnējo siltumenerģijas patēriņu ēkās no pašreizējā 220-250 kWh/m2/gadā uz 150 kWh/m2/gadā 2020.gadā. Investīcijas mājokļa sektora energoefektivitātes paaugstināšanai ir būtiskas resursu efektivitātes un kopējās labklājības veicināšanai.</w:t>
      </w:r>
    </w:p>
    <w:p w:rsidR="00445524" w:rsidRDefault="00445524" w:rsidP="00893494">
      <w:pPr>
        <w:ind w:firstLine="720"/>
        <w:jc w:val="both"/>
        <w:rPr>
          <w:szCs w:val="28"/>
        </w:rPr>
      </w:pPr>
      <w:r w:rsidRPr="00504AEE">
        <w:rPr>
          <w:szCs w:val="28"/>
        </w:rPr>
        <w:t>Daudzdzīvokļu un sociālo dzīvojamo ēku energoefektivitātes pasākumi atbalstīti 2007.-2013.gada plānošanas periodā, izmantojot ERAF finansējumu. Pārskats par šiem pasākumiem sniegts</w:t>
      </w:r>
      <w:r>
        <w:rPr>
          <w:szCs w:val="28"/>
        </w:rPr>
        <w:t xml:space="preserve"> </w:t>
      </w:r>
      <w:r w:rsidR="00893494">
        <w:rPr>
          <w:szCs w:val="28"/>
        </w:rPr>
        <w:t>4</w:t>
      </w:r>
      <w:r>
        <w:rPr>
          <w:szCs w:val="28"/>
        </w:rPr>
        <w:t xml:space="preserve">.tabulā. </w:t>
      </w:r>
    </w:p>
    <w:p w:rsidR="00445524" w:rsidRPr="00EE759E" w:rsidRDefault="00893494" w:rsidP="00445524">
      <w:pPr>
        <w:jc w:val="right"/>
        <w:rPr>
          <w:szCs w:val="28"/>
        </w:rPr>
      </w:pPr>
      <w:r>
        <w:rPr>
          <w:szCs w:val="28"/>
        </w:rPr>
        <w:t>4</w:t>
      </w:r>
      <w:r w:rsidR="00445524" w:rsidRPr="00EE759E">
        <w:rPr>
          <w:szCs w:val="28"/>
        </w:rPr>
        <w:t>.tabula</w:t>
      </w:r>
    </w:p>
    <w:p w:rsidR="00445524" w:rsidRDefault="00445524" w:rsidP="00445524">
      <w:pPr>
        <w:jc w:val="center"/>
        <w:rPr>
          <w:szCs w:val="28"/>
        </w:rPr>
      </w:pPr>
      <w:r w:rsidRPr="00EE759E">
        <w:rPr>
          <w:szCs w:val="28"/>
        </w:rPr>
        <w:t>Pārskats par ERAF projektu īstenošanu (uz 2014.gada 24.martu)</w:t>
      </w:r>
    </w:p>
    <w:p w:rsidR="00013943" w:rsidRPr="00EE759E" w:rsidRDefault="00013943" w:rsidP="00445524">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678"/>
        <w:gridCol w:w="1699"/>
        <w:gridCol w:w="1763"/>
        <w:gridCol w:w="2358"/>
      </w:tblGrid>
      <w:tr w:rsidR="00445524" w:rsidRPr="006D54D3" w:rsidTr="00157239">
        <w:tc>
          <w:tcPr>
            <w:tcW w:w="1682" w:type="dxa"/>
            <w:shd w:val="clear" w:color="auto" w:fill="auto"/>
          </w:tcPr>
          <w:p w:rsidR="00445524" w:rsidRPr="006D54D3" w:rsidRDefault="00445524" w:rsidP="00157239">
            <w:pPr>
              <w:rPr>
                <w:sz w:val="24"/>
                <w:szCs w:val="24"/>
              </w:rPr>
            </w:pPr>
          </w:p>
        </w:tc>
        <w:tc>
          <w:tcPr>
            <w:tcW w:w="1678" w:type="dxa"/>
            <w:shd w:val="clear" w:color="auto" w:fill="auto"/>
          </w:tcPr>
          <w:p w:rsidR="00445524" w:rsidRPr="006D54D3" w:rsidRDefault="00445524" w:rsidP="00157239">
            <w:pPr>
              <w:jc w:val="center"/>
              <w:rPr>
                <w:sz w:val="24"/>
                <w:szCs w:val="24"/>
              </w:rPr>
            </w:pPr>
            <w:r w:rsidRPr="006D54D3">
              <w:rPr>
                <w:sz w:val="24"/>
                <w:szCs w:val="24"/>
              </w:rPr>
              <w:t>Pabeigti projekti</w:t>
            </w:r>
          </w:p>
        </w:tc>
        <w:tc>
          <w:tcPr>
            <w:tcW w:w="1699" w:type="dxa"/>
            <w:shd w:val="clear" w:color="auto" w:fill="auto"/>
          </w:tcPr>
          <w:p w:rsidR="00445524" w:rsidRPr="006D54D3" w:rsidRDefault="00445524" w:rsidP="00157239">
            <w:pPr>
              <w:jc w:val="center"/>
              <w:rPr>
                <w:sz w:val="24"/>
                <w:szCs w:val="24"/>
              </w:rPr>
            </w:pPr>
            <w:r w:rsidRPr="006D54D3">
              <w:rPr>
                <w:sz w:val="24"/>
                <w:szCs w:val="24"/>
              </w:rPr>
              <w:t xml:space="preserve">Publiskais finansējums pabeigtajiem projektiem, </w:t>
            </w:r>
            <w:r w:rsidRPr="006D54D3">
              <w:rPr>
                <w:i/>
                <w:sz w:val="24"/>
                <w:szCs w:val="24"/>
              </w:rPr>
              <w:t>euro</w:t>
            </w:r>
          </w:p>
        </w:tc>
        <w:tc>
          <w:tcPr>
            <w:tcW w:w="1763" w:type="dxa"/>
            <w:shd w:val="clear" w:color="auto" w:fill="auto"/>
          </w:tcPr>
          <w:p w:rsidR="00445524" w:rsidRPr="006D54D3" w:rsidRDefault="00445524" w:rsidP="00157239">
            <w:pPr>
              <w:jc w:val="center"/>
              <w:rPr>
                <w:sz w:val="24"/>
                <w:szCs w:val="24"/>
              </w:rPr>
            </w:pPr>
            <w:r w:rsidRPr="006D54D3">
              <w:rPr>
                <w:sz w:val="24"/>
                <w:szCs w:val="24"/>
              </w:rPr>
              <w:t>Noslēgts līgums/lēmums</w:t>
            </w:r>
          </w:p>
        </w:tc>
        <w:tc>
          <w:tcPr>
            <w:tcW w:w="2358" w:type="dxa"/>
            <w:shd w:val="clear" w:color="auto" w:fill="auto"/>
          </w:tcPr>
          <w:p w:rsidR="00445524" w:rsidRPr="006D54D3" w:rsidRDefault="00445524" w:rsidP="00157239">
            <w:pPr>
              <w:jc w:val="center"/>
              <w:rPr>
                <w:sz w:val="24"/>
                <w:szCs w:val="24"/>
              </w:rPr>
            </w:pPr>
            <w:r w:rsidRPr="006D54D3">
              <w:rPr>
                <w:sz w:val="24"/>
                <w:szCs w:val="24"/>
              </w:rPr>
              <w:t xml:space="preserve">Publiskais finansējums noslēgtajiem līgumiem, </w:t>
            </w:r>
            <w:r w:rsidRPr="006D54D3">
              <w:rPr>
                <w:i/>
                <w:sz w:val="24"/>
                <w:szCs w:val="24"/>
              </w:rPr>
              <w:t>euro</w:t>
            </w:r>
          </w:p>
        </w:tc>
      </w:tr>
      <w:tr w:rsidR="00445524" w:rsidRPr="009A6670" w:rsidTr="00157239">
        <w:tc>
          <w:tcPr>
            <w:tcW w:w="1682" w:type="dxa"/>
            <w:shd w:val="clear" w:color="auto" w:fill="auto"/>
          </w:tcPr>
          <w:p w:rsidR="00445524" w:rsidRPr="00E31634" w:rsidRDefault="00445524" w:rsidP="00157239">
            <w:pPr>
              <w:rPr>
                <w:i/>
                <w:sz w:val="24"/>
                <w:szCs w:val="24"/>
              </w:rPr>
            </w:pPr>
            <w:r w:rsidRPr="00E31634">
              <w:rPr>
                <w:i/>
                <w:color w:val="2A2A2A"/>
                <w:sz w:val="24"/>
                <w:szCs w:val="24"/>
              </w:rPr>
              <w:t>Aktivitāte 3.4.4.1.</w:t>
            </w:r>
          </w:p>
        </w:tc>
        <w:tc>
          <w:tcPr>
            <w:tcW w:w="1678" w:type="dxa"/>
            <w:shd w:val="clear" w:color="auto" w:fill="auto"/>
          </w:tcPr>
          <w:p w:rsidR="00445524" w:rsidRPr="00E31634" w:rsidRDefault="00445524" w:rsidP="00157239">
            <w:pPr>
              <w:jc w:val="center"/>
              <w:rPr>
                <w:sz w:val="24"/>
                <w:szCs w:val="24"/>
              </w:rPr>
            </w:pPr>
            <w:r w:rsidRPr="00E31634">
              <w:rPr>
                <w:sz w:val="24"/>
                <w:szCs w:val="24"/>
              </w:rPr>
              <w:t>357</w:t>
            </w:r>
          </w:p>
        </w:tc>
        <w:tc>
          <w:tcPr>
            <w:tcW w:w="1699" w:type="dxa"/>
            <w:shd w:val="clear" w:color="auto" w:fill="auto"/>
          </w:tcPr>
          <w:p w:rsidR="00445524" w:rsidRPr="00E31634" w:rsidRDefault="00445524" w:rsidP="00157239">
            <w:pPr>
              <w:jc w:val="center"/>
              <w:rPr>
                <w:sz w:val="24"/>
                <w:szCs w:val="24"/>
              </w:rPr>
            </w:pPr>
            <w:r w:rsidRPr="00E31634">
              <w:rPr>
                <w:sz w:val="24"/>
                <w:szCs w:val="24"/>
              </w:rPr>
              <w:t>26 625 181,13</w:t>
            </w:r>
          </w:p>
        </w:tc>
        <w:tc>
          <w:tcPr>
            <w:tcW w:w="1763" w:type="dxa"/>
            <w:shd w:val="clear" w:color="auto" w:fill="auto"/>
          </w:tcPr>
          <w:p w:rsidR="00445524" w:rsidRPr="00E31634" w:rsidRDefault="00445524" w:rsidP="00157239">
            <w:pPr>
              <w:jc w:val="center"/>
              <w:rPr>
                <w:sz w:val="24"/>
                <w:szCs w:val="24"/>
              </w:rPr>
            </w:pPr>
            <w:r w:rsidRPr="00E31634">
              <w:rPr>
                <w:sz w:val="24"/>
                <w:szCs w:val="24"/>
              </w:rPr>
              <w:t>558</w:t>
            </w:r>
          </w:p>
        </w:tc>
        <w:tc>
          <w:tcPr>
            <w:tcW w:w="2358" w:type="dxa"/>
            <w:shd w:val="clear" w:color="auto" w:fill="auto"/>
          </w:tcPr>
          <w:p w:rsidR="00445524" w:rsidRPr="00E31634" w:rsidRDefault="00445524" w:rsidP="00157239">
            <w:pPr>
              <w:jc w:val="center"/>
              <w:rPr>
                <w:sz w:val="24"/>
                <w:szCs w:val="24"/>
              </w:rPr>
            </w:pPr>
            <w:r w:rsidRPr="00E31634">
              <w:rPr>
                <w:sz w:val="24"/>
                <w:szCs w:val="24"/>
              </w:rPr>
              <w:t>54 463 768,21</w:t>
            </w:r>
          </w:p>
        </w:tc>
      </w:tr>
      <w:tr w:rsidR="00445524" w:rsidRPr="009A6670" w:rsidTr="00157239">
        <w:tc>
          <w:tcPr>
            <w:tcW w:w="1682" w:type="dxa"/>
            <w:shd w:val="clear" w:color="auto" w:fill="auto"/>
          </w:tcPr>
          <w:p w:rsidR="00445524" w:rsidRPr="00E31634" w:rsidRDefault="00445524" w:rsidP="00157239">
            <w:pPr>
              <w:rPr>
                <w:i/>
                <w:sz w:val="24"/>
                <w:szCs w:val="24"/>
              </w:rPr>
            </w:pPr>
            <w:r w:rsidRPr="00E31634">
              <w:rPr>
                <w:i/>
                <w:color w:val="2A2A2A"/>
                <w:sz w:val="24"/>
                <w:szCs w:val="24"/>
              </w:rPr>
              <w:t>Aktivitāte 3.4.4.2.</w:t>
            </w:r>
          </w:p>
        </w:tc>
        <w:tc>
          <w:tcPr>
            <w:tcW w:w="1678" w:type="dxa"/>
            <w:shd w:val="clear" w:color="auto" w:fill="auto"/>
          </w:tcPr>
          <w:p w:rsidR="00445524" w:rsidRPr="00E31634" w:rsidRDefault="00445524" w:rsidP="00157239">
            <w:pPr>
              <w:jc w:val="center"/>
              <w:rPr>
                <w:sz w:val="24"/>
                <w:szCs w:val="24"/>
              </w:rPr>
            </w:pPr>
            <w:r w:rsidRPr="00E31634">
              <w:rPr>
                <w:sz w:val="24"/>
                <w:szCs w:val="24"/>
              </w:rPr>
              <w:t>50</w:t>
            </w:r>
          </w:p>
        </w:tc>
        <w:tc>
          <w:tcPr>
            <w:tcW w:w="1699" w:type="dxa"/>
            <w:shd w:val="clear" w:color="auto" w:fill="auto"/>
          </w:tcPr>
          <w:p w:rsidR="00445524" w:rsidRPr="00E31634" w:rsidRDefault="00445524" w:rsidP="00157239">
            <w:pPr>
              <w:jc w:val="center"/>
              <w:rPr>
                <w:sz w:val="24"/>
                <w:szCs w:val="24"/>
              </w:rPr>
            </w:pPr>
            <w:r w:rsidRPr="00E31634">
              <w:rPr>
                <w:sz w:val="24"/>
                <w:szCs w:val="24"/>
              </w:rPr>
              <w:t xml:space="preserve">4 770 790,36 </w:t>
            </w:r>
          </w:p>
        </w:tc>
        <w:tc>
          <w:tcPr>
            <w:tcW w:w="1763" w:type="dxa"/>
            <w:shd w:val="clear" w:color="auto" w:fill="auto"/>
          </w:tcPr>
          <w:p w:rsidR="00445524" w:rsidRPr="00E31634" w:rsidRDefault="00445524" w:rsidP="00157239">
            <w:pPr>
              <w:jc w:val="center"/>
              <w:rPr>
                <w:sz w:val="24"/>
                <w:szCs w:val="24"/>
              </w:rPr>
            </w:pPr>
            <w:r w:rsidRPr="00E31634">
              <w:rPr>
                <w:sz w:val="24"/>
                <w:szCs w:val="24"/>
              </w:rPr>
              <w:t>5</w:t>
            </w:r>
          </w:p>
        </w:tc>
        <w:tc>
          <w:tcPr>
            <w:tcW w:w="2358" w:type="dxa"/>
            <w:shd w:val="clear" w:color="auto" w:fill="auto"/>
          </w:tcPr>
          <w:p w:rsidR="00445524" w:rsidRPr="00E31634" w:rsidRDefault="00445524" w:rsidP="00157239">
            <w:pPr>
              <w:jc w:val="center"/>
              <w:rPr>
                <w:sz w:val="24"/>
                <w:szCs w:val="24"/>
              </w:rPr>
            </w:pPr>
            <w:r w:rsidRPr="00E31634">
              <w:rPr>
                <w:sz w:val="24"/>
                <w:szCs w:val="24"/>
              </w:rPr>
              <w:t>647 779,31</w:t>
            </w:r>
          </w:p>
        </w:tc>
      </w:tr>
    </w:tbl>
    <w:p w:rsidR="000370E2" w:rsidRDefault="000370E2" w:rsidP="00893494">
      <w:pPr>
        <w:pStyle w:val="BodyTEXT0"/>
      </w:pPr>
    </w:p>
    <w:p w:rsidR="00E8387D" w:rsidRPr="00504AEE" w:rsidRDefault="00E8387D" w:rsidP="00E8387D">
      <w:pPr>
        <w:pStyle w:val="BodyTEXT0"/>
      </w:pPr>
      <w:r w:rsidRPr="00504AEE">
        <w:t>Publiskā sektora ēku energoefektivitāte ir svarīga ne tikai resursu taupības un vides apsvērumu dēļ. Valsts un pašvaldību ēku renovācija nodrošina publiskā sektora vadošo lomu piemēra demonstrēšanā un sekmē ēku energosertifikāciju saskaņā ar ES direktīvu prasībām.</w:t>
      </w:r>
    </w:p>
    <w:p w:rsidR="00445524" w:rsidRPr="00504AEE" w:rsidRDefault="00445524" w:rsidP="00893494">
      <w:pPr>
        <w:pStyle w:val="BodyTEXT0"/>
      </w:pPr>
      <w:r w:rsidRPr="00504AEE">
        <w:t xml:space="preserve">Ražošanas ēkas saistītas ar rūpniecības  un būvniecības sektoru, kas ir trešais lielākais enerģijas galapatērētājs Latvijā.  Energoresursu tālāka sadārdzināšanās var ietekmēt ekonomikai būtiskas rūpniecības nozares, jo izejvielu izmaksas ietekmē gan vietējos, gan ārvalstu ražotājus vienādi, taču enerģijas izmaksas atšķiras atkarībā no valsts. Tāpēc svarīgi veicināt efektīvu energoresursu izmantošanu un enerģijas patēriņa samazināšanu, sevišķi apstrādes rūpniecības nozarē.  </w:t>
      </w:r>
    </w:p>
    <w:p w:rsidR="00445524" w:rsidRPr="00504AEE" w:rsidRDefault="00445524" w:rsidP="00893494">
      <w:pPr>
        <w:pStyle w:val="BodyTEXT0"/>
      </w:pPr>
      <w:r w:rsidRPr="00504AEE">
        <w:t>ES fondu 2014.-2020.gada plānošanas periodā darbības programma „Izaugsme un nodarbinātība” paredz finansēt šādus ēku energoefektivitātes uzlabošanas pasākumus:</w:t>
      </w:r>
    </w:p>
    <w:p w:rsidR="00445524" w:rsidRPr="00504AEE" w:rsidRDefault="00445524" w:rsidP="00893494">
      <w:pPr>
        <w:pStyle w:val="BodyTEXT0"/>
        <w:ind w:left="851" w:hanging="131"/>
      </w:pPr>
      <w:r w:rsidRPr="00504AEE">
        <w:t>•</w:t>
      </w:r>
      <w:r w:rsidRPr="00504AEE">
        <w:tab/>
        <w:t>energoefektivitātes paaugstināšana un atjaunojamo energoresursu izmantošana publiskajās un dzīvojamās ēkās;</w:t>
      </w:r>
    </w:p>
    <w:p w:rsidR="00445524" w:rsidRPr="00504AEE" w:rsidRDefault="00445524" w:rsidP="00893494">
      <w:pPr>
        <w:pStyle w:val="BodyTEXT0"/>
        <w:ind w:left="851" w:hanging="131"/>
      </w:pPr>
      <w:r w:rsidRPr="00504AEE">
        <w:t>•</w:t>
      </w:r>
      <w:r w:rsidRPr="00504AEE">
        <w:tab/>
        <w:t>efektīvu energoresursu izmantošanu un enerģijas patēriņa samazināšanu apstrādes rūpniecības nozarē.</w:t>
      </w:r>
    </w:p>
    <w:p w:rsidR="00445524" w:rsidRDefault="00445524" w:rsidP="00445524">
      <w:pPr>
        <w:pStyle w:val="BodyText"/>
        <w:spacing w:after="0"/>
        <w:jc w:val="both"/>
        <w:rPr>
          <w:b/>
          <w:sz w:val="28"/>
          <w:szCs w:val="28"/>
        </w:rPr>
      </w:pPr>
    </w:p>
    <w:p w:rsidR="00445524" w:rsidRPr="00445524" w:rsidRDefault="00445524" w:rsidP="00445524">
      <w:pPr>
        <w:pStyle w:val="BodyText"/>
        <w:spacing w:after="0"/>
        <w:jc w:val="both"/>
        <w:rPr>
          <w:sz w:val="28"/>
          <w:u w:val="single"/>
        </w:rPr>
      </w:pPr>
      <w:r w:rsidRPr="00445524">
        <w:rPr>
          <w:sz w:val="28"/>
          <w:u w:val="single"/>
        </w:rPr>
        <w:t>Enerģijas patēriņa efektivitātes indikators – enerģijas intensitāte</w:t>
      </w:r>
    </w:p>
    <w:p w:rsidR="00445524" w:rsidRDefault="00445524" w:rsidP="00445524">
      <w:pPr>
        <w:pStyle w:val="BodyText"/>
        <w:spacing w:after="0"/>
        <w:ind w:firstLine="709"/>
        <w:jc w:val="both"/>
        <w:rPr>
          <w:sz w:val="28"/>
          <w:szCs w:val="28"/>
        </w:rPr>
      </w:pPr>
      <w:r w:rsidRPr="00EC36CD">
        <w:rPr>
          <w:sz w:val="28"/>
          <w:szCs w:val="28"/>
        </w:rPr>
        <w:t xml:space="preserve">Ekonomikas un enerģijas mijiedarbību raksturo virkne rādītāju, bet plašāk tiek izmantota primārās, gala enerģijas vai elektroenerģijas intensitāte, kas parāda cik energointensīva ir valsts ekonomika. Energointensitāti mēra enerģijas patēriņā uz vienu iekšzemes kopprodukta vienību, izteiktu monetārās vienībās konstantās cenās (GJ/2000 </w:t>
      </w:r>
      <w:r w:rsidRPr="00EC36CD">
        <w:rPr>
          <w:i/>
          <w:sz w:val="28"/>
          <w:szCs w:val="28"/>
        </w:rPr>
        <w:t>euro</w:t>
      </w:r>
      <w:r w:rsidRPr="00EC36CD">
        <w:rPr>
          <w:sz w:val="28"/>
          <w:szCs w:val="28"/>
        </w:rPr>
        <w:t>)</w:t>
      </w:r>
      <w:r>
        <w:rPr>
          <w:sz w:val="28"/>
          <w:szCs w:val="28"/>
        </w:rPr>
        <w:t>. P</w:t>
      </w:r>
      <w:r w:rsidRPr="00EC36CD">
        <w:rPr>
          <w:sz w:val="28"/>
          <w:szCs w:val="28"/>
        </w:rPr>
        <w:t>rimārās enerģijas intensitātes izmaiņas mēra tendences kopējā enerģijas izmantošanas produktivitātē valstī</w:t>
      </w:r>
      <w:r>
        <w:rPr>
          <w:sz w:val="28"/>
          <w:szCs w:val="28"/>
        </w:rPr>
        <w:t>.</w:t>
      </w:r>
    </w:p>
    <w:p w:rsidR="00445524" w:rsidRPr="00EE759E" w:rsidRDefault="006429E6" w:rsidP="00445524">
      <w:pPr>
        <w:pStyle w:val="ListParagraph"/>
        <w:ind w:left="644"/>
        <w:jc w:val="right"/>
        <w:rPr>
          <w:rFonts w:eastAsia="Times New Roman" w:cs="Times New Roman"/>
          <w:bCs/>
          <w:szCs w:val="28"/>
          <w:lang w:eastAsia="lv-LV"/>
        </w:rPr>
      </w:pPr>
      <w:r>
        <w:rPr>
          <w:rFonts w:eastAsia="Times New Roman" w:cs="Times New Roman"/>
          <w:bCs/>
          <w:szCs w:val="28"/>
          <w:lang w:eastAsia="lv-LV"/>
        </w:rPr>
        <w:t>5</w:t>
      </w:r>
      <w:r w:rsidR="00445524">
        <w:rPr>
          <w:rFonts w:eastAsia="Times New Roman" w:cs="Times New Roman"/>
          <w:bCs/>
          <w:szCs w:val="28"/>
          <w:lang w:eastAsia="lv-LV"/>
        </w:rPr>
        <w:t>.</w:t>
      </w:r>
      <w:r w:rsidR="00445524" w:rsidRPr="00EE759E">
        <w:rPr>
          <w:rFonts w:eastAsia="Times New Roman" w:cs="Times New Roman"/>
          <w:bCs/>
          <w:szCs w:val="28"/>
          <w:lang w:eastAsia="lv-LV"/>
        </w:rPr>
        <w:t xml:space="preserve">tabula </w:t>
      </w:r>
    </w:p>
    <w:p w:rsidR="00445524" w:rsidRPr="00EE759E" w:rsidRDefault="00445524" w:rsidP="00445524">
      <w:pPr>
        <w:pStyle w:val="ListParagraph"/>
        <w:ind w:left="644"/>
        <w:jc w:val="center"/>
        <w:rPr>
          <w:rFonts w:eastAsia="Times New Roman" w:cs="Times New Roman"/>
          <w:bCs/>
          <w:szCs w:val="28"/>
          <w:lang w:eastAsia="lv-LV"/>
        </w:rPr>
      </w:pPr>
      <w:r w:rsidRPr="00EE759E">
        <w:rPr>
          <w:rFonts w:eastAsia="Times New Roman" w:cs="Times New Roman"/>
          <w:bCs/>
          <w:szCs w:val="28"/>
          <w:lang w:eastAsia="lv-LV"/>
        </w:rPr>
        <w:t>Primārās enerģijas intensitāte (toe/1000 EUR (2005))</w:t>
      </w:r>
    </w:p>
    <w:p w:rsidR="00445524" w:rsidRPr="00F21DCB" w:rsidRDefault="00445524" w:rsidP="00445524">
      <w:pPr>
        <w:jc w:val="right"/>
        <w:rPr>
          <w:rFonts w:ascii="Arial" w:eastAsia="Times New Roman" w:hAnsi="Arial" w:cs="Arial"/>
          <w:b/>
          <w:bCs/>
          <w:sz w:val="20"/>
          <w:szCs w:val="20"/>
          <w:lang w:eastAsia="lv-LV"/>
        </w:rPr>
      </w:pPr>
    </w:p>
    <w:tbl>
      <w:tblPr>
        <w:tblStyle w:val="TableGrid"/>
        <w:tblW w:w="5000" w:type="pct"/>
        <w:tblLayout w:type="fixed"/>
        <w:tblLook w:val="04A0" w:firstRow="1" w:lastRow="0" w:firstColumn="1" w:lastColumn="0" w:noHBand="0" w:noVBand="1"/>
      </w:tblPr>
      <w:tblGrid>
        <w:gridCol w:w="4074"/>
        <w:gridCol w:w="994"/>
        <w:gridCol w:w="851"/>
        <w:gridCol w:w="853"/>
        <w:gridCol w:w="849"/>
        <w:gridCol w:w="851"/>
        <w:gridCol w:w="815"/>
      </w:tblGrid>
      <w:tr w:rsidR="00445524" w:rsidRPr="00504AEE" w:rsidTr="00445524">
        <w:trPr>
          <w:trHeight w:val="255"/>
        </w:trPr>
        <w:tc>
          <w:tcPr>
            <w:tcW w:w="2193" w:type="pct"/>
            <w:noWrap/>
            <w:hideMark/>
          </w:tcPr>
          <w:p w:rsidR="00445524" w:rsidRPr="00445524" w:rsidRDefault="00445524" w:rsidP="00157239">
            <w:pPr>
              <w:rPr>
                <w:sz w:val="24"/>
              </w:rPr>
            </w:pPr>
          </w:p>
        </w:tc>
        <w:tc>
          <w:tcPr>
            <w:tcW w:w="535" w:type="pct"/>
            <w:noWrap/>
            <w:hideMark/>
          </w:tcPr>
          <w:p w:rsidR="00445524" w:rsidRPr="00445524" w:rsidRDefault="00445524" w:rsidP="00157239">
            <w:pPr>
              <w:rPr>
                <w:b/>
                <w:sz w:val="24"/>
              </w:rPr>
            </w:pPr>
            <w:r w:rsidRPr="00445524">
              <w:rPr>
                <w:b/>
                <w:sz w:val="24"/>
              </w:rPr>
              <w:t>2007</w:t>
            </w:r>
          </w:p>
        </w:tc>
        <w:tc>
          <w:tcPr>
            <w:tcW w:w="458" w:type="pct"/>
            <w:noWrap/>
            <w:hideMark/>
          </w:tcPr>
          <w:p w:rsidR="00445524" w:rsidRPr="00445524" w:rsidRDefault="00445524" w:rsidP="00157239">
            <w:pPr>
              <w:rPr>
                <w:b/>
                <w:sz w:val="24"/>
              </w:rPr>
            </w:pPr>
            <w:r w:rsidRPr="00445524">
              <w:rPr>
                <w:b/>
                <w:sz w:val="24"/>
              </w:rPr>
              <w:t>2008</w:t>
            </w:r>
          </w:p>
        </w:tc>
        <w:tc>
          <w:tcPr>
            <w:tcW w:w="459" w:type="pct"/>
            <w:noWrap/>
            <w:hideMark/>
          </w:tcPr>
          <w:p w:rsidR="00445524" w:rsidRPr="00445524" w:rsidRDefault="00445524" w:rsidP="00157239">
            <w:pPr>
              <w:rPr>
                <w:b/>
                <w:sz w:val="24"/>
              </w:rPr>
            </w:pPr>
            <w:r w:rsidRPr="00445524">
              <w:rPr>
                <w:b/>
                <w:sz w:val="24"/>
              </w:rPr>
              <w:t>2009</w:t>
            </w:r>
          </w:p>
        </w:tc>
        <w:tc>
          <w:tcPr>
            <w:tcW w:w="457" w:type="pct"/>
            <w:noWrap/>
            <w:hideMark/>
          </w:tcPr>
          <w:p w:rsidR="00445524" w:rsidRPr="00445524" w:rsidRDefault="00445524" w:rsidP="00157239">
            <w:pPr>
              <w:rPr>
                <w:b/>
                <w:sz w:val="24"/>
              </w:rPr>
            </w:pPr>
            <w:r w:rsidRPr="00445524">
              <w:rPr>
                <w:b/>
                <w:sz w:val="24"/>
              </w:rPr>
              <w:t>2010</w:t>
            </w:r>
          </w:p>
        </w:tc>
        <w:tc>
          <w:tcPr>
            <w:tcW w:w="458" w:type="pct"/>
            <w:noWrap/>
            <w:hideMark/>
          </w:tcPr>
          <w:p w:rsidR="00445524" w:rsidRPr="00445524" w:rsidRDefault="00445524" w:rsidP="00157239">
            <w:pPr>
              <w:rPr>
                <w:b/>
                <w:sz w:val="24"/>
              </w:rPr>
            </w:pPr>
            <w:r w:rsidRPr="00445524">
              <w:rPr>
                <w:b/>
                <w:sz w:val="24"/>
              </w:rPr>
              <w:t>2011</w:t>
            </w:r>
          </w:p>
        </w:tc>
        <w:tc>
          <w:tcPr>
            <w:tcW w:w="439" w:type="pct"/>
            <w:noWrap/>
            <w:hideMark/>
          </w:tcPr>
          <w:p w:rsidR="00445524" w:rsidRPr="00445524" w:rsidRDefault="00445524" w:rsidP="00157239">
            <w:pPr>
              <w:rPr>
                <w:b/>
                <w:sz w:val="24"/>
              </w:rPr>
            </w:pPr>
            <w:r w:rsidRPr="00445524">
              <w:rPr>
                <w:b/>
                <w:sz w:val="24"/>
              </w:rPr>
              <w:t>2012</w:t>
            </w:r>
          </w:p>
        </w:tc>
      </w:tr>
      <w:tr w:rsidR="00445524" w:rsidRPr="00504AEE" w:rsidTr="00445524">
        <w:trPr>
          <w:trHeight w:val="255"/>
        </w:trPr>
        <w:tc>
          <w:tcPr>
            <w:tcW w:w="2193" w:type="pct"/>
            <w:noWrap/>
            <w:hideMark/>
          </w:tcPr>
          <w:p w:rsidR="00445524" w:rsidRPr="00445524" w:rsidRDefault="00445524" w:rsidP="00157239">
            <w:pPr>
              <w:rPr>
                <w:sz w:val="24"/>
              </w:rPr>
            </w:pPr>
            <w:r w:rsidRPr="00445524">
              <w:rPr>
                <w:sz w:val="24"/>
              </w:rPr>
              <w:t>ES-28 (vidējā primārās enerģijas intensitāte)</w:t>
            </w:r>
          </w:p>
        </w:tc>
        <w:tc>
          <w:tcPr>
            <w:tcW w:w="535" w:type="pct"/>
            <w:noWrap/>
            <w:hideMark/>
          </w:tcPr>
          <w:p w:rsidR="00445524" w:rsidRPr="00445524" w:rsidRDefault="00445524" w:rsidP="00157239">
            <w:pPr>
              <w:jc w:val="right"/>
              <w:rPr>
                <w:sz w:val="24"/>
              </w:rPr>
            </w:pPr>
            <w:r w:rsidRPr="00445524">
              <w:rPr>
                <w:sz w:val="24"/>
              </w:rPr>
              <w:t>0,152</w:t>
            </w:r>
          </w:p>
        </w:tc>
        <w:tc>
          <w:tcPr>
            <w:tcW w:w="458" w:type="pct"/>
            <w:noWrap/>
            <w:hideMark/>
          </w:tcPr>
          <w:p w:rsidR="00445524" w:rsidRPr="00445524" w:rsidRDefault="00445524" w:rsidP="00157239">
            <w:pPr>
              <w:jc w:val="right"/>
              <w:rPr>
                <w:sz w:val="24"/>
              </w:rPr>
            </w:pPr>
            <w:r w:rsidRPr="00445524">
              <w:rPr>
                <w:sz w:val="24"/>
              </w:rPr>
              <w:t>0,151</w:t>
            </w:r>
          </w:p>
        </w:tc>
        <w:tc>
          <w:tcPr>
            <w:tcW w:w="459" w:type="pct"/>
            <w:noWrap/>
            <w:hideMark/>
          </w:tcPr>
          <w:p w:rsidR="00445524" w:rsidRPr="00445524" w:rsidRDefault="00445524" w:rsidP="00157239">
            <w:pPr>
              <w:jc w:val="right"/>
              <w:rPr>
                <w:sz w:val="24"/>
              </w:rPr>
            </w:pPr>
            <w:r w:rsidRPr="00445524">
              <w:rPr>
                <w:sz w:val="24"/>
              </w:rPr>
              <w:t>0,149</w:t>
            </w:r>
          </w:p>
        </w:tc>
        <w:tc>
          <w:tcPr>
            <w:tcW w:w="457" w:type="pct"/>
            <w:noWrap/>
            <w:hideMark/>
          </w:tcPr>
          <w:p w:rsidR="00445524" w:rsidRPr="00445524" w:rsidRDefault="00445524" w:rsidP="00157239">
            <w:pPr>
              <w:jc w:val="right"/>
              <w:rPr>
                <w:sz w:val="24"/>
              </w:rPr>
            </w:pPr>
            <w:r w:rsidRPr="00445524">
              <w:rPr>
                <w:sz w:val="24"/>
              </w:rPr>
              <w:t>0,152</w:t>
            </w:r>
          </w:p>
        </w:tc>
        <w:tc>
          <w:tcPr>
            <w:tcW w:w="458" w:type="pct"/>
            <w:noWrap/>
            <w:hideMark/>
          </w:tcPr>
          <w:p w:rsidR="00445524" w:rsidRPr="00445524" w:rsidRDefault="00445524" w:rsidP="00157239">
            <w:pPr>
              <w:jc w:val="right"/>
              <w:rPr>
                <w:sz w:val="24"/>
              </w:rPr>
            </w:pPr>
            <w:r w:rsidRPr="00445524">
              <w:rPr>
                <w:sz w:val="24"/>
              </w:rPr>
              <w:t>0,144</w:t>
            </w:r>
          </w:p>
        </w:tc>
        <w:tc>
          <w:tcPr>
            <w:tcW w:w="439" w:type="pct"/>
            <w:noWrap/>
            <w:hideMark/>
          </w:tcPr>
          <w:p w:rsidR="00445524" w:rsidRPr="00445524" w:rsidRDefault="00445524" w:rsidP="00157239">
            <w:pPr>
              <w:jc w:val="right"/>
              <w:rPr>
                <w:sz w:val="24"/>
              </w:rPr>
            </w:pPr>
            <w:r w:rsidRPr="00445524">
              <w:rPr>
                <w:sz w:val="24"/>
              </w:rPr>
              <w:t>0,143</w:t>
            </w:r>
          </w:p>
        </w:tc>
      </w:tr>
      <w:tr w:rsidR="00445524" w:rsidRPr="00504AEE" w:rsidTr="00445524">
        <w:trPr>
          <w:trHeight w:val="255"/>
        </w:trPr>
        <w:tc>
          <w:tcPr>
            <w:tcW w:w="2193" w:type="pct"/>
            <w:noWrap/>
            <w:hideMark/>
          </w:tcPr>
          <w:p w:rsidR="00445524" w:rsidRPr="00445524" w:rsidRDefault="00445524" w:rsidP="00157239">
            <w:pPr>
              <w:rPr>
                <w:sz w:val="24"/>
              </w:rPr>
            </w:pPr>
            <w:r w:rsidRPr="00445524">
              <w:rPr>
                <w:sz w:val="24"/>
              </w:rPr>
              <w:t>Latvija (primārās enerģijas intensitāte)</w:t>
            </w:r>
          </w:p>
        </w:tc>
        <w:tc>
          <w:tcPr>
            <w:tcW w:w="535" w:type="pct"/>
            <w:noWrap/>
            <w:hideMark/>
          </w:tcPr>
          <w:p w:rsidR="00445524" w:rsidRPr="00445524" w:rsidRDefault="00445524" w:rsidP="00157239">
            <w:pPr>
              <w:jc w:val="right"/>
              <w:rPr>
                <w:sz w:val="24"/>
              </w:rPr>
            </w:pPr>
            <w:r w:rsidRPr="00445524">
              <w:rPr>
                <w:sz w:val="24"/>
              </w:rPr>
              <w:t>0,310</w:t>
            </w:r>
          </w:p>
        </w:tc>
        <w:tc>
          <w:tcPr>
            <w:tcW w:w="458" w:type="pct"/>
            <w:noWrap/>
            <w:hideMark/>
          </w:tcPr>
          <w:p w:rsidR="00445524" w:rsidRPr="00445524" w:rsidRDefault="00445524" w:rsidP="00157239">
            <w:pPr>
              <w:jc w:val="right"/>
              <w:rPr>
                <w:sz w:val="24"/>
              </w:rPr>
            </w:pPr>
            <w:r w:rsidRPr="00445524">
              <w:rPr>
                <w:sz w:val="24"/>
              </w:rPr>
              <w:t>0,306</w:t>
            </w:r>
          </w:p>
        </w:tc>
        <w:tc>
          <w:tcPr>
            <w:tcW w:w="459" w:type="pct"/>
            <w:noWrap/>
            <w:hideMark/>
          </w:tcPr>
          <w:p w:rsidR="00445524" w:rsidRPr="00445524" w:rsidRDefault="00445524" w:rsidP="00157239">
            <w:pPr>
              <w:jc w:val="right"/>
              <w:rPr>
                <w:sz w:val="24"/>
              </w:rPr>
            </w:pPr>
            <w:r w:rsidRPr="00445524">
              <w:rPr>
                <w:sz w:val="24"/>
              </w:rPr>
              <w:t>0,357</w:t>
            </w:r>
          </w:p>
        </w:tc>
        <w:tc>
          <w:tcPr>
            <w:tcW w:w="457" w:type="pct"/>
            <w:noWrap/>
            <w:hideMark/>
          </w:tcPr>
          <w:p w:rsidR="00445524" w:rsidRPr="00445524" w:rsidRDefault="00445524" w:rsidP="00157239">
            <w:pPr>
              <w:jc w:val="right"/>
              <w:rPr>
                <w:sz w:val="24"/>
              </w:rPr>
            </w:pPr>
            <w:r w:rsidRPr="00445524">
              <w:rPr>
                <w:sz w:val="24"/>
              </w:rPr>
              <w:t>0,382</w:t>
            </w:r>
          </w:p>
        </w:tc>
        <w:tc>
          <w:tcPr>
            <w:tcW w:w="458" w:type="pct"/>
            <w:noWrap/>
            <w:hideMark/>
          </w:tcPr>
          <w:p w:rsidR="00445524" w:rsidRPr="00445524" w:rsidRDefault="00445524" w:rsidP="00157239">
            <w:pPr>
              <w:jc w:val="right"/>
              <w:rPr>
                <w:sz w:val="24"/>
              </w:rPr>
            </w:pPr>
            <w:r w:rsidRPr="00445524">
              <w:rPr>
                <w:sz w:val="24"/>
              </w:rPr>
              <w:t>0,334</w:t>
            </w:r>
          </w:p>
        </w:tc>
        <w:tc>
          <w:tcPr>
            <w:tcW w:w="439" w:type="pct"/>
            <w:noWrap/>
            <w:hideMark/>
          </w:tcPr>
          <w:p w:rsidR="00445524" w:rsidRPr="00445524" w:rsidRDefault="00445524" w:rsidP="00157239">
            <w:pPr>
              <w:jc w:val="right"/>
              <w:rPr>
                <w:sz w:val="24"/>
              </w:rPr>
            </w:pPr>
            <w:r w:rsidRPr="00445524">
              <w:rPr>
                <w:sz w:val="24"/>
              </w:rPr>
              <w:t>0,329</w:t>
            </w:r>
          </w:p>
        </w:tc>
      </w:tr>
    </w:tbl>
    <w:p w:rsidR="006429E6" w:rsidRDefault="006429E6" w:rsidP="00445524">
      <w:pPr>
        <w:pStyle w:val="ListParagraph"/>
        <w:spacing w:after="120"/>
        <w:ind w:left="644"/>
        <w:jc w:val="right"/>
        <w:rPr>
          <w:szCs w:val="28"/>
        </w:rPr>
      </w:pPr>
    </w:p>
    <w:p w:rsidR="00445524" w:rsidRPr="00445524" w:rsidRDefault="006429E6" w:rsidP="00445524">
      <w:pPr>
        <w:pStyle w:val="ListParagraph"/>
        <w:spacing w:after="120"/>
        <w:ind w:left="644"/>
        <w:jc w:val="right"/>
        <w:rPr>
          <w:szCs w:val="28"/>
        </w:rPr>
      </w:pPr>
      <w:r>
        <w:rPr>
          <w:szCs w:val="28"/>
        </w:rPr>
        <w:t>6</w:t>
      </w:r>
      <w:r w:rsidR="00445524" w:rsidRPr="00445524">
        <w:rPr>
          <w:szCs w:val="28"/>
        </w:rPr>
        <w:t xml:space="preserve">.tabula </w:t>
      </w:r>
    </w:p>
    <w:p w:rsidR="00445524" w:rsidRPr="00504AEE" w:rsidRDefault="00445524" w:rsidP="00445524">
      <w:pPr>
        <w:pStyle w:val="ListParagraph"/>
        <w:spacing w:after="120"/>
        <w:ind w:left="644"/>
        <w:jc w:val="center"/>
        <w:rPr>
          <w:rFonts w:eastAsia="Times New Roman" w:cs="Times New Roman"/>
          <w:bCs/>
          <w:szCs w:val="28"/>
          <w:lang w:eastAsia="lv-LV"/>
        </w:rPr>
      </w:pPr>
      <w:r w:rsidRPr="00504AEE">
        <w:rPr>
          <w:rFonts w:eastAsia="Times New Roman" w:cs="Times New Roman"/>
          <w:bCs/>
          <w:szCs w:val="28"/>
          <w:lang w:eastAsia="lv-LV"/>
        </w:rPr>
        <w:t>Gala enerģijas intensitāte (toe/1000 EUR (2005))</w:t>
      </w:r>
    </w:p>
    <w:tbl>
      <w:tblPr>
        <w:tblStyle w:val="TableGrid"/>
        <w:tblW w:w="5000" w:type="pct"/>
        <w:tblLook w:val="04A0" w:firstRow="1" w:lastRow="0" w:firstColumn="1" w:lastColumn="0" w:noHBand="0" w:noVBand="1"/>
      </w:tblPr>
      <w:tblGrid>
        <w:gridCol w:w="4055"/>
        <w:gridCol w:w="1013"/>
        <w:gridCol w:w="844"/>
        <w:gridCol w:w="844"/>
        <w:gridCol w:w="844"/>
        <w:gridCol w:w="844"/>
        <w:gridCol w:w="843"/>
      </w:tblGrid>
      <w:tr w:rsidR="00445524" w:rsidRPr="00504AEE" w:rsidTr="00445524">
        <w:trPr>
          <w:trHeight w:val="255"/>
        </w:trPr>
        <w:tc>
          <w:tcPr>
            <w:tcW w:w="1994" w:type="pct"/>
            <w:noWrap/>
            <w:hideMark/>
          </w:tcPr>
          <w:p w:rsidR="00445524" w:rsidRPr="00445524" w:rsidRDefault="00445524" w:rsidP="00157239">
            <w:pPr>
              <w:rPr>
                <w:sz w:val="24"/>
              </w:rPr>
            </w:pPr>
          </w:p>
        </w:tc>
        <w:tc>
          <w:tcPr>
            <w:tcW w:w="577" w:type="pct"/>
            <w:noWrap/>
            <w:hideMark/>
          </w:tcPr>
          <w:p w:rsidR="00445524" w:rsidRPr="00445524" w:rsidRDefault="00445524" w:rsidP="00157239">
            <w:pPr>
              <w:rPr>
                <w:b/>
                <w:sz w:val="24"/>
              </w:rPr>
            </w:pPr>
            <w:r w:rsidRPr="00445524">
              <w:rPr>
                <w:b/>
                <w:sz w:val="24"/>
              </w:rPr>
              <w:t>2007</w:t>
            </w:r>
          </w:p>
        </w:tc>
        <w:tc>
          <w:tcPr>
            <w:tcW w:w="486" w:type="pct"/>
            <w:noWrap/>
            <w:hideMark/>
          </w:tcPr>
          <w:p w:rsidR="00445524" w:rsidRPr="00445524" w:rsidRDefault="00445524" w:rsidP="00157239">
            <w:pPr>
              <w:rPr>
                <w:b/>
                <w:sz w:val="24"/>
              </w:rPr>
            </w:pPr>
            <w:r w:rsidRPr="00445524">
              <w:rPr>
                <w:b/>
                <w:sz w:val="24"/>
              </w:rPr>
              <w:t>2008</w:t>
            </w:r>
          </w:p>
        </w:tc>
        <w:tc>
          <w:tcPr>
            <w:tcW w:w="486" w:type="pct"/>
            <w:noWrap/>
            <w:hideMark/>
          </w:tcPr>
          <w:p w:rsidR="00445524" w:rsidRPr="00445524" w:rsidRDefault="00445524" w:rsidP="00157239">
            <w:pPr>
              <w:rPr>
                <w:b/>
                <w:sz w:val="24"/>
              </w:rPr>
            </w:pPr>
            <w:r w:rsidRPr="00445524">
              <w:rPr>
                <w:b/>
                <w:sz w:val="24"/>
              </w:rPr>
              <w:t>2009</w:t>
            </w:r>
          </w:p>
        </w:tc>
        <w:tc>
          <w:tcPr>
            <w:tcW w:w="486" w:type="pct"/>
            <w:noWrap/>
            <w:hideMark/>
          </w:tcPr>
          <w:p w:rsidR="00445524" w:rsidRPr="00445524" w:rsidRDefault="00445524" w:rsidP="00157239">
            <w:pPr>
              <w:rPr>
                <w:b/>
                <w:sz w:val="24"/>
              </w:rPr>
            </w:pPr>
            <w:r w:rsidRPr="00445524">
              <w:rPr>
                <w:b/>
                <w:sz w:val="24"/>
              </w:rPr>
              <w:t>2010</w:t>
            </w:r>
          </w:p>
        </w:tc>
        <w:tc>
          <w:tcPr>
            <w:tcW w:w="486" w:type="pct"/>
            <w:noWrap/>
            <w:hideMark/>
          </w:tcPr>
          <w:p w:rsidR="00445524" w:rsidRPr="00445524" w:rsidRDefault="00445524" w:rsidP="00157239">
            <w:pPr>
              <w:rPr>
                <w:b/>
                <w:sz w:val="24"/>
              </w:rPr>
            </w:pPr>
            <w:r w:rsidRPr="00445524">
              <w:rPr>
                <w:b/>
                <w:sz w:val="24"/>
              </w:rPr>
              <w:t>2011</w:t>
            </w:r>
          </w:p>
        </w:tc>
        <w:tc>
          <w:tcPr>
            <w:tcW w:w="486" w:type="pct"/>
            <w:noWrap/>
            <w:hideMark/>
          </w:tcPr>
          <w:p w:rsidR="00445524" w:rsidRPr="00445524" w:rsidRDefault="00445524" w:rsidP="00157239">
            <w:pPr>
              <w:rPr>
                <w:b/>
                <w:sz w:val="24"/>
              </w:rPr>
            </w:pPr>
            <w:r w:rsidRPr="00445524">
              <w:rPr>
                <w:b/>
                <w:sz w:val="24"/>
              </w:rPr>
              <w:t>2012</w:t>
            </w:r>
          </w:p>
        </w:tc>
      </w:tr>
      <w:tr w:rsidR="00445524" w:rsidRPr="00504AEE" w:rsidTr="00445524">
        <w:trPr>
          <w:trHeight w:val="255"/>
        </w:trPr>
        <w:tc>
          <w:tcPr>
            <w:tcW w:w="1994" w:type="pct"/>
            <w:noWrap/>
            <w:hideMark/>
          </w:tcPr>
          <w:p w:rsidR="00445524" w:rsidRPr="00445524" w:rsidRDefault="00445524" w:rsidP="00157239">
            <w:pPr>
              <w:rPr>
                <w:sz w:val="24"/>
              </w:rPr>
            </w:pPr>
            <w:r w:rsidRPr="00445524">
              <w:rPr>
                <w:sz w:val="24"/>
              </w:rPr>
              <w:t>ES-28 (vidējā gala enerģijas intensitāte)</w:t>
            </w:r>
          </w:p>
        </w:tc>
        <w:tc>
          <w:tcPr>
            <w:tcW w:w="577" w:type="pct"/>
            <w:noWrap/>
            <w:hideMark/>
          </w:tcPr>
          <w:p w:rsidR="00445524" w:rsidRPr="00445524" w:rsidRDefault="00445524" w:rsidP="00157239">
            <w:pPr>
              <w:jc w:val="right"/>
              <w:rPr>
                <w:sz w:val="24"/>
              </w:rPr>
            </w:pPr>
            <w:r w:rsidRPr="00445524">
              <w:rPr>
                <w:sz w:val="24"/>
              </w:rPr>
              <w:t>0,152</w:t>
            </w:r>
          </w:p>
        </w:tc>
        <w:tc>
          <w:tcPr>
            <w:tcW w:w="486" w:type="pct"/>
            <w:noWrap/>
            <w:hideMark/>
          </w:tcPr>
          <w:p w:rsidR="00445524" w:rsidRPr="00445524" w:rsidRDefault="00445524" w:rsidP="00157239">
            <w:pPr>
              <w:jc w:val="right"/>
              <w:rPr>
                <w:sz w:val="24"/>
              </w:rPr>
            </w:pPr>
            <w:r w:rsidRPr="00445524">
              <w:rPr>
                <w:sz w:val="24"/>
              </w:rPr>
              <w:t>0,151</w:t>
            </w:r>
          </w:p>
        </w:tc>
        <w:tc>
          <w:tcPr>
            <w:tcW w:w="486" w:type="pct"/>
            <w:noWrap/>
            <w:hideMark/>
          </w:tcPr>
          <w:p w:rsidR="00445524" w:rsidRPr="00445524" w:rsidRDefault="00445524" w:rsidP="00157239">
            <w:pPr>
              <w:jc w:val="right"/>
              <w:rPr>
                <w:sz w:val="24"/>
              </w:rPr>
            </w:pPr>
            <w:r w:rsidRPr="00445524">
              <w:rPr>
                <w:sz w:val="24"/>
              </w:rPr>
              <w:t>0,149</w:t>
            </w:r>
          </w:p>
        </w:tc>
        <w:tc>
          <w:tcPr>
            <w:tcW w:w="486" w:type="pct"/>
            <w:noWrap/>
            <w:hideMark/>
          </w:tcPr>
          <w:p w:rsidR="00445524" w:rsidRPr="00445524" w:rsidRDefault="00445524" w:rsidP="00157239">
            <w:pPr>
              <w:jc w:val="right"/>
              <w:rPr>
                <w:sz w:val="24"/>
              </w:rPr>
            </w:pPr>
            <w:r w:rsidRPr="00445524">
              <w:rPr>
                <w:sz w:val="24"/>
              </w:rPr>
              <w:t>0,152</w:t>
            </w:r>
          </w:p>
        </w:tc>
        <w:tc>
          <w:tcPr>
            <w:tcW w:w="486" w:type="pct"/>
            <w:noWrap/>
            <w:hideMark/>
          </w:tcPr>
          <w:p w:rsidR="00445524" w:rsidRPr="00445524" w:rsidRDefault="00445524" w:rsidP="00157239">
            <w:pPr>
              <w:jc w:val="right"/>
              <w:rPr>
                <w:sz w:val="24"/>
              </w:rPr>
            </w:pPr>
            <w:r w:rsidRPr="00445524">
              <w:rPr>
                <w:sz w:val="24"/>
              </w:rPr>
              <w:t>0,144</w:t>
            </w:r>
          </w:p>
        </w:tc>
        <w:tc>
          <w:tcPr>
            <w:tcW w:w="486" w:type="pct"/>
            <w:noWrap/>
            <w:hideMark/>
          </w:tcPr>
          <w:p w:rsidR="00445524" w:rsidRPr="00445524" w:rsidRDefault="00445524" w:rsidP="00157239">
            <w:pPr>
              <w:jc w:val="right"/>
              <w:rPr>
                <w:sz w:val="24"/>
              </w:rPr>
            </w:pPr>
            <w:r w:rsidRPr="00445524">
              <w:rPr>
                <w:sz w:val="24"/>
              </w:rPr>
              <w:t>0,143</w:t>
            </w:r>
          </w:p>
        </w:tc>
      </w:tr>
      <w:tr w:rsidR="00445524" w:rsidRPr="00504AEE" w:rsidTr="00445524">
        <w:trPr>
          <w:trHeight w:val="255"/>
        </w:trPr>
        <w:tc>
          <w:tcPr>
            <w:tcW w:w="1994" w:type="pct"/>
            <w:noWrap/>
            <w:hideMark/>
          </w:tcPr>
          <w:p w:rsidR="00445524" w:rsidRPr="00445524" w:rsidRDefault="00445524" w:rsidP="00157239">
            <w:pPr>
              <w:rPr>
                <w:sz w:val="24"/>
              </w:rPr>
            </w:pPr>
            <w:r w:rsidRPr="00445524">
              <w:rPr>
                <w:sz w:val="24"/>
              </w:rPr>
              <w:t>Latvija (gala enerģijas intensitāte)</w:t>
            </w:r>
          </w:p>
        </w:tc>
        <w:tc>
          <w:tcPr>
            <w:tcW w:w="577" w:type="pct"/>
            <w:noWrap/>
            <w:hideMark/>
          </w:tcPr>
          <w:p w:rsidR="00445524" w:rsidRPr="00445524" w:rsidRDefault="00445524" w:rsidP="00157239">
            <w:pPr>
              <w:jc w:val="right"/>
              <w:rPr>
                <w:sz w:val="24"/>
              </w:rPr>
            </w:pPr>
            <w:r w:rsidRPr="00445524">
              <w:rPr>
                <w:sz w:val="24"/>
              </w:rPr>
              <w:t>0,310</w:t>
            </w:r>
          </w:p>
        </w:tc>
        <w:tc>
          <w:tcPr>
            <w:tcW w:w="486" w:type="pct"/>
            <w:noWrap/>
            <w:hideMark/>
          </w:tcPr>
          <w:p w:rsidR="00445524" w:rsidRPr="00445524" w:rsidRDefault="00445524" w:rsidP="00157239">
            <w:pPr>
              <w:jc w:val="right"/>
              <w:rPr>
                <w:sz w:val="24"/>
              </w:rPr>
            </w:pPr>
            <w:r w:rsidRPr="00445524">
              <w:rPr>
                <w:sz w:val="24"/>
              </w:rPr>
              <w:t>0,306</w:t>
            </w:r>
          </w:p>
        </w:tc>
        <w:tc>
          <w:tcPr>
            <w:tcW w:w="486" w:type="pct"/>
            <w:noWrap/>
            <w:hideMark/>
          </w:tcPr>
          <w:p w:rsidR="00445524" w:rsidRPr="00445524" w:rsidRDefault="00445524" w:rsidP="00157239">
            <w:pPr>
              <w:jc w:val="right"/>
              <w:rPr>
                <w:sz w:val="24"/>
              </w:rPr>
            </w:pPr>
            <w:r w:rsidRPr="00445524">
              <w:rPr>
                <w:sz w:val="24"/>
              </w:rPr>
              <w:t>0,357</w:t>
            </w:r>
          </w:p>
        </w:tc>
        <w:tc>
          <w:tcPr>
            <w:tcW w:w="486" w:type="pct"/>
            <w:noWrap/>
            <w:hideMark/>
          </w:tcPr>
          <w:p w:rsidR="00445524" w:rsidRPr="00445524" w:rsidRDefault="00445524" w:rsidP="00157239">
            <w:pPr>
              <w:jc w:val="right"/>
              <w:rPr>
                <w:sz w:val="24"/>
              </w:rPr>
            </w:pPr>
            <w:r w:rsidRPr="00445524">
              <w:rPr>
                <w:sz w:val="24"/>
              </w:rPr>
              <w:t>0,382</w:t>
            </w:r>
          </w:p>
        </w:tc>
        <w:tc>
          <w:tcPr>
            <w:tcW w:w="486" w:type="pct"/>
            <w:noWrap/>
            <w:hideMark/>
          </w:tcPr>
          <w:p w:rsidR="00445524" w:rsidRPr="00445524" w:rsidRDefault="00445524" w:rsidP="00157239">
            <w:pPr>
              <w:jc w:val="right"/>
              <w:rPr>
                <w:sz w:val="24"/>
              </w:rPr>
            </w:pPr>
            <w:r w:rsidRPr="00445524">
              <w:rPr>
                <w:sz w:val="24"/>
              </w:rPr>
              <w:t>0,334</w:t>
            </w:r>
          </w:p>
        </w:tc>
        <w:tc>
          <w:tcPr>
            <w:tcW w:w="486" w:type="pct"/>
            <w:noWrap/>
            <w:hideMark/>
          </w:tcPr>
          <w:p w:rsidR="00445524" w:rsidRPr="00445524" w:rsidRDefault="00445524" w:rsidP="00157239">
            <w:pPr>
              <w:jc w:val="right"/>
              <w:rPr>
                <w:sz w:val="24"/>
              </w:rPr>
            </w:pPr>
            <w:r w:rsidRPr="00445524">
              <w:rPr>
                <w:sz w:val="24"/>
              </w:rPr>
              <w:t>0,329</w:t>
            </w:r>
          </w:p>
        </w:tc>
      </w:tr>
    </w:tbl>
    <w:p w:rsidR="00445524" w:rsidRPr="002F2A93" w:rsidRDefault="00445524" w:rsidP="00445524">
      <w:pPr>
        <w:spacing w:after="120"/>
        <w:jc w:val="both"/>
        <w:rPr>
          <w:rFonts w:cs="Times New Roman"/>
          <w:szCs w:val="28"/>
        </w:rPr>
      </w:pPr>
    </w:p>
    <w:p w:rsidR="00445524" w:rsidRDefault="00445524" w:rsidP="00445524">
      <w:pPr>
        <w:pStyle w:val="BodyText"/>
        <w:spacing w:after="0"/>
        <w:ind w:firstLine="709"/>
        <w:jc w:val="both"/>
        <w:rPr>
          <w:sz w:val="28"/>
          <w:szCs w:val="28"/>
        </w:rPr>
      </w:pPr>
      <w:r>
        <w:rPr>
          <w:sz w:val="28"/>
          <w:szCs w:val="28"/>
        </w:rPr>
        <w:lastRenderedPageBreak/>
        <w:t xml:space="preserve">Laika posmā no 2000. līdz 2010.gadam primārās enerģijas intensitāte Latvijā ir samazinājusies par vairāk kā 21%. Tas skaidrojams gan ar energoresursu aizvien efektīvāku izmantošanu, gan ar strukturālajām izmaiņām ekonomikā, kā arī ekonomikas izaugsmi kopumā. Primārās enerģijas intensitātes samazinājums skaidrojams arī ar ieguldījumiem enerģijas pārveidošanas sektorā iekārtu nomaiņai un zudumu samazinājumu enerģijas pārvades un sadales tīklos. Tomēr enerģijas intensitāte Latvijā ir vairāk nekā divas reizes augstāka kā vidēji ES (skat. </w:t>
      </w:r>
      <w:r w:rsidR="00164F39">
        <w:rPr>
          <w:sz w:val="28"/>
          <w:szCs w:val="28"/>
        </w:rPr>
        <w:t>27</w:t>
      </w:r>
      <w:r>
        <w:rPr>
          <w:sz w:val="28"/>
          <w:szCs w:val="28"/>
        </w:rPr>
        <w:t>.attēlu), kas izskaidrojams galvenokārt ar salīdzinoši zemo IKP līmeni.</w:t>
      </w:r>
    </w:p>
    <w:p w:rsidR="003E1851" w:rsidRDefault="003E1851" w:rsidP="00445524">
      <w:pPr>
        <w:pStyle w:val="BodyText"/>
        <w:spacing w:after="0"/>
        <w:ind w:firstLine="709"/>
        <w:jc w:val="both"/>
        <w:rPr>
          <w:sz w:val="28"/>
          <w:szCs w:val="28"/>
        </w:rPr>
      </w:pPr>
    </w:p>
    <w:p w:rsidR="00445524" w:rsidRDefault="00445524" w:rsidP="00445524">
      <w:pPr>
        <w:pStyle w:val="BodyText"/>
        <w:spacing w:after="0"/>
        <w:jc w:val="center"/>
        <w:rPr>
          <w:sz w:val="28"/>
          <w:szCs w:val="28"/>
        </w:rPr>
      </w:pPr>
      <w:r>
        <w:rPr>
          <w:noProof/>
          <w:lang w:eastAsia="lv-LV"/>
        </w:rPr>
        <w:drawing>
          <wp:inline distT="0" distB="0" distL="0" distR="0" wp14:anchorId="0958089F" wp14:editId="114F827F">
            <wp:extent cx="4686300" cy="2943225"/>
            <wp:effectExtent l="0" t="0" r="1905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45524" w:rsidRDefault="00164F39" w:rsidP="00445524">
      <w:pPr>
        <w:spacing w:after="120"/>
        <w:jc w:val="both"/>
        <w:rPr>
          <w:b/>
          <w:sz w:val="24"/>
        </w:rPr>
      </w:pPr>
      <w:r>
        <w:rPr>
          <w:b/>
          <w:sz w:val="24"/>
          <w:szCs w:val="24"/>
        </w:rPr>
        <w:t>27</w:t>
      </w:r>
      <w:r w:rsidR="00445524" w:rsidRPr="00445524">
        <w:rPr>
          <w:b/>
          <w:sz w:val="24"/>
        </w:rPr>
        <w:t xml:space="preserve">.attēls. Primārās un gala enerģijas intensitāte ES-28 un Latvijā. </w:t>
      </w:r>
    </w:p>
    <w:p w:rsidR="00F456F4" w:rsidRPr="00445524" w:rsidRDefault="00F456F4" w:rsidP="00445524">
      <w:pPr>
        <w:spacing w:after="120"/>
        <w:jc w:val="both"/>
        <w:rPr>
          <w:b/>
          <w:sz w:val="24"/>
        </w:rPr>
      </w:pPr>
    </w:p>
    <w:p w:rsidR="00372AC7" w:rsidRPr="00116956" w:rsidRDefault="00164F39" w:rsidP="00164F39">
      <w:pPr>
        <w:pStyle w:val="Heading2"/>
        <w:spacing w:after="120"/>
        <w:ind w:left="2149"/>
        <w:rPr>
          <w:rFonts w:eastAsia="Times New Roman"/>
        </w:rPr>
      </w:pPr>
      <w:bookmarkStart w:id="24" w:name="_Toc401644325"/>
      <w:r>
        <w:rPr>
          <w:szCs w:val="28"/>
        </w:rPr>
        <w:t xml:space="preserve">3.7. </w:t>
      </w:r>
      <w:r w:rsidR="00372AC7" w:rsidRPr="00116956">
        <w:t>Krīzes situācijas pārvaldība</w:t>
      </w:r>
      <w:bookmarkEnd w:id="24"/>
      <w:r w:rsidR="00372AC7" w:rsidRPr="00116956">
        <w:t xml:space="preserve"> </w:t>
      </w:r>
    </w:p>
    <w:p w:rsidR="00372AC7" w:rsidRPr="008D3BEC" w:rsidRDefault="00372AC7" w:rsidP="00372AC7">
      <w:pPr>
        <w:pStyle w:val="Title"/>
        <w:spacing w:before="120"/>
        <w:ind w:firstLine="720"/>
        <w:contextualSpacing/>
        <w:jc w:val="both"/>
        <w:rPr>
          <w:b w:val="0"/>
          <w:szCs w:val="28"/>
        </w:rPr>
      </w:pPr>
      <w:r w:rsidRPr="008D3BEC">
        <w:rPr>
          <w:b w:val="0"/>
          <w:szCs w:val="28"/>
        </w:rPr>
        <w:t xml:space="preserve">Kopumā Latvijas energoapgādes nodrošinājuma struktūras (primāro resursu, kurināmā, elektroapgādes) pašlaik vērtējamas kā līdzsvarotas un pietiekami diversificētas, izņemot dabasgāzes struktūru. </w:t>
      </w:r>
      <w:r w:rsidR="00F1150F" w:rsidRPr="00F1150F">
        <w:rPr>
          <w:b w:val="0"/>
          <w:szCs w:val="28"/>
        </w:rPr>
        <w:t xml:space="preserve">Saskaņā ar elektroenerģijas pārvades sistēmas operatora sniegto informāciju 2012.gadā pašnodrošinājums ar jaudu ir 83 % (pie maksimālās slodzes), bet ar elektroenerģiju – 128 %.   </w:t>
      </w:r>
    </w:p>
    <w:p w:rsidR="00372AC7" w:rsidRPr="009812E8" w:rsidRDefault="00F1150F" w:rsidP="00372AC7">
      <w:pPr>
        <w:ind w:firstLine="720"/>
        <w:jc w:val="both"/>
        <w:rPr>
          <w:rFonts w:cs="Times New Roman"/>
          <w:szCs w:val="28"/>
        </w:rPr>
      </w:pPr>
      <w:r>
        <w:rPr>
          <w:rFonts w:cs="Times New Roman"/>
          <w:szCs w:val="28"/>
        </w:rPr>
        <w:t xml:space="preserve">Līdz ar politiskās situācijas saasināšanos 2014.gadā ES sāku pievērst lielāku uzmanību enerģētiskajai drošībai. </w:t>
      </w:r>
      <w:r w:rsidR="00372AC7" w:rsidRPr="002F1BA9">
        <w:rPr>
          <w:rFonts w:cs="Times New Roman"/>
          <w:szCs w:val="28"/>
        </w:rPr>
        <w:t>2014.</w:t>
      </w:r>
      <w:r w:rsidR="00372AC7">
        <w:rPr>
          <w:rFonts w:cs="Times New Roman"/>
          <w:szCs w:val="28"/>
        </w:rPr>
        <w:t>g</w:t>
      </w:r>
      <w:r w:rsidR="00372AC7" w:rsidRPr="002F1BA9">
        <w:rPr>
          <w:rFonts w:cs="Times New Roman"/>
          <w:szCs w:val="28"/>
        </w:rPr>
        <w:t xml:space="preserve">ada vasarā </w:t>
      </w:r>
      <w:r w:rsidR="009C2976">
        <w:rPr>
          <w:rFonts w:cs="Times New Roman"/>
          <w:szCs w:val="28"/>
        </w:rPr>
        <w:t>pēc EK iniciatīvas</w:t>
      </w:r>
      <w:r w:rsidR="00372AC7">
        <w:rPr>
          <w:rFonts w:cs="Times New Roman"/>
          <w:szCs w:val="28"/>
        </w:rPr>
        <w:t xml:space="preserve"> </w:t>
      </w:r>
      <w:r w:rsidR="00372AC7" w:rsidRPr="002F1BA9">
        <w:rPr>
          <w:rFonts w:cs="Times New Roman"/>
          <w:szCs w:val="28"/>
        </w:rPr>
        <w:t xml:space="preserve">visas </w:t>
      </w:r>
      <w:r w:rsidR="009C2976">
        <w:rPr>
          <w:rFonts w:cs="Times New Roman"/>
          <w:szCs w:val="28"/>
        </w:rPr>
        <w:t xml:space="preserve">ES </w:t>
      </w:r>
      <w:r w:rsidR="00372AC7" w:rsidRPr="002F1BA9">
        <w:rPr>
          <w:rFonts w:cs="Times New Roman"/>
          <w:szCs w:val="28"/>
        </w:rPr>
        <w:t xml:space="preserve">dalībvalstis </w:t>
      </w:r>
      <w:r w:rsidR="009C2976">
        <w:rPr>
          <w:rFonts w:cs="Times New Roman"/>
          <w:szCs w:val="28"/>
        </w:rPr>
        <w:t xml:space="preserve">piedalījās </w:t>
      </w:r>
      <w:r w:rsidR="00372AC7" w:rsidRPr="002F1BA9">
        <w:rPr>
          <w:rFonts w:cs="Times New Roman"/>
          <w:szCs w:val="28"/>
        </w:rPr>
        <w:t>īstermiņa enerģētikas piegādes risku</w:t>
      </w:r>
      <w:r w:rsidR="009C2976">
        <w:rPr>
          <w:rFonts w:cs="Times New Roman"/>
          <w:szCs w:val="28"/>
        </w:rPr>
        <w:t xml:space="preserve"> vērtēšanas pasākumā</w:t>
      </w:r>
      <w:r w:rsidR="00372AC7" w:rsidRPr="002F1BA9">
        <w:rPr>
          <w:rFonts w:cs="Times New Roman"/>
          <w:szCs w:val="28"/>
        </w:rPr>
        <w:t xml:space="preserve">. Šāda uzdevuma mērķis </w:t>
      </w:r>
      <w:r w:rsidR="009C2976">
        <w:rPr>
          <w:rFonts w:cs="Times New Roman"/>
          <w:szCs w:val="28"/>
        </w:rPr>
        <w:t>bija</w:t>
      </w:r>
      <w:r w:rsidR="00372AC7" w:rsidRPr="002F1BA9">
        <w:rPr>
          <w:rFonts w:cs="Times New Roman"/>
          <w:szCs w:val="28"/>
        </w:rPr>
        <w:t xml:space="preserve"> noteikt Eiropas savstarpēji savienotās enerģētikas sistēmas spēju izturēt ilgstošus gāzes padeves traucējumus (viena līdz septiņu mēnešu garumā) ziemā. Pasākuma rezultātā izdarītie secinājumi ir </w:t>
      </w:r>
      <w:r w:rsidR="00372AC7" w:rsidRPr="002F1BA9">
        <w:rPr>
          <w:rFonts w:cs="Times New Roman"/>
          <w:szCs w:val="28"/>
        </w:rPr>
        <w:lastRenderedPageBreak/>
        <w:t>iezīmējuši potenciālu efektīvāk izmantot sinerģijas starp ES dalībvalstīm Eiropas un reģionālajos līmeņos un identificēt noteiktus risinājumus, kas nepieciešami, lai uzlabotu sistēmas elastīgumu un sagatavot ārkārtas reaģēšanas plānu.</w:t>
      </w:r>
    </w:p>
    <w:p w:rsidR="00682F67" w:rsidRPr="00682F67" w:rsidRDefault="00682F67" w:rsidP="00682F67">
      <w:pPr>
        <w:suppressAutoHyphens/>
        <w:ind w:firstLine="709"/>
        <w:jc w:val="both"/>
        <w:rPr>
          <w:szCs w:val="28"/>
        </w:rPr>
      </w:pPr>
      <w:r>
        <w:rPr>
          <w:szCs w:val="28"/>
        </w:rPr>
        <w:t xml:space="preserve">Reģionālajā līmenī ir </w:t>
      </w:r>
      <w:r w:rsidRPr="00682F67">
        <w:rPr>
          <w:szCs w:val="28"/>
        </w:rPr>
        <w:t>jānodrošina dabasgāzes infrastruktūras nepārtraukta darbība. Situāciju gadījumā, ja rodas kritiski traucējumi vienā lielākajā gāzesapgādes infrastruktūras elementā raksturo infrastruktūras drošības indikators (kritērijs) N–1. Ja šis kritērijs reģionā ir vienāds vismaz ar 100%, tad gadījumā, ja šajā elementā rodas traucējumi, dabasgāzes piegādes var tikt organizētas tā, lai neveidotos nekādi dabasgāzes apgādes ierobežojumi. Baltijas valstīs N – 1 kritērijs šobrīd ir 145,94%. N˗1 kritērija aprēķina gadījumā tiek ņemts vērā tikai gāzapgādes sistēmas ieplūdes punktu jaudas.</w:t>
      </w:r>
    </w:p>
    <w:p w:rsidR="00682F67" w:rsidRPr="00682F67" w:rsidRDefault="00682F67" w:rsidP="00682F67">
      <w:pPr>
        <w:suppressAutoHyphens/>
        <w:ind w:firstLine="709"/>
        <w:jc w:val="both"/>
        <w:rPr>
          <w:szCs w:val="28"/>
        </w:rPr>
      </w:pPr>
      <w:r w:rsidRPr="00682F67">
        <w:rPr>
          <w:szCs w:val="28"/>
        </w:rPr>
        <w:t>Risku novērtējuma raksturlielumi un dabasgāzes piegādes pārtraukumu iemesli, kā arī to ietekmes apjoms katrā no Baltijas valstīm, var tikt vērtēts trīs līmeņos:</w:t>
      </w:r>
    </w:p>
    <w:p w:rsidR="00682F67" w:rsidRPr="00682F67" w:rsidRDefault="00682F67" w:rsidP="00682F67">
      <w:pPr>
        <w:suppressAutoHyphens/>
        <w:ind w:firstLine="709"/>
        <w:jc w:val="both"/>
        <w:rPr>
          <w:szCs w:val="28"/>
        </w:rPr>
      </w:pPr>
      <w:r w:rsidRPr="00682F67">
        <w:rPr>
          <w:szCs w:val="28"/>
        </w:rPr>
        <w:t>•</w:t>
      </w:r>
      <w:r w:rsidRPr="00682F67">
        <w:rPr>
          <w:szCs w:val="28"/>
        </w:rPr>
        <w:tab/>
        <w:t>lokālā mērogā (pārtraukums atsevišķā vienas valsts daļā),</w:t>
      </w:r>
    </w:p>
    <w:p w:rsidR="00682F67" w:rsidRPr="00682F67" w:rsidRDefault="00682F67" w:rsidP="00682F67">
      <w:pPr>
        <w:suppressAutoHyphens/>
        <w:ind w:firstLine="709"/>
        <w:jc w:val="both"/>
        <w:rPr>
          <w:szCs w:val="28"/>
        </w:rPr>
      </w:pPr>
      <w:r w:rsidRPr="00682F67">
        <w:rPr>
          <w:szCs w:val="28"/>
        </w:rPr>
        <w:t>•</w:t>
      </w:r>
      <w:r w:rsidRPr="00682F67">
        <w:rPr>
          <w:szCs w:val="28"/>
        </w:rPr>
        <w:tab/>
        <w:t>nacionālā mērogā (pārtraukums vienā no Baltijas valstīm),</w:t>
      </w:r>
    </w:p>
    <w:p w:rsidR="00682F67" w:rsidRPr="00682F67" w:rsidRDefault="00682F67" w:rsidP="00682F67">
      <w:pPr>
        <w:suppressAutoHyphens/>
        <w:ind w:firstLine="709"/>
        <w:jc w:val="both"/>
        <w:rPr>
          <w:szCs w:val="28"/>
        </w:rPr>
      </w:pPr>
      <w:r w:rsidRPr="00682F67">
        <w:rPr>
          <w:szCs w:val="28"/>
        </w:rPr>
        <w:t>•</w:t>
      </w:r>
      <w:r w:rsidRPr="00682F67">
        <w:rPr>
          <w:szCs w:val="28"/>
        </w:rPr>
        <w:tab/>
        <w:t>reģionālā mērogā (pārtraukums vai ierobežojumi visās valstīs).</w:t>
      </w:r>
    </w:p>
    <w:p w:rsidR="00682F67" w:rsidRPr="00682F67" w:rsidRDefault="00682F67" w:rsidP="00682F67">
      <w:pPr>
        <w:suppressAutoHyphens/>
        <w:ind w:firstLine="709"/>
        <w:jc w:val="both"/>
        <w:rPr>
          <w:szCs w:val="28"/>
        </w:rPr>
      </w:pPr>
    </w:p>
    <w:p w:rsidR="00682F67" w:rsidRDefault="00682F67" w:rsidP="00682F67">
      <w:pPr>
        <w:suppressAutoHyphens/>
        <w:ind w:firstLine="709"/>
        <w:jc w:val="both"/>
        <w:rPr>
          <w:szCs w:val="28"/>
        </w:rPr>
      </w:pPr>
      <w:r w:rsidRPr="00682F67">
        <w:rPr>
          <w:szCs w:val="28"/>
        </w:rPr>
        <w:t>N˗1 kritērija aprēķina rezultāti liecina, ka gadījumā ja rastos traucējumi, Baltijas valstu gāzapgādes sistēma var tikt pārkārtota tā, lai dabasgāze lietotājiem tiktu piegādāta pietiekamā apjomā. Tomēr šajā gadījumā netiek ņemts vērā risks, ka dabas gāzi nodrošina viens piegādes avots. Pārtraucot dabas gāzes piegādes reģiona dabasgāzes pieprasījumu nebūs iespējams nosegt, jo iztrūkst savienojumi ar citiem piegādes avotiem.</w:t>
      </w:r>
    </w:p>
    <w:p w:rsidR="00372AC7" w:rsidRPr="002F1BA9" w:rsidRDefault="00F1150F" w:rsidP="00372AC7">
      <w:pPr>
        <w:suppressAutoHyphens/>
        <w:ind w:firstLine="709"/>
        <w:jc w:val="both"/>
        <w:rPr>
          <w:szCs w:val="28"/>
        </w:rPr>
      </w:pPr>
      <w:r>
        <w:rPr>
          <w:szCs w:val="28"/>
        </w:rPr>
        <w:t xml:space="preserve">Latvijā enerģētiskās krīzes situāciju regulē </w:t>
      </w:r>
      <w:r w:rsidR="00372AC7" w:rsidRPr="002F1BA9">
        <w:rPr>
          <w:szCs w:val="28"/>
        </w:rPr>
        <w:t>Ministru kabineta 2011.gada 19.aprīļa noteikumi Nr.312 „Elektroenerģijas lietotāju apgādes un kurināmā pārdošanas kārtība izsludinātas enerģētiskās krīzes laikā un valsts apdraudējuma gadījum</w:t>
      </w:r>
      <w:r w:rsidR="009C2976">
        <w:rPr>
          <w:szCs w:val="28"/>
        </w:rPr>
        <w:t>ā”</w:t>
      </w:r>
      <w:r>
        <w:rPr>
          <w:szCs w:val="28"/>
        </w:rPr>
        <w:t xml:space="preserve">. Tie nosaka </w:t>
      </w:r>
      <w:r w:rsidR="00372AC7" w:rsidRPr="002F1BA9">
        <w:rPr>
          <w:szCs w:val="28"/>
        </w:rPr>
        <w:t>kārtību, kādā enerģijas lietotāji tiek apgādāti ar enerģiju izsludinātas valsts vai vietējās enerģētiskās krīzes laikā, un kārtību, kādā energoapgādes komersanti, kā arī komersanti, kuri nodrošina un sniedz drošības rezervju pakalpojumu, un komersanti, kuriem normatīvajos aktos noteiktajā kārtībā ir izsniegtas licences uzņēmējdarbībai ar degvielu, pēc valsts vai pašvaldības enerģētiskās krīzes centra pieprasījuma pārdod tiem piederošo kurināmo.</w:t>
      </w:r>
    </w:p>
    <w:p w:rsidR="00372AC7" w:rsidRPr="008D3BEC" w:rsidRDefault="00372AC7" w:rsidP="00372AC7">
      <w:pPr>
        <w:ind w:firstLine="709"/>
        <w:contextualSpacing/>
        <w:jc w:val="both"/>
        <w:rPr>
          <w:bCs/>
          <w:szCs w:val="28"/>
        </w:rPr>
      </w:pPr>
      <w:r w:rsidRPr="002F1BA9">
        <w:rPr>
          <w:bCs/>
          <w:szCs w:val="28"/>
        </w:rPr>
        <w:t xml:space="preserve">Ņemot vērā 2010./2011. gada ziemā snieglauzes radīto bojājumu novēršanas gaitā gūto pieredzi, AS "Latvenergo" ir izstrādājusi </w:t>
      </w:r>
      <w:r>
        <w:rPr>
          <w:bCs/>
          <w:szCs w:val="28"/>
        </w:rPr>
        <w:t xml:space="preserve">savu </w:t>
      </w:r>
      <w:r w:rsidRPr="002F1BA9">
        <w:rPr>
          <w:bCs/>
          <w:szCs w:val="28"/>
        </w:rPr>
        <w:t>pasākumu kompleksu, lai mazinātu masveida bojājumu ietekmi uz klientu elektroapgādes pārtraukumu biežumu un ilgumu. Pasākumu</w:t>
      </w:r>
      <w:r w:rsidRPr="008D3BEC">
        <w:rPr>
          <w:bCs/>
          <w:szCs w:val="28"/>
        </w:rPr>
        <w:t xml:space="preserve"> komplekss ietver: </w:t>
      </w:r>
    </w:p>
    <w:p w:rsidR="00372AC7" w:rsidRPr="008D3BEC" w:rsidRDefault="00372AC7" w:rsidP="00372AC7">
      <w:pPr>
        <w:pStyle w:val="BodyText2"/>
        <w:numPr>
          <w:ilvl w:val="0"/>
          <w:numId w:val="45"/>
        </w:numPr>
        <w:spacing w:after="0" w:line="240" w:lineRule="auto"/>
        <w:contextualSpacing/>
        <w:jc w:val="both"/>
        <w:rPr>
          <w:szCs w:val="28"/>
          <w:lang w:bidi="lo-LA"/>
        </w:rPr>
      </w:pPr>
      <w:r w:rsidRPr="008D3BEC">
        <w:rPr>
          <w:szCs w:val="28"/>
          <w:lang w:bidi="lo-LA"/>
        </w:rPr>
        <w:lastRenderedPageBreak/>
        <w:t xml:space="preserve">pasākumu plānu AS "Latvenergo" koncerna kapitālsabiedrību rīcības pilnveidei ārkārtas situāciju operatīvajā vadībā, koordinēšanā un ārkārtas situāciju komunikācijā; </w:t>
      </w:r>
    </w:p>
    <w:p w:rsidR="00372AC7" w:rsidRPr="008D3BEC" w:rsidRDefault="00372AC7" w:rsidP="00372AC7">
      <w:pPr>
        <w:pStyle w:val="BodyText2"/>
        <w:numPr>
          <w:ilvl w:val="0"/>
          <w:numId w:val="45"/>
        </w:numPr>
        <w:spacing w:after="0" w:line="240" w:lineRule="auto"/>
        <w:contextualSpacing/>
        <w:jc w:val="both"/>
        <w:rPr>
          <w:szCs w:val="28"/>
          <w:lang w:bidi="lo-LA"/>
        </w:rPr>
      </w:pPr>
      <w:r w:rsidRPr="008D3BEC">
        <w:rPr>
          <w:szCs w:val="28"/>
          <w:lang w:bidi="lo-LA"/>
        </w:rPr>
        <w:t>pasākumu plānu elektroenerģijas sadales tīklu uzturēšanas un tehniskās attīstības pilnveidošanai, kas ilgtermiņā mazinātu elektroapgādes traucējumu risku, tai skaitā ir izstrādāta 20 kV kabeļu programma, kas paredz 35 gadu laikā 6000 km gaisvadu līnijas pārveidot par zemē ieguldītām kabeļu līnijām;</w:t>
      </w:r>
    </w:p>
    <w:p w:rsidR="00372AC7" w:rsidRPr="008D3BEC" w:rsidRDefault="00372AC7" w:rsidP="00372AC7">
      <w:pPr>
        <w:pStyle w:val="BodyText2"/>
        <w:numPr>
          <w:ilvl w:val="0"/>
          <w:numId w:val="45"/>
        </w:numPr>
        <w:spacing w:after="0" w:line="240" w:lineRule="auto"/>
        <w:contextualSpacing/>
        <w:jc w:val="both"/>
        <w:rPr>
          <w:szCs w:val="28"/>
          <w:lang w:bidi="lo-LA"/>
        </w:rPr>
      </w:pPr>
      <w:r w:rsidRPr="008D3BEC">
        <w:rPr>
          <w:szCs w:val="28"/>
          <w:lang w:bidi="lo-LA"/>
        </w:rPr>
        <w:t>pasākumu plānu normatīvo aktu grozījumiem, kas nepieciešami elektroapgādes traucējumu riska mazināšanai un ārkārtas situāciju seku novēršanas atvieglošanai;</w:t>
      </w:r>
    </w:p>
    <w:p w:rsidR="00372AC7" w:rsidRPr="008D3BEC" w:rsidRDefault="00372AC7" w:rsidP="00372AC7">
      <w:pPr>
        <w:pStyle w:val="BodyText2"/>
        <w:numPr>
          <w:ilvl w:val="0"/>
          <w:numId w:val="45"/>
        </w:numPr>
        <w:spacing w:after="0" w:line="240" w:lineRule="auto"/>
        <w:contextualSpacing/>
        <w:jc w:val="both"/>
        <w:rPr>
          <w:szCs w:val="28"/>
          <w:lang w:bidi="lo-LA"/>
        </w:rPr>
      </w:pPr>
      <w:r w:rsidRPr="008D3BEC">
        <w:rPr>
          <w:szCs w:val="28"/>
          <w:lang w:bidi="lo-LA"/>
        </w:rPr>
        <w:t xml:space="preserve">pasākumu plānu speciālās tehnikas vienību iegādei/nodrošināšanai darbam ārkārtas situāciju seku novēršanā. </w:t>
      </w:r>
    </w:p>
    <w:p w:rsidR="00372AC7" w:rsidRPr="008D3BEC" w:rsidRDefault="00372AC7" w:rsidP="00372AC7">
      <w:pPr>
        <w:suppressAutoHyphens/>
        <w:contextualSpacing/>
        <w:jc w:val="both"/>
        <w:rPr>
          <w:szCs w:val="28"/>
        </w:rPr>
      </w:pPr>
    </w:p>
    <w:p w:rsidR="00372AC7" w:rsidRDefault="00372AC7" w:rsidP="00372AC7">
      <w:pPr>
        <w:ind w:firstLine="720"/>
        <w:jc w:val="both"/>
        <w:rPr>
          <w:rFonts w:eastAsia="Times New Roman" w:cs="Times New Roman"/>
          <w:szCs w:val="28"/>
        </w:rPr>
      </w:pPr>
      <w:r w:rsidRPr="00F26661">
        <w:rPr>
          <w:rFonts w:eastAsia="Times New Roman" w:cs="Times New Roman"/>
          <w:szCs w:val="28"/>
        </w:rPr>
        <w:t>Autobenzīna un dīzeļdegvielas ievešana vairum</w:t>
      </w:r>
      <w:r>
        <w:rPr>
          <w:rFonts w:eastAsia="Times New Roman" w:cs="Times New Roman"/>
          <w:szCs w:val="28"/>
        </w:rPr>
        <w:t>tirdzniecības</w:t>
      </w:r>
      <w:r w:rsidRPr="00F26661">
        <w:rPr>
          <w:rFonts w:eastAsia="Times New Roman" w:cs="Times New Roman"/>
          <w:szCs w:val="28"/>
        </w:rPr>
        <w:t xml:space="preserve"> un mazumtirdzniecības vajadzībām Latvijā iespējama no vismaz 10 naftas pārstrādes uzņēmumiem 1000 – 1500 km rādiusā. Naftas produktu cauruļvads no Samāras</w:t>
      </w:r>
      <w:r>
        <w:rPr>
          <w:rFonts w:eastAsia="Times New Roman" w:cs="Times New Roman"/>
          <w:szCs w:val="28"/>
        </w:rPr>
        <w:t>,</w:t>
      </w:r>
      <w:r w:rsidRPr="00F26661">
        <w:rPr>
          <w:rFonts w:eastAsia="Times New Roman" w:cs="Times New Roman"/>
          <w:szCs w:val="28"/>
        </w:rPr>
        <w:t xml:space="preserve"> Krievijā</w:t>
      </w:r>
      <w:r>
        <w:rPr>
          <w:rFonts w:eastAsia="Times New Roman" w:cs="Times New Roman"/>
          <w:szCs w:val="28"/>
        </w:rPr>
        <w:t>,</w:t>
      </w:r>
      <w:r w:rsidRPr="00F26661">
        <w:rPr>
          <w:rFonts w:eastAsia="Times New Roman" w:cs="Times New Roman"/>
          <w:szCs w:val="28"/>
        </w:rPr>
        <w:t xml:space="preserve"> un Novopolockas</w:t>
      </w:r>
      <w:r>
        <w:rPr>
          <w:rFonts w:eastAsia="Times New Roman" w:cs="Times New Roman"/>
          <w:szCs w:val="28"/>
        </w:rPr>
        <w:t>,</w:t>
      </w:r>
      <w:r w:rsidRPr="00F26661">
        <w:rPr>
          <w:rFonts w:eastAsia="Times New Roman" w:cs="Times New Roman"/>
          <w:szCs w:val="28"/>
        </w:rPr>
        <w:t xml:space="preserve"> Baltkrievijā</w:t>
      </w:r>
      <w:r>
        <w:rPr>
          <w:rFonts w:eastAsia="Times New Roman" w:cs="Times New Roman"/>
          <w:szCs w:val="28"/>
        </w:rPr>
        <w:t>,</w:t>
      </w:r>
      <w:r w:rsidRPr="00F26661">
        <w:rPr>
          <w:rFonts w:eastAsia="Times New Roman" w:cs="Times New Roman"/>
          <w:szCs w:val="28"/>
        </w:rPr>
        <w:t xml:space="preserve"> ļauj transportēt dīzeļdegvielu ar iespēju to piegādāt Ilūkstē un Ventspilī.</w:t>
      </w:r>
    </w:p>
    <w:p w:rsidR="000E1B03" w:rsidRDefault="000370E2" w:rsidP="000E1B03">
      <w:pPr>
        <w:ind w:firstLine="709"/>
        <w:jc w:val="both"/>
        <w:rPr>
          <w:rFonts w:eastAsia="Calibri" w:cs="Times New Roman"/>
          <w:szCs w:val="28"/>
        </w:rPr>
      </w:pPr>
      <w:r>
        <w:rPr>
          <w:rFonts w:eastAsia="Calibri" w:cs="Times New Roman"/>
          <w:szCs w:val="28"/>
        </w:rPr>
        <w:t xml:space="preserve">Latvijā tiek veidotas arī naftas rezerves. Tāpat kā citās ES dalībvalstīs, tās tiek veidotas, pamatojoties uz </w:t>
      </w:r>
      <w:r w:rsidRPr="003767C3">
        <w:rPr>
          <w:rFonts w:eastAsia="Calibri" w:cs="Times New Roman"/>
          <w:szCs w:val="28"/>
        </w:rPr>
        <w:t>Padomes 2009.gada 14.septembra Direktīvas 2009/119/EK</w:t>
      </w:r>
      <w:r w:rsidR="009C2976" w:rsidRPr="009C2976">
        <w:rPr>
          <w:rFonts w:eastAsia="Calibri" w:cs="Times New Roman"/>
          <w:szCs w:val="28"/>
        </w:rPr>
        <w:t xml:space="preserve"> </w:t>
      </w:r>
      <w:r w:rsidR="009C2976" w:rsidRPr="00E05ED6">
        <w:rPr>
          <w:rFonts w:eastAsia="Calibri" w:cs="Times New Roman"/>
          <w:szCs w:val="28"/>
        </w:rPr>
        <w:t>prasībām</w:t>
      </w:r>
      <w:r w:rsidRPr="003767C3">
        <w:rPr>
          <w:rFonts w:eastAsia="Calibri" w:cs="Times New Roman"/>
          <w:szCs w:val="28"/>
        </w:rPr>
        <w:t xml:space="preserve">, ar ko dalībvalstīm uzliek </w:t>
      </w:r>
      <w:r w:rsidRPr="00E05ED6">
        <w:rPr>
          <w:rFonts w:eastAsia="Calibri" w:cs="Times New Roman"/>
          <w:szCs w:val="28"/>
        </w:rPr>
        <w:t>pienākumu uzturēt jēlnaftas un/vai naftas produktu obligātas rezerves.</w:t>
      </w:r>
      <w:r w:rsidRPr="00E05ED6" w:rsidDel="003767C3">
        <w:rPr>
          <w:rFonts w:eastAsia="Calibri" w:cs="Times New Roman"/>
          <w:szCs w:val="28"/>
        </w:rPr>
        <w:t xml:space="preserve"> </w:t>
      </w:r>
      <w:r w:rsidRPr="00E05ED6">
        <w:rPr>
          <w:rFonts w:eastAsia="Calibri" w:cs="Times New Roman"/>
          <w:szCs w:val="28"/>
        </w:rPr>
        <w:t>Savukārt</w:t>
      </w:r>
      <w:r>
        <w:rPr>
          <w:rFonts w:eastAsia="Calibri" w:cs="Times New Roman"/>
          <w:szCs w:val="28"/>
        </w:rPr>
        <w:t>, šo rezervju veidošanas un uzturēšanas kārtību Latvijā nosaka Ministru kabineta 2011.gada 12.aprīļa noteikumi Nr.286 „</w:t>
      </w:r>
      <w:r w:rsidRPr="003767C3">
        <w:rPr>
          <w:rFonts w:eastAsia="Calibri" w:cs="Times New Roman"/>
          <w:szCs w:val="28"/>
        </w:rPr>
        <w:t>Kārtība, kādā komersanti nodrošina un sniedz drošības rezervju pakalpojumu valsts naftas produktu drošības rezervju izveidei noteiktā apjomā</w:t>
      </w:r>
      <w:r>
        <w:rPr>
          <w:rFonts w:eastAsia="Calibri" w:cs="Times New Roman"/>
          <w:szCs w:val="28"/>
        </w:rPr>
        <w:t xml:space="preserve">”. </w:t>
      </w:r>
    </w:p>
    <w:p w:rsidR="000E1B03" w:rsidRDefault="000E1B03" w:rsidP="000E1B03">
      <w:pPr>
        <w:ind w:firstLine="709"/>
        <w:jc w:val="both"/>
        <w:rPr>
          <w:rFonts w:eastAsia="Calibri" w:cs="Times New Roman"/>
          <w:szCs w:val="28"/>
        </w:rPr>
      </w:pPr>
    </w:p>
    <w:p w:rsidR="000370E2" w:rsidRDefault="001D7450" w:rsidP="001D7450">
      <w:pPr>
        <w:jc w:val="center"/>
        <w:rPr>
          <w:rFonts w:eastAsia="Calibri" w:cs="Times New Roman"/>
          <w:szCs w:val="28"/>
        </w:rPr>
      </w:pPr>
      <w:r>
        <w:rPr>
          <w:noProof/>
          <w:lang w:eastAsia="lv-LV"/>
        </w:rPr>
        <w:drawing>
          <wp:inline distT="0" distB="0" distL="0" distR="0" wp14:anchorId="7F9F44B1" wp14:editId="1C1B2DB1">
            <wp:extent cx="3895725" cy="2328545"/>
            <wp:effectExtent l="0" t="0" r="952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2AC7" w:rsidRPr="00445524" w:rsidRDefault="00164F39" w:rsidP="00445524">
      <w:pPr>
        <w:rPr>
          <w:rFonts w:eastAsia="Times New Roman" w:cs="Times New Roman"/>
          <w:b/>
          <w:sz w:val="24"/>
          <w:szCs w:val="24"/>
        </w:rPr>
      </w:pPr>
      <w:r>
        <w:rPr>
          <w:rFonts w:eastAsia="Times New Roman" w:cs="Times New Roman"/>
          <w:b/>
          <w:sz w:val="24"/>
          <w:szCs w:val="24"/>
        </w:rPr>
        <w:t>28</w:t>
      </w:r>
      <w:r w:rsidR="00372AC7" w:rsidRPr="00445524">
        <w:rPr>
          <w:rFonts w:eastAsia="Times New Roman" w:cs="Times New Roman"/>
          <w:b/>
          <w:sz w:val="24"/>
          <w:szCs w:val="24"/>
        </w:rPr>
        <w:t>.attēls. Naftas produktu drošības rezervju apjoms un līgumos samaksātās summas.</w:t>
      </w:r>
    </w:p>
    <w:p w:rsidR="003E1851" w:rsidRDefault="003E1851" w:rsidP="003E1851">
      <w:pPr>
        <w:ind w:firstLine="709"/>
        <w:jc w:val="both"/>
        <w:rPr>
          <w:rFonts w:eastAsia="Calibri" w:cs="Times New Roman"/>
          <w:szCs w:val="28"/>
        </w:rPr>
      </w:pPr>
      <w:r>
        <w:rPr>
          <w:rFonts w:eastAsia="Calibri" w:cs="Times New Roman"/>
          <w:szCs w:val="28"/>
        </w:rPr>
        <w:lastRenderedPageBreak/>
        <w:t>Latvijas n</w:t>
      </w:r>
      <w:r w:rsidRPr="00F26661">
        <w:rPr>
          <w:rFonts w:eastAsia="Calibri" w:cs="Times New Roman"/>
          <w:szCs w:val="28"/>
        </w:rPr>
        <w:t xml:space="preserve">aftas produktu drošības rezervju izveides sistēma paredz naftas produktu drošības rezervju izveidi 90 patēriņa </w:t>
      </w:r>
      <w:r>
        <w:rPr>
          <w:rFonts w:eastAsia="Calibri" w:cs="Times New Roman"/>
          <w:szCs w:val="28"/>
        </w:rPr>
        <w:t>dienām.</w:t>
      </w:r>
      <w:r w:rsidRPr="00F26661">
        <w:rPr>
          <w:rFonts w:eastAsia="Calibri" w:cs="Times New Roman"/>
          <w:szCs w:val="28"/>
        </w:rPr>
        <w:t xml:space="preserve"> </w:t>
      </w:r>
      <w:r>
        <w:rPr>
          <w:rFonts w:eastAsia="Calibri" w:cs="Times New Roman"/>
          <w:szCs w:val="28"/>
        </w:rPr>
        <w:t>U</w:t>
      </w:r>
      <w:r w:rsidRPr="00F26661">
        <w:rPr>
          <w:rFonts w:eastAsia="Calibri" w:cs="Times New Roman"/>
          <w:szCs w:val="28"/>
        </w:rPr>
        <w:t>zglabājamo naftas produktu  – dīzeļdegvielas, mazuta, benzīna, drošības rezervju apjoms atbilst 90 patēriņa dienām no iepriekšējā kalendārā gada katrai naftas produktu kategorijai.</w:t>
      </w:r>
    </w:p>
    <w:p w:rsidR="00CA0310" w:rsidRDefault="004507F4" w:rsidP="00164F39">
      <w:pPr>
        <w:ind w:firstLine="709"/>
        <w:jc w:val="both"/>
      </w:pPr>
      <w:r>
        <w:t xml:space="preserve">Lai padarītu naftas produktu drošības rezervju izveidošanu pēc iespējas efektīvāku, nepieciešams kopīgi ar uzņēmējiem izstrādāt jaunu naftas rezervju uzglabāšanas koncepciju. </w:t>
      </w:r>
    </w:p>
    <w:p w:rsidR="00682F67" w:rsidRDefault="00682F67" w:rsidP="003E1851">
      <w:pPr>
        <w:pStyle w:val="Heading2"/>
        <w:ind w:firstLine="709"/>
      </w:pPr>
      <w:bookmarkStart w:id="25" w:name="_Toc401644326"/>
      <w:r>
        <w:t xml:space="preserve">3.8. </w:t>
      </w:r>
      <w:r w:rsidR="00985767">
        <w:t>Inovatīvi risinājumi enerģētikas nozarē</w:t>
      </w:r>
      <w:bookmarkEnd w:id="25"/>
    </w:p>
    <w:p w:rsidR="00682F67" w:rsidRDefault="00682F67" w:rsidP="0097153E">
      <w:pPr>
        <w:ind w:firstLine="709"/>
        <w:jc w:val="both"/>
      </w:pPr>
      <w:r>
        <w:t xml:space="preserve">Enerģētikas sektors nākotnē nav iedomājams bez inovatīviem risinājumiem. Kā viens no tādiem ir mināms ūdeņraža izmantošana. </w:t>
      </w:r>
    </w:p>
    <w:p w:rsidR="0097153E" w:rsidRDefault="0097153E" w:rsidP="0097153E">
      <w:pPr>
        <w:ind w:firstLine="709"/>
        <w:jc w:val="both"/>
      </w:pPr>
      <w:r>
        <w:t xml:space="preserve">Ūdeņradis tiek uzskatīts par perspektīvu elementu energoresursu jomā, jo tam piemīt multifunkcionālas īpašības – tas ir gan enerģijas nesējs, gan degviela, gan daudzās tautsaimniecības nozarēs nepieciešama izejviela. Ūdeņradi var iegūt, izmantojot gan atjaunojamus, gan </w:t>
      </w:r>
      <w:r w:rsidR="00682F67">
        <w:t>fosilos energo</w:t>
      </w:r>
      <w:r>
        <w:t>resursus</w:t>
      </w:r>
      <w:r w:rsidR="0068187C">
        <w:t xml:space="preserve">. </w:t>
      </w:r>
      <w:r>
        <w:t xml:space="preserve">Kurināmā elementos ķīmiski sadedzinātais ūdeņradis, reakcijas gala rezultātā pārveidojas atpakaļ par ūdeni. Tā kā ūdens uz zemeslodes ir pieejams lielos daudzumos un ūdeņraža </w:t>
      </w:r>
      <w:r>
        <w:rPr>
          <w:rFonts w:ascii="Cambria Math" w:hAnsi="Cambria Math" w:cs="Cambria Math"/>
        </w:rPr>
        <w:t>‐</w:t>
      </w:r>
      <w:r>
        <w:t xml:space="preserve"> sk</w:t>
      </w:r>
      <w:r>
        <w:rPr>
          <w:rFonts w:cs="Times New Roman"/>
        </w:rPr>
        <w:t>ā</w:t>
      </w:r>
      <w:r>
        <w:t>bek</w:t>
      </w:r>
      <w:r>
        <w:rPr>
          <w:rFonts w:cs="Times New Roman"/>
        </w:rPr>
        <w:t>ļ</w:t>
      </w:r>
      <w:r>
        <w:t xml:space="preserve">a cikls ir atgriezenisks, </w:t>
      </w:r>
      <w:r>
        <w:rPr>
          <w:rFonts w:cs="Times New Roman"/>
        </w:rPr>
        <w:t>šā</w:t>
      </w:r>
      <w:r>
        <w:t>da ener</w:t>
      </w:r>
      <w:r>
        <w:rPr>
          <w:rFonts w:cs="Times New Roman"/>
        </w:rPr>
        <w:t>ģ</w:t>
      </w:r>
      <w:r>
        <w:t>ijas ieg</w:t>
      </w:r>
      <w:r>
        <w:rPr>
          <w:rFonts w:cs="Times New Roman"/>
        </w:rPr>
        <w:t>ūš</w:t>
      </w:r>
      <w:r>
        <w:t>ana ir ar</w:t>
      </w:r>
      <w:r>
        <w:rPr>
          <w:rFonts w:cs="Times New Roman"/>
        </w:rPr>
        <w:t>ī</w:t>
      </w:r>
      <w:r>
        <w:t xml:space="preserve"> ilgtsp</w:t>
      </w:r>
      <w:r>
        <w:rPr>
          <w:rFonts w:cs="Times New Roman"/>
        </w:rPr>
        <w:t>ē</w:t>
      </w:r>
      <w:r>
        <w:t>j</w:t>
      </w:r>
      <w:r>
        <w:rPr>
          <w:rFonts w:cs="Times New Roman"/>
        </w:rPr>
        <w:t>ī</w:t>
      </w:r>
      <w:r>
        <w:t>ga.</w:t>
      </w:r>
    </w:p>
    <w:p w:rsidR="0097153E" w:rsidRDefault="0097153E" w:rsidP="0097153E">
      <w:pPr>
        <w:ind w:firstLine="709"/>
        <w:jc w:val="both"/>
      </w:pPr>
      <w:r>
        <w:t xml:space="preserve">Ūdeņradis, atkarībā no tehnoloģijas, ir izmantojams elektrības un siltuma iegūšanai, kā arī to var uzglabāt, lai izmantotu, kad radīsies pieprasījums pēc enerģijas. Atkarībā no nepieciešamās jaudas pieprasījuma un infrastruktūras pieejamības pastāv dažādas tehnoloģijas ūdeņraža pārveidošanai enerģijā. Eiropā un citur pasaulē ūdeņradis jau tiek izmantots enerģijas iegūšanai un aktīvs zinātniskais darbs pie ūdeņraža izpētes notiek arī Latvijā. Galvenie </w:t>
      </w:r>
      <w:r w:rsidR="0068187C">
        <w:t xml:space="preserve">risināmie jautājumi ir – kā </w:t>
      </w:r>
      <w:r>
        <w:t>pietiekoši lēti iegūt ūdeņradi un kā to novadīt līdz patērētājam. Kā viens no risinājumiem tiek apskatīti ūdeņradi ražojošie mikroorganismi - bioūdeņradi baktērijas var veidot fotosintēzes ceļā vai fermentācijas procesā.</w:t>
      </w:r>
    </w:p>
    <w:p w:rsidR="0097153E" w:rsidRDefault="0097153E" w:rsidP="0097153E">
      <w:pPr>
        <w:ind w:firstLine="709"/>
        <w:jc w:val="both"/>
      </w:pPr>
      <w:r>
        <w:t xml:space="preserve">Tajā pašā laikā pastāv šķēršļi ūdeņraža kā enerģijas avota izmantošanā: </w:t>
      </w:r>
    </w:p>
    <w:p w:rsidR="0097153E" w:rsidRDefault="0097153E" w:rsidP="0097153E">
      <w:pPr>
        <w:ind w:firstLine="709"/>
        <w:jc w:val="both"/>
      </w:pPr>
      <w:r>
        <w:t>•</w:t>
      </w:r>
      <w:r>
        <w:tab/>
        <w:t>lielie ūdeņraža zudumi ģenerācijas ciklā;</w:t>
      </w:r>
    </w:p>
    <w:p w:rsidR="0097153E" w:rsidRDefault="0097153E" w:rsidP="0097153E">
      <w:pPr>
        <w:ind w:firstLine="709"/>
        <w:jc w:val="both"/>
      </w:pPr>
      <w:r>
        <w:t>•</w:t>
      </w:r>
      <w:r>
        <w:tab/>
        <w:t>ūdeņradis ir gāze, līdz ar to nav iespējams izmantot cauruļvadu (piemēram, naftas produktu) sistēmas ūdeņraža transportēšanai un uzglabāšanai;</w:t>
      </w:r>
    </w:p>
    <w:p w:rsidR="0097153E" w:rsidRDefault="0097153E" w:rsidP="0097153E">
      <w:pPr>
        <w:ind w:firstLine="709"/>
        <w:jc w:val="both"/>
      </w:pPr>
      <w:r>
        <w:t>•</w:t>
      </w:r>
      <w:r>
        <w:tab/>
        <w:t>sarežģīts ūdeņraža ieguves process, salīdzinot ar ogļūdeņražu resursiem;</w:t>
      </w:r>
    </w:p>
    <w:p w:rsidR="0097153E" w:rsidRDefault="0097153E" w:rsidP="0097153E">
      <w:pPr>
        <w:ind w:firstLine="709"/>
        <w:jc w:val="both"/>
      </w:pPr>
      <w:r>
        <w:t>•</w:t>
      </w:r>
      <w:r>
        <w:tab/>
        <w:t>lielas investīcijas ūdeņraža ieguvē un izmantošanā.</w:t>
      </w:r>
    </w:p>
    <w:p w:rsidR="0097153E" w:rsidRDefault="0097153E" w:rsidP="0097153E">
      <w:pPr>
        <w:ind w:firstLine="709"/>
        <w:jc w:val="both"/>
      </w:pPr>
      <w:r>
        <w:t xml:space="preserve">  </w:t>
      </w:r>
      <w:r>
        <w:tab/>
        <w:t xml:space="preserve">Latvijā ūdeņraža izmantošana būtu </w:t>
      </w:r>
      <w:r w:rsidR="0068187C">
        <w:t xml:space="preserve">efektīvs </w:t>
      </w:r>
      <w:r>
        <w:t xml:space="preserve">risinājums, jo valstī ir daudz ūdens resursu. Piemēram, lietotājiem, kuriem nepieciešams jauns pieslēgums vai jaudas palielinājums un kuri atrodas reģionos ar mazu lietotāju blīvumu un kuru elektroapgādes nodrošināšanai nepieciešama garu elektrolīniju </w:t>
      </w:r>
      <w:r>
        <w:lastRenderedPageBreak/>
        <w:t>izbūve vai rekonstrukcija, kā lētāku alternatīvu iespējams piedāvāt autonomu elektroapgādi, izmantojot progresīvas, videi draudzīgas tehnoloģijas (ūdeņraža ģeneratorus, degvielas šūnas, saules baterijas, vēja ģeneratorus vai arī vairāku minēto tehnoloģiju apvienojumu) ar attiecīgu inteliģento patēriņa vadību un enerģijas  akumulācijas iespējām.</w:t>
      </w:r>
    </w:p>
    <w:p w:rsidR="00C7493D" w:rsidRPr="00D76154" w:rsidRDefault="000336C5" w:rsidP="00164F39">
      <w:pPr>
        <w:pStyle w:val="Heading1"/>
        <w:spacing w:after="120"/>
      </w:pPr>
      <w:bookmarkStart w:id="26" w:name="_Toc401644327"/>
      <w:r>
        <w:t xml:space="preserve">4. </w:t>
      </w:r>
      <w:r w:rsidR="00C7493D" w:rsidRPr="00D76154">
        <w:t>SVID analīze</w:t>
      </w:r>
      <w:bookmarkEnd w:id="26"/>
    </w:p>
    <w:p w:rsidR="00C7493D" w:rsidRDefault="00C7493D" w:rsidP="00EE759E">
      <w:pPr>
        <w:ind w:firstLine="567"/>
        <w:jc w:val="both"/>
        <w:rPr>
          <w:szCs w:val="28"/>
        </w:rPr>
      </w:pPr>
      <w:r>
        <w:t xml:space="preserve">Saskaņā ar SVID analīzi tika identificētas būtiskākās risināmās problēmas. Turklāt ir svarīgi saprast problēmu rašanās cēloni. Pirmkārt, tās var būt nepilnības </w:t>
      </w:r>
      <w:r w:rsidR="00A33313">
        <w:t>normatīvajos aktos</w:t>
      </w:r>
      <w:r>
        <w:t xml:space="preserve"> vai tās ieviešanā ko pārsvarā gadījumos iespējams risināt ar salīdzinoši nelielu finansiālo ieguldījumu. Otrkārt, tās var būt nepilnības infrastruktūrā, kur nepieciešamais finansiālais ieguldījums</w:t>
      </w:r>
      <w:r w:rsidR="007970F0">
        <w:t xml:space="preserve"> </w:t>
      </w:r>
      <w:r>
        <w:t xml:space="preserve">problēmas risināšanai būs nesalīdzināmi lielāks. </w:t>
      </w:r>
    </w:p>
    <w:p w:rsidR="00C7493D" w:rsidRDefault="00C7493D" w:rsidP="00C7493D">
      <w:pPr>
        <w:ind w:firstLine="684"/>
        <w:jc w:val="both"/>
      </w:pPr>
      <w:r>
        <w:rPr>
          <w:szCs w:val="28"/>
        </w:rPr>
        <w:t>A</w:t>
      </w:r>
      <w:r w:rsidRPr="00F146FC">
        <w:t xml:space="preserve">tbilstoši ilgtermiņa attīstības plāniem </w:t>
      </w:r>
      <w:r>
        <w:t>izvirzīti attiecīgi pasākumi identificēto problēmu efektīvākai risināšanai</w:t>
      </w:r>
      <w:r w:rsidRPr="00F146FC">
        <w:t>.</w:t>
      </w:r>
    </w:p>
    <w:p w:rsidR="00C7493D" w:rsidRDefault="000336C5" w:rsidP="003E1851">
      <w:pPr>
        <w:pStyle w:val="Heading2"/>
        <w:spacing w:after="120"/>
        <w:ind w:firstLine="684"/>
      </w:pPr>
      <w:bookmarkStart w:id="27" w:name="_Toc401644328"/>
      <w:r>
        <w:t xml:space="preserve">4.1. </w:t>
      </w:r>
      <w:r w:rsidR="00C7493D">
        <w:t>Elektroenerģija</w:t>
      </w:r>
      <w:bookmarkEnd w:id="27"/>
    </w:p>
    <w:p w:rsidR="00112607" w:rsidRPr="00EE759E" w:rsidRDefault="00112607" w:rsidP="00112607">
      <w:pPr>
        <w:tabs>
          <w:tab w:val="left" w:pos="4005"/>
        </w:tabs>
        <w:rPr>
          <w:b/>
          <w:i/>
        </w:rPr>
      </w:pPr>
      <w:r w:rsidRPr="00EE759E">
        <w:rPr>
          <w:b/>
          <w:i/>
        </w:rPr>
        <w:t>Stiprās puses</w:t>
      </w:r>
    </w:p>
    <w:p w:rsidR="00112607" w:rsidRPr="00C27480" w:rsidRDefault="00196021" w:rsidP="003F7582">
      <w:pPr>
        <w:pStyle w:val="ListParagraph"/>
        <w:numPr>
          <w:ilvl w:val="0"/>
          <w:numId w:val="10"/>
        </w:numPr>
        <w:ind w:left="284"/>
        <w:jc w:val="both"/>
        <w:rPr>
          <w:szCs w:val="28"/>
        </w:rPr>
      </w:pPr>
      <w:r>
        <w:rPr>
          <w:szCs w:val="28"/>
        </w:rPr>
        <w:t xml:space="preserve">Latvijas energosistēmas augsts pašu nodrošinājums ar ģenerējošām jaudām. </w:t>
      </w:r>
    </w:p>
    <w:p w:rsidR="00196021" w:rsidRDefault="00196021" w:rsidP="003F7582">
      <w:pPr>
        <w:pStyle w:val="ListParagraph"/>
        <w:numPr>
          <w:ilvl w:val="0"/>
          <w:numId w:val="10"/>
        </w:numPr>
        <w:ind w:left="283" w:hanging="357"/>
        <w:jc w:val="both"/>
        <w:rPr>
          <w:szCs w:val="28"/>
        </w:rPr>
      </w:pPr>
      <w:r>
        <w:rPr>
          <w:szCs w:val="28"/>
        </w:rPr>
        <w:t xml:space="preserve">Rekonstruētās lieljaudas termoelektrostacijas var efektīvi strādāt gan koģenerācijas, gan kondensācijas (Rīgas TEC-2) režīmā. Relatīvi lielas, ātri reaģējošas AER jaudas Daugavas HES kaskādē.   </w:t>
      </w:r>
    </w:p>
    <w:p w:rsidR="00112607" w:rsidRPr="00C27480" w:rsidRDefault="00112607" w:rsidP="003F7582">
      <w:pPr>
        <w:pStyle w:val="ListParagraph"/>
        <w:numPr>
          <w:ilvl w:val="0"/>
          <w:numId w:val="10"/>
        </w:numPr>
        <w:ind w:left="283" w:hanging="357"/>
        <w:jc w:val="both"/>
        <w:rPr>
          <w:szCs w:val="28"/>
        </w:rPr>
      </w:pPr>
      <w:r w:rsidRPr="00C27480">
        <w:rPr>
          <w:szCs w:val="28"/>
        </w:rPr>
        <w:t>B</w:t>
      </w:r>
      <w:r>
        <w:rPr>
          <w:szCs w:val="28"/>
        </w:rPr>
        <w:t xml:space="preserve">ez </w:t>
      </w:r>
      <w:r w:rsidR="00196021">
        <w:rPr>
          <w:szCs w:val="28"/>
        </w:rPr>
        <w:t xml:space="preserve">īpaša </w:t>
      </w:r>
      <w:r>
        <w:rPr>
          <w:szCs w:val="28"/>
        </w:rPr>
        <w:t xml:space="preserve">atbalsta </w:t>
      </w:r>
      <w:r w:rsidR="00196021">
        <w:rPr>
          <w:szCs w:val="28"/>
        </w:rPr>
        <w:t xml:space="preserve">Daugavas HES kaskādē </w:t>
      </w:r>
      <w:r>
        <w:rPr>
          <w:szCs w:val="28"/>
        </w:rPr>
        <w:t>tiek saražoti</w:t>
      </w:r>
      <w:r w:rsidRPr="00C27480">
        <w:rPr>
          <w:szCs w:val="28"/>
        </w:rPr>
        <w:t xml:space="preserve"> aptu</w:t>
      </w:r>
      <w:r>
        <w:rPr>
          <w:szCs w:val="28"/>
        </w:rPr>
        <w:t xml:space="preserve">veni </w:t>
      </w:r>
      <w:r w:rsidR="00196021">
        <w:rPr>
          <w:szCs w:val="28"/>
        </w:rPr>
        <w:t xml:space="preserve">40%-60% no valsts elektroenerģijas galapatēriņa. </w:t>
      </w:r>
    </w:p>
    <w:p w:rsidR="00112607" w:rsidRPr="00C27480" w:rsidRDefault="00112607" w:rsidP="003F7582">
      <w:pPr>
        <w:pStyle w:val="ListParagraph"/>
        <w:numPr>
          <w:ilvl w:val="0"/>
          <w:numId w:val="10"/>
        </w:numPr>
        <w:ind w:left="284"/>
        <w:jc w:val="both"/>
        <w:rPr>
          <w:szCs w:val="28"/>
        </w:rPr>
      </w:pPr>
      <w:r w:rsidRPr="00C27480">
        <w:rPr>
          <w:szCs w:val="28"/>
        </w:rPr>
        <w:t>Liels uzstādīto jaudu īpatsvars, kas darbojas koģenerācijas režīmā ar augstu lietderības koeficientu</w:t>
      </w:r>
      <w:r w:rsidR="00196021">
        <w:rPr>
          <w:szCs w:val="28"/>
        </w:rPr>
        <w:t>.</w:t>
      </w:r>
      <w:r w:rsidRPr="00C27480">
        <w:rPr>
          <w:szCs w:val="28"/>
        </w:rPr>
        <w:t xml:space="preserve">  </w:t>
      </w:r>
    </w:p>
    <w:p w:rsidR="00EE6D9B" w:rsidRPr="00505556" w:rsidRDefault="00EE6D9B" w:rsidP="003F7582">
      <w:pPr>
        <w:numPr>
          <w:ilvl w:val="0"/>
          <w:numId w:val="10"/>
        </w:numPr>
        <w:ind w:left="284"/>
        <w:rPr>
          <w:szCs w:val="28"/>
        </w:rPr>
      </w:pPr>
      <w:r>
        <w:rPr>
          <w:szCs w:val="28"/>
        </w:rPr>
        <w:t xml:space="preserve">Elektroenerģijas ražošana TEC rada salīdzinoši nelielu </w:t>
      </w:r>
      <w:r w:rsidRPr="00505556">
        <w:rPr>
          <w:szCs w:val="28"/>
        </w:rPr>
        <w:t>CO2 un NOx izmešu apjom</w:t>
      </w:r>
      <w:r>
        <w:rPr>
          <w:szCs w:val="28"/>
        </w:rPr>
        <w:t>u.</w:t>
      </w:r>
    </w:p>
    <w:p w:rsidR="00112607" w:rsidRPr="00C27480" w:rsidRDefault="00112607" w:rsidP="003F7582">
      <w:pPr>
        <w:pStyle w:val="ListParagraph"/>
        <w:numPr>
          <w:ilvl w:val="0"/>
          <w:numId w:val="14"/>
        </w:numPr>
        <w:ind w:left="284"/>
        <w:jc w:val="both"/>
        <w:rPr>
          <w:szCs w:val="28"/>
        </w:rPr>
      </w:pPr>
      <w:r w:rsidRPr="00C27480">
        <w:rPr>
          <w:szCs w:val="28"/>
        </w:rPr>
        <w:t>Liberalizēts un salīdzinoši likvīds elektroenerģijas tirgus elektroenerģijas lietotājiem</w:t>
      </w:r>
      <w:r>
        <w:rPr>
          <w:szCs w:val="28"/>
        </w:rPr>
        <w:t>.</w:t>
      </w:r>
    </w:p>
    <w:p w:rsidR="00112607" w:rsidRDefault="00112607" w:rsidP="003F7582">
      <w:pPr>
        <w:pStyle w:val="ListParagraph"/>
        <w:numPr>
          <w:ilvl w:val="0"/>
          <w:numId w:val="14"/>
        </w:numPr>
        <w:ind w:left="284"/>
        <w:jc w:val="both"/>
        <w:rPr>
          <w:szCs w:val="28"/>
        </w:rPr>
      </w:pPr>
      <w:r w:rsidRPr="00C27480">
        <w:rPr>
          <w:szCs w:val="28"/>
        </w:rPr>
        <w:t xml:space="preserve">Latvijas elektroenerģijas pārvades sistēma </w:t>
      </w:r>
      <w:r w:rsidR="004128EE">
        <w:rPr>
          <w:szCs w:val="28"/>
        </w:rPr>
        <w:t xml:space="preserve">caur asinhronām saitēm </w:t>
      </w:r>
      <w:r w:rsidRPr="00C27480">
        <w:rPr>
          <w:szCs w:val="28"/>
        </w:rPr>
        <w:t xml:space="preserve">ļauj darboties </w:t>
      </w:r>
      <w:r w:rsidR="004128EE">
        <w:rPr>
          <w:szCs w:val="28"/>
        </w:rPr>
        <w:t>Skandināvijas valstu tīklā</w:t>
      </w:r>
      <w:r w:rsidRPr="00C27480">
        <w:rPr>
          <w:szCs w:val="28"/>
        </w:rPr>
        <w:t xml:space="preserve">, kā arī vienā sistēmā ar </w:t>
      </w:r>
      <w:r w:rsidR="004128EE">
        <w:rPr>
          <w:szCs w:val="28"/>
        </w:rPr>
        <w:t xml:space="preserve">Igauniju </w:t>
      </w:r>
      <w:r w:rsidRPr="00C27480">
        <w:rPr>
          <w:szCs w:val="28"/>
        </w:rPr>
        <w:t xml:space="preserve"> un </w:t>
      </w:r>
      <w:r w:rsidR="004128EE">
        <w:rPr>
          <w:szCs w:val="28"/>
        </w:rPr>
        <w:t>Lietuvu</w:t>
      </w:r>
      <w:r>
        <w:rPr>
          <w:szCs w:val="28"/>
        </w:rPr>
        <w:t>.</w:t>
      </w:r>
    </w:p>
    <w:p w:rsidR="00112607" w:rsidRPr="00112607" w:rsidRDefault="00112607" w:rsidP="003F7582">
      <w:pPr>
        <w:pStyle w:val="ListParagraph"/>
        <w:numPr>
          <w:ilvl w:val="0"/>
          <w:numId w:val="14"/>
        </w:numPr>
        <w:ind w:left="284"/>
        <w:jc w:val="both"/>
        <w:rPr>
          <w:szCs w:val="28"/>
        </w:rPr>
      </w:pPr>
      <w:r w:rsidRPr="00112607">
        <w:rPr>
          <w:bCs/>
          <w:szCs w:val="28"/>
        </w:rPr>
        <w:t xml:space="preserve">Visās trīs Baltijas valstu tirdzniecības apgabalos ieviests gan nākamās dienas tirgus </w:t>
      </w:r>
      <w:r w:rsidRPr="00112607">
        <w:rPr>
          <w:bCs/>
          <w:i/>
          <w:szCs w:val="28"/>
        </w:rPr>
        <w:t>Elspot</w:t>
      </w:r>
      <w:r w:rsidRPr="00112607">
        <w:rPr>
          <w:bCs/>
          <w:szCs w:val="28"/>
        </w:rPr>
        <w:t xml:space="preserve">, gan tās pašas dienas tirgus </w:t>
      </w:r>
      <w:r w:rsidRPr="00112607">
        <w:rPr>
          <w:bCs/>
          <w:i/>
          <w:szCs w:val="28"/>
        </w:rPr>
        <w:t>Elbas</w:t>
      </w:r>
      <w:r w:rsidRPr="00112607">
        <w:rPr>
          <w:szCs w:val="28"/>
        </w:rPr>
        <w:t>, nodro</w:t>
      </w:r>
      <w:r w:rsidRPr="00112607">
        <w:rPr>
          <w:bCs/>
          <w:szCs w:val="28"/>
        </w:rPr>
        <w:t>šinot efektīvu vairumtirdzniecības tirgus darbību.</w:t>
      </w:r>
    </w:p>
    <w:p w:rsidR="00DF0A05" w:rsidRDefault="00DF0A05" w:rsidP="00112607">
      <w:pPr>
        <w:tabs>
          <w:tab w:val="left" w:pos="4005"/>
        </w:tabs>
        <w:jc w:val="both"/>
        <w:rPr>
          <w:b/>
          <w:i/>
        </w:rPr>
      </w:pPr>
    </w:p>
    <w:p w:rsidR="00112607" w:rsidRPr="00EE759E" w:rsidRDefault="00112607" w:rsidP="00112607">
      <w:pPr>
        <w:tabs>
          <w:tab w:val="left" w:pos="4005"/>
        </w:tabs>
        <w:jc w:val="both"/>
        <w:rPr>
          <w:b/>
          <w:i/>
        </w:rPr>
      </w:pPr>
      <w:r w:rsidRPr="00EE759E">
        <w:rPr>
          <w:b/>
          <w:i/>
        </w:rPr>
        <w:t>Vājās puses</w:t>
      </w:r>
    </w:p>
    <w:p w:rsidR="00112607" w:rsidRPr="00C27480" w:rsidRDefault="003345A3" w:rsidP="003F7582">
      <w:pPr>
        <w:pStyle w:val="ListParagraph"/>
        <w:numPr>
          <w:ilvl w:val="0"/>
          <w:numId w:val="10"/>
        </w:numPr>
        <w:ind w:left="284"/>
        <w:jc w:val="both"/>
        <w:rPr>
          <w:szCs w:val="28"/>
        </w:rPr>
      </w:pPr>
      <w:r>
        <w:rPr>
          <w:szCs w:val="28"/>
        </w:rPr>
        <w:t xml:space="preserve">Pie augstām dabasgāzes cenām TEC saražotajai elektroenerģijai </w:t>
      </w:r>
      <w:r w:rsidR="00112607" w:rsidRPr="00C27480">
        <w:rPr>
          <w:szCs w:val="28"/>
        </w:rPr>
        <w:t xml:space="preserve">kondensācijas režīmā </w:t>
      </w:r>
      <w:r>
        <w:rPr>
          <w:szCs w:val="28"/>
        </w:rPr>
        <w:t xml:space="preserve">ir zema konkurētspēja </w:t>
      </w:r>
    </w:p>
    <w:p w:rsidR="00112607" w:rsidRDefault="00112607" w:rsidP="003F7582">
      <w:pPr>
        <w:pStyle w:val="ListParagraph"/>
        <w:numPr>
          <w:ilvl w:val="0"/>
          <w:numId w:val="10"/>
        </w:numPr>
        <w:ind w:left="284"/>
        <w:jc w:val="both"/>
        <w:rPr>
          <w:szCs w:val="28"/>
        </w:rPr>
      </w:pPr>
      <w:r w:rsidRPr="00C27480">
        <w:rPr>
          <w:szCs w:val="28"/>
        </w:rPr>
        <w:lastRenderedPageBreak/>
        <w:t>Elektrības ražošana no AER raksturojas ar sezonālu elektroenerģijas izstrādi</w:t>
      </w:r>
      <w:r w:rsidR="003345A3">
        <w:rPr>
          <w:szCs w:val="28"/>
        </w:rPr>
        <w:t xml:space="preserve">, kā arī ar atkarību no klimatiskajiem un hidroloģiskajiem apstākļiem </w:t>
      </w:r>
      <w:r w:rsidRPr="00C27480">
        <w:rPr>
          <w:szCs w:val="28"/>
        </w:rPr>
        <w:t xml:space="preserve"> (pie</w:t>
      </w:r>
      <w:r>
        <w:rPr>
          <w:szCs w:val="28"/>
        </w:rPr>
        <w:t>m</w:t>
      </w:r>
      <w:r w:rsidR="007970F0">
        <w:rPr>
          <w:szCs w:val="28"/>
        </w:rPr>
        <w:t>ēram,</w:t>
      </w:r>
      <w:r w:rsidR="007970F0" w:rsidRPr="00C27480">
        <w:rPr>
          <w:szCs w:val="28"/>
        </w:rPr>
        <w:t xml:space="preserve"> </w:t>
      </w:r>
      <w:r w:rsidRPr="00C27480">
        <w:rPr>
          <w:szCs w:val="28"/>
        </w:rPr>
        <w:t>Daugavas HES kaskāde, maz</w:t>
      </w:r>
      <w:r>
        <w:rPr>
          <w:szCs w:val="28"/>
        </w:rPr>
        <w:t>as</w:t>
      </w:r>
      <w:r w:rsidRPr="00C27480">
        <w:rPr>
          <w:szCs w:val="28"/>
        </w:rPr>
        <w:t xml:space="preserve"> HES)</w:t>
      </w:r>
      <w:r>
        <w:rPr>
          <w:szCs w:val="28"/>
        </w:rPr>
        <w:t>.</w:t>
      </w:r>
    </w:p>
    <w:p w:rsidR="00112607" w:rsidRPr="007E51BA" w:rsidRDefault="00112607" w:rsidP="003F7582">
      <w:pPr>
        <w:pStyle w:val="ListParagraph"/>
        <w:numPr>
          <w:ilvl w:val="0"/>
          <w:numId w:val="10"/>
        </w:numPr>
        <w:ind w:left="280"/>
        <w:jc w:val="both"/>
        <w:rPr>
          <w:i/>
          <w:szCs w:val="28"/>
        </w:rPr>
      </w:pPr>
      <w:r>
        <w:t>Valsts atbalsta mehānismi rada papildu slogu lietotājiem, ņemot vērā, ka AER attīstībai nepieciešams papildu finansējums.</w:t>
      </w:r>
    </w:p>
    <w:p w:rsidR="00112607" w:rsidRPr="006D6A60" w:rsidRDefault="00112607" w:rsidP="003F7582">
      <w:pPr>
        <w:pStyle w:val="ListParagraph"/>
        <w:numPr>
          <w:ilvl w:val="0"/>
          <w:numId w:val="10"/>
        </w:numPr>
        <w:ind w:left="280"/>
        <w:jc w:val="both"/>
      </w:pPr>
      <w:r>
        <w:t>Nepietiekam</w:t>
      </w:r>
      <w:r w:rsidR="003345A3">
        <w:t xml:space="preserve">s </w:t>
      </w:r>
      <w:r>
        <w:t>atbalst</w:t>
      </w:r>
      <w:r w:rsidR="003345A3">
        <w:t xml:space="preserve">s </w:t>
      </w:r>
      <w:r>
        <w:t>AER izmantošanai, lai virzītos uz 2020.gadam noteikto mērķi.</w:t>
      </w:r>
    </w:p>
    <w:p w:rsidR="003345A3" w:rsidRPr="003345A3" w:rsidRDefault="003345A3" w:rsidP="003345A3">
      <w:pPr>
        <w:pStyle w:val="ListParagraph"/>
        <w:numPr>
          <w:ilvl w:val="0"/>
          <w:numId w:val="10"/>
        </w:numPr>
        <w:ind w:left="280"/>
        <w:jc w:val="both"/>
        <w:rPr>
          <w:szCs w:val="28"/>
        </w:rPr>
      </w:pPr>
      <w:r w:rsidRPr="003345A3">
        <w:rPr>
          <w:szCs w:val="28"/>
        </w:rPr>
        <w:t>Tehnoloģiju nepietiekama attīstība, lai AER bez subsīdijām būtu konkurētspējīgas brīv</w:t>
      </w:r>
      <w:r w:rsidRPr="001B7CC4">
        <w:rPr>
          <w:szCs w:val="28"/>
        </w:rPr>
        <w:t>ajā elektroenerģijas tirgū.</w:t>
      </w:r>
    </w:p>
    <w:p w:rsidR="00112607" w:rsidRPr="00C27480" w:rsidRDefault="00112607" w:rsidP="003F7582">
      <w:pPr>
        <w:pStyle w:val="ListParagraph"/>
        <w:numPr>
          <w:ilvl w:val="0"/>
          <w:numId w:val="10"/>
        </w:numPr>
        <w:ind w:left="280"/>
        <w:jc w:val="both"/>
        <w:rPr>
          <w:szCs w:val="28"/>
        </w:rPr>
      </w:pPr>
      <w:r>
        <w:rPr>
          <w:szCs w:val="28"/>
        </w:rPr>
        <w:t>R</w:t>
      </w:r>
      <w:r w:rsidRPr="00C27480">
        <w:rPr>
          <w:szCs w:val="28"/>
        </w:rPr>
        <w:t xml:space="preserve">egulēts tirgus mājsaimniecībām (25% no kopējā elektroenerģijas patēriņa), </w:t>
      </w:r>
      <w:r>
        <w:rPr>
          <w:szCs w:val="28"/>
        </w:rPr>
        <w:t xml:space="preserve">kas </w:t>
      </w:r>
      <w:r>
        <w:t>nosaka tirgus situācijai neatbilstošus elektroenerģijas tarifus.</w:t>
      </w:r>
    </w:p>
    <w:p w:rsidR="00112607" w:rsidRPr="00C27480" w:rsidRDefault="00112607" w:rsidP="003F7582">
      <w:pPr>
        <w:pStyle w:val="ListParagraph"/>
        <w:numPr>
          <w:ilvl w:val="0"/>
          <w:numId w:val="10"/>
        </w:numPr>
        <w:ind w:left="280"/>
        <w:jc w:val="both"/>
        <w:rPr>
          <w:szCs w:val="28"/>
        </w:rPr>
      </w:pPr>
      <w:r>
        <w:rPr>
          <w:szCs w:val="28"/>
        </w:rPr>
        <w:t>S</w:t>
      </w:r>
      <w:r w:rsidRPr="00C27480">
        <w:rPr>
          <w:szCs w:val="28"/>
        </w:rPr>
        <w:t>abiedrība nav pietiekami informēta par elektroenerģijas tirgus darbības principiem un cenas veidošanas mehānismiem, kā arī brī</w:t>
      </w:r>
      <w:r>
        <w:rPr>
          <w:szCs w:val="28"/>
        </w:rPr>
        <w:t>vā tirgus priekšrocībām.</w:t>
      </w:r>
    </w:p>
    <w:p w:rsidR="00112607" w:rsidRDefault="00112607" w:rsidP="003F7582">
      <w:pPr>
        <w:pStyle w:val="ListParagraph"/>
        <w:numPr>
          <w:ilvl w:val="0"/>
          <w:numId w:val="10"/>
        </w:numPr>
        <w:ind w:left="284"/>
        <w:jc w:val="both"/>
        <w:rPr>
          <w:szCs w:val="28"/>
        </w:rPr>
      </w:pPr>
      <w:r w:rsidRPr="00045190">
        <w:rPr>
          <w:szCs w:val="28"/>
        </w:rPr>
        <w:t>Nepietiekam</w:t>
      </w:r>
      <w:r w:rsidR="003345A3">
        <w:rPr>
          <w:szCs w:val="28"/>
        </w:rPr>
        <w:t>i</w:t>
      </w:r>
      <w:r w:rsidRPr="00045190">
        <w:rPr>
          <w:szCs w:val="28"/>
        </w:rPr>
        <w:t xml:space="preserve"> starpsavienojum</w:t>
      </w:r>
      <w:r w:rsidR="003345A3">
        <w:rPr>
          <w:szCs w:val="28"/>
        </w:rPr>
        <w:t xml:space="preserve">i </w:t>
      </w:r>
      <w:r w:rsidRPr="00045190">
        <w:rPr>
          <w:szCs w:val="28"/>
        </w:rPr>
        <w:t xml:space="preserve">ar Ziemeļvalstu, Centrālās un Austrumeiropas energosistēmām, kas ir par iemeslu </w:t>
      </w:r>
      <w:r w:rsidR="003345A3">
        <w:rPr>
          <w:szCs w:val="28"/>
        </w:rPr>
        <w:t xml:space="preserve">atšķirīgai </w:t>
      </w:r>
      <w:r>
        <w:rPr>
          <w:szCs w:val="28"/>
        </w:rPr>
        <w:t>elektroenerģijas tirgus cenai.</w:t>
      </w:r>
    </w:p>
    <w:p w:rsidR="00112607" w:rsidRPr="00045190" w:rsidRDefault="008B0C28" w:rsidP="003F7582">
      <w:pPr>
        <w:pStyle w:val="ListParagraph"/>
        <w:numPr>
          <w:ilvl w:val="0"/>
          <w:numId w:val="10"/>
        </w:numPr>
        <w:ind w:left="284"/>
        <w:jc w:val="both"/>
        <w:rPr>
          <w:szCs w:val="28"/>
        </w:rPr>
      </w:pPr>
      <w:r w:rsidRPr="006868FC">
        <w:rPr>
          <w:szCs w:val="28"/>
        </w:rPr>
        <w:t>Sadales tīkla līniju garums salīdzinot pret elektroenerģijas patēriņu ir viens no lielākajiem ES, kas rada salīdzinoši lielas sadales tīkla uzturēšanas izmaksas.</w:t>
      </w:r>
    </w:p>
    <w:p w:rsidR="003345A3" w:rsidRDefault="003345A3" w:rsidP="00112607">
      <w:pPr>
        <w:tabs>
          <w:tab w:val="left" w:pos="4005"/>
        </w:tabs>
        <w:jc w:val="both"/>
        <w:rPr>
          <w:b/>
          <w:i/>
        </w:rPr>
      </w:pPr>
    </w:p>
    <w:p w:rsidR="00112607" w:rsidRPr="00EE759E" w:rsidRDefault="00112607" w:rsidP="00112607">
      <w:pPr>
        <w:tabs>
          <w:tab w:val="left" w:pos="4005"/>
        </w:tabs>
        <w:jc w:val="both"/>
        <w:rPr>
          <w:b/>
          <w:i/>
        </w:rPr>
      </w:pPr>
      <w:r w:rsidRPr="00EE759E">
        <w:rPr>
          <w:b/>
          <w:i/>
        </w:rPr>
        <w:t>Iespējas</w:t>
      </w:r>
    </w:p>
    <w:p w:rsidR="00112607" w:rsidRDefault="00112607" w:rsidP="008B0C28">
      <w:pPr>
        <w:pStyle w:val="ListParagraph"/>
        <w:numPr>
          <w:ilvl w:val="0"/>
          <w:numId w:val="10"/>
        </w:numPr>
        <w:ind w:left="284" w:hanging="284"/>
        <w:jc w:val="both"/>
        <w:rPr>
          <w:szCs w:val="28"/>
        </w:rPr>
      </w:pPr>
      <w:r w:rsidRPr="00C27480">
        <w:rPr>
          <w:szCs w:val="28"/>
        </w:rPr>
        <w:t xml:space="preserve">Alternatīvo un atjaunojamo energoresursu efektīva izmantošana </w:t>
      </w:r>
    </w:p>
    <w:p w:rsidR="003345A3" w:rsidRPr="003345A3" w:rsidRDefault="003345A3" w:rsidP="008B0C28">
      <w:pPr>
        <w:pStyle w:val="ListParagraph"/>
        <w:numPr>
          <w:ilvl w:val="0"/>
          <w:numId w:val="10"/>
        </w:numPr>
        <w:ind w:left="284" w:hanging="284"/>
        <w:jc w:val="both"/>
        <w:rPr>
          <w:szCs w:val="28"/>
        </w:rPr>
      </w:pPr>
      <w:r w:rsidRPr="003345A3">
        <w:rPr>
          <w:szCs w:val="28"/>
        </w:rPr>
        <w:t>Rīgas TEC un Daugavas HES jaudu izmantošana balansēšanai, energosistēmas rezervēšanai un citu sistēmas pakalpojumu sniegšanai AST.</w:t>
      </w:r>
    </w:p>
    <w:p w:rsidR="003345A3" w:rsidRPr="003345A3" w:rsidRDefault="003345A3" w:rsidP="008B0C28">
      <w:pPr>
        <w:pStyle w:val="ListParagraph"/>
        <w:numPr>
          <w:ilvl w:val="0"/>
          <w:numId w:val="10"/>
        </w:numPr>
        <w:ind w:left="284" w:hanging="284"/>
        <w:jc w:val="both"/>
        <w:rPr>
          <w:szCs w:val="28"/>
        </w:rPr>
      </w:pPr>
      <w:r w:rsidRPr="003345A3">
        <w:rPr>
          <w:szCs w:val="28"/>
        </w:rPr>
        <w:t>Daugavas HES hidroagregātu efektivitātes un darbības drošuma paaugstināšana  veicot rekonstrukcijas.</w:t>
      </w:r>
    </w:p>
    <w:p w:rsidR="003345A3" w:rsidRPr="003345A3" w:rsidRDefault="003345A3" w:rsidP="008B0C28">
      <w:pPr>
        <w:pStyle w:val="ListParagraph"/>
        <w:numPr>
          <w:ilvl w:val="0"/>
          <w:numId w:val="10"/>
        </w:numPr>
        <w:ind w:left="284" w:hanging="284"/>
        <w:jc w:val="both"/>
        <w:rPr>
          <w:szCs w:val="28"/>
        </w:rPr>
      </w:pPr>
      <w:r w:rsidRPr="003345A3">
        <w:rPr>
          <w:szCs w:val="28"/>
        </w:rPr>
        <w:t>Valsts atbalsta uzlabošana lieljaudas TEC, OIK vietā tiem nodrošinot iespēju piedalīties CRM.</w:t>
      </w:r>
    </w:p>
    <w:p w:rsidR="003345A3" w:rsidRPr="003345A3" w:rsidRDefault="003345A3" w:rsidP="008B0C28">
      <w:pPr>
        <w:pStyle w:val="ListParagraph"/>
        <w:numPr>
          <w:ilvl w:val="0"/>
          <w:numId w:val="10"/>
        </w:numPr>
        <w:ind w:left="284" w:hanging="284"/>
        <w:jc w:val="both"/>
        <w:rPr>
          <w:szCs w:val="28"/>
        </w:rPr>
      </w:pPr>
      <w:r w:rsidRPr="003345A3">
        <w:rPr>
          <w:szCs w:val="28"/>
        </w:rPr>
        <w:t>Valsts atbalsta uzlabošana AER, pārejot no „Feed-in-tarifu (FIT)” uz „Feed-in-premium (FIP)” sistēmu.</w:t>
      </w:r>
    </w:p>
    <w:p w:rsidR="003345A3" w:rsidRPr="003345A3" w:rsidRDefault="003345A3" w:rsidP="008B0C28">
      <w:pPr>
        <w:pStyle w:val="ListParagraph"/>
        <w:numPr>
          <w:ilvl w:val="0"/>
          <w:numId w:val="10"/>
        </w:numPr>
        <w:ind w:left="284" w:hanging="284"/>
        <w:jc w:val="both"/>
        <w:rPr>
          <w:szCs w:val="28"/>
        </w:rPr>
      </w:pPr>
      <w:r w:rsidRPr="003345A3">
        <w:rPr>
          <w:szCs w:val="28"/>
        </w:rPr>
        <w:t>Dabas stihiju ietekmes mazināšana, atsevišķas EPL pārbūvējot no gaisvadu uz kabeļu līnijām.</w:t>
      </w:r>
    </w:p>
    <w:p w:rsidR="003345A3" w:rsidRPr="003345A3" w:rsidRDefault="003345A3" w:rsidP="008B0C28">
      <w:pPr>
        <w:pStyle w:val="ListParagraph"/>
        <w:numPr>
          <w:ilvl w:val="0"/>
          <w:numId w:val="10"/>
        </w:numPr>
        <w:ind w:left="284" w:hanging="284"/>
        <w:jc w:val="both"/>
        <w:rPr>
          <w:szCs w:val="28"/>
        </w:rPr>
      </w:pPr>
      <w:r>
        <w:rPr>
          <w:szCs w:val="28"/>
        </w:rPr>
        <w:t xml:space="preserve">Primāro energoresursu </w:t>
      </w:r>
      <w:r w:rsidRPr="003345A3">
        <w:rPr>
          <w:szCs w:val="28"/>
        </w:rPr>
        <w:t>ietaupījuma paaugstināšana, palielinot enerģijas izstrādi koģenerācijā.</w:t>
      </w:r>
    </w:p>
    <w:p w:rsidR="003345A3" w:rsidRPr="003345A3" w:rsidRDefault="00470528" w:rsidP="008B0C28">
      <w:pPr>
        <w:pStyle w:val="ListParagraph"/>
        <w:numPr>
          <w:ilvl w:val="0"/>
          <w:numId w:val="10"/>
        </w:numPr>
        <w:ind w:left="284" w:hanging="284"/>
        <w:rPr>
          <w:szCs w:val="28"/>
        </w:rPr>
      </w:pPr>
      <w:r>
        <w:rPr>
          <w:szCs w:val="28"/>
        </w:rPr>
        <w:t xml:space="preserve">Dabasgāzes cenas samazinājums, kas paaugstinās </w:t>
      </w:r>
      <w:r w:rsidR="003345A3" w:rsidRPr="003345A3">
        <w:rPr>
          <w:szCs w:val="28"/>
        </w:rPr>
        <w:t xml:space="preserve">TEC ražoto elektroenerģiju koģenerācijā un kondensācijā </w:t>
      </w:r>
      <w:r>
        <w:rPr>
          <w:szCs w:val="28"/>
        </w:rPr>
        <w:t>konkurētspēju</w:t>
      </w:r>
      <w:r w:rsidR="003345A3" w:rsidRPr="003345A3">
        <w:rPr>
          <w:szCs w:val="28"/>
        </w:rPr>
        <w:t xml:space="preserve"> tirgū. </w:t>
      </w:r>
    </w:p>
    <w:p w:rsidR="00112607" w:rsidRPr="00C27480" w:rsidRDefault="00112607" w:rsidP="008B0C28">
      <w:pPr>
        <w:pStyle w:val="ListParagraph"/>
        <w:numPr>
          <w:ilvl w:val="0"/>
          <w:numId w:val="10"/>
        </w:numPr>
        <w:ind w:left="284" w:hanging="284"/>
        <w:jc w:val="both"/>
        <w:rPr>
          <w:szCs w:val="28"/>
        </w:rPr>
      </w:pPr>
      <w:r w:rsidRPr="00C27480">
        <w:rPr>
          <w:szCs w:val="28"/>
        </w:rPr>
        <w:t>Konkurētspējīgu Baltijas mēroga ģenerējošo jaudu projektu realizācija</w:t>
      </w:r>
      <w:r w:rsidR="00470528">
        <w:rPr>
          <w:szCs w:val="28"/>
        </w:rPr>
        <w:t>.</w:t>
      </w:r>
      <w:r w:rsidRPr="00C27480">
        <w:rPr>
          <w:szCs w:val="28"/>
        </w:rPr>
        <w:t xml:space="preserve"> </w:t>
      </w:r>
    </w:p>
    <w:p w:rsidR="00112607" w:rsidRPr="00C27480" w:rsidRDefault="00112607" w:rsidP="008B0C28">
      <w:pPr>
        <w:pStyle w:val="ListParagraph"/>
        <w:numPr>
          <w:ilvl w:val="0"/>
          <w:numId w:val="10"/>
        </w:numPr>
        <w:ind w:left="284" w:hanging="284"/>
        <w:jc w:val="both"/>
        <w:rPr>
          <w:szCs w:val="28"/>
        </w:rPr>
      </w:pPr>
      <w:r w:rsidRPr="00C27480">
        <w:rPr>
          <w:bCs/>
          <w:i/>
          <w:szCs w:val="28"/>
        </w:rPr>
        <w:t>Nasdaq OMX Commodities</w:t>
      </w:r>
      <w:r w:rsidRPr="00C27480">
        <w:rPr>
          <w:bCs/>
          <w:szCs w:val="28"/>
        </w:rPr>
        <w:t xml:space="preserve"> biržas finanšu instrumentu tirdzniecības ieviešana Latvijā un Lietuvas cenas apgabalā nodrošina efektīvāku tirgus likviditāti un kapitāla izmantošanu</w:t>
      </w:r>
      <w:r>
        <w:rPr>
          <w:bCs/>
          <w:szCs w:val="28"/>
        </w:rPr>
        <w:t>.</w:t>
      </w:r>
      <w:r w:rsidRPr="00C27480">
        <w:rPr>
          <w:bCs/>
          <w:szCs w:val="28"/>
        </w:rPr>
        <w:t xml:space="preserve"> </w:t>
      </w:r>
    </w:p>
    <w:p w:rsidR="00112607" w:rsidRDefault="00112607" w:rsidP="008B0C28">
      <w:pPr>
        <w:pStyle w:val="ListParagraph"/>
        <w:numPr>
          <w:ilvl w:val="0"/>
          <w:numId w:val="10"/>
        </w:numPr>
        <w:ind w:left="284" w:hanging="284"/>
        <w:jc w:val="both"/>
        <w:rPr>
          <w:szCs w:val="28"/>
        </w:rPr>
      </w:pPr>
      <w:r w:rsidRPr="00C27480">
        <w:rPr>
          <w:szCs w:val="28"/>
        </w:rPr>
        <w:lastRenderedPageBreak/>
        <w:t>Starptautisko un ES finanšu līdzekļu piesaistīšana elektroenerģijas infrastruktūras uzlabošanai, lai nodrošinātu Latvijas/Lietuvas cen</w:t>
      </w:r>
      <w:r>
        <w:rPr>
          <w:szCs w:val="28"/>
        </w:rPr>
        <w:t xml:space="preserve">u apgabalu ar pietiekamu </w:t>
      </w:r>
      <w:r w:rsidR="004128EE">
        <w:rPr>
          <w:szCs w:val="28"/>
        </w:rPr>
        <w:t xml:space="preserve">lētas elektroenerģijas </w:t>
      </w:r>
      <w:r>
        <w:rPr>
          <w:szCs w:val="28"/>
        </w:rPr>
        <w:t>plūsmu.</w:t>
      </w:r>
      <w:r w:rsidRPr="00C27480">
        <w:rPr>
          <w:szCs w:val="28"/>
        </w:rPr>
        <w:t xml:space="preserve">  </w:t>
      </w:r>
    </w:p>
    <w:p w:rsidR="008B0C28" w:rsidRDefault="003345A3" w:rsidP="00602819">
      <w:pPr>
        <w:pStyle w:val="ListParagraph"/>
        <w:numPr>
          <w:ilvl w:val="0"/>
          <w:numId w:val="10"/>
        </w:numPr>
        <w:ind w:left="284" w:hanging="284"/>
        <w:jc w:val="both"/>
        <w:rPr>
          <w:szCs w:val="28"/>
        </w:rPr>
      </w:pPr>
      <w:r w:rsidRPr="008B0C28">
        <w:rPr>
          <w:szCs w:val="28"/>
        </w:rPr>
        <w:t>Dzelzceļa un sabiedriskā transporta plašāka elektrifikācija.</w:t>
      </w:r>
    </w:p>
    <w:p w:rsidR="008B0C28" w:rsidRPr="00470528" w:rsidRDefault="003345A3" w:rsidP="00602819">
      <w:pPr>
        <w:pStyle w:val="ListParagraph"/>
        <w:numPr>
          <w:ilvl w:val="0"/>
          <w:numId w:val="10"/>
        </w:numPr>
        <w:ind w:left="284" w:hanging="284"/>
        <w:jc w:val="both"/>
        <w:rPr>
          <w:szCs w:val="28"/>
        </w:rPr>
      </w:pPr>
      <w:r w:rsidRPr="008B0C28">
        <w:rPr>
          <w:szCs w:val="28"/>
        </w:rPr>
        <w:t xml:space="preserve"> </w:t>
      </w:r>
      <w:r w:rsidR="008B0C28">
        <w:rPr>
          <w:szCs w:val="28"/>
        </w:rPr>
        <w:t>Elektriskā autotransporta</w:t>
      </w:r>
      <w:r w:rsidR="008B0C28" w:rsidRPr="009C7C7F">
        <w:rPr>
          <w:szCs w:val="28"/>
        </w:rPr>
        <w:t xml:space="preserve"> </w:t>
      </w:r>
      <w:r w:rsidR="008B0C28" w:rsidRPr="00F35D77">
        <w:rPr>
          <w:szCs w:val="28"/>
        </w:rPr>
        <w:t>uzlādes infrastruktūras attīstība</w:t>
      </w:r>
      <w:r w:rsidR="008B0C28">
        <w:rPr>
          <w:szCs w:val="28"/>
        </w:rPr>
        <w:t xml:space="preserve"> sabalansējot to ar lielāko sadales sistēmas </w:t>
      </w:r>
      <w:r w:rsidR="008B0C28" w:rsidRPr="00470528">
        <w:rPr>
          <w:szCs w:val="28"/>
        </w:rPr>
        <w:t>operatoru pieejamajām elektriskajām jaudām un elektrotīkla kapacitāti.</w:t>
      </w:r>
    </w:p>
    <w:p w:rsidR="008B5959" w:rsidRDefault="008B0C28" w:rsidP="00602819">
      <w:pPr>
        <w:pStyle w:val="ListParagraph"/>
        <w:numPr>
          <w:ilvl w:val="0"/>
          <w:numId w:val="10"/>
        </w:numPr>
        <w:ind w:left="284" w:hanging="284"/>
        <w:jc w:val="both"/>
        <w:rPr>
          <w:szCs w:val="28"/>
        </w:rPr>
      </w:pPr>
      <w:r w:rsidRPr="00470528">
        <w:rPr>
          <w:szCs w:val="28"/>
        </w:rPr>
        <w:t>Autonoma elektroapgāde</w:t>
      </w:r>
      <w:r w:rsidR="00252669" w:rsidRPr="00470528">
        <w:rPr>
          <w:szCs w:val="28"/>
        </w:rPr>
        <w:t xml:space="preserve"> </w:t>
      </w:r>
      <w:r w:rsidR="006E68C3" w:rsidRPr="00470528">
        <w:rPr>
          <w:szCs w:val="28"/>
        </w:rPr>
        <w:t xml:space="preserve">- </w:t>
      </w:r>
      <w:r w:rsidR="00252669" w:rsidRPr="00470528">
        <w:rPr>
          <w:szCs w:val="28"/>
        </w:rPr>
        <w:t>alternatīvu, videi draudzīgu tehnoloģiju izmantošana</w:t>
      </w:r>
      <w:r w:rsidRPr="00470528">
        <w:rPr>
          <w:szCs w:val="28"/>
        </w:rPr>
        <w:t>, kas ļautu samazināt tīkla kopgarumu</w:t>
      </w:r>
      <w:r>
        <w:rPr>
          <w:szCs w:val="28"/>
        </w:rPr>
        <w:t xml:space="preserve"> un uzturēšanas izmaksas</w:t>
      </w:r>
      <w:r w:rsidRPr="001F478D">
        <w:rPr>
          <w:szCs w:val="28"/>
        </w:rPr>
        <w:t xml:space="preserve"> </w:t>
      </w:r>
      <w:r>
        <w:rPr>
          <w:szCs w:val="28"/>
        </w:rPr>
        <w:t>attālos lauku reģionos, kur ir ļoti maz lietotāju.</w:t>
      </w:r>
    </w:p>
    <w:p w:rsidR="00CA0310" w:rsidRDefault="00CA0310" w:rsidP="00112607">
      <w:pPr>
        <w:ind w:left="-76"/>
        <w:jc w:val="both"/>
        <w:rPr>
          <w:i/>
          <w:szCs w:val="28"/>
        </w:rPr>
      </w:pPr>
    </w:p>
    <w:p w:rsidR="00112607" w:rsidRPr="00EE759E" w:rsidRDefault="00112607" w:rsidP="00112607">
      <w:pPr>
        <w:ind w:left="-76"/>
        <w:jc w:val="both"/>
        <w:rPr>
          <w:b/>
          <w:i/>
          <w:szCs w:val="28"/>
        </w:rPr>
      </w:pPr>
      <w:r w:rsidRPr="00EE759E">
        <w:rPr>
          <w:b/>
          <w:i/>
          <w:szCs w:val="28"/>
        </w:rPr>
        <w:t>Draudi</w:t>
      </w:r>
    </w:p>
    <w:p w:rsidR="00112607" w:rsidRPr="00C27480" w:rsidRDefault="00112607" w:rsidP="003F7582">
      <w:pPr>
        <w:pStyle w:val="ListParagraph"/>
        <w:numPr>
          <w:ilvl w:val="0"/>
          <w:numId w:val="10"/>
        </w:numPr>
        <w:ind w:left="335"/>
        <w:jc w:val="both"/>
        <w:rPr>
          <w:szCs w:val="28"/>
        </w:rPr>
      </w:pPr>
      <w:r w:rsidRPr="00C27480">
        <w:rPr>
          <w:szCs w:val="28"/>
        </w:rPr>
        <w:t xml:space="preserve">Plūdi Daugavā pie Pļaviņu HES var apdraudēt pašu hidrobūvi, kā arī pārraut Rīgas un Ķeguma HES aizsprostus. </w:t>
      </w:r>
      <w:r>
        <w:rPr>
          <w:szCs w:val="28"/>
        </w:rPr>
        <w:t>Secīgi,</w:t>
      </w:r>
      <w:r w:rsidRPr="00C27480">
        <w:rPr>
          <w:szCs w:val="28"/>
        </w:rPr>
        <w:t xml:space="preserve"> postījumi tiktu nodarīti visā Daugavas lejt</w:t>
      </w:r>
      <w:r>
        <w:rPr>
          <w:szCs w:val="28"/>
        </w:rPr>
        <w:t>ecē līdz pat jūrai</w:t>
      </w:r>
    </w:p>
    <w:p w:rsidR="00112607" w:rsidRPr="00C27480" w:rsidRDefault="00112607" w:rsidP="003F7582">
      <w:pPr>
        <w:pStyle w:val="ListParagraph"/>
        <w:numPr>
          <w:ilvl w:val="0"/>
          <w:numId w:val="10"/>
        </w:numPr>
        <w:ind w:left="335"/>
        <w:jc w:val="both"/>
        <w:rPr>
          <w:szCs w:val="28"/>
        </w:rPr>
      </w:pPr>
      <w:r>
        <w:rPr>
          <w:szCs w:val="28"/>
        </w:rPr>
        <w:t>D</w:t>
      </w:r>
      <w:r w:rsidRPr="00C27480">
        <w:rPr>
          <w:szCs w:val="28"/>
        </w:rPr>
        <w:t xml:space="preserve">abasgāzes cenas pieaugums </w:t>
      </w:r>
      <w:r w:rsidR="003345A3">
        <w:rPr>
          <w:szCs w:val="28"/>
        </w:rPr>
        <w:t xml:space="preserve">var </w:t>
      </w:r>
      <w:r w:rsidRPr="00C27480">
        <w:rPr>
          <w:szCs w:val="28"/>
        </w:rPr>
        <w:t>padarī</w:t>
      </w:r>
      <w:r w:rsidR="003345A3">
        <w:rPr>
          <w:szCs w:val="28"/>
        </w:rPr>
        <w:t>t</w:t>
      </w:r>
      <w:r w:rsidRPr="00C27480">
        <w:rPr>
          <w:szCs w:val="28"/>
        </w:rPr>
        <w:t xml:space="preserve"> TEC ražoto elektroenerģiju vēl nekonkurētspējīgāku tirgū. </w:t>
      </w:r>
    </w:p>
    <w:p w:rsidR="00112607" w:rsidRPr="00C27480" w:rsidRDefault="00112607" w:rsidP="003F7582">
      <w:pPr>
        <w:pStyle w:val="ListParagraph"/>
        <w:numPr>
          <w:ilvl w:val="0"/>
          <w:numId w:val="10"/>
        </w:numPr>
        <w:ind w:left="335"/>
        <w:jc w:val="both"/>
        <w:rPr>
          <w:szCs w:val="28"/>
        </w:rPr>
      </w:pPr>
      <w:r w:rsidRPr="00C27480">
        <w:rPr>
          <w:szCs w:val="28"/>
        </w:rPr>
        <w:t xml:space="preserve">Politisku apsvērumu dēļ tiek atlikta tirgus atvēršana mājsaimniecībām, kā rezultātā jauniem spēlētājiem nav interese ienākt Latvijas tirgū. </w:t>
      </w:r>
    </w:p>
    <w:p w:rsidR="00112607" w:rsidRPr="00C27480" w:rsidRDefault="00112607" w:rsidP="003F7582">
      <w:pPr>
        <w:pStyle w:val="ListParagraph"/>
        <w:numPr>
          <w:ilvl w:val="0"/>
          <w:numId w:val="10"/>
        </w:numPr>
        <w:ind w:left="335"/>
        <w:jc w:val="both"/>
        <w:rPr>
          <w:szCs w:val="28"/>
        </w:rPr>
      </w:pPr>
      <w:r w:rsidRPr="00C27480">
        <w:rPr>
          <w:szCs w:val="28"/>
        </w:rPr>
        <w:t>Salīdzinoši liels elektroenerģijas lietotāju loks</w:t>
      </w:r>
      <w:r w:rsidR="0017624A">
        <w:rPr>
          <w:szCs w:val="28"/>
        </w:rPr>
        <w:t xml:space="preserve"> ar ierobežotu maksātspēju </w:t>
      </w:r>
    </w:p>
    <w:p w:rsidR="00112607" w:rsidRPr="00C27480" w:rsidRDefault="00112607" w:rsidP="003F7582">
      <w:pPr>
        <w:pStyle w:val="ListParagraph"/>
        <w:numPr>
          <w:ilvl w:val="0"/>
          <w:numId w:val="10"/>
        </w:numPr>
        <w:ind w:left="335"/>
        <w:jc w:val="both"/>
        <w:rPr>
          <w:szCs w:val="28"/>
        </w:rPr>
      </w:pPr>
      <w:r>
        <w:rPr>
          <w:szCs w:val="28"/>
        </w:rPr>
        <w:t>D</w:t>
      </w:r>
      <w:r w:rsidRPr="00C27480">
        <w:rPr>
          <w:szCs w:val="28"/>
        </w:rPr>
        <w:t xml:space="preserve">abas stihijas un katastrofas ietekmē </w:t>
      </w:r>
      <w:r w:rsidR="00CA671D">
        <w:rPr>
          <w:szCs w:val="28"/>
        </w:rPr>
        <w:t>elektroapgādes drošības SAIDI un SAIFI rādītājus</w:t>
      </w:r>
      <w:r w:rsidRPr="00C27480">
        <w:rPr>
          <w:szCs w:val="28"/>
        </w:rPr>
        <w:t>, it īpaši apvidos, kur</w:t>
      </w:r>
      <w:r w:rsidR="00FE6470">
        <w:rPr>
          <w:szCs w:val="28"/>
        </w:rPr>
        <w:t>os</w:t>
      </w:r>
      <w:r w:rsidRPr="00C27480">
        <w:rPr>
          <w:szCs w:val="28"/>
        </w:rPr>
        <w:t xml:space="preserve"> ir liela</w:t>
      </w:r>
      <w:r w:rsidR="00FE6470">
        <w:rPr>
          <w:szCs w:val="28"/>
        </w:rPr>
        <w:t>s mežu platības</w:t>
      </w:r>
      <w:r>
        <w:rPr>
          <w:szCs w:val="28"/>
        </w:rPr>
        <w:t>.</w:t>
      </w:r>
    </w:p>
    <w:p w:rsidR="00112607" w:rsidRPr="00C27480" w:rsidRDefault="00112607" w:rsidP="003F7582">
      <w:pPr>
        <w:pStyle w:val="ListParagraph"/>
        <w:numPr>
          <w:ilvl w:val="0"/>
          <w:numId w:val="10"/>
        </w:numPr>
        <w:ind w:left="335"/>
        <w:jc w:val="both"/>
        <w:rPr>
          <w:szCs w:val="28"/>
        </w:rPr>
      </w:pPr>
      <w:r>
        <w:rPr>
          <w:szCs w:val="28"/>
        </w:rPr>
        <w:t>P</w:t>
      </w:r>
      <w:r w:rsidRPr="00C27480">
        <w:rPr>
          <w:szCs w:val="28"/>
        </w:rPr>
        <w:t xml:space="preserve">olitisku apsvērumu rezultātā tiek traucēta elektroenerģijas padeve BRELL lokā. </w:t>
      </w:r>
    </w:p>
    <w:p w:rsidR="00112607" w:rsidRDefault="00112607" w:rsidP="003F7582">
      <w:pPr>
        <w:pStyle w:val="ListParagraph"/>
        <w:numPr>
          <w:ilvl w:val="0"/>
          <w:numId w:val="10"/>
        </w:numPr>
        <w:ind w:left="335"/>
        <w:jc w:val="both"/>
        <w:rPr>
          <w:szCs w:val="28"/>
        </w:rPr>
      </w:pPr>
      <w:r w:rsidRPr="00C27480">
        <w:rPr>
          <w:szCs w:val="28"/>
        </w:rPr>
        <w:t>Administratīvo šķēršļu dēļ aizkavējas elektroenerģijas pārvades līniju izbūves atļauju iegūšana (piem</w:t>
      </w:r>
      <w:r w:rsidR="00FE6470">
        <w:rPr>
          <w:szCs w:val="28"/>
        </w:rPr>
        <w:t>ēram,</w:t>
      </w:r>
      <w:r w:rsidRPr="00C27480">
        <w:rPr>
          <w:szCs w:val="28"/>
        </w:rPr>
        <w:t xml:space="preserve"> </w:t>
      </w:r>
      <w:r w:rsidR="00FE6470">
        <w:rPr>
          <w:szCs w:val="28"/>
        </w:rPr>
        <w:t>i</w:t>
      </w:r>
      <w:r w:rsidR="00FE6470" w:rsidRPr="00C27480">
        <w:rPr>
          <w:szCs w:val="28"/>
        </w:rPr>
        <w:t xml:space="preserve">etekmes </w:t>
      </w:r>
      <w:r w:rsidRPr="00C27480">
        <w:rPr>
          <w:szCs w:val="28"/>
        </w:rPr>
        <w:t xml:space="preserve">uz vidi novērtējuma apstiprināšana, būvniecības atļauju saņemšana). </w:t>
      </w:r>
    </w:p>
    <w:p w:rsidR="00394CF1" w:rsidRPr="001B7CC4" w:rsidRDefault="00394CF1" w:rsidP="00394CF1">
      <w:pPr>
        <w:pStyle w:val="ListParagraph"/>
        <w:numPr>
          <w:ilvl w:val="0"/>
          <w:numId w:val="10"/>
        </w:numPr>
        <w:ind w:left="335"/>
        <w:jc w:val="both"/>
        <w:rPr>
          <w:szCs w:val="28"/>
        </w:rPr>
      </w:pPr>
      <w:r w:rsidRPr="00394CF1">
        <w:rPr>
          <w:szCs w:val="28"/>
        </w:rPr>
        <w:t>Nesabalansēta AER atbalsta politika var novest pie būtiska elektroenerģijas cenu kāpuma.</w:t>
      </w:r>
    </w:p>
    <w:p w:rsidR="00112607" w:rsidRDefault="00112607" w:rsidP="003F7582">
      <w:pPr>
        <w:pStyle w:val="ListParagraph"/>
        <w:numPr>
          <w:ilvl w:val="0"/>
          <w:numId w:val="10"/>
        </w:numPr>
        <w:ind w:left="335"/>
        <w:jc w:val="both"/>
        <w:rPr>
          <w:szCs w:val="28"/>
        </w:rPr>
      </w:pPr>
      <w:r>
        <w:rPr>
          <w:szCs w:val="28"/>
        </w:rPr>
        <w:t>Nepārdomāta AER atbalsta politika var novest pie augšņu noplicināšanas un ierobežojumiem pārtikas ražošanā, kā arī pie mežu izciršanas.</w:t>
      </w:r>
    </w:p>
    <w:p w:rsidR="00112607" w:rsidRDefault="00112607" w:rsidP="003F7582">
      <w:pPr>
        <w:pStyle w:val="ListParagraph"/>
        <w:numPr>
          <w:ilvl w:val="0"/>
          <w:numId w:val="10"/>
        </w:numPr>
        <w:ind w:left="381"/>
        <w:jc w:val="both"/>
      </w:pPr>
      <w:r>
        <w:t>AER neilgtspējīga izmantošana apdraud lauksaimniecības zemes izmantošanu pārtikas audzēšanai.</w:t>
      </w:r>
    </w:p>
    <w:p w:rsidR="00112607" w:rsidRDefault="00112607" w:rsidP="003F7582">
      <w:pPr>
        <w:pStyle w:val="ListParagraph"/>
        <w:numPr>
          <w:ilvl w:val="0"/>
          <w:numId w:val="10"/>
        </w:numPr>
        <w:ind w:left="381"/>
        <w:jc w:val="both"/>
      </w:pPr>
      <w:r>
        <w:t>Iespējama AER, īpaši biomasas,</w:t>
      </w:r>
      <w:r w:rsidRPr="00112607">
        <w:t xml:space="preserve"> </w:t>
      </w:r>
      <w:r w:rsidR="00394CF1">
        <w:t xml:space="preserve">cenas pieaugums ES tirgū augot pieprasījumam, </w:t>
      </w:r>
    </w:p>
    <w:p w:rsidR="00112607" w:rsidRDefault="00112607" w:rsidP="003F7582">
      <w:pPr>
        <w:pStyle w:val="ListParagraph"/>
        <w:numPr>
          <w:ilvl w:val="0"/>
          <w:numId w:val="10"/>
        </w:numPr>
        <w:ind w:left="381"/>
        <w:jc w:val="both"/>
      </w:pPr>
      <w:r>
        <w:t xml:space="preserve">Jaunu biomasu izmantojošu </w:t>
      </w:r>
      <w:r w:rsidR="00394CF1">
        <w:t xml:space="preserve">enerģijas avotu </w:t>
      </w:r>
      <w:r>
        <w:t>izveide, neņemot vērā energoresursu piegādes iespējas</w:t>
      </w:r>
      <w:r w:rsidR="00394CF1">
        <w:t xml:space="preserve">; </w:t>
      </w:r>
    </w:p>
    <w:p w:rsidR="00394CF1" w:rsidRDefault="00394CF1" w:rsidP="00394CF1">
      <w:pPr>
        <w:pStyle w:val="ListParagraph"/>
        <w:numPr>
          <w:ilvl w:val="0"/>
          <w:numId w:val="10"/>
        </w:numPr>
        <w:ind w:left="381"/>
        <w:jc w:val="both"/>
      </w:pPr>
      <w:r w:rsidRPr="00394CF1">
        <w:t>Augsti efektīvu esošo koģenerācijas staciju PER ietaupījumu var negatīvi ietekmēt biomasas katlumāju izveide centralizētās siltumapgādes sistēmās.</w:t>
      </w:r>
    </w:p>
    <w:p w:rsidR="00112607" w:rsidRDefault="00112607" w:rsidP="003F7582">
      <w:pPr>
        <w:pStyle w:val="ListParagraph"/>
        <w:numPr>
          <w:ilvl w:val="0"/>
          <w:numId w:val="10"/>
        </w:numPr>
        <w:ind w:left="381"/>
        <w:jc w:val="both"/>
      </w:pPr>
      <w:r>
        <w:lastRenderedPageBreak/>
        <w:t>Lauksaimniecības ražību un attīstību ietekmējoši faktori, kas var apdraudēt pietiekamu izejvielu apjomu enerģijas ražošanai nodrošināšanu.</w:t>
      </w:r>
    </w:p>
    <w:p w:rsidR="004E6D19" w:rsidRDefault="00112607" w:rsidP="003F7582">
      <w:pPr>
        <w:pStyle w:val="ListParagraph"/>
        <w:numPr>
          <w:ilvl w:val="0"/>
          <w:numId w:val="10"/>
        </w:numPr>
        <w:ind w:left="381"/>
        <w:jc w:val="both"/>
      </w:pPr>
      <w:r>
        <w:t xml:space="preserve">Straujš enerģijas patēriņa kāpums un nepietiekami energoefektivitātes pasākumu rezultāti. </w:t>
      </w:r>
    </w:p>
    <w:p w:rsidR="00112607" w:rsidRDefault="004E6D19" w:rsidP="003F7582">
      <w:pPr>
        <w:pStyle w:val="ListParagraph"/>
        <w:numPr>
          <w:ilvl w:val="0"/>
          <w:numId w:val="10"/>
        </w:numPr>
        <w:ind w:left="381"/>
        <w:jc w:val="both"/>
      </w:pPr>
      <w:r>
        <w:t>Energosistēmas darbības drošuma pazemināšanās, izbūvējot kaimiņu valstīs lielas jaudas (virs 700MW AES) ģenerējošus</w:t>
      </w:r>
      <w:r w:rsidR="00112607">
        <w:t xml:space="preserve"> </w:t>
      </w:r>
      <w:r>
        <w:t>blokus.</w:t>
      </w:r>
    </w:p>
    <w:p w:rsidR="00112607" w:rsidRDefault="000336C5" w:rsidP="003E1851">
      <w:pPr>
        <w:pStyle w:val="Heading2"/>
        <w:spacing w:after="120"/>
        <w:ind w:firstLine="381"/>
      </w:pPr>
      <w:bookmarkStart w:id="28" w:name="_Toc401644329"/>
      <w:r>
        <w:t xml:space="preserve">4.2. </w:t>
      </w:r>
      <w:r w:rsidR="00112607">
        <w:t>Dabasgāze</w:t>
      </w:r>
      <w:bookmarkEnd w:id="28"/>
    </w:p>
    <w:p w:rsidR="00112607" w:rsidRPr="00EE759E" w:rsidRDefault="00112607" w:rsidP="00112607">
      <w:pPr>
        <w:tabs>
          <w:tab w:val="left" w:pos="4005"/>
        </w:tabs>
        <w:rPr>
          <w:b/>
          <w:i/>
        </w:rPr>
      </w:pPr>
      <w:r w:rsidRPr="00EE759E">
        <w:rPr>
          <w:b/>
          <w:i/>
        </w:rPr>
        <w:t>Stiprās puses</w:t>
      </w:r>
    </w:p>
    <w:p w:rsidR="00112607" w:rsidRPr="00C27480" w:rsidRDefault="00112607" w:rsidP="003F7582">
      <w:pPr>
        <w:pStyle w:val="ListParagraph"/>
        <w:numPr>
          <w:ilvl w:val="0"/>
          <w:numId w:val="14"/>
        </w:numPr>
        <w:ind w:left="284"/>
        <w:jc w:val="both"/>
        <w:rPr>
          <w:szCs w:val="28"/>
        </w:rPr>
      </w:pPr>
      <w:r w:rsidRPr="00C27480">
        <w:rPr>
          <w:szCs w:val="28"/>
        </w:rPr>
        <w:t>Dabasgāzes tirgus liberalizācijas 1.posma pabeigšana, nodrošinot trešo pušu pieeju dabasgāzes sadales, pārvades sistēmām un dabasgāzes krātuvei.</w:t>
      </w:r>
    </w:p>
    <w:p w:rsidR="00112607" w:rsidRDefault="00112607" w:rsidP="003F7582">
      <w:pPr>
        <w:pStyle w:val="ListParagraph"/>
        <w:numPr>
          <w:ilvl w:val="0"/>
          <w:numId w:val="14"/>
        </w:numPr>
        <w:ind w:left="284"/>
        <w:jc w:val="both"/>
        <w:rPr>
          <w:szCs w:val="28"/>
        </w:rPr>
      </w:pPr>
      <w:r w:rsidRPr="0094587D">
        <w:rPr>
          <w:szCs w:val="28"/>
        </w:rPr>
        <w:t xml:space="preserve">Augsts </w:t>
      </w:r>
      <w:r w:rsidR="00394CF1">
        <w:rPr>
          <w:szCs w:val="28"/>
        </w:rPr>
        <w:t>dabas</w:t>
      </w:r>
      <w:r w:rsidRPr="0094587D">
        <w:rPr>
          <w:szCs w:val="28"/>
        </w:rPr>
        <w:t>gāz</w:t>
      </w:r>
      <w:r w:rsidR="00394CF1">
        <w:rPr>
          <w:szCs w:val="28"/>
        </w:rPr>
        <w:t xml:space="preserve">es </w:t>
      </w:r>
      <w:r w:rsidRPr="0094587D">
        <w:rPr>
          <w:szCs w:val="28"/>
        </w:rPr>
        <w:t>drošības līmenis ar dabasgā</w:t>
      </w:r>
      <w:r>
        <w:rPr>
          <w:szCs w:val="28"/>
        </w:rPr>
        <w:t>zes infrastruktūras rezervi 45%</w:t>
      </w:r>
    </w:p>
    <w:p w:rsidR="00112607" w:rsidRPr="0094587D" w:rsidRDefault="00112607" w:rsidP="003F7582">
      <w:pPr>
        <w:pStyle w:val="ListParagraph"/>
        <w:numPr>
          <w:ilvl w:val="0"/>
          <w:numId w:val="14"/>
        </w:numPr>
        <w:ind w:left="284"/>
        <w:jc w:val="both"/>
        <w:rPr>
          <w:szCs w:val="28"/>
        </w:rPr>
      </w:pPr>
      <w:r w:rsidRPr="0094587D">
        <w:rPr>
          <w:szCs w:val="28"/>
        </w:rPr>
        <w:t>Tehniski optimāla augstspiediena maģistrālo gāzesvadu infrastruktūra Latvijā.</w:t>
      </w:r>
    </w:p>
    <w:p w:rsidR="00112607" w:rsidRPr="00C27480" w:rsidRDefault="00112607" w:rsidP="003F7582">
      <w:pPr>
        <w:pStyle w:val="ListParagraph"/>
        <w:numPr>
          <w:ilvl w:val="0"/>
          <w:numId w:val="14"/>
        </w:numPr>
        <w:ind w:left="284"/>
        <w:jc w:val="both"/>
        <w:rPr>
          <w:szCs w:val="28"/>
        </w:rPr>
      </w:pPr>
      <w:r w:rsidRPr="00C27480">
        <w:rPr>
          <w:szCs w:val="28"/>
        </w:rPr>
        <w:t xml:space="preserve">Labs </w:t>
      </w:r>
      <w:r w:rsidR="00394CF1">
        <w:rPr>
          <w:szCs w:val="28"/>
        </w:rPr>
        <w:t>dabas</w:t>
      </w:r>
      <w:r w:rsidRPr="00C27480">
        <w:rPr>
          <w:szCs w:val="28"/>
        </w:rPr>
        <w:t>gāzes pārvades un sadales gāzesvadu tehniskais stāvoklis, modernizētas un rekonstruētas dabasgāzes mērīšanas stacijas.</w:t>
      </w:r>
    </w:p>
    <w:p w:rsidR="00112607" w:rsidRPr="00C27480" w:rsidRDefault="00112607" w:rsidP="003F7582">
      <w:pPr>
        <w:pStyle w:val="ListParagraph"/>
        <w:numPr>
          <w:ilvl w:val="0"/>
          <w:numId w:val="14"/>
        </w:numPr>
        <w:ind w:left="284"/>
        <w:jc w:val="both"/>
        <w:rPr>
          <w:szCs w:val="28"/>
        </w:rPr>
      </w:pPr>
      <w:r w:rsidRPr="00C27480">
        <w:rPr>
          <w:szCs w:val="28"/>
        </w:rPr>
        <w:t xml:space="preserve">IPGK nodrošina </w:t>
      </w:r>
      <w:r w:rsidR="00394CF1">
        <w:rPr>
          <w:szCs w:val="28"/>
        </w:rPr>
        <w:t>dabas</w:t>
      </w:r>
      <w:r w:rsidRPr="00C27480">
        <w:rPr>
          <w:szCs w:val="28"/>
        </w:rPr>
        <w:t>gāzes apgādi reģionā ziemas periodā un kalpo kā drošības garants visa gada griezumā</w:t>
      </w:r>
    </w:p>
    <w:p w:rsidR="00112607" w:rsidRPr="00C27480" w:rsidRDefault="00112607" w:rsidP="003F7582">
      <w:pPr>
        <w:pStyle w:val="ListParagraph"/>
        <w:numPr>
          <w:ilvl w:val="0"/>
          <w:numId w:val="14"/>
        </w:numPr>
        <w:ind w:left="284"/>
        <w:jc w:val="both"/>
        <w:rPr>
          <w:szCs w:val="28"/>
        </w:rPr>
      </w:pPr>
      <w:r w:rsidRPr="00C27480">
        <w:rPr>
          <w:szCs w:val="28"/>
        </w:rPr>
        <w:t>IPGK ir modernizēta (</w:t>
      </w:r>
      <w:r w:rsidR="00FE6470" w:rsidRPr="00C27480">
        <w:rPr>
          <w:szCs w:val="28"/>
        </w:rPr>
        <w:t>dubl</w:t>
      </w:r>
      <w:r w:rsidR="00FE6470">
        <w:rPr>
          <w:szCs w:val="28"/>
        </w:rPr>
        <w:t>ē</w:t>
      </w:r>
      <w:r w:rsidR="00FE6470" w:rsidRPr="00C27480">
        <w:rPr>
          <w:szCs w:val="28"/>
        </w:rPr>
        <w:t xml:space="preserve">jošā </w:t>
      </w:r>
      <w:r w:rsidRPr="00C27480">
        <w:rPr>
          <w:szCs w:val="28"/>
        </w:rPr>
        <w:t>IPGK maģistrālo gāzes vadu apsaistes infrastruktūra, kompresoru cehs).</w:t>
      </w:r>
    </w:p>
    <w:p w:rsidR="00FE6470" w:rsidRDefault="00FE6470" w:rsidP="00112607">
      <w:pPr>
        <w:jc w:val="both"/>
        <w:rPr>
          <w:i/>
        </w:rPr>
      </w:pPr>
    </w:p>
    <w:p w:rsidR="00C7493D" w:rsidRPr="00EE759E" w:rsidRDefault="00112607" w:rsidP="00112607">
      <w:pPr>
        <w:jc w:val="both"/>
        <w:rPr>
          <w:b/>
          <w:i/>
        </w:rPr>
      </w:pPr>
      <w:r w:rsidRPr="00EE759E">
        <w:rPr>
          <w:b/>
          <w:i/>
        </w:rPr>
        <w:t>Vājās puses</w:t>
      </w:r>
    </w:p>
    <w:p w:rsidR="00B63C34" w:rsidRDefault="00112607" w:rsidP="003F7582">
      <w:pPr>
        <w:pStyle w:val="ListParagraph"/>
        <w:numPr>
          <w:ilvl w:val="0"/>
          <w:numId w:val="10"/>
        </w:numPr>
        <w:ind w:left="284"/>
        <w:jc w:val="both"/>
        <w:rPr>
          <w:szCs w:val="28"/>
        </w:rPr>
      </w:pPr>
      <w:r w:rsidRPr="00C27480">
        <w:rPr>
          <w:szCs w:val="28"/>
        </w:rPr>
        <w:t>Nav realizēts dabasgāzes tirgus liberalizācijas 2.posms</w:t>
      </w:r>
      <w:r w:rsidR="00394CF1">
        <w:rPr>
          <w:szCs w:val="28"/>
        </w:rPr>
        <w:t>, kas vieš neskaidrību par dabasgāzes tirgus tālāk</w:t>
      </w:r>
      <w:r w:rsidR="00595662">
        <w:rPr>
          <w:szCs w:val="28"/>
        </w:rPr>
        <w:t>u</w:t>
      </w:r>
      <w:r w:rsidR="00394CF1">
        <w:rPr>
          <w:szCs w:val="28"/>
        </w:rPr>
        <w:t xml:space="preserve"> attīstību</w:t>
      </w:r>
      <w:r w:rsidR="00B63C34">
        <w:rPr>
          <w:szCs w:val="28"/>
        </w:rPr>
        <w:t>.</w:t>
      </w:r>
    </w:p>
    <w:p w:rsidR="00112607" w:rsidRPr="00C27480" w:rsidRDefault="00B63C34" w:rsidP="003F7582">
      <w:pPr>
        <w:pStyle w:val="ListParagraph"/>
        <w:numPr>
          <w:ilvl w:val="0"/>
          <w:numId w:val="10"/>
        </w:numPr>
        <w:ind w:left="284"/>
        <w:jc w:val="both"/>
        <w:rPr>
          <w:szCs w:val="28"/>
        </w:rPr>
      </w:pPr>
      <w:r>
        <w:rPr>
          <w:szCs w:val="28"/>
        </w:rPr>
        <w:t>Dabasgāzes pārvades sistēmas operatora un uzglabāšanas sistēmas operatora funkcijas veic viena privātā kompānija.</w:t>
      </w:r>
    </w:p>
    <w:p w:rsidR="00112607" w:rsidRPr="00C27480" w:rsidRDefault="00112607" w:rsidP="003F7582">
      <w:pPr>
        <w:pStyle w:val="ListParagraph"/>
        <w:numPr>
          <w:ilvl w:val="0"/>
          <w:numId w:val="10"/>
        </w:numPr>
        <w:ind w:left="284"/>
        <w:jc w:val="both"/>
        <w:rPr>
          <w:szCs w:val="28"/>
        </w:rPr>
      </w:pPr>
      <w:r w:rsidRPr="00C27480">
        <w:rPr>
          <w:szCs w:val="28"/>
        </w:rPr>
        <w:t>Nav noteiktas prasības biogāzes un no biomasas saražotās gāzes, kā arī sašķidrinātās dabasgāzes ievadīšanai dabasgāzes pārvades sistēmā.</w:t>
      </w:r>
    </w:p>
    <w:p w:rsidR="00112607" w:rsidRPr="00C27480" w:rsidRDefault="00112607" w:rsidP="003F7582">
      <w:pPr>
        <w:pStyle w:val="ListParagraph"/>
        <w:numPr>
          <w:ilvl w:val="0"/>
          <w:numId w:val="10"/>
        </w:numPr>
        <w:ind w:left="284"/>
        <w:jc w:val="both"/>
        <w:rPr>
          <w:szCs w:val="28"/>
        </w:rPr>
      </w:pPr>
      <w:r w:rsidRPr="00C27480">
        <w:rPr>
          <w:szCs w:val="28"/>
        </w:rPr>
        <w:t>Nav noteiktas prasības dabasgāzes kvalitātei.</w:t>
      </w:r>
    </w:p>
    <w:p w:rsidR="00112607" w:rsidRPr="00496537" w:rsidRDefault="00112607" w:rsidP="003F7582">
      <w:pPr>
        <w:pStyle w:val="ListParagraph"/>
        <w:numPr>
          <w:ilvl w:val="0"/>
          <w:numId w:val="10"/>
        </w:numPr>
        <w:ind w:left="284"/>
        <w:jc w:val="both"/>
        <w:rPr>
          <w:rFonts w:cs="Times New Roman"/>
          <w:szCs w:val="28"/>
        </w:rPr>
      </w:pPr>
      <w:r w:rsidRPr="00C27480">
        <w:rPr>
          <w:szCs w:val="28"/>
        </w:rPr>
        <w:t xml:space="preserve">Starpsavienojumu trūkums ar </w:t>
      </w:r>
      <w:r w:rsidRPr="00496537">
        <w:rPr>
          <w:rFonts w:cs="Times New Roman"/>
          <w:szCs w:val="28"/>
        </w:rPr>
        <w:t>citām ES dalībvalstīm (izņemot Lietuvu un Igauniju), starpsavienojuma izveides augstas izmaksas un finansējuma trūkums.</w:t>
      </w:r>
    </w:p>
    <w:p w:rsidR="00112607" w:rsidRPr="00496537" w:rsidRDefault="00112607" w:rsidP="003F7582">
      <w:pPr>
        <w:pStyle w:val="ListParagraph"/>
        <w:numPr>
          <w:ilvl w:val="0"/>
          <w:numId w:val="10"/>
        </w:numPr>
        <w:ind w:left="284"/>
        <w:jc w:val="both"/>
        <w:rPr>
          <w:rFonts w:cs="Times New Roman"/>
          <w:szCs w:val="28"/>
        </w:rPr>
      </w:pPr>
      <w:r w:rsidRPr="00496537">
        <w:rPr>
          <w:rFonts w:cs="Times New Roman"/>
          <w:szCs w:val="28"/>
        </w:rPr>
        <w:t>Nepietiekama Latvijas – Lietuvas starpsavienojuma kapacitāte.</w:t>
      </w:r>
    </w:p>
    <w:p w:rsidR="00112607" w:rsidRPr="00496537" w:rsidRDefault="00112607" w:rsidP="003F7582">
      <w:pPr>
        <w:pStyle w:val="ListParagraph"/>
        <w:numPr>
          <w:ilvl w:val="0"/>
          <w:numId w:val="10"/>
        </w:numPr>
        <w:ind w:left="284"/>
        <w:jc w:val="both"/>
        <w:rPr>
          <w:rFonts w:cs="Times New Roman"/>
          <w:szCs w:val="28"/>
        </w:rPr>
      </w:pPr>
      <w:r w:rsidRPr="00496537">
        <w:rPr>
          <w:rFonts w:cs="Times New Roman"/>
          <w:szCs w:val="28"/>
        </w:rPr>
        <w:t>Reverso gāzes plūsmu tehnisko iespēju trūkums starp Latviju un Igauniju.</w:t>
      </w:r>
    </w:p>
    <w:p w:rsidR="000D755E" w:rsidRDefault="000D755E" w:rsidP="00496537">
      <w:pPr>
        <w:ind w:left="-76"/>
        <w:jc w:val="both"/>
        <w:rPr>
          <w:rFonts w:cs="Times New Roman"/>
          <w:b/>
          <w:i/>
          <w:szCs w:val="28"/>
        </w:rPr>
      </w:pPr>
    </w:p>
    <w:p w:rsidR="00112607" w:rsidRPr="00EE759E" w:rsidRDefault="00112607" w:rsidP="00496537">
      <w:pPr>
        <w:ind w:left="-76"/>
        <w:jc w:val="both"/>
        <w:rPr>
          <w:rFonts w:cs="Times New Roman"/>
          <w:b/>
          <w:i/>
          <w:szCs w:val="28"/>
        </w:rPr>
      </w:pPr>
      <w:r w:rsidRPr="00EE759E">
        <w:rPr>
          <w:rFonts w:cs="Times New Roman"/>
          <w:b/>
          <w:i/>
          <w:szCs w:val="28"/>
        </w:rPr>
        <w:t>Iespējas</w:t>
      </w:r>
    </w:p>
    <w:p w:rsidR="00112607" w:rsidRPr="00B63C34" w:rsidRDefault="00112607" w:rsidP="00470528">
      <w:pPr>
        <w:pStyle w:val="ListParagraph"/>
        <w:numPr>
          <w:ilvl w:val="0"/>
          <w:numId w:val="64"/>
        </w:numPr>
        <w:ind w:left="284"/>
        <w:jc w:val="both"/>
        <w:rPr>
          <w:rFonts w:cs="Times New Roman"/>
          <w:szCs w:val="28"/>
        </w:rPr>
      </w:pPr>
      <w:r w:rsidRPr="00B63C34">
        <w:rPr>
          <w:rFonts w:cs="Times New Roman"/>
          <w:szCs w:val="28"/>
        </w:rPr>
        <w:t xml:space="preserve">Dabasgāzes piegāžu ceļu diversifikācija izbūvējot jaunus pārvades sistēmas savienojumus </w:t>
      </w:r>
      <w:r w:rsidR="00B63C34" w:rsidRPr="00B63C34">
        <w:rPr>
          <w:rFonts w:cs="Times New Roman"/>
          <w:szCs w:val="28"/>
        </w:rPr>
        <w:t>(Polijas -</w:t>
      </w:r>
      <w:r w:rsidR="00B63C34">
        <w:rPr>
          <w:rFonts w:cs="Times New Roman"/>
          <w:szCs w:val="28"/>
        </w:rPr>
        <w:t xml:space="preserve"> Lietuvas gāzes starpsavienojums</w:t>
      </w:r>
      <w:r w:rsidR="00B63C34" w:rsidRPr="00B63C34">
        <w:rPr>
          <w:rFonts w:cs="Times New Roman"/>
          <w:szCs w:val="28"/>
        </w:rPr>
        <w:t xml:space="preserve">, </w:t>
      </w:r>
      <w:r w:rsidR="00B63C34" w:rsidRPr="00C810A1">
        <w:rPr>
          <w:szCs w:val="28"/>
        </w:rPr>
        <w:t xml:space="preserve">Somijas-Igaunijas gāzes starpsavienojums </w:t>
      </w:r>
      <w:r w:rsidR="00B63C34" w:rsidRPr="00C810A1">
        <w:rPr>
          <w:i/>
          <w:szCs w:val="28"/>
        </w:rPr>
        <w:t>Balticconnector</w:t>
      </w:r>
      <w:r w:rsidR="00B63C34" w:rsidRPr="00C810A1">
        <w:rPr>
          <w:szCs w:val="28"/>
        </w:rPr>
        <w:t xml:space="preserve"> </w:t>
      </w:r>
      <w:r w:rsidR="00B63C34">
        <w:rPr>
          <w:szCs w:val="28"/>
        </w:rPr>
        <w:t xml:space="preserve">) </w:t>
      </w:r>
      <w:r w:rsidRPr="00B63C34">
        <w:rPr>
          <w:rFonts w:cs="Times New Roman"/>
          <w:szCs w:val="28"/>
        </w:rPr>
        <w:t xml:space="preserve">un konkurētspējīga SDG </w:t>
      </w:r>
      <w:r w:rsidR="00470528">
        <w:rPr>
          <w:rFonts w:cs="Times New Roman"/>
          <w:szCs w:val="28"/>
        </w:rPr>
        <w:t xml:space="preserve">termināla </w:t>
      </w:r>
      <w:r w:rsidRPr="00B63C34">
        <w:rPr>
          <w:rFonts w:cs="Times New Roman"/>
          <w:szCs w:val="28"/>
        </w:rPr>
        <w:t>izbūve.</w:t>
      </w:r>
    </w:p>
    <w:p w:rsidR="00B63C34" w:rsidRDefault="00B63C34" w:rsidP="003F7582">
      <w:pPr>
        <w:pStyle w:val="ListParagraph"/>
        <w:numPr>
          <w:ilvl w:val="0"/>
          <w:numId w:val="10"/>
        </w:numPr>
        <w:ind w:left="284"/>
        <w:jc w:val="both"/>
        <w:rPr>
          <w:rFonts w:cs="Times New Roman"/>
          <w:szCs w:val="28"/>
        </w:rPr>
      </w:pPr>
      <w:r>
        <w:rPr>
          <w:rFonts w:cs="Times New Roman"/>
          <w:szCs w:val="28"/>
        </w:rPr>
        <w:t xml:space="preserve">Dabasgāzes piegādes iespējas no Klaipēdas SDG termināla. </w:t>
      </w:r>
    </w:p>
    <w:p w:rsidR="00112607" w:rsidRPr="00496537" w:rsidRDefault="00112607" w:rsidP="003F7582">
      <w:pPr>
        <w:pStyle w:val="ListParagraph"/>
        <w:numPr>
          <w:ilvl w:val="0"/>
          <w:numId w:val="10"/>
        </w:numPr>
        <w:ind w:left="284"/>
        <w:jc w:val="both"/>
        <w:rPr>
          <w:rFonts w:cs="Times New Roman"/>
          <w:szCs w:val="28"/>
        </w:rPr>
      </w:pPr>
      <w:r w:rsidRPr="00496537">
        <w:rPr>
          <w:rFonts w:cs="Times New Roman"/>
          <w:szCs w:val="28"/>
        </w:rPr>
        <w:lastRenderedPageBreak/>
        <w:t>Latvijas līdzdalība Baltijas dabasgāzes tirdzniecības platformas/ centra (hub) izveidē.</w:t>
      </w:r>
    </w:p>
    <w:p w:rsidR="00112607" w:rsidRPr="00496537" w:rsidRDefault="00112607" w:rsidP="003F7582">
      <w:pPr>
        <w:pStyle w:val="ListParagraph"/>
        <w:numPr>
          <w:ilvl w:val="0"/>
          <w:numId w:val="10"/>
        </w:numPr>
        <w:ind w:left="284"/>
        <w:jc w:val="both"/>
        <w:rPr>
          <w:rFonts w:cs="Times New Roman"/>
          <w:szCs w:val="28"/>
        </w:rPr>
      </w:pPr>
      <w:r w:rsidRPr="00496537">
        <w:rPr>
          <w:rFonts w:cs="Times New Roman"/>
          <w:szCs w:val="28"/>
        </w:rPr>
        <w:t>Citu dabasgāzes uzglabāšanas potenciālo vietu attīstība (piem</w:t>
      </w:r>
      <w:r w:rsidR="00FE6470">
        <w:rPr>
          <w:rFonts w:cs="Times New Roman"/>
          <w:szCs w:val="28"/>
        </w:rPr>
        <w:t>ēram,</w:t>
      </w:r>
      <w:r w:rsidR="00FE6470" w:rsidRPr="00496537">
        <w:rPr>
          <w:rFonts w:cs="Times New Roman"/>
          <w:szCs w:val="28"/>
        </w:rPr>
        <w:t xml:space="preserve"> Dobel</w:t>
      </w:r>
      <w:r w:rsidR="00FE6470">
        <w:rPr>
          <w:rFonts w:cs="Times New Roman"/>
          <w:szCs w:val="28"/>
        </w:rPr>
        <w:t>ē</w:t>
      </w:r>
      <w:r w:rsidRPr="00496537">
        <w:rPr>
          <w:rFonts w:cs="Times New Roman"/>
          <w:szCs w:val="28"/>
        </w:rPr>
        <w:t xml:space="preserve">), kur iespējams uzglabāt dabasgāzi citu </w:t>
      </w:r>
      <w:r w:rsidR="00B63C34">
        <w:rPr>
          <w:rFonts w:cs="Times New Roman"/>
          <w:szCs w:val="28"/>
        </w:rPr>
        <w:t>ES dalīb</w:t>
      </w:r>
      <w:r w:rsidRPr="00496537">
        <w:rPr>
          <w:rFonts w:cs="Times New Roman"/>
          <w:szCs w:val="28"/>
        </w:rPr>
        <w:t xml:space="preserve">valstu tirgiem. </w:t>
      </w:r>
    </w:p>
    <w:p w:rsidR="00112607" w:rsidRPr="00496537" w:rsidRDefault="00112607" w:rsidP="003F7582">
      <w:pPr>
        <w:pStyle w:val="ListParagraph"/>
        <w:numPr>
          <w:ilvl w:val="0"/>
          <w:numId w:val="10"/>
        </w:numPr>
        <w:ind w:left="284"/>
        <w:jc w:val="both"/>
        <w:rPr>
          <w:rFonts w:cs="Times New Roman"/>
          <w:szCs w:val="28"/>
        </w:rPr>
      </w:pPr>
      <w:r w:rsidRPr="00496537">
        <w:rPr>
          <w:rFonts w:cs="Times New Roman"/>
          <w:szCs w:val="28"/>
        </w:rPr>
        <w:t>Dabasgāzes uzglabāšanas potenciāla</w:t>
      </w:r>
      <w:r w:rsidR="00FE6470">
        <w:rPr>
          <w:rFonts w:cs="Times New Roman"/>
          <w:szCs w:val="28"/>
        </w:rPr>
        <w:t xml:space="preserve"> </w:t>
      </w:r>
      <w:r w:rsidRPr="00496537">
        <w:rPr>
          <w:rFonts w:cs="Times New Roman"/>
          <w:szCs w:val="28"/>
        </w:rPr>
        <w:t>palielināšana IPGK.</w:t>
      </w:r>
    </w:p>
    <w:p w:rsidR="00394CF1" w:rsidRDefault="00394CF1" w:rsidP="00496537">
      <w:pPr>
        <w:ind w:left="-76"/>
        <w:jc w:val="both"/>
        <w:rPr>
          <w:rFonts w:cs="Times New Roman"/>
          <w:i/>
          <w:szCs w:val="28"/>
        </w:rPr>
      </w:pPr>
    </w:p>
    <w:p w:rsidR="00112607" w:rsidRPr="00EE759E" w:rsidRDefault="00112607" w:rsidP="00496537">
      <w:pPr>
        <w:ind w:left="-76"/>
        <w:jc w:val="both"/>
        <w:rPr>
          <w:rFonts w:cs="Times New Roman"/>
          <w:b/>
          <w:i/>
          <w:szCs w:val="28"/>
        </w:rPr>
      </w:pPr>
      <w:r w:rsidRPr="00EE759E">
        <w:rPr>
          <w:rFonts w:cs="Times New Roman"/>
          <w:b/>
          <w:i/>
          <w:szCs w:val="28"/>
        </w:rPr>
        <w:t>Draudi</w:t>
      </w:r>
    </w:p>
    <w:p w:rsidR="00112607" w:rsidRPr="00496537" w:rsidRDefault="00112607" w:rsidP="003F7582">
      <w:pPr>
        <w:pStyle w:val="ListParagraph"/>
        <w:numPr>
          <w:ilvl w:val="0"/>
          <w:numId w:val="10"/>
        </w:numPr>
        <w:ind w:left="317"/>
        <w:jc w:val="both"/>
        <w:rPr>
          <w:rFonts w:cs="Times New Roman"/>
          <w:szCs w:val="28"/>
        </w:rPr>
      </w:pPr>
      <w:r w:rsidRPr="00496537">
        <w:rPr>
          <w:rFonts w:cs="Times New Roman"/>
          <w:szCs w:val="28"/>
        </w:rPr>
        <w:t>Politiski faktori aizkavē tālāku dabasgāzes tirgus liberalizāciju, kā rezultātā lietotājiem nav alternatīvu iespēju iegādāties dabasgāzi no citiem tirgotājiem</w:t>
      </w:r>
      <w:r w:rsidR="005E1315">
        <w:rPr>
          <w:rFonts w:cs="Times New Roman"/>
          <w:szCs w:val="28"/>
        </w:rPr>
        <w:t xml:space="preserve">, </w:t>
      </w:r>
      <w:r w:rsidR="00394CF1">
        <w:rPr>
          <w:rFonts w:cs="Times New Roman"/>
          <w:szCs w:val="28"/>
        </w:rPr>
        <w:t xml:space="preserve">nepietiekami </w:t>
      </w:r>
      <w:r w:rsidR="005E1315">
        <w:rPr>
          <w:rFonts w:cs="Times New Roman"/>
          <w:szCs w:val="28"/>
        </w:rPr>
        <w:t>attīst</w:t>
      </w:r>
      <w:r w:rsidR="00394CF1">
        <w:rPr>
          <w:rFonts w:cs="Times New Roman"/>
          <w:szCs w:val="28"/>
        </w:rPr>
        <w:t>ā</w:t>
      </w:r>
      <w:r w:rsidR="005E1315">
        <w:rPr>
          <w:rFonts w:cs="Times New Roman"/>
          <w:szCs w:val="28"/>
        </w:rPr>
        <w:t>s dabasgāzes tirgus</w:t>
      </w:r>
      <w:r w:rsidRPr="00496537">
        <w:rPr>
          <w:rFonts w:cs="Times New Roman"/>
          <w:szCs w:val="28"/>
        </w:rPr>
        <w:t xml:space="preserve">. </w:t>
      </w:r>
    </w:p>
    <w:p w:rsidR="00112607" w:rsidRPr="00496537" w:rsidRDefault="00112607" w:rsidP="003F7582">
      <w:pPr>
        <w:pStyle w:val="ListParagraph"/>
        <w:numPr>
          <w:ilvl w:val="0"/>
          <w:numId w:val="10"/>
        </w:numPr>
        <w:ind w:left="317"/>
        <w:jc w:val="both"/>
        <w:rPr>
          <w:rFonts w:cs="Times New Roman"/>
          <w:szCs w:val="28"/>
        </w:rPr>
      </w:pPr>
      <w:r w:rsidRPr="00496537">
        <w:rPr>
          <w:rFonts w:cs="Times New Roman"/>
          <w:szCs w:val="28"/>
        </w:rPr>
        <w:t xml:space="preserve">Ņemot vērā, ka tirgū ir viena dabasgāzes piegādātājvalsts, pastāv </w:t>
      </w:r>
      <w:r w:rsidR="00394CF1">
        <w:rPr>
          <w:rFonts w:cs="Times New Roman"/>
          <w:szCs w:val="28"/>
        </w:rPr>
        <w:t xml:space="preserve">cenu pieauguma un piegādes traucējuma riski, </w:t>
      </w:r>
    </w:p>
    <w:p w:rsidR="00112607" w:rsidRPr="00496537" w:rsidRDefault="00112607" w:rsidP="003F7582">
      <w:pPr>
        <w:numPr>
          <w:ilvl w:val="0"/>
          <w:numId w:val="10"/>
        </w:numPr>
        <w:ind w:left="317"/>
        <w:jc w:val="both"/>
        <w:rPr>
          <w:rFonts w:cs="Times New Roman"/>
          <w:szCs w:val="28"/>
        </w:rPr>
      </w:pPr>
      <w:r w:rsidRPr="00496537">
        <w:rPr>
          <w:rFonts w:cs="Times New Roman"/>
          <w:szCs w:val="28"/>
        </w:rPr>
        <w:t xml:space="preserve">Gāzes apgādes nepietiekamība augsta patēriņa periodā (ziemas sezonā) Baltijas </w:t>
      </w:r>
      <w:r w:rsidR="00394CF1">
        <w:rPr>
          <w:rFonts w:cs="Times New Roman"/>
          <w:szCs w:val="28"/>
        </w:rPr>
        <w:t xml:space="preserve">dabasgāzes </w:t>
      </w:r>
      <w:r w:rsidRPr="00496537">
        <w:rPr>
          <w:rFonts w:cs="Times New Roman"/>
          <w:szCs w:val="28"/>
        </w:rPr>
        <w:t>sistēmu avāriju rezultātā.</w:t>
      </w:r>
    </w:p>
    <w:p w:rsidR="004C6BEE" w:rsidRPr="00496537" w:rsidRDefault="000336C5" w:rsidP="003E1851">
      <w:pPr>
        <w:pStyle w:val="Heading2"/>
        <w:spacing w:after="120"/>
        <w:ind w:firstLine="317"/>
      </w:pPr>
      <w:bookmarkStart w:id="29" w:name="_Toc401644330"/>
      <w:r>
        <w:t xml:space="preserve">4.3. </w:t>
      </w:r>
      <w:r w:rsidR="004C6BEE" w:rsidRPr="00496537">
        <w:t>Siltumapgāde</w:t>
      </w:r>
      <w:bookmarkEnd w:id="29"/>
    </w:p>
    <w:p w:rsidR="004C6BEE" w:rsidRPr="00EE759E" w:rsidRDefault="004C6BEE" w:rsidP="00496537">
      <w:pPr>
        <w:tabs>
          <w:tab w:val="left" w:pos="4005"/>
        </w:tabs>
        <w:jc w:val="both"/>
        <w:rPr>
          <w:rFonts w:cs="Times New Roman"/>
          <w:b/>
          <w:i/>
          <w:szCs w:val="28"/>
        </w:rPr>
      </w:pPr>
      <w:r w:rsidRPr="00EE759E">
        <w:rPr>
          <w:rFonts w:cs="Times New Roman"/>
          <w:b/>
          <w:i/>
          <w:szCs w:val="28"/>
        </w:rPr>
        <w:t>Stiprās puses</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Centralizētajā siltumapgādē  ir liels augstas efektivitātes koģenerācijas īpatsvars (2012.gadā aptuveni 63%).</w:t>
      </w:r>
    </w:p>
    <w:p w:rsidR="004C6BEE" w:rsidRDefault="00496537" w:rsidP="003F7582">
      <w:pPr>
        <w:pStyle w:val="ListParagraph"/>
        <w:numPr>
          <w:ilvl w:val="0"/>
          <w:numId w:val="10"/>
        </w:numPr>
        <w:ind w:left="284"/>
        <w:jc w:val="both"/>
        <w:rPr>
          <w:rFonts w:cs="Times New Roman"/>
          <w:szCs w:val="28"/>
        </w:rPr>
      </w:pPr>
      <w:r w:rsidRPr="00496537">
        <w:rPr>
          <w:rFonts w:cs="Times New Roman"/>
          <w:szCs w:val="28"/>
        </w:rPr>
        <w:t>Augsts AER (biomasas) īpatsvars decentralizētajā</w:t>
      </w:r>
      <w:r w:rsidR="00FE6470">
        <w:rPr>
          <w:rFonts w:cs="Times New Roman"/>
          <w:szCs w:val="28"/>
        </w:rPr>
        <w:t xml:space="preserve"> </w:t>
      </w:r>
      <w:r w:rsidRPr="00496537">
        <w:rPr>
          <w:rFonts w:cs="Times New Roman"/>
          <w:szCs w:val="28"/>
        </w:rPr>
        <w:t>siltumapgādē.</w:t>
      </w:r>
    </w:p>
    <w:p w:rsidR="00394CF1" w:rsidRPr="00394CF1" w:rsidRDefault="00394CF1" w:rsidP="00394CF1">
      <w:pPr>
        <w:pStyle w:val="ListParagraph"/>
        <w:numPr>
          <w:ilvl w:val="0"/>
          <w:numId w:val="10"/>
        </w:numPr>
        <w:ind w:left="284"/>
        <w:jc w:val="both"/>
        <w:rPr>
          <w:rFonts w:cs="Times New Roman"/>
          <w:szCs w:val="28"/>
        </w:rPr>
      </w:pPr>
      <w:r w:rsidRPr="00394CF1">
        <w:rPr>
          <w:rFonts w:cs="Times New Roman"/>
          <w:szCs w:val="28"/>
        </w:rPr>
        <w:t>Lielākie siltumapgādes uzņēmumi ir veikuši energoavotu un siltumapgādes infrastr</w:t>
      </w:r>
      <w:r w:rsidRPr="001B7CC4">
        <w:rPr>
          <w:rFonts w:cs="Times New Roman"/>
          <w:szCs w:val="28"/>
        </w:rPr>
        <w:t>uktūras rekonstrukciju.</w:t>
      </w:r>
    </w:p>
    <w:p w:rsidR="00394CF1" w:rsidRDefault="00394CF1" w:rsidP="00496537">
      <w:pPr>
        <w:jc w:val="both"/>
        <w:rPr>
          <w:rFonts w:cs="Times New Roman"/>
          <w:i/>
          <w:szCs w:val="28"/>
        </w:rPr>
      </w:pPr>
    </w:p>
    <w:p w:rsidR="00496537" w:rsidRPr="00EE759E" w:rsidRDefault="00496537" w:rsidP="00496537">
      <w:pPr>
        <w:jc w:val="both"/>
        <w:rPr>
          <w:rFonts w:cs="Times New Roman"/>
          <w:b/>
          <w:i/>
          <w:szCs w:val="28"/>
        </w:rPr>
      </w:pPr>
      <w:r w:rsidRPr="00EE759E">
        <w:rPr>
          <w:rFonts w:cs="Times New Roman"/>
          <w:b/>
          <w:i/>
          <w:szCs w:val="28"/>
        </w:rPr>
        <w:t>Vājās puses</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color w:val="000000"/>
          <w:szCs w:val="28"/>
        </w:rPr>
        <w:t>Šķērssubsīdijas uz elektroenerģijas ražošanas rēķina siltuma ražošanai koģenerācijā.</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color w:val="000000"/>
          <w:szCs w:val="28"/>
        </w:rPr>
        <w:t>Atsevišķ</w:t>
      </w:r>
      <w:r w:rsidR="00394CF1">
        <w:rPr>
          <w:rFonts w:cs="Times New Roman"/>
          <w:color w:val="000000"/>
          <w:szCs w:val="28"/>
        </w:rPr>
        <w:t xml:space="preserve">ās </w:t>
      </w:r>
      <w:r w:rsidRPr="00496537">
        <w:rPr>
          <w:rFonts w:cs="Times New Roman"/>
          <w:color w:val="000000"/>
          <w:szCs w:val="28"/>
        </w:rPr>
        <w:t xml:space="preserve">siltumapgādes sistēmās </w:t>
      </w:r>
      <w:r w:rsidR="00394CF1">
        <w:rPr>
          <w:rFonts w:cs="Times New Roman"/>
          <w:color w:val="000000"/>
          <w:szCs w:val="28"/>
        </w:rPr>
        <w:t xml:space="preserve">darbojas </w:t>
      </w:r>
      <w:r w:rsidRPr="00496537">
        <w:rPr>
          <w:rFonts w:cs="Times New Roman"/>
          <w:color w:val="000000"/>
          <w:szCs w:val="28"/>
        </w:rPr>
        <w:t xml:space="preserve">novecojušas siltuma ražošanas iekārtas ar zemu energoresursu izmantošanas efektivitāti, kā rezultātā </w:t>
      </w:r>
      <w:r w:rsidR="00394CF1">
        <w:rPr>
          <w:rFonts w:cs="Times New Roman"/>
          <w:color w:val="000000"/>
          <w:szCs w:val="28"/>
        </w:rPr>
        <w:t xml:space="preserve">ir paaugstināts </w:t>
      </w:r>
      <w:r w:rsidRPr="00496537">
        <w:rPr>
          <w:rFonts w:cs="Times New Roman"/>
          <w:color w:val="000000"/>
          <w:szCs w:val="28"/>
        </w:rPr>
        <w:t>siltumenerģijas tarifs.</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color w:val="000000"/>
          <w:szCs w:val="28"/>
        </w:rPr>
        <w:t>Atsevišķ</w:t>
      </w:r>
      <w:r w:rsidR="00394CF1">
        <w:rPr>
          <w:rFonts w:cs="Times New Roman"/>
          <w:color w:val="000000"/>
          <w:szCs w:val="28"/>
        </w:rPr>
        <w:t xml:space="preserve">ās vietās ir </w:t>
      </w:r>
      <w:r w:rsidRPr="00496537">
        <w:rPr>
          <w:rFonts w:cs="Times New Roman"/>
          <w:color w:val="000000"/>
          <w:szCs w:val="28"/>
        </w:rPr>
        <w:t xml:space="preserve">novecojusi  siltumapgādes infrastruktūra, kā rezultātā ir augsti siltumenerģijas zudumi siltumtrasēs (2012.gadā siltumenerģijas zudumi pārvades un sadales tīklos Latvijā bija </w:t>
      </w:r>
      <w:r w:rsidR="00394CF1">
        <w:rPr>
          <w:rFonts w:cs="Times New Roman"/>
          <w:color w:val="000000"/>
          <w:szCs w:val="28"/>
        </w:rPr>
        <w:t xml:space="preserve">vidēji </w:t>
      </w:r>
      <w:r w:rsidRPr="00496537">
        <w:rPr>
          <w:rFonts w:cs="Times New Roman"/>
          <w:color w:val="000000"/>
          <w:szCs w:val="28"/>
        </w:rPr>
        <w:t>14%</w:t>
      </w:r>
      <w:r w:rsidR="00394CF1">
        <w:rPr>
          <w:rFonts w:cs="Times New Roman"/>
          <w:color w:val="000000"/>
          <w:szCs w:val="28"/>
        </w:rPr>
        <w:t xml:space="preserve">); </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szCs w:val="28"/>
        </w:rPr>
        <w:t>Zema kurināmā izmantošanas efektivitāte decentralizētajā siltumapgādē.</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szCs w:val="28"/>
        </w:rPr>
        <w:t>Ierobežota siltumenerģijas lietderīga izmantošana – apkures sezonalitāte un zema rūpnieciskā siltumslodze.</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szCs w:val="28"/>
        </w:rPr>
        <w:t xml:space="preserve">Nepietiekama informācija par siltumapgādes sistēmu darbību – trūkst pētījumi un statistikas dati par siltumapgādi atsevišķās teritorijās. </w:t>
      </w:r>
    </w:p>
    <w:p w:rsidR="00394CF1" w:rsidRDefault="00394CF1" w:rsidP="00496537">
      <w:pPr>
        <w:ind w:left="-31"/>
        <w:jc w:val="both"/>
        <w:rPr>
          <w:rFonts w:cs="Times New Roman"/>
          <w:i/>
          <w:szCs w:val="28"/>
        </w:rPr>
      </w:pPr>
    </w:p>
    <w:p w:rsidR="00496537" w:rsidRPr="00EE759E" w:rsidRDefault="00496537" w:rsidP="00496537">
      <w:pPr>
        <w:ind w:left="-31"/>
        <w:jc w:val="both"/>
        <w:rPr>
          <w:rFonts w:cs="Times New Roman"/>
          <w:b/>
          <w:szCs w:val="28"/>
        </w:rPr>
      </w:pPr>
      <w:r w:rsidRPr="00EE759E">
        <w:rPr>
          <w:rFonts w:cs="Times New Roman"/>
          <w:b/>
          <w:i/>
          <w:szCs w:val="28"/>
        </w:rPr>
        <w:t>Iespējas</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lastRenderedPageBreak/>
        <w:t>Starptautisko un ES budžeta finanšu</w:t>
      </w:r>
      <w:r w:rsidR="00DE02E8">
        <w:rPr>
          <w:rFonts w:cs="Times New Roman"/>
          <w:szCs w:val="28"/>
        </w:rPr>
        <w:t xml:space="preserve"> </w:t>
      </w:r>
      <w:r w:rsidRPr="00496537">
        <w:rPr>
          <w:rFonts w:cs="Times New Roman"/>
          <w:szCs w:val="28"/>
        </w:rPr>
        <w:t>līdzekļu izmantošana siltumapgādes infrastruktūras modernizācijai.</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Uzlabot siltumapgādes sistēmu attīstības plānošanu pašvaldībās, veicot augstas efektivitātes koģenerācijas un efektīvas centralizētas siltumapgādes un dzesēšanas izmantošanas potenciāla visaptverošu izvērtējumu.</w:t>
      </w:r>
    </w:p>
    <w:p w:rsidR="00D43504" w:rsidRPr="001B7CC4" w:rsidRDefault="00496537" w:rsidP="00D43504">
      <w:pPr>
        <w:pStyle w:val="ListParagraph"/>
        <w:numPr>
          <w:ilvl w:val="0"/>
          <w:numId w:val="10"/>
        </w:numPr>
        <w:jc w:val="both"/>
        <w:rPr>
          <w:rFonts w:cs="Times New Roman"/>
          <w:szCs w:val="28"/>
        </w:rPr>
      </w:pPr>
      <w:r w:rsidRPr="00D43504">
        <w:rPr>
          <w:rFonts w:cs="Times New Roman"/>
          <w:szCs w:val="28"/>
        </w:rPr>
        <w:t>Veicinot rūpniecības attīstību</w:t>
      </w:r>
      <w:r w:rsidR="00394CF1" w:rsidRPr="00D43504">
        <w:rPr>
          <w:rFonts w:cs="Times New Roman"/>
          <w:szCs w:val="28"/>
        </w:rPr>
        <w:t xml:space="preserve"> </w:t>
      </w:r>
      <w:r w:rsidRPr="00D43504">
        <w:rPr>
          <w:rFonts w:cs="Times New Roman"/>
          <w:szCs w:val="28"/>
        </w:rPr>
        <w:t>, radīsies jauni rūpnieciskie pa</w:t>
      </w:r>
      <w:r w:rsidRPr="001B7CC4">
        <w:rPr>
          <w:rFonts w:cs="Times New Roman"/>
          <w:szCs w:val="28"/>
        </w:rPr>
        <w:t>tērētāji, kas pieslēdzoties centralizētās siltumapgādes sistēmām, paaugstinās to efektivitāti.</w:t>
      </w:r>
      <w:r w:rsidRPr="00D43504">
        <w:rPr>
          <w:rFonts w:cs="Times New Roman"/>
          <w:szCs w:val="28"/>
        </w:rPr>
        <w:t>Ienākumus no valsts emisiju kvotu pārdošanas izmantošana jaunu AER tehnoloģiju ieviešanai decentralizētajā siltumapgādē.</w:t>
      </w:r>
    </w:p>
    <w:p w:rsidR="00D43504" w:rsidRPr="00D43504" w:rsidRDefault="00D43504" w:rsidP="00D43504">
      <w:pPr>
        <w:pStyle w:val="ListParagraph"/>
        <w:numPr>
          <w:ilvl w:val="0"/>
          <w:numId w:val="10"/>
        </w:numPr>
        <w:jc w:val="both"/>
        <w:rPr>
          <w:rFonts w:cs="Times New Roman"/>
          <w:szCs w:val="28"/>
        </w:rPr>
      </w:pPr>
      <w:r w:rsidRPr="00D43504">
        <w:rPr>
          <w:rFonts w:cs="Times New Roman"/>
          <w:szCs w:val="28"/>
        </w:rPr>
        <w:t xml:space="preserve">Vietējo energoresursu izmantošanas paaugstināšana, īpaši decentralizētā siltumapgādē. </w:t>
      </w:r>
    </w:p>
    <w:p w:rsidR="00D43504" w:rsidRPr="00D43504" w:rsidRDefault="00D43504" w:rsidP="00D43504">
      <w:pPr>
        <w:pStyle w:val="ListParagraph"/>
        <w:numPr>
          <w:ilvl w:val="0"/>
          <w:numId w:val="10"/>
        </w:numPr>
        <w:jc w:val="both"/>
        <w:rPr>
          <w:rFonts w:cs="Times New Roman"/>
          <w:szCs w:val="28"/>
        </w:rPr>
      </w:pPr>
      <w:r w:rsidRPr="00D43504">
        <w:rPr>
          <w:rFonts w:cs="Times New Roman"/>
          <w:szCs w:val="28"/>
        </w:rPr>
        <w:t xml:space="preserve">Iespēja veicināt siltumenerģijas lietderīgo izmantošanu, atbalstot ēku siltināšanu (ES līdzekļi caur LIAA). </w:t>
      </w:r>
    </w:p>
    <w:p w:rsidR="00D43504" w:rsidRPr="00496537" w:rsidRDefault="00D43504" w:rsidP="006179F9">
      <w:pPr>
        <w:pStyle w:val="ListParagraph"/>
        <w:ind w:left="284"/>
        <w:jc w:val="both"/>
        <w:rPr>
          <w:rFonts w:cs="Times New Roman"/>
          <w:szCs w:val="28"/>
        </w:rPr>
      </w:pPr>
    </w:p>
    <w:p w:rsidR="00496537" w:rsidRPr="00EE759E" w:rsidRDefault="00496537" w:rsidP="00496537">
      <w:pPr>
        <w:ind w:left="-76"/>
        <w:jc w:val="both"/>
        <w:rPr>
          <w:rFonts w:cs="Times New Roman"/>
          <w:b/>
          <w:i/>
          <w:szCs w:val="28"/>
        </w:rPr>
      </w:pPr>
      <w:r w:rsidRPr="00EE759E">
        <w:rPr>
          <w:rFonts w:cs="Times New Roman"/>
          <w:b/>
          <w:i/>
          <w:szCs w:val="28"/>
        </w:rPr>
        <w:t>Draudi</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Salīdzinoši augsta siltuma tarifa dēļ patērētāju atteikšanās no centralizētās siltumapgādes, aizstājot to ar individuālo vai lokālo siltumapgādi.</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Samazināsies lietotāju spēja norēķināties par siltumenerģiju, jo beidzoties augstas efektivitātes koģenerācijas staciju atbalsta termiņam obligātā iepirkuma ietvaros, atsevišķās pašvaldībās var pieaugt siltumenerģijas tarifs.</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Zemā patērētāju maksātspēja un augstie iedzīvotāju parādi par siltumenerģiju rada atsevišķu siltumapgādes uzņēmumu maksātnespējas risku.</w:t>
      </w:r>
    </w:p>
    <w:p w:rsidR="00496537" w:rsidRPr="00496537" w:rsidRDefault="00496537" w:rsidP="003F7582">
      <w:pPr>
        <w:pStyle w:val="ListParagraph"/>
        <w:numPr>
          <w:ilvl w:val="0"/>
          <w:numId w:val="16"/>
        </w:numPr>
        <w:ind w:left="329"/>
        <w:jc w:val="both"/>
        <w:rPr>
          <w:rFonts w:cs="Times New Roman"/>
          <w:szCs w:val="28"/>
        </w:rPr>
      </w:pPr>
      <w:r w:rsidRPr="00496537">
        <w:rPr>
          <w:rFonts w:cs="Times New Roman"/>
          <w:szCs w:val="28"/>
        </w:rPr>
        <w:t xml:space="preserve">Energoefektivitātes pasākumu rezultātā </w:t>
      </w:r>
      <w:r w:rsidRPr="00496537">
        <w:rPr>
          <w:rFonts w:cs="Times New Roman"/>
          <w:color w:val="000000"/>
          <w:szCs w:val="28"/>
        </w:rPr>
        <w:t>samazinoties siltumslodzei, samazinās centralizētās siltumapgādes sistēmu efektivitāte.</w:t>
      </w:r>
    </w:p>
    <w:p w:rsidR="00496537" w:rsidRPr="00496537" w:rsidRDefault="00496537" w:rsidP="003F7582">
      <w:pPr>
        <w:pStyle w:val="ListParagraph"/>
        <w:numPr>
          <w:ilvl w:val="0"/>
          <w:numId w:val="10"/>
        </w:numPr>
        <w:ind w:left="284"/>
        <w:jc w:val="both"/>
        <w:rPr>
          <w:rFonts w:cs="Times New Roman"/>
          <w:szCs w:val="28"/>
        </w:rPr>
      </w:pPr>
      <w:r w:rsidRPr="00496537">
        <w:rPr>
          <w:rFonts w:cs="Times New Roman"/>
          <w:szCs w:val="28"/>
        </w:rPr>
        <w:t>Paaugstinātas energoresursu cenas, pieaugot pieprasījumam pēc biomasas.</w:t>
      </w:r>
    </w:p>
    <w:p w:rsidR="00496537" w:rsidRPr="00496537" w:rsidRDefault="00D43504" w:rsidP="003F7582">
      <w:pPr>
        <w:pStyle w:val="ListParagraph"/>
        <w:numPr>
          <w:ilvl w:val="0"/>
          <w:numId w:val="10"/>
        </w:numPr>
        <w:ind w:left="284"/>
        <w:jc w:val="both"/>
        <w:rPr>
          <w:rFonts w:cs="Times New Roman"/>
          <w:szCs w:val="28"/>
        </w:rPr>
      </w:pPr>
      <w:r>
        <w:rPr>
          <w:rFonts w:cs="Times New Roman"/>
          <w:szCs w:val="28"/>
        </w:rPr>
        <w:t>Atsevišķās vietās a</w:t>
      </w:r>
      <w:r w:rsidR="00496537" w:rsidRPr="00496537">
        <w:rPr>
          <w:rFonts w:cs="Times New Roman"/>
          <w:szCs w:val="28"/>
        </w:rPr>
        <w:t>tkarība no viena fosilā kurināmā (dabasgāzes) piegādātāja rada siltumapgādes drošības risku.</w:t>
      </w:r>
    </w:p>
    <w:p w:rsidR="00496537" w:rsidRPr="00496537" w:rsidRDefault="00496537" w:rsidP="003F7582">
      <w:pPr>
        <w:pStyle w:val="ListParagraph"/>
        <w:numPr>
          <w:ilvl w:val="0"/>
          <w:numId w:val="10"/>
        </w:numPr>
        <w:ind w:left="284"/>
        <w:jc w:val="both"/>
        <w:rPr>
          <w:szCs w:val="28"/>
        </w:rPr>
      </w:pPr>
      <w:r w:rsidRPr="00496537">
        <w:rPr>
          <w:rFonts w:cs="Times New Roman"/>
          <w:szCs w:val="28"/>
        </w:rPr>
        <w:t>ESKO pakalpojumu izmantošana, samazinot siltumenerģijas patēriņu un uzstādot alternatīvus siltumenerģijas avotus centralizētās siltumapgādes zonās, var graut centralizēto siltumapgādi</w:t>
      </w:r>
      <w:r w:rsidRPr="00496537">
        <w:rPr>
          <w:szCs w:val="28"/>
        </w:rPr>
        <w:t>.</w:t>
      </w:r>
    </w:p>
    <w:p w:rsidR="00EE6D9B" w:rsidRPr="00496537" w:rsidRDefault="000336C5" w:rsidP="003E1851">
      <w:pPr>
        <w:pStyle w:val="Heading2"/>
        <w:spacing w:after="120"/>
        <w:ind w:firstLine="284"/>
      </w:pPr>
      <w:bookmarkStart w:id="30" w:name="_Toc401644331"/>
      <w:r>
        <w:t xml:space="preserve">4.4. </w:t>
      </w:r>
      <w:r w:rsidR="00EE6D9B" w:rsidRPr="00496537">
        <w:t>Energoefektivitāte</w:t>
      </w:r>
      <w:bookmarkEnd w:id="30"/>
    </w:p>
    <w:p w:rsidR="00EE6D9B" w:rsidRPr="00EE759E" w:rsidRDefault="00EE6D9B" w:rsidP="00EE6D9B">
      <w:pPr>
        <w:tabs>
          <w:tab w:val="left" w:pos="4005"/>
        </w:tabs>
        <w:jc w:val="both"/>
        <w:rPr>
          <w:rFonts w:cs="Times New Roman"/>
          <w:b/>
          <w:i/>
          <w:szCs w:val="28"/>
        </w:rPr>
      </w:pPr>
      <w:r w:rsidRPr="00EE759E">
        <w:rPr>
          <w:rFonts w:cs="Times New Roman"/>
          <w:b/>
          <w:i/>
          <w:szCs w:val="28"/>
        </w:rPr>
        <w:t>Stiprās puses</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Energoefektivitātes paaugstināšana daudzdzīvokļu dzīvojamās mājās nodrošina dzīvojamā fonda ilgtspēju un energoresursu efektīvu izmantošanu.</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Samazinās izmantotās enerģijas apjom</w:t>
      </w:r>
      <w:r w:rsidR="00D43504">
        <w:rPr>
          <w:rFonts w:cs="Times New Roman"/>
          <w:szCs w:val="28"/>
        </w:rPr>
        <w:t xml:space="preserve">i un izmaksas. </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 xml:space="preserve">Samazinās CO2  izmešu apjoms </w:t>
      </w:r>
      <w:r w:rsidR="004C1B8E" w:rsidRPr="00496537">
        <w:rPr>
          <w:rFonts w:cs="Times New Roman"/>
          <w:szCs w:val="28"/>
        </w:rPr>
        <w:t>tād</w:t>
      </w:r>
      <w:r w:rsidR="004C1B8E">
        <w:rPr>
          <w:rFonts w:cs="Times New Roman"/>
          <w:szCs w:val="28"/>
        </w:rPr>
        <w:t>ē</w:t>
      </w:r>
      <w:r w:rsidR="004C1B8E" w:rsidRPr="00496537">
        <w:rPr>
          <w:rFonts w:cs="Times New Roman"/>
          <w:szCs w:val="28"/>
        </w:rPr>
        <w:t xml:space="preserve">jādi </w:t>
      </w:r>
      <w:r w:rsidRPr="00496537">
        <w:rPr>
          <w:rFonts w:cs="Times New Roman"/>
          <w:szCs w:val="28"/>
        </w:rPr>
        <w:t>paaugstinot cilvēku dzīves kvalitāti ilgtermiņā.</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lastRenderedPageBreak/>
        <w:t xml:space="preserve">Energoauditu ieteikumu un energovadības sistēmu ieviešana veicina uzņēmumu konkurētspējas </w:t>
      </w:r>
      <w:r w:rsidR="00D43504">
        <w:rPr>
          <w:rFonts w:cs="Times New Roman"/>
          <w:szCs w:val="28"/>
        </w:rPr>
        <w:t xml:space="preserve">un mājsaimniecību maksātspējas </w:t>
      </w:r>
      <w:r w:rsidRPr="00496537">
        <w:rPr>
          <w:rFonts w:cs="Times New Roman"/>
          <w:szCs w:val="28"/>
        </w:rPr>
        <w:t>paaugstināšanu.</w:t>
      </w:r>
    </w:p>
    <w:p w:rsidR="000D755E" w:rsidRDefault="000D755E" w:rsidP="00EE6D9B">
      <w:pPr>
        <w:jc w:val="both"/>
        <w:rPr>
          <w:rFonts w:cs="Times New Roman"/>
          <w:b/>
          <w:i/>
          <w:szCs w:val="28"/>
        </w:rPr>
      </w:pPr>
    </w:p>
    <w:p w:rsidR="00EE6D9B" w:rsidRPr="00EE759E" w:rsidRDefault="00EE6D9B" w:rsidP="00EE6D9B">
      <w:pPr>
        <w:jc w:val="both"/>
        <w:rPr>
          <w:rFonts w:cs="Times New Roman"/>
          <w:b/>
          <w:i/>
          <w:szCs w:val="28"/>
        </w:rPr>
      </w:pPr>
      <w:r w:rsidRPr="00EE759E">
        <w:rPr>
          <w:rFonts w:cs="Times New Roman"/>
          <w:b/>
          <w:i/>
          <w:szCs w:val="28"/>
        </w:rPr>
        <w:t>Vājās puses</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Sabiedrības zemā izpratne par energoefektivitātes jautājumiem.</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 xml:space="preserve">Komersantu </w:t>
      </w:r>
      <w:r w:rsidR="00D43504">
        <w:rPr>
          <w:rFonts w:cs="Times New Roman"/>
          <w:szCs w:val="28"/>
        </w:rPr>
        <w:t>un iedzīvotāju</w:t>
      </w:r>
      <w:r w:rsidRPr="00496537">
        <w:rPr>
          <w:rFonts w:cs="Times New Roman"/>
          <w:szCs w:val="28"/>
        </w:rPr>
        <w:t xml:space="preserve"> zemā ieinteresētība energoefektivitātes pasākumos, kas atmaksājas laika periodā ilgākā par 5.gadiem.</w:t>
      </w:r>
    </w:p>
    <w:p w:rsidR="00EE6D9B" w:rsidRPr="00496537" w:rsidRDefault="00EE6D9B" w:rsidP="003F7582">
      <w:pPr>
        <w:pStyle w:val="ListParagraph"/>
        <w:numPr>
          <w:ilvl w:val="0"/>
          <w:numId w:val="10"/>
        </w:numPr>
        <w:jc w:val="both"/>
        <w:rPr>
          <w:rFonts w:cs="Times New Roman"/>
          <w:szCs w:val="28"/>
        </w:rPr>
      </w:pPr>
      <w:r w:rsidRPr="00496537">
        <w:rPr>
          <w:rFonts w:cs="Times New Roman"/>
          <w:szCs w:val="28"/>
        </w:rPr>
        <w:t>Būtiski  finansiāli ieguldījumi</w:t>
      </w:r>
      <w:r w:rsidR="004C1B8E">
        <w:rPr>
          <w:rFonts w:cs="Times New Roman"/>
          <w:szCs w:val="28"/>
        </w:rPr>
        <w:t xml:space="preserve"> </w:t>
      </w:r>
      <w:r w:rsidRPr="00496537">
        <w:rPr>
          <w:rFonts w:cs="Times New Roman"/>
          <w:szCs w:val="28"/>
        </w:rPr>
        <w:t>atsevišķu energoefektivitātes pasākumu realizācijai.</w:t>
      </w:r>
    </w:p>
    <w:p w:rsidR="00D43504" w:rsidRDefault="00D43504" w:rsidP="00EE6D9B">
      <w:pPr>
        <w:jc w:val="both"/>
        <w:rPr>
          <w:rFonts w:cs="Times New Roman"/>
          <w:i/>
          <w:szCs w:val="28"/>
        </w:rPr>
      </w:pPr>
    </w:p>
    <w:p w:rsidR="00EE6D9B" w:rsidRPr="00EE759E" w:rsidRDefault="00EE6D9B" w:rsidP="00EE6D9B">
      <w:pPr>
        <w:jc w:val="both"/>
        <w:rPr>
          <w:rFonts w:cs="Times New Roman"/>
          <w:b/>
          <w:i/>
          <w:szCs w:val="28"/>
        </w:rPr>
      </w:pPr>
      <w:r w:rsidRPr="00EE759E">
        <w:rPr>
          <w:rFonts w:cs="Times New Roman"/>
          <w:b/>
          <w:i/>
          <w:szCs w:val="28"/>
        </w:rPr>
        <w:t>Iespējas</w:t>
      </w:r>
    </w:p>
    <w:p w:rsidR="00EE6D9B" w:rsidRPr="00496537" w:rsidRDefault="00EE6D9B" w:rsidP="003F7582">
      <w:pPr>
        <w:pStyle w:val="ListParagraph"/>
        <w:numPr>
          <w:ilvl w:val="0"/>
          <w:numId w:val="10"/>
        </w:numPr>
        <w:ind w:left="284"/>
        <w:jc w:val="both"/>
        <w:rPr>
          <w:rFonts w:cs="Times New Roman"/>
          <w:szCs w:val="28"/>
        </w:rPr>
      </w:pPr>
      <w:r w:rsidRPr="00496537">
        <w:rPr>
          <w:rFonts w:cs="Times New Roman"/>
          <w:szCs w:val="28"/>
        </w:rPr>
        <w:t>Energoefektivitātei ir jākļūst par horizontālu starpnozaru politikas mērķi, iekļaujot to citās politikas jomās, tādās kā reģionālā un pilsētu attīstība, transports, rūpniecības politika, lauksaimniecība.</w:t>
      </w:r>
    </w:p>
    <w:p w:rsidR="00EE6D9B" w:rsidRPr="00496537" w:rsidRDefault="00EE6D9B" w:rsidP="003F7582">
      <w:pPr>
        <w:pStyle w:val="ListParagraph"/>
        <w:numPr>
          <w:ilvl w:val="0"/>
          <w:numId w:val="10"/>
        </w:numPr>
        <w:ind w:left="284"/>
        <w:jc w:val="both"/>
        <w:rPr>
          <w:rFonts w:cs="Times New Roman"/>
          <w:szCs w:val="28"/>
        </w:rPr>
      </w:pPr>
      <w:r w:rsidRPr="00496537">
        <w:rPr>
          <w:rFonts w:cs="Times New Roman"/>
          <w:szCs w:val="28"/>
        </w:rPr>
        <w:t>Iespējama</w:t>
      </w:r>
      <w:r w:rsidR="004C1B8E">
        <w:rPr>
          <w:rFonts w:cs="Times New Roman"/>
          <w:szCs w:val="28"/>
        </w:rPr>
        <w:t xml:space="preserve"> ES</w:t>
      </w:r>
      <w:r w:rsidRPr="00496537">
        <w:rPr>
          <w:rFonts w:cs="Times New Roman"/>
          <w:szCs w:val="28"/>
        </w:rPr>
        <w:t xml:space="preserve"> struktūrfondu</w:t>
      </w:r>
      <w:r w:rsidR="005E1315">
        <w:rPr>
          <w:rFonts w:cs="Times New Roman"/>
          <w:szCs w:val="28"/>
        </w:rPr>
        <w:t xml:space="preserve"> </w:t>
      </w:r>
      <w:r w:rsidRPr="00496537">
        <w:rPr>
          <w:rFonts w:cs="Times New Roman"/>
          <w:szCs w:val="28"/>
        </w:rPr>
        <w:t>līdzekļu izmantošana energoefektivitātes paaugstināšanai.</w:t>
      </w:r>
    </w:p>
    <w:p w:rsidR="00EE6D9B" w:rsidRPr="00496537" w:rsidRDefault="00EE6D9B" w:rsidP="003F7582">
      <w:pPr>
        <w:pStyle w:val="ListParagraph"/>
        <w:numPr>
          <w:ilvl w:val="0"/>
          <w:numId w:val="10"/>
        </w:numPr>
        <w:ind w:left="284"/>
        <w:jc w:val="both"/>
        <w:rPr>
          <w:rFonts w:cs="Times New Roman"/>
          <w:i/>
          <w:szCs w:val="28"/>
        </w:rPr>
      </w:pPr>
      <w:r w:rsidRPr="00496537">
        <w:rPr>
          <w:rFonts w:cs="Times New Roman"/>
          <w:szCs w:val="28"/>
        </w:rPr>
        <w:t>Energoefektivitātes pasākumu realizācijas rezultātā atbrīvoto finanšu līdzekļu iespējamā pārdale citiem mērķiem.</w:t>
      </w:r>
    </w:p>
    <w:p w:rsidR="00EE6D9B" w:rsidRPr="00496537" w:rsidRDefault="00EE6D9B" w:rsidP="003F7582">
      <w:pPr>
        <w:pStyle w:val="ListParagraph"/>
        <w:numPr>
          <w:ilvl w:val="0"/>
          <w:numId w:val="10"/>
        </w:numPr>
        <w:ind w:left="284"/>
        <w:jc w:val="both"/>
        <w:rPr>
          <w:rFonts w:cs="Times New Roman"/>
          <w:i/>
          <w:szCs w:val="28"/>
        </w:rPr>
      </w:pPr>
      <w:r w:rsidRPr="00496537">
        <w:rPr>
          <w:rFonts w:cs="Times New Roman"/>
          <w:szCs w:val="28"/>
        </w:rPr>
        <w:t xml:space="preserve">Energoefektivitātes paaugstināšana ir izmaksu ziņā efektīvākais un ātrākais veids, kā samazināt energoresursu piegāžu drošības riskus, veicinot izaugsmi. </w:t>
      </w:r>
    </w:p>
    <w:p w:rsidR="00EE6D9B" w:rsidRPr="00496537" w:rsidRDefault="00EE6D9B" w:rsidP="003F7582">
      <w:pPr>
        <w:pStyle w:val="ListParagraph"/>
        <w:numPr>
          <w:ilvl w:val="0"/>
          <w:numId w:val="10"/>
        </w:numPr>
        <w:ind w:left="284"/>
        <w:jc w:val="both"/>
        <w:rPr>
          <w:rFonts w:cs="Times New Roman"/>
          <w:i/>
          <w:szCs w:val="28"/>
        </w:rPr>
      </w:pPr>
      <w:r w:rsidRPr="00496537">
        <w:rPr>
          <w:rFonts w:cs="Times New Roman"/>
          <w:szCs w:val="28"/>
        </w:rPr>
        <w:t>Valsts un pašvaldību</w:t>
      </w:r>
      <w:r w:rsidR="004C1B8E">
        <w:rPr>
          <w:rFonts w:cs="Times New Roman"/>
          <w:szCs w:val="28"/>
        </w:rPr>
        <w:t xml:space="preserve"> </w:t>
      </w:r>
      <w:r w:rsidRPr="00496537">
        <w:rPr>
          <w:rFonts w:cs="Times New Roman"/>
          <w:szCs w:val="28"/>
        </w:rPr>
        <w:t>parauglomas nodrošināšana energoefektivitātes projektu īstenošanā.</w:t>
      </w:r>
    </w:p>
    <w:p w:rsidR="00EE6D9B" w:rsidRPr="00496537" w:rsidRDefault="00EE6D9B" w:rsidP="003F7582">
      <w:pPr>
        <w:pStyle w:val="ListParagraph"/>
        <w:numPr>
          <w:ilvl w:val="0"/>
          <w:numId w:val="10"/>
        </w:numPr>
        <w:ind w:left="284"/>
        <w:jc w:val="both"/>
        <w:rPr>
          <w:rFonts w:cs="Times New Roman"/>
          <w:i/>
          <w:szCs w:val="28"/>
        </w:rPr>
      </w:pPr>
      <w:r w:rsidRPr="00496537">
        <w:rPr>
          <w:rFonts w:cs="Times New Roman"/>
          <w:szCs w:val="28"/>
        </w:rPr>
        <w:t xml:space="preserve">„Zaļā iepirkuma” plašāka izmantošana publiskajā sektorā, panākot energoresursu patēriņa un ietekmes uz vidi samazinājumu. </w:t>
      </w:r>
    </w:p>
    <w:p w:rsidR="00EE6D9B" w:rsidRPr="00496537" w:rsidRDefault="00EE6D9B" w:rsidP="003F7582">
      <w:pPr>
        <w:pStyle w:val="ListParagraph"/>
        <w:numPr>
          <w:ilvl w:val="0"/>
          <w:numId w:val="10"/>
        </w:numPr>
        <w:ind w:left="284"/>
        <w:jc w:val="both"/>
        <w:rPr>
          <w:rFonts w:cs="Times New Roman"/>
          <w:i/>
          <w:szCs w:val="28"/>
        </w:rPr>
      </w:pPr>
      <w:r w:rsidRPr="00496537">
        <w:rPr>
          <w:rFonts w:cs="Times New Roman"/>
          <w:szCs w:val="28"/>
        </w:rPr>
        <w:t>Iedzīvotāju dzīves līmeņa paaugstināšanās.</w:t>
      </w:r>
    </w:p>
    <w:p w:rsidR="00D43504" w:rsidRDefault="00D43504" w:rsidP="00EE6D9B">
      <w:pPr>
        <w:ind w:left="-76"/>
        <w:jc w:val="both"/>
        <w:rPr>
          <w:rFonts w:cs="Times New Roman"/>
          <w:i/>
          <w:szCs w:val="28"/>
        </w:rPr>
      </w:pPr>
    </w:p>
    <w:p w:rsidR="00EE6D9B" w:rsidRPr="00EE759E" w:rsidRDefault="00EE6D9B" w:rsidP="00470528">
      <w:pPr>
        <w:ind w:left="-76"/>
        <w:jc w:val="both"/>
        <w:rPr>
          <w:rFonts w:cs="Times New Roman"/>
          <w:b/>
          <w:i/>
          <w:szCs w:val="28"/>
        </w:rPr>
      </w:pPr>
      <w:r w:rsidRPr="00EE759E">
        <w:rPr>
          <w:rFonts w:cs="Times New Roman"/>
          <w:b/>
          <w:i/>
          <w:szCs w:val="28"/>
        </w:rPr>
        <w:t>Draudi</w:t>
      </w:r>
    </w:p>
    <w:p w:rsidR="00EE6D9B" w:rsidRPr="00496537" w:rsidRDefault="00EE6D9B" w:rsidP="00470528">
      <w:pPr>
        <w:pStyle w:val="ListParagraph"/>
        <w:numPr>
          <w:ilvl w:val="0"/>
          <w:numId w:val="10"/>
        </w:numPr>
        <w:ind w:left="284"/>
        <w:jc w:val="both"/>
        <w:rPr>
          <w:rFonts w:cs="Times New Roman"/>
          <w:szCs w:val="28"/>
        </w:rPr>
      </w:pPr>
      <w:r w:rsidRPr="00496537">
        <w:rPr>
          <w:rFonts w:cs="Times New Roman"/>
          <w:szCs w:val="28"/>
        </w:rPr>
        <w:t>Patērētāju zema iesaistīšanās energoefektivitātes pasākumu realizācijā.</w:t>
      </w:r>
    </w:p>
    <w:p w:rsidR="00D43504" w:rsidRDefault="00EE6D9B" w:rsidP="00470528">
      <w:pPr>
        <w:pStyle w:val="ListParagraph"/>
        <w:numPr>
          <w:ilvl w:val="0"/>
          <w:numId w:val="10"/>
        </w:numPr>
        <w:jc w:val="both"/>
        <w:rPr>
          <w:rFonts w:cs="Times New Roman"/>
          <w:szCs w:val="28"/>
        </w:rPr>
      </w:pPr>
      <w:r w:rsidRPr="00D43504">
        <w:rPr>
          <w:rFonts w:cs="Times New Roman"/>
          <w:szCs w:val="28"/>
        </w:rPr>
        <w:t>Zemā patērētāju maksātspēja.</w:t>
      </w:r>
    </w:p>
    <w:p w:rsidR="00D43504" w:rsidRPr="00D43504" w:rsidRDefault="00D43504" w:rsidP="00470528">
      <w:pPr>
        <w:pStyle w:val="ListParagraph"/>
        <w:numPr>
          <w:ilvl w:val="0"/>
          <w:numId w:val="10"/>
        </w:numPr>
        <w:jc w:val="both"/>
        <w:rPr>
          <w:rFonts w:cs="Times New Roman"/>
          <w:szCs w:val="28"/>
        </w:rPr>
      </w:pPr>
      <w:r w:rsidRPr="00D43504">
        <w:rPr>
          <w:rFonts w:cs="Times New Roman"/>
          <w:szCs w:val="28"/>
        </w:rPr>
        <w:t>Eiropas Savienības finansējuma samazināšan</w:t>
      </w:r>
      <w:r>
        <w:rPr>
          <w:rFonts w:cs="Times New Roman"/>
          <w:szCs w:val="28"/>
        </w:rPr>
        <w:t xml:space="preserve">ās vai </w:t>
      </w:r>
      <w:r w:rsidRPr="00D43504">
        <w:rPr>
          <w:rFonts w:cs="Times New Roman"/>
          <w:szCs w:val="28"/>
        </w:rPr>
        <w:t>pārtraukšana</w:t>
      </w:r>
    </w:p>
    <w:p w:rsidR="00EE6D9B" w:rsidRPr="00496537" w:rsidRDefault="00EE6D9B" w:rsidP="00470528">
      <w:pPr>
        <w:pStyle w:val="ListParagraph"/>
        <w:numPr>
          <w:ilvl w:val="0"/>
          <w:numId w:val="10"/>
        </w:numPr>
        <w:ind w:left="284"/>
        <w:jc w:val="both"/>
        <w:rPr>
          <w:rFonts w:cs="Times New Roman"/>
          <w:szCs w:val="28"/>
        </w:rPr>
      </w:pPr>
      <w:r w:rsidRPr="00496537">
        <w:rPr>
          <w:rFonts w:cs="Times New Roman"/>
          <w:szCs w:val="28"/>
        </w:rPr>
        <w:t>Jau izbūvētā siltumapgādes infrastruktūra ir paredzēta noteiktām jaudām, kas pēc energoefektivitātes pasākumu realizācijas samazināsies, kas var atstāt noteiktu ietekmi uz siltumapgādes uzņēmumu tarifiem</w:t>
      </w:r>
      <w:r w:rsidR="00D43504">
        <w:rPr>
          <w:rFonts w:cs="Times New Roman"/>
          <w:szCs w:val="28"/>
        </w:rPr>
        <w:t xml:space="preserve">. </w:t>
      </w:r>
    </w:p>
    <w:p w:rsidR="00EE6D9B" w:rsidRDefault="00EE6D9B" w:rsidP="00470528">
      <w:pPr>
        <w:pStyle w:val="ListParagraph"/>
        <w:numPr>
          <w:ilvl w:val="0"/>
          <w:numId w:val="10"/>
        </w:numPr>
        <w:ind w:left="284"/>
        <w:jc w:val="both"/>
        <w:rPr>
          <w:rFonts w:cs="Times New Roman"/>
          <w:szCs w:val="28"/>
        </w:rPr>
      </w:pPr>
      <w:r w:rsidRPr="00496537">
        <w:rPr>
          <w:rFonts w:cs="Times New Roman"/>
          <w:szCs w:val="28"/>
        </w:rPr>
        <w:t>Uzņēmumu konkurētspējas pazemināšanās,</w:t>
      </w:r>
      <w:r w:rsidR="004C1B8E">
        <w:rPr>
          <w:rFonts w:cs="Times New Roman"/>
          <w:szCs w:val="28"/>
        </w:rPr>
        <w:t xml:space="preserve"> </w:t>
      </w:r>
      <w:r w:rsidRPr="00496537">
        <w:rPr>
          <w:rFonts w:cs="Times New Roman"/>
          <w:szCs w:val="28"/>
        </w:rPr>
        <w:t>nepievēršot pietiekamu uzmanību energoefektivitātes pasākumiem.</w:t>
      </w:r>
    </w:p>
    <w:p w:rsidR="003E1851" w:rsidRDefault="003E1851" w:rsidP="003E1851">
      <w:pPr>
        <w:ind w:left="-76"/>
        <w:jc w:val="both"/>
        <w:rPr>
          <w:rFonts w:cs="Times New Roman"/>
          <w:szCs w:val="28"/>
        </w:rPr>
      </w:pPr>
    </w:p>
    <w:p w:rsidR="003E1851" w:rsidRPr="003E1851" w:rsidRDefault="003E1851" w:rsidP="003E1851">
      <w:pPr>
        <w:ind w:left="-76"/>
        <w:jc w:val="both"/>
        <w:rPr>
          <w:rFonts w:cs="Times New Roman"/>
          <w:szCs w:val="28"/>
        </w:rPr>
      </w:pPr>
    </w:p>
    <w:p w:rsidR="00C7493D" w:rsidRDefault="000336C5" w:rsidP="00470528">
      <w:pPr>
        <w:pStyle w:val="Heading2"/>
        <w:spacing w:after="120"/>
        <w:ind w:left="709"/>
        <w:jc w:val="both"/>
      </w:pPr>
      <w:bookmarkStart w:id="31" w:name="_Toc401644332"/>
      <w:r>
        <w:lastRenderedPageBreak/>
        <w:t xml:space="preserve">4.5. </w:t>
      </w:r>
      <w:r w:rsidR="00C7493D">
        <w:t>Būtiskākās risināmās problēmas</w:t>
      </w:r>
      <w:bookmarkEnd w:id="31"/>
    </w:p>
    <w:p w:rsidR="00C7493D" w:rsidRPr="004307BD" w:rsidRDefault="00C7493D" w:rsidP="00470528">
      <w:pPr>
        <w:pStyle w:val="ListParagraph"/>
        <w:ind w:left="0"/>
        <w:jc w:val="both"/>
        <w:rPr>
          <w:i/>
        </w:rPr>
      </w:pPr>
      <w:r w:rsidRPr="004307BD">
        <w:rPr>
          <w:i/>
        </w:rPr>
        <w:t>Elektroenerģija</w:t>
      </w:r>
    </w:p>
    <w:p w:rsidR="00D43504" w:rsidRPr="00D43504" w:rsidRDefault="00D43504" w:rsidP="00470528">
      <w:pPr>
        <w:pStyle w:val="ListParagraph"/>
        <w:numPr>
          <w:ilvl w:val="0"/>
          <w:numId w:val="11"/>
        </w:numPr>
        <w:jc w:val="both"/>
      </w:pPr>
      <w:r w:rsidRPr="00D43504">
        <w:t>Nepietiekama Latvijas energosistēmas starpsavienojumu jauda ar kaimiņvalstu energosistēmām, kas rada atšķirīgas cenas Latvijas cenu apgabalā. Starpsavienojum</w:t>
      </w:r>
      <w:r>
        <w:t xml:space="preserve">u </w:t>
      </w:r>
      <w:r w:rsidRPr="00D43504">
        <w:t>izveides augstas izmaksas un  zems ekonomiskais izdevīgums.</w:t>
      </w:r>
    </w:p>
    <w:p w:rsidR="00C7493D" w:rsidRDefault="00C7493D" w:rsidP="003F7582">
      <w:pPr>
        <w:numPr>
          <w:ilvl w:val="0"/>
          <w:numId w:val="11"/>
        </w:numPr>
        <w:jc w:val="both"/>
      </w:pPr>
      <w:r>
        <w:t>Administratīvie šķēršļi, veicot elektroenerģijas pārvades līniju izbūvi.</w:t>
      </w:r>
    </w:p>
    <w:p w:rsidR="00C7493D" w:rsidRDefault="00C7493D" w:rsidP="00D43504">
      <w:pPr>
        <w:numPr>
          <w:ilvl w:val="0"/>
          <w:numId w:val="11"/>
        </w:numPr>
        <w:jc w:val="both"/>
      </w:pPr>
      <w:r>
        <w:t xml:space="preserve"> </w:t>
      </w:r>
      <w:r w:rsidR="00D43504" w:rsidRPr="00D43504">
        <w:t>Liels sadales tīkla garums reģionos ar nelielu tīkla nosegumu pret elektroenerģijas patēriņu, kas paaugstina relatīvās tīkla uzturēšanas izmaksas un apgrūtina tā sadales tīkla uzturēšanu.</w:t>
      </w:r>
    </w:p>
    <w:p w:rsidR="00C7493D" w:rsidRDefault="00C7493D" w:rsidP="003F7582">
      <w:pPr>
        <w:numPr>
          <w:ilvl w:val="0"/>
          <w:numId w:val="11"/>
        </w:numPr>
        <w:jc w:val="both"/>
      </w:pPr>
      <w:r>
        <w:t xml:space="preserve"> Liels sadales tīkla garums reģionos</w:t>
      </w:r>
      <w:r w:rsidR="00BC6488">
        <w:t xml:space="preserve"> </w:t>
      </w:r>
      <w:r>
        <w:t>ar mežainiem apvidiem, kas apgrūtina sadales tīkla uzturēšanu.</w:t>
      </w:r>
    </w:p>
    <w:p w:rsidR="00C7493D" w:rsidRDefault="00D43504" w:rsidP="003F7582">
      <w:pPr>
        <w:numPr>
          <w:ilvl w:val="0"/>
          <w:numId w:val="11"/>
        </w:numPr>
        <w:jc w:val="both"/>
      </w:pPr>
      <w:r>
        <w:t>Kapitālietilpīgi un l</w:t>
      </w:r>
      <w:r w:rsidRPr="000D3D60">
        <w:t xml:space="preserve">ēni </w:t>
      </w:r>
      <w:r w:rsidR="00C7493D" w:rsidRPr="000D3D60">
        <w:t>sadales infrastruktūras modernizācijas (kabelizācijas) tempi.</w:t>
      </w:r>
    </w:p>
    <w:p w:rsidR="00B9719A" w:rsidRDefault="00C7493D" w:rsidP="003F7582">
      <w:pPr>
        <w:numPr>
          <w:ilvl w:val="0"/>
          <w:numId w:val="11"/>
        </w:numPr>
        <w:jc w:val="both"/>
      </w:pPr>
      <w:r>
        <w:t xml:space="preserve"> Nepietiekami </w:t>
      </w:r>
      <w:r w:rsidR="00F170C5">
        <w:t>droša energoapgāde</w:t>
      </w:r>
      <w:r>
        <w:t xml:space="preserve"> Kurzemē, ņemot vērā augstu vētru risku</w:t>
      </w:r>
      <w:r w:rsidR="00BC6488">
        <w:t xml:space="preserve"> </w:t>
      </w:r>
      <w:r>
        <w:t>reģionā.</w:t>
      </w:r>
      <w:r w:rsidR="00F170C5">
        <w:t xml:space="preserve"> </w:t>
      </w:r>
    </w:p>
    <w:p w:rsidR="00C7493D" w:rsidRDefault="00C7493D" w:rsidP="003F7582">
      <w:pPr>
        <w:numPr>
          <w:ilvl w:val="0"/>
          <w:numId w:val="11"/>
        </w:numPr>
        <w:jc w:val="both"/>
      </w:pPr>
      <w:r>
        <w:t xml:space="preserve">Asinhrona darbība ar kontinentālo Eiropu, līdz ar to Latvijas energosistēmas stabilitātes </w:t>
      </w:r>
      <w:r w:rsidR="00FD0FAB">
        <w:t xml:space="preserve">un Baltijas tirgus efektivitātes </w:t>
      </w:r>
      <w:r>
        <w:t xml:space="preserve">atkarība no </w:t>
      </w:r>
      <w:r w:rsidR="00FD0FAB">
        <w:t xml:space="preserve">Baltijas pārvades tīkla sinhronās darbības ar </w:t>
      </w:r>
      <w:r>
        <w:t xml:space="preserve">trešajām valstīm BRELL </w:t>
      </w:r>
      <w:r w:rsidR="00FD0FAB">
        <w:t>loka</w:t>
      </w:r>
      <w:r>
        <w:t xml:space="preserve"> ietvaros.</w:t>
      </w:r>
    </w:p>
    <w:p w:rsidR="00C7493D" w:rsidRPr="005B35D9" w:rsidRDefault="00D43504" w:rsidP="00D43504">
      <w:pPr>
        <w:numPr>
          <w:ilvl w:val="0"/>
          <w:numId w:val="11"/>
        </w:numPr>
        <w:jc w:val="both"/>
      </w:pPr>
      <w:r w:rsidRPr="00D43504">
        <w:t xml:space="preserve">TEC kondensācijas režīmā ražotās elektroenerģijas </w:t>
      </w:r>
      <w:r w:rsidR="00B9719A">
        <w:t xml:space="preserve">zema </w:t>
      </w:r>
      <w:r w:rsidRPr="00D43504">
        <w:t xml:space="preserve">konkurētspēja. </w:t>
      </w:r>
    </w:p>
    <w:p w:rsidR="00C7493D" w:rsidRPr="004B168B" w:rsidRDefault="004C6BEE" w:rsidP="003F7582">
      <w:pPr>
        <w:numPr>
          <w:ilvl w:val="0"/>
          <w:numId w:val="11"/>
        </w:numPr>
        <w:jc w:val="both"/>
      </w:pPr>
      <w:r>
        <w:t>Valsts atbalsta mehānismi rada papildu slogu lietotājiem, ņemot vērā, ka AER attīstībai nepieciešams papildu</w:t>
      </w:r>
      <w:r w:rsidR="00B9719A">
        <w:t>s</w:t>
      </w:r>
      <w:r>
        <w:t xml:space="preserve"> finansējums</w:t>
      </w:r>
      <w:r w:rsidR="00C7493D">
        <w:rPr>
          <w:szCs w:val="28"/>
        </w:rPr>
        <w:t>.</w:t>
      </w:r>
    </w:p>
    <w:p w:rsidR="00C7493D" w:rsidRDefault="00C7493D" w:rsidP="003F7582">
      <w:pPr>
        <w:numPr>
          <w:ilvl w:val="0"/>
          <w:numId w:val="11"/>
        </w:numPr>
        <w:jc w:val="both"/>
      </w:pPr>
      <w:r>
        <w:t>Regulēts elektroenerģijas tirgus mājsaimniecībām, kas nosaka tirgus situācijai neatbilstošus elektroenerģijas tarifus.</w:t>
      </w:r>
    </w:p>
    <w:p w:rsidR="00C7493D" w:rsidRDefault="00C7493D" w:rsidP="003F7582">
      <w:pPr>
        <w:numPr>
          <w:ilvl w:val="0"/>
          <w:numId w:val="11"/>
        </w:numPr>
        <w:jc w:val="both"/>
      </w:pPr>
      <w:r>
        <w:t>Maznodrošināto un trūcīgu mājsaimniecību nepietiekama spēja segt elektroenerģijas izmaksas pēc tirgus cenas.</w:t>
      </w:r>
    </w:p>
    <w:p w:rsidR="00C7493D" w:rsidRDefault="00C7493D" w:rsidP="003F7582">
      <w:pPr>
        <w:numPr>
          <w:ilvl w:val="0"/>
          <w:numId w:val="11"/>
        </w:numPr>
        <w:jc w:val="both"/>
      </w:pPr>
      <w:r>
        <w:t>Ņemot vērā to, ka tirgus atvēršana mājsaimniecībām nenotika sākotnēji plānotajā termiņā, tirgus dalībniekiem un sabiedrībā kopumā ir augsta neuzticamības pakāpe pret nākamo termiņu.</w:t>
      </w:r>
    </w:p>
    <w:p w:rsidR="004C6BEE" w:rsidRDefault="004C6BEE" w:rsidP="003F7582">
      <w:pPr>
        <w:numPr>
          <w:ilvl w:val="0"/>
          <w:numId w:val="11"/>
        </w:numPr>
        <w:jc w:val="both"/>
      </w:pPr>
      <w:r>
        <w:t xml:space="preserve">Sabiedrības </w:t>
      </w:r>
      <w:r w:rsidR="00D43504">
        <w:t xml:space="preserve">nepietiekamās zināšanas </w:t>
      </w:r>
      <w:r>
        <w:t>par elektroenerģijas tirgus darbības principiem un cenas veidošanas mehānismiem (tajā skaitā elektroenerģijas biržas darbību),  brīvā tirgus priekšrocībām, kā arī par elektroenerģijas efektīvu izmantošanu (enerģijas marķējums).</w:t>
      </w:r>
    </w:p>
    <w:p w:rsidR="006179F9" w:rsidRDefault="006179F9" w:rsidP="004C6BEE">
      <w:pPr>
        <w:ind w:left="720"/>
        <w:jc w:val="both"/>
      </w:pPr>
    </w:p>
    <w:p w:rsidR="00C7493D" w:rsidRPr="00E663AA" w:rsidRDefault="00C7493D" w:rsidP="00C7493D">
      <w:pPr>
        <w:jc w:val="both"/>
        <w:rPr>
          <w:b/>
          <w:i/>
          <w:szCs w:val="28"/>
        </w:rPr>
      </w:pPr>
      <w:r>
        <w:rPr>
          <w:i/>
          <w:szCs w:val="28"/>
        </w:rPr>
        <w:t>Dabasgāze</w:t>
      </w:r>
    </w:p>
    <w:p w:rsidR="00B63C34" w:rsidRDefault="00B63C34" w:rsidP="00B63C34">
      <w:pPr>
        <w:pStyle w:val="ListParagraph"/>
        <w:numPr>
          <w:ilvl w:val="0"/>
          <w:numId w:val="19"/>
        </w:numPr>
        <w:jc w:val="both"/>
        <w:rPr>
          <w:szCs w:val="28"/>
        </w:rPr>
      </w:pPr>
      <w:r>
        <w:rPr>
          <w:szCs w:val="28"/>
        </w:rPr>
        <w:t>Nav realizēts d</w:t>
      </w:r>
      <w:r w:rsidRPr="005F1CDF">
        <w:rPr>
          <w:szCs w:val="28"/>
        </w:rPr>
        <w:t>abasgāzes tirgus liberalizācija</w:t>
      </w:r>
      <w:r>
        <w:rPr>
          <w:szCs w:val="28"/>
        </w:rPr>
        <w:t xml:space="preserve">s 2.posms </w:t>
      </w:r>
      <w:r w:rsidRPr="002D5F4D">
        <w:rPr>
          <w:szCs w:val="28"/>
        </w:rPr>
        <w:t>(</w:t>
      </w:r>
      <w:r>
        <w:rPr>
          <w:szCs w:val="28"/>
        </w:rPr>
        <w:t xml:space="preserve">tajā skaitā </w:t>
      </w:r>
      <w:r w:rsidRPr="002D5F4D">
        <w:rPr>
          <w:szCs w:val="28"/>
        </w:rPr>
        <w:t>nav izveidots neatkarīgais dabasgāzes pārvades sistēmas operator</w:t>
      </w:r>
      <w:r>
        <w:rPr>
          <w:szCs w:val="28"/>
        </w:rPr>
        <w:t>s,</w:t>
      </w:r>
      <w:r w:rsidRPr="002D5F4D">
        <w:rPr>
          <w:szCs w:val="28"/>
        </w:rPr>
        <w:t xml:space="preserve"> dabasgāzes uzglabāšanas </w:t>
      </w:r>
      <w:r>
        <w:rPr>
          <w:szCs w:val="28"/>
        </w:rPr>
        <w:t>operators).</w:t>
      </w:r>
    </w:p>
    <w:p w:rsidR="00D43504" w:rsidRPr="00D43504" w:rsidRDefault="00D43504" w:rsidP="00B9719A">
      <w:pPr>
        <w:pStyle w:val="ListParagraph"/>
        <w:numPr>
          <w:ilvl w:val="0"/>
          <w:numId w:val="19"/>
        </w:numPr>
        <w:jc w:val="both"/>
        <w:rPr>
          <w:szCs w:val="28"/>
        </w:rPr>
      </w:pPr>
      <w:r w:rsidRPr="00D43504">
        <w:rPr>
          <w:szCs w:val="28"/>
        </w:rPr>
        <w:lastRenderedPageBreak/>
        <w:t>Starpsavienojumu trūkums ar citām ES dalībvalstīm, izņemot Lietuvu un Igauniju</w:t>
      </w:r>
      <w:r w:rsidR="00BB2F9D">
        <w:rPr>
          <w:szCs w:val="28"/>
        </w:rPr>
        <w:t xml:space="preserve">, kas tajā skaitā kāvē pazemes gāzes krātuvju potenciāla attīstību Latvijā </w:t>
      </w:r>
      <w:r w:rsidRPr="00D43504">
        <w:rPr>
          <w:szCs w:val="28"/>
        </w:rPr>
        <w:t>.</w:t>
      </w:r>
    </w:p>
    <w:p w:rsidR="00C7493D" w:rsidRPr="009C4A34" w:rsidRDefault="00C7493D" w:rsidP="003F7582">
      <w:pPr>
        <w:pStyle w:val="ListParagraph"/>
        <w:numPr>
          <w:ilvl w:val="0"/>
          <w:numId w:val="19"/>
        </w:numPr>
        <w:jc w:val="both"/>
        <w:rPr>
          <w:szCs w:val="28"/>
        </w:rPr>
      </w:pPr>
      <w:r>
        <w:rPr>
          <w:szCs w:val="28"/>
        </w:rPr>
        <w:t>Nav alternatīvu dabasgāzes piegādes avotu un ceļu, līdz ar to liela atkarība no vienas piegādātājvalsts</w:t>
      </w:r>
      <w:r w:rsidRPr="005F1CDF">
        <w:rPr>
          <w:szCs w:val="28"/>
        </w:rPr>
        <w:t>.</w:t>
      </w:r>
      <w:r w:rsidR="00B9719A">
        <w:rPr>
          <w:szCs w:val="28"/>
        </w:rPr>
        <w:t xml:space="preserve"> </w:t>
      </w:r>
      <w:r w:rsidRPr="009C4A34">
        <w:rPr>
          <w:szCs w:val="28"/>
        </w:rPr>
        <w:t xml:space="preserve">Nepietiekama </w:t>
      </w:r>
      <w:r w:rsidRPr="009C4A34">
        <w:rPr>
          <w:color w:val="000000"/>
          <w:szCs w:val="28"/>
        </w:rPr>
        <w:t>Latvijas – Lietuvas starpsavienojuma kapacitāte.</w:t>
      </w:r>
    </w:p>
    <w:p w:rsidR="00C7493D" w:rsidRPr="000423C4" w:rsidRDefault="00C7493D" w:rsidP="003F7582">
      <w:pPr>
        <w:pStyle w:val="ListParagraph"/>
        <w:numPr>
          <w:ilvl w:val="0"/>
          <w:numId w:val="19"/>
        </w:numPr>
        <w:jc w:val="both"/>
        <w:rPr>
          <w:szCs w:val="28"/>
        </w:rPr>
      </w:pPr>
      <w:r w:rsidRPr="000423C4">
        <w:rPr>
          <w:szCs w:val="28"/>
        </w:rPr>
        <w:t>Reverso gāzes plūsmu tehnisko iespēju trūkums starp Latviju un Igauniju.</w:t>
      </w:r>
    </w:p>
    <w:p w:rsidR="00C7493D" w:rsidRPr="003561AE" w:rsidRDefault="00C7493D" w:rsidP="003F7582">
      <w:pPr>
        <w:pStyle w:val="ListParagraph"/>
        <w:numPr>
          <w:ilvl w:val="0"/>
          <w:numId w:val="19"/>
        </w:numPr>
        <w:jc w:val="both"/>
        <w:rPr>
          <w:szCs w:val="28"/>
        </w:rPr>
      </w:pPr>
      <w:r>
        <w:t>IPGK paplašināšanas augstas izmaksas un finansējuma trūkums.</w:t>
      </w:r>
    </w:p>
    <w:p w:rsidR="00C7493D" w:rsidRDefault="00C7493D" w:rsidP="003F7582">
      <w:pPr>
        <w:numPr>
          <w:ilvl w:val="0"/>
          <w:numId w:val="19"/>
        </w:numPr>
        <w:jc w:val="both"/>
        <w:rPr>
          <w:szCs w:val="28"/>
        </w:rPr>
      </w:pPr>
      <w:r w:rsidRPr="00ED252D">
        <w:rPr>
          <w:szCs w:val="28"/>
        </w:rPr>
        <w:t>Nepastāv regulējums, kas nosaka prasības biogāz</w:t>
      </w:r>
      <w:r w:rsidR="00B9719A">
        <w:rPr>
          <w:szCs w:val="28"/>
        </w:rPr>
        <w:t>es</w:t>
      </w:r>
      <w:r w:rsidRPr="00ED252D">
        <w:rPr>
          <w:szCs w:val="28"/>
        </w:rPr>
        <w:t xml:space="preserve"> un no biomasas saražot</w:t>
      </w:r>
      <w:r w:rsidR="00B9719A">
        <w:rPr>
          <w:szCs w:val="28"/>
        </w:rPr>
        <w:t>ās</w:t>
      </w:r>
      <w:r w:rsidRPr="00ED252D">
        <w:rPr>
          <w:szCs w:val="28"/>
        </w:rPr>
        <w:t xml:space="preserve"> gāz</w:t>
      </w:r>
      <w:r w:rsidR="00B9719A">
        <w:rPr>
          <w:szCs w:val="28"/>
        </w:rPr>
        <w:t>es</w:t>
      </w:r>
      <w:r w:rsidRPr="00ED252D">
        <w:rPr>
          <w:szCs w:val="28"/>
        </w:rPr>
        <w:t>, kā arī sašķidrinātās dabasgāzes ievadīšanai dabasgāzes pārvades sistēmā</w:t>
      </w:r>
      <w:r>
        <w:rPr>
          <w:szCs w:val="28"/>
        </w:rPr>
        <w:t>.</w:t>
      </w:r>
    </w:p>
    <w:p w:rsidR="00C7493D" w:rsidRDefault="00C7493D" w:rsidP="003F7582">
      <w:pPr>
        <w:numPr>
          <w:ilvl w:val="0"/>
          <w:numId w:val="19"/>
        </w:numPr>
        <w:jc w:val="both"/>
        <w:rPr>
          <w:szCs w:val="28"/>
        </w:rPr>
      </w:pPr>
      <w:r w:rsidRPr="00ED252D">
        <w:rPr>
          <w:szCs w:val="28"/>
        </w:rPr>
        <w:t xml:space="preserve">Nepastāv regulējums, kas nosaka </w:t>
      </w:r>
      <w:r w:rsidRPr="00ED72FD">
        <w:rPr>
          <w:szCs w:val="28"/>
        </w:rPr>
        <w:t xml:space="preserve">prasības </w:t>
      </w:r>
      <w:r w:rsidRPr="002D622E">
        <w:rPr>
          <w:szCs w:val="28"/>
        </w:rPr>
        <w:t>dabasgāzes kvalitātei</w:t>
      </w:r>
      <w:r>
        <w:rPr>
          <w:szCs w:val="28"/>
        </w:rPr>
        <w:t>.</w:t>
      </w:r>
    </w:p>
    <w:p w:rsidR="00C7493D" w:rsidRDefault="00C7493D" w:rsidP="00C7493D"/>
    <w:p w:rsidR="00EE6D9B" w:rsidRDefault="00EE6D9B" w:rsidP="00C7493D">
      <w:pPr>
        <w:rPr>
          <w:i/>
        </w:rPr>
      </w:pPr>
      <w:r>
        <w:rPr>
          <w:i/>
        </w:rPr>
        <w:t>Siltumapgāde</w:t>
      </w:r>
    </w:p>
    <w:p w:rsidR="00EE6D9B" w:rsidRPr="00420526" w:rsidRDefault="00EE6D9B" w:rsidP="003F7582">
      <w:pPr>
        <w:pStyle w:val="ListParagraph"/>
        <w:numPr>
          <w:ilvl w:val="0"/>
          <w:numId w:val="28"/>
        </w:numPr>
        <w:rPr>
          <w:szCs w:val="28"/>
        </w:rPr>
      </w:pPr>
      <w:r>
        <w:rPr>
          <w:szCs w:val="28"/>
        </w:rPr>
        <w:t>Nepieciešamība sakārtot un attīstīt e</w:t>
      </w:r>
      <w:r w:rsidRPr="00420526">
        <w:rPr>
          <w:szCs w:val="28"/>
        </w:rPr>
        <w:t xml:space="preserve">sošās </w:t>
      </w:r>
      <w:r>
        <w:rPr>
          <w:szCs w:val="28"/>
        </w:rPr>
        <w:t xml:space="preserve">centralizētās </w:t>
      </w:r>
      <w:r w:rsidRPr="00420526">
        <w:rPr>
          <w:szCs w:val="28"/>
        </w:rPr>
        <w:t>siltumapgādes infrastruktūr</w:t>
      </w:r>
      <w:r>
        <w:rPr>
          <w:szCs w:val="28"/>
        </w:rPr>
        <w:t>u</w:t>
      </w:r>
      <w:r w:rsidRPr="00420526">
        <w:rPr>
          <w:szCs w:val="28"/>
        </w:rPr>
        <w:t>, nodrošin</w:t>
      </w:r>
      <w:r>
        <w:rPr>
          <w:szCs w:val="28"/>
        </w:rPr>
        <w:t>o</w:t>
      </w:r>
      <w:r w:rsidRPr="00420526">
        <w:rPr>
          <w:szCs w:val="28"/>
        </w:rPr>
        <w:t>t augstāku efektivitāti.</w:t>
      </w:r>
    </w:p>
    <w:p w:rsidR="00EE6D9B" w:rsidRPr="00420526" w:rsidRDefault="00EE6D9B" w:rsidP="003F7582">
      <w:pPr>
        <w:pStyle w:val="ListParagraph"/>
        <w:numPr>
          <w:ilvl w:val="0"/>
          <w:numId w:val="28"/>
        </w:numPr>
        <w:rPr>
          <w:szCs w:val="28"/>
        </w:rPr>
      </w:pPr>
      <w:r>
        <w:rPr>
          <w:szCs w:val="28"/>
        </w:rPr>
        <w:t>Nepieciešamība mazināt a</w:t>
      </w:r>
      <w:r w:rsidRPr="00420526">
        <w:rPr>
          <w:szCs w:val="28"/>
        </w:rPr>
        <w:t>tkarīb</w:t>
      </w:r>
      <w:r>
        <w:rPr>
          <w:szCs w:val="28"/>
        </w:rPr>
        <w:t>u</w:t>
      </w:r>
      <w:r w:rsidRPr="00420526">
        <w:rPr>
          <w:szCs w:val="28"/>
        </w:rPr>
        <w:t xml:space="preserve"> no viena energoresursa piegādātāja.</w:t>
      </w:r>
    </w:p>
    <w:p w:rsidR="00EE6D9B" w:rsidRPr="00420526" w:rsidRDefault="00EE6D9B" w:rsidP="003F7582">
      <w:pPr>
        <w:pStyle w:val="ListParagraph"/>
        <w:numPr>
          <w:ilvl w:val="0"/>
          <w:numId w:val="28"/>
        </w:numPr>
        <w:jc w:val="both"/>
        <w:rPr>
          <w:szCs w:val="28"/>
        </w:rPr>
      </w:pPr>
      <w:r w:rsidRPr="00420526">
        <w:rPr>
          <w:szCs w:val="28"/>
        </w:rPr>
        <w:t xml:space="preserve">Paaugstināto energoresursu cenu un citu faktoru, t.sk., beidzoties atbalsta termiņam augstas efektivitātes koģenerācijas stacijām, ietekmē paaugstinās siltuma tarifi, kas </w:t>
      </w:r>
      <w:r>
        <w:rPr>
          <w:szCs w:val="28"/>
        </w:rPr>
        <w:t xml:space="preserve">rosina patērētājus atteikties </w:t>
      </w:r>
      <w:r w:rsidRPr="00420526">
        <w:rPr>
          <w:szCs w:val="28"/>
        </w:rPr>
        <w:t>no centralizētās siltumapgādes.</w:t>
      </w:r>
    </w:p>
    <w:p w:rsidR="00EE6D9B" w:rsidRPr="00420526" w:rsidRDefault="00EE6D9B" w:rsidP="003F7582">
      <w:pPr>
        <w:pStyle w:val="ListParagraph"/>
        <w:numPr>
          <w:ilvl w:val="0"/>
          <w:numId w:val="28"/>
        </w:numPr>
        <w:jc w:val="both"/>
        <w:rPr>
          <w:szCs w:val="28"/>
        </w:rPr>
      </w:pPr>
      <w:r w:rsidRPr="00420526">
        <w:rPr>
          <w:szCs w:val="28"/>
        </w:rPr>
        <w:t>Iedzīvotāju augstie parādi par siltumu, kas rada risku siltumuzņēmumu maksātspējai.</w:t>
      </w:r>
    </w:p>
    <w:p w:rsidR="00EE6D9B" w:rsidRPr="00EE6D9B" w:rsidRDefault="00EE6D9B" w:rsidP="00C7493D"/>
    <w:p w:rsidR="00496537" w:rsidRDefault="00496537" w:rsidP="00C7493D">
      <w:pPr>
        <w:rPr>
          <w:i/>
        </w:rPr>
      </w:pPr>
      <w:r>
        <w:rPr>
          <w:i/>
        </w:rPr>
        <w:t>Energoefektivitāte</w:t>
      </w:r>
    </w:p>
    <w:p w:rsidR="00496537" w:rsidRDefault="00496537" w:rsidP="003F7582">
      <w:pPr>
        <w:numPr>
          <w:ilvl w:val="0"/>
          <w:numId w:val="26"/>
        </w:numPr>
        <w:ind w:left="426" w:hanging="426"/>
        <w:jc w:val="both"/>
      </w:pPr>
      <w:r w:rsidRPr="004A6D00">
        <w:t>Eiropas Parlamenta un Padomes 2012.gada 25.oktobra Direktīvas 2012/27/ES par energoefektivitāti, ar ko groza Direktīvas 2009/125/EK un 2010/30/ES un atceļ Direktīvas 2004/8/EK un 2006/32/EK</w:t>
      </w:r>
      <w:r>
        <w:t xml:space="preserve"> (turpmāk- Direktīva 2012/27/ES) </w:t>
      </w:r>
      <w:r w:rsidRPr="004A6D00">
        <w:t>prasību pārņemšan</w:t>
      </w:r>
      <w:r w:rsidR="00B9719A">
        <w:t>as nodrošināšana</w:t>
      </w:r>
      <w:r w:rsidRPr="004A6D00">
        <w:t xml:space="preserve"> normatīvajos aktos</w:t>
      </w:r>
      <w:r>
        <w:t xml:space="preserve">. </w:t>
      </w:r>
      <w:r w:rsidRPr="004A6D00">
        <w:t>Direktīvas 2012/27/ES prasības uzliek dalībvalstīm pienākumu noteikt un ar energoefektivitātes pasākumiem nodrošināt indikatīva enerģijas ietaupījuma mērķa sasniegšanu</w:t>
      </w:r>
      <w:r>
        <w:t xml:space="preserve">. </w:t>
      </w:r>
      <w:r>
        <w:tab/>
      </w:r>
      <w:r>
        <w:tab/>
      </w:r>
    </w:p>
    <w:p w:rsidR="00496537" w:rsidRDefault="00496537" w:rsidP="003F7582">
      <w:pPr>
        <w:numPr>
          <w:ilvl w:val="0"/>
          <w:numId w:val="26"/>
        </w:numPr>
        <w:ind w:left="426" w:hanging="426"/>
        <w:jc w:val="both"/>
      </w:pPr>
      <w:r>
        <w:t xml:space="preserve">Energoefektivitātes pienākuma shēmas (atbilstoši Direktīvai 2012/27/ES) ieviešanas nodrošināšana, t.sk. tās funkcionēšanas un administrēšanas kārtības izstrāde un ieviešana.  </w:t>
      </w:r>
    </w:p>
    <w:p w:rsidR="00496537" w:rsidRDefault="00496537" w:rsidP="003F7582">
      <w:pPr>
        <w:numPr>
          <w:ilvl w:val="0"/>
          <w:numId w:val="26"/>
        </w:numPr>
        <w:ind w:left="426" w:hanging="426"/>
        <w:jc w:val="both"/>
      </w:pPr>
      <w:r>
        <w:t xml:space="preserve">Sabiedrības  </w:t>
      </w:r>
      <w:r w:rsidR="00B9719A">
        <w:t xml:space="preserve">nepietiekama </w:t>
      </w:r>
      <w:r>
        <w:t>ieinteresētība</w:t>
      </w:r>
      <w:r w:rsidR="00B9719A">
        <w:t xml:space="preserve"> energoefektivitātes pasākumos</w:t>
      </w:r>
      <w:r>
        <w:t xml:space="preserve"> </w:t>
      </w:r>
      <w:r w:rsidR="00B9719A">
        <w:t>(nepieciešama</w:t>
      </w:r>
      <w:r>
        <w:t xml:space="preserve"> ne tikai ēku  energoefektivitātes veicināšanas pasākumu realizācija, bet arī sabiedrības informēšana par augstas energoefektivitātes klases mājsaimniecības un biroja iekārtu iegādes priekšrocībām</w:t>
      </w:r>
      <w:r w:rsidR="00B9719A">
        <w:t>)</w:t>
      </w:r>
      <w:r>
        <w:t>.</w:t>
      </w:r>
    </w:p>
    <w:p w:rsidR="00C7493D" w:rsidRDefault="00445524" w:rsidP="00C7493D">
      <w:pPr>
        <w:numPr>
          <w:ilvl w:val="0"/>
          <w:numId w:val="26"/>
        </w:numPr>
        <w:ind w:left="426" w:hanging="426"/>
        <w:jc w:val="both"/>
      </w:pPr>
      <w:r>
        <w:t>Energoefektivitātes pasākumu ieviešanas ietekme uz enerģijas tarifiem.</w:t>
      </w:r>
      <w:r w:rsidR="00496537">
        <w:t xml:space="preserve"> </w:t>
      </w:r>
    </w:p>
    <w:p w:rsidR="00496537" w:rsidRPr="00496537" w:rsidRDefault="00496537" w:rsidP="00496537">
      <w:pPr>
        <w:jc w:val="center"/>
        <w:rPr>
          <w:b/>
        </w:rPr>
      </w:pPr>
    </w:p>
    <w:p w:rsidR="005D60DE" w:rsidRDefault="005D60DE">
      <w:pPr>
        <w:sectPr w:rsidR="005D60DE" w:rsidSect="005D315D">
          <w:footerReference w:type="default" r:id="rId40"/>
          <w:pgSz w:w="11906" w:h="16838" w:code="9"/>
          <w:pgMar w:top="1418" w:right="1134" w:bottom="1134" w:left="1701" w:header="709" w:footer="709" w:gutter="0"/>
          <w:cols w:space="708"/>
          <w:docGrid w:linePitch="381"/>
        </w:sectPr>
      </w:pPr>
    </w:p>
    <w:p w:rsidR="00F203EC" w:rsidRPr="005D60DE" w:rsidRDefault="00F203EC" w:rsidP="00F203EC">
      <w:pPr>
        <w:pStyle w:val="Heading1"/>
        <w:numPr>
          <w:ilvl w:val="0"/>
          <w:numId w:val="26"/>
        </w:numPr>
      </w:pPr>
      <w:bookmarkStart w:id="32" w:name="_Toc398574170"/>
      <w:bookmarkStart w:id="33" w:name="_Toc401644333"/>
      <w:r w:rsidRPr="005D60DE">
        <w:lastRenderedPageBreak/>
        <w:t>Turpmākās rīcības plānojums</w:t>
      </w:r>
      <w:bookmarkEnd w:id="32"/>
      <w:bookmarkEnd w:id="33"/>
    </w:p>
    <w:tbl>
      <w:tblPr>
        <w:tblpPr w:leftFromText="180" w:rightFromText="180" w:vertAnchor="text" w:tblpY="1"/>
        <w:tblOverlap w:val="never"/>
        <w:tblW w:w="141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ayout w:type="fixed"/>
        <w:tblLook w:val="01E0" w:firstRow="1" w:lastRow="1" w:firstColumn="1" w:lastColumn="1" w:noHBand="0" w:noVBand="0"/>
      </w:tblPr>
      <w:tblGrid>
        <w:gridCol w:w="6487"/>
        <w:gridCol w:w="1134"/>
        <w:gridCol w:w="1418"/>
        <w:gridCol w:w="141"/>
        <w:gridCol w:w="567"/>
        <w:gridCol w:w="1560"/>
        <w:gridCol w:w="425"/>
        <w:gridCol w:w="2410"/>
      </w:tblGrid>
      <w:tr w:rsidR="00F203EC" w:rsidRPr="00626F61" w:rsidTr="00157239">
        <w:tc>
          <w:tcPr>
            <w:tcW w:w="6487" w:type="dxa"/>
            <w:shd w:val="clear" w:color="auto" w:fill="D9D9D9"/>
          </w:tcPr>
          <w:p w:rsidR="00F203EC" w:rsidRPr="00D82348" w:rsidRDefault="00F203EC" w:rsidP="00157239">
            <w:pPr>
              <w:keepLines/>
              <w:rPr>
                <w:i/>
                <w:sz w:val="22"/>
              </w:rPr>
            </w:pPr>
            <w:r w:rsidRPr="00D82348">
              <w:rPr>
                <w:b/>
                <w:bCs/>
                <w:sz w:val="22"/>
              </w:rPr>
              <w:t>Pamatnostādnēs definētais politikas apakšmērķis</w:t>
            </w:r>
            <w:r w:rsidRPr="00D82348">
              <w:rPr>
                <w:sz w:val="22"/>
              </w:rPr>
              <w:t> </w:t>
            </w:r>
          </w:p>
        </w:tc>
        <w:tc>
          <w:tcPr>
            <w:tcW w:w="7655" w:type="dxa"/>
            <w:gridSpan w:val="7"/>
            <w:shd w:val="clear" w:color="auto" w:fill="D9D9D9"/>
          </w:tcPr>
          <w:p w:rsidR="00F203EC" w:rsidRPr="00D82348" w:rsidRDefault="00F203EC" w:rsidP="00157239">
            <w:pPr>
              <w:keepLines/>
              <w:rPr>
                <w:b/>
                <w:bCs/>
                <w:sz w:val="22"/>
              </w:rPr>
            </w:pPr>
            <w:r w:rsidRPr="00D82348">
              <w:rPr>
                <w:b/>
                <w:bCs/>
                <w:sz w:val="22"/>
              </w:rPr>
              <w:t>Konkurētspējīga ekonomika, kuru nodrošina:</w:t>
            </w:r>
          </w:p>
          <w:p w:rsidR="00F203EC" w:rsidRPr="00D82348" w:rsidRDefault="00F203EC" w:rsidP="00157239">
            <w:pPr>
              <w:pStyle w:val="ListParagraph"/>
              <w:keepLines/>
              <w:numPr>
                <w:ilvl w:val="0"/>
                <w:numId w:val="20"/>
              </w:numPr>
              <w:rPr>
                <w:b/>
                <w:sz w:val="22"/>
              </w:rPr>
            </w:pPr>
            <w:r w:rsidRPr="00D82348">
              <w:rPr>
                <w:b/>
                <w:bCs/>
                <w:sz w:val="22"/>
              </w:rPr>
              <w:t>nepārtraukta un droša energoapgāde,</w:t>
            </w:r>
          </w:p>
          <w:p w:rsidR="00F203EC" w:rsidRPr="00D82348" w:rsidRDefault="00F203EC" w:rsidP="00157239">
            <w:pPr>
              <w:keepLines/>
              <w:rPr>
                <w:sz w:val="22"/>
              </w:rPr>
            </w:pPr>
            <w:r w:rsidRPr="00D82348">
              <w:rPr>
                <w:b/>
                <w:bCs/>
                <w:sz w:val="22"/>
              </w:rPr>
              <w:t>efektīva resursu izmantošana, kas ir ilgt</w:t>
            </w:r>
            <w:r>
              <w:rPr>
                <w:b/>
                <w:bCs/>
                <w:sz w:val="22"/>
              </w:rPr>
              <w:t>s</w:t>
            </w:r>
            <w:r w:rsidRPr="00D82348">
              <w:rPr>
                <w:b/>
                <w:bCs/>
                <w:sz w:val="22"/>
              </w:rPr>
              <w:t>pējīgas enerģētikas pamatā.</w:t>
            </w:r>
          </w:p>
        </w:tc>
      </w:tr>
      <w:tr w:rsidR="00F203EC" w:rsidRPr="00626F61" w:rsidTr="00157239">
        <w:tc>
          <w:tcPr>
            <w:tcW w:w="6487" w:type="dxa"/>
            <w:shd w:val="clear" w:color="auto" w:fill="D9D9D9"/>
            <w:vAlign w:val="center"/>
          </w:tcPr>
          <w:p w:rsidR="00F203EC" w:rsidRPr="00D82348" w:rsidRDefault="00F203EC" w:rsidP="00157239">
            <w:pPr>
              <w:keepLines/>
              <w:rPr>
                <w:sz w:val="22"/>
              </w:rPr>
            </w:pPr>
            <w:r w:rsidRPr="00D82348">
              <w:rPr>
                <w:b/>
                <w:bCs/>
                <w:sz w:val="22"/>
              </w:rPr>
              <w:t>Uzdevumi un galvenie pasākumi izvirzītā mērķa sasniegšanai</w:t>
            </w:r>
            <w:r w:rsidRPr="00D82348">
              <w:rPr>
                <w:sz w:val="22"/>
              </w:rPr>
              <w:t> </w:t>
            </w:r>
          </w:p>
        </w:tc>
        <w:tc>
          <w:tcPr>
            <w:tcW w:w="1134" w:type="dxa"/>
            <w:shd w:val="clear" w:color="auto" w:fill="D9D9D9"/>
            <w:vAlign w:val="center"/>
          </w:tcPr>
          <w:p w:rsidR="00F203EC" w:rsidRPr="00D82348" w:rsidRDefault="00F203EC" w:rsidP="00157239">
            <w:pPr>
              <w:keepLines/>
              <w:spacing w:before="100" w:beforeAutospacing="1" w:after="100" w:afterAutospacing="1" w:line="60" w:lineRule="atLeast"/>
              <w:jc w:val="center"/>
              <w:rPr>
                <w:sz w:val="22"/>
              </w:rPr>
            </w:pPr>
            <w:r w:rsidRPr="00D82348">
              <w:rPr>
                <w:b/>
                <w:bCs/>
                <w:sz w:val="22"/>
              </w:rPr>
              <w:t>Izpildes termiņš</w:t>
            </w:r>
            <w:r w:rsidRPr="00D82348">
              <w:rPr>
                <w:sz w:val="22"/>
              </w:rPr>
              <w:t> </w:t>
            </w:r>
          </w:p>
        </w:tc>
        <w:tc>
          <w:tcPr>
            <w:tcW w:w="1418" w:type="dxa"/>
            <w:shd w:val="clear" w:color="auto" w:fill="D9D9D9"/>
            <w:vAlign w:val="center"/>
          </w:tcPr>
          <w:p w:rsidR="00F203EC" w:rsidRPr="00D82348" w:rsidRDefault="00F203EC" w:rsidP="00157239">
            <w:pPr>
              <w:keepLines/>
              <w:spacing w:before="100" w:beforeAutospacing="1" w:after="100" w:afterAutospacing="1" w:line="60" w:lineRule="atLeast"/>
              <w:jc w:val="center"/>
              <w:rPr>
                <w:sz w:val="22"/>
              </w:rPr>
            </w:pPr>
            <w:r w:rsidRPr="00D82348">
              <w:rPr>
                <w:b/>
                <w:bCs/>
                <w:sz w:val="22"/>
              </w:rPr>
              <w:t>Atbildīgā institūcija</w:t>
            </w:r>
            <w:r w:rsidRPr="00D82348">
              <w:rPr>
                <w:sz w:val="22"/>
              </w:rPr>
              <w:t> </w:t>
            </w:r>
          </w:p>
        </w:tc>
        <w:tc>
          <w:tcPr>
            <w:tcW w:w="2268" w:type="dxa"/>
            <w:gridSpan w:val="3"/>
            <w:shd w:val="clear" w:color="auto" w:fill="D9D9D9"/>
            <w:vAlign w:val="center"/>
          </w:tcPr>
          <w:p w:rsidR="00F203EC" w:rsidRPr="00D82348" w:rsidRDefault="00F203EC" w:rsidP="00157239">
            <w:pPr>
              <w:keepLines/>
              <w:spacing w:before="100" w:beforeAutospacing="1" w:after="100" w:afterAutospacing="1" w:line="60" w:lineRule="atLeast"/>
              <w:jc w:val="center"/>
              <w:rPr>
                <w:sz w:val="22"/>
              </w:rPr>
            </w:pPr>
            <w:r w:rsidRPr="00D82348">
              <w:rPr>
                <w:b/>
                <w:bCs/>
                <w:sz w:val="22"/>
              </w:rPr>
              <w:t>Iesaistītās institūcijas</w:t>
            </w:r>
            <w:r w:rsidRPr="00D82348">
              <w:rPr>
                <w:sz w:val="22"/>
              </w:rPr>
              <w:t xml:space="preserve">  </w:t>
            </w:r>
          </w:p>
        </w:tc>
        <w:tc>
          <w:tcPr>
            <w:tcW w:w="2835" w:type="dxa"/>
            <w:gridSpan w:val="2"/>
            <w:shd w:val="clear" w:color="auto" w:fill="D9D9D9"/>
          </w:tcPr>
          <w:p w:rsidR="00F203EC" w:rsidRPr="00D82348" w:rsidRDefault="00F203EC" w:rsidP="00157239">
            <w:pPr>
              <w:keepLines/>
              <w:spacing w:before="100" w:beforeAutospacing="1" w:after="100" w:afterAutospacing="1" w:line="60" w:lineRule="atLeast"/>
              <w:jc w:val="center"/>
              <w:rPr>
                <w:sz w:val="22"/>
              </w:rPr>
            </w:pPr>
            <w:r w:rsidRPr="00D82348">
              <w:rPr>
                <w:b/>
                <w:bCs/>
                <w:sz w:val="22"/>
              </w:rPr>
              <w:t>Nepieciešamais finansējums un tā avoti</w:t>
            </w:r>
            <w:r w:rsidRPr="00D82348">
              <w:rPr>
                <w:sz w:val="22"/>
              </w:rPr>
              <w:t> </w:t>
            </w:r>
          </w:p>
        </w:tc>
      </w:tr>
      <w:tr w:rsidR="00F203EC" w:rsidRPr="00626F61" w:rsidTr="00157239">
        <w:tc>
          <w:tcPr>
            <w:tcW w:w="6487" w:type="dxa"/>
            <w:tcBorders>
              <w:bottom w:val="single" w:sz="12" w:space="0" w:color="auto"/>
            </w:tcBorders>
            <w:shd w:val="clear" w:color="auto" w:fill="D9D9D9"/>
          </w:tcPr>
          <w:p w:rsidR="00F203EC" w:rsidRPr="00A2326B" w:rsidRDefault="00F203EC" w:rsidP="00157239">
            <w:pPr>
              <w:keepLines/>
              <w:spacing w:before="120" w:after="120"/>
              <w:rPr>
                <w:i/>
                <w:sz w:val="24"/>
                <w:szCs w:val="24"/>
              </w:rPr>
            </w:pPr>
            <w:r w:rsidRPr="00A2326B">
              <w:rPr>
                <w:b/>
                <w:sz w:val="24"/>
                <w:szCs w:val="24"/>
              </w:rPr>
              <w:t xml:space="preserve">Rīcības virziens mērķa sasniegšanai </w:t>
            </w:r>
          </w:p>
        </w:tc>
        <w:tc>
          <w:tcPr>
            <w:tcW w:w="7655" w:type="dxa"/>
            <w:gridSpan w:val="7"/>
            <w:tcBorders>
              <w:bottom w:val="single" w:sz="12" w:space="0" w:color="auto"/>
            </w:tcBorders>
            <w:shd w:val="clear" w:color="auto" w:fill="D9D9D9"/>
          </w:tcPr>
          <w:p w:rsidR="00F203EC" w:rsidRPr="00A2326B" w:rsidRDefault="00F203EC" w:rsidP="00157239">
            <w:pPr>
              <w:keepLines/>
              <w:spacing w:before="120" w:after="120"/>
              <w:jc w:val="both"/>
              <w:rPr>
                <w:b/>
                <w:i/>
                <w:sz w:val="24"/>
                <w:szCs w:val="24"/>
              </w:rPr>
            </w:pPr>
            <w:r w:rsidRPr="00A2326B">
              <w:rPr>
                <w:b/>
                <w:i/>
                <w:sz w:val="24"/>
                <w:szCs w:val="24"/>
              </w:rPr>
              <w:t xml:space="preserve">1. Primāro energoresursu diversifikācija </w:t>
            </w:r>
          </w:p>
        </w:tc>
      </w:tr>
      <w:tr w:rsidR="00F203EC" w:rsidRPr="00626F61" w:rsidTr="00157239">
        <w:tc>
          <w:tcPr>
            <w:tcW w:w="6487" w:type="dxa"/>
            <w:tcBorders>
              <w:bottom w:val="single" w:sz="12" w:space="0" w:color="auto"/>
            </w:tcBorders>
            <w:shd w:val="clear" w:color="auto" w:fill="FBD4B4" w:themeFill="accent6" w:themeFillTint="66"/>
          </w:tcPr>
          <w:p w:rsidR="00F203EC" w:rsidRPr="00D82348" w:rsidRDefault="00F203EC" w:rsidP="00157239">
            <w:pPr>
              <w:keepLines/>
              <w:spacing w:before="120" w:after="120"/>
              <w:rPr>
                <w:b/>
                <w:bCs/>
                <w:sz w:val="22"/>
              </w:rPr>
            </w:pPr>
            <w:r>
              <w:rPr>
                <w:sz w:val="22"/>
              </w:rPr>
              <w:t>1.1. Veicināt vietējo primāro energoresursu izpēti un ieguvi  Latvijā</w:t>
            </w:r>
          </w:p>
        </w:tc>
        <w:tc>
          <w:tcPr>
            <w:tcW w:w="7655" w:type="dxa"/>
            <w:gridSpan w:val="7"/>
            <w:tcBorders>
              <w:bottom w:val="single" w:sz="12" w:space="0" w:color="auto"/>
            </w:tcBorders>
            <w:shd w:val="clear" w:color="auto" w:fill="FBD4B4" w:themeFill="accent6" w:themeFillTint="66"/>
          </w:tcPr>
          <w:p w:rsidR="00F203EC" w:rsidRPr="00D82348" w:rsidRDefault="00F203EC" w:rsidP="00157239">
            <w:pPr>
              <w:keepLines/>
              <w:spacing w:before="120" w:after="120"/>
              <w:jc w:val="both"/>
              <w:rPr>
                <w:b/>
                <w:i/>
                <w:sz w:val="22"/>
              </w:rPr>
            </w:pPr>
          </w:p>
        </w:tc>
      </w:tr>
      <w:tr w:rsidR="00F203EC" w:rsidRPr="00626F61" w:rsidTr="00157239">
        <w:tc>
          <w:tcPr>
            <w:tcW w:w="6487" w:type="dxa"/>
            <w:shd w:val="clear" w:color="auto" w:fill="FFFFFF" w:themeFill="background1"/>
          </w:tcPr>
          <w:p w:rsidR="00F203EC" w:rsidRPr="00D82348" w:rsidRDefault="00F203EC" w:rsidP="00157239">
            <w:pPr>
              <w:keepLines/>
              <w:spacing w:before="120" w:after="120"/>
              <w:rPr>
                <w:b/>
                <w:bCs/>
                <w:sz w:val="22"/>
              </w:rPr>
            </w:pPr>
            <w:r>
              <w:rPr>
                <w:sz w:val="22"/>
              </w:rPr>
              <w:t xml:space="preserve">1.1.1. Izvērtēt kūdras efektīvas izmantošanas iespējas un ar to iegūšanu saistītos apstākļus. </w:t>
            </w:r>
          </w:p>
        </w:tc>
        <w:tc>
          <w:tcPr>
            <w:tcW w:w="1134" w:type="dxa"/>
            <w:shd w:val="clear" w:color="auto" w:fill="FFFFFF" w:themeFill="background1"/>
          </w:tcPr>
          <w:p w:rsidR="00F203EC" w:rsidRPr="00D82348" w:rsidRDefault="00F203EC" w:rsidP="00157239">
            <w:pPr>
              <w:keepLines/>
              <w:spacing w:before="120" w:after="120"/>
              <w:jc w:val="both"/>
              <w:rPr>
                <w:b/>
                <w:i/>
                <w:sz w:val="22"/>
              </w:rPr>
            </w:pPr>
            <w:r>
              <w:rPr>
                <w:i/>
                <w:sz w:val="22"/>
              </w:rPr>
              <w:t>2014.-2020.</w:t>
            </w:r>
          </w:p>
        </w:tc>
        <w:tc>
          <w:tcPr>
            <w:tcW w:w="1418" w:type="dxa"/>
            <w:shd w:val="clear" w:color="auto" w:fill="FFFFFF" w:themeFill="background1"/>
          </w:tcPr>
          <w:p w:rsidR="00F203EC" w:rsidRPr="00D82348" w:rsidRDefault="00F203EC" w:rsidP="00157239">
            <w:pPr>
              <w:keepLines/>
              <w:spacing w:before="120" w:after="120"/>
              <w:jc w:val="both"/>
              <w:rPr>
                <w:b/>
                <w:i/>
                <w:sz w:val="22"/>
              </w:rPr>
            </w:pPr>
            <w:r w:rsidRPr="00741400">
              <w:rPr>
                <w:i/>
                <w:sz w:val="22"/>
              </w:rPr>
              <w:t>EM</w:t>
            </w:r>
          </w:p>
        </w:tc>
        <w:tc>
          <w:tcPr>
            <w:tcW w:w="2268" w:type="dxa"/>
            <w:gridSpan w:val="3"/>
            <w:shd w:val="clear" w:color="auto" w:fill="FFFFFF" w:themeFill="background1"/>
          </w:tcPr>
          <w:p w:rsidR="00F203EC" w:rsidRPr="00D82348" w:rsidRDefault="00F203EC" w:rsidP="00157239">
            <w:pPr>
              <w:keepLines/>
              <w:spacing w:before="120" w:after="120"/>
              <w:jc w:val="both"/>
              <w:rPr>
                <w:b/>
                <w:i/>
                <w:sz w:val="22"/>
              </w:rPr>
            </w:pPr>
            <w:r w:rsidRPr="00741400">
              <w:rPr>
                <w:i/>
                <w:sz w:val="22"/>
              </w:rPr>
              <w:t>VARAM, SM, LM, FM, TM</w:t>
            </w:r>
            <w:r>
              <w:rPr>
                <w:i/>
                <w:sz w:val="22"/>
              </w:rPr>
              <w:t>, ZM</w:t>
            </w:r>
          </w:p>
        </w:tc>
        <w:tc>
          <w:tcPr>
            <w:tcW w:w="2835" w:type="dxa"/>
            <w:gridSpan w:val="2"/>
            <w:shd w:val="clear" w:color="auto" w:fill="FFFFFF" w:themeFill="background1"/>
          </w:tcPr>
          <w:p w:rsidR="00F203EC" w:rsidRPr="00D82348" w:rsidRDefault="00F203EC" w:rsidP="00157239">
            <w:pPr>
              <w:keepLines/>
              <w:spacing w:before="120" w:after="120"/>
              <w:jc w:val="both"/>
              <w:rPr>
                <w:b/>
                <w:i/>
                <w:sz w:val="22"/>
              </w:rPr>
            </w:pPr>
            <w:r w:rsidRPr="00741400">
              <w:rPr>
                <w:i/>
                <w:sz w:val="22"/>
              </w:rPr>
              <w:t>Valsts pamatbudžets</w:t>
            </w:r>
          </w:p>
        </w:tc>
      </w:tr>
      <w:tr w:rsidR="00F203EC" w:rsidRPr="00626F61" w:rsidTr="00157239">
        <w:tc>
          <w:tcPr>
            <w:tcW w:w="6487" w:type="dxa"/>
            <w:shd w:val="clear" w:color="auto" w:fill="FFFFFF" w:themeFill="background1"/>
          </w:tcPr>
          <w:p w:rsidR="00F203EC" w:rsidRPr="00D82348" w:rsidRDefault="00F203EC" w:rsidP="00157239">
            <w:pPr>
              <w:keepLines/>
              <w:spacing w:before="120" w:after="120"/>
              <w:rPr>
                <w:b/>
                <w:bCs/>
                <w:sz w:val="22"/>
              </w:rPr>
            </w:pPr>
            <w:r>
              <w:rPr>
                <w:color w:val="000000"/>
                <w:sz w:val="22"/>
              </w:rPr>
              <w:t xml:space="preserve">1. 1.2. Veicināt veiksmīgu Latvijas Lietuvas jūras robežjautājuma atrisināšanu. </w:t>
            </w:r>
          </w:p>
        </w:tc>
        <w:tc>
          <w:tcPr>
            <w:tcW w:w="1134" w:type="dxa"/>
            <w:shd w:val="clear" w:color="auto" w:fill="FFFFFF" w:themeFill="background1"/>
          </w:tcPr>
          <w:p w:rsidR="00F203EC" w:rsidRPr="00D82348" w:rsidRDefault="00F203EC" w:rsidP="00157239">
            <w:pPr>
              <w:keepLines/>
              <w:spacing w:before="120" w:after="120"/>
              <w:jc w:val="both"/>
              <w:rPr>
                <w:b/>
                <w:i/>
                <w:sz w:val="22"/>
              </w:rPr>
            </w:pPr>
            <w:r w:rsidRPr="00741400">
              <w:rPr>
                <w:i/>
                <w:sz w:val="22"/>
              </w:rPr>
              <w:t>2014.</w:t>
            </w:r>
            <w:r>
              <w:rPr>
                <w:i/>
                <w:sz w:val="22"/>
              </w:rPr>
              <w:t>-2020.</w:t>
            </w:r>
          </w:p>
        </w:tc>
        <w:tc>
          <w:tcPr>
            <w:tcW w:w="1418" w:type="dxa"/>
            <w:shd w:val="clear" w:color="auto" w:fill="FFFFFF" w:themeFill="background1"/>
          </w:tcPr>
          <w:p w:rsidR="00F203EC" w:rsidRPr="00D82348" w:rsidRDefault="00F203EC" w:rsidP="00157239">
            <w:pPr>
              <w:keepLines/>
              <w:spacing w:before="120" w:after="120"/>
              <w:jc w:val="both"/>
              <w:rPr>
                <w:b/>
                <w:i/>
                <w:sz w:val="22"/>
              </w:rPr>
            </w:pPr>
            <w:r>
              <w:rPr>
                <w:i/>
                <w:sz w:val="22"/>
              </w:rPr>
              <w:t xml:space="preserve">ĀM, </w:t>
            </w:r>
            <w:r w:rsidRPr="00741400">
              <w:rPr>
                <w:i/>
                <w:sz w:val="22"/>
              </w:rPr>
              <w:t>EM</w:t>
            </w:r>
          </w:p>
        </w:tc>
        <w:tc>
          <w:tcPr>
            <w:tcW w:w="2268" w:type="dxa"/>
            <w:gridSpan w:val="3"/>
            <w:shd w:val="clear" w:color="auto" w:fill="FFFFFF" w:themeFill="background1"/>
          </w:tcPr>
          <w:p w:rsidR="00F203EC" w:rsidRPr="00D82348" w:rsidRDefault="00F203EC" w:rsidP="00157239">
            <w:pPr>
              <w:keepLines/>
              <w:spacing w:before="120" w:after="120"/>
              <w:jc w:val="both"/>
              <w:rPr>
                <w:b/>
                <w:i/>
                <w:sz w:val="22"/>
              </w:rPr>
            </w:pPr>
            <w:r>
              <w:rPr>
                <w:i/>
                <w:sz w:val="22"/>
              </w:rPr>
              <w:t>TM, FM, VARAM, SM</w:t>
            </w:r>
            <w:r w:rsidRPr="00741400">
              <w:rPr>
                <w:i/>
                <w:sz w:val="22"/>
              </w:rPr>
              <w:t xml:space="preserve"> </w:t>
            </w:r>
          </w:p>
        </w:tc>
        <w:tc>
          <w:tcPr>
            <w:tcW w:w="2835" w:type="dxa"/>
            <w:gridSpan w:val="2"/>
            <w:shd w:val="clear" w:color="auto" w:fill="FFFFFF" w:themeFill="background1"/>
          </w:tcPr>
          <w:p w:rsidR="00F203EC" w:rsidRPr="00D82348" w:rsidRDefault="00F203EC" w:rsidP="00157239">
            <w:pPr>
              <w:keepLines/>
              <w:spacing w:before="120" w:after="120"/>
              <w:jc w:val="both"/>
              <w:rPr>
                <w:b/>
                <w:i/>
                <w:sz w:val="22"/>
              </w:rPr>
            </w:pPr>
            <w:r w:rsidRPr="00741400">
              <w:rPr>
                <w:i/>
                <w:sz w:val="22"/>
              </w:rPr>
              <w:t>Valsts pamatbudžets</w:t>
            </w:r>
          </w:p>
        </w:tc>
      </w:tr>
      <w:tr w:rsidR="00F203EC" w:rsidRPr="00626F61" w:rsidTr="00157239">
        <w:tc>
          <w:tcPr>
            <w:tcW w:w="6487" w:type="dxa"/>
            <w:shd w:val="clear" w:color="auto" w:fill="FFFFFF" w:themeFill="background1"/>
          </w:tcPr>
          <w:p w:rsidR="00F203EC" w:rsidRPr="00D82348" w:rsidRDefault="00F203EC" w:rsidP="00157239">
            <w:pPr>
              <w:keepLines/>
              <w:spacing w:before="120" w:after="120"/>
              <w:rPr>
                <w:b/>
                <w:bCs/>
                <w:sz w:val="22"/>
              </w:rPr>
            </w:pPr>
            <w:r>
              <w:rPr>
                <w:color w:val="000000" w:themeColor="text1"/>
                <w:sz w:val="22"/>
              </w:rPr>
              <w:t>1.1.3</w:t>
            </w:r>
            <w:r w:rsidRPr="00700342">
              <w:rPr>
                <w:color w:val="000000" w:themeColor="text1"/>
                <w:sz w:val="22"/>
              </w:rPr>
              <w:t>. Pieņemt regulējumu ogļūdeņražu izpētei un ieguvei</w:t>
            </w:r>
            <w:r>
              <w:rPr>
                <w:color w:val="000000" w:themeColor="text1"/>
                <w:sz w:val="22"/>
              </w:rPr>
              <w:t>.</w:t>
            </w:r>
          </w:p>
        </w:tc>
        <w:tc>
          <w:tcPr>
            <w:tcW w:w="1134" w:type="dxa"/>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2014.</w:t>
            </w:r>
          </w:p>
        </w:tc>
        <w:tc>
          <w:tcPr>
            <w:tcW w:w="1418" w:type="dxa"/>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EM</w:t>
            </w:r>
            <w:r>
              <w:rPr>
                <w:i/>
                <w:color w:val="000000" w:themeColor="text1"/>
                <w:sz w:val="22"/>
              </w:rPr>
              <w:t>, VARAM</w:t>
            </w:r>
          </w:p>
        </w:tc>
        <w:tc>
          <w:tcPr>
            <w:tcW w:w="2268" w:type="dxa"/>
            <w:gridSpan w:val="3"/>
            <w:shd w:val="clear" w:color="auto" w:fill="FFFFFF" w:themeFill="background1"/>
          </w:tcPr>
          <w:p w:rsidR="00F203EC" w:rsidRPr="00D82348" w:rsidRDefault="00F203EC" w:rsidP="00157239">
            <w:pPr>
              <w:keepLines/>
              <w:spacing w:before="120" w:after="120"/>
              <w:jc w:val="both"/>
              <w:rPr>
                <w:b/>
                <w:i/>
                <w:sz w:val="22"/>
              </w:rPr>
            </w:pPr>
            <w:r>
              <w:rPr>
                <w:i/>
                <w:color w:val="000000" w:themeColor="text1"/>
                <w:sz w:val="22"/>
              </w:rPr>
              <w:t>AiM, FM, SM, TM</w:t>
            </w:r>
          </w:p>
        </w:tc>
        <w:tc>
          <w:tcPr>
            <w:tcW w:w="2835" w:type="dxa"/>
            <w:gridSpan w:val="2"/>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Valsts pamatbudžets</w:t>
            </w:r>
          </w:p>
        </w:tc>
      </w:tr>
      <w:tr w:rsidR="00F203EC" w:rsidRPr="00626F61" w:rsidTr="00157239">
        <w:tc>
          <w:tcPr>
            <w:tcW w:w="6487" w:type="dxa"/>
            <w:tcBorders>
              <w:bottom w:val="single" w:sz="12" w:space="0" w:color="auto"/>
            </w:tcBorders>
            <w:shd w:val="clear" w:color="auto" w:fill="FFFFFF" w:themeFill="background1"/>
          </w:tcPr>
          <w:p w:rsidR="00F203EC" w:rsidRPr="00D82348" w:rsidRDefault="00F203EC" w:rsidP="00157239">
            <w:pPr>
              <w:keepLines/>
              <w:spacing w:before="120" w:after="120"/>
              <w:rPr>
                <w:b/>
                <w:bCs/>
                <w:sz w:val="22"/>
              </w:rPr>
            </w:pPr>
            <w:r>
              <w:rPr>
                <w:color w:val="000000" w:themeColor="text1"/>
                <w:sz w:val="22"/>
              </w:rPr>
              <w:t>1. 1.4</w:t>
            </w:r>
            <w:r w:rsidRPr="00700342">
              <w:rPr>
                <w:color w:val="000000" w:themeColor="text1"/>
                <w:sz w:val="22"/>
              </w:rPr>
              <w:t xml:space="preserve">. Pārņemt nacionālajos normatīvajos aktos Eiropas Parlamenta un Padomes direktīvas 2013/30/ES „Par to darbību drošumu, kas saistītas ar naftas un gāzes nozares darbībām jūrā, un ar kuru groza Direktīvu 2004/35/EK” prasības. </w:t>
            </w:r>
          </w:p>
        </w:tc>
        <w:tc>
          <w:tcPr>
            <w:tcW w:w="1134" w:type="dxa"/>
            <w:tcBorders>
              <w:bottom w:val="single" w:sz="12" w:space="0" w:color="auto"/>
            </w:tcBorders>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2015.</w:t>
            </w:r>
          </w:p>
        </w:tc>
        <w:tc>
          <w:tcPr>
            <w:tcW w:w="1418" w:type="dxa"/>
            <w:tcBorders>
              <w:bottom w:val="single" w:sz="12" w:space="0" w:color="auto"/>
            </w:tcBorders>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EM</w:t>
            </w:r>
            <w:r>
              <w:rPr>
                <w:i/>
                <w:color w:val="000000" w:themeColor="text1"/>
                <w:sz w:val="22"/>
              </w:rPr>
              <w:t>, LM, VARAM</w:t>
            </w:r>
          </w:p>
        </w:tc>
        <w:tc>
          <w:tcPr>
            <w:tcW w:w="2268" w:type="dxa"/>
            <w:gridSpan w:val="3"/>
            <w:tcBorders>
              <w:bottom w:val="single" w:sz="12" w:space="0" w:color="auto"/>
            </w:tcBorders>
            <w:shd w:val="clear" w:color="auto" w:fill="FFFFFF" w:themeFill="background1"/>
          </w:tcPr>
          <w:p w:rsidR="00F203EC" w:rsidRPr="00D82348" w:rsidRDefault="00F203EC" w:rsidP="00157239">
            <w:pPr>
              <w:keepLines/>
              <w:spacing w:before="120" w:after="120"/>
              <w:jc w:val="both"/>
              <w:rPr>
                <w:b/>
                <w:i/>
                <w:sz w:val="22"/>
              </w:rPr>
            </w:pPr>
            <w:r>
              <w:rPr>
                <w:i/>
                <w:color w:val="000000" w:themeColor="text1"/>
                <w:sz w:val="22"/>
              </w:rPr>
              <w:t>AiM, FM, SM, TM</w:t>
            </w:r>
          </w:p>
        </w:tc>
        <w:tc>
          <w:tcPr>
            <w:tcW w:w="2835" w:type="dxa"/>
            <w:gridSpan w:val="2"/>
            <w:tcBorders>
              <w:bottom w:val="single" w:sz="12" w:space="0" w:color="auto"/>
            </w:tcBorders>
            <w:shd w:val="clear" w:color="auto" w:fill="FFFFFF" w:themeFill="background1"/>
          </w:tcPr>
          <w:p w:rsidR="00F203EC" w:rsidRPr="00D82348" w:rsidRDefault="00F203EC" w:rsidP="00157239">
            <w:pPr>
              <w:keepLines/>
              <w:spacing w:before="120" w:after="120"/>
              <w:jc w:val="both"/>
              <w:rPr>
                <w:b/>
                <w:i/>
                <w:sz w:val="22"/>
              </w:rPr>
            </w:pPr>
            <w:r w:rsidRPr="00700342">
              <w:rPr>
                <w:i/>
                <w:color w:val="000000" w:themeColor="text1"/>
                <w:sz w:val="22"/>
              </w:rPr>
              <w:t>Valsts pamatbudžets</w:t>
            </w:r>
          </w:p>
        </w:tc>
      </w:tr>
      <w:tr w:rsidR="00F203EC" w:rsidRPr="00626F61" w:rsidTr="00157239">
        <w:tc>
          <w:tcPr>
            <w:tcW w:w="6487" w:type="dxa"/>
            <w:tcBorders>
              <w:bottom w:val="single" w:sz="12" w:space="0" w:color="auto"/>
            </w:tcBorders>
            <w:shd w:val="clear" w:color="auto" w:fill="FBD4B4" w:themeFill="accent6" w:themeFillTint="66"/>
          </w:tcPr>
          <w:p w:rsidR="00F203EC" w:rsidRPr="00D82348" w:rsidRDefault="00F203EC" w:rsidP="00157239">
            <w:pPr>
              <w:keepLines/>
              <w:spacing w:before="120" w:after="120"/>
              <w:rPr>
                <w:b/>
                <w:bCs/>
                <w:sz w:val="22"/>
              </w:rPr>
            </w:pPr>
            <w:r>
              <w:rPr>
                <w:color w:val="000000" w:themeColor="text1"/>
                <w:sz w:val="22"/>
              </w:rPr>
              <w:t>1.2. Veicināt energoresursu piegādes ceļu un avotu diversifikāciju</w:t>
            </w:r>
          </w:p>
        </w:tc>
        <w:tc>
          <w:tcPr>
            <w:tcW w:w="7655" w:type="dxa"/>
            <w:gridSpan w:val="7"/>
            <w:tcBorders>
              <w:bottom w:val="single" w:sz="12" w:space="0" w:color="auto"/>
            </w:tcBorders>
            <w:shd w:val="clear" w:color="auto" w:fill="FBD4B4" w:themeFill="accent6" w:themeFillTint="66"/>
          </w:tcPr>
          <w:p w:rsidR="00F203EC" w:rsidRPr="00D82348" w:rsidRDefault="00F203EC" w:rsidP="00157239">
            <w:pPr>
              <w:keepLines/>
              <w:spacing w:before="120" w:after="120"/>
              <w:jc w:val="both"/>
              <w:rPr>
                <w:b/>
                <w:i/>
                <w:sz w:val="22"/>
              </w:rPr>
            </w:pPr>
          </w:p>
        </w:tc>
      </w:tr>
      <w:tr w:rsidR="00F203EC" w:rsidRPr="00626F61" w:rsidTr="00157239">
        <w:tc>
          <w:tcPr>
            <w:tcW w:w="6487" w:type="dxa"/>
            <w:tcBorders>
              <w:bottom w:val="single" w:sz="12" w:space="0" w:color="auto"/>
            </w:tcBorders>
            <w:shd w:val="clear" w:color="auto" w:fill="FFFFFF" w:themeFill="background1"/>
          </w:tcPr>
          <w:p w:rsidR="00F203EC" w:rsidRPr="00EE759E" w:rsidRDefault="00F203EC" w:rsidP="00157239">
            <w:pPr>
              <w:keepLines/>
              <w:rPr>
                <w:sz w:val="22"/>
              </w:rPr>
            </w:pPr>
            <w:r w:rsidRPr="00EE759E">
              <w:rPr>
                <w:sz w:val="22"/>
              </w:rPr>
              <w:t xml:space="preserve">1.2.1. Veicināt citu dabasgāzes starpsavienojumu attīstību, kas pozitīvi ietekmē Latvijas tirgu </w:t>
            </w:r>
          </w:p>
        </w:tc>
        <w:tc>
          <w:tcPr>
            <w:tcW w:w="1134" w:type="dxa"/>
            <w:tcBorders>
              <w:bottom w:val="single" w:sz="12" w:space="0" w:color="auto"/>
            </w:tcBorders>
            <w:shd w:val="clear" w:color="auto" w:fill="FFFFFF" w:themeFill="background1"/>
          </w:tcPr>
          <w:p w:rsidR="00F203EC" w:rsidRPr="00EE759E" w:rsidRDefault="00F203EC" w:rsidP="00157239">
            <w:pPr>
              <w:keepLines/>
              <w:jc w:val="both"/>
              <w:rPr>
                <w:sz w:val="22"/>
              </w:rPr>
            </w:pPr>
            <w:r w:rsidRPr="00EE759E">
              <w:rPr>
                <w:sz w:val="22"/>
              </w:rPr>
              <w:t>2014.-2020.</w:t>
            </w:r>
          </w:p>
        </w:tc>
        <w:tc>
          <w:tcPr>
            <w:tcW w:w="1418" w:type="dxa"/>
            <w:tcBorders>
              <w:bottom w:val="single" w:sz="12" w:space="0" w:color="auto"/>
            </w:tcBorders>
            <w:shd w:val="clear" w:color="auto" w:fill="FFFFFF" w:themeFill="background1"/>
          </w:tcPr>
          <w:p w:rsidR="00F203EC" w:rsidRPr="00EE759E" w:rsidRDefault="00F203EC" w:rsidP="00157239">
            <w:pPr>
              <w:keepLines/>
              <w:jc w:val="both"/>
              <w:rPr>
                <w:sz w:val="22"/>
              </w:rPr>
            </w:pPr>
            <w:r w:rsidRPr="00E90043">
              <w:rPr>
                <w:sz w:val="22"/>
              </w:rPr>
              <w:t>EM</w:t>
            </w:r>
          </w:p>
        </w:tc>
        <w:tc>
          <w:tcPr>
            <w:tcW w:w="2268" w:type="dxa"/>
            <w:gridSpan w:val="3"/>
            <w:tcBorders>
              <w:bottom w:val="single" w:sz="12" w:space="0" w:color="auto"/>
            </w:tcBorders>
            <w:shd w:val="clear" w:color="auto" w:fill="FFFFFF" w:themeFill="background1"/>
          </w:tcPr>
          <w:p w:rsidR="00F203EC" w:rsidRPr="00EE759E" w:rsidRDefault="00F203EC" w:rsidP="00157239">
            <w:pPr>
              <w:keepLines/>
              <w:jc w:val="both"/>
              <w:rPr>
                <w:sz w:val="22"/>
              </w:rPr>
            </w:pPr>
            <w:r w:rsidRPr="00EE759E">
              <w:rPr>
                <w:sz w:val="22"/>
              </w:rPr>
              <w:t>ĀM, VARAM, SM</w:t>
            </w:r>
          </w:p>
        </w:tc>
        <w:tc>
          <w:tcPr>
            <w:tcW w:w="2835" w:type="dxa"/>
            <w:gridSpan w:val="2"/>
            <w:tcBorders>
              <w:bottom w:val="single" w:sz="12" w:space="0" w:color="auto"/>
            </w:tcBorders>
            <w:shd w:val="clear" w:color="auto" w:fill="FFFFFF" w:themeFill="background1"/>
          </w:tcPr>
          <w:p w:rsidR="00F203EC" w:rsidRPr="00EE759E" w:rsidRDefault="00F203EC" w:rsidP="00157239">
            <w:pPr>
              <w:keepLines/>
              <w:jc w:val="both"/>
              <w:rPr>
                <w:sz w:val="22"/>
              </w:rPr>
            </w:pPr>
            <w:r w:rsidRPr="00EE759E">
              <w:rPr>
                <w:sz w:val="22"/>
              </w:rPr>
              <w:t>Valsts pamatbudžets, ES līdzfinansējums, privātie kapitālieguldījumi</w:t>
            </w:r>
          </w:p>
        </w:tc>
      </w:tr>
      <w:tr w:rsidR="00F203EC" w:rsidRPr="00626F61" w:rsidTr="00157239">
        <w:tc>
          <w:tcPr>
            <w:tcW w:w="6487" w:type="dxa"/>
            <w:tcBorders>
              <w:bottom w:val="single" w:sz="12" w:space="0" w:color="auto"/>
            </w:tcBorders>
            <w:shd w:val="clear" w:color="auto" w:fill="FFFFFF" w:themeFill="background1"/>
          </w:tcPr>
          <w:p w:rsidR="00F203EC" w:rsidRPr="00EE759E" w:rsidRDefault="00F203EC" w:rsidP="00BB2F9D">
            <w:pPr>
              <w:keepLines/>
              <w:rPr>
                <w:sz w:val="22"/>
              </w:rPr>
            </w:pPr>
            <w:r>
              <w:rPr>
                <w:sz w:val="22"/>
              </w:rPr>
              <w:lastRenderedPageBreak/>
              <w:t xml:space="preserve">1.2.2. </w:t>
            </w:r>
            <w:r w:rsidRPr="008048CE">
              <w:rPr>
                <w:sz w:val="22"/>
              </w:rPr>
              <w:t>Veicināt komerciāli izdevīga reģionālā sašķidrinātās dabasgāzes termināļa projekta attīstību</w:t>
            </w:r>
          </w:p>
        </w:tc>
        <w:tc>
          <w:tcPr>
            <w:tcW w:w="1134" w:type="dxa"/>
            <w:tcBorders>
              <w:bottom w:val="single" w:sz="12" w:space="0" w:color="auto"/>
            </w:tcBorders>
            <w:shd w:val="clear" w:color="auto" w:fill="FFFFFF" w:themeFill="background1"/>
          </w:tcPr>
          <w:p w:rsidR="00F203EC" w:rsidRPr="00EE759E" w:rsidRDefault="00F203EC" w:rsidP="00157239">
            <w:pPr>
              <w:keepLines/>
              <w:jc w:val="both"/>
              <w:rPr>
                <w:sz w:val="22"/>
              </w:rPr>
            </w:pPr>
            <w:r w:rsidRPr="008048CE">
              <w:rPr>
                <w:sz w:val="22"/>
              </w:rPr>
              <w:t>2014.-2020.</w:t>
            </w:r>
          </w:p>
        </w:tc>
        <w:tc>
          <w:tcPr>
            <w:tcW w:w="1418" w:type="dxa"/>
            <w:tcBorders>
              <w:bottom w:val="single" w:sz="12" w:space="0" w:color="auto"/>
            </w:tcBorders>
            <w:shd w:val="clear" w:color="auto" w:fill="FFFFFF" w:themeFill="background1"/>
          </w:tcPr>
          <w:p w:rsidR="00F203EC" w:rsidRPr="00EE759E" w:rsidRDefault="00F203EC" w:rsidP="00157239">
            <w:pPr>
              <w:keepLines/>
              <w:jc w:val="both"/>
              <w:rPr>
                <w:sz w:val="22"/>
              </w:rPr>
            </w:pPr>
            <w:r w:rsidRPr="008048CE">
              <w:rPr>
                <w:sz w:val="22"/>
              </w:rPr>
              <w:t xml:space="preserve">EM, </w:t>
            </w:r>
            <w:r w:rsidRPr="00EE759E">
              <w:rPr>
                <w:sz w:val="22"/>
              </w:rPr>
              <w:t>privātie investori</w:t>
            </w:r>
          </w:p>
        </w:tc>
        <w:tc>
          <w:tcPr>
            <w:tcW w:w="2268" w:type="dxa"/>
            <w:gridSpan w:val="3"/>
            <w:tcBorders>
              <w:bottom w:val="single" w:sz="12" w:space="0" w:color="auto"/>
            </w:tcBorders>
            <w:shd w:val="clear" w:color="auto" w:fill="FFFFFF" w:themeFill="background1"/>
          </w:tcPr>
          <w:p w:rsidR="00F203EC" w:rsidRPr="00EE759E" w:rsidRDefault="00F203EC" w:rsidP="00157239">
            <w:pPr>
              <w:keepLines/>
              <w:jc w:val="both"/>
              <w:rPr>
                <w:sz w:val="22"/>
              </w:rPr>
            </w:pPr>
            <w:r w:rsidRPr="00EE759E">
              <w:rPr>
                <w:sz w:val="22"/>
              </w:rPr>
              <w:t>ĀM, VARAM, SM</w:t>
            </w:r>
          </w:p>
        </w:tc>
        <w:tc>
          <w:tcPr>
            <w:tcW w:w="2835" w:type="dxa"/>
            <w:gridSpan w:val="2"/>
            <w:tcBorders>
              <w:bottom w:val="single" w:sz="12" w:space="0" w:color="auto"/>
            </w:tcBorders>
            <w:shd w:val="clear" w:color="auto" w:fill="FFFFFF" w:themeFill="background1"/>
          </w:tcPr>
          <w:p w:rsidR="00F203EC" w:rsidRPr="00EE759E" w:rsidRDefault="00F203EC" w:rsidP="00157239">
            <w:pPr>
              <w:keepLines/>
              <w:jc w:val="both"/>
              <w:rPr>
                <w:sz w:val="22"/>
              </w:rPr>
            </w:pPr>
            <w:r w:rsidRPr="00EE759E">
              <w:rPr>
                <w:sz w:val="22"/>
              </w:rPr>
              <w:t>Valsts pamatbudžets, ES līdzfinansējums, privātie kapitālieguldījumi</w:t>
            </w:r>
          </w:p>
        </w:tc>
      </w:tr>
      <w:tr w:rsidR="00F203EC" w:rsidRPr="00626F61" w:rsidTr="00157239">
        <w:tc>
          <w:tcPr>
            <w:tcW w:w="6487" w:type="dxa"/>
            <w:tcBorders>
              <w:bottom w:val="single" w:sz="12" w:space="0" w:color="auto"/>
            </w:tcBorders>
            <w:shd w:val="clear" w:color="auto" w:fill="FBD4B4" w:themeFill="accent6" w:themeFillTint="66"/>
          </w:tcPr>
          <w:p w:rsidR="00F203EC" w:rsidRPr="00EE759E" w:rsidRDefault="00F203EC" w:rsidP="00157239">
            <w:pPr>
              <w:keepLines/>
              <w:rPr>
                <w:sz w:val="22"/>
              </w:rPr>
            </w:pPr>
            <w:r w:rsidRPr="00EE759E">
              <w:rPr>
                <w:sz w:val="22"/>
              </w:rPr>
              <w:t>1.3. Atkritumu pārstrāde</w:t>
            </w:r>
          </w:p>
        </w:tc>
        <w:tc>
          <w:tcPr>
            <w:tcW w:w="7655" w:type="dxa"/>
            <w:gridSpan w:val="7"/>
            <w:tcBorders>
              <w:bottom w:val="single" w:sz="12" w:space="0" w:color="auto"/>
            </w:tcBorders>
            <w:shd w:val="clear" w:color="auto" w:fill="FBD4B4" w:themeFill="accent6" w:themeFillTint="66"/>
          </w:tcPr>
          <w:p w:rsidR="00F203EC" w:rsidRPr="00EE759E" w:rsidRDefault="00F203EC" w:rsidP="00157239">
            <w:pPr>
              <w:keepLines/>
              <w:jc w:val="both"/>
              <w:rPr>
                <w:sz w:val="22"/>
              </w:rPr>
            </w:pPr>
          </w:p>
        </w:tc>
      </w:tr>
      <w:tr w:rsidR="00F203EC" w:rsidRPr="007E39BF" w:rsidTr="00157239">
        <w:tc>
          <w:tcPr>
            <w:tcW w:w="6487" w:type="dxa"/>
            <w:shd w:val="clear" w:color="auto" w:fill="FFFFFF" w:themeFill="background1"/>
          </w:tcPr>
          <w:p w:rsidR="00F203EC" w:rsidRPr="007E39BF" w:rsidRDefault="00F203EC" w:rsidP="00157239">
            <w:pPr>
              <w:keepLines/>
              <w:rPr>
                <w:sz w:val="22"/>
              </w:rPr>
            </w:pPr>
            <w:r w:rsidRPr="007E39BF">
              <w:rPr>
                <w:sz w:val="22"/>
              </w:rPr>
              <w:t xml:space="preserve">1.3.1. Veicināt atkritumu utilizāciju enerģijas ražošanai </w:t>
            </w:r>
          </w:p>
        </w:tc>
        <w:tc>
          <w:tcPr>
            <w:tcW w:w="1134" w:type="dxa"/>
            <w:shd w:val="clear" w:color="auto" w:fill="FFFFFF" w:themeFill="background1"/>
          </w:tcPr>
          <w:p w:rsidR="00F203EC" w:rsidRPr="007E39BF" w:rsidRDefault="00F203EC" w:rsidP="00157239">
            <w:pPr>
              <w:keepLines/>
              <w:jc w:val="both"/>
              <w:rPr>
                <w:sz w:val="22"/>
              </w:rPr>
            </w:pPr>
            <w:r w:rsidRPr="007E39BF">
              <w:rPr>
                <w:sz w:val="22"/>
              </w:rPr>
              <w:t>2014.-2020.</w:t>
            </w:r>
          </w:p>
        </w:tc>
        <w:tc>
          <w:tcPr>
            <w:tcW w:w="1418" w:type="dxa"/>
            <w:shd w:val="clear" w:color="auto" w:fill="FFFFFF" w:themeFill="background1"/>
          </w:tcPr>
          <w:p w:rsidR="00F203EC" w:rsidRPr="007E39BF" w:rsidRDefault="00F203EC" w:rsidP="00157239">
            <w:pPr>
              <w:keepLines/>
              <w:jc w:val="both"/>
              <w:rPr>
                <w:sz w:val="22"/>
              </w:rPr>
            </w:pPr>
            <w:r w:rsidRPr="007E39BF">
              <w:rPr>
                <w:sz w:val="22"/>
              </w:rPr>
              <w:t>EM, VARAM</w:t>
            </w:r>
          </w:p>
        </w:tc>
        <w:tc>
          <w:tcPr>
            <w:tcW w:w="2268" w:type="dxa"/>
            <w:gridSpan w:val="3"/>
            <w:shd w:val="clear" w:color="auto" w:fill="FFFFFF" w:themeFill="background1"/>
          </w:tcPr>
          <w:p w:rsidR="00F203EC" w:rsidRPr="007E39BF" w:rsidRDefault="00F203EC" w:rsidP="00157239">
            <w:pPr>
              <w:keepLines/>
              <w:jc w:val="both"/>
              <w:rPr>
                <w:sz w:val="22"/>
              </w:rPr>
            </w:pPr>
            <w:r w:rsidRPr="007E39BF">
              <w:rPr>
                <w:sz w:val="22"/>
              </w:rPr>
              <w:t xml:space="preserve">FM, TM, ZM </w:t>
            </w:r>
          </w:p>
        </w:tc>
        <w:tc>
          <w:tcPr>
            <w:tcW w:w="2835" w:type="dxa"/>
            <w:gridSpan w:val="2"/>
            <w:shd w:val="clear" w:color="auto" w:fill="FFFFFF" w:themeFill="background1"/>
          </w:tcPr>
          <w:p w:rsidR="00F203EC" w:rsidRPr="007E39BF" w:rsidRDefault="00F203EC" w:rsidP="00157239">
            <w:pPr>
              <w:keepLines/>
              <w:jc w:val="both"/>
              <w:rPr>
                <w:sz w:val="22"/>
              </w:rPr>
            </w:pPr>
            <w:r w:rsidRPr="007E39BF">
              <w:rPr>
                <w:sz w:val="22"/>
              </w:rPr>
              <w:t>Valsts pamatbudžets</w:t>
            </w:r>
          </w:p>
        </w:tc>
      </w:tr>
      <w:tr w:rsidR="00F203EC" w:rsidRPr="00626F61" w:rsidTr="00157239">
        <w:tc>
          <w:tcPr>
            <w:tcW w:w="6487" w:type="dxa"/>
            <w:shd w:val="clear" w:color="auto" w:fill="D9D9D9"/>
          </w:tcPr>
          <w:p w:rsidR="00F203EC" w:rsidRPr="00A2326B" w:rsidRDefault="00F203EC" w:rsidP="00157239">
            <w:pPr>
              <w:keepLines/>
              <w:spacing w:before="120" w:after="120"/>
              <w:rPr>
                <w:b/>
                <w:bCs/>
                <w:sz w:val="24"/>
                <w:szCs w:val="24"/>
              </w:rPr>
            </w:pPr>
            <w:r w:rsidRPr="00A2326B">
              <w:rPr>
                <w:b/>
                <w:bCs/>
                <w:sz w:val="24"/>
                <w:szCs w:val="24"/>
              </w:rPr>
              <w:t>Rīcības virziens mērķa sasniegšanai</w:t>
            </w:r>
            <w:r w:rsidRPr="00A2326B">
              <w:rPr>
                <w:sz w:val="24"/>
                <w:szCs w:val="24"/>
              </w:rPr>
              <w:t> </w:t>
            </w:r>
          </w:p>
        </w:tc>
        <w:tc>
          <w:tcPr>
            <w:tcW w:w="7655" w:type="dxa"/>
            <w:gridSpan w:val="7"/>
            <w:shd w:val="clear" w:color="auto" w:fill="D9D9D9"/>
          </w:tcPr>
          <w:p w:rsidR="00F203EC" w:rsidRPr="00A2326B" w:rsidRDefault="00F203EC" w:rsidP="00157239">
            <w:pPr>
              <w:keepLines/>
              <w:spacing w:before="120" w:after="120"/>
              <w:jc w:val="both"/>
              <w:rPr>
                <w:b/>
                <w:i/>
                <w:sz w:val="24"/>
                <w:szCs w:val="24"/>
              </w:rPr>
            </w:pPr>
            <w:r w:rsidRPr="00A2326B">
              <w:rPr>
                <w:b/>
                <w:i/>
                <w:sz w:val="24"/>
                <w:szCs w:val="24"/>
              </w:rPr>
              <w:t>2. Efektīva enerģijas tirgus izveid</w:t>
            </w:r>
            <w:r>
              <w:rPr>
                <w:b/>
                <w:i/>
                <w:sz w:val="24"/>
                <w:szCs w:val="24"/>
              </w:rPr>
              <w:t xml:space="preserve">e </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FBD4B4" w:themeFill="accent6" w:themeFillTint="66"/>
          </w:tcPr>
          <w:p w:rsidR="00F203EC" w:rsidRPr="00A80B20" w:rsidRDefault="00F203EC" w:rsidP="00157239">
            <w:pPr>
              <w:keepLines/>
              <w:rPr>
                <w:sz w:val="22"/>
              </w:rPr>
            </w:pPr>
            <w:r>
              <w:rPr>
                <w:sz w:val="22"/>
              </w:rPr>
              <w:t xml:space="preserve">2.1. Aktīva līdzdalība ES tīkla kodeksu izstrādē ES enerģijas tirgus pilnveidošanai </w:t>
            </w:r>
          </w:p>
        </w:tc>
        <w:tc>
          <w:tcPr>
            <w:tcW w:w="1134" w:type="dxa"/>
            <w:tcBorders>
              <w:bottom w:val="single" w:sz="4" w:space="0" w:color="auto"/>
            </w:tcBorders>
            <w:shd w:val="clear" w:color="auto" w:fill="FBD4B4" w:themeFill="accent6" w:themeFillTint="66"/>
          </w:tcPr>
          <w:p w:rsidR="00F203EC" w:rsidRPr="00593664" w:rsidRDefault="00F203EC" w:rsidP="00157239">
            <w:pPr>
              <w:keepLines/>
              <w:rPr>
                <w:i/>
                <w:sz w:val="22"/>
              </w:rPr>
            </w:pPr>
          </w:p>
        </w:tc>
        <w:tc>
          <w:tcPr>
            <w:tcW w:w="1418" w:type="dxa"/>
            <w:tcBorders>
              <w:bottom w:val="single" w:sz="4" w:space="0" w:color="auto"/>
            </w:tcBorders>
            <w:shd w:val="clear" w:color="auto" w:fill="FBD4B4" w:themeFill="accent6" w:themeFillTint="66"/>
          </w:tcPr>
          <w:p w:rsidR="00F203EC" w:rsidRDefault="00F203EC" w:rsidP="00157239">
            <w:pPr>
              <w:keepLines/>
              <w:rPr>
                <w:i/>
                <w:sz w:val="22"/>
              </w:rPr>
            </w:pPr>
          </w:p>
        </w:tc>
        <w:tc>
          <w:tcPr>
            <w:tcW w:w="2268" w:type="dxa"/>
            <w:gridSpan w:val="3"/>
            <w:tcBorders>
              <w:bottom w:val="single" w:sz="4" w:space="0" w:color="auto"/>
            </w:tcBorders>
            <w:shd w:val="clear" w:color="auto" w:fill="FBD4B4" w:themeFill="accent6" w:themeFillTint="66"/>
          </w:tcPr>
          <w:p w:rsidR="00F203EC" w:rsidRDefault="00F203EC" w:rsidP="00157239">
            <w:pPr>
              <w:keepLines/>
              <w:rPr>
                <w:i/>
                <w:sz w:val="22"/>
              </w:rPr>
            </w:pPr>
          </w:p>
        </w:tc>
        <w:tc>
          <w:tcPr>
            <w:tcW w:w="2835" w:type="dxa"/>
            <w:gridSpan w:val="2"/>
            <w:tcBorders>
              <w:bottom w:val="single" w:sz="4" w:space="0" w:color="auto"/>
            </w:tcBorders>
            <w:shd w:val="clear" w:color="auto" w:fill="FBD4B4" w:themeFill="accent6" w:themeFillTint="66"/>
          </w:tcPr>
          <w:p w:rsidR="00F203EC" w:rsidRDefault="00F203EC" w:rsidP="00157239">
            <w:pPr>
              <w:keepLines/>
              <w:rPr>
                <w:i/>
                <w:sz w:val="22"/>
              </w:rPr>
            </w:pP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F203EC" w:rsidRDefault="00F203EC" w:rsidP="00157239">
            <w:pPr>
              <w:keepLines/>
              <w:rPr>
                <w:sz w:val="22"/>
              </w:rPr>
            </w:pPr>
            <w:r>
              <w:rPr>
                <w:sz w:val="22"/>
              </w:rPr>
              <w:t xml:space="preserve">2.1.1. ES tīkla kodeksu izstrādē un ieviešana ES elektroenerģijas tirgus pilnveidošanai </w:t>
            </w:r>
          </w:p>
        </w:tc>
        <w:tc>
          <w:tcPr>
            <w:tcW w:w="1134" w:type="dxa"/>
            <w:shd w:val="clear" w:color="auto" w:fill="FFFFFF" w:themeFill="background1"/>
          </w:tcPr>
          <w:p w:rsidR="00F203EC" w:rsidRPr="00593664" w:rsidRDefault="00F203EC" w:rsidP="00157239">
            <w:pPr>
              <w:keepLines/>
              <w:rPr>
                <w:i/>
                <w:sz w:val="22"/>
              </w:rPr>
            </w:pPr>
            <w:r>
              <w:rPr>
                <w:i/>
                <w:sz w:val="22"/>
              </w:rPr>
              <w:t>2014.-2020.</w:t>
            </w:r>
          </w:p>
        </w:tc>
        <w:tc>
          <w:tcPr>
            <w:tcW w:w="1418" w:type="dxa"/>
            <w:shd w:val="clear" w:color="auto" w:fill="FFFFFF" w:themeFill="background1"/>
          </w:tcPr>
          <w:p w:rsidR="00F203EC" w:rsidRDefault="00F203EC" w:rsidP="00157239">
            <w:pPr>
              <w:keepLines/>
              <w:rPr>
                <w:i/>
                <w:sz w:val="22"/>
              </w:rPr>
            </w:pPr>
            <w:r>
              <w:rPr>
                <w:i/>
                <w:sz w:val="22"/>
              </w:rPr>
              <w:t xml:space="preserve">EM </w:t>
            </w:r>
          </w:p>
        </w:tc>
        <w:tc>
          <w:tcPr>
            <w:tcW w:w="2268" w:type="dxa"/>
            <w:gridSpan w:val="3"/>
            <w:shd w:val="clear" w:color="auto" w:fill="FFFFFF" w:themeFill="background1"/>
          </w:tcPr>
          <w:p w:rsidR="00F203EC" w:rsidRDefault="00F203EC" w:rsidP="00157239">
            <w:pPr>
              <w:keepLines/>
              <w:rPr>
                <w:i/>
                <w:sz w:val="22"/>
              </w:rPr>
            </w:pPr>
            <w:r>
              <w:rPr>
                <w:i/>
                <w:sz w:val="22"/>
              </w:rPr>
              <w:t>SPRK, pārvades sistēmas operators (AS „AST”)</w:t>
            </w:r>
          </w:p>
        </w:tc>
        <w:tc>
          <w:tcPr>
            <w:tcW w:w="2835" w:type="dxa"/>
            <w:gridSpan w:val="2"/>
            <w:shd w:val="clear" w:color="auto" w:fill="FFFFFF" w:themeFill="background1"/>
          </w:tcPr>
          <w:p w:rsidR="00F203EC" w:rsidRDefault="00F203EC" w:rsidP="00157239">
            <w:pPr>
              <w:keepLines/>
              <w:rPr>
                <w:i/>
                <w:sz w:val="22"/>
              </w:rPr>
            </w:pPr>
            <w:r>
              <w:rPr>
                <w:i/>
                <w:sz w:val="22"/>
              </w:rPr>
              <w:t xml:space="preserve">Valsts pamatbudžets, uzņēmumu līdzekļi </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F203EC" w:rsidRDefault="00F203EC" w:rsidP="00157239">
            <w:pPr>
              <w:keepLines/>
              <w:rPr>
                <w:sz w:val="22"/>
              </w:rPr>
            </w:pPr>
            <w:r>
              <w:rPr>
                <w:sz w:val="22"/>
              </w:rPr>
              <w:t>2.1.2.  ES tīkla kodeksu izstrādē un ieviešana ES dabasgāzes tirgus pilnveidošanai</w:t>
            </w:r>
            <w:r>
              <w:rPr>
                <w:rStyle w:val="FootnoteReference"/>
              </w:rPr>
              <w:footnoteReference w:id="25"/>
            </w:r>
            <w:r>
              <w:rPr>
                <w:sz w:val="22"/>
              </w:rPr>
              <w:t xml:space="preserve"> </w:t>
            </w:r>
          </w:p>
        </w:tc>
        <w:tc>
          <w:tcPr>
            <w:tcW w:w="1134" w:type="dxa"/>
            <w:shd w:val="clear" w:color="auto" w:fill="FFFFFF" w:themeFill="background1"/>
          </w:tcPr>
          <w:p w:rsidR="00F203EC" w:rsidRPr="00593664" w:rsidRDefault="00F203EC" w:rsidP="00157239">
            <w:pPr>
              <w:keepLines/>
              <w:rPr>
                <w:i/>
                <w:sz w:val="22"/>
              </w:rPr>
            </w:pPr>
            <w:r>
              <w:rPr>
                <w:i/>
                <w:sz w:val="22"/>
              </w:rPr>
              <w:t>2014.-2020.</w:t>
            </w:r>
          </w:p>
        </w:tc>
        <w:tc>
          <w:tcPr>
            <w:tcW w:w="1418" w:type="dxa"/>
            <w:shd w:val="clear" w:color="auto" w:fill="FFFFFF" w:themeFill="background1"/>
          </w:tcPr>
          <w:p w:rsidR="00F203EC" w:rsidRDefault="00F203EC" w:rsidP="00157239">
            <w:pPr>
              <w:keepLines/>
              <w:rPr>
                <w:i/>
                <w:sz w:val="22"/>
              </w:rPr>
            </w:pPr>
            <w:r>
              <w:rPr>
                <w:i/>
                <w:sz w:val="22"/>
              </w:rPr>
              <w:t>EM</w:t>
            </w:r>
          </w:p>
        </w:tc>
        <w:tc>
          <w:tcPr>
            <w:tcW w:w="2268" w:type="dxa"/>
            <w:gridSpan w:val="3"/>
            <w:shd w:val="clear" w:color="auto" w:fill="FFFFFF" w:themeFill="background1"/>
          </w:tcPr>
          <w:p w:rsidR="00F203EC" w:rsidRDefault="00F203EC" w:rsidP="00157239">
            <w:pPr>
              <w:keepLines/>
              <w:rPr>
                <w:i/>
                <w:sz w:val="22"/>
              </w:rPr>
            </w:pPr>
            <w:r>
              <w:rPr>
                <w:i/>
                <w:sz w:val="22"/>
              </w:rPr>
              <w:t>SPRK, pārvades sistēmas operators (AS „LG”)</w:t>
            </w:r>
          </w:p>
        </w:tc>
        <w:tc>
          <w:tcPr>
            <w:tcW w:w="2835" w:type="dxa"/>
            <w:gridSpan w:val="2"/>
            <w:shd w:val="clear" w:color="auto" w:fill="FFFFFF" w:themeFill="background1"/>
          </w:tcPr>
          <w:p w:rsidR="00F203EC" w:rsidRDefault="00F203EC" w:rsidP="00157239">
            <w:pPr>
              <w:keepLines/>
              <w:rPr>
                <w:i/>
                <w:sz w:val="22"/>
              </w:rPr>
            </w:pPr>
            <w:r>
              <w:rPr>
                <w:i/>
                <w:sz w:val="22"/>
              </w:rPr>
              <w:t xml:space="preserve">Valsts pamatbudžets, uzņēmumu līdzekļi </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F203EC" w:rsidRPr="00A80B20" w:rsidRDefault="00F203EC" w:rsidP="00157239">
            <w:pPr>
              <w:keepLines/>
              <w:rPr>
                <w:sz w:val="22"/>
              </w:rPr>
            </w:pPr>
            <w:r>
              <w:rPr>
                <w:sz w:val="22"/>
              </w:rPr>
              <w:t>2.2</w:t>
            </w:r>
            <w:r w:rsidRPr="00A80B20">
              <w:rPr>
                <w:sz w:val="22"/>
              </w:rPr>
              <w:t xml:space="preserve">. </w:t>
            </w:r>
            <w:r>
              <w:rPr>
                <w:sz w:val="22"/>
              </w:rPr>
              <w:t xml:space="preserve">Samazināt </w:t>
            </w:r>
            <w:r w:rsidRPr="00A80B20">
              <w:rPr>
                <w:sz w:val="22"/>
              </w:rPr>
              <w:t>cenu svārstību risku elektroenerģijas vairumtirdzniecībā</w:t>
            </w:r>
          </w:p>
        </w:tc>
        <w:tc>
          <w:tcPr>
            <w:tcW w:w="1134" w:type="dxa"/>
            <w:shd w:val="clear" w:color="auto" w:fill="FBD4B4" w:themeFill="accent6" w:themeFillTint="66"/>
          </w:tcPr>
          <w:p w:rsidR="00F203EC" w:rsidRPr="00593664" w:rsidRDefault="00F203EC" w:rsidP="00157239">
            <w:pPr>
              <w:keepLines/>
              <w:rPr>
                <w:i/>
                <w:sz w:val="22"/>
              </w:rPr>
            </w:pPr>
          </w:p>
        </w:tc>
        <w:tc>
          <w:tcPr>
            <w:tcW w:w="1418" w:type="dxa"/>
            <w:shd w:val="clear" w:color="auto" w:fill="FBD4B4" w:themeFill="accent6" w:themeFillTint="66"/>
          </w:tcPr>
          <w:p w:rsidR="00F203EC" w:rsidRDefault="00F203EC" w:rsidP="00157239">
            <w:pPr>
              <w:keepLines/>
              <w:rPr>
                <w:i/>
                <w:sz w:val="22"/>
              </w:rPr>
            </w:pPr>
          </w:p>
        </w:tc>
        <w:tc>
          <w:tcPr>
            <w:tcW w:w="2268" w:type="dxa"/>
            <w:gridSpan w:val="3"/>
            <w:shd w:val="clear" w:color="auto" w:fill="FBD4B4" w:themeFill="accent6" w:themeFillTint="66"/>
          </w:tcPr>
          <w:p w:rsidR="00F203EC" w:rsidRDefault="00F203EC" w:rsidP="00157239">
            <w:pPr>
              <w:keepLines/>
              <w:rPr>
                <w:i/>
                <w:sz w:val="22"/>
              </w:rPr>
            </w:pPr>
          </w:p>
        </w:tc>
        <w:tc>
          <w:tcPr>
            <w:tcW w:w="2835" w:type="dxa"/>
            <w:gridSpan w:val="2"/>
            <w:shd w:val="clear" w:color="auto" w:fill="FBD4B4" w:themeFill="accent6" w:themeFillTint="66"/>
          </w:tcPr>
          <w:p w:rsidR="00F203EC" w:rsidRDefault="00F203EC" w:rsidP="00157239">
            <w:pPr>
              <w:keepLines/>
              <w:rPr>
                <w:i/>
                <w:sz w:val="22"/>
              </w:rPr>
            </w:pP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203EC" w:rsidRPr="00A80B20" w:rsidRDefault="00F203EC" w:rsidP="00157239">
            <w:pPr>
              <w:keepLines/>
              <w:rPr>
                <w:sz w:val="22"/>
              </w:rPr>
            </w:pPr>
            <w:r>
              <w:rPr>
                <w:sz w:val="22"/>
              </w:rPr>
              <w:t>2.2.</w:t>
            </w:r>
            <w:r w:rsidRPr="00A80B20">
              <w:rPr>
                <w:sz w:val="22"/>
              </w:rPr>
              <w:t xml:space="preserve">1. Veicināt </w:t>
            </w:r>
            <w:r w:rsidRPr="00A80B20">
              <w:rPr>
                <w:i/>
                <w:sz w:val="22"/>
              </w:rPr>
              <w:t>Nasdaq OMX Commodities</w:t>
            </w:r>
            <w:r w:rsidRPr="00A80B20">
              <w:rPr>
                <w:sz w:val="22"/>
              </w:rPr>
              <w:t xml:space="preserve"> biržas finanšu kontraktu tirgus darbību Latvijas cenu zonā </w:t>
            </w:r>
          </w:p>
        </w:tc>
        <w:tc>
          <w:tcPr>
            <w:tcW w:w="1134" w:type="dxa"/>
          </w:tcPr>
          <w:p w:rsidR="00F203EC" w:rsidRPr="00593664" w:rsidRDefault="00F203EC" w:rsidP="00157239">
            <w:pPr>
              <w:keepLines/>
              <w:rPr>
                <w:i/>
                <w:sz w:val="22"/>
              </w:rPr>
            </w:pPr>
            <w:r>
              <w:rPr>
                <w:i/>
                <w:sz w:val="22"/>
              </w:rPr>
              <w:t>2014.-2020.</w:t>
            </w:r>
          </w:p>
        </w:tc>
        <w:tc>
          <w:tcPr>
            <w:tcW w:w="1418" w:type="dxa"/>
          </w:tcPr>
          <w:p w:rsidR="00F203EC" w:rsidRDefault="00F203EC" w:rsidP="00157239">
            <w:pPr>
              <w:keepLines/>
              <w:rPr>
                <w:i/>
                <w:sz w:val="22"/>
              </w:rPr>
            </w:pPr>
            <w:r>
              <w:rPr>
                <w:i/>
                <w:sz w:val="22"/>
              </w:rPr>
              <w:t xml:space="preserve">EM, </w:t>
            </w:r>
          </w:p>
        </w:tc>
        <w:tc>
          <w:tcPr>
            <w:tcW w:w="2268" w:type="dxa"/>
            <w:gridSpan w:val="3"/>
          </w:tcPr>
          <w:p w:rsidR="00F203EC" w:rsidRDefault="00F203EC" w:rsidP="00157239">
            <w:pPr>
              <w:keepLines/>
              <w:rPr>
                <w:i/>
                <w:sz w:val="22"/>
              </w:rPr>
            </w:pPr>
            <w:r>
              <w:rPr>
                <w:i/>
                <w:sz w:val="22"/>
              </w:rPr>
              <w:t>EM, FM , AS „AST”</w:t>
            </w:r>
          </w:p>
        </w:tc>
        <w:tc>
          <w:tcPr>
            <w:tcW w:w="2835" w:type="dxa"/>
            <w:gridSpan w:val="2"/>
          </w:tcPr>
          <w:p w:rsidR="00F203EC" w:rsidRDefault="00F203EC" w:rsidP="00157239">
            <w:pPr>
              <w:keepLines/>
              <w:rPr>
                <w:i/>
                <w:sz w:val="22"/>
              </w:rPr>
            </w:pPr>
            <w:r>
              <w:rPr>
                <w:i/>
                <w:sz w:val="22"/>
              </w:rPr>
              <w:t xml:space="preserve">Valsts pamatbudžets </w:t>
            </w:r>
          </w:p>
        </w:tc>
      </w:tr>
      <w:tr w:rsidR="00F203EC"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F203EC" w:rsidRPr="00A80B20" w:rsidRDefault="00F203EC" w:rsidP="00157239">
            <w:pPr>
              <w:keepLines/>
              <w:rPr>
                <w:sz w:val="22"/>
              </w:rPr>
            </w:pPr>
            <w:r>
              <w:rPr>
                <w:sz w:val="22"/>
              </w:rPr>
              <w:t>2.3</w:t>
            </w:r>
            <w:r w:rsidRPr="00A80B20">
              <w:rPr>
                <w:sz w:val="22"/>
              </w:rPr>
              <w:t xml:space="preserve">. Liberalizēt elektroenerģijas tirgu mājsaimniecībām </w:t>
            </w:r>
          </w:p>
        </w:tc>
        <w:tc>
          <w:tcPr>
            <w:tcW w:w="1134" w:type="dxa"/>
            <w:shd w:val="clear" w:color="auto" w:fill="FBD4B4" w:themeFill="accent6" w:themeFillTint="66"/>
          </w:tcPr>
          <w:p w:rsidR="00F203EC" w:rsidRPr="00A80B20" w:rsidRDefault="00F203EC" w:rsidP="00157239">
            <w:pPr>
              <w:keepLines/>
              <w:rPr>
                <w:sz w:val="22"/>
              </w:rPr>
            </w:pPr>
          </w:p>
        </w:tc>
        <w:tc>
          <w:tcPr>
            <w:tcW w:w="1418" w:type="dxa"/>
            <w:shd w:val="clear" w:color="auto" w:fill="FBD4B4" w:themeFill="accent6" w:themeFillTint="66"/>
          </w:tcPr>
          <w:p w:rsidR="00F203EC" w:rsidRPr="00A80B20" w:rsidRDefault="00F203EC" w:rsidP="00157239">
            <w:pPr>
              <w:keepLines/>
              <w:rPr>
                <w:sz w:val="22"/>
              </w:rPr>
            </w:pPr>
          </w:p>
        </w:tc>
        <w:tc>
          <w:tcPr>
            <w:tcW w:w="2268" w:type="dxa"/>
            <w:gridSpan w:val="3"/>
            <w:shd w:val="clear" w:color="auto" w:fill="FBD4B4" w:themeFill="accent6" w:themeFillTint="66"/>
          </w:tcPr>
          <w:p w:rsidR="00F203EC" w:rsidRPr="00A80B20" w:rsidRDefault="00F203EC" w:rsidP="00157239">
            <w:pPr>
              <w:keepLines/>
              <w:rPr>
                <w:sz w:val="22"/>
              </w:rPr>
            </w:pPr>
          </w:p>
        </w:tc>
        <w:tc>
          <w:tcPr>
            <w:tcW w:w="2835" w:type="dxa"/>
            <w:gridSpan w:val="2"/>
            <w:shd w:val="clear" w:color="auto" w:fill="FBD4B4" w:themeFill="accent6" w:themeFillTint="66"/>
          </w:tcPr>
          <w:p w:rsidR="00F203EC" w:rsidRPr="00A80B20" w:rsidRDefault="00F203EC" w:rsidP="00157239">
            <w:pPr>
              <w:keepLines/>
              <w:rPr>
                <w:sz w:val="22"/>
              </w:rPr>
            </w:pP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203EC" w:rsidRPr="00C44392" w:rsidRDefault="00F203EC" w:rsidP="00157239">
            <w:pPr>
              <w:keepLines/>
              <w:jc w:val="both"/>
              <w:rPr>
                <w:sz w:val="22"/>
              </w:rPr>
            </w:pPr>
            <w:r>
              <w:rPr>
                <w:sz w:val="22"/>
              </w:rPr>
              <w:t>2.3.1.</w:t>
            </w:r>
            <w:r w:rsidRPr="00A80B20">
              <w:rPr>
                <w:sz w:val="22"/>
              </w:rPr>
              <w:t xml:space="preserve"> Izstrādāt mehānismu elektroenerģijas izmaksu kompensēšanai trūcīgām un mazturīgām p</w:t>
            </w:r>
            <w:r>
              <w:rPr>
                <w:sz w:val="22"/>
              </w:rPr>
              <w:t xml:space="preserve">ersonām </w:t>
            </w:r>
          </w:p>
        </w:tc>
        <w:tc>
          <w:tcPr>
            <w:tcW w:w="1134" w:type="dxa"/>
          </w:tcPr>
          <w:p w:rsidR="00F203EC" w:rsidRPr="00A80B20" w:rsidRDefault="00F203EC" w:rsidP="00157239">
            <w:pPr>
              <w:keepLines/>
              <w:rPr>
                <w:i/>
                <w:sz w:val="22"/>
              </w:rPr>
            </w:pPr>
            <w:r w:rsidRPr="00A80B20">
              <w:rPr>
                <w:i/>
                <w:sz w:val="22"/>
              </w:rPr>
              <w:t xml:space="preserve">2014. </w:t>
            </w:r>
          </w:p>
          <w:p w:rsidR="00F203EC" w:rsidRPr="00A80B20" w:rsidRDefault="00F203EC" w:rsidP="00157239">
            <w:pPr>
              <w:keepLines/>
              <w:rPr>
                <w:i/>
                <w:sz w:val="22"/>
              </w:rPr>
            </w:pPr>
          </w:p>
        </w:tc>
        <w:tc>
          <w:tcPr>
            <w:tcW w:w="1418" w:type="dxa"/>
          </w:tcPr>
          <w:p w:rsidR="00F203EC" w:rsidRPr="00A80B20" w:rsidRDefault="00F203EC" w:rsidP="00157239">
            <w:pPr>
              <w:keepLines/>
              <w:rPr>
                <w:i/>
                <w:sz w:val="22"/>
              </w:rPr>
            </w:pPr>
            <w:r w:rsidRPr="00A80B20">
              <w:rPr>
                <w:i/>
                <w:sz w:val="22"/>
              </w:rPr>
              <w:t>EM, LM</w:t>
            </w:r>
          </w:p>
        </w:tc>
        <w:tc>
          <w:tcPr>
            <w:tcW w:w="2268" w:type="dxa"/>
            <w:gridSpan w:val="3"/>
          </w:tcPr>
          <w:p w:rsidR="00F203EC" w:rsidRPr="00A80B20" w:rsidRDefault="00F203EC" w:rsidP="00157239">
            <w:pPr>
              <w:keepLines/>
              <w:rPr>
                <w:i/>
                <w:sz w:val="22"/>
              </w:rPr>
            </w:pPr>
            <w:r w:rsidRPr="00A80B20">
              <w:rPr>
                <w:i/>
                <w:sz w:val="22"/>
              </w:rPr>
              <w:t>EM, VARAM, LM, SPRK, PTAC, FM</w:t>
            </w:r>
          </w:p>
        </w:tc>
        <w:tc>
          <w:tcPr>
            <w:tcW w:w="2835" w:type="dxa"/>
            <w:gridSpan w:val="2"/>
          </w:tcPr>
          <w:p w:rsidR="00F203EC" w:rsidRDefault="00F203EC" w:rsidP="00157239">
            <w:pPr>
              <w:keepLines/>
              <w:rPr>
                <w:i/>
                <w:sz w:val="22"/>
              </w:rPr>
            </w:pPr>
            <w:r w:rsidRPr="00A80B20">
              <w:rPr>
                <w:i/>
                <w:sz w:val="22"/>
              </w:rPr>
              <w:t>Valsts pamatbudžets</w:t>
            </w:r>
          </w:p>
          <w:p w:rsidR="00F203EC" w:rsidRPr="00A80B20" w:rsidRDefault="00F203EC" w:rsidP="00157239">
            <w:pPr>
              <w:keepLines/>
              <w:rPr>
                <w:i/>
                <w:sz w:val="22"/>
              </w:rPr>
            </w:pP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203EC" w:rsidRPr="00A80B20" w:rsidRDefault="00F203EC" w:rsidP="00194EBC">
            <w:pPr>
              <w:keepLines/>
              <w:jc w:val="both"/>
              <w:rPr>
                <w:sz w:val="22"/>
              </w:rPr>
            </w:pPr>
            <w:r>
              <w:rPr>
                <w:sz w:val="22"/>
              </w:rPr>
              <w:t>2</w:t>
            </w:r>
            <w:r w:rsidRPr="00A80B20">
              <w:rPr>
                <w:sz w:val="22"/>
              </w:rPr>
              <w:t>.</w:t>
            </w:r>
            <w:r>
              <w:rPr>
                <w:sz w:val="22"/>
              </w:rPr>
              <w:t>3</w:t>
            </w:r>
            <w:r w:rsidRPr="00A80B20">
              <w:rPr>
                <w:sz w:val="22"/>
              </w:rPr>
              <w:t>.2. Informēt mājsaimniecības par</w:t>
            </w:r>
            <w:r w:rsidR="00194EBC">
              <w:rPr>
                <w:sz w:val="22"/>
              </w:rPr>
              <w:t xml:space="preserve"> elektroenerģijas </w:t>
            </w:r>
            <w:r w:rsidRPr="00A80B20">
              <w:rPr>
                <w:sz w:val="22"/>
              </w:rPr>
              <w:t xml:space="preserve">tirgus </w:t>
            </w:r>
            <w:r w:rsidR="00194EBC">
              <w:rPr>
                <w:sz w:val="22"/>
              </w:rPr>
              <w:t>darbības principiem un priekšrocībām</w:t>
            </w:r>
          </w:p>
        </w:tc>
        <w:tc>
          <w:tcPr>
            <w:tcW w:w="1134" w:type="dxa"/>
          </w:tcPr>
          <w:p w:rsidR="00F203EC" w:rsidRPr="00A80B20" w:rsidRDefault="00F203EC" w:rsidP="00157239">
            <w:pPr>
              <w:keepLines/>
              <w:rPr>
                <w:i/>
                <w:sz w:val="22"/>
              </w:rPr>
            </w:pPr>
            <w:r>
              <w:rPr>
                <w:i/>
                <w:sz w:val="22"/>
              </w:rPr>
              <w:t>2014.-2020.</w:t>
            </w:r>
          </w:p>
        </w:tc>
        <w:tc>
          <w:tcPr>
            <w:tcW w:w="1418" w:type="dxa"/>
          </w:tcPr>
          <w:p w:rsidR="00F203EC" w:rsidRPr="00A80B20" w:rsidRDefault="00F203EC" w:rsidP="00157239">
            <w:pPr>
              <w:keepLines/>
              <w:rPr>
                <w:i/>
                <w:sz w:val="22"/>
              </w:rPr>
            </w:pPr>
            <w:r>
              <w:rPr>
                <w:i/>
                <w:sz w:val="22"/>
              </w:rPr>
              <w:t>EM, AS „ST”</w:t>
            </w:r>
          </w:p>
        </w:tc>
        <w:tc>
          <w:tcPr>
            <w:tcW w:w="2268" w:type="dxa"/>
            <w:gridSpan w:val="3"/>
          </w:tcPr>
          <w:p w:rsidR="00F203EC" w:rsidRPr="00A80B20" w:rsidRDefault="00F203EC" w:rsidP="00157239">
            <w:pPr>
              <w:keepLines/>
              <w:rPr>
                <w:i/>
                <w:sz w:val="22"/>
              </w:rPr>
            </w:pPr>
            <w:r>
              <w:rPr>
                <w:i/>
                <w:sz w:val="22"/>
              </w:rPr>
              <w:t xml:space="preserve">LM, VARAM, PTAC, SPRK, pašvaldības, mediji </w:t>
            </w:r>
          </w:p>
        </w:tc>
        <w:tc>
          <w:tcPr>
            <w:tcW w:w="2835" w:type="dxa"/>
            <w:gridSpan w:val="2"/>
          </w:tcPr>
          <w:p w:rsidR="00F203EC" w:rsidRPr="00A80B20" w:rsidRDefault="00F203EC" w:rsidP="00157239">
            <w:pPr>
              <w:keepLines/>
              <w:rPr>
                <w:i/>
                <w:sz w:val="22"/>
              </w:rPr>
            </w:pPr>
            <w:r>
              <w:rPr>
                <w:i/>
                <w:sz w:val="22"/>
              </w:rPr>
              <w:t xml:space="preserve">Valsts pamatbudžets, pašvaldību budžets, privātie līdzekļi </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F203EC" w:rsidRPr="00A80B20" w:rsidRDefault="00F203EC" w:rsidP="00157239">
            <w:pPr>
              <w:keepLines/>
              <w:jc w:val="both"/>
              <w:rPr>
                <w:sz w:val="22"/>
              </w:rPr>
            </w:pPr>
            <w:r>
              <w:rPr>
                <w:sz w:val="22"/>
              </w:rPr>
              <w:t xml:space="preserve">2.3.2. Novērst pretrunu normatīvajos aktos  attiecībā uz saistītā lietotāja definīciju  </w:t>
            </w:r>
          </w:p>
        </w:tc>
        <w:tc>
          <w:tcPr>
            <w:tcW w:w="1134" w:type="dxa"/>
            <w:tcBorders>
              <w:bottom w:val="single" w:sz="4" w:space="0" w:color="auto"/>
            </w:tcBorders>
          </w:tcPr>
          <w:p w:rsidR="00F203EC" w:rsidRDefault="00F203EC" w:rsidP="00157239">
            <w:pPr>
              <w:keepLines/>
              <w:rPr>
                <w:i/>
                <w:sz w:val="22"/>
              </w:rPr>
            </w:pPr>
            <w:r>
              <w:rPr>
                <w:i/>
                <w:sz w:val="22"/>
              </w:rPr>
              <w:t>2014.</w:t>
            </w:r>
          </w:p>
        </w:tc>
        <w:tc>
          <w:tcPr>
            <w:tcW w:w="1418" w:type="dxa"/>
            <w:tcBorders>
              <w:bottom w:val="single" w:sz="4" w:space="0" w:color="auto"/>
            </w:tcBorders>
          </w:tcPr>
          <w:p w:rsidR="00F203EC" w:rsidRDefault="00F203EC" w:rsidP="00157239">
            <w:pPr>
              <w:keepLines/>
              <w:rPr>
                <w:i/>
                <w:sz w:val="22"/>
              </w:rPr>
            </w:pPr>
            <w:r>
              <w:rPr>
                <w:i/>
                <w:sz w:val="22"/>
              </w:rPr>
              <w:t>EM</w:t>
            </w:r>
          </w:p>
        </w:tc>
        <w:tc>
          <w:tcPr>
            <w:tcW w:w="2268" w:type="dxa"/>
            <w:gridSpan w:val="3"/>
            <w:tcBorders>
              <w:bottom w:val="single" w:sz="4" w:space="0" w:color="auto"/>
            </w:tcBorders>
          </w:tcPr>
          <w:p w:rsidR="00F203EC" w:rsidRDefault="00F203EC" w:rsidP="00157239">
            <w:pPr>
              <w:keepLines/>
              <w:rPr>
                <w:i/>
                <w:sz w:val="22"/>
              </w:rPr>
            </w:pPr>
            <w:r>
              <w:rPr>
                <w:i/>
                <w:sz w:val="22"/>
              </w:rPr>
              <w:t>SPRK</w:t>
            </w:r>
          </w:p>
        </w:tc>
        <w:tc>
          <w:tcPr>
            <w:tcW w:w="2835" w:type="dxa"/>
            <w:gridSpan w:val="2"/>
            <w:tcBorders>
              <w:bottom w:val="single" w:sz="4" w:space="0" w:color="auto"/>
            </w:tcBorders>
          </w:tcPr>
          <w:p w:rsidR="00F203EC" w:rsidRDefault="00F203EC" w:rsidP="00157239">
            <w:pPr>
              <w:keepLines/>
              <w:rPr>
                <w:i/>
                <w:sz w:val="22"/>
              </w:rPr>
            </w:pPr>
            <w:r>
              <w:rPr>
                <w:i/>
                <w:sz w:val="22"/>
              </w:rPr>
              <w:t>Valsts pamatbudžets</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F203EC" w:rsidRDefault="00F203EC" w:rsidP="00157239">
            <w:pPr>
              <w:keepLines/>
              <w:jc w:val="both"/>
              <w:rPr>
                <w:sz w:val="22"/>
              </w:rPr>
            </w:pPr>
            <w:r>
              <w:rPr>
                <w:sz w:val="22"/>
              </w:rPr>
              <w:t xml:space="preserve">2.4. Nodalīt dabasgāzes sadales, pārvades, uzglabāšanas un </w:t>
            </w:r>
            <w:r>
              <w:rPr>
                <w:sz w:val="22"/>
              </w:rPr>
              <w:lastRenderedPageBreak/>
              <w:t xml:space="preserve">tirdzniecības pakalpojumus </w:t>
            </w:r>
          </w:p>
        </w:tc>
        <w:tc>
          <w:tcPr>
            <w:tcW w:w="1134" w:type="dxa"/>
            <w:shd w:val="clear" w:color="auto" w:fill="FBD4B4" w:themeFill="accent6" w:themeFillTint="66"/>
          </w:tcPr>
          <w:p w:rsidR="00F203EC" w:rsidRDefault="00F203EC" w:rsidP="00157239">
            <w:pPr>
              <w:keepLines/>
              <w:rPr>
                <w:i/>
                <w:sz w:val="22"/>
              </w:rPr>
            </w:pPr>
          </w:p>
        </w:tc>
        <w:tc>
          <w:tcPr>
            <w:tcW w:w="1418" w:type="dxa"/>
            <w:shd w:val="clear" w:color="auto" w:fill="FBD4B4" w:themeFill="accent6" w:themeFillTint="66"/>
          </w:tcPr>
          <w:p w:rsidR="00F203EC" w:rsidRDefault="00F203EC" w:rsidP="00157239">
            <w:pPr>
              <w:keepLines/>
              <w:rPr>
                <w:i/>
                <w:sz w:val="22"/>
              </w:rPr>
            </w:pPr>
          </w:p>
        </w:tc>
        <w:tc>
          <w:tcPr>
            <w:tcW w:w="2268" w:type="dxa"/>
            <w:gridSpan w:val="3"/>
            <w:shd w:val="clear" w:color="auto" w:fill="FBD4B4" w:themeFill="accent6" w:themeFillTint="66"/>
          </w:tcPr>
          <w:p w:rsidR="00F203EC" w:rsidRDefault="00F203EC" w:rsidP="00157239">
            <w:pPr>
              <w:keepLines/>
              <w:rPr>
                <w:i/>
                <w:sz w:val="22"/>
              </w:rPr>
            </w:pPr>
          </w:p>
        </w:tc>
        <w:tc>
          <w:tcPr>
            <w:tcW w:w="2835" w:type="dxa"/>
            <w:gridSpan w:val="2"/>
            <w:shd w:val="clear" w:color="auto" w:fill="FBD4B4" w:themeFill="accent6" w:themeFillTint="66"/>
          </w:tcPr>
          <w:p w:rsidR="00F203EC" w:rsidRDefault="00F203EC" w:rsidP="00157239">
            <w:pPr>
              <w:keepLines/>
              <w:rPr>
                <w:i/>
                <w:sz w:val="22"/>
              </w:rPr>
            </w:pP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203EC" w:rsidRDefault="00F203EC" w:rsidP="00194EBC">
            <w:pPr>
              <w:keepLines/>
              <w:jc w:val="both"/>
              <w:rPr>
                <w:sz w:val="22"/>
              </w:rPr>
            </w:pPr>
            <w:r>
              <w:rPr>
                <w:sz w:val="22"/>
              </w:rPr>
              <w:lastRenderedPageBreak/>
              <w:t xml:space="preserve">2.4.1. Vienoties par </w:t>
            </w:r>
            <w:r w:rsidR="00194EBC">
              <w:rPr>
                <w:sz w:val="22"/>
              </w:rPr>
              <w:t>optimālāko</w:t>
            </w:r>
            <w:r>
              <w:rPr>
                <w:sz w:val="22"/>
              </w:rPr>
              <w:t xml:space="preserve"> pārvades </w:t>
            </w:r>
            <w:r w:rsidR="00BB2F9D">
              <w:rPr>
                <w:sz w:val="22"/>
              </w:rPr>
              <w:t xml:space="preserve">sistēmas </w:t>
            </w:r>
            <w:r>
              <w:rPr>
                <w:sz w:val="22"/>
              </w:rPr>
              <w:t xml:space="preserve">operatora nodalīšanas modeli </w:t>
            </w:r>
            <w:r w:rsidR="00194EBC">
              <w:rPr>
                <w:sz w:val="22"/>
              </w:rPr>
              <w:t>dabasgāzes tirgus liberalizācijas ietvaros</w:t>
            </w:r>
          </w:p>
        </w:tc>
        <w:tc>
          <w:tcPr>
            <w:tcW w:w="1134" w:type="dxa"/>
          </w:tcPr>
          <w:p w:rsidR="00F203EC" w:rsidRDefault="00F203EC" w:rsidP="00157239">
            <w:pPr>
              <w:keepLines/>
              <w:rPr>
                <w:i/>
                <w:sz w:val="22"/>
              </w:rPr>
            </w:pPr>
            <w:r w:rsidRPr="00741400">
              <w:rPr>
                <w:i/>
                <w:sz w:val="22"/>
              </w:rPr>
              <w:t>2014.</w:t>
            </w:r>
            <w:r w:rsidR="00194EBC">
              <w:rPr>
                <w:i/>
                <w:sz w:val="22"/>
              </w:rPr>
              <w:t>-2015.</w:t>
            </w:r>
          </w:p>
        </w:tc>
        <w:tc>
          <w:tcPr>
            <w:tcW w:w="1418" w:type="dxa"/>
          </w:tcPr>
          <w:p w:rsidR="00F203EC" w:rsidRDefault="00F203EC" w:rsidP="00157239">
            <w:pPr>
              <w:keepLines/>
              <w:rPr>
                <w:i/>
                <w:sz w:val="22"/>
              </w:rPr>
            </w:pPr>
            <w:r w:rsidRPr="00741400">
              <w:rPr>
                <w:i/>
                <w:sz w:val="22"/>
              </w:rPr>
              <w:t>EM</w:t>
            </w:r>
          </w:p>
        </w:tc>
        <w:tc>
          <w:tcPr>
            <w:tcW w:w="2268" w:type="dxa"/>
            <w:gridSpan w:val="3"/>
          </w:tcPr>
          <w:p w:rsidR="00F203EC" w:rsidRDefault="00F203EC" w:rsidP="00157239">
            <w:pPr>
              <w:keepLines/>
              <w:rPr>
                <w:i/>
                <w:sz w:val="22"/>
              </w:rPr>
            </w:pPr>
            <w:r w:rsidRPr="00741400">
              <w:rPr>
                <w:i/>
                <w:sz w:val="22"/>
              </w:rPr>
              <w:t>VARAM, SM, LM, FM, TM</w:t>
            </w:r>
          </w:p>
        </w:tc>
        <w:tc>
          <w:tcPr>
            <w:tcW w:w="2835" w:type="dxa"/>
            <w:gridSpan w:val="2"/>
          </w:tcPr>
          <w:p w:rsidR="00F203EC" w:rsidRDefault="00F203EC" w:rsidP="00157239">
            <w:pPr>
              <w:keepLines/>
              <w:rPr>
                <w:i/>
                <w:sz w:val="22"/>
              </w:rPr>
            </w:pPr>
            <w:r w:rsidRPr="00741400">
              <w:rPr>
                <w:i/>
                <w:sz w:val="22"/>
              </w:rPr>
              <w:t>Valsts pamatbudžets</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F203EC" w:rsidRDefault="00F203EC" w:rsidP="00157239">
            <w:pPr>
              <w:keepLines/>
              <w:jc w:val="both"/>
              <w:rPr>
                <w:sz w:val="22"/>
              </w:rPr>
            </w:pPr>
            <w:r>
              <w:rPr>
                <w:color w:val="000000"/>
                <w:sz w:val="22"/>
              </w:rPr>
              <w:t xml:space="preserve">2.4.2. Izstrādāt dabasgāzes tirgus liberalizācijas ceļa karti </w:t>
            </w:r>
          </w:p>
        </w:tc>
        <w:tc>
          <w:tcPr>
            <w:tcW w:w="1134" w:type="dxa"/>
          </w:tcPr>
          <w:p w:rsidR="00F203EC" w:rsidRDefault="00F203EC" w:rsidP="00157239">
            <w:pPr>
              <w:keepLines/>
              <w:rPr>
                <w:i/>
                <w:sz w:val="22"/>
              </w:rPr>
            </w:pPr>
            <w:r w:rsidRPr="00741400">
              <w:rPr>
                <w:i/>
                <w:sz w:val="22"/>
              </w:rPr>
              <w:t>2014.</w:t>
            </w:r>
            <w:r w:rsidR="00194EBC">
              <w:rPr>
                <w:i/>
                <w:sz w:val="22"/>
              </w:rPr>
              <w:t>-2015.</w:t>
            </w:r>
          </w:p>
        </w:tc>
        <w:tc>
          <w:tcPr>
            <w:tcW w:w="1418" w:type="dxa"/>
          </w:tcPr>
          <w:p w:rsidR="00F203EC" w:rsidRDefault="00F203EC" w:rsidP="00157239">
            <w:pPr>
              <w:keepLines/>
              <w:rPr>
                <w:i/>
                <w:sz w:val="22"/>
              </w:rPr>
            </w:pPr>
            <w:r w:rsidRPr="00741400">
              <w:rPr>
                <w:i/>
                <w:sz w:val="22"/>
              </w:rPr>
              <w:t>EM</w:t>
            </w:r>
          </w:p>
        </w:tc>
        <w:tc>
          <w:tcPr>
            <w:tcW w:w="2268" w:type="dxa"/>
            <w:gridSpan w:val="3"/>
          </w:tcPr>
          <w:p w:rsidR="00F203EC" w:rsidRDefault="00F203EC" w:rsidP="00157239">
            <w:pPr>
              <w:keepLines/>
              <w:rPr>
                <w:i/>
                <w:sz w:val="22"/>
              </w:rPr>
            </w:pPr>
            <w:r w:rsidRPr="00741400">
              <w:rPr>
                <w:i/>
                <w:sz w:val="22"/>
              </w:rPr>
              <w:t xml:space="preserve">TM, FM, VARAM, SM, LM, VM </w:t>
            </w:r>
          </w:p>
        </w:tc>
        <w:tc>
          <w:tcPr>
            <w:tcW w:w="2835" w:type="dxa"/>
            <w:gridSpan w:val="2"/>
          </w:tcPr>
          <w:p w:rsidR="00F203EC" w:rsidRDefault="00F203EC" w:rsidP="00157239">
            <w:pPr>
              <w:keepLines/>
              <w:rPr>
                <w:i/>
                <w:sz w:val="22"/>
              </w:rPr>
            </w:pPr>
            <w:r w:rsidRPr="00741400">
              <w:rPr>
                <w:i/>
                <w:sz w:val="22"/>
              </w:rPr>
              <w:t>Valsts pamatbudžets</w:t>
            </w:r>
          </w:p>
        </w:tc>
      </w:tr>
      <w:tr w:rsidR="00F203EC"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F203EC" w:rsidRDefault="00F203EC" w:rsidP="00194EBC">
            <w:pPr>
              <w:keepLines/>
              <w:jc w:val="both"/>
              <w:rPr>
                <w:color w:val="000000"/>
                <w:sz w:val="22"/>
              </w:rPr>
            </w:pPr>
            <w:r>
              <w:rPr>
                <w:color w:val="000000"/>
                <w:sz w:val="22"/>
              </w:rPr>
              <w:t>2.4.3. Izstrādāt grozījumus Enerģētikas likumā</w:t>
            </w:r>
            <w:r w:rsidR="00194EBC">
              <w:rPr>
                <w:sz w:val="22"/>
              </w:rPr>
              <w:t xml:space="preserve"> attiecībā uz dabasgāzes tirgus liberalizācijas pasākumiem</w:t>
            </w:r>
          </w:p>
        </w:tc>
        <w:tc>
          <w:tcPr>
            <w:tcW w:w="1134" w:type="dxa"/>
            <w:tcBorders>
              <w:bottom w:val="single" w:sz="4" w:space="0" w:color="auto"/>
            </w:tcBorders>
          </w:tcPr>
          <w:p w:rsidR="00F203EC" w:rsidRPr="00741400" w:rsidRDefault="00F203EC" w:rsidP="00157239">
            <w:pPr>
              <w:keepLines/>
              <w:rPr>
                <w:i/>
                <w:sz w:val="22"/>
              </w:rPr>
            </w:pPr>
            <w:r>
              <w:rPr>
                <w:i/>
                <w:sz w:val="22"/>
              </w:rPr>
              <w:t>2014.-2015.</w:t>
            </w:r>
          </w:p>
        </w:tc>
        <w:tc>
          <w:tcPr>
            <w:tcW w:w="1418" w:type="dxa"/>
            <w:tcBorders>
              <w:bottom w:val="single" w:sz="4" w:space="0" w:color="auto"/>
            </w:tcBorders>
          </w:tcPr>
          <w:p w:rsidR="00F203EC" w:rsidRPr="00741400" w:rsidRDefault="00F203EC" w:rsidP="00157239">
            <w:pPr>
              <w:keepLines/>
              <w:rPr>
                <w:i/>
                <w:sz w:val="22"/>
              </w:rPr>
            </w:pPr>
            <w:r>
              <w:rPr>
                <w:i/>
                <w:sz w:val="22"/>
              </w:rPr>
              <w:t>EM</w:t>
            </w:r>
          </w:p>
        </w:tc>
        <w:tc>
          <w:tcPr>
            <w:tcW w:w="2268" w:type="dxa"/>
            <w:gridSpan w:val="3"/>
            <w:tcBorders>
              <w:bottom w:val="single" w:sz="4" w:space="0" w:color="auto"/>
            </w:tcBorders>
          </w:tcPr>
          <w:p w:rsidR="00F203EC" w:rsidRPr="00741400" w:rsidRDefault="00F203EC" w:rsidP="00157239">
            <w:pPr>
              <w:keepLines/>
              <w:rPr>
                <w:i/>
                <w:sz w:val="22"/>
              </w:rPr>
            </w:pPr>
            <w:r w:rsidRPr="00A2326B">
              <w:rPr>
                <w:i/>
                <w:sz w:val="22"/>
              </w:rPr>
              <w:t>TM, FM, VARAM, SM, LM, VM</w:t>
            </w:r>
          </w:p>
        </w:tc>
        <w:tc>
          <w:tcPr>
            <w:tcW w:w="2835" w:type="dxa"/>
            <w:gridSpan w:val="2"/>
            <w:tcBorders>
              <w:bottom w:val="single" w:sz="4" w:space="0" w:color="auto"/>
            </w:tcBorders>
          </w:tcPr>
          <w:p w:rsidR="00F203EC" w:rsidRPr="00741400" w:rsidRDefault="00F203EC" w:rsidP="00157239">
            <w:pPr>
              <w:keepLines/>
              <w:rPr>
                <w:i/>
                <w:sz w:val="22"/>
              </w:rPr>
            </w:pPr>
            <w:r>
              <w:rPr>
                <w:i/>
                <w:sz w:val="22"/>
              </w:rPr>
              <w:t>Valats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BB2F9D" w:rsidRDefault="00BB2F9D" w:rsidP="00BB2F9D">
            <w:pPr>
              <w:keepLines/>
              <w:jc w:val="both"/>
              <w:rPr>
                <w:color w:val="000000"/>
                <w:sz w:val="22"/>
              </w:rPr>
            </w:pPr>
            <w:r>
              <w:rPr>
                <w:color w:val="000000"/>
                <w:sz w:val="22"/>
              </w:rPr>
              <w:t>2.4.4. Izstrādāt Dabasgāzes tirgus likumu</w:t>
            </w:r>
          </w:p>
        </w:tc>
        <w:tc>
          <w:tcPr>
            <w:tcW w:w="1134" w:type="dxa"/>
            <w:tcBorders>
              <w:bottom w:val="single" w:sz="4" w:space="0" w:color="auto"/>
            </w:tcBorders>
          </w:tcPr>
          <w:p w:rsidR="00BB2F9D" w:rsidRDefault="00BB2F9D" w:rsidP="00BB2F9D">
            <w:pPr>
              <w:keepLines/>
              <w:rPr>
                <w:i/>
                <w:sz w:val="22"/>
              </w:rPr>
            </w:pPr>
            <w:r>
              <w:rPr>
                <w:i/>
                <w:sz w:val="22"/>
              </w:rPr>
              <w:t>2014.-2015.</w:t>
            </w:r>
          </w:p>
        </w:tc>
        <w:tc>
          <w:tcPr>
            <w:tcW w:w="1418" w:type="dxa"/>
            <w:tcBorders>
              <w:bottom w:val="single" w:sz="4" w:space="0" w:color="auto"/>
            </w:tcBorders>
          </w:tcPr>
          <w:p w:rsidR="00BB2F9D" w:rsidRDefault="00BB2F9D" w:rsidP="00BB2F9D">
            <w:pPr>
              <w:keepLines/>
              <w:rPr>
                <w:i/>
                <w:sz w:val="22"/>
              </w:rPr>
            </w:pPr>
            <w:r>
              <w:rPr>
                <w:i/>
                <w:sz w:val="22"/>
              </w:rPr>
              <w:t>EM</w:t>
            </w:r>
          </w:p>
        </w:tc>
        <w:tc>
          <w:tcPr>
            <w:tcW w:w="2268" w:type="dxa"/>
            <w:gridSpan w:val="3"/>
            <w:tcBorders>
              <w:bottom w:val="single" w:sz="4" w:space="0" w:color="auto"/>
            </w:tcBorders>
          </w:tcPr>
          <w:p w:rsidR="00BB2F9D" w:rsidRPr="00A2326B" w:rsidRDefault="00BB2F9D" w:rsidP="00BB2F9D">
            <w:pPr>
              <w:keepLines/>
              <w:rPr>
                <w:i/>
                <w:sz w:val="22"/>
              </w:rPr>
            </w:pPr>
            <w:r w:rsidRPr="00A2326B">
              <w:rPr>
                <w:i/>
                <w:sz w:val="22"/>
              </w:rPr>
              <w:t>TM, FM, VARAM, SM, LM, VM</w:t>
            </w:r>
          </w:p>
        </w:tc>
        <w:tc>
          <w:tcPr>
            <w:tcW w:w="2835" w:type="dxa"/>
            <w:gridSpan w:val="2"/>
            <w:tcBorders>
              <w:bottom w:val="single" w:sz="4" w:space="0" w:color="auto"/>
            </w:tcBorders>
          </w:tcPr>
          <w:p w:rsidR="00BB2F9D" w:rsidRDefault="00BB2F9D" w:rsidP="00BB2F9D">
            <w:pPr>
              <w:keepLines/>
              <w:rPr>
                <w:i/>
                <w:sz w:val="22"/>
              </w:rPr>
            </w:pPr>
            <w:r>
              <w:rPr>
                <w:i/>
                <w:sz w:val="22"/>
              </w:rPr>
              <w:t>Valats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BB2F9D" w:rsidRDefault="00BB2F9D" w:rsidP="00BB2F9D">
            <w:pPr>
              <w:keepLines/>
              <w:jc w:val="both"/>
              <w:rPr>
                <w:color w:val="000000"/>
                <w:sz w:val="22"/>
              </w:rPr>
            </w:pPr>
            <w:r>
              <w:rPr>
                <w:color w:val="000000"/>
                <w:sz w:val="22"/>
              </w:rPr>
              <w:t xml:space="preserve">2.4.5. Īstenot </w:t>
            </w:r>
            <w:r>
              <w:rPr>
                <w:sz w:val="22"/>
              </w:rPr>
              <w:t xml:space="preserve"> pārvades sistēmas operatora nodalīšanas modeli</w:t>
            </w:r>
          </w:p>
        </w:tc>
        <w:tc>
          <w:tcPr>
            <w:tcW w:w="1134" w:type="dxa"/>
            <w:tcBorders>
              <w:bottom w:val="single" w:sz="4" w:space="0" w:color="auto"/>
            </w:tcBorders>
          </w:tcPr>
          <w:p w:rsidR="00BB2F9D" w:rsidRDefault="00BB2F9D" w:rsidP="00BB2F9D">
            <w:pPr>
              <w:keepLines/>
              <w:rPr>
                <w:i/>
                <w:sz w:val="22"/>
              </w:rPr>
            </w:pPr>
            <w:r>
              <w:rPr>
                <w:i/>
                <w:sz w:val="22"/>
              </w:rPr>
              <w:t>2017.</w:t>
            </w:r>
          </w:p>
        </w:tc>
        <w:tc>
          <w:tcPr>
            <w:tcW w:w="1418" w:type="dxa"/>
            <w:tcBorders>
              <w:bottom w:val="single" w:sz="4" w:space="0" w:color="auto"/>
            </w:tcBorders>
          </w:tcPr>
          <w:p w:rsidR="00BB2F9D" w:rsidRDefault="00BB2F9D" w:rsidP="00BB2F9D">
            <w:pPr>
              <w:keepLines/>
              <w:rPr>
                <w:i/>
                <w:sz w:val="22"/>
              </w:rPr>
            </w:pPr>
            <w:r w:rsidRPr="00741400">
              <w:rPr>
                <w:color w:val="000000" w:themeColor="text1"/>
                <w:sz w:val="22"/>
              </w:rPr>
              <w:t xml:space="preserve">AS „Latvijas gāze” </w:t>
            </w:r>
          </w:p>
        </w:tc>
        <w:tc>
          <w:tcPr>
            <w:tcW w:w="2268" w:type="dxa"/>
            <w:gridSpan w:val="3"/>
            <w:tcBorders>
              <w:bottom w:val="single" w:sz="4" w:space="0" w:color="auto"/>
            </w:tcBorders>
          </w:tcPr>
          <w:p w:rsidR="00BB2F9D" w:rsidRPr="00A2326B" w:rsidRDefault="00BB2F9D" w:rsidP="00BB2F9D">
            <w:pPr>
              <w:keepLines/>
              <w:rPr>
                <w:i/>
                <w:sz w:val="22"/>
              </w:rPr>
            </w:pPr>
            <w:r w:rsidRPr="00741400">
              <w:rPr>
                <w:i/>
                <w:sz w:val="22"/>
              </w:rPr>
              <w:t xml:space="preserve">EM, </w:t>
            </w:r>
            <w:r>
              <w:rPr>
                <w:i/>
                <w:sz w:val="22"/>
              </w:rPr>
              <w:t>TM</w:t>
            </w:r>
          </w:p>
        </w:tc>
        <w:tc>
          <w:tcPr>
            <w:tcW w:w="2835" w:type="dxa"/>
            <w:gridSpan w:val="2"/>
            <w:tcBorders>
              <w:bottom w:val="single" w:sz="4" w:space="0" w:color="auto"/>
            </w:tcBorders>
          </w:tcPr>
          <w:p w:rsidR="00BB2F9D" w:rsidRDefault="00BB2F9D" w:rsidP="00BB2F9D">
            <w:pPr>
              <w:keepLines/>
              <w:rPr>
                <w:i/>
                <w:sz w:val="22"/>
              </w:rPr>
            </w:pPr>
            <w:r w:rsidRPr="00D66D17">
              <w:rPr>
                <w:i/>
                <w:sz w:val="22"/>
              </w:rPr>
              <w:t xml:space="preserve">AS „Latvijas Gāze” </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BB2F9D" w:rsidRPr="00A2326B" w:rsidRDefault="00BB2F9D" w:rsidP="00BB2F9D">
            <w:pPr>
              <w:keepLines/>
              <w:spacing w:before="120" w:after="120"/>
              <w:jc w:val="both"/>
              <w:rPr>
                <w:color w:val="000000"/>
                <w:sz w:val="24"/>
                <w:szCs w:val="24"/>
              </w:rPr>
            </w:pPr>
            <w:r w:rsidRPr="00A2326B">
              <w:rPr>
                <w:b/>
                <w:sz w:val="24"/>
                <w:szCs w:val="24"/>
              </w:rPr>
              <w:t xml:space="preserve">Rīcības virziens mērķa sasniegšanai </w:t>
            </w:r>
          </w:p>
        </w:tc>
        <w:tc>
          <w:tcPr>
            <w:tcW w:w="7655" w:type="dxa"/>
            <w:gridSpan w:val="7"/>
            <w:shd w:val="clear" w:color="auto" w:fill="BFBFBF" w:themeFill="background1" w:themeFillShade="BF"/>
          </w:tcPr>
          <w:p w:rsidR="00BB2F9D" w:rsidRPr="00A2326B" w:rsidRDefault="00BB2F9D" w:rsidP="00BB2F9D">
            <w:pPr>
              <w:keepLines/>
              <w:spacing w:before="120" w:after="120"/>
              <w:rPr>
                <w:i/>
                <w:sz w:val="24"/>
                <w:szCs w:val="24"/>
              </w:rPr>
            </w:pPr>
            <w:r w:rsidRPr="00A2326B">
              <w:rPr>
                <w:b/>
                <w:i/>
                <w:sz w:val="24"/>
                <w:szCs w:val="24"/>
              </w:rPr>
              <w:t xml:space="preserve">3. Efektīva enerģijas infrastruktūra </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FBD4B4" w:themeFill="accent6" w:themeFillTint="66"/>
          </w:tcPr>
          <w:p w:rsidR="00BB2F9D" w:rsidRPr="00A80B20" w:rsidRDefault="00BB2F9D" w:rsidP="00BB2F9D">
            <w:pPr>
              <w:keepLines/>
              <w:jc w:val="both"/>
              <w:rPr>
                <w:sz w:val="22"/>
              </w:rPr>
            </w:pPr>
            <w:r>
              <w:rPr>
                <w:sz w:val="22"/>
              </w:rPr>
              <w:t xml:space="preserve">3.1. Vienkāršot KIP projektu ieviešanas procesu </w:t>
            </w:r>
          </w:p>
        </w:tc>
        <w:tc>
          <w:tcPr>
            <w:tcW w:w="1134" w:type="dxa"/>
            <w:tcBorders>
              <w:bottom w:val="single" w:sz="4" w:space="0" w:color="auto"/>
            </w:tcBorders>
            <w:shd w:val="clear" w:color="auto" w:fill="FBD4B4" w:themeFill="accent6" w:themeFillTint="66"/>
          </w:tcPr>
          <w:p w:rsidR="00BB2F9D" w:rsidRDefault="00BB2F9D" w:rsidP="00BB2F9D">
            <w:pPr>
              <w:keepLines/>
              <w:rPr>
                <w:i/>
                <w:sz w:val="22"/>
              </w:rPr>
            </w:pPr>
          </w:p>
        </w:tc>
        <w:tc>
          <w:tcPr>
            <w:tcW w:w="1418" w:type="dxa"/>
            <w:tcBorders>
              <w:bottom w:val="single" w:sz="4" w:space="0" w:color="auto"/>
            </w:tcBorders>
            <w:shd w:val="clear" w:color="auto" w:fill="FBD4B4" w:themeFill="accent6" w:themeFillTint="66"/>
          </w:tcPr>
          <w:p w:rsidR="00BB2F9D" w:rsidRDefault="00BB2F9D" w:rsidP="00BB2F9D">
            <w:pPr>
              <w:keepLines/>
              <w:rPr>
                <w:i/>
                <w:sz w:val="22"/>
              </w:rPr>
            </w:pPr>
          </w:p>
        </w:tc>
        <w:tc>
          <w:tcPr>
            <w:tcW w:w="2268" w:type="dxa"/>
            <w:gridSpan w:val="3"/>
            <w:tcBorders>
              <w:bottom w:val="single" w:sz="4" w:space="0" w:color="auto"/>
            </w:tcBorders>
            <w:shd w:val="clear" w:color="auto" w:fill="FBD4B4" w:themeFill="accent6" w:themeFillTint="66"/>
          </w:tcPr>
          <w:p w:rsidR="00BB2F9D" w:rsidRDefault="00BB2F9D" w:rsidP="00BB2F9D">
            <w:pPr>
              <w:keepLines/>
              <w:rPr>
                <w:i/>
                <w:sz w:val="22"/>
              </w:rPr>
            </w:pPr>
          </w:p>
        </w:tc>
        <w:tc>
          <w:tcPr>
            <w:tcW w:w="2835" w:type="dxa"/>
            <w:gridSpan w:val="2"/>
            <w:tcBorders>
              <w:bottom w:val="single" w:sz="4" w:space="0" w:color="auto"/>
            </w:tcBorders>
            <w:shd w:val="clear" w:color="auto" w:fill="FBD4B4" w:themeFill="accent6" w:themeFillTint="66"/>
          </w:tcPr>
          <w:p w:rsidR="00BB2F9D"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BB2F9D" w:rsidRDefault="00BB2F9D" w:rsidP="00BB2F9D">
            <w:pPr>
              <w:keepLines/>
              <w:jc w:val="both"/>
              <w:rPr>
                <w:sz w:val="22"/>
              </w:rPr>
            </w:pPr>
            <w:r>
              <w:rPr>
                <w:sz w:val="22"/>
              </w:rPr>
              <w:t xml:space="preserve">3.1.1. Piešķirt īstenojamiem KIP projektiem nacionālās nozīmes projektu statusu </w:t>
            </w:r>
          </w:p>
        </w:tc>
        <w:tc>
          <w:tcPr>
            <w:tcW w:w="1134" w:type="dxa"/>
            <w:shd w:val="clear" w:color="auto" w:fill="FFFFFF" w:themeFill="background1"/>
          </w:tcPr>
          <w:p w:rsidR="00BB2F9D" w:rsidRDefault="00BB2F9D" w:rsidP="00BB2F9D">
            <w:pPr>
              <w:keepLines/>
              <w:rPr>
                <w:i/>
                <w:sz w:val="22"/>
              </w:rPr>
            </w:pPr>
            <w:r>
              <w:rPr>
                <w:i/>
                <w:sz w:val="22"/>
              </w:rPr>
              <w:t xml:space="preserve">2014.-2020. </w:t>
            </w:r>
          </w:p>
        </w:tc>
        <w:tc>
          <w:tcPr>
            <w:tcW w:w="1418" w:type="dxa"/>
            <w:shd w:val="clear" w:color="auto" w:fill="FFFFFF" w:themeFill="background1"/>
          </w:tcPr>
          <w:p w:rsidR="00BB2F9D" w:rsidRDefault="00BB2F9D" w:rsidP="00BB2F9D">
            <w:pPr>
              <w:keepLines/>
              <w:rPr>
                <w:i/>
                <w:sz w:val="22"/>
              </w:rPr>
            </w:pPr>
            <w:r>
              <w:rPr>
                <w:i/>
                <w:sz w:val="22"/>
              </w:rPr>
              <w:t>EM</w:t>
            </w:r>
          </w:p>
        </w:tc>
        <w:tc>
          <w:tcPr>
            <w:tcW w:w="2268" w:type="dxa"/>
            <w:gridSpan w:val="3"/>
            <w:shd w:val="clear" w:color="auto" w:fill="FFFFFF" w:themeFill="background1"/>
          </w:tcPr>
          <w:p w:rsidR="00BB2F9D" w:rsidRDefault="00BB2F9D" w:rsidP="00BB2F9D">
            <w:pPr>
              <w:keepLines/>
              <w:rPr>
                <w:i/>
                <w:sz w:val="22"/>
              </w:rPr>
            </w:pPr>
            <w:r w:rsidRPr="00741400">
              <w:rPr>
                <w:i/>
                <w:sz w:val="22"/>
              </w:rPr>
              <w:t>VARAM, SM, LM, FM, TM</w:t>
            </w:r>
          </w:p>
        </w:tc>
        <w:tc>
          <w:tcPr>
            <w:tcW w:w="2835" w:type="dxa"/>
            <w:gridSpan w:val="2"/>
            <w:shd w:val="clear" w:color="auto" w:fill="FFFFFF" w:themeFill="background1"/>
          </w:tcPr>
          <w:p w:rsidR="00BB2F9D" w:rsidRDefault="00BB2F9D" w:rsidP="00BB2F9D">
            <w:pPr>
              <w:keepLines/>
              <w:rPr>
                <w:i/>
                <w:sz w:val="22"/>
              </w:rPr>
            </w:pPr>
            <w:r>
              <w:rPr>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BB2F9D" w:rsidRDefault="00BB2F9D" w:rsidP="00BB2F9D">
            <w:pPr>
              <w:keepLines/>
              <w:jc w:val="both"/>
              <w:rPr>
                <w:sz w:val="22"/>
              </w:rPr>
            </w:pPr>
            <w:r>
              <w:rPr>
                <w:sz w:val="22"/>
              </w:rPr>
              <w:t xml:space="preserve">3.2. </w:t>
            </w:r>
            <w:r w:rsidRPr="00A80B20">
              <w:rPr>
                <w:sz w:val="22"/>
              </w:rPr>
              <w:t>Uzlabot elektroenerģijas pārvades sistēmas infrastruktūru</w:t>
            </w:r>
          </w:p>
        </w:tc>
        <w:tc>
          <w:tcPr>
            <w:tcW w:w="1134" w:type="dxa"/>
            <w:shd w:val="clear" w:color="auto" w:fill="FBD4B4" w:themeFill="accent6" w:themeFillTint="66"/>
          </w:tcPr>
          <w:p w:rsidR="00BB2F9D" w:rsidRDefault="00BB2F9D" w:rsidP="00BB2F9D">
            <w:pPr>
              <w:keepLines/>
              <w:rPr>
                <w:i/>
                <w:sz w:val="22"/>
              </w:rPr>
            </w:pPr>
          </w:p>
        </w:tc>
        <w:tc>
          <w:tcPr>
            <w:tcW w:w="1418" w:type="dxa"/>
            <w:shd w:val="clear" w:color="auto" w:fill="FBD4B4" w:themeFill="accent6" w:themeFillTint="66"/>
          </w:tcPr>
          <w:p w:rsidR="00BB2F9D" w:rsidRDefault="00BB2F9D" w:rsidP="00BB2F9D">
            <w:pPr>
              <w:keepLines/>
              <w:rPr>
                <w:i/>
                <w:sz w:val="22"/>
              </w:rPr>
            </w:pPr>
          </w:p>
        </w:tc>
        <w:tc>
          <w:tcPr>
            <w:tcW w:w="2268" w:type="dxa"/>
            <w:gridSpan w:val="3"/>
            <w:shd w:val="clear" w:color="auto" w:fill="FBD4B4" w:themeFill="accent6" w:themeFillTint="66"/>
          </w:tcPr>
          <w:p w:rsidR="00BB2F9D" w:rsidRDefault="00BB2F9D" w:rsidP="00BB2F9D">
            <w:pPr>
              <w:keepLines/>
              <w:rPr>
                <w:i/>
                <w:sz w:val="22"/>
              </w:rPr>
            </w:pPr>
          </w:p>
        </w:tc>
        <w:tc>
          <w:tcPr>
            <w:tcW w:w="2835" w:type="dxa"/>
            <w:gridSpan w:val="2"/>
            <w:shd w:val="clear" w:color="auto" w:fill="FBD4B4" w:themeFill="accent6" w:themeFillTint="66"/>
          </w:tcPr>
          <w:p w:rsidR="00BB2F9D"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68187C">
            <w:pPr>
              <w:keepLines/>
              <w:jc w:val="both"/>
              <w:rPr>
                <w:sz w:val="22"/>
              </w:rPr>
            </w:pPr>
            <w:r>
              <w:rPr>
                <w:sz w:val="22"/>
              </w:rPr>
              <w:t xml:space="preserve">3.2.1. </w:t>
            </w:r>
            <w:r w:rsidRPr="00A80B20">
              <w:rPr>
                <w:sz w:val="22"/>
              </w:rPr>
              <w:t>Kurzemes loka 3.posma izbūve</w:t>
            </w:r>
          </w:p>
        </w:tc>
        <w:tc>
          <w:tcPr>
            <w:tcW w:w="1134" w:type="dxa"/>
          </w:tcPr>
          <w:p w:rsidR="00BB2F9D" w:rsidRPr="003F306D" w:rsidRDefault="00BB2F9D" w:rsidP="00BB2F9D">
            <w:pPr>
              <w:rPr>
                <w:i/>
                <w:sz w:val="22"/>
              </w:rPr>
            </w:pPr>
            <w:r w:rsidRPr="003F306D">
              <w:rPr>
                <w:i/>
                <w:sz w:val="22"/>
              </w:rPr>
              <w:t>2014.-20</w:t>
            </w:r>
            <w:r>
              <w:rPr>
                <w:i/>
                <w:sz w:val="22"/>
              </w:rPr>
              <w:t>19</w:t>
            </w:r>
            <w:r w:rsidRPr="003F306D">
              <w:rPr>
                <w:i/>
                <w:sz w:val="22"/>
              </w:rPr>
              <w:t>.</w:t>
            </w:r>
          </w:p>
        </w:tc>
        <w:tc>
          <w:tcPr>
            <w:tcW w:w="1418" w:type="dxa"/>
          </w:tcPr>
          <w:p w:rsidR="00BB2F9D" w:rsidRPr="00D66D17" w:rsidRDefault="00BB2F9D" w:rsidP="00BB2F9D">
            <w:pPr>
              <w:rPr>
                <w:color w:val="000000" w:themeColor="text1"/>
                <w:sz w:val="22"/>
              </w:rPr>
            </w:pPr>
            <w:r>
              <w:rPr>
                <w:color w:val="000000" w:themeColor="text1"/>
                <w:sz w:val="22"/>
              </w:rPr>
              <w:t>AS „AST”, , AS „LET</w:t>
            </w:r>
          </w:p>
        </w:tc>
        <w:tc>
          <w:tcPr>
            <w:tcW w:w="2268" w:type="dxa"/>
            <w:gridSpan w:val="3"/>
          </w:tcPr>
          <w:p w:rsidR="00BB2F9D" w:rsidRPr="00593664" w:rsidRDefault="00BB2F9D" w:rsidP="00BB2F9D">
            <w:pPr>
              <w:rPr>
                <w:i/>
                <w:sz w:val="22"/>
              </w:rPr>
            </w:pPr>
            <w:r w:rsidRPr="00CD5794">
              <w:rPr>
                <w:i/>
                <w:color w:val="000000" w:themeColor="text1"/>
                <w:sz w:val="22"/>
              </w:rPr>
              <w:t>EM,</w:t>
            </w:r>
            <w:r>
              <w:rPr>
                <w:i/>
                <w:sz w:val="22"/>
              </w:rPr>
              <w:t>ĀM, VARAM, SM</w:t>
            </w:r>
          </w:p>
        </w:tc>
        <w:tc>
          <w:tcPr>
            <w:tcW w:w="2835" w:type="dxa"/>
            <w:gridSpan w:val="2"/>
          </w:tcPr>
          <w:p w:rsidR="00BB2F9D" w:rsidRPr="00D66D17" w:rsidRDefault="00BB2F9D" w:rsidP="00BB2F9D">
            <w:pPr>
              <w:rPr>
                <w:i/>
                <w:sz w:val="22"/>
              </w:rPr>
            </w:pPr>
            <w:r w:rsidRPr="00D66D17">
              <w:rPr>
                <w:i/>
                <w:sz w:val="22"/>
              </w:rPr>
              <w:t>133, 69 milj. EUR.</w:t>
            </w:r>
          </w:p>
          <w:p w:rsidR="00BB2F9D" w:rsidRPr="00593664" w:rsidRDefault="00BB2F9D" w:rsidP="00BB2F9D">
            <w:pPr>
              <w:rPr>
                <w:i/>
                <w:sz w:val="22"/>
              </w:rPr>
            </w:pPr>
            <w:r w:rsidRPr="00D66D17">
              <w:rPr>
                <w:i/>
                <w:sz w:val="22"/>
              </w:rPr>
              <w:t>CEF (līdz 50% līdzfinansējums), AS „Augstsprieguma tīkls”  un AS „LET”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68187C">
            <w:pPr>
              <w:keepLines/>
              <w:jc w:val="both"/>
              <w:rPr>
                <w:sz w:val="22"/>
              </w:rPr>
            </w:pPr>
            <w:r>
              <w:rPr>
                <w:sz w:val="22"/>
              </w:rPr>
              <w:t xml:space="preserve">3.2.2. </w:t>
            </w:r>
            <w:r w:rsidRPr="00A80B20">
              <w:rPr>
                <w:sz w:val="22"/>
              </w:rPr>
              <w:t>Trešais Igauni</w:t>
            </w:r>
            <w:r>
              <w:rPr>
                <w:sz w:val="22"/>
              </w:rPr>
              <w:t xml:space="preserve">jas – Latvijas starpsavienojums, </w:t>
            </w:r>
          </w:p>
        </w:tc>
        <w:tc>
          <w:tcPr>
            <w:tcW w:w="1134" w:type="dxa"/>
          </w:tcPr>
          <w:p w:rsidR="00BB2F9D" w:rsidRPr="003F306D" w:rsidRDefault="00BB2F9D" w:rsidP="00BB2F9D">
            <w:pPr>
              <w:rPr>
                <w:i/>
                <w:sz w:val="22"/>
              </w:rPr>
            </w:pPr>
            <w:r>
              <w:rPr>
                <w:i/>
                <w:sz w:val="22"/>
              </w:rPr>
              <w:t>2014.-2020</w:t>
            </w:r>
            <w:r w:rsidRPr="003F306D">
              <w:rPr>
                <w:i/>
                <w:sz w:val="22"/>
              </w:rPr>
              <w:t>.</w:t>
            </w:r>
          </w:p>
        </w:tc>
        <w:tc>
          <w:tcPr>
            <w:tcW w:w="1418" w:type="dxa"/>
          </w:tcPr>
          <w:p w:rsidR="00BB2F9D" w:rsidRPr="00D66D17" w:rsidRDefault="00BB2F9D" w:rsidP="00BB2F9D">
            <w:pPr>
              <w:rPr>
                <w:color w:val="000000" w:themeColor="text1"/>
                <w:sz w:val="22"/>
              </w:rPr>
            </w:pPr>
            <w:r>
              <w:rPr>
                <w:color w:val="000000" w:themeColor="text1"/>
                <w:sz w:val="22"/>
              </w:rPr>
              <w:t>AS „AST”, , AS „LET”</w:t>
            </w:r>
          </w:p>
        </w:tc>
        <w:tc>
          <w:tcPr>
            <w:tcW w:w="2268" w:type="dxa"/>
            <w:gridSpan w:val="3"/>
          </w:tcPr>
          <w:p w:rsidR="00BB2F9D" w:rsidRPr="00593664" w:rsidRDefault="00BB2F9D" w:rsidP="00BB2F9D">
            <w:pPr>
              <w:rPr>
                <w:i/>
                <w:sz w:val="22"/>
              </w:rPr>
            </w:pPr>
            <w:r w:rsidRPr="00CD5794">
              <w:rPr>
                <w:i/>
                <w:color w:val="000000" w:themeColor="text1"/>
                <w:sz w:val="22"/>
              </w:rPr>
              <w:t>EM,</w:t>
            </w:r>
            <w:r>
              <w:rPr>
                <w:i/>
                <w:sz w:val="22"/>
              </w:rPr>
              <w:t>ĀM, VARAM, SM</w:t>
            </w:r>
          </w:p>
        </w:tc>
        <w:tc>
          <w:tcPr>
            <w:tcW w:w="2835" w:type="dxa"/>
            <w:gridSpan w:val="2"/>
          </w:tcPr>
          <w:p w:rsidR="00BB2F9D" w:rsidRPr="00D66D17" w:rsidRDefault="00BB2F9D" w:rsidP="00BB2F9D">
            <w:pPr>
              <w:rPr>
                <w:i/>
                <w:sz w:val="22"/>
              </w:rPr>
            </w:pPr>
            <w:r w:rsidRPr="00D66D17">
              <w:rPr>
                <w:i/>
                <w:sz w:val="22"/>
              </w:rPr>
              <w:t>Latvijai līdz robežai ar Igauniju 102,33 milj.EUR (Kopējās izmaksas -133 milj. EUR.).</w:t>
            </w:r>
          </w:p>
          <w:p w:rsidR="00BB2F9D" w:rsidRPr="00593664" w:rsidRDefault="00BB2F9D" w:rsidP="00BB2F9D">
            <w:pPr>
              <w:rPr>
                <w:i/>
                <w:sz w:val="22"/>
              </w:rPr>
            </w:pPr>
            <w:r w:rsidRPr="00D66D17">
              <w:rPr>
                <w:i/>
                <w:sz w:val="22"/>
              </w:rPr>
              <w:t>CEF (līdz 75% līdzfinansējums), AS „Augstsprieguma tīkls”  un AS „LET”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BB2F9D">
            <w:pPr>
              <w:keepLines/>
              <w:jc w:val="both"/>
              <w:rPr>
                <w:sz w:val="22"/>
              </w:rPr>
            </w:pPr>
            <w:r>
              <w:rPr>
                <w:sz w:val="22"/>
              </w:rPr>
              <w:t>3.2.3. Veicināt integrāciju kontinentālās Eiropas elektroenerģijas tīklā</w:t>
            </w:r>
          </w:p>
        </w:tc>
        <w:tc>
          <w:tcPr>
            <w:tcW w:w="1134" w:type="dxa"/>
          </w:tcPr>
          <w:p w:rsidR="00BB2F9D" w:rsidRDefault="00BB2F9D" w:rsidP="00BB2F9D">
            <w:pPr>
              <w:rPr>
                <w:i/>
                <w:sz w:val="22"/>
              </w:rPr>
            </w:pPr>
            <w:r w:rsidRPr="003F306D">
              <w:rPr>
                <w:i/>
                <w:sz w:val="22"/>
              </w:rPr>
              <w:t>2014.-2020.</w:t>
            </w:r>
          </w:p>
        </w:tc>
        <w:tc>
          <w:tcPr>
            <w:tcW w:w="1418" w:type="dxa"/>
          </w:tcPr>
          <w:p w:rsidR="00BB2F9D" w:rsidRDefault="00BB2F9D" w:rsidP="00BB2F9D">
            <w:pPr>
              <w:rPr>
                <w:color w:val="000000" w:themeColor="text1"/>
                <w:sz w:val="22"/>
              </w:rPr>
            </w:pPr>
            <w:r w:rsidRPr="00CD5794">
              <w:rPr>
                <w:i/>
                <w:color w:val="000000" w:themeColor="text1"/>
                <w:sz w:val="22"/>
              </w:rPr>
              <w:t>EM</w:t>
            </w:r>
            <w:r>
              <w:rPr>
                <w:i/>
                <w:color w:val="000000" w:themeColor="text1"/>
                <w:sz w:val="22"/>
              </w:rPr>
              <w:t xml:space="preserve">, AS „AST” </w:t>
            </w:r>
          </w:p>
        </w:tc>
        <w:tc>
          <w:tcPr>
            <w:tcW w:w="2268" w:type="dxa"/>
            <w:gridSpan w:val="3"/>
          </w:tcPr>
          <w:p w:rsidR="00BB2F9D" w:rsidRPr="00CD5794" w:rsidRDefault="00BB2F9D" w:rsidP="00BB2F9D">
            <w:pPr>
              <w:rPr>
                <w:i/>
                <w:color w:val="000000" w:themeColor="text1"/>
                <w:sz w:val="22"/>
              </w:rPr>
            </w:pPr>
            <w:r>
              <w:rPr>
                <w:i/>
                <w:sz w:val="22"/>
              </w:rPr>
              <w:t xml:space="preserve">ĀM, VARAM, SM, </w:t>
            </w:r>
          </w:p>
        </w:tc>
        <w:tc>
          <w:tcPr>
            <w:tcW w:w="2835" w:type="dxa"/>
            <w:gridSpan w:val="2"/>
          </w:tcPr>
          <w:p w:rsidR="00BB2F9D" w:rsidRPr="00D66D17" w:rsidRDefault="00BB2F9D" w:rsidP="00BB2F9D">
            <w:pPr>
              <w:rPr>
                <w:i/>
                <w:sz w:val="22"/>
              </w:rPr>
            </w:pPr>
            <w:r w:rsidRPr="004A3B49">
              <w:rPr>
                <w:i/>
                <w:sz w:val="22"/>
              </w:rPr>
              <w:t>Valsts pamatbudžets</w:t>
            </w:r>
            <w:r>
              <w:rPr>
                <w:i/>
                <w:sz w:val="22"/>
              </w:rPr>
              <w:t xml:space="preserve">, </w:t>
            </w:r>
            <w:r w:rsidRPr="00D66D17">
              <w:rPr>
                <w:i/>
                <w:sz w:val="22"/>
              </w:rPr>
              <w:t>AS „A</w:t>
            </w:r>
            <w:r>
              <w:rPr>
                <w:i/>
                <w:sz w:val="22"/>
              </w:rPr>
              <w:t>ST”</w:t>
            </w:r>
            <w:r w:rsidRPr="00D66D17">
              <w:rPr>
                <w:i/>
                <w:sz w:val="22"/>
              </w:rPr>
              <w:t xml:space="preserve"> un AS „LET” </w:t>
            </w:r>
            <w:r w:rsidRPr="00D66D17">
              <w:rPr>
                <w:i/>
                <w:sz w:val="22"/>
              </w:rPr>
              <w:lastRenderedPageBreak/>
              <w:t>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A80B20" w:rsidRDefault="00BB2F9D" w:rsidP="00BB2F9D">
            <w:pPr>
              <w:keepLines/>
              <w:jc w:val="both"/>
              <w:rPr>
                <w:sz w:val="22"/>
              </w:rPr>
            </w:pPr>
            <w:r>
              <w:rPr>
                <w:sz w:val="22"/>
              </w:rPr>
              <w:lastRenderedPageBreak/>
              <w:t xml:space="preserve">3.3. </w:t>
            </w:r>
            <w:r w:rsidRPr="00A80B20">
              <w:rPr>
                <w:sz w:val="22"/>
              </w:rPr>
              <w:t xml:space="preserve">Uzlabot elektroenerģijas sadales sistēmas </w:t>
            </w:r>
            <w:r w:rsidR="00D31F3D">
              <w:rPr>
                <w:sz w:val="22"/>
              </w:rPr>
              <w:t xml:space="preserve"> drošumu un veikt elektrotīkla modernizāciju</w:t>
            </w:r>
            <w:r w:rsidR="00D31F3D" w:rsidRPr="00A80B20" w:rsidDel="00D31F3D">
              <w:rPr>
                <w:sz w:val="22"/>
              </w:rPr>
              <w:t xml:space="preserve"> </w:t>
            </w:r>
            <w:r w:rsidRPr="00A80B20">
              <w:rPr>
                <w:sz w:val="22"/>
              </w:rPr>
              <w:t xml:space="preserve"> </w:t>
            </w:r>
          </w:p>
        </w:tc>
        <w:tc>
          <w:tcPr>
            <w:tcW w:w="1134" w:type="dxa"/>
            <w:shd w:val="clear" w:color="auto" w:fill="FABF8F" w:themeFill="accent6" w:themeFillTint="99"/>
          </w:tcPr>
          <w:p w:rsidR="00BB2F9D" w:rsidRDefault="00BB2F9D" w:rsidP="00BB2F9D">
            <w:pPr>
              <w:keepLines/>
              <w:rPr>
                <w:i/>
                <w:sz w:val="22"/>
              </w:rPr>
            </w:pPr>
          </w:p>
        </w:tc>
        <w:tc>
          <w:tcPr>
            <w:tcW w:w="1418" w:type="dxa"/>
            <w:shd w:val="clear" w:color="auto" w:fill="FABF8F" w:themeFill="accent6" w:themeFillTint="99"/>
          </w:tcPr>
          <w:p w:rsidR="00BB2F9D" w:rsidRDefault="00BB2F9D" w:rsidP="00BB2F9D">
            <w:pPr>
              <w:keepLines/>
              <w:rPr>
                <w:i/>
                <w:sz w:val="22"/>
              </w:rPr>
            </w:pPr>
          </w:p>
        </w:tc>
        <w:tc>
          <w:tcPr>
            <w:tcW w:w="2268" w:type="dxa"/>
            <w:gridSpan w:val="3"/>
            <w:shd w:val="clear" w:color="auto" w:fill="FABF8F" w:themeFill="accent6" w:themeFillTint="99"/>
          </w:tcPr>
          <w:p w:rsidR="00BB2F9D" w:rsidRDefault="00BB2F9D" w:rsidP="00BB2F9D">
            <w:pPr>
              <w:keepLines/>
              <w:rPr>
                <w:i/>
                <w:sz w:val="22"/>
              </w:rPr>
            </w:pPr>
          </w:p>
        </w:tc>
        <w:tc>
          <w:tcPr>
            <w:tcW w:w="2835" w:type="dxa"/>
            <w:gridSpan w:val="2"/>
            <w:shd w:val="clear" w:color="auto" w:fill="FABF8F" w:themeFill="accent6" w:themeFillTint="99"/>
          </w:tcPr>
          <w:p w:rsidR="00BB2F9D"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BB2F9D">
            <w:pPr>
              <w:keepLines/>
              <w:jc w:val="both"/>
              <w:rPr>
                <w:sz w:val="22"/>
              </w:rPr>
            </w:pPr>
            <w:r>
              <w:rPr>
                <w:sz w:val="22"/>
              </w:rPr>
              <w:t xml:space="preserve">3.3.1. </w:t>
            </w:r>
            <w:r w:rsidRPr="00A80B20">
              <w:rPr>
                <w:sz w:val="22"/>
              </w:rPr>
              <w:t xml:space="preserve">Pilnveidot sadales sistēmas pakalpojumu tarifu noteikšanu </w:t>
            </w:r>
          </w:p>
        </w:tc>
        <w:tc>
          <w:tcPr>
            <w:tcW w:w="1134" w:type="dxa"/>
          </w:tcPr>
          <w:p w:rsidR="00BB2F9D" w:rsidRDefault="00BB2F9D" w:rsidP="00BB2F9D">
            <w:pPr>
              <w:keepLines/>
              <w:rPr>
                <w:i/>
                <w:sz w:val="22"/>
              </w:rPr>
            </w:pPr>
            <w:r>
              <w:rPr>
                <w:i/>
                <w:sz w:val="22"/>
              </w:rPr>
              <w:t>2014.-2020.</w:t>
            </w:r>
          </w:p>
        </w:tc>
        <w:tc>
          <w:tcPr>
            <w:tcW w:w="1418" w:type="dxa"/>
          </w:tcPr>
          <w:p w:rsidR="00BB2F9D" w:rsidRDefault="00BB2F9D" w:rsidP="00BB2F9D">
            <w:pPr>
              <w:keepLines/>
              <w:rPr>
                <w:i/>
                <w:sz w:val="22"/>
              </w:rPr>
            </w:pPr>
            <w:r>
              <w:rPr>
                <w:i/>
                <w:sz w:val="22"/>
              </w:rPr>
              <w:t xml:space="preserve">EM, AS „Sadales tīkls” </w:t>
            </w:r>
          </w:p>
        </w:tc>
        <w:tc>
          <w:tcPr>
            <w:tcW w:w="2268" w:type="dxa"/>
            <w:gridSpan w:val="3"/>
          </w:tcPr>
          <w:p w:rsidR="00BB2F9D" w:rsidRDefault="00BB2F9D" w:rsidP="00BB2F9D">
            <w:pPr>
              <w:keepLines/>
              <w:rPr>
                <w:i/>
                <w:sz w:val="22"/>
              </w:rPr>
            </w:pPr>
            <w:r>
              <w:rPr>
                <w:i/>
                <w:sz w:val="22"/>
              </w:rPr>
              <w:t>LM, SPRK</w:t>
            </w:r>
          </w:p>
        </w:tc>
        <w:tc>
          <w:tcPr>
            <w:tcW w:w="2835" w:type="dxa"/>
            <w:gridSpan w:val="2"/>
          </w:tcPr>
          <w:p w:rsidR="00BB2F9D" w:rsidRDefault="00BB2F9D" w:rsidP="00BB2F9D">
            <w:pPr>
              <w:keepLines/>
              <w:rPr>
                <w:i/>
                <w:sz w:val="22"/>
              </w:rPr>
            </w:pPr>
            <w:r>
              <w:rPr>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BB2F9D">
            <w:pPr>
              <w:keepLines/>
              <w:jc w:val="both"/>
              <w:rPr>
                <w:sz w:val="22"/>
              </w:rPr>
            </w:pPr>
            <w:r>
              <w:rPr>
                <w:sz w:val="22"/>
              </w:rPr>
              <w:t>3.3.2. A</w:t>
            </w:r>
            <w:r w:rsidRPr="00A80B20">
              <w:rPr>
                <w:sz w:val="22"/>
              </w:rPr>
              <w:t>tjauno</w:t>
            </w:r>
            <w:r>
              <w:rPr>
                <w:sz w:val="22"/>
              </w:rPr>
              <w:t xml:space="preserve">t </w:t>
            </w:r>
            <w:r w:rsidRPr="00A80B20">
              <w:rPr>
                <w:sz w:val="22"/>
              </w:rPr>
              <w:t>elektropārvades līnijas, transformatoru apakšstacijas, jaudas slēdžus, apakšstacijas</w:t>
            </w:r>
            <w:r>
              <w:rPr>
                <w:sz w:val="22"/>
              </w:rPr>
              <w:t>, sadales punktus, dž</w:t>
            </w:r>
            <w:r w:rsidRPr="00A80B20">
              <w:rPr>
                <w:sz w:val="22"/>
              </w:rPr>
              <w:t>ēšspoles un Rīgas pilsētas novecojušo elektrotīklu.</w:t>
            </w:r>
          </w:p>
        </w:tc>
        <w:tc>
          <w:tcPr>
            <w:tcW w:w="1134" w:type="dxa"/>
          </w:tcPr>
          <w:p w:rsidR="00BB2F9D" w:rsidRDefault="00BB2F9D" w:rsidP="00BB2F9D">
            <w:pPr>
              <w:keepLines/>
              <w:rPr>
                <w:i/>
                <w:sz w:val="22"/>
              </w:rPr>
            </w:pPr>
            <w:r>
              <w:rPr>
                <w:i/>
                <w:sz w:val="22"/>
              </w:rPr>
              <w:t>2014.-2020.</w:t>
            </w:r>
          </w:p>
        </w:tc>
        <w:tc>
          <w:tcPr>
            <w:tcW w:w="1418" w:type="dxa"/>
          </w:tcPr>
          <w:p w:rsidR="00BB2F9D" w:rsidRDefault="00BB2F9D" w:rsidP="00BB2F9D">
            <w:pPr>
              <w:keepLines/>
              <w:rPr>
                <w:i/>
                <w:sz w:val="22"/>
              </w:rPr>
            </w:pPr>
            <w:r>
              <w:rPr>
                <w:i/>
                <w:sz w:val="22"/>
              </w:rPr>
              <w:t>AS „Sadales tīkls”</w:t>
            </w:r>
          </w:p>
        </w:tc>
        <w:tc>
          <w:tcPr>
            <w:tcW w:w="2268" w:type="dxa"/>
            <w:gridSpan w:val="3"/>
          </w:tcPr>
          <w:p w:rsidR="00BB2F9D" w:rsidRDefault="00BB2F9D" w:rsidP="00BB2F9D">
            <w:pPr>
              <w:keepLines/>
              <w:rPr>
                <w:i/>
                <w:sz w:val="22"/>
              </w:rPr>
            </w:pPr>
            <w:r>
              <w:rPr>
                <w:i/>
                <w:sz w:val="22"/>
              </w:rPr>
              <w:t>EM, SPRK</w:t>
            </w:r>
          </w:p>
        </w:tc>
        <w:tc>
          <w:tcPr>
            <w:tcW w:w="2835" w:type="dxa"/>
            <w:gridSpan w:val="2"/>
            <w:shd w:val="clear" w:color="auto" w:fill="auto"/>
          </w:tcPr>
          <w:p w:rsidR="00BB2F9D" w:rsidRDefault="00BB2F9D" w:rsidP="00BB2F9D">
            <w:pPr>
              <w:keepLines/>
              <w:rPr>
                <w:i/>
                <w:sz w:val="22"/>
              </w:rPr>
            </w:pPr>
            <w:r>
              <w:rPr>
                <w:i/>
                <w:sz w:val="22"/>
              </w:rPr>
              <w:t>600 milj. EUR. AS „Sadales tīkli”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A80B20" w:rsidRDefault="00BB2F9D" w:rsidP="00BB2F9D">
            <w:pPr>
              <w:keepLines/>
              <w:jc w:val="both"/>
              <w:rPr>
                <w:sz w:val="22"/>
              </w:rPr>
            </w:pPr>
            <w:r>
              <w:rPr>
                <w:sz w:val="22"/>
              </w:rPr>
              <w:t>3.3.3</w:t>
            </w:r>
            <w:r w:rsidRPr="000971E8">
              <w:rPr>
                <w:sz w:val="22"/>
              </w:rPr>
              <w:t xml:space="preserve">. </w:t>
            </w:r>
            <w:r w:rsidR="000971E8" w:rsidRPr="006429E6">
              <w:rPr>
                <w:sz w:val="22"/>
              </w:rPr>
              <w:t xml:space="preserve"> Realizēt sadales elektrotīklu automatizācijas un viedās elektroenerģijas uzskaites ieviešanu</w:t>
            </w:r>
            <w:r w:rsidR="000971E8" w:rsidRPr="000971E8" w:rsidDel="000971E8">
              <w:rPr>
                <w:sz w:val="22"/>
              </w:rPr>
              <w:t xml:space="preserve"> </w:t>
            </w:r>
            <w:r>
              <w:rPr>
                <w:sz w:val="22"/>
              </w:rPr>
              <w:t xml:space="preserve"> </w:t>
            </w:r>
          </w:p>
        </w:tc>
        <w:tc>
          <w:tcPr>
            <w:tcW w:w="1134" w:type="dxa"/>
          </w:tcPr>
          <w:p w:rsidR="00BB2F9D" w:rsidRDefault="00BB2F9D" w:rsidP="00BB2F9D">
            <w:pPr>
              <w:keepLines/>
              <w:rPr>
                <w:i/>
                <w:sz w:val="22"/>
              </w:rPr>
            </w:pPr>
            <w:r>
              <w:rPr>
                <w:i/>
                <w:sz w:val="22"/>
              </w:rPr>
              <w:t>2014.-2023.</w:t>
            </w:r>
          </w:p>
        </w:tc>
        <w:tc>
          <w:tcPr>
            <w:tcW w:w="1418" w:type="dxa"/>
          </w:tcPr>
          <w:p w:rsidR="00BB2F9D" w:rsidRDefault="00BB2F9D" w:rsidP="000971E8">
            <w:pPr>
              <w:keepLines/>
              <w:rPr>
                <w:i/>
                <w:sz w:val="22"/>
              </w:rPr>
            </w:pPr>
            <w:r>
              <w:rPr>
                <w:i/>
                <w:sz w:val="22"/>
              </w:rPr>
              <w:t>AS „Sadales tīkls”</w:t>
            </w:r>
          </w:p>
        </w:tc>
        <w:tc>
          <w:tcPr>
            <w:tcW w:w="2268" w:type="dxa"/>
            <w:gridSpan w:val="3"/>
          </w:tcPr>
          <w:p w:rsidR="00BB2F9D" w:rsidRDefault="00BB2F9D" w:rsidP="00BB2F9D">
            <w:pPr>
              <w:keepLines/>
              <w:rPr>
                <w:i/>
                <w:sz w:val="22"/>
              </w:rPr>
            </w:pPr>
            <w:r>
              <w:rPr>
                <w:i/>
                <w:sz w:val="22"/>
              </w:rPr>
              <w:t>EM, VARAM</w:t>
            </w:r>
          </w:p>
        </w:tc>
        <w:tc>
          <w:tcPr>
            <w:tcW w:w="2835" w:type="dxa"/>
            <w:gridSpan w:val="2"/>
            <w:shd w:val="clear" w:color="auto" w:fill="auto"/>
          </w:tcPr>
          <w:p w:rsidR="00BB2F9D" w:rsidRDefault="00BB2F9D" w:rsidP="00BB2F9D">
            <w:pPr>
              <w:keepLines/>
              <w:rPr>
                <w:i/>
                <w:sz w:val="22"/>
              </w:rPr>
            </w:pPr>
            <w:r>
              <w:rPr>
                <w:i/>
                <w:sz w:val="22"/>
              </w:rPr>
              <w:t>100 milj. EUR. AS „Sadales tīkli”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Default="00BB2F9D" w:rsidP="00BB2F9D">
            <w:pPr>
              <w:keepLines/>
              <w:jc w:val="both"/>
              <w:rPr>
                <w:sz w:val="22"/>
              </w:rPr>
            </w:pPr>
            <w:r>
              <w:rPr>
                <w:sz w:val="22"/>
              </w:rPr>
              <w:t xml:space="preserve">3.3.4. </w:t>
            </w:r>
            <w:r w:rsidR="00D31F3D">
              <w:rPr>
                <w:sz w:val="22"/>
              </w:rPr>
              <w:t xml:space="preserve"> Izbūvēt</w:t>
            </w:r>
            <w:r w:rsidR="00D31F3D" w:rsidRPr="0003115D">
              <w:rPr>
                <w:sz w:val="22"/>
              </w:rPr>
              <w:t xml:space="preserve"> </w:t>
            </w:r>
            <w:r w:rsidR="00D31F3D">
              <w:rPr>
                <w:sz w:val="22"/>
              </w:rPr>
              <w:t>v</w:t>
            </w:r>
            <w:r w:rsidR="00D31F3D" w:rsidRPr="0003115D">
              <w:rPr>
                <w:sz w:val="22"/>
              </w:rPr>
              <w:t xml:space="preserve">idsprieguma kabeļu </w:t>
            </w:r>
            <w:r w:rsidR="00D31F3D">
              <w:rPr>
                <w:sz w:val="22"/>
              </w:rPr>
              <w:t>tīklu atbilstoši AS ‘Sadales tīkls” Attīstības plānam</w:t>
            </w:r>
          </w:p>
        </w:tc>
        <w:tc>
          <w:tcPr>
            <w:tcW w:w="1134" w:type="dxa"/>
          </w:tcPr>
          <w:p w:rsidR="00BB2F9D" w:rsidRDefault="00BB2F9D" w:rsidP="00BB2F9D">
            <w:pPr>
              <w:keepLines/>
              <w:rPr>
                <w:i/>
                <w:sz w:val="22"/>
              </w:rPr>
            </w:pPr>
            <w:r>
              <w:rPr>
                <w:i/>
                <w:sz w:val="22"/>
              </w:rPr>
              <w:t>2014.-2023.</w:t>
            </w:r>
          </w:p>
        </w:tc>
        <w:tc>
          <w:tcPr>
            <w:tcW w:w="1418" w:type="dxa"/>
          </w:tcPr>
          <w:p w:rsidR="00BB2F9D" w:rsidRDefault="00BB2F9D" w:rsidP="00BB2F9D">
            <w:pPr>
              <w:keepLines/>
              <w:rPr>
                <w:i/>
                <w:sz w:val="22"/>
              </w:rPr>
            </w:pPr>
            <w:r>
              <w:rPr>
                <w:i/>
                <w:sz w:val="22"/>
              </w:rPr>
              <w:t xml:space="preserve">AS „Sadales tīkls” </w:t>
            </w:r>
          </w:p>
        </w:tc>
        <w:tc>
          <w:tcPr>
            <w:tcW w:w="2268" w:type="dxa"/>
            <w:gridSpan w:val="3"/>
          </w:tcPr>
          <w:p w:rsidR="00BB2F9D" w:rsidRDefault="00BB2F9D" w:rsidP="00BB2F9D">
            <w:pPr>
              <w:keepLines/>
              <w:rPr>
                <w:i/>
                <w:sz w:val="22"/>
              </w:rPr>
            </w:pPr>
            <w:r>
              <w:rPr>
                <w:i/>
                <w:sz w:val="22"/>
              </w:rPr>
              <w:t>EM, VARAM</w:t>
            </w:r>
          </w:p>
        </w:tc>
        <w:tc>
          <w:tcPr>
            <w:tcW w:w="2835" w:type="dxa"/>
            <w:gridSpan w:val="2"/>
            <w:shd w:val="clear" w:color="auto" w:fill="auto"/>
          </w:tcPr>
          <w:p w:rsidR="00BB2F9D" w:rsidRDefault="00BB2F9D" w:rsidP="00BB2F9D">
            <w:pPr>
              <w:keepLines/>
              <w:rPr>
                <w:i/>
                <w:sz w:val="22"/>
              </w:rPr>
            </w:pPr>
            <w:r>
              <w:rPr>
                <w:i/>
                <w:sz w:val="22"/>
              </w:rPr>
              <w:t>90 milj. EUR. AS „Sadales tīkli”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Default="00BB2F9D" w:rsidP="00BB2F9D">
            <w:pPr>
              <w:keepLines/>
              <w:jc w:val="both"/>
              <w:rPr>
                <w:sz w:val="22"/>
              </w:rPr>
            </w:pPr>
            <w:r>
              <w:rPr>
                <w:sz w:val="22"/>
              </w:rPr>
              <w:t>3.3.5. Izbūvēt jaunas 110 kV apakšstacijas</w:t>
            </w:r>
            <w:r w:rsidR="00D31F3D">
              <w:rPr>
                <w:sz w:val="22"/>
              </w:rPr>
              <w:t>, lai nodrošinātu drošu un kvalitatīvu elektroapgādi</w:t>
            </w:r>
          </w:p>
        </w:tc>
        <w:tc>
          <w:tcPr>
            <w:tcW w:w="1134" w:type="dxa"/>
          </w:tcPr>
          <w:p w:rsidR="00BB2F9D" w:rsidRDefault="00BB2F9D" w:rsidP="00BB2F9D">
            <w:pPr>
              <w:keepLines/>
              <w:rPr>
                <w:i/>
                <w:sz w:val="22"/>
              </w:rPr>
            </w:pPr>
            <w:r>
              <w:rPr>
                <w:i/>
                <w:sz w:val="22"/>
              </w:rPr>
              <w:t>2014.-2023.</w:t>
            </w:r>
          </w:p>
        </w:tc>
        <w:tc>
          <w:tcPr>
            <w:tcW w:w="1418" w:type="dxa"/>
          </w:tcPr>
          <w:p w:rsidR="00BB2F9D" w:rsidRDefault="00BB2F9D" w:rsidP="00BB2F9D">
            <w:pPr>
              <w:keepLines/>
              <w:rPr>
                <w:i/>
                <w:sz w:val="22"/>
              </w:rPr>
            </w:pPr>
            <w:r>
              <w:rPr>
                <w:i/>
                <w:sz w:val="22"/>
              </w:rPr>
              <w:t>AS „Augstsprieguma tīkls”, AS „LET”</w:t>
            </w:r>
          </w:p>
        </w:tc>
        <w:tc>
          <w:tcPr>
            <w:tcW w:w="2268" w:type="dxa"/>
            <w:gridSpan w:val="3"/>
          </w:tcPr>
          <w:p w:rsidR="00BB2F9D" w:rsidRDefault="00BB2F9D" w:rsidP="00BB2F9D">
            <w:pPr>
              <w:keepLines/>
              <w:rPr>
                <w:i/>
                <w:sz w:val="22"/>
              </w:rPr>
            </w:pPr>
            <w:r>
              <w:rPr>
                <w:i/>
                <w:sz w:val="22"/>
              </w:rPr>
              <w:t>EM, VARAM</w:t>
            </w:r>
          </w:p>
        </w:tc>
        <w:tc>
          <w:tcPr>
            <w:tcW w:w="2835" w:type="dxa"/>
            <w:gridSpan w:val="2"/>
          </w:tcPr>
          <w:p w:rsidR="00BB2F9D" w:rsidRDefault="00BB2F9D" w:rsidP="00BB2F9D">
            <w:pPr>
              <w:keepLines/>
              <w:rPr>
                <w:i/>
                <w:sz w:val="22"/>
              </w:rPr>
            </w:pPr>
            <w:r>
              <w:rPr>
                <w:i/>
                <w:sz w:val="22"/>
              </w:rPr>
              <w:t>40 milj. EUR. AS „Sadales tīkli” kapitālieguldījumi</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Default="00BB2F9D" w:rsidP="00BB2F9D">
            <w:pPr>
              <w:keepLines/>
              <w:autoSpaceDE w:val="0"/>
              <w:autoSpaceDN w:val="0"/>
              <w:adjustRightInd w:val="0"/>
              <w:ind w:right="173"/>
              <w:jc w:val="both"/>
              <w:rPr>
                <w:color w:val="000000"/>
                <w:sz w:val="22"/>
              </w:rPr>
            </w:pPr>
            <w:r>
              <w:rPr>
                <w:color w:val="000000"/>
                <w:sz w:val="22"/>
              </w:rPr>
              <w:t>3.4. Uzlabot dabasgāzes sadales,</w:t>
            </w:r>
          </w:p>
          <w:p w:rsidR="00BB2F9D" w:rsidRDefault="00BB2F9D" w:rsidP="00BB2F9D">
            <w:pPr>
              <w:keepLines/>
              <w:autoSpaceDE w:val="0"/>
              <w:autoSpaceDN w:val="0"/>
              <w:adjustRightInd w:val="0"/>
              <w:ind w:right="173"/>
              <w:jc w:val="both"/>
              <w:rPr>
                <w:color w:val="000000"/>
                <w:sz w:val="22"/>
              </w:rPr>
            </w:pPr>
            <w:r>
              <w:rPr>
                <w:color w:val="000000"/>
                <w:sz w:val="22"/>
              </w:rPr>
              <w:t xml:space="preserve">pārvades un uzglabāšanas sistēmas infrastruktūru </w:t>
            </w:r>
          </w:p>
        </w:tc>
        <w:tc>
          <w:tcPr>
            <w:tcW w:w="1134" w:type="dxa"/>
            <w:shd w:val="clear" w:color="auto" w:fill="FABF8F" w:themeFill="accent6" w:themeFillTint="99"/>
          </w:tcPr>
          <w:p w:rsidR="00BB2F9D" w:rsidRPr="00741400" w:rsidRDefault="00BB2F9D" w:rsidP="00BB2F9D">
            <w:pPr>
              <w:keepLines/>
              <w:rPr>
                <w:i/>
                <w:sz w:val="22"/>
              </w:rPr>
            </w:pPr>
          </w:p>
        </w:tc>
        <w:tc>
          <w:tcPr>
            <w:tcW w:w="1418" w:type="dxa"/>
            <w:shd w:val="clear" w:color="auto" w:fill="FABF8F" w:themeFill="accent6" w:themeFillTint="99"/>
          </w:tcPr>
          <w:p w:rsidR="00BB2F9D" w:rsidRPr="00741400" w:rsidRDefault="00BB2F9D" w:rsidP="00BB2F9D">
            <w:pPr>
              <w:keepLines/>
              <w:rPr>
                <w:i/>
                <w:sz w:val="22"/>
              </w:rPr>
            </w:pPr>
          </w:p>
        </w:tc>
        <w:tc>
          <w:tcPr>
            <w:tcW w:w="2268" w:type="dxa"/>
            <w:gridSpan w:val="3"/>
            <w:shd w:val="clear" w:color="auto" w:fill="FABF8F" w:themeFill="accent6" w:themeFillTint="99"/>
          </w:tcPr>
          <w:p w:rsidR="00BB2F9D" w:rsidRPr="00741400" w:rsidRDefault="00BB2F9D" w:rsidP="00BB2F9D">
            <w:pPr>
              <w:keepLines/>
              <w:rPr>
                <w:i/>
                <w:sz w:val="22"/>
              </w:rPr>
            </w:pPr>
          </w:p>
        </w:tc>
        <w:tc>
          <w:tcPr>
            <w:tcW w:w="2835" w:type="dxa"/>
            <w:gridSpan w:val="2"/>
            <w:shd w:val="clear" w:color="auto" w:fill="FABF8F" w:themeFill="accent6" w:themeFillTint="99"/>
          </w:tcPr>
          <w:p w:rsidR="00BB2F9D" w:rsidRPr="00741400"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Default="00BB2F9D" w:rsidP="00BB2F9D">
            <w:pPr>
              <w:keepLines/>
              <w:autoSpaceDE w:val="0"/>
              <w:autoSpaceDN w:val="0"/>
              <w:adjustRightInd w:val="0"/>
              <w:ind w:right="173"/>
              <w:jc w:val="both"/>
              <w:rPr>
                <w:color w:val="000000"/>
                <w:sz w:val="22"/>
              </w:rPr>
            </w:pPr>
            <w:r>
              <w:rPr>
                <w:color w:val="000000"/>
                <w:sz w:val="22"/>
              </w:rPr>
              <w:t>3.4.1. Inčukalna modernizācija</w:t>
            </w:r>
          </w:p>
        </w:tc>
        <w:tc>
          <w:tcPr>
            <w:tcW w:w="1134" w:type="dxa"/>
          </w:tcPr>
          <w:p w:rsidR="00BB2F9D" w:rsidRPr="00741400" w:rsidRDefault="00BB2F9D" w:rsidP="00BB2F9D">
            <w:pPr>
              <w:rPr>
                <w:i/>
                <w:sz w:val="22"/>
              </w:rPr>
            </w:pPr>
            <w:r w:rsidRPr="00741400">
              <w:rPr>
                <w:i/>
                <w:sz w:val="22"/>
              </w:rPr>
              <w:t>2014.-2020.</w:t>
            </w:r>
          </w:p>
        </w:tc>
        <w:tc>
          <w:tcPr>
            <w:tcW w:w="1418" w:type="dxa"/>
          </w:tcPr>
          <w:p w:rsidR="00BB2F9D" w:rsidRPr="00D66D17" w:rsidRDefault="00BB2F9D" w:rsidP="00BB2F9D">
            <w:pPr>
              <w:rPr>
                <w:color w:val="000000" w:themeColor="text1"/>
                <w:sz w:val="22"/>
              </w:rPr>
            </w:pPr>
            <w:r w:rsidRPr="00741400">
              <w:rPr>
                <w:color w:val="000000" w:themeColor="text1"/>
                <w:sz w:val="22"/>
              </w:rPr>
              <w:t xml:space="preserve">AS „Latvijas gāze” </w:t>
            </w:r>
          </w:p>
        </w:tc>
        <w:tc>
          <w:tcPr>
            <w:tcW w:w="2268" w:type="dxa"/>
            <w:gridSpan w:val="3"/>
          </w:tcPr>
          <w:p w:rsidR="00BB2F9D" w:rsidRPr="00741400" w:rsidRDefault="00BB2F9D" w:rsidP="00BB2F9D">
            <w:pPr>
              <w:rPr>
                <w:i/>
                <w:sz w:val="22"/>
              </w:rPr>
            </w:pPr>
            <w:r w:rsidRPr="00741400">
              <w:rPr>
                <w:i/>
                <w:sz w:val="22"/>
              </w:rPr>
              <w:t>EM, VARAM, SM</w:t>
            </w:r>
          </w:p>
        </w:tc>
        <w:tc>
          <w:tcPr>
            <w:tcW w:w="2835" w:type="dxa"/>
            <w:gridSpan w:val="2"/>
          </w:tcPr>
          <w:p w:rsidR="00BB2F9D" w:rsidRPr="00741400" w:rsidRDefault="00BB2F9D" w:rsidP="00BB2F9D">
            <w:pPr>
              <w:rPr>
                <w:i/>
                <w:sz w:val="22"/>
              </w:rPr>
            </w:pPr>
            <w:r w:rsidRPr="00D66D17">
              <w:rPr>
                <w:i/>
                <w:sz w:val="22"/>
              </w:rPr>
              <w:t>AS „Latvijas Gāze” kapitālieguldījumi</w:t>
            </w:r>
            <w:r>
              <w:rPr>
                <w:i/>
                <w:sz w:val="22"/>
              </w:rPr>
              <w:t>, CEF līdzfinansējums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Default="00BB2F9D" w:rsidP="00BB2F9D">
            <w:pPr>
              <w:keepLines/>
              <w:autoSpaceDE w:val="0"/>
              <w:autoSpaceDN w:val="0"/>
              <w:adjustRightInd w:val="0"/>
              <w:ind w:right="173"/>
              <w:jc w:val="both"/>
              <w:rPr>
                <w:color w:val="000000"/>
                <w:sz w:val="22"/>
              </w:rPr>
            </w:pPr>
            <w:r>
              <w:rPr>
                <w:color w:val="000000"/>
                <w:sz w:val="22"/>
              </w:rPr>
              <w:t>3.4.2. Inčukalna paplašināšana</w:t>
            </w:r>
          </w:p>
        </w:tc>
        <w:tc>
          <w:tcPr>
            <w:tcW w:w="1134" w:type="dxa"/>
          </w:tcPr>
          <w:p w:rsidR="00BB2F9D" w:rsidRPr="00741400" w:rsidRDefault="00BB2F9D" w:rsidP="00BB2F9D">
            <w:pPr>
              <w:rPr>
                <w:i/>
                <w:sz w:val="22"/>
              </w:rPr>
            </w:pPr>
            <w:r w:rsidRPr="00741400">
              <w:rPr>
                <w:i/>
                <w:sz w:val="22"/>
              </w:rPr>
              <w:t>2014.-2020.</w:t>
            </w:r>
          </w:p>
        </w:tc>
        <w:tc>
          <w:tcPr>
            <w:tcW w:w="1418" w:type="dxa"/>
          </w:tcPr>
          <w:p w:rsidR="00BB2F9D" w:rsidRPr="00D66D17" w:rsidRDefault="00BB2F9D" w:rsidP="00BB2F9D">
            <w:pPr>
              <w:rPr>
                <w:color w:val="000000" w:themeColor="text1"/>
                <w:sz w:val="22"/>
              </w:rPr>
            </w:pPr>
            <w:r w:rsidRPr="00741400">
              <w:rPr>
                <w:color w:val="000000" w:themeColor="text1"/>
                <w:sz w:val="22"/>
              </w:rPr>
              <w:t xml:space="preserve">AS „Latvijas gāze” </w:t>
            </w:r>
          </w:p>
        </w:tc>
        <w:tc>
          <w:tcPr>
            <w:tcW w:w="2268" w:type="dxa"/>
            <w:gridSpan w:val="3"/>
          </w:tcPr>
          <w:p w:rsidR="00BB2F9D" w:rsidRPr="00741400" w:rsidRDefault="00BB2F9D" w:rsidP="00BB2F9D">
            <w:pPr>
              <w:rPr>
                <w:i/>
                <w:sz w:val="22"/>
              </w:rPr>
            </w:pPr>
            <w:r w:rsidRPr="00741400">
              <w:rPr>
                <w:i/>
                <w:sz w:val="22"/>
              </w:rPr>
              <w:t>EM, VARAM, SM</w:t>
            </w:r>
          </w:p>
        </w:tc>
        <w:tc>
          <w:tcPr>
            <w:tcW w:w="2835" w:type="dxa"/>
            <w:gridSpan w:val="2"/>
          </w:tcPr>
          <w:p w:rsidR="00BB2F9D" w:rsidRPr="00741400" w:rsidRDefault="00BB2F9D" w:rsidP="00BB2F9D">
            <w:pPr>
              <w:rPr>
                <w:i/>
                <w:sz w:val="22"/>
              </w:rPr>
            </w:pPr>
            <w:r w:rsidRPr="00D66D17">
              <w:rPr>
                <w:i/>
                <w:sz w:val="22"/>
              </w:rPr>
              <w:t>AS „Latvijas Gāze” kapitālieguldījumi</w:t>
            </w:r>
            <w:r>
              <w:rPr>
                <w:i/>
                <w:sz w:val="22"/>
              </w:rPr>
              <w:t>, CEF līdzfinansējums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Default="00BB2F9D" w:rsidP="00BB2F9D">
            <w:pPr>
              <w:keepLines/>
              <w:autoSpaceDE w:val="0"/>
              <w:autoSpaceDN w:val="0"/>
              <w:adjustRightInd w:val="0"/>
              <w:ind w:right="173"/>
              <w:jc w:val="both"/>
              <w:rPr>
                <w:color w:val="000000"/>
                <w:sz w:val="22"/>
              </w:rPr>
            </w:pPr>
            <w:r>
              <w:rPr>
                <w:color w:val="000000"/>
                <w:sz w:val="22"/>
              </w:rPr>
              <w:t xml:space="preserve">3.4.3. Dobeles attīstības veicināšana un krātuvju plašāka integrācijas ES dabasgāzes infrastruktūrā </w:t>
            </w:r>
          </w:p>
        </w:tc>
        <w:tc>
          <w:tcPr>
            <w:tcW w:w="1134" w:type="dxa"/>
          </w:tcPr>
          <w:p w:rsidR="00BB2F9D" w:rsidRPr="00741400" w:rsidRDefault="00BB2F9D" w:rsidP="00BB2F9D">
            <w:pPr>
              <w:rPr>
                <w:i/>
                <w:sz w:val="22"/>
              </w:rPr>
            </w:pPr>
            <w:r w:rsidRPr="00741400">
              <w:rPr>
                <w:i/>
                <w:sz w:val="22"/>
              </w:rPr>
              <w:t>2014.-2020.</w:t>
            </w:r>
          </w:p>
        </w:tc>
        <w:tc>
          <w:tcPr>
            <w:tcW w:w="1418" w:type="dxa"/>
          </w:tcPr>
          <w:p w:rsidR="00BB2F9D" w:rsidRPr="00D66D17" w:rsidRDefault="00BB2F9D" w:rsidP="00BB2F9D">
            <w:pPr>
              <w:rPr>
                <w:color w:val="000000" w:themeColor="text1"/>
                <w:sz w:val="22"/>
              </w:rPr>
            </w:pPr>
            <w:r>
              <w:rPr>
                <w:color w:val="000000" w:themeColor="text1"/>
                <w:sz w:val="22"/>
              </w:rPr>
              <w:t>EM, privātie investori</w:t>
            </w:r>
          </w:p>
        </w:tc>
        <w:tc>
          <w:tcPr>
            <w:tcW w:w="2268" w:type="dxa"/>
            <w:gridSpan w:val="3"/>
          </w:tcPr>
          <w:p w:rsidR="00BB2F9D" w:rsidRPr="00741400" w:rsidRDefault="00BB2F9D" w:rsidP="00BB2F9D">
            <w:pPr>
              <w:rPr>
                <w:i/>
                <w:sz w:val="22"/>
              </w:rPr>
            </w:pPr>
            <w:r w:rsidRPr="00741400">
              <w:rPr>
                <w:i/>
                <w:sz w:val="22"/>
              </w:rPr>
              <w:t>VARAM, SM</w:t>
            </w:r>
          </w:p>
        </w:tc>
        <w:tc>
          <w:tcPr>
            <w:tcW w:w="2835" w:type="dxa"/>
            <w:gridSpan w:val="2"/>
          </w:tcPr>
          <w:p w:rsidR="00BB2F9D" w:rsidRPr="00741400" w:rsidRDefault="00BB2F9D" w:rsidP="00BB2F9D">
            <w:pPr>
              <w:rPr>
                <w:i/>
                <w:sz w:val="22"/>
              </w:rPr>
            </w:pPr>
            <w:r w:rsidRPr="00741400">
              <w:rPr>
                <w:i/>
                <w:sz w:val="22"/>
              </w:rPr>
              <w:t>Valsts pamatbudžets</w:t>
            </w:r>
            <w:r>
              <w:rPr>
                <w:i/>
                <w:sz w:val="22"/>
              </w:rPr>
              <w:t xml:space="preserve">, Privātie </w:t>
            </w:r>
            <w:r w:rsidRPr="00D66D17">
              <w:rPr>
                <w:i/>
                <w:sz w:val="22"/>
              </w:rPr>
              <w:t>kapitālieguldījumi</w:t>
            </w:r>
            <w:r>
              <w:rPr>
                <w:i/>
                <w:sz w:val="22"/>
              </w:rPr>
              <w:t>, CEF līdzfinansējums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Default="00BB2F9D" w:rsidP="00BB2F9D">
            <w:pPr>
              <w:keepLines/>
              <w:autoSpaceDE w:val="0"/>
              <w:autoSpaceDN w:val="0"/>
              <w:adjustRightInd w:val="0"/>
              <w:ind w:right="173"/>
              <w:jc w:val="both"/>
              <w:rPr>
                <w:color w:val="000000"/>
                <w:sz w:val="22"/>
              </w:rPr>
            </w:pPr>
            <w:r>
              <w:rPr>
                <w:color w:val="000000"/>
                <w:sz w:val="22"/>
              </w:rPr>
              <w:t xml:space="preserve">3.5. Uzlabot normatīvo regulējumu cita veida infrastruktūrai </w:t>
            </w:r>
          </w:p>
        </w:tc>
        <w:tc>
          <w:tcPr>
            <w:tcW w:w="1134" w:type="dxa"/>
            <w:shd w:val="clear" w:color="auto" w:fill="FABF8F" w:themeFill="accent6" w:themeFillTint="99"/>
          </w:tcPr>
          <w:p w:rsidR="00BB2F9D" w:rsidRPr="00741400" w:rsidRDefault="00BB2F9D" w:rsidP="00BB2F9D">
            <w:pPr>
              <w:keepLines/>
              <w:rPr>
                <w:i/>
                <w:sz w:val="22"/>
              </w:rPr>
            </w:pPr>
          </w:p>
        </w:tc>
        <w:tc>
          <w:tcPr>
            <w:tcW w:w="1418" w:type="dxa"/>
            <w:shd w:val="clear" w:color="auto" w:fill="FABF8F" w:themeFill="accent6" w:themeFillTint="99"/>
          </w:tcPr>
          <w:p w:rsidR="00BB2F9D" w:rsidRPr="00741400" w:rsidRDefault="00BB2F9D" w:rsidP="00BB2F9D">
            <w:pPr>
              <w:keepLines/>
              <w:rPr>
                <w:i/>
                <w:sz w:val="22"/>
              </w:rPr>
            </w:pPr>
          </w:p>
        </w:tc>
        <w:tc>
          <w:tcPr>
            <w:tcW w:w="2268" w:type="dxa"/>
            <w:gridSpan w:val="3"/>
            <w:shd w:val="clear" w:color="auto" w:fill="FABF8F" w:themeFill="accent6" w:themeFillTint="99"/>
          </w:tcPr>
          <w:p w:rsidR="00BB2F9D" w:rsidRDefault="00BB2F9D" w:rsidP="00BB2F9D">
            <w:pPr>
              <w:keepLines/>
              <w:rPr>
                <w:i/>
                <w:sz w:val="22"/>
              </w:rPr>
            </w:pPr>
          </w:p>
        </w:tc>
        <w:tc>
          <w:tcPr>
            <w:tcW w:w="2835" w:type="dxa"/>
            <w:gridSpan w:val="2"/>
            <w:shd w:val="clear" w:color="auto" w:fill="FABF8F" w:themeFill="accent6" w:themeFillTint="99"/>
          </w:tcPr>
          <w:p w:rsidR="00BB2F9D" w:rsidRPr="00741400"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BB2F9D" w:rsidRDefault="00BB2F9D" w:rsidP="00194EBC">
            <w:pPr>
              <w:keepLines/>
              <w:autoSpaceDE w:val="0"/>
              <w:autoSpaceDN w:val="0"/>
              <w:adjustRightInd w:val="0"/>
              <w:ind w:right="173"/>
              <w:jc w:val="both"/>
              <w:rPr>
                <w:color w:val="000000"/>
                <w:sz w:val="22"/>
              </w:rPr>
            </w:pPr>
            <w:r>
              <w:rPr>
                <w:color w:val="000000"/>
                <w:sz w:val="22"/>
              </w:rPr>
              <w:t>3.5.</w:t>
            </w:r>
            <w:r w:rsidR="00194EBC">
              <w:rPr>
                <w:color w:val="000000"/>
                <w:sz w:val="22"/>
              </w:rPr>
              <w:t>1</w:t>
            </w:r>
            <w:r>
              <w:rPr>
                <w:color w:val="000000"/>
                <w:sz w:val="22"/>
              </w:rPr>
              <w:t xml:space="preserve">. </w:t>
            </w:r>
            <w:r w:rsidRPr="00315D3D">
              <w:rPr>
                <w:color w:val="000000"/>
                <w:sz w:val="22"/>
              </w:rPr>
              <w:t>Izstrādāt normatīvo aktu grozījumus, precizējot regulējumu prasībām aizsargjoslās ap automobiļu gāzes uzpildes stacijām</w:t>
            </w:r>
          </w:p>
        </w:tc>
        <w:tc>
          <w:tcPr>
            <w:tcW w:w="1134" w:type="dxa"/>
          </w:tcPr>
          <w:p w:rsidR="00BB2F9D" w:rsidRDefault="00BB2F9D" w:rsidP="00BB2F9D">
            <w:pPr>
              <w:keepLines/>
              <w:rPr>
                <w:i/>
                <w:sz w:val="22"/>
              </w:rPr>
            </w:pPr>
            <w:r>
              <w:rPr>
                <w:i/>
                <w:sz w:val="22"/>
              </w:rPr>
              <w:t>2014.</w:t>
            </w:r>
          </w:p>
        </w:tc>
        <w:tc>
          <w:tcPr>
            <w:tcW w:w="1418" w:type="dxa"/>
          </w:tcPr>
          <w:p w:rsidR="00BB2F9D" w:rsidRDefault="00BB2F9D" w:rsidP="00BB2F9D">
            <w:pPr>
              <w:keepLines/>
              <w:rPr>
                <w:i/>
                <w:sz w:val="22"/>
              </w:rPr>
            </w:pPr>
            <w:r>
              <w:rPr>
                <w:i/>
                <w:sz w:val="22"/>
              </w:rPr>
              <w:t>EM</w:t>
            </w:r>
          </w:p>
        </w:tc>
        <w:tc>
          <w:tcPr>
            <w:tcW w:w="2268" w:type="dxa"/>
            <w:gridSpan w:val="3"/>
          </w:tcPr>
          <w:p w:rsidR="00BB2F9D" w:rsidRDefault="00BB2F9D" w:rsidP="00BB2F9D">
            <w:pPr>
              <w:keepLines/>
              <w:rPr>
                <w:i/>
                <w:sz w:val="22"/>
              </w:rPr>
            </w:pPr>
            <w:r>
              <w:rPr>
                <w:i/>
                <w:sz w:val="22"/>
              </w:rPr>
              <w:t>FM, IeM, SM, TM, VARAM, ZM, pašvaldības</w:t>
            </w:r>
          </w:p>
        </w:tc>
        <w:tc>
          <w:tcPr>
            <w:tcW w:w="2835" w:type="dxa"/>
            <w:gridSpan w:val="2"/>
          </w:tcPr>
          <w:p w:rsidR="00BB2F9D" w:rsidRDefault="00BB2F9D" w:rsidP="00BB2F9D">
            <w:pPr>
              <w:keepLines/>
              <w:rPr>
                <w:i/>
                <w:sz w:val="22"/>
              </w:rPr>
            </w:pPr>
            <w:r w:rsidRPr="00741400">
              <w:rPr>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auto"/>
          </w:tcPr>
          <w:p w:rsidR="00BB2F9D" w:rsidRDefault="00BB2F9D" w:rsidP="00194EBC">
            <w:pPr>
              <w:keepLines/>
              <w:autoSpaceDE w:val="0"/>
              <w:autoSpaceDN w:val="0"/>
              <w:adjustRightInd w:val="0"/>
              <w:ind w:right="173"/>
              <w:jc w:val="both"/>
              <w:rPr>
                <w:color w:val="000000"/>
                <w:sz w:val="22"/>
              </w:rPr>
            </w:pPr>
            <w:r>
              <w:rPr>
                <w:color w:val="000000"/>
                <w:sz w:val="22"/>
              </w:rPr>
              <w:lastRenderedPageBreak/>
              <w:t>3.5.</w:t>
            </w:r>
            <w:r w:rsidR="00194EBC">
              <w:rPr>
                <w:color w:val="000000"/>
                <w:sz w:val="22"/>
              </w:rPr>
              <w:t>2</w:t>
            </w:r>
            <w:r>
              <w:rPr>
                <w:color w:val="000000"/>
                <w:sz w:val="22"/>
              </w:rPr>
              <w:t xml:space="preserve">. </w:t>
            </w:r>
            <w:r w:rsidRPr="00315D3D">
              <w:rPr>
                <w:color w:val="000000"/>
                <w:sz w:val="22"/>
              </w:rPr>
              <w:t>Izstrādāt normatīvo aktu grozījumus, precizējot regulējumu prasībām aizsargjoslās</w:t>
            </w:r>
            <w:r>
              <w:rPr>
                <w:color w:val="000000"/>
                <w:sz w:val="22"/>
              </w:rPr>
              <w:t xml:space="preserve"> </w:t>
            </w:r>
            <w:r w:rsidRPr="00315D3D">
              <w:rPr>
                <w:color w:val="000000"/>
                <w:sz w:val="22"/>
              </w:rPr>
              <w:t>ap naftas un naftas produktu cauruļvadiem</w:t>
            </w:r>
          </w:p>
        </w:tc>
        <w:tc>
          <w:tcPr>
            <w:tcW w:w="1134" w:type="dxa"/>
          </w:tcPr>
          <w:p w:rsidR="00BB2F9D" w:rsidRDefault="00BB2F9D" w:rsidP="00BB2F9D">
            <w:pPr>
              <w:keepLines/>
              <w:rPr>
                <w:i/>
                <w:sz w:val="22"/>
              </w:rPr>
            </w:pPr>
            <w:r>
              <w:rPr>
                <w:i/>
                <w:sz w:val="22"/>
              </w:rPr>
              <w:t>2014.- 2015.</w:t>
            </w:r>
          </w:p>
        </w:tc>
        <w:tc>
          <w:tcPr>
            <w:tcW w:w="1418" w:type="dxa"/>
          </w:tcPr>
          <w:p w:rsidR="00BB2F9D" w:rsidRDefault="00BB2F9D" w:rsidP="00BB2F9D">
            <w:pPr>
              <w:keepLines/>
              <w:rPr>
                <w:i/>
                <w:sz w:val="22"/>
              </w:rPr>
            </w:pPr>
            <w:r>
              <w:rPr>
                <w:i/>
                <w:sz w:val="22"/>
              </w:rPr>
              <w:t>EM</w:t>
            </w:r>
          </w:p>
        </w:tc>
        <w:tc>
          <w:tcPr>
            <w:tcW w:w="2268" w:type="dxa"/>
            <w:gridSpan w:val="3"/>
          </w:tcPr>
          <w:p w:rsidR="00BB2F9D" w:rsidRDefault="00BB2F9D" w:rsidP="00BB2F9D">
            <w:pPr>
              <w:keepLines/>
              <w:rPr>
                <w:i/>
                <w:sz w:val="22"/>
              </w:rPr>
            </w:pPr>
            <w:r>
              <w:rPr>
                <w:i/>
                <w:sz w:val="22"/>
              </w:rPr>
              <w:t>ĀM, FM, IeM, SM, TM, VARAM, ZM, PKC, pašvaldības</w:t>
            </w:r>
          </w:p>
        </w:tc>
        <w:tc>
          <w:tcPr>
            <w:tcW w:w="2835" w:type="dxa"/>
            <w:gridSpan w:val="2"/>
          </w:tcPr>
          <w:p w:rsidR="00BB2F9D" w:rsidRDefault="00BB2F9D" w:rsidP="00BB2F9D">
            <w:pPr>
              <w:keepLines/>
              <w:rPr>
                <w:i/>
                <w:sz w:val="22"/>
              </w:rPr>
            </w:pPr>
            <w:r w:rsidRPr="00741400">
              <w:rPr>
                <w:i/>
                <w:sz w:val="22"/>
              </w:rPr>
              <w:t>Valsts pamatbudžets</w:t>
            </w:r>
          </w:p>
        </w:tc>
      </w:tr>
      <w:tr w:rsidR="00BB2F9D" w:rsidRPr="00626F61" w:rsidTr="00157239">
        <w:tc>
          <w:tcPr>
            <w:tcW w:w="6487" w:type="dxa"/>
            <w:shd w:val="clear" w:color="auto" w:fill="D9D9D9"/>
          </w:tcPr>
          <w:p w:rsidR="00BB2F9D" w:rsidRPr="00A80B20" w:rsidRDefault="00BB2F9D" w:rsidP="00BB2F9D">
            <w:pPr>
              <w:keepLines/>
              <w:spacing w:before="120" w:after="120"/>
              <w:rPr>
                <w:i/>
                <w:sz w:val="22"/>
              </w:rPr>
            </w:pPr>
            <w:r w:rsidRPr="007B6C31">
              <w:rPr>
                <w:b/>
                <w:bCs/>
                <w:sz w:val="22"/>
              </w:rPr>
              <w:t>Rīcības virziens mērķa sasniegšanai</w:t>
            </w:r>
            <w:r w:rsidRPr="007B6C31">
              <w:rPr>
                <w:sz w:val="22"/>
              </w:rPr>
              <w:t> </w:t>
            </w:r>
          </w:p>
        </w:tc>
        <w:tc>
          <w:tcPr>
            <w:tcW w:w="7655" w:type="dxa"/>
            <w:gridSpan w:val="7"/>
            <w:shd w:val="clear" w:color="auto" w:fill="D9D9D9"/>
          </w:tcPr>
          <w:p w:rsidR="00BB2F9D" w:rsidRPr="00A80B20" w:rsidRDefault="00BB2F9D" w:rsidP="00BB2F9D">
            <w:pPr>
              <w:keepLines/>
              <w:spacing w:before="120" w:after="120"/>
              <w:jc w:val="both"/>
              <w:rPr>
                <w:b/>
                <w:i/>
                <w:sz w:val="22"/>
              </w:rPr>
            </w:pPr>
            <w:r>
              <w:rPr>
                <w:b/>
                <w:i/>
                <w:sz w:val="22"/>
              </w:rPr>
              <w:t>4.</w:t>
            </w:r>
            <w:r w:rsidRPr="00A80B20">
              <w:rPr>
                <w:b/>
                <w:i/>
                <w:sz w:val="22"/>
              </w:rPr>
              <w:t xml:space="preserve"> </w:t>
            </w:r>
            <w:r>
              <w:rPr>
                <w:b/>
                <w:i/>
                <w:sz w:val="22"/>
              </w:rPr>
              <w:t>Efektīvs siltumenerģijas tirgus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A80B20" w:rsidRDefault="00BB2F9D" w:rsidP="00BB2F9D">
            <w:pPr>
              <w:keepLines/>
              <w:rPr>
                <w:sz w:val="22"/>
              </w:rPr>
            </w:pPr>
            <w:r>
              <w:rPr>
                <w:sz w:val="22"/>
              </w:rPr>
              <w:t>4</w:t>
            </w:r>
            <w:r w:rsidRPr="00A80B20">
              <w:rPr>
                <w:sz w:val="22"/>
              </w:rPr>
              <w:t xml:space="preserve">.1. </w:t>
            </w:r>
            <w:r>
              <w:rPr>
                <w:sz w:val="22"/>
              </w:rPr>
              <w:t xml:space="preserve">Normatīvo regulējumu pilnveidošana </w:t>
            </w:r>
          </w:p>
        </w:tc>
        <w:tc>
          <w:tcPr>
            <w:tcW w:w="1134" w:type="dxa"/>
            <w:shd w:val="clear" w:color="auto" w:fill="FABF8F" w:themeFill="accent6" w:themeFillTint="99"/>
          </w:tcPr>
          <w:p w:rsidR="00BB2F9D" w:rsidRPr="00593664" w:rsidRDefault="00BB2F9D" w:rsidP="00BB2F9D">
            <w:pPr>
              <w:keepLines/>
              <w:rPr>
                <w:i/>
                <w:sz w:val="22"/>
              </w:rPr>
            </w:pPr>
          </w:p>
        </w:tc>
        <w:tc>
          <w:tcPr>
            <w:tcW w:w="1559" w:type="dxa"/>
            <w:gridSpan w:val="2"/>
            <w:shd w:val="clear" w:color="auto" w:fill="FABF8F" w:themeFill="accent6" w:themeFillTint="99"/>
          </w:tcPr>
          <w:p w:rsidR="00BB2F9D" w:rsidRDefault="00BB2F9D" w:rsidP="00BB2F9D">
            <w:pPr>
              <w:keepLines/>
              <w:rPr>
                <w:i/>
                <w:sz w:val="22"/>
              </w:rPr>
            </w:pPr>
          </w:p>
        </w:tc>
        <w:tc>
          <w:tcPr>
            <w:tcW w:w="2127" w:type="dxa"/>
            <w:gridSpan w:val="2"/>
            <w:shd w:val="clear" w:color="auto" w:fill="FABF8F" w:themeFill="accent6" w:themeFillTint="99"/>
          </w:tcPr>
          <w:p w:rsidR="00BB2F9D" w:rsidRDefault="00BB2F9D" w:rsidP="00BB2F9D">
            <w:pPr>
              <w:keepLines/>
              <w:rPr>
                <w:i/>
                <w:sz w:val="22"/>
              </w:rPr>
            </w:pPr>
          </w:p>
        </w:tc>
        <w:tc>
          <w:tcPr>
            <w:tcW w:w="2835" w:type="dxa"/>
            <w:gridSpan w:val="2"/>
            <w:shd w:val="clear" w:color="auto" w:fill="FABF8F" w:themeFill="accent6" w:themeFillTint="99"/>
          </w:tcPr>
          <w:p w:rsidR="00BB2F9D" w:rsidRDefault="00BB2F9D" w:rsidP="00BB2F9D">
            <w:pPr>
              <w:keepLines/>
              <w:rPr>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rPr>
                <w:sz w:val="22"/>
              </w:rPr>
            </w:pPr>
            <w:r>
              <w:rPr>
                <w:sz w:val="22"/>
              </w:rPr>
              <w:t>4</w:t>
            </w:r>
            <w:r w:rsidRPr="001124C4">
              <w:rPr>
                <w:sz w:val="22"/>
              </w:rPr>
              <w:t>.1.1. Izstrādāt likumprojektu par siltumenerģijas tirgu un tam pakārtotos normatīvos aktus</w:t>
            </w:r>
          </w:p>
        </w:tc>
        <w:tc>
          <w:tcPr>
            <w:tcW w:w="1134" w:type="dxa"/>
          </w:tcPr>
          <w:p w:rsidR="00BB2F9D" w:rsidRPr="001124C4" w:rsidRDefault="00BB2F9D" w:rsidP="00BB2F9D">
            <w:pPr>
              <w:keepLines/>
              <w:rPr>
                <w:i/>
                <w:sz w:val="22"/>
              </w:rPr>
            </w:pPr>
            <w:r w:rsidRPr="001124C4">
              <w:rPr>
                <w:i/>
                <w:sz w:val="22"/>
              </w:rPr>
              <w:t>2017.</w:t>
            </w:r>
          </w:p>
        </w:tc>
        <w:tc>
          <w:tcPr>
            <w:tcW w:w="1559" w:type="dxa"/>
            <w:gridSpan w:val="2"/>
          </w:tcPr>
          <w:p w:rsidR="00BB2F9D" w:rsidRPr="001124C4" w:rsidRDefault="00BB2F9D" w:rsidP="00BB2F9D">
            <w:pPr>
              <w:keepLines/>
              <w:rPr>
                <w:i/>
                <w:sz w:val="22"/>
              </w:rPr>
            </w:pPr>
            <w:r w:rsidRPr="001124C4">
              <w:rPr>
                <w:i/>
                <w:sz w:val="22"/>
              </w:rPr>
              <w:t>EM</w:t>
            </w:r>
          </w:p>
        </w:tc>
        <w:tc>
          <w:tcPr>
            <w:tcW w:w="2127" w:type="dxa"/>
            <w:gridSpan w:val="2"/>
          </w:tcPr>
          <w:p w:rsidR="00BB2F9D" w:rsidRPr="001124C4" w:rsidRDefault="00BB2F9D" w:rsidP="00BB2F9D">
            <w:pPr>
              <w:keepLines/>
              <w:rPr>
                <w:i/>
                <w:sz w:val="22"/>
              </w:rPr>
            </w:pPr>
            <w:r w:rsidRPr="001124C4">
              <w:rPr>
                <w:i/>
                <w:sz w:val="22"/>
              </w:rPr>
              <w:t>VARAM, SPRK, LPS, LLPA, LSUA</w:t>
            </w:r>
          </w:p>
        </w:tc>
        <w:tc>
          <w:tcPr>
            <w:tcW w:w="2835" w:type="dxa"/>
            <w:gridSpan w:val="2"/>
          </w:tcPr>
          <w:p w:rsidR="00BB2F9D" w:rsidRPr="001124C4" w:rsidRDefault="00BB2F9D" w:rsidP="00BB2F9D">
            <w:pPr>
              <w:keepLines/>
              <w:rPr>
                <w:i/>
                <w:sz w:val="22"/>
              </w:rPr>
            </w:pPr>
            <w:r w:rsidRPr="001124C4">
              <w:rPr>
                <w:i/>
                <w:sz w:val="22"/>
              </w:rPr>
              <w:t xml:space="preserve">Valsts pamatbudžets </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rPr>
                <w:sz w:val="22"/>
              </w:rPr>
            </w:pPr>
            <w:r>
              <w:rPr>
                <w:sz w:val="22"/>
              </w:rPr>
              <w:t>4</w:t>
            </w:r>
            <w:r w:rsidRPr="001124C4">
              <w:rPr>
                <w:sz w:val="22"/>
              </w:rPr>
              <w:t>.1.2 Veikt augstas efektivitātes koģenerācijas un efektīvas centralizētās siltumapgādes un dzesēšanas izmantošanas potenciāla visaptverošu izvērtējumu</w:t>
            </w:r>
          </w:p>
        </w:tc>
        <w:tc>
          <w:tcPr>
            <w:tcW w:w="1134" w:type="dxa"/>
          </w:tcPr>
          <w:p w:rsidR="00BB2F9D" w:rsidRPr="001124C4" w:rsidRDefault="00BB2F9D" w:rsidP="00BB2F9D">
            <w:pPr>
              <w:keepLines/>
              <w:rPr>
                <w:i/>
                <w:sz w:val="22"/>
              </w:rPr>
            </w:pPr>
            <w:r w:rsidRPr="001124C4">
              <w:rPr>
                <w:i/>
                <w:sz w:val="22"/>
              </w:rPr>
              <w:t>2015.</w:t>
            </w:r>
          </w:p>
        </w:tc>
        <w:tc>
          <w:tcPr>
            <w:tcW w:w="1559" w:type="dxa"/>
            <w:gridSpan w:val="2"/>
          </w:tcPr>
          <w:p w:rsidR="00BB2F9D" w:rsidRPr="001124C4" w:rsidRDefault="00BB2F9D" w:rsidP="00BB2F9D">
            <w:pPr>
              <w:keepLines/>
              <w:rPr>
                <w:i/>
                <w:sz w:val="22"/>
              </w:rPr>
            </w:pPr>
            <w:r w:rsidRPr="001124C4">
              <w:rPr>
                <w:i/>
                <w:sz w:val="22"/>
              </w:rPr>
              <w:t>EM</w:t>
            </w:r>
          </w:p>
        </w:tc>
        <w:tc>
          <w:tcPr>
            <w:tcW w:w="2127" w:type="dxa"/>
            <w:gridSpan w:val="2"/>
          </w:tcPr>
          <w:p w:rsidR="00BB2F9D" w:rsidRPr="001124C4" w:rsidRDefault="00BB2F9D" w:rsidP="00BB2F9D">
            <w:pPr>
              <w:keepLines/>
              <w:rPr>
                <w:i/>
                <w:sz w:val="22"/>
              </w:rPr>
            </w:pPr>
            <w:r w:rsidRPr="001124C4">
              <w:rPr>
                <w:i/>
                <w:sz w:val="22"/>
              </w:rPr>
              <w:t>VARAM, SPRK, LPS, LLPA, LSUA</w:t>
            </w:r>
          </w:p>
        </w:tc>
        <w:tc>
          <w:tcPr>
            <w:tcW w:w="2835" w:type="dxa"/>
            <w:gridSpan w:val="2"/>
          </w:tcPr>
          <w:p w:rsidR="00BB2F9D" w:rsidRPr="001124C4" w:rsidRDefault="00BB2F9D" w:rsidP="00BB2F9D">
            <w:pPr>
              <w:keepLines/>
              <w:rPr>
                <w:i/>
                <w:sz w:val="22"/>
              </w:rPr>
            </w:pPr>
            <w:r w:rsidRPr="001124C4">
              <w:rPr>
                <w:i/>
                <w:sz w:val="22"/>
              </w:rPr>
              <w:t>Valsts pamatbudžets</w:t>
            </w:r>
          </w:p>
        </w:tc>
      </w:tr>
      <w:tr w:rsidR="00BB2F9D"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A80B20" w:rsidRDefault="00BB2F9D" w:rsidP="00BB2F9D">
            <w:pPr>
              <w:keepLines/>
              <w:rPr>
                <w:sz w:val="22"/>
              </w:rPr>
            </w:pPr>
            <w:r>
              <w:rPr>
                <w:sz w:val="22"/>
              </w:rPr>
              <w:t>4</w:t>
            </w:r>
            <w:r w:rsidRPr="00A80B20">
              <w:rPr>
                <w:sz w:val="22"/>
              </w:rPr>
              <w:t xml:space="preserve">.2. </w:t>
            </w:r>
            <w:r>
              <w:rPr>
                <w:sz w:val="22"/>
              </w:rPr>
              <w:t>Infrastruktūras izveidošana, sakārtošana un attīstība</w:t>
            </w:r>
          </w:p>
        </w:tc>
        <w:tc>
          <w:tcPr>
            <w:tcW w:w="1134" w:type="dxa"/>
            <w:shd w:val="clear" w:color="auto" w:fill="FABF8F" w:themeFill="accent6" w:themeFillTint="99"/>
          </w:tcPr>
          <w:p w:rsidR="00BB2F9D" w:rsidRPr="00A80B20" w:rsidRDefault="00BB2F9D" w:rsidP="00BB2F9D">
            <w:pPr>
              <w:keepLines/>
              <w:rPr>
                <w:sz w:val="22"/>
              </w:rPr>
            </w:pPr>
          </w:p>
        </w:tc>
        <w:tc>
          <w:tcPr>
            <w:tcW w:w="1559" w:type="dxa"/>
            <w:gridSpan w:val="2"/>
            <w:shd w:val="clear" w:color="auto" w:fill="FABF8F" w:themeFill="accent6" w:themeFillTint="99"/>
          </w:tcPr>
          <w:p w:rsidR="00BB2F9D" w:rsidRPr="00A80B20" w:rsidRDefault="00BB2F9D" w:rsidP="00BB2F9D">
            <w:pPr>
              <w:keepLines/>
              <w:rPr>
                <w:sz w:val="22"/>
              </w:rPr>
            </w:pPr>
          </w:p>
        </w:tc>
        <w:tc>
          <w:tcPr>
            <w:tcW w:w="2127" w:type="dxa"/>
            <w:gridSpan w:val="2"/>
            <w:shd w:val="clear" w:color="auto" w:fill="FABF8F" w:themeFill="accent6" w:themeFillTint="99"/>
          </w:tcPr>
          <w:p w:rsidR="00BB2F9D" w:rsidRPr="00A80B20" w:rsidRDefault="00BB2F9D" w:rsidP="00BB2F9D">
            <w:pPr>
              <w:keepLines/>
              <w:rPr>
                <w:sz w:val="22"/>
              </w:rPr>
            </w:pPr>
          </w:p>
        </w:tc>
        <w:tc>
          <w:tcPr>
            <w:tcW w:w="2835" w:type="dxa"/>
            <w:gridSpan w:val="2"/>
            <w:shd w:val="clear" w:color="auto" w:fill="FABF8F" w:themeFill="accent6" w:themeFillTint="99"/>
          </w:tcPr>
          <w:p w:rsidR="00BB2F9D" w:rsidRPr="00A80B20" w:rsidRDefault="00BB2F9D" w:rsidP="00BB2F9D">
            <w:pPr>
              <w:keepLines/>
              <w:rPr>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14"/>
        </w:trPr>
        <w:tc>
          <w:tcPr>
            <w:tcW w:w="6487" w:type="dxa"/>
          </w:tcPr>
          <w:p w:rsidR="00BB2F9D" w:rsidRPr="001124C4" w:rsidRDefault="00BB2F9D" w:rsidP="00BB2F9D">
            <w:pPr>
              <w:keepLines/>
              <w:autoSpaceDE w:val="0"/>
              <w:autoSpaceDN w:val="0"/>
              <w:adjustRightInd w:val="0"/>
              <w:ind w:right="173"/>
              <w:jc w:val="both"/>
              <w:rPr>
                <w:color w:val="000000"/>
                <w:sz w:val="22"/>
              </w:rPr>
            </w:pPr>
            <w:r>
              <w:rPr>
                <w:sz w:val="22"/>
              </w:rPr>
              <w:t>4</w:t>
            </w:r>
            <w:r w:rsidRPr="001124C4">
              <w:rPr>
                <w:sz w:val="22"/>
              </w:rPr>
              <w:t xml:space="preserve">.2.1. </w:t>
            </w:r>
            <w:r w:rsidRPr="001124C4">
              <w:rPr>
                <w:sz w:val="22"/>
                <w:lang w:eastAsia="en-GB"/>
              </w:rPr>
              <w:t>Centralizētās siltumapgādes siltumavotu un pārvades un sadales sistēmu rekonstrukcija un būvniecība</w:t>
            </w:r>
          </w:p>
        </w:tc>
        <w:tc>
          <w:tcPr>
            <w:tcW w:w="1134" w:type="dxa"/>
          </w:tcPr>
          <w:p w:rsidR="00BB2F9D" w:rsidRPr="001124C4" w:rsidRDefault="00BB2F9D" w:rsidP="00BB2F9D">
            <w:pPr>
              <w:keepLines/>
              <w:rPr>
                <w:i/>
                <w:sz w:val="22"/>
              </w:rPr>
            </w:pPr>
            <w:r w:rsidRPr="001124C4">
              <w:rPr>
                <w:i/>
                <w:sz w:val="22"/>
              </w:rPr>
              <w:t>2014.-2020.</w:t>
            </w:r>
          </w:p>
        </w:tc>
        <w:tc>
          <w:tcPr>
            <w:tcW w:w="1559" w:type="dxa"/>
            <w:gridSpan w:val="2"/>
          </w:tcPr>
          <w:p w:rsidR="00BB2F9D" w:rsidRPr="001124C4" w:rsidRDefault="00BB2F9D" w:rsidP="00BB2F9D">
            <w:pPr>
              <w:keepLines/>
              <w:rPr>
                <w:i/>
                <w:sz w:val="22"/>
              </w:rPr>
            </w:pPr>
            <w:r w:rsidRPr="001124C4">
              <w:rPr>
                <w:i/>
                <w:sz w:val="22"/>
              </w:rPr>
              <w:t>FM</w:t>
            </w:r>
          </w:p>
        </w:tc>
        <w:tc>
          <w:tcPr>
            <w:tcW w:w="2127" w:type="dxa"/>
            <w:gridSpan w:val="2"/>
          </w:tcPr>
          <w:p w:rsidR="00BB2F9D" w:rsidRPr="001124C4" w:rsidRDefault="00BB2F9D" w:rsidP="00BB2F9D">
            <w:pPr>
              <w:keepLines/>
              <w:rPr>
                <w:i/>
                <w:sz w:val="22"/>
              </w:rPr>
            </w:pPr>
            <w:r w:rsidRPr="001124C4">
              <w:rPr>
                <w:i/>
                <w:sz w:val="22"/>
              </w:rPr>
              <w:t>EM, siltumuzņēmumi, pašvaldības, LSUA</w:t>
            </w:r>
          </w:p>
        </w:tc>
        <w:tc>
          <w:tcPr>
            <w:tcW w:w="2835" w:type="dxa"/>
            <w:gridSpan w:val="2"/>
          </w:tcPr>
          <w:p w:rsidR="00BB2F9D" w:rsidRPr="001124C4" w:rsidRDefault="00BB2F9D" w:rsidP="00BB2F9D">
            <w:pPr>
              <w:suppressAutoHyphens/>
              <w:rPr>
                <w:i/>
                <w:color w:val="000000"/>
                <w:sz w:val="22"/>
              </w:rPr>
            </w:pPr>
            <w:r w:rsidRPr="001124C4">
              <w:rPr>
                <w:i/>
                <w:color w:val="000000"/>
                <w:sz w:val="22"/>
              </w:rPr>
              <w:t>ES Kohēzijas fonda līdzfinansējums - 53,19 milj. EUR;</w:t>
            </w:r>
          </w:p>
          <w:p w:rsidR="00BB2F9D" w:rsidRPr="001124C4" w:rsidRDefault="00BB2F9D" w:rsidP="00BB2F9D">
            <w:pPr>
              <w:keepLines/>
              <w:rPr>
                <w:i/>
                <w:sz w:val="22"/>
              </w:rPr>
            </w:pPr>
            <w:r w:rsidRPr="001124C4">
              <w:rPr>
                <w:i/>
                <w:color w:val="000000" w:themeColor="text1"/>
                <w:sz w:val="22"/>
              </w:rPr>
              <w:t>uzņēmumu kapitālieguldījumi</w:t>
            </w:r>
          </w:p>
        </w:tc>
      </w:tr>
      <w:tr w:rsidR="00BB2F9D"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BB2F9D" w:rsidRPr="001124C4" w:rsidRDefault="00BB2F9D" w:rsidP="00BB2F9D">
            <w:pPr>
              <w:spacing w:before="120" w:after="120"/>
              <w:rPr>
                <w:rFonts w:cs="Times New Roman"/>
                <w:b/>
                <w:sz w:val="22"/>
              </w:rPr>
            </w:pPr>
            <w:r w:rsidRPr="001124C4">
              <w:rPr>
                <w:rFonts w:cs="Times New Roman"/>
                <w:b/>
                <w:sz w:val="22"/>
              </w:rPr>
              <w:t xml:space="preserve">Rīcības virziens mērķa sasniegšanai </w:t>
            </w:r>
          </w:p>
        </w:tc>
        <w:tc>
          <w:tcPr>
            <w:tcW w:w="7655" w:type="dxa"/>
            <w:gridSpan w:val="7"/>
            <w:shd w:val="clear" w:color="auto" w:fill="D9D9D9" w:themeFill="background1" w:themeFillShade="D9"/>
          </w:tcPr>
          <w:p w:rsidR="00BB2F9D" w:rsidRPr="001124C4" w:rsidRDefault="00BB2F9D" w:rsidP="00BB2F9D">
            <w:pPr>
              <w:spacing w:before="120" w:after="120"/>
              <w:rPr>
                <w:rFonts w:cs="Times New Roman"/>
                <w:b/>
                <w:i/>
                <w:sz w:val="22"/>
              </w:rPr>
            </w:pPr>
            <w:r>
              <w:rPr>
                <w:rFonts w:cs="Times New Roman"/>
                <w:b/>
                <w:i/>
                <w:sz w:val="22"/>
              </w:rPr>
              <w:t>5</w:t>
            </w:r>
            <w:r w:rsidRPr="001124C4">
              <w:rPr>
                <w:rFonts w:cs="Times New Roman"/>
                <w:b/>
                <w:i/>
                <w:sz w:val="22"/>
              </w:rPr>
              <w:t>.</w:t>
            </w:r>
            <w:r w:rsidRPr="001124C4">
              <w:rPr>
                <w:rFonts w:cs="Times New Roman"/>
                <w:b/>
                <w:i/>
              </w:rPr>
              <w:t xml:space="preserve"> </w:t>
            </w:r>
            <w:r w:rsidRPr="001124C4">
              <w:rPr>
                <w:rFonts w:cs="Times New Roman"/>
                <w:b/>
                <w:i/>
                <w:sz w:val="22"/>
              </w:rPr>
              <w:t>AER īpatsvar</w:t>
            </w:r>
            <w:r>
              <w:rPr>
                <w:rFonts w:cs="Times New Roman"/>
                <w:b/>
                <w:i/>
                <w:sz w:val="22"/>
              </w:rPr>
              <w:t xml:space="preserve">apieaugums </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1124C4" w:rsidRDefault="00BB2F9D" w:rsidP="00BB2F9D">
            <w:pPr>
              <w:keepLines/>
              <w:rPr>
                <w:rFonts w:cs="Times New Roman"/>
                <w:i/>
                <w:sz w:val="22"/>
              </w:rPr>
            </w:pPr>
            <w:r>
              <w:rPr>
                <w:rFonts w:cs="Times New Roman"/>
                <w:sz w:val="22"/>
              </w:rPr>
              <w:t>5.</w:t>
            </w:r>
            <w:r w:rsidRPr="001124C4">
              <w:rPr>
                <w:rFonts w:cs="Times New Roman"/>
                <w:sz w:val="22"/>
              </w:rPr>
              <w:t>1. Palielināt AER īpatsvaru bruto enerģijas galapatēriņā līdz 40%</w:t>
            </w:r>
          </w:p>
        </w:tc>
        <w:tc>
          <w:tcPr>
            <w:tcW w:w="1134" w:type="dxa"/>
            <w:shd w:val="clear" w:color="auto" w:fill="FABF8F" w:themeFill="accent6" w:themeFillTint="99"/>
          </w:tcPr>
          <w:p w:rsidR="00BB2F9D" w:rsidRPr="001124C4" w:rsidRDefault="00BB2F9D" w:rsidP="00BB2F9D">
            <w:pPr>
              <w:keepLines/>
              <w:rPr>
                <w:rFonts w:cs="Times New Roman"/>
                <w:i/>
                <w:sz w:val="22"/>
              </w:rPr>
            </w:pPr>
          </w:p>
        </w:tc>
        <w:tc>
          <w:tcPr>
            <w:tcW w:w="1559" w:type="dxa"/>
            <w:gridSpan w:val="2"/>
            <w:shd w:val="clear" w:color="auto" w:fill="FABF8F" w:themeFill="accent6" w:themeFillTint="99"/>
          </w:tcPr>
          <w:p w:rsidR="00BB2F9D" w:rsidRPr="001124C4" w:rsidRDefault="00BB2F9D" w:rsidP="00BB2F9D">
            <w:pPr>
              <w:keepLines/>
              <w:rPr>
                <w:rFonts w:cs="Times New Roman"/>
                <w:i/>
                <w:sz w:val="22"/>
              </w:rPr>
            </w:pPr>
          </w:p>
        </w:tc>
        <w:tc>
          <w:tcPr>
            <w:tcW w:w="2127" w:type="dxa"/>
            <w:gridSpan w:val="2"/>
            <w:shd w:val="clear" w:color="auto" w:fill="FABF8F" w:themeFill="accent6" w:themeFillTint="99"/>
          </w:tcPr>
          <w:p w:rsidR="00BB2F9D" w:rsidRPr="001124C4" w:rsidRDefault="00BB2F9D" w:rsidP="00BB2F9D">
            <w:pPr>
              <w:keepLines/>
              <w:rPr>
                <w:rFonts w:cs="Times New Roman"/>
                <w:i/>
                <w:sz w:val="22"/>
              </w:rPr>
            </w:pPr>
          </w:p>
        </w:tc>
        <w:tc>
          <w:tcPr>
            <w:tcW w:w="2835" w:type="dxa"/>
            <w:gridSpan w:val="2"/>
            <w:shd w:val="clear" w:color="auto" w:fill="FABF8F" w:themeFill="accent6" w:themeFillTint="99"/>
          </w:tcPr>
          <w:p w:rsidR="00BB2F9D" w:rsidRPr="001124C4" w:rsidRDefault="00BB2F9D" w:rsidP="00BB2F9D">
            <w:pPr>
              <w:keepLines/>
              <w:rPr>
                <w:rFonts w:cs="Times New Roman"/>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jc w:val="both"/>
              <w:rPr>
                <w:rFonts w:cs="Times New Roman"/>
                <w:sz w:val="22"/>
              </w:rPr>
            </w:pPr>
            <w:r>
              <w:rPr>
                <w:rFonts w:cs="Times New Roman"/>
                <w:sz w:val="22"/>
              </w:rPr>
              <w:t>5</w:t>
            </w:r>
            <w:r w:rsidRPr="001124C4">
              <w:rPr>
                <w:rFonts w:cs="Times New Roman"/>
                <w:sz w:val="22"/>
              </w:rPr>
              <w:t xml:space="preserve">.1.1. </w:t>
            </w:r>
            <w:r>
              <w:rPr>
                <w:rFonts w:cs="Times New Roman"/>
                <w:sz w:val="22"/>
              </w:rPr>
              <w:t xml:space="preserve">Elektroenerģijas obligātā iepirkuma „iesaldēšana” </w:t>
            </w:r>
            <w:r w:rsidRPr="001124C4">
              <w:rPr>
                <w:rFonts w:cs="Times New Roman"/>
                <w:sz w:val="22"/>
              </w:rPr>
              <w:t>2,69 EUR centu/kWh līmenī 2014.-2017.gadā</w:t>
            </w:r>
          </w:p>
        </w:tc>
        <w:tc>
          <w:tcPr>
            <w:tcW w:w="1134" w:type="dxa"/>
          </w:tcPr>
          <w:p w:rsidR="00BB2F9D" w:rsidRPr="001124C4" w:rsidRDefault="00BB2F9D" w:rsidP="00BB2F9D">
            <w:pPr>
              <w:rPr>
                <w:rFonts w:cs="Times New Roman"/>
                <w:i/>
                <w:sz w:val="22"/>
              </w:rPr>
            </w:pPr>
            <w:r w:rsidRPr="001124C4">
              <w:rPr>
                <w:rFonts w:cs="Times New Roman"/>
                <w:i/>
                <w:sz w:val="22"/>
              </w:rPr>
              <w:t>2014. – 2016.</w:t>
            </w:r>
          </w:p>
          <w:p w:rsidR="00BB2F9D" w:rsidRPr="001124C4" w:rsidRDefault="00BB2F9D" w:rsidP="00BB2F9D">
            <w:pPr>
              <w:keepLines/>
              <w:rPr>
                <w:rFonts w:cs="Times New Roman"/>
                <w:i/>
                <w:sz w:val="22"/>
              </w:rPr>
            </w:pPr>
          </w:p>
        </w:tc>
        <w:tc>
          <w:tcPr>
            <w:tcW w:w="1559" w:type="dxa"/>
            <w:gridSpan w:val="2"/>
          </w:tcPr>
          <w:p w:rsidR="00BB2F9D" w:rsidRPr="001124C4" w:rsidRDefault="00BB2F9D" w:rsidP="00BB2F9D">
            <w:pPr>
              <w:keepLines/>
              <w:rPr>
                <w:rFonts w:cs="Times New Roman"/>
                <w:i/>
                <w:sz w:val="22"/>
              </w:rPr>
            </w:pPr>
            <w:r w:rsidRPr="001124C4">
              <w:rPr>
                <w:rFonts w:cs="Times New Roman"/>
                <w:i/>
                <w:sz w:val="22"/>
              </w:rPr>
              <w:t>EM</w:t>
            </w:r>
          </w:p>
        </w:tc>
        <w:tc>
          <w:tcPr>
            <w:tcW w:w="2127" w:type="dxa"/>
            <w:gridSpan w:val="2"/>
          </w:tcPr>
          <w:p w:rsidR="00BB2F9D" w:rsidRPr="001124C4" w:rsidRDefault="00BB2F9D" w:rsidP="00BB2F9D">
            <w:pPr>
              <w:keepLines/>
              <w:rPr>
                <w:rFonts w:cs="Times New Roman"/>
                <w:i/>
                <w:sz w:val="22"/>
              </w:rPr>
            </w:pPr>
            <w:r w:rsidRPr="001124C4">
              <w:rPr>
                <w:rFonts w:cs="Times New Roman"/>
                <w:i/>
                <w:sz w:val="22"/>
              </w:rPr>
              <w:t>FM</w:t>
            </w:r>
          </w:p>
        </w:tc>
        <w:tc>
          <w:tcPr>
            <w:tcW w:w="2835" w:type="dxa"/>
            <w:gridSpan w:val="2"/>
          </w:tcPr>
          <w:p w:rsidR="00BB2F9D" w:rsidRPr="001124C4" w:rsidRDefault="00BB2F9D" w:rsidP="00BB2F9D">
            <w:pPr>
              <w:keepLines/>
              <w:rPr>
                <w:rFonts w:cs="Times New Roman"/>
                <w:i/>
                <w:sz w:val="22"/>
              </w:rPr>
            </w:pPr>
            <w:r w:rsidRPr="001124C4">
              <w:rPr>
                <w:rFonts w:cs="Times New Roman"/>
                <w:i/>
                <w:color w:val="000000" w:themeColor="text1"/>
                <w:sz w:val="22"/>
              </w:rPr>
              <w:t>Valsts pamatbudžets - 147,7 milj. EUR (Šīs izmaksas ir iekļautas Likumā par vidēja termiņa budžetu 2014.-2016.gadam).</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autoSpaceDE w:val="0"/>
              <w:autoSpaceDN w:val="0"/>
              <w:adjustRightInd w:val="0"/>
              <w:ind w:right="173"/>
              <w:jc w:val="both"/>
              <w:rPr>
                <w:rFonts w:cs="Times New Roman"/>
                <w:color w:val="000000"/>
                <w:sz w:val="22"/>
              </w:rPr>
            </w:pPr>
            <w:r>
              <w:rPr>
                <w:rFonts w:cs="Times New Roman"/>
                <w:color w:val="000000"/>
                <w:sz w:val="22"/>
              </w:rPr>
              <w:t>5</w:t>
            </w:r>
            <w:r w:rsidRPr="001124C4">
              <w:rPr>
                <w:rFonts w:cs="Times New Roman"/>
                <w:color w:val="000000"/>
                <w:sz w:val="22"/>
              </w:rPr>
              <w:t xml:space="preserve">.1.2. </w:t>
            </w:r>
            <w:r w:rsidRPr="001124C4">
              <w:rPr>
                <w:rFonts w:cs="Times New Roman"/>
                <w:sz w:val="22"/>
              </w:rPr>
              <w:t>Esošā elektroenerģijas ražošanas  atbalsta mehānisma pārskatīšana atbilstoši EK Vadlīnijām par valsts atbalstu vides aizsardzībai un enerģētikai 2014. – 2020.gadam (publicētas 28.06.2014.)</w:t>
            </w:r>
          </w:p>
        </w:tc>
        <w:tc>
          <w:tcPr>
            <w:tcW w:w="1134" w:type="dxa"/>
          </w:tcPr>
          <w:p w:rsidR="00BB2F9D" w:rsidRPr="001124C4" w:rsidRDefault="00BB2F9D" w:rsidP="00BB2F9D">
            <w:pPr>
              <w:keepLines/>
              <w:rPr>
                <w:rFonts w:cs="Times New Roman"/>
                <w:i/>
                <w:sz w:val="22"/>
              </w:rPr>
            </w:pPr>
            <w:r w:rsidRPr="001124C4">
              <w:rPr>
                <w:rFonts w:cs="Times New Roman"/>
                <w:i/>
                <w:sz w:val="22"/>
              </w:rPr>
              <w:t>2014.</w:t>
            </w:r>
          </w:p>
        </w:tc>
        <w:tc>
          <w:tcPr>
            <w:tcW w:w="1559" w:type="dxa"/>
            <w:gridSpan w:val="2"/>
          </w:tcPr>
          <w:p w:rsidR="00BB2F9D" w:rsidRPr="001124C4" w:rsidRDefault="00BB2F9D" w:rsidP="00BB2F9D">
            <w:pPr>
              <w:keepLines/>
              <w:rPr>
                <w:rFonts w:cs="Times New Roman"/>
                <w:i/>
                <w:sz w:val="22"/>
              </w:rPr>
            </w:pPr>
            <w:r w:rsidRPr="001124C4">
              <w:rPr>
                <w:rFonts w:cs="Times New Roman"/>
                <w:i/>
                <w:sz w:val="22"/>
              </w:rPr>
              <w:t>EM</w:t>
            </w:r>
          </w:p>
        </w:tc>
        <w:tc>
          <w:tcPr>
            <w:tcW w:w="2127" w:type="dxa"/>
            <w:gridSpan w:val="2"/>
          </w:tcPr>
          <w:p w:rsidR="00BB2F9D" w:rsidRPr="001124C4" w:rsidRDefault="00BB2F9D" w:rsidP="00BB2F9D">
            <w:pPr>
              <w:keepLines/>
              <w:rPr>
                <w:rFonts w:cs="Times New Roman"/>
                <w:i/>
                <w:sz w:val="22"/>
              </w:rPr>
            </w:pPr>
            <w:r w:rsidRPr="001124C4">
              <w:rPr>
                <w:rFonts w:cs="Times New Roman"/>
                <w:i/>
                <w:sz w:val="22"/>
              </w:rPr>
              <w:t>FM</w:t>
            </w:r>
          </w:p>
        </w:tc>
        <w:tc>
          <w:tcPr>
            <w:tcW w:w="2835" w:type="dxa"/>
            <w:gridSpan w:val="2"/>
          </w:tcPr>
          <w:p w:rsidR="00BB2F9D" w:rsidRPr="001124C4" w:rsidRDefault="00BB2F9D" w:rsidP="00BB2F9D">
            <w:pPr>
              <w:keepLines/>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autoSpaceDE w:val="0"/>
              <w:autoSpaceDN w:val="0"/>
              <w:adjustRightInd w:val="0"/>
              <w:ind w:right="173"/>
              <w:jc w:val="both"/>
              <w:rPr>
                <w:rFonts w:cs="Times New Roman"/>
                <w:color w:val="000000"/>
                <w:sz w:val="22"/>
              </w:rPr>
            </w:pPr>
            <w:r>
              <w:rPr>
                <w:rFonts w:cs="Times New Roman"/>
                <w:color w:val="000000"/>
                <w:sz w:val="22"/>
              </w:rPr>
              <w:t>5</w:t>
            </w:r>
            <w:r w:rsidRPr="001124C4">
              <w:rPr>
                <w:rFonts w:cs="Times New Roman"/>
                <w:color w:val="000000"/>
                <w:sz w:val="22"/>
              </w:rPr>
              <w:t xml:space="preserve">.1.3. </w:t>
            </w:r>
            <w:r w:rsidRPr="001124C4">
              <w:rPr>
                <w:rFonts w:cs="Times New Roman"/>
                <w:sz w:val="22"/>
              </w:rPr>
              <w:t>Esošā elektroenerģijas ražošanas  atbalsta mehānisma saskaņošana ar EK, ņemot vērā EK Vadlīnijas par valsts atbalstu vides aizsardzībai un enerģētikai 2014. – 2020.gadam (publicētas 28.06.2014.)</w:t>
            </w:r>
          </w:p>
        </w:tc>
        <w:tc>
          <w:tcPr>
            <w:tcW w:w="1134" w:type="dxa"/>
          </w:tcPr>
          <w:p w:rsidR="00BB2F9D" w:rsidRPr="001124C4" w:rsidRDefault="00BB2F9D" w:rsidP="00BB2F9D">
            <w:pPr>
              <w:keepLines/>
              <w:rPr>
                <w:rFonts w:cs="Times New Roman"/>
                <w:i/>
                <w:sz w:val="22"/>
              </w:rPr>
            </w:pPr>
            <w:r w:rsidRPr="001124C4">
              <w:rPr>
                <w:rFonts w:cs="Times New Roman"/>
                <w:i/>
                <w:sz w:val="22"/>
              </w:rPr>
              <w:t>2014.</w:t>
            </w:r>
          </w:p>
        </w:tc>
        <w:tc>
          <w:tcPr>
            <w:tcW w:w="1559" w:type="dxa"/>
            <w:gridSpan w:val="2"/>
          </w:tcPr>
          <w:p w:rsidR="00BB2F9D" w:rsidRPr="001124C4" w:rsidRDefault="00BB2F9D" w:rsidP="00BB2F9D">
            <w:pPr>
              <w:keepLines/>
              <w:rPr>
                <w:rFonts w:cs="Times New Roman"/>
                <w:i/>
                <w:sz w:val="22"/>
              </w:rPr>
            </w:pPr>
            <w:r w:rsidRPr="001124C4">
              <w:rPr>
                <w:rFonts w:cs="Times New Roman"/>
                <w:i/>
                <w:sz w:val="22"/>
              </w:rPr>
              <w:t>EM</w:t>
            </w:r>
          </w:p>
        </w:tc>
        <w:tc>
          <w:tcPr>
            <w:tcW w:w="2127" w:type="dxa"/>
            <w:gridSpan w:val="2"/>
          </w:tcPr>
          <w:p w:rsidR="00BB2F9D" w:rsidRPr="001124C4" w:rsidRDefault="00BB2F9D" w:rsidP="00BB2F9D">
            <w:pPr>
              <w:keepLines/>
              <w:rPr>
                <w:rFonts w:cs="Times New Roman"/>
                <w:i/>
                <w:sz w:val="22"/>
              </w:rPr>
            </w:pPr>
            <w:r w:rsidRPr="001124C4">
              <w:rPr>
                <w:rFonts w:cs="Times New Roman"/>
                <w:i/>
                <w:sz w:val="22"/>
              </w:rPr>
              <w:t>FM</w:t>
            </w:r>
          </w:p>
        </w:tc>
        <w:tc>
          <w:tcPr>
            <w:tcW w:w="2835" w:type="dxa"/>
            <w:gridSpan w:val="2"/>
          </w:tcPr>
          <w:p w:rsidR="00BB2F9D" w:rsidRPr="001124C4" w:rsidRDefault="00BB2F9D" w:rsidP="00BB2F9D">
            <w:pPr>
              <w:keepLines/>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autoSpaceDE w:val="0"/>
              <w:autoSpaceDN w:val="0"/>
              <w:adjustRightInd w:val="0"/>
              <w:ind w:right="173"/>
              <w:jc w:val="both"/>
              <w:rPr>
                <w:rFonts w:cs="Times New Roman"/>
                <w:color w:val="000000"/>
                <w:sz w:val="22"/>
              </w:rPr>
            </w:pPr>
            <w:r>
              <w:rPr>
                <w:rFonts w:cs="Times New Roman"/>
                <w:color w:val="000000"/>
                <w:sz w:val="22"/>
              </w:rPr>
              <w:lastRenderedPageBreak/>
              <w:t>5</w:t>
            </w:r>
            <w:r w:rsidRPr="001124C4">
              <w:rPr>
                <w:rFonts w:cs="Times New Roman"/>
                <w:color w:val="000000"/>
                <w:sz w:val="22"/>
              </w:rPr>
              <w:t xml:space="preserve">.1.4. </w:t>
            </w:r>
            <w:r w:rsidRPr="001124C4">
              <w:rPr>
                <w:rFonts w:cs="Times New Roman"/>
                <w:sz w:val="22"/>
              </w:rPr>
              <w:t>Izstrādāt grozījumus obligāto elektroenerģijas iepirkumu un garantēto maksu par elektrostacijā uzstādīto jaudu regulējošos normatīvajos aktos, ņemot saskaņošanas ar EK rezultātus</w:t>
            </w:r>
          </w:p>
        </w:tc>
        <w:tc>
          <w:tcPr>
            <w:tcW w:w="1134" w:type="dxa"/>
          </w:tcPr>
          <w:p w:rsidR="00BB2F9D" w:rsidRPr="001124C4" w:rsidRDefault="00BB2F9D" w:rsidP="00BB2F9D">
            <w:pPr>
              <w:rPr>
                <w:rFonts w:cs="Times New Roman"/>
                <w:i/>
                <w:sz w:val="22"/>
                <w:highlight w:val="green"/>
              </w:rPr>
            </w:pPr>
            <w:r w:rsidRPr="001124C4">
              <w:rPr>
                <w:rFonts w:cs="Times New Roman"/>
                <w:i/>
                <w:sz w:val="22"/>
              </w:rPr>
              <w:t>2015.</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 VARAM, ZM, LAEF</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keepLines/>
              <w:autoSpaceDE w:val="0"/>
              <w:autoSpaceDN w:val="0"/>
              <w:adjustRightInd w:val="0"/>
              <w:ind w:right="173"/>
              <w:jc w:val="both"/>
              <w:rPr>
                <w:rFonts w:cs="Times New Roman"/>
                <w:color w:val="000000"/>
                <w:sz w:val="22"/>
              </w:rPr>
            </w:pPr>
            <w:r>
              <w:rPr>
                <w:rFonts w:cs="Times New Roman"/>
                <w:color w:val="000000"/>
                <w:sz w:val="22"/>
              </w:rPr>
              <w:t>5</w:t>
            </w:r>
            <w:r w:rsidRPr="001124C4">
              <w:rPr>
                <w:rFonts w:cs="Times New Roman"/>
                <w:color w:val="000000"/>
                <w:sz w:val="22"/>
              </w:rPr>
              <w:t xml:space="preserve">.1.5. </w:t>
            </w:r>
            <w:r w:rsidRPr="001124C4">
              <w:rPr>
                <w:rFonts w:cs="Times New Roman"/>
                <w:sz w:val="22"/>
              </w:rPr>
              <w:t>Izstrādāt jaunu valsts atbalsta mehānismu elektroenerģijas ražošanai, izmantojot AER,  atbilstoši EK Vadlīnijām par valsts atbalstu vides aizsardzībai un enerģētikai 2014. – 2020.gadam (publicētas 28.06.2014.)</w:t>
            </w:r>
          </w:p>
        </w:tc>
        <w:tc>
          <w:tcPr>
            <w:tcW w:w="1134" w:type="dxa"/>
          </w:tcPr>
          <w:p w:rsidR="00BB2F9D" w:rsidRPr="001124C4" w:rsidRDefault="00BB2F9D" w:rsidP="00BB2F9D">
            <w:pPr>
              <w:rPr>
                <w:rFonts w:cs="Times New Roman"/>
                <w:i/>
                <w:sz w:val="22"/>
              </w:rPr>
            </w:pPr>
            <w:r w:rsidRPr="001124C4">
              <w:rPr>
                <w:rFonts w:cs="Times New Roman"/>
                <w:i/>
                <w:sz w:val="22"/>
              </w:rPr>
              <w:t>2015. – 2016.</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 VARAM, ZM, LAEF</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jc w:val="both"/>
              <w:rPr>
                <w:rFonts w:cs="Times New Roman"/>
                <w:sz w:val="22"/>
              </w:rPr>
            </w:pPr>
            <w:r>
              <w:rPr>
                <w:rFonts w:cs="Times New Roman"/>
                <w:sz w:val="22"/>
              </w:rPr>
              <w:t>5</w:t>
            </w:r>
            <w:r w:rsidRPr="001124C4">
              <w:rPr>
                <w:rFonts w:cs="Times New Roman"/>
                <w:sz w:val="22"/>
              </w:rPr>
              <w:t>.1.6. Saskaņot</w:t>
            </w:r>
            <w:r>
              <w:rPr>
                <w:rFonts w:cs="Times New Roman"/>
                <w:sz w:val="22"/>
              </w:rPr>
              <w:t xml:space="preserve"> </w:t>
            </w:r>
            <w:r w:rsidRPr="001124C4">
              <w:rPr>
                <w:rFonts w:cs="Times New Roman"/>
                <w:sz w:val="22"/>
              </w:rPr>
              <w:t>jauno valsts atbalsta mehānismu elektroenerģijas ražošanai, izmantojot AER, ar EK.</w:t>
            </w:r>
          </w:p>
        </w:tc>
        <w:tc>
          <w:tcPr>
            <w:tcW w:w="1134" w:type="dxa"/>
          </w:tcPr>
          <w:p w:rsidR="00BB2F9D" w:rsidRPr="001124C4" w:rsidRDefault="00BB2F9D" w:rsidP="00BB2F9D">
            <w:pPr>
              <w:rPr>
                <w:rFonts w:cs="Times New Roman"/>
                <w:i/>
                <w:sz w:val="22"/>
              </w:rPr>
            </w:pPr>
            <w:r w:rsidRPr="001124C4">
              <w:rPr>
                <w:rFonts w:cs="Times New Roman"/>
                <w:i/>
                <w:sz w:val="22"/>
              </w:rPr>
              <w:t>2016.</w:t>
            </w:r>
          </w:p>
        </w:tc>
        <w:tc>
          <w:tcPr>
            <w:tcW w:w="1559" w:type="dxa"/>
            <w:gridSpan w:val="2"/>
          </w:tcPr>
          <w:p w:rsidR="00BB2F9D" w:rsidRPr="001124C4" w:rsidRDefault="00BB2F9D" w:rsidP="00BB2F9D">
            <w:pPr>
              <w:rPr>
                <w:rFonts w:cs="Times New Roman"/>
                <w:i/>
                <w:sz w:val="22"/>
              </w:rPr>
            </w:pPr>
            <w:r w:rsidRPr="001124C4">
              <w:rPr>
                <w:rFonts w:cs="Times New Roman"/>
                <w:i/>
                <w:sz w:val="22"/>
              </w:rPr>
              <w:t>FM</w:t>
            </w:r>
          </w:p>
        </w:tc>
        <w:tc>
          <w:tcPr>
            <w:tcW w:w="2127" w:type="dxa"/>
            <w:gridSpan w:val="2"/>
          </w:tcPr>
          <w:p w:rsidR="00BB2F9D" w:rsidRPr="001124C4" w:rsidRDefault="00BB2F9D" w:rsidP="00BB2F9D">
            <w:pPr>
              <w:rPr>
                <w:rFonts w:cs="Times New Roman"/>
                <w:i/>
                <w:sz w:val="22"/>
              </w:rPr>
            </w:pPr>
            <w:r w:rsidRPr="001124C4">
              <w:rPr>
                <w:rFonts w:cs="Times New Roman"/>
                <w:i/>
                <w:sz w:val="22"/>
              </w:rPr>
              <w:t>EM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jc w:val="both"/>
              <w:rPr>
                <w:rFonts w:cs="Times New Roman"/>
                <w:sz w:val="22"/>
              </w:rPr>
            </w:pPr>
            <w:r>
              <w:rPr>
                <w:rFonts w:cs="Times New Roman"/>
                <w:sz w:val="22"/>
                <w:shd w:val="clear" w:color="auto" w:fill="FFFFFF"/>
              </w:rPr>
              <w:t>5</w:t>
            </w:r>
            <w:r w:rsidRPr="001124C4">
              <w:rPr>
                <w:rFonts w:cs="Times New Roman"/>
                <w:sz w:val="22"/>
                <w:shd w:val="clear" w:color="auto" w:fill="FFFFFF"/>
              </w:rPr>
              <w:t>.1.</w:t>
            </w:r>
            <w:r>
              <w:rPr>
                <w:rFonts w:cs="Times New Roman"/>
                <w:sz w:val="22"/>
                <w:shd w:val="clear" w:color="auto" w:fill="FFFFFF"/>
              </w:rPr>
              <w:t>7</w:t>
            </w:r>
            <w:r w:rsidRPr="001124C4">
              <w:rPr>
                <w:rFonts w:cs="Times New Roman"/>
                <w:sz w:val="22"/>
                <w:shd w:val="clear" w:color="auto" w:fill="FFFFFF"/>
              </w:rPr>
              <w:t>.</w:t>
            </w:r>
            <w:r w:rsidRPr="001124C4">
              <w:rPr>
                <w:rFonts w:cs="Times New Roman"/>
                <w:sz w:val="22"/>
              </w:rPr>
              <w:t xml:space="preserve"> Izstrādāt jaunu valsts atbalsta mehānismu </w:t>
            </w:r>
            <w:r>
              <w:rPr>
                <w:rFonts w:cs="Times New Roman"/>
                <w:sz w:val="22"/>
              </w:rPr>
              <w:t>energointensīvo uzņēmumu konkurētspējas saglabāšanai,</w:t>
            </w:r>
            <w:r w:rsidRPr="001124C4">
              <w:rPr>
                <w:rFonts w:cs="Times New Roman"/>
                <w:sz w:val="22"/>
              </w:rPr>
              <w:t xml:space="preserve">  atbilstoši EK Vadlīnijām par valsts atbalstu vides aizsardzībai un enerģētikai 2014. – 2020.gadam (publicētas 28.06.2014.)</w:t>
            </w:r>
            <w:r>
              <w:rPr>
                <w:rFonts w:cs="Times New Roman"/>
                <w:sz w:val="22"/>
              </w:rPr>
              <w:t xml:space="preserve"> </w:t>
            </w:r>
          </w:p>
        </w:tc>
        <w:tc>
          <w:tcPr>
            <w:tcW w:w="1134" w:type="dxa"/>
          </w:tcPr>
          <w:p w:rsidR="00BB2F9D" w:rsidRPr="001124C4" w:rsidRDefault="00BB2F9D" w:rsidP="00BB2F9D">
            <w:pPr>
              <w:rPr>
                <w:rFonts w:cs="Times New Roman"/>
                <w:i/>
                <w:sz w:val="22"/>
              </w:rPr>
            </w:pPr>
            <w:r w:rsidRPr="001124C4">
              <w:rPr>
                <w:rFonts w:cs="Times New Roman"/>
                <w:i/>
                <w:sz w:val="22"/>
              </w:rPr>
              <w:t>201</w:t>
            </w:r>
            <w:r>
              <w:rPr>
                <w:rFonts w:cs="Times New Roman"/>
                <w:i/>
                <w:sz w:val="22"/>
              </w:rPr>
              <w:t>4</w:t>
            </w:r>
            <w:r w:rsidRPr="001124C4">
              <w:rPr>
                <w:rFonts w:cs="Times New Roman"/>
                <w:i/>
                <w:sz w:val="22"/>
              </w:rPr>
              <w:t xml:space="preserve">. – </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 LTRK, LDDK, nozaru asociācijas</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0F22DB" w:rsidRDefault="00BB2F9D" w:rsidP="00BB2F9D">
            <w:pPr>
              <w:jc w:val="both"/>
              <w:rPr>
                <w:rFonts w:cs="Times New Roman"/>
                <w:sz w:val="22"/>
                <w:shd w:val="clear" w:color="auto" w:fill="FFFFFF"/>
              </w:rPr>
            </w:pPr>
            <w:r>
              <w:rPr>
                <w:rFonts w:cs="Times New Roman"/>
                <w:sz w:val="22"/>
                <w:shd w:val="clear" w:color="auto" w:fill="FFFFFF"/>
              </w:rPr>
              <w:t>5.1.8</w:t>
            </w:r>
            <w:r w:rsidRPr="000F22DB">
              <w:rPr>
                <w:rFonts w:cs="Times New Roman"/>
                <w:sz w:val="22"/>
                <w:shd w:val="clear" w:color="auto" w:fill="FFFFFF"/>
              </w:rPr>
              <w:t xml:space="preserve">. Saskaņot jauno valsts atbalsta mehānismu </w:t>
            </w:r>
            <w:r>
              <w:rPr>
                <w:rFonts w:cs="Times New Roman"/>
                <w:sz w:val="22"/>
                <w:shd w:val="clear" w:color="auto" w:fill="FFFFFF"/>
              </w:rPr>
              <w:t>energointensīvo uzņēmumu konkurētspējas saglabāšanai</w:t>
            </w:r>
            <w:r w:rsidRPr="000F22DB">
              <w:rPr>
                <w:rFonts w:cs="Times New Roman"/>
                <w:sz w:val="22"/>
                <w:shd w:val="clear" w:color="auto" w:fill="FFFFFF"/>
              </w:rPr>
              <w:t xml:space="preserve"> ar EK.</w:t>
            </w:r>
          </w:p>
        </w:tc>
        <w:tc>
          <w:tcPr>
            <w:tcW w:w="1134" w:type="dxa"/>
          </w:tcPr>
          <w:p w:rsidR="00BB2F9D" w:rsidRPr="001124C4" w:rsidRDefault="00BB2F9D" w:rsidP="00BB2F9D">
            <w:pPr>
              <w:rPr>
                <w:rFonts w:cs="Times New Roman"/>
                <w:i/>
                <w:sz w:val="22"/>
              </w:rPr>
            </w:pPr>
            <w:r>
              <w:rPr>
                <w:rFonts w:cs="Times New Roman"/>
                <w:i/>
                <w:sz w:val="22"/>
              </w:rPr>
              <w:t>2015</w:t>
            </w:r>
            <w:r w:rsidRPr="001124C4">
              <w:rPr>
                <w:rFonts w:cs="Times New Roman"/>
                <w:i/>
                <w:sz w:val="22"/>
              </w:rPr>
              <w:t>.</w:t>
            </w:r>
          </w:p>
        </w:tc>
        <w:tc>
          <w:tcPr>
            <w:tcW w:w="1559" w:type="dxa"/>
            <w:gridSpan w:val="2"/>
          </w:tcPr>
          <w:p w:rsidR="00BB2F9D" w:rsidRPr="001124C4" w:rsidRDefault="00BB2F9D" w:rsidP="00BB2F9D">
            <w:pPr>
              <w:rPr>
                <w:rFonts w:cs="Times New Roman"/>
                <w:i/>
                <w:sz w:val="22"/>
              </w:rPr>
            </w:pPr>
            <w:r w:rsidRPr="001124C4">
              <w:rPr>
                <w:rFonts w:cs="Times New Roman"/>
                <w:i/>
                <w:sz w:val="22"/>
              </w:rPr>
              <w:t>FM</w:t>
            </w:r>
          </w:p>
        </w:tc>
        <w:tc>
          <w:tcPr>
            <w:tcW w:w="2127" w:type="dxa"/>
            <w:gridSpan w:val="2"/>
          </w:tcPr>
          <w:p w:rsidR="00BB2F9D" w:rsidRPr="001124C4" w:rsidRDefault="00BB2F9D" w:rsidP="00BB2F9D">
            <w:pPr>
              <w:rPr>
                <w:rFonts w:cs="Times New Roman"/>
                <w:i/>
                <w:sz w:val="22"/>
              </w:rPr>
            </w:pPr>
            <w:r w:rsidRPr="001124C4">
              <w:rPr>
                <w:rFonts w:cs="Times New Roman"/>
                <w:i/>
                <w:sz w:val="22"/>
              </w:rPr>
              <w:t>EM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jc w:val="both"/>
              <w:rPr>
                <w:rFonts w:cs="Times New Roman"/>
                <w:sz w:val="22"/>
                <w:shd w:val="clear" w:color="auto" w:fill="FFFFFF"/>
              </w:rPr>
            </w:pPr>
            <w:r>
              <w:rPr>
                <w:rFonts w:cs="Times New Roman"/>
                <w:sz w:val="22"/>
                <w:shd w:val="clear" w:color="auto" w:fill="FFFFFF"/>
              </w:rPr>
              <w:t>5</w:t>
            </w:r>
            <w:r w:rsidRPr="001124C4">
              <w:rPr>
                <w:rFonts w:cs="Times New Roman"/>
                <w:sz w:val="22"/>
                <w:shd w:val="clear" w:color="auto" w:fill="FFFFFF"/>
              </w:rPr>
              <w:t>.1.9. Pēc saskaņošanas ar EK ieviest jaunos valsts atbalsta mehānismus (saistīts ar 8.punktu)</w:t>
            </w:r>
          </w:p>
        </w:tc>
        <w:tc>
          <w:tcPr>
            <w:tcW w:w="1134" w:type="dxa"/>
          </w:tcPr>
          <w:p w:rsidR="00BB2F9D" w:rsidRPr="001124C4" w:rsidRDefault="00BB2F9D" w:rsidP="00BB2F9D">
            <w:pPr>
              <w:rPr>
                <w:rFonts w:cs="Times New Roman"/>
                <w:i/>
                <w:sz w:val="22"/>
              </w:rPr>
            </w:pPr>
            <w:r w:rsidRPr="001124C4">
              <w:rPr>
                <w:rFonts w:cs="Times New Roman"/>
                <w:i/>
                <w:sz w:val="22"/>
              </w:rPr>
              <w:t>2017.</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jc w:val="both"/>
              <w:rPr>
                <w:rFonts w:cs="Times New Roman"/>
                <w:sz w:val="22"/>
                <w:shd w:val="clear" w:color="auto" w:fill="FFFFFF"/>
              </w:rPr>
            </w:pPr>
            <w:r>
              <w:rPr>
                <w:rFonts w:cs="Times New Roman"/>
                <w:sz w:val="22"/>
                <w:shd w:val="clear" w:color="auto" w:fill="FFFFFF"/>
              </w:rPr>
              <w:t>5</w:t>
            </w:r>
            <w:r w:rsidRPr="001124C4">
              <w:rPr>
                <w:rFonts w:cs="Times New Roman"/>
                <w:sz w:val="22"/>
                <w:shd w:val="clear" w:color="auto" w:fill="FFFFFF"/>
              </w:rPr>
              <w:t>.1.10. Sagatavot un iesniegt EK ziņojumus par sasniegto progresu enerģijas, kas ražota no AER, īpatsvara mērķim.</w:t>
            </w:r>
          </w:p>
        </w:tc>
        <w:tc>
          <w:tcPr>
            <w:tcW w:w="1134" w:type="dxa"/>
          </w:tcPr>
          <w:p w:rsidR="00BB2F9D" w:rsidRPr="001124C4" w:rsidRDefault="00BB2F9D" w:rsidP="00BB2F9D">
            <w:pPr>
              <w:rPr>
                <w:rFonts w:cs="Times New Roman"/>
                <w:i/>
                <w:sz w:val="22"/>
              </w:rPr>
            </w:pPr>
            <w:r w:rsidRPr="001124C4">
              <w:rPr>
                <w:rFonts w:cs="Times New Roman"/>
                <w:i/>
                <w:sz w:val="22"/>
              </w:rPr>
              <w:t>2015., 2017., 2019., 2021</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VARAM, ZM, FM, CSP, SPRK</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5</w:t>
            </w:r>
            <w:r w:rsidRPr="001124C4">
              <w:rPr>
                <w:rFonts w:cs="Times New Roman"/>
                <w:sz w:val="22"/>
              </w:rPr>
              <w:t>.1.11.  Izstrādāt normatīvo regulējumu</w:t>
            </w:r>
            <w:r>
              <w:rPr>
                <w:rFonts w:cs="Times New Roman"/>
                <w:sz w:val="22"/>
              </w:rPr>
              <w:t xml:space="preserve"> </w:t>
            </w:r>
            <w:r w:rsidRPr="001124C4">
              <w:rPr>
                <w:rFonts w:cs="Times New Roman"/>
                <w:sz w:val="22"/>
              </w:rPr>
              <w:t xml:space="preserve">jūras vēja enerģijas </w:t>
            </w:r>
            <w:r>
              <w:rPr>
                <w:rFonts w:cs="Times New Roman"/>
                <w:sz w:val="22"/>
              </w:rPr>
              <w:t xml:space="preserve">izmantošanas </w:t>
            </w:r>
            <w:r w:rsidRPr="001124C4">
              <w:rPr>
                <w:rFonts w:cs="Times New Roman"/>
                <w:sz w:val="22"/>
              </w:rPr>
              <w:t>attīstībai</w:t>
            </w:r>
          </w:p>
        </w:tc>
        <w:tc>
          <w:tcPr>
            <w:tcW w:w="1134" w:type="dxa"/>
          </w:tcPr>
          <w:p w:rsidR="00BB2F9D" w:rsidRPr="001124C4" w:rsidRDefault="00BB2F9D" w:rsidP="00BB2F9D">
            <w:pPr>
              <w:rPr>
                <w:rFonts w:cs="Times New Roman"/>
                <w:i/>
                <w:sz w:val="22"/>
              </w:rPr>
            </w:pPr>
            <w:r w:rsidRPr="001124C4">
              <w:rPr>
                <w:rFonts w:cs="Times New Roman"/>
                <w:i/>
                <w:sz w:val="22"/>
              </w:rPr>
              <w:t>2014. – 2015.</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VARAM, TM, SM, LPS, ZM, AIM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5</w:t>
            </w:r>
            <w:r w:rsidRPr="001124C4">
              <w:rPr>
                <w:rFonts w:cs="Times New Roman"/>
                <w:sz w:val="22"/>
              </w:rPr>
              <w:t>.1.12. Ikgadējā valsts budžeta sagatavošanas procesā veikt subsidētā elektroenerģijas nodokļa izvērtējumu un nepieciešamības gadījumā</w:t>
            </w:r>
            <w:r>
              <w:rPr>
                <w:rFonts w:cs="Times New Roman"/>
                <w:sz w:val="22"/>
              </w:rPr>
              <w:t xml:space="preserve"> -</w:t>
            </w:r>
            <w:r w:rsidRPr="001124C4">
              <w:rPr>
                <w:rFonts w:cs="Times New Roman"/>
                <w:sz w:val="22"/>
              </w:rPr>
              <w:t xml:space="preserve"> tā pārskatīšanu</w:t>
            </w:r>
          </w:p>
        </w:tc>
        <w:tc>
          <w:tcPr>
            <w:tcW w:w="1134" w:type="dxa"/>
          </w:tcPr>
          <w:p w:rsidR="00BB2F9D" w:rsidRPr="001124C4" w:rsidRDefault="00BB2F9D" w:rsidP="00BB2F9D">
            <w:pPr>
              <w:rPr>
                <w:rFonts w:cs="Times New Roman"/>
                <w:i/>
                <w:sz w:val="22"/>
              </w:rPr>
            </w:pPr>
            <w:r w:rsidRPr="001124C4">
              <w:rPr>
                <w:rFonts w:cs="Times New Roman"/>
                <w:i/>
                <w:sz w:val="22"/>
              </w:rPr>
              <w:t>2014., 2015., 2016.</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 xml:space="preserve">FM, ZM, VARAM, VID </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5</w:t>
            </w:r>
            <w:r w:rsidRPr="001124C4">
              <w:rPr>
                <w:rFonts w:cs="Times New Roman"/>
                <w:sz w:val="22"/>
              </w:rPr>
              <w:t>.1.13. Izstrādāt normatīvos aktus, nosakot prasības biogāze, kā arī sašķidrinātās dabasgāzes ievadīšanai dabasgāzes pārvades sistēmā</w:t>
            </w:r>
          </w:p>
        </w:tc>
        <w:tc>
          <w:tcPr>
            <w:tcW w:w="1134" w:type="dxa"/>
          </w:tcPr>
          <w:p w:rsidR="00BB2F9D" w:rsidRPr="001124C4" w:rsidRDefault="00BB2F9D" w:rsidP="00BB2F9D">
            <w:pPr>
              <w:rPr>
                <w:rFonts w:cs="Times New Roman"/>
                <w:i/>
                <w:sz w:val="22"/>
              </w:rPr>
            </w:pPr>
            <w:r w:rsidRPr="001124C4">
              <w:rPr>
                <w:rFonts w:cs="Times New Roman"/>
                <w:i/>
                <w:sz w:val="22"/>
              </w:rPr>
              <w:t>2014.</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TM, FM, VARAM, SM, LM, VM</w:t>
            </w:r>
          </w:p>
        </w:tc>
        <w:tc>
          <w:tcPr>
            <w:tcW w:w="2835" w:type="dxa"/>
            <w:gridSpan w:val="2"/>
          </w:tcPr>
          <w:p w:rsidR="00BB2F9D" w:rsidRPr="001124C4" w:rsidRDefault="00BB2F9D" w:rsidP="00BB2F9D">
            <w:pPr>
              <w:suppressAutoHyphens/>
              <w:rPr>
                <w:rFonts w:cs="Times New Roman"/>
                <w:color w:val="000000"/>
                <w:sz w:val="22"/>
              </w:rPr>
            </w:pPr>
            <w:r w:rsidRPr="001124C4">
              <w:rPr>
                <w:rFonts w:cs="Times New Roman"/>
                <w:color w:val="000000"/>
                <w:sz w:val="22"/>
              </w:rPr>
              <w:t>Valsts pamatbudžets</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D6185A" w:rsidRDefault="00BB2F9D" w:rsidP="00BB2F9D">
            <w:pPr>
              <w:keepLines/>
              <w:autoSpaceDE w:val="0"/>
              <w:autoSpaceDN w:val="0"/>
              <w:adjustRightInd w:val="0"/>
              <w:ind w:right="173"/>
              <w:jc w:val="both"/>
              <w:rPr>
                <w:rFonts w:cs="Times New Roman"/>
                <w:color w:val="000000"/>
                <w:sz w:val="22"/>
              </w:rPr>
            </w:pPr>
            <w:r>
              <w:rPr>
                <w:rFonts w:cs="Times New Roman"/>
                <w:color w:val="000000"/>
                <w:sz w:val="22"/>
              </w:rPr>
              <w:t>5</w:t>
            </w:r>
            <w:r w:rsidRPr="00D6185A">
              <w:rPr>
                <w:rFonts w:cs="Times New Roman"/>
                <w:color w:val="000000"/>
                <w:sz w:val="22"/>
              </w:rPr>
              <w:t>.2. Palielināt no AER saražotas enerģijas īpatsvaru enerģijas galapatēriņā transportā līdz 10%</w:t>
            </w:r>
          </w:p>
        </w:tc>
        <w:tc>
          <w:tcPr>
            <w:tcW w:w="1134" w:type="dxa"/>
            <w:shd w:val="clear" w:color="auto" w:fill="FABF8F" w:themeFill="accent6" w:themeFillTint="99"/>
          </w:tcPr>
          <w:p w:rsidR="00BB2F9D" w:rsidRPr="00D6185A" w:rsidRDefault="00BB2F9D" w:rsidP="00BB2F9D">
            <w:pPr>
              <w:keepLines/>
              <w:rPr>
                <w:rFonts w:cs="Times New Roman"/>
                <w:i/>
                <w:sz w:val="22"/>
              </w:rPr>
            </w:pPr>
          </w:p>
        </w:tc>
        <w:tc>
          <w:tcPr>
            <w:tcW w:w="1559" w:type="dxa"/>
            <w:gridSpan w:val="2"/>
            <w:shd w:val="clear" w:color="auto" w:fill="FABF8F" w:themeFill="accent6" w:themeFillTint="99"/>
          </w:tcPr>
          <w:p w:rsidR="00BB2F9D" w:rsidRPr="00D6185A" w:rsidRDefault="00BB2F9D" w:rsidP="00BB2F9D">
            <w:pPr>
              <w:keepLines/>
              <w:rPr>
                <w:rFonts w:cs="Times New Roman"/>
                <w:i/>
                <w:sz w:val="22"/>
              </w:rPr>
            </w:pPr>
          </w:p>
        </w:tc>
        <w:tc>
          <w:tcPr>
            <w:tcW w:w="2127" w:type="dxa"/>
            <w:gridSpan w:val="2"/>
            <w:shd w:val="clear" w:color="auto" w:fill="FABF8F" w:themeFill="accent6" w:themeFillTint="99"/>
          </w:tcPr>
          <w:p w:rsidR="00BB2F9D" w:rsidRPr="00D6185A" w:rsidRDefault="00BB2F9D" w:rsidP="00BB2F9D">
            <w:pPr>
              <w:keepLines/>
              <w:rPr>
                <w:rFonts w:cs="Times New Roman"/>
                <w:i/>
                <w:sz w:val="22"/>
              </w:rPr>
            </w:pPr>
          </w:p>
        </w:tc>
        <w:tc>
          <w:tcPr>
            <w:tcW w:w="2835" w:type="dxa"/>
            <w:gridSpan w:val="2"/>
            <w:shd w:val="clear" w:color="auto" w:fill="FABF8F" w:themeFill="accent6" w:themeFillTint="99"/>
          </w:tcPr>
          <w:p w:rsidR="00BB2F9D" w:rsidRPr="00D6185A" w:rsidRDefault="00BB2F9D" w:rsidP="00BB2F9D">
            <w:pPr>
              <w:keepLines/>
              <w:rPr>
                <w:rFonts w:cs="Times New Roman"/>
                <w:i/>
                <w:sz w:val="22"/>
              </w:rPr>
            </w:pP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sz w:val="22"/>
              </w:rPr>
            </w:pPr>
            <w:r>
              <w:rPr>
                <w:sz w:val="22"/>
              </w:rPr>
              <w:t>5.2.</w:t>
            </w:r>
            <w:r w:rsidRPr="00D6185A">
              <w:rPr>
                <w:sz w:val="22"/>
              </w:rPr>
              <w:t>1. Nodrošināt biomasas un biodegvielas atbilstību ilgtspējas kritērijiem, ņemot vērā iespējamās izmaiņas ILUC direktīvā</w:t>
            </w:r>
          </w:p>
        </w:tc>
        <w:tc>
          <w:tcPr>
            <w:tcW w:w="1134" w:type="dxa"/>
          </w:tcPr>
          <w:p w:rsidR="00BB2F9D" w:rsidRPr="00D6185A" w:rsidRDefault="00BB2F9D" w:rsidP="00BB2F9D">
            <w:pPr>
              <w:rPr>
                <w:i/>
                <w:sz w:val="22"/>
              </w:rPr>
            </w:pPr>
            <w:r w:rsidRPr="00D6185A">
              <w:rPr>
                <w:i/>
                <w:sz w:val="22"/>
              </w:rPr>
              <w:t>2016.</w:t>
            </w:r>
          </w:p>
        </w:tc>
        <w:tc>
          <w:tcPr>
            <w:tcW w:w="1559" w:type="dxa"/>
            <w:gridSpan w:val="2"/>
          </w:tcPr>
          <w:p w:rsidR="00BB2F9D" w:rsidRPr="00D6185A" w:rsidRDefault="00BB2F9D" w:rsidP="00BB2F9D">
            <w:pPr>
              <w:rPr>
                <w:i/>
                <w:sz w:val="22"/>
              </w:rPr>
            </w:pPr>
            <w:r w:rsidRPr="00D6185A">
              <w:rPr>
                <w:i/>
                <w:sz w:val="22"/>
              </w:rPr>
              <w:t>EM</w:t>
            </w:r>
          </w:p>
        </w:tc>
        <w:tc>
          <w:tcPr>
            <w:tcW w:w="2127" w:type="dxa"/>
            <w:gridSpan w:val="2"/>
          </w:tcPr>
          <w:p w:rsidR="00BB2F9D" w:rsidRPr="00D6185A" w:rsidRDefault="00BB2F9D" w:rsidP="00BB2F9D">
            <w:pPr>
              <w:rPr>
                <w:i/>
                <w:sz w:val="22"/>
              </w:rPr>
            </w:pPr>
            <w:r w:rsidRPr="00D6185A">
              <w:rPr>
                <w:i/>
                <w:sz w:val="22"/>
              </w:rPr>
              <w:t>ZM, VARAM</w:t>
            </w:r>
          </w:p>
        </w:tc>
        <w:tc>
          <w:tcPr>
            <w:tcW w:w="2835" w:type="dxa"/>
            <w:gridSpan w:val="2"/>
          </w:tcPr>
          <w:p w:rsidR="00BB2F9D" w:rsidRPr="00D6185A" w:rsidRDefault="00BB2F9D" w:rsidP="00BB2F9D">
            <w:pPr>
              <w:suppressAutoHyphens/>
              <w:rPr>
                <w:color w:val="000000"/>
                <w:sz w:val="22"/>
              </w:rPr>
            </w:pPr>
            <w:r w:rsidRPr="00D6185A">
              <w:rPr>
                <w:color w:val="000000"/>
                <w:sz w:val="22"/>
              </w:rPr>
              <w:t>Valsts pamatbudžets</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sz w:val="22"/>
              </w:rPr>
            </w:pPr>
            <w:r>
              <w:rPr>
                <w:sz w:val="22"/>
              </w:rPr>
              <w:lastRenderedPageBreak/>
              <w:t>5.2.</w:t>
            </w:r>
            <w:r w:rsidRPr="00D6185A">
              <w:rPr>
                <w:sz w:val="22"/>
              </w:rPr>
              <w:t>2. Izvērtēt biodegvielas 2.paaudzes un citu ilgtspējīgas biodegvielu ražošanas un izmantošanas iespējas Latvijā</w:t>
            </w:r>
          </w:p>
        </w:tc>
        <w:tc>
          <w:tcPr>
            <w:tcW w:w="1134" w:type="dxa"/>
          </w:tcPr>
          <w:p w:rsidR="00BB2F9D" w:rsidRPr="00D6185A" w:rsidRDefault="00BB2F9D" w:rsidP="00BB2F9D">
            <w:pPr>
              <w:rPr>
                <w:i/>
                <w:sz w:val="22"/>
              </w:rPr>
            </w:pPr>
            <w:r w:rsidRPr="00D6185A">
              <w:rPr>
                <w:i/>
                <w:sz w:val="22"/>
              </w:rPr>
              <w:t>2016.</w:t>
            </w:r>
          </w:p>
        </w:tc>
        <w:tc>
          <w:tcPr>
            <w:tcW w:w="1559" w:type="dxa"/>
            <w:gridSpan w:val="2"/>
          </w:tcPr>
          <w:p w:rsidR="00BB2F9D" w:rsidRPr="00D6185A" w:rsidRDefault="00BB2F9D" w:rsidP="00BB2F9D">
            <w:pPr>
              <w:rPr>
                <w:i/>
                <w:sz w:val="22"/>
              </w:rPr>
            </w:pPr>
            <w:r w:rsidRPr="00D6185A">
              <w:rPr>
                <w:i/>
                <w:sz w:val="22"/>
              </w:rPr>
              <w:t>EM</w:t>
            </w:r>
          </w:p>
        </w:tc>
        <w:tc>
          <w:tcPr>
            <w:tcW w:w="2127" w:type="dxa"/>
            <w:gridSpan w:val="2"/>
          </w:tcPr>
          <w:p w:rsidR="00BB2F9D" w:rsidRPr="00D6185A" w:rsidRDefault="00BB2F9D" w:rsidP="00BB2F9D">
            <w:pPr>
              <w:rPr>
                <w:i/>
                <w:sz w:val="22"/>
              </w:rPr>
            </w:pPr>
            <w:r w:rsidRPr="00D6185A">
              <w:rPr>
                <w:i/>
                <w:sz w:val="22"/>
              </w:rPr>
              <w:t>ZM, VARAM</w:t>
            </w:r>
          </w:p>
        </w:tc>
        <w:tc>
          <w:tcPr>
            <w:tcW w:w="2835" w:type="dxa"/>
            <w:gridSpan w:val="2"/>
          </w:tcPr>
          <w:p w:rsidR="00BB2F9D" w:rsidRPr="00D6185A" w:rsidRDefault="00BB2F9D" w:rsidP="00BB2F9D">
            <w:pPr>
              <w:suppressAutoHyphens/>
              <w:rPr>
                <w:color w:val="000000"/>
                <w:sz w:val="22"/>
              </w:rPr>
            </w:pPr>
            <w:r w:rsidRPr="00D6185A">
              <w:rPr>
                <w:color w:val="000000"/>
                <w:sz w:val="22"/>
              </w:rPr>
              <w:t>Valsts pamatbudžets</w:t>
            </w:r>
          </w:p>
        </w:tc>
      </w:tr>
      <w:tr w:rsidR="00BB2F9D" w:rsidRPr="00E119BF"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E119BF" w:rsidRDefault="00BB2F9D" w:rsidP="00BB2F9D">
            <w:pPr>
              <w:rPr>
                <w:sz w:val="22"/>
              </w:rPr>
            </w:pPr>
            <w:r>
              <w:rPr>
                <w:sz w:val="22"/>
              </w:rPr>
              <w:t>5</w:t>
            </w:r>
            <w:r w:rsidRPr="00E119BF">
              <w:rPr>
                <w:sz w:val="22"/>
              </w:rPr>
              <w:t>.2.</w:t>
            </w:r>
            <w:r>
              <w:rPr>
                <w:sz w:val="22"/>
              </w:rPr>
              <w:t>3</w:t>
            </w:r>
            <w:r w:rsidRPr="00E119BF">
              <w:rPr>
                <w:sz w:val="22"/>
              </w:rPr>
              <w:t>. S</w:t>
            </w:r>
            <w:r w:rsidRPr="00E119BF">
              <w:rPr>
                <w:bCs/>
                <w:sz w:val="22"/>
              </w:rPr>
              <w:t>askaņot ar Eiropas Komisiju jautājumu par samazināto akcīzes nodokļa likmju piemērošanu biodegvielai un biodegvielas un fosilās degvielas maisījumiem,</w:t>
            </w:r>
            <w:r w:rsidRPr="00E119BF">
              <w:rPr>
                <w:sz w:val="22"/>
              </w:rPr>
              <w:t xml:space="preserve"> kuros biodegvielas saturs ir vismaz 30%</w:t>
            </w:r>
            <w:r w:rsidRPr="00E119BF">
              <w:rPr>
                <w:bCs/>
                <w:sz w:val="22"/>
              </w:rPr>
              <w:t>, atbilstoši Līguma par Eiropas Savienības darbību 107. un 108.pantam.</w:t>
            </w:r>
          </w:p>
        </w:tc>
        <w:tc>
          <w:tcPr>
            <w:tcW w:w="1134" w:type="dxa"/>
          </w:tcPr>
          <w:p w:rsidR="00BB2F9D" w:rsidRPr="00E119BF" w:rsidRDefault="00BB2F9D" w:rsidP="00BB2F9D">
            <w:pPr>
              <w:rPr>
                <w:i/>
                <w:sz w:val="22"/>
              </w:rPr>
            </w:pPr>
            <w:r w:rsidRPr="00E119BF">
              <w:rPr>
                <w:i/>
                <w:sz w:val="22"/>
              </w:rPr>
              <w:t>2015.</w:t>
            </w:r>
          </w:p>
        </w:tc>
        <w:tc>
          <w:tcPr>
            <w:tcW w:w="1559" w:type="dxa"/>
            <w:gridSpan w:val="2"/>
          </w:tcPr>
          <w:p w:rsidR="00BB2F9D" w:rsidRPr="00E119BF" w:rsidRDefault="00BB2F9D" w:rsidP="00BB2F9D">
            <w:pPr>
              <w:rPr>
                <w:i/>
                <w:sz w:val="22"/>
              </w:rPr>
            </w:pPr>
            <w:r w:rsidRPr="00E119BF">
              <w:rPr>
                <w:i/>
                <w:sz w:val="22"/>
              </w:rPr>
              <w:t>EM</w:t>
            </w:r>
          </w:p>
        </w:tc>
        <w:tc>
          <w:tcPr>
            <w:tcW w:w="2127" w:type="dxa"/>
            <w:gridSpan w:val="2"/>
          </w:tcPr>
          <w:p w:rsidR="00BB2F9D" w:rsidRPr="00E119BF" w:rsidRDefault="00BB2F9D" w:rsidP="00BB2F9D">
            <w:pPr>
              <w:rPr>
                <w:i/>
                <w:sz w:val="22"/>
              </w:rPr>
            </w:pPr>
            <w:r w:rsidRPr="00E119BF">
              <w:rPr>
                <w:i/>
                <w:sz w:val="22"/>
              </w:rPr>
              <w:t>FM</w:t>
            </w:r>
          </w:p>
        </w:tc>
        <w:tc>
          <w:tcPr>
            <w:tcW w:w="2835" w:type="dxa"/>
            <w:gridSpan w:val="2"/>
          </w:tcPr>
          <w:p w:rsidR="00BB2F9D" w:rsidRPr="00E119BF" w:rsidRDefault="00BB2F9D" w:rsidP="00BB2F9D">
            <w:pPr>
              <w:suppressAutoHyphens/>
              <w:rPr>
                <w:color w:val="000000"/>
                <w:sz w:val="22"/>
              </w:rPr>
            </w:pPr>
            <w:r w:rsidRPr="00E119BF">
              <w:rPr>
                <w:color w:val="000000"/>
                <w:sz w:val="22"/>
              </w:rPr>
              <w:t>Valsts pamatbudžets</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i/>
                <w:sz w:val="22"/>
              </w:rPr>
            </w:pPr>
            <w:r>
              <w:rPr>
                <w:sz w:val="22"/>
              </w:rPr>
              <w:t>5.2.4.</w:t>
            </w:r>
            <w:r w:rsidRPr="00D6185A">
              <w:rPr>
                <w:rStyle w:val="FootnoteReference"/>
                <w:sz w:val="22"/>
                <w:szCs w:val="22"/>
              </w:rPr>
              <w:footnoteReference w:id="26"/>
            </w:r>
            <w:r w:rsidRPr="00D6185A">
              <w:rPr>
                <w:i/>
                <w:sz w:val="22"/>
              </w:rPr>
              <w:t xml:space="preserve"> </w:t>
            </w:r>
            <w:r w:rsidRPr="00D6185A">
              <w:rPr>
                <w:sz w:val="22"/>
              </w:rPr>
              <w:t>AR dzelzceļa koridora un Pierīgas pasažieru vilcienu maršrutu tīkla elektrifikācija ar 25 kV maiņspriegumu</w:t>
            </w:r>
          </w:p>
        </w:tc>
        <w:tc>
          <w:tcPr>
            <w:tcW w:w="1134" w:type="dxa"/>
          </w:tcPr>
          <w:p w:rsidR="00BB2F9D" w:rsidRPr="00D6185A" w:rsidRDefault="00BB2F9D" w:rsidP="00BB2F9D">
            <w:pPr>
              <w:rPr>
                <w:i/>
                <w:sz w:val="22"/>
              </w:rPr>
            </w:pPr>
            <w:r w:rsidRPr="00D6185A">
              <w:rPr>
                <w:i/>
                <w:sz w:val="22"/>
              </w:rPr>
              <w:t>2014. – 2022.</w:t>
            </w:r>
          </w:p>
        </w:tc>
        <w:tc>
          <w:tcPr>
            <w:tcW w:w="1559" w:type="dxa"/>
            <w:gridSpan w:val="2"/>
          </w:tcPr>
          <w:p w:rsidR="00BB2F9D" w:rsidRPr="00D6185A" w:rsidRDefault="00BB2F9D" w:rsidP="00BB2F9D">
            <w:pPr>
              <w:rPr>
                <w:i/>
                <w:sz w:val="22"/>
              </w:rPr>
            </w:pPr>
            <w:r w:rsidRPr="00D6185A">
              <w:rPr>
                <w:i/>
                <w:sz w:val="22"/>
              </w:rPr>
              <w:t>LDZ</w:t>
            </w:r>
          </w:p>
        </w:tc>
        <w:tc>
          <w:tcPr>
            <w:tcW w:w="2127" w:type="dxa"/>
            <w:gridSpan w:val="2"/>
          </w:tcPr>
          <w:p w:rsidR="00BB2F9D" w:rsidRPr="00D6185A" w:rsidRDefault="00BB2F9D" w:rsidP="00BB2F9D">
            <w:pPr>
              <w:rPr>
                <w:i/>
                <w:sz w:val="22"/>
              </w:rPr>
            </w:pPr>
            <w:r w:rsidRPr="00D6185A">
              <w:rPr>
                <w:i/>
                <w:sz w:val="22"/>
              </w:rPr>
              <w:t>SM</w:t>
            </w:r>
          </w:p>
        </w:tc>
        <w:tc>
          <w:tcPr>
            <w:tcW w:w="2835" w:type="dxa"/>
            <w:gridSpan w:val="2"/>
          </w:tcPr>
          <w:p w:rsidR="00BB2F9D" w:rsidRPr="00D6185A" w:rsidRDefault="00BB2F9D" w:rsidP="00BB2F9D">
            <w:pPr>
              <w:rPr>
                <w:sz w:val="22"/>
              </w:rPr>
            </w:pPr>
            <w:r w:rsidRPr="00D6185A">
              <w:rPr>
                <w:sz w:val="22"/>
              </w:rPr>
              <w:t xml:space="preserve">549,2 milj. EUR, 2014.-2020. Gada plānošanas perioda </w:t>
            </w:r>
            <w:r w:rsidRPr="00D6185A">
              <w:rPr>
                <w:iCs/>
                <w:sz w:val="22"/>
              </w:rPr>
              <w:t>ES fondi, cits ārvalstu finansējums (t.sk. CEF) un privātais līdzfinansējums</w:t>
            </w:r>
            <w:r w:rsidRPr="00D6185A" w:rsidDel="00654B10">
              <w:rPr>
                <w:sz w:val="22"/>
              </w:rPr>
              <w:t xml:space="preserve"> </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spacing w:after="120"/>
              <w:rPr>
                <w:sz w:val="22"/>
              </w:rPr>
            </w:pPr>
            <w:r>
              <w:rPr>
                <w:sz w:val="22"/>
              </w:rPr>
              <w:t>5.2.5.</w:t>
            </w:r>
            <w:r w:rsidRPr="00D6185A">
              <w:rPr>
                <w:rStyle w:val="FootnoteReference"/>
                <w:sz w:val="22"/>
                <w:szCs w:val="22"/>
              </w:rPr>
              <w:footnoteReference w:id="27"/>
            </w:r>
            <w:r w:rsidRPr="00D6185A">
              <w:rPr>
                <w:sz w:val="22"/>
              </w:rPr>
              <w:t xml:space="preserve"> Attīstīt videi draudzīgu sabiedriskā transporta (sliežu transporta) infrastruktūru.</w:t>
            </w:r>
          </w:p>
        </w:tc>
        <w:tc>
          <w:tcPr>
            <w:tcW w:w="1134" w:type="dxa"/>
          </w:tcPr>
          <w:p w:rsidR="00BB2F9D" w:rsidRPr="00D6185A" w:rsidRDefault="00BB2F9D" w:rsidP="00BB2F9D">
            <w:pPr>
              <w:spacing w:after="120"/>
              <w:rPr>
                <w:i/>
                <w:sz w:val="22"/>
              </w:rPr>
            </w:pPr>
            <w:r w:rsidRPr="00D6185A">
              <w:rPr>
                <w:i/>
                <w:sz w:val="22"/>
              </w:rPr>
              <w:t>2015.-2020.</w:t>
            </w:r>
          </w:p>
        </w:tc>
        <w:tc>
          <w:tcPr>
            <w:tcW w:w="1559" w:type="dxa"/>
            <w:gridSpan w:val="2"/>
          </w:tcPr>
          <w:p w:rsidR="00BB2F9D" w:rsidRPr="00D6185A" w:rsidRDefault="00BB2F9D" w:rsidP="00BB2F9D">
            <w:pPr>
              <w:spacing w:after="120"/>
              <w:rPr>
                <w:i/>
                <w:sz w:val="22"/>
              </w:rPr>
            </w:pPr>
            <w:r w:rsidRPr="00D6185A">
              <w:rPr>
                <w:i/>
                <w:sz w:val="22"/>
              </w:rPr>
              <w:t>SM</w:t>
            </w:r>
          </w:p>
        </w:tc>
        <w:tc>
          <w:tcPr>
            <w:tcW w:w="2127" w:type="dxa"/>
            <w:gridSpan w:val="2"/>
          </w:tcPr>
          <w:p w:rsidR="00BB2F9D" w:rsidRPr="00D6185A" w:rsidRDefault="00BB2F9D" w:rsidP="00BB2F9D">
            <w:pPr>
              <w:spacing w:after="120"/>
              <w:rPr>
                <w:i/>
                <w:sz w:val="22"/>
              </w:rPr>
            </w:pPr>
            <w:r w:rsidRPr="00D6185A">
              <w:rPr>
                <w:i/>
                <w:sz w:val="22"/>
              </w:rPr>
              <w:t>VARAM, Pašvaldības</w:t>
            </w:r>
          </w:p>
        </w:tc>
        <w:tc>
          <w:tcPr>
            <w:tcW w:w="2835" w:type="dxa"/>
            <w:gridSpan w:val="2"/>
          </w:tcPr>
          <w:p w:rsidR="00BB2F9D" w:rsidRPr="00D6185A" w:rsidRDefault="00BB2F9D" w:rsidP="00BB2F9D">
            <w:pPr>
              <w:spacing w:after="120"/>
              <w:rPr>
                <w:sz w:val="22"/>
                <w:highlight w:val="yellow"/>
              </w:rPr>
            </w:pPr>
            <w:r w:rsidRPr="00D6185A">
              <w:rPr>
                <w:sz w:val="22"/>
              </w:rPr>
              <w:t xml:space="preserve">128,1 milj. EUR, 2014-2020. Gada plānošanas perioda ES fondi, valsts pamatbudžets </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sz w:val="22"/>
              </w:rPr>
            </w:pPr>
            <w:r>
              <w:rPr>
                <w:sz w:val="22"/>
              </w:rPr>
              <w:t>5.2.6</w:t>
            </w:r>
            <w:r w:rsidRPr="00D6185A">
              <w:rPr>
                <w:sz w:val="22"/>
              </w:rPr>
              <w:t>. Īstenot Elektromobilitātes attīstības plānu 2014. – 2016.gadam apstiprināts ar Ministru kabineta 2014.gada 26.marta rīkojumu Nr.129)</w:t>
            </w:r>
          </w:p>
        </w:tc>
        <w:tc>
          <w:tcPr>
            <w:tcW w:w="1134" w:type="dxa"/>
          </w:tcPr>
          <w:p w:rsidR="00BB2F9D" w:rsidRPr="00D6185A" w:rsidRDefault="00BB2F9D" w:rsidP="00BB2F9D">
            <w:pPr>
              <w:rPr>
                <w:i/>
                <w:sz w:val="22"/>
              </w:rPr>
            </w:pPr>
            <w:r w:rsidRPr="00D6185A">
              <w:rPr>
                <w:i/>
                <w:sz w:val="22"/>
              </w:rPr>
              <w:t xml:space="preserve">2014. – 2016. </w:t>
            </w:r>
          </w:p>
        </w:tc>
        <w:tc>
          <w:tcPr>
            <w:tcW w:w="1559" w:type="dxa"/>
            <w:gridSpan w:val="2"/>
          </w:tcPr>
          <w:p w:rsidR="00BB2F9D" w:rsidRPr="00D6185A" w:rsidRDefault="00BB2F9D" w:rsidP="00BB2F9D">
            <w:pPr>
              <w:rPr>
                <w:i/>
                <w:sz w:val="22"/>
              </w:rPr>
            </w:pPr>
            <w:r w:rsidRPr="00D6185A">
              <w:rPr>
                <w:i/>
                <w:sz w:val="22"/>
              </w:rPr>
              <w:t>SM</w:t>
            </w:r>
          </w:p>
        </w:tc>
        <w:tc>
          <w:tcPr>
            <w:tcW w:w="2127" w:type="dxa"/>
            <w:gridSpan w:val="2"/>
          </w:tcPr>
          <w:p w:rsidR="00BB2F9D" w:rsidRPr="00D6185A" w:rsidRDefault="00BB2F9D" w:rsidP="00BB2F9D">
            <w:pPr>
              <w:rPr>
                <w:i/>
                <w:sz w:val="22"/>
              </w:rPr>
            </w:pPr>
            <w:r w:rsidRPr="00D6185A">
              <w:rPr>
                <w:i/>
                <w:sz w:val="22"/>
              </w:rPr>
              <w:t>EM, VARAM, EVKI, pašvaldības</w:t>
            </w:r>
          </w:p>
        </w:tc>
        <w:tc>
          <w:tcPr>
            <w:tcW w:w="2835" w:type="dxa"/>
            <w:gridSpan w:val="2"/>
          </w:tcPr>
          <w:p w:rsidR="00BB2F9D" w:rsidRPr="00D6185A" w:rsidRDefault="00BB2F9D" w:rsidP="00BB2F9D">
            <w:pPr>
              <w:suppressAutoHyphens/>
              <w:rPr>
                <w:color w:val="000000"/>
                <w:sz w:val="22"/>
              </w:rPr>
            </w:pPr>
            <w:r w:rsidRPr="00D6185A">
              <w:rPr>
                <w:color w:val="000000"/>
                <w:sz w:val="22"/>
              </w:rPr>
              <w:t>Valsts pamatbudžets, ES budžeta instrumenti, pašvaldību budžets, privātais finansējums</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sz w:val="22"/>
              </w:rPr>
            </w:pPr>
            <w:r>
              <w:rPr>
                <w:sz w:val="22"/>
              </w:rPr>
              <w:t>5.2.7.</w:t>
            </w:r>
            <w:r w:rsidRPr="00D6185A">
              <w:rPr>
                <w:rStyle w:val="FootnoteReference"/>
                <w:sz w:val="22"/>
                <w:szCs w:val="22"/>
              </w:rPr>
              <w:footnoteReference w:id="28"/>
            </w:r>
            <w:r w:rsidRPr="00D6185A">
              <w:rPr>
                <w:sz w:val="22"/>
              </w:rPr>
              <w:t xml:space="preserve"> Veicināt bezizmešu transporta attīstību Rīgas pilsētā  </w:t>
            </w:r>
          </w:p>
        </w:tc>
        <w:tc>
          <w:tcPr>
            <w:tcW w:w="1134" w:type="dxa"/>
          </w:tcPr>
          <w:p w:rsidR="00BB2F9D" w:rsidRPr="00D6185A" w:rsidRDefault="00BB2F9D" w:rsidP="00BB2F9D">
            <w:pPr>
              <w:rPr>
                <w:i/>
                <w:sz w:val="22"/>
              </w:rPr>
            </w:pPr>
            <w:r w:rsidRPr="00D6185A">
              <w:rPr>
                <w:i/>
                <w:sz w:val="22"/>
              </w:rPr>
              <w:t>2014. – 2020.</w:t>
            </w:r>
          </w:p>
        </w:tc>
        <w:tc>
          <w:tcPr>
            <w:tcW w:w="1559" w:type="dxa"/>
            <w:gridSpan w:val="2"/>
          </w:tcPr>
          <w:p w:rsidR="00BB2F9D" w:rsidRPr="00D6185A" w:rsidRDefault="00BB2F9D" w:rsidP="00BB2F9D">
            <w:pPr>
              <w:rPr>
                <w:i/>
                <w:sz w:val="22"/>
              </w:rPr>
            </w:pPr>
            <w:r w:rsidRPr="00D6185A">
              <w:rPr>
                <w:i/>
                <w:sz w:val="22"/>
              </w:rPr>
              <w:t>Rīgas dome</w:t>
            </w:r>
          </w:p>
        </w:tc>
        <w:tc>
          <w:tcPr>
            <w:tcW w:w="2127" w:type="dxa"/>
            <w:gridSpan w:val="2"/>
          </w:tcPr>
          <w:p w:rsidR="00BB2F9D" w:rsidRPr="00D6185A" w:rsidRDefault="00BB2F9D" w:rsidP="00BB2F9D">
            <w:pPr>
              <w:rPr>
                <w:i/>
                <w:sz w:val="22"/>
              </w:rPr>
            </w:pPr>
            <w:r w:rsidRPr="00D6185A">
              <w:rPr>
                <w:i/>
                <w:sz w:val="22"/>
              </w:rPr>
              <w:t>SIA „Rīgas satiksme”</w:t>
            </w:r>
          </w:p>
        </w:tc>
        <w:tc>
          <w:tcPr>
            <w:tcW w:w="2835" w:type="dxa"/>
            <w:gridSpan w:val="2"/>
          </w:tcPr>
          <w:p w:rsidR="00BB2F9D" w:rsidRPr="00D6185A" w:rsidRDefault="00BB2F9D" w:rsidP="00BB2F9D">
            <w:pPr>
              <w:suppressAutoHyphens/>
              <w:rPr>
                <w:color w:val="000000"/>
                <w:sz w:val="22"/>
              </w:rPr>
            </w:pPr>
            <w:r w:rsidRPr="00D6185A">
              <w:rPr>
                <w:color w:val="000000"/>
                <w:sz w:val="22"/>
              </w:rPr>
              <w:t>Pašvaldības budžets</w:t>
            </w:r>
          </w:p>
        </w:tc>
      </w:tr>
      <w:tr w:rsidR="00BB2F9D" w:rsidRPr="00D6185A"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D6185A" w:rsidRDefault="00BB2F9D" w:rsidP="00BB2F9D">
            <w:pPr>
              <w:rPr>
                <w:sz w:val="22"/>
              </w:rPr>
            </w:pPr>
            <w:r>
              <w:rPr>
                <w:sz w:val="22"/>
              </w:rPr>
              <w:t>5.2.8</w:t>
            </w:r>
            <w:r w:rsidRPr="00D6185A">
              <w:rPr>
                <w:sz w:val="22"/>
              </w:rPr>
              <w:t xml:space="preserve">. Izvērtēt iespējas atbalsta aktivitātēm saistībā ar biodegvielas attīstības un izmantošanas veicināšanu lauksaimniecībā </w:t>
            </w:r>
          </w:p>
        </w:tc>
        <w:tc>
          <w:tcPr>
            <w:tcW w:w="1134" w:type="dxa"/>
          </w:tcPr>
          <w:p w:rsidR="00BB2F9D" w:rsidRPr="00D6185A" w:rsidRDefault="00BB2F9D" w:rsidP="00BB2F9D">
            <w:pPr>
              <w:rPr>
                <w:i/>
                <w:sz w:val="22"/>
              </w:rPr>
            </w:pPr>
            <w:r w:rsidRPr="00D6185A">
              <w:rPr>
                <w:i/>
                <w:sz w:val="22"/>
              </w:rPr>
              <w:t>2014. – 2020.</w:t>
            </w:r>
          </w:p>
        </w:tc>
        <w:tc>
          <w:tcPr>
            <w:tcW w:w="1559" w:type="dxa"/>
            <w:gridSpan w:val="2"/>
          </w:tcPr>
          <w:p w:rsidR="00BB2F9D" w:rsidRPr="00D6185A" w:rsidRDefault="00BB2F9D" w:rsidP="00BB2F9D">
            <w:pPr>
              <w:rPr>
                <w:i/>
                <w:sz w:val="22"/>
              </w:rPr>
            </w:pPr>
            <w:r w:rsidRPr="00D6185A">
              <w:rPr>
                <w:i/>
                <w:sz w:val="22"/>
              </w:rPr>
              <w:t>ZM</w:t>
            </w:r>
          </w:p>
        </w:tc>
        <w:tc>
          <w:tcPr>
            <w:tcW w:w="2127" w:type="dxa"/>
            <w:gridSpan w:val="2"/>
          </w:tcPr>
          <w:p w:rsidR="00BB2F9D" w:rsidRPr="00D6185A" w:rsidRDefault="00BB2F9D" w:rsidP="00BB2F9D">
            <w:pPr>
              <w:rPr>
                <w:i/>
                <w:sz w:val="22"/>
              </w:rPr>
            </w:pPr>
            <w:r w:rsidRPr="00D6185A">
              <w:rPr>
                <w:i/>
                <w:sz w:val="22"/>
              </w:rPr>
              <w:t>EM, LOSP, LBAA</w:t>
            </w:r>
          </w:p>
        </w:tc>
        <w:tc>
          <w:tcPr>
            <w:tcW w:w="2835" w:type="dxa"/>
            <w:gridSpan w:val="2"/>
          </w:tcPr>
          <w:p w:rsidR="00BB2F9D" w:rsidRPr="00D6185A" w:rsidRDefault="00BB2F9D" w:rsidP="00BB2F9D">
            <w:pPr>
              <w:suppressAutoHyphens/>
              <w:rPr>
                <w:color w:val="000000"/>
                <w:sz w:val="22"/>
              </w:rPr>
            </w:pPr>
            <w:r w:rsidRPr="00D6185A">
              <w:rPr>
                <w:color w:val="000000"/>
                <w:sz w:val="22"/>
              </w:rPr>
              <w:t>Valsts pamatbudžets, ES budžeta finanšu instrumenti</w:t>
            </w:r>
          </w:p>
        </w:tc>
      </w:tr>
      <w:tr w:rsidR="00BB2F9D"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BB2F9D" w:rsidRPr="001124C4" w:rsidRDefault="00BB2F9D" w:rsidP="00BB2F9D">
            <w:pPr>
              <w:spacing w:before="120" w:after="120"/>
              <w:rPr>
                <w:rFonts w:cs="Times New Roman"/>
                <w:b/>
                <w:sz w:val="22"/>
              </w:rPr>
            </w:pPr>
            <w:r w:rsidRPr="001124C4">
              <w:rPr>
                <w:rFonts w:cs="Times New Roman"/>
                <w:b/>
                <w:sz w:val="22"/>
              </w:rPr>
              <w:t xml:space="preserve">Rīcības virziens mērķa sasniegšanai </w:t>
            </w:r>
          </w:p>
        </w:tc>
        <w:tc>
          <w:tcPr>
            <w:tcW w:w="7655" w:type="dxa"/>
            <w:gridSpan w:val="7"/>
            <w:shd w:val="clear" w:color="auto" w:fill="D9D9D9" w:themeFill="background1" w:themeFillShade="D9"/>
          </w:tcPr>
          <w:p w:rsidR="00BB2F9D" w:rsidRPr="001124C4" w:rsidRDefault="00BB2F9D" w:rsidP="00BB2F9D">
            <w:pPr>
              <w:spacing w:before="120" w:after="120"/>
              <w:rPr>
                <w:rFonts w:cs="Times New Roman"/>
                <w:b/>
                <w:i/>
                <w:sz w:val="22"/>
              </w:rPr>
            </w:pPr>
            <w:r>
              <w:rPr>
                <w:rFonts w:cs="Times New Roman"/>
                <w:b/>
                <w:i/>
                <w:sz w:val="22"/>
              </w:rPr>
              <w:t>6</w:t>
            </w:r>
            <w:r w:rsidRPr="001124C4">
              <w:rPr>
                <w:rFonts w:cs="Times New Roman"/>
                <w:b/>
                <w:i/>
                <w:sz w:val="22"/>
              </w:rPr>
              <w:t>. Uzlabota energoefektivitāte</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BB2F9D" w:rsidRPr="001124C4" w:rsidRDefault="00BB2F9D" w:rsidP="00BB2F9D">
            <w:pPr>
              <w:keepLines/>
              <w:rPr>
                <w:rFonts w:cs="Times New Roman"/>
                <w:i/>
                <w:sz w:val="22"/>
              </w:rPr>
            </w:pPr>
            <w:r>
              <w:rPr>
                <w:rFonts w:cs="Times New Roman"/>
                <w:sz w:val="22"/>
              </w:rPr>
              <w:t>6</w:t>
            </w:r>
            <w:r w:rsidRPr="001124C4">
              <w:rPr>
                <w:rFonts w:cs="Times New Roman"/>
                <w:sz w:val="22"/>
              </w:rPr>
              <w:t xml:space="preserve">.1. </w:t>
            </w:r>
            <w:r w:rsidRPr="001124C4">
              <w:rPr>
                <w:rFonts w:cs="Times New Roman"/>
                <w:b/>
                <w:i/>
                <w:sz w:val="22"/>
              </w:rPr>
              <w:t>Normatīvā regulējuma pilnveidošana un īstenošana</w:t>
            </w:r>
          </w:p>
        </w:tc>
        <w:tc>
          <w:tcPr>
            <w:tcW w:w="1134" w:type="dxa"/>
            <w:shd w:val="clear" w:color="auto" w:fill="FABF8F" w:themeFill="accent6" w:themeFillTint="99"/>
          </w:tcPr>
          <w:p w:rsidR="00BB2F9D" w:rsidRPr="001124C4" w:rsidRDefault="00BB2F9D" w:rsidP="00BB2F9D">
            <w:pPr>
              <w:keepLines/>
              <w:rPr>
                <w:rFonts w:cs="Times New Roman"/>
                <w:i/>
                <w:sz w:val="22"/>
              </w:rPr>
            </w:pPr>
          </w:p>
        </w:tc>
        <w:tc>
          <w:tcPr>
            <w:tcW w:w="1559" w:type="dxa"/>
            <w:gridSpan w:val="2"/>
            <w:shd w:val="clear" w:color="auto" w:fill="FABF8F" w:themeFill="accent6" w:themeFillTint="99"/>
          </w:tcPr>
          <w:p w:rsidR="00BB2F9D" w:rsidRPr="001124C4" w:rsidRDefault="00BB2F9D" w:rsidP="00BB2F9D">
            <w:pPr>
              <w:keepLines/>
              <w:rPr>
                <w:rFonts w:cs="Times New Roman"/>
                <w:i/>
                <w:sz w:val="22"/>
              </w:rPr>
            </w:pPr>
          </w:p>
        </w:tc>
        <w:tc>
          <w:tcPr>
            <w:tcW w:w="2127" w:type="dxa"/>
            <w:gridSpan w:val="2"/>
            <w:shd w:val="clear" w:color="auto" w:fill="FABF8F" w:themeFill="accent6" w:themeFillTint="99"/>
          </w:tcPr>
          <w:p w:rsidR="00BB2F9D" w:rsidRPr="001124C4" w:rsidRDefault="00BB2F9D" w:rsidP="00BB2F9D">
            <w:pPr>
              <w:keepLines/>
              <w:rPr>
                <w:rFonts w:cs="Times New Roman"/>
                <w:i/>
                <w:sz w:val="22"/>
              </w:rPr>
            </w:pPr>
          </w:p>
        </w:tc>
        <w:tc>
          <w:tcPr>
            <w:tcW w:w="2835" w:type="dxa"/>
            <w:gridSpan w:val="2"/>
            <w:shd w:val="clear" w:color="auto" w:fill="FABF8F" w:themeFill="accent6" w:themeFillTint="99"/>
          </w:tcPr>
          <w:p w:rsidR="00BB2F9D" w:rsidRPr="001124C4" w:rsidRDefault="00BB2F9D" w:rsidP="00BB2F9D">
            <w:pPr>
              <w:keepLines/>
              <w:rPr>
                <w:rFonts w:cs="Times New Roman"/>
                <w:i/>
                <w:sz w:val="22"/>
              </w:rPr>
            </w:pP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i/>
                <w:sz w:val="22"/>
              </w:rPr>
            </w:pPr>
            <w:r>
              <w:rPr>
                <w:rFonts w:cs="Times New Roman"/>
                <w:sz w:val="22"/>
              </w:rPr>
              <w:t>6</w:t>
            </w:r>
            <w:r w:rsidRPr="001124C4">
              <w:rPr>
                <w:rFonts w:cs="Times New Roman"/>
                <w:sz w:val="22"/>
              </w:rPr>
              <w:t xml:space="preserve">.1.1. Izstrādāt un iesniegt Ministru kabinetā Energoefektivitātes </w:t>
            </w:r>
            <w:r w:rsidRPr="001124C4">
              <w:rPr>
                <w:rFonts w:cs="Times New Roman"/>
                <w:sz w:val="22"/>
              </w:rPr>
              <w:lastRenderedPageBreak/>
              <w:t>likumprojektu.</w:t>
            </w:r>
          </w:p>
        </w:tc>
        <w:tc>
          <w:tcPr>
            <w:tcW w:w="1134" w:type="dxa"/>
          </w:tcPr>
          <w:p w:rsidR="00BB2F9D" w:rsidRPr="001124C4" w:rsidRDefault="00BB2F9D" w:rsidP="00BB2F9D">
            <w:pPr>
              <w:rPr>
                <w:rFonts w:cs="Times New Roman"/>
                <w:i/>
                <w:sz w:val="22"/>
              </w:rPr>
            </w:pPr>
            <w:r w:rsidRPr="001124C4">
              <w:rPr>
                <w:rFonts w:cs="Times New Roman"/>
                <w:i/>
                <w:sz w:val="22"/>
              </w:rPr>
              <w:lastRenderedPageBreak/>
              <w:t xml:space="preserve">2014. </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 xml:space="preserve">TM, VARAM, SM, </w:t>
            </w:r>
            <w:r w:rsidRPr="001124C4">
              <w:rPr>
                <w:rFonts w:cs="Times New Roman"/>
                <w:i/>
                <w:sz w:val="22"/>
              </w:rPr>
              <w:lastRenderedPageBreak/>
              <w:t>FM, ZM, SPRK, LSUA, LPS, LDDK, LBAS, LLPA, PKC, KNAB</w:t>
            </w:r>
          </w:p>
        </w:tc>
        <w:tc>
          <w:tcPr>
            <w:tcW w:w="2835" w:type="dxa"/>
            <w:gridSpan w:val="2"/>
          </w:tcPr>
          <w:p w:rsidR="00BB2F9D" w:rsidRPr="001124C4" w:rsidRDefault="00BB2F9D" w:rsidP="00BB2F9D">
            <w:pPr>
              <w:rPr>
                <w:rFonts w:cs="Times New Roman"/>
                <w:i/>
                <w:sz w:val="22"/>
              </w:rPr>
            </w:pPr>
            <w:r w:rsidRPr="001124C4">
              <w:rPr>
                <w:rFonts w:cs="Times New Roman"/>
                <w:i/>
                <w:sz w:val="22"/>
              </w:rPr>
              <w:lastRenderedPageBreak/>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lastRenderedPageBreak/>
              <w:t>6</w:t>
            </w:r>
            <w:r w:rsidRPr="001124C4">
              <w:rPr>
                <w:rFonts w:cs="Times New Roman"/>
                <w:sz w:val="22"/>
              </w:rPr>
              <w:t xml:space="preserve">.1.2. Ministru kabinetā iesniegt normatīvo aktu grozījumus publiskā iepirkuma jomā, lai nodrošinātu, </w:t>
            </w:r>
            <w:r w:rsidRPr="00BC7536">
              <w:rPr>
                <w:rFonts w:cs="Times New Roman"/>
                <w:sz w:val="22"/>
              </w:rPr>
              <w:t>ka centrālās valdības iestādes</w:t>
            </w:r>
            <w:r w:rsidRPr="001124C4">
              <w:rPr>
                <w:rFonts w:cs="Times New Roman"/>
                <w:sz w:val="22"/>
              </w:rPr>
              <w:t xml:space="preserve"> iegādājas tikai augsti energoefektīvus ražojumus, pakalpojumus un ēkas.</w:t>
            </w:r>
          </w:p>
        </w:tc>
        <w:tc>
          <w:tcPr>
            <w:tcW w:w="1134" w:type="dxa"/>
          </w:tcPr>
          <w:p w:rsidR="00BB2F9D" w:rsidRPr="001124C4" w:rsidRDefault="00BB2F9D" w:rsidP="00BB2F9D">
            <w:pPr>
              <w:rPr>
                <w:rFonts w:cs="Times New Roman"/>
                <w:i/>
                <w:sz w:val="22"/>
              </w:rPr>
            </w:pPr>
            <w:r w:rsidRPr="001124C4">
              <w:rPr>
                <w:rFonts w:cs="Times New Roman"/>
                <w:i/>
                <w:sz w:val="22"/>
              </w:rPr>
              <w:t>2014.</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 VARAM, IUB, AIZM, LDTA, LDAIF, DTRS, LDDK, LPPA, LPS, SM, ZUGD, ZM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.1.3. Izstrādāt normatīvo aktu par energoefektivitātes pienākumu shēmas izveidošanu un īstenošanu</w:t>
            </w:r>
          </w:p>
        </w:tc>
        <w:tc>
          <w:tcPr>
            <w:tcW w:w="1134" w:type="dxa"/>
          </w:tcPr>
          <w:p w:rsidR="00BB2F9D" w:rsidRPr="001124C4" w:rsidRDefault="00BB2F9D" w:rsidP="00BB2F9D">
            <w:pPr>
              <w:rPr>
                <w:rFonts w:cs="Times New Roman"/>
                <w:i/>
                <w:sz w:val="22"/>
              </w:rPr>
            </w:pPr>
            <w:r w:rsidRPr="001124C4">
              <w:rPr>
                <w:rFonts w:cs="Times New Roman"/>
                <w:i/>
                <w:sz w:val="22"/>
              </w:rPr>
              <w:t>2015.</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TM, VARAM, SM, FM, ZM, SPRK, LSUA</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.1.4. Izstrādāt valsts energoefektivitātes rīcības plānu un iesniegt EK</w:t>
            </w:r>
          </w:p>
        </w:tc>
        <w:tc>
          <w:tcPr>
            <w:tcW w:w="1134" w:type="dxa"/>
          </w:tcPr>
          <w:p w:rsidR="00BB2F9D" w:rsidRPr="001124C4" w:rsidRDefault="00BB2F9D" w:rsidP="00BB2F9D">
            <w:pPr>
              <w:rPr>
                <w:rFonts w:cs="Times New Roman"/>
                <w:i/>
                <w:sz w:val="22"/>
              </w:rPr>
            </w:pPr>
            <w:r w:rsidRPr="001124C4">
              <w:rPr>
                <w:rFonts w:cs="Times New Roman"/>
                <w:i/>
                <w:sz w:val="22"/>
              </w:rPr>
              <w:t>2017., 2020.</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TM, VARAM, SM, FM, ZM, SPRK</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.1.5. Veicināt brīvprātīgo vienošanos noslēgšanu par enerģijas efektivitātes pasākumu veikšanu</w:t>
            </w:r>
          </w:p>
        </w:tc>
        <w:tc>
          <w:tcPr>
            <w:tcW w:w="1134" w:type="dxa"/>
          </w:tcPr>
          <w:p w:rsidR="00BB2F9D" w:rsidRPr="001124C4" w:rsidRDefault="00BB2F9D" w:rsidP="00BB2F9D">
            <w:pPr>
              <w:rPr>
                <w:rFonts w:cs="Times New Roman"/>
                <w:i/>
                <w:sz w:val="22"/>
              </w:rPr>
            </w:pPr>
            <w:r w:rsidRPr="001124C4">
              <w:rPr>
                <w:rFonts w:cs="Times New Roman"/>
                <w:i/>
                <w:sz w:val="22"/>
              </w:rPr>
              <w:t>2015. – 2020.</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Nozaru asociācijas, uzņēmumi, plānošanas reģioni, pašvaldības</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 pašvaldību 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.1.6. Izstrādāt vietējos un reģionālos ilgtspējīgus enerģētikas attīstības plānus, ņemot vērā sagatavotos metodiskos norādījumus</w:t>
            </w:r>
          </w:p>
        </w:tc>
        <w:tc>
          <w:tcPr>
            <w:tcW w:w="1134" w:type="dxa"/>
          </w:tcPr>
          <w:p w:rsidR="00BB2F9D" w:rsidRPr="001124C4" w:rsidRDefault="00BB2F9D" w:rsidP="00BB2F9D">
            <w:pPr>
              <w:rPr>
                <w:rFonts w:cs="Times New Roman"/>
                <w:i/>
                <w:sz w:val="22"/>
              </w:rPr>
            </w:pPr>
            <w:r w:rsidRPr="001124C4">
              <w:rPr>
                <w:rFonts w:cs="Times New Roman"/>
                <w:i/>
                <w:sz w:val="22"/>
              </w:rPr>
              <w:t>2015. – 2020.</w:t>
            </w:r>
          </w:p>
        </w:tc>
        <w:tc>
          <w:tcPr>
            <w:tcW w:w="1559" w:type="dxa"/>
            <w:gridSpan w:val="2"/>
          </w:tcPr>
          <w:p w:rsidR="00BB2F9D" w:rsidRPr="001124C4" w:rsidRDefault="00BB2F9D" w:rsidP="00BB2F9D">
            <w:pPr>
              <w:rPr>
                <w:rFonts w:cs="Times New Roman"/>
                <w:i/>
                <w:sz w:val="22"/>
              </w:rPr>
            </w:pPr>
            <w:r w:rsidRPr="001124C4">
              <w:rPr>
                <w:rFonts w:cs="Times New Roman"/>
                <w:i/>
                <w:sz w:val="22"/>
              </w:rPr>
              <w:t>Pašvaldības, plānošanas reģioni</w:t>
            </w:r>
          </w:p>
        </w:tc>
        <w:tc>
          <w:tcPr>
            <w:tcW w:w="2127" w:type="dxa"/>
            <w:gridSpan w:val="2"/>
          </w:tcPr>
          <w:p w:rsidR="00BB2F9D" w:rsidRPr="001124C4" w:rsidRDefault="00BB2F9D" w:rsidP="00BB2F9D">
            <w:pPr>
              <w:rPr>
                <w:rFonts w:cs="Times New Roman"/>
                <w:i/>
                <w:sz w:val="22"/>
              </w:rPr>
            </w:pPr>
            <w:r w:rsidRPr="001124C4">
              <w:rPr>
                <w:rFonts w:cs="Times New Roman"/>
                <w:i/>
                <w:sz w:val="22"/>
              </w:rPr>
              <w:t>VARAM, EM</w:t>
            </w:r>
          </w:p>
        </w:tc>
        <w:tc>
          <w:tcPr>
            <w:tcW w:w="2835" w:type="dxa"/>
            <w:gridSpan w:val="2"/>
          </w:tcPr>
          <w:p w:rsidR="00BB2F9D" w:rsidRPr="001124C4" w:rsidRDefault="00BB2F9D" w:rsidP="00BB2F9D">
            <w:pPr>
              <w:rPr>
                <w:rFonts w:cs="Times New Roman"/>
                <w:i/>
                <w:sz w:val="22"/>
              </w:rPr>
            </w:pPr>
            <w:r w:rsidRPr="001124C4">
              <w:rPr>
                <w:rFonts w:cs="Times New Roman"/>
                <w:i/>
                <w:sz w:val="22"/>
              </w:rPr>
              <w:t>Pašvaldību 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0E0F03" w:rsidRDefault="00BB2F9D" w:rsidP="00BB2F9D">
            <w:pPr>
              <w:jc w:val="both"/>
              <w:rPr>
                <w:rFonts w:cs="Times New Roman"/>
                <w:sz w:val="22"/>
              </w:rPr>
            </w:pPr>
            <w:r>
              <w:rPr>
                <w:rFonts w:cs="Times New Roman"/>
                <w:sz w:val="22"/>
              </w:rPr>
              <w:t>6</w:t>
            </w:r>
            <w:r w:rsidRPr="000E0F03">
              <w:rPr>
                <w:rFonts w:cs="Times New Roman"/>
                <w:sz w:val="22"/>
              </w:rPr>
              <w:t>.1.7. Veicināt valsts īpašumā esošo un valsts centrālās valdības izmantojamo ēku energoefektivitātes plānu izstrādāšanu</w:t>
            </w:r>
          </w:p>
        </w:tc>
        <w:tc>
          <w:tcPr>
            <w:tcW w:w="1134" w:type="dxa"/>
          </w:tcPr>
          <w:p w:rsidR="00BB2F9D" w:rsidRPr="000E0F03" w:rsidRDefault="00BB2F9D" w:rsidP="00BB2F9D">
            <w:pPr>
              <w:rPr>
                <w:rFonts w:cs="Times New Roman"/>
                <w:i/>
                <w:sz w:val="22"/>
              </w:rPr>
            </w:pPr>
            <w:r w:rsidRPr="000E0F03">
              <w:rPr>
                <w:rFonts w:cs="Times New Roman"/>
                <w:i/>
                <w:sz w:val="22"/>
              </w:rPr>
              <w:t>2015. – 2020.</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Tiešās pārvaldes institūcijas</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.1.8. Organizēt diskusiju par energoefektivitātes kritēriju iekļaušanu visu valsts atbalsta programmu nosacījumos, lai energoefektivitāte kļūtu par horizontālu starpnozaru politikas mērķi</w:t>
            </w:r>
          </w:p>
        </w:tc>
        <w:tc>
          <w:tcPr>
            <w:tcW w:w="1134" w:type="dxa"/>
          </w:tcPr>
          <w:p w:rsidR="00BB2F9D" w:rsidRPr="001124C4" w:rsidRDefault="00BB2F9D" w:rsidP="00BB2F9D">
            <w:pPr>
              <w:rPr>
                <w:rFonts w:cs="Times New Roman"/>
                <w:i/>
                <w:sz w:val="22"/>
              </w:rPr>
            </w:pPr>
            <w:r w:rsidRPr="001124C4">
              <w:rPr>
                <w:rFonts w:cs="Times New Roman"/>
                <w:i/>
                <w:sz w:val="22"/>
              </w:rPr>
              <w:t>2014.- 2015.</w:t>
            </w:r>
          </w:p>
        </w:tc>
        <w:tc>
          <w:tcPr>
            <w:tcW w:w="1559" w:type="dxa"/>
            <w:gridSpan w:val="2"/>
          </w:tcPr>
          <w:p w:rsidR="00BB2F9D" w:rsidRPr="001124C4" w:rsidRDefault="00BB2F9D" w:rsidP="00BB2F9D">
            <w:pPr>
              <w:rPr>
                <w:rFonts w:cs="Times New Roman"/>
                <w:i/>
                <w:sz w:val="22"/>
              </w:rPr>
            </w:pPr>
            <w:r>
              <w:rPr>
                <w:rFonts w:cs="Times New Roman"/>
                <w:i/>
                <w:sz w:val="22"/>
              </w:rPr>
              <w:t>E</w:t>
            </w:r>
            <w:r w:rsidRPr="001124C4">
              <w:rPr>
                <w:rFonts w:cs="Times New Roman"/>
                <w:i/>
                <w:sz w:val="22"/>
              </w:rPr>
              <w:t>M</w:t>
            </w:r>
          </w:p>
        </w:tc>
        <w:tc>
          <w:tcPr>
            <w:tcW w:w="2127" w:type="dxa"/>
            <w:gridSpan w:val="2"/>
          </w:tcPr>
          <w:p w:rsidR="00BB2F9D" w:rsidRPr="001124C4" w:rsidRDefault="00BB2F9D" w:rsidP="00BB2F9D">
            <w:pPr>
              <w:rPr>
                <w:rFonts w:cs="Times New Roman"/>
                <w:i/>
                <w:sz w:val="22"/>
              </w:rPr>
            </w:pPr>
            <w:r w:rsidRPr="001124C4">
              <w:rPr>
                <w:rFonts w:cs="Times New Roman"/>
                <w:i/>
                <w:sz w:val="22"/>
              </w:rPr>
              <w:t>Nozaru ministrijas, nozaru asociācijas</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.1.9. Turpināt konsultācijas ar ieinteresētajām pusēm, tostarp banku sektoru, par ESKO attīstības veicināšanu</w:t>
            </w:r>
          </w:p>
        </w:tc>
        <w:tc>
          <w:tcPr>
            <w:tcW w:w="1134" w:type="dxa"/>
          </w:tcPr>
          <w:p w:rsidR="00BB2F9D" w:rsidRPr="001124C4" w:rsidRDefault="00BB2F9D" w:rsidP="00BB2F9D">
            <w:pPr>
              <w:rPr>
                <w:rFonts w:cs="Times New Roman"/>
                <w:i/>
                <w:sz w:val="22"/>
              </w:rPr>
            </w:pPr>
            <w:r w:rsidRPr="001124C4">
              <w:rPr>
                <w:rFonts w:cs="Times New Roman"/>
                <w:i/>
                <w:sz w:val="22"/>
              </w:rPr>
              <w:t>2014. – 2015.</w:t>
            </w:r>
          </w:p>
        </w:tc>
        <w:tc>
          <w:tcPr>
            <w:tcW w:w="1559" w:type="dxa"/>
            <w:gridSpan w:val="2"/>
          </w:tcPr>
          <w:p w:rsidR="00BB2F9D" w:rsidRPr="001124C4" w:rsidRDefault="00BB2F9D" w:rsidP="00BB2F9D">
            <w:pPr>
              <w:rPr>
                <w:rFonts w:cs="Times New Roman"/>
                <w:i/>
                <w:sz w:val="22"/>
              </w:rPr>
            </w:pPr>
            <w:r w:rsidRPr="001124C4">
              <w:rPr>
                <w:rFonts w:cs="Times New Roman"/>
                <w:i/>
                <w:sz w:val="22"/>
              </w:rPr>
              <w:t>EM</w:t>
            </w:r>
          </w:p>
        </w:tc>
        <w:tc>
          <w:tcPr>
            <w:tcW w:w="2127" w:type="dxa"/>
            <w:gridSpan w:val="2"/>
          </w:tcPr>
          <w:p w:rsidR="00BB2F9D" w:rsidRPr="001124C4" w:rsidRDefault="00BB2F9D" w:rsidP="00BB2F9D">
            <w:pPr>
              <w:rPr>
                <w:rFonts w:cs="Times New Roman"/>
                <w:i/>
                <w:sz w:val="22"/>
              </w:rPr>
            </w:pPr>
            <w:r w:rsidRPr="001124C4">
              <w:rPr>
                <w:rFonts w:cs="Times New Roman"/>
                <w:i/>
                <w:sz w:val="22"/>
              </w:rPr>
              <w:t>FM, VARAM</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BB2F9D"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BB2F9D" w:rsidRPr="001124C4" w:rsidRDefault="00BB2F9D" w:rsidP="00BB2F9D">
            <w:pPr>
              <w:rPr>
                <w:rFonts w:cs="Times New Roman"/>
                <w:sz w:val="22"/>
              </w:rPr>
            </w:pPr>
            <w:r>
              <w:rPr>
                <w:rFonts w:cs="Times New Roman"/>
                <w:sz w:val="22"/>
              </w:rPr>
              <w:t>6</w:t>
            </w:r>
            <w:r w:rsidRPr="001124C4">
              <w:rPr>
                <w:rFonts w:cs="Times New Roman"/>
                <w:sz w:val="22"/>
              </w:rPr>
              <w:t>.1.10. Izstrādāt un ieviest vadlīnijas zaļā iepirkuma veikšanai: „Zaļā iepirkuma veicināšanas plāns 2014. - 2016. gadam”</w:t>
            </w:r>
          </w:p>
        </w:tc>
        <w:tc>
          <w:tcPr>
            <w:tcW w:w="1134" w:type="dxa"/>
          </w:tcPr>
          <w:p w:rsidR="00BB2F9D" w:rsidRPr="001124C4" w:rsidRDefault="00BB2F9D" w:rsidP="00BB2F9D">
            <w:pPr>
              <w:rPr>
                <w:rFonts w:cs="Times New Roman"/>
                <w:i/>
                <w:sz w:val="22"/>
              </w:rPr>
            </w:pPr>
            <w:r w:rsidRPr="001124C4">
              <w:rPr>
                <w:rFonts w:cs="Times New Roman"/>
                <w:i/>
                <w:sz w:val="22"/>
              </w:rPr>
              <w:t>2014.</w:t>
            </w:r>
          </w:p>
        </w:tc>
        <w:tc>
          <w:tcPr>
            <w:tcW w:w="1559" w:type="dxa"/>
            <w:gridSpan w:val="2"/>
          </w:tcPr>
          <w:p w:rsidR="00BB2F9D" w:rsidRPr="001124C4" w:rsidRDefault="00BB2F9D" w:rsidP="00BB2F9D">
            <w:pPr>
              <w:rPr>
                <w:rFonts w:cs="Times New Roman"/>
                <w:i/>
                <w:sz w:val="22"/>
              </w:rPr>
            </w:pPr>
            <w:r w:rsidRPr="001124C4">
              <w:rPr>
                <w:rFonts w:cs="Times New Roman"/>
                <w:i/>
                <w:sz w:val="22"/>
              </w:rPr>
              <w:t>VARAM</w:t>
            </w:r>
          </w:p>
        </w:tc>
        <w:tc>
          <w:tcPr>
            <w:tcW w:w="2127" w:type="dxa"/>
            <w:gridSpan w:val="2"/>
          </w:tcPr>
          <w:p w:rsidR="00BB2F9D" w:rsidRPr="001124C4" w:rsidRDefault="00BB2F9D" w:rsidP="00BB2F9D">
            <w:pPr>
              <w:rPr>
                <w:rFonts w:cs="Times New Roman"/>
                <w:i/>
                <w:sz w:val="22"/>
              </w:rPr>
            </w:pPr>
            <w:r w:rsidRPr="001124C4">
              <w:rPr>
                <w:rFonts w:cs="Times New Roman"/>
                <w:i/>
                <w:sz w:val="22"/>
              </w:rPr>
              <w:t>Nozaru ministrijas, IUB, pašvaldības</w:t>
            </w:r>
          </w:p>
        </w:tc>
        <w:tc>
          <w:tcPr>
            <w:tcW w:w="2835" w:type="dxa"/>
            <w:gridSpan w:val="2"/>
          </w:tcPr>
          <w:p w:rsidR="00BB2F9D" w:rsidRPr="001124C4" w:rsidRDefault="00BB2F9D" w:rsidP="00BB2F9D">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E93DA8" w:rsidRDefault="0026776A" w:rsidP="0026776A">
            <w:pPr>
              <w:jc w:val="both"/>
              <w:rPr>
                <w:rFonts w:cs="Times New Roman"/>
                <w:sz w:val="22"/>
              </w:rPr>
            </w:pPr>
            <w:r w:rsidRPr="00E93DA8">
              <w:rPr>
                <w:rFonts w:cs="Times New Roman"/>
                <w:sz w:val="22"/>
              </w:rPr>
              <w:t xml:space="preserve">6.1.11. </w:t>
            </w:r>
            <w:r w:rsidR="00E93DA8" w:rsidRPr="00E93DA8">
              <w:rPr>
                <w:sz w:val="22"/>
              </w:rPr>
              <w:t xml:space="preserve">Veikt pārrunas ar Eiropas Komisiju par iespēju obligātā mērķa izpildē Energoefektivitātes pienākuma shēmas ietvaros ieskaitīt </w:t>
            </w:r>
            <w:r w:rsidR="00E93DA8" w:rsidRPr="00E93DA8">
              <w:rPr>
                <w:sz w:val="22"/>
              </w:rPr>
              <w:lastRenderedPageBreak/>
              <w:t>pārveidošanas sektorā (koģenerācijas staciju modernizācijas rezultātā) panākto enerģijas ietaupījumu</w:t>
            </w:r>
            <w:r w:rsidR="00E93DA8">
              <w:rPr>
                <w:sz w:val="22"/>
              </w:rPr>
              <w:t>.</w:t>
            </w:r>
          </w:p>
        </w:tc>
        <w:tc>
          <w:tcPr>
            <w:tcW w:w="1134" w:type="dxa"/>
          </w:tcPr>
          <w:p w:rsidR="0026776A" w:rsidRPr="001124C4" w:rsidRDefault="0026776A" w:rsidP="0026776A">
            <w:pPr>
              <w:rPr>
                <w:rFonts w:cs="Times New Roman"/>
                <w:i/>
                <w:sz w:val="22"/>
              </w:rPr>
            </w:pPr>
            <w:r w:rsidRPr="001124C4">
              <w:rPr>
                <w:rFonts w:cs="Times New Roman"/>
                <w:i/>
                <w:sz w:val="22"/>
              </w:rPr>
              <w:lastRenderedPageBreak/>
              <w:t>2014. – 2020.</w:t>
            </w:r>
          </w:p>
        </w:tc>
        <w:tc>
          <w:tcPr>
            <w:tcW w:w="1559" w:type="dxa"/>
            <w:gridSpan w:val="2"/>
          </w:tcPr>
          <w:p w:rsidR="0026776A" w:rsidRPr="001124C4" w:rsidRDefault="0026776A" w:rsidP="0026776A">
            <w:pPr>
              <w:rPr>
                <w:rFonts w:cs="Times New Roman"/>
                <w:i/>
                <w:sz w:val="22"/>
              </w:rPr>
            </w:pPr>
            <w:r>
              <w:rPr>
                <w:rFonts w:cs="Times New Roman"/>
                <w:i/>
                <w:sz w:val="22"/>
              </w:rPr>
              <w:t>AM</w:t>
            </w:r>
          </w:p>
        </w:tc>
        <w:tc>
          <w:tcPr>
            <w:tcW w:w="2127" w:type="dxa"/>
            <w:gridSpan w:val="2"/>
          </w:tcPr>
          <w:p w:rsidR="0026776A" w:rsidRPr="001124C4" w:rsidRDefault="00463584" w:rsidP="00463584">
            <w:pPr>
              <w:rPr>
                <w:rFonts w:cs="Times New Roman"/>
                <w:i/>
                <w:sz w:val="22"/>
              </w:rPr>
            </w:pPr>
            <w:r>
              <w:rPr>
                <w:rFonts w:cs="Times New Roman"/>
                <w:i/>
                <w:sz w:val="22"/>
              </w:rPr>
              <w:t xml:space="preserve"> EM, FM, VARAM, Latvijas Gāze, </w:t>
            </w:r>
            <w:r>
              <w:rPr>
                <w:rFonts w:cs="Times New Roman"/>
                <w:i/>
                <w:sz w:val="22"/>
              </w:rPr>
              <w:lastRenderedPageBreak/>
              <w:t>Latvenergo,  LSUA, REA</w:t>
            </w:r>
          </w:p>
        </w:tc>
        <w:tc>
          <w:tcPr>
            <w:tcW w:w="2835" w:type="dxa"/>
            <w:gridSpan w:val="2"/>
          </w:tcPr>
          <w:p w:rsidR="0026776A" w:rsidRPr="001124C4" w:rsidRDefault="0026776A" w:rsidP="0026776A">
            <w:pPr>
              <w:rPr>
                <w:rFonts w:cs="Times New Roman"/>
                <w:i/>
                <w:sz w:val="22"/>
              </w:rPr>
            </w:pPr>
            <w:r w:rsidRPr="001124C4">
              <w:rPr>
                <w:rFonts w:cs="Times New Roman"/>
                <w:i/>
                <w:sz w:val="22"/>
              </w:rPr>
              <w:lastRenderedPageBreak/>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sz w:val="22"/>
              </w:rPr>
            </w:pPr>
            <w:r>
              <w:rPr>
                <w:rFonts w:cs="Times New Roman"/>
                <w:sz w:val="22"/>
              </w:rPr>
              <w:lastRenderedPageBreak/>
              <w:t>6</w:t>
            </w:r>
            <w:r w:rsidRPr="001124C4">
              <w:rPr>
                <w:rFonts w:cs="Times New Roman"/>
                <w:sz w:val="22"/>
              </w:rPr>
              <w:t xml:space="preserve">.2. </w:t>
            </w:r>
            <w:r w:rsidRPr="001124C4">
              <w:rPr>
                <w:rFonts w:cs="Times New Roman"/>
                <w:b/>
                <w:i/>
                <w:sz w:val="22"/>
              </w:rPr>
              <w:t>Energoefektivitātes paaugstināšana ēkās</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r>
      <w:tr w:rsidR="0026776A" w:rsidRPr="002874B4"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 xml:space="preserve">.2.1. Īstenot </w:t>
            </w:r>
            <w:r w:rsidRPr="001124C4">
              <w:rPr>
                <w:rFonts w:cs="Times New Roman"/>
                <w:bCs/>
                <w:color w:val="000000"/>
                <w:sz w:val="22"/>
              </w:rPr>
              <w:t>energoefektivitātes paaugstināšanas pasākumus valsts ēkās</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2014. – 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FM, tiešās valsts pārvaldes iestādes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 ES fondu līdzfinansējums 97,86 miljoni euro</w:t>
            </w:r>
          </w:p>
          <w:p w:rsidR="0026776A" w:rsidRPr="001124C4" w:rsidRDefault="0026776A" w:rsidP="0026776A">
            <w:pPr>
              <w:rPr>
                <w:rFonts w:cs="Times New Roman"/>
                <w:i/>
                <w:sz w:val="22"/>
              </w:rPr>
            </w:pPr>
          </w:p>
        </w:tc>
      </w:tr>
      <w:tr w:rsidR="0026776A" w:rsidRPr="002874B4"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.2.2. Īstenot energoefektivitātes pasākumus</w:t>
            </w:r>
            <w:r>
              <w:rPr>
                <w:rFonts w:cs="Times New Roman"/>
                <w:sz w:val="22"/>
              </w:rPr>
              <w:t xml:space="preserve"> </w:t>
            </w:r>
            <w:r w:rsidRPr="001124C4">
              <w:rPr>
                <w:rFonts w:cs="Times New Roman"/>
                <w:sz w:val="22"/>
              </w:rPr>
              <w:t>daudzdzīvokļu ēkās</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2014. – 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FM, pašvaldības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 ES fondu līdzfinansējums</w:t>
            </w:r>
          </w:p>
          <w:p w:rsidR="0026776A" w:rsidRPr="001124C4" w:rsidRDefault="0026776A" w:rsidP="0026776A">
            <w:pPr>
              <w:rPr>
                <w:rFonts w:cs="Times New Roman"/>
                <w:i/>
                <w:sz w:val="22"/>
              </w:rPr>
            </w:pPr>
            <w:r w:rsidRPr="001124C4">
              <w:rPr>
                <w:rFonts w:cs="Times New Roman"/>
                <w:i/>
                <w:sz w:val="22"/>
              </w:rPr>
              <w:t>150  miljoni euro</w:t>
            </w:r>
          </w:p>
        </w:tc>
      </w:tr>
      <w:tr w:rsidR="0026776A" w:rsidRPr="002874B4"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 xml:space="preserve">.2.3. Īstenot energoefektivitātes pasākumus pašvaldību  </w:t>
            </w:r>
            <w:r w:rsidRPr="001124C4">
              <w:rPr>
                <w:rFonts w:cs="Times New Roman"/>
                <w:bCs/>
                <w:color w:val="000000"/>
                <w:sz w:val="22"/>
              </w:rPr>
              <w:t>ēkās</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VARAM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FM, EM, pašvaldības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Pašvaldību budžeti, ES fondu līdzfinansējums</w:t>
            </w:r>
          </w:p>
          <w:p w:rsidR="0026776A" w:rsidRPr="001124C4" w:rsidRDefault="0026776A" w:rsidP="0026776A">
            <w:pPr>
              <w:rPr>
                <w:rFonts w:cs="Times New Roman"/>
                <w:i/>
                <w:sz w:val="22"/>
              </w:rPr>
            </w:pPr>
            <w:r w:rsidRPr="001124C4">
              <w:rPr>
                <w:rFonts w:cs="Times New Roman"/>
                <w:i/>
                <w:sz w:val="22"/>
              </w:rPr>
              <w:t>42,56 miljoni euro</w:t>
            </w:r>
          </w:p>
        </w:tc>
      </w:tr>
      <w:tr w:rsidR="0026776A" w:rsidRPr="008C38F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sz w:val="22"/>
              </w:rPr>
            </w:pPr>
            <w:r>
              <w:rPr>
                <w:rFonts w:cs="Times New Roman"/>
                <w:sz w:val="22"/>
              </w:rPr>
              <w:t>6</w:t>
            </w:r>
            <w:r w:rsidRPr="001124C4">
              <w:rPr>
                <w:rFonts w:cs="Times New Roman"/>
                <w:sz w:val="22"/>
              </w:rPr>
              <w:t xml:space="preserve">.3. </w:t>
            </w:r>
            <w:r w:rsidRPr="001124C4">
              <w:rPr>
                <w:rFonts w:cs="Times New Roman"/>
                <w:b/>
                <w:i/>
                <w:sz w:val="22"/>
              </w:rPr>
              <w:t>Energoefektivitātes paaugstināšana rūpniecības sektorā</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r>
      <w:tr w:rsidR="0026776A" w:rsidRPr="004A20A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 xml:space="preserve">.3.1. </w:t>
            </w:r>
            <w:r w:rsidRPr="001124C4">
              <w:rPr>
                <w:rFonts w:cs="Times New Roman"/>
                <w:color w:val="000000"/>
                <w:sz w:val="22"/>
              </w:rPr>
              <w:t>Veicināt uzņēmumu darbības energoefektivitātes paaugstināšanu, ieviešot energoauditu un energovadības sistēmu, aktivizējot nozaru asociācijas lomu energoefektivitātes veicināšanai, rosinot diskusiju par enerģijas patēriņa līmeņatzīmju noteikšanu nozarē</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2015. – 2017.</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SM, ZM, FM, LTRK, LDDK, nozaru asociācijas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p>
        </w:tc>
      </w:tr>
      <w:tr w:rsidR="0026776A" w:rsidRPr="004A20A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.3.2. Īstenot energoefektivitātes pasākumus</w:t>
            </w:r>
            <w:r>
              <w:rPr>
                <w:rFonts w:cs="Times New Roman"/>
                <w:sz w:val="22"/>
              </w:rPr>
              <w:t xml:space="preserve"> </w:t>
            </w:r>
            <w:r w:rsidRPr="001124C4">
              <w:rPr>
                <w:rFonts w:cs="Times New Roman"/>
                <w:color w:val="000000"/>
                <w:sz w:val="22"/>
              </w:rPr>
              <w:t>industriālajās ēkās</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FM, nozaru asociācijas, uzņēmēji</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 ES fondu līdzfinansējums</w:t>
            </w:r>
          </w:p>
          <w:p w:rsidR="0026776A" w:rsidRPr="001124C4" w:rsidRDefault="0026776A" w:rsidP="0026776A">
            <w:pPr>
              <w:rPr>
                <w:rFonts w:cs="Times New Roman"/>
                <w:i/>
                <w:sz w:val="22"/>
              </w:rPr>
            </w:pPr>
            <w:r w:rsidRPr="001124C4">
              <w:rPr>
                <w:rFonts w:cs="Times New Roman"/>
                <w:i/>
                <w:sz w:val="22"/>
              </w:rPr>
              <w:t>32,56 miljoni euro</w:t>
            </w:r>
          </w:p>
        </w:tc>
      </w:tr>
      <w:tr w:rsidR="0026776A" w:rsidRPr="008C38F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sz w:val="22"/>
              </w:rPr>
            </w:pPr>
            <w:r>
              <w:rPr>
                <w:rFonts w:cs="Times New Roman"/>
                <w:sz w:val="22"/>
              </w:rPr>
              <w:t>6</w:t>
            </w:r>
            <w:r w:rsidRPr="001124C4">
              <w:rPr>
                <w:rFonts w:cs="Times New Roman"/>
                <w:sz w:val="22"/>
              </w:rPr>
              <w:t xml:space="preserve">.4. </w:t>
            </w:r>
            <w:r w:rsidRPr="001124C4">
              <w:rPr>
                <w:rFonts w:cs="Times New Roman"/>
                <w:b/>
                <w:i/>
                <w:sz w:val="22"/>
              </w:rPr>
              <w:t>Sabiedrības informēšana un izglītošana par energoefektivitātes lietderību</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r>
      <w:tr w:rsidR="0026776A" w:rsidRPr="004A20A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.4.1. Informēt sabiedrību par dažādām energoefektivitātes palielināšanas iespējām un praksi (2014.-2020.gada ES fondu plānošanas periods)</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2015. – 2017.</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SM,ZM,FM, LTRK, LDDK, nozaru asociācijas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r>
              <w:rPr>
                <w:rFonts w:cs="Times New Roman"/>
                <w:i/>
                <w:sz w:val="22"/>
              </w:rPr>
              <w:t xml:space="preserve">, ES finansējums </w:t>
            </w:r>
          </w:p>
        </w:tc>
      </w:tr>
      <w:tr w:rsidR="0026776A" w:rsidRPr="004A20A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jc w:val="both"/>
              <w:rPr>
                <w:rFonts w:cs="Times New Roman"/>
                <w:sz w:val="22"/>
              </w:rPr>
            </w:pPr>
            <w:r>
              <w:rPr>
                <w:rFonts w:cs="Times New Roman"/>
                <w:sz w:val="22"/>
              </w:rPr>
              <w:t>6</w:t>
            </w:r>
            <w:r w:rsidRPr="001124C4">
              <w:rPr>
                <w:rFonts w:cs="Times New Roman"/>
                <w:sz w:val="22"/>
              </w:rPr>
              <w:t>.4.2. Veicināt viedo enerģijas skaitītāju ieviešanu, palielinot patērētāju izpratni par savu enerģijas patēriņu un radot iespēju to regulēt un samazināt patērēto energoresursu daudzumu</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EM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FM, nozaru asociācijas, uzņēmēji</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p>
        </w:tc>
      </w:tr>
      <w:tr w:rsidR="0026776A" w:rsidRPr="008C38F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jc w:val="both"/>
              <w:rPr>
                <w:rFonts w:cs="Times New Roman"/>
                <w:sz w:val="22"/>
              </w:rPr>
            </w:pPr>
            <w:r>
              <w:rPr>
                <w:rFonts w:cs="Times New Roman"/>
                <w:sz w:val="22"/>
              </w:rPr>
              <w:t>6</w:t>
            </w:r>
            <w:r w:rsidRPr="001124C4">
              <w:rPr>
                <w:rFonts w:cs="Times New Roman"/>
                <w:sz w:val="22"/>
              </w:rPr>
              <w:t xml:space="preserve">.5. </w:t>
            </w:r>
            <w:r w:rsidRPr="001124C4">
              <w:rPr>
                <w:rFonts w:cs="Times New Roman"/>
                <w:b/>
                <w:i/>
                <w:sz w:val="22"/>
              </w:rPr>
              <w:t>Ekodizaina prasību ieviešana</w:t>
            </w:r>
          </w:p>
        </w:tc>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6776A" w:rsidRPr="001124C4" w:rsidRDefault="0026776A" w:rsidP="0026776A">
            <w:pPr>
              <w:rPr>
                <w:rFonts w:cs="Times New Roman"/>
                <w:i/>
                <w:sz w:val="22"/>
              </w:rPr>
            </w:pPr>
          </w:p>
        </w:tc>
      </w:tr>
      <w:tr w:rsidR="0026776A" w:rsidRPr="004A20A9"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sz w:val="22"/>
              </w:rPr>
            </w:pPr>
            <w:r>
              <w:rPr>
                <w:rFonts w:cs="Times New Roman"/>
                <w:sz w:val="22"/>
              </w:rPr>
              <w:t>6</w:t>
            </w:r>
            <w:r w:rsidRPr="001124C4">
              <w:rPr>
                <w:rFonts w:cs="Times New Roman"/>
                <w:sz w:val="22"/>
              </w:rPr>
              <w:t>.5.</w:t>
            </w:r>
            <w:r>
              <w:rPr>
                <w:rFonts w:cs="Times New Roman"/>
                <w:sz w:val="22"/>
              </w:rPr>
              <w:t xml:space="preserve">1. </w:t>
            </w:r>
            <w:r w:rsidRPr="001124C4">
              <w:rPr>
                <w:rFonts w:cs="Times New Roman"/>
                <w:sz w:val="22"/>
              </w:rPr>
              <w:t xml:space="preserve">Izstrādāt normatīvo regulējumu attiecībā uz ekodizaina prasību </w:t>
            </w:r>
            <w:r w:rsidRPr="001124C4">
              <w:rPr>
                <w:rFonts w:cs="Times New Roman"/>
                <w:sz w:val="22"/>
              </w:rPr>
              <w:lastRenderedPageBreak/>
              <w:t>ieviešanu</w:t>
            </w:r>
          </w:p>
        </w:tc>
        <w:tc>
          <w:tcPr>
            <w:tcW w:w="1134" w:type="dxa"/>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lastRenderedPageBreak/>
              <w:t>2014.-</w:t>
            </w:r>
            <w:r w:rsidRPr="001124C4">
              <w:rPr>
                <w:rFonts w:cs="Times New Roman"/>
                <w:i/>
                <w:sz w:val="22"/>
              </w:rPr>
              <w:lastRenderedPageBreak/>
              <w:t>2020.</w:t>
            </w:r>
          </w:p>
        </w:tc>
        <w:tc>
          <w:tcPr>
            <w:tcW w:w="1559"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lastRenderedPageBreak/>
              <w:t>EM</w:t>
            </w:r>
            <w:r>
              <w:rPr>
                <w:rFonts w:cs="Times New Roman"/>
                <w:i/>
                <w:sz w:val="22"/>
              </w:rPr>
              <w:t>, VARAM</w:t>
            </w:r>
          </w:p>
        </w:tc>
        <w:tc>
          <w:tcPr>
            <w:tcW w:w="2127"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b/>
                <w:i/>
                <w:sz w:val="22"/>
              </w:rPr>
            </w:pPr>
            <w:r w:rsidRPr="001124C4">
              <w:rPr>
                <w:rFonts w:cs="Times New Roman"/>
                <w:i/>
                <w:sz w:val="22"/>
              </w:rPr>
              <w:t>Nozaru asociācijas</w:t>
            </w:r>
          </w:p>
        </w:tc>
        <w:tc>
          <w:tcPr>
            <w:tcW w:w="2835" w:type="dxa"/>
            <w:gridSpan w:val="2"/>
            <w:tcBorders>
              <w:top w:val="single" w:sz="4" w:space="0" w:color="auto"/>
              <w:left w:val="single" w:sz="4" w:space="0" w:color="auto"/>
              <w:bottom w:val="single" w:sz="4" w:space="0" w:color="auto"/>
              <w:right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D9D9D9" w:themeFill="background1" w:themeFillShade="D9"/>
          </w:tcPr>
          <w:p w:rsidR="0026776A" w:rsidRPr="001124C4" w:rsidRDefault="0026776A" w:rsidP="0026776A">
            <w:pPr>
              <w:spacing w:before="120" w:after="120"/>
              <w:rPr>
                <w:rFonts w:cs="Times New Roman"/>
                <w:b/>
                <w:sz w:val="22"/>
              </w:rPr>
            </w:pPr>
            <w:r w:rsidRPr="001124C4">
              <w:rPr>
                <w:rFonts w:cs="Times New Roman"/>
                <w:b/>
                <w:sz w:val="22"/>
              </w:rPr>
              <w:lastRenderedPageBreak/>
              <w:t xml:space="preserve">Rīcības virziens mērķa sasniegšanai </w:t>
            </w:r>
          </w:p>
        </w:tc>
        <w:tc>
          <w:tcPr>
            <w:tcW w:w="7655" w:type="dxa"/>
            <w:gridSpan w:val="7"/>
            <w:tcBorders>
              <w:bottom w:val="single" w:sz="4" w:space="0" w:color="auto"/>
            </w:tcBorders>
            <w:shd w:val="clear" w:color="auto" w:fill="D9D9D9" w:themeFill="background1" w:themeFillShade="D9"/>
          </w:tcPr>
          <w:p w:rsidR="0026776A" w:rsidRPr="001124C4" w:rsidRDefault="0026776A" w:rsidP="0026776A">
            <w:pPr>
              <w:spacing w:before="120" w:after="120"/>
              <w:rPr>
                <w:rFonts w:cs="Times New Roman"/>
                <w:b/>
                <w:i/>
                <w:sz w:val="22"/>
              </w:rPr>
            </w:pPr>
            <w:r>
              <w:rPr>
                <w:b/>
                <w:i/>
                <w:sz w:val="22"/>
              </w:rPr>
              <w:t xml:space="preserve">7.Efektīva krīzes situācijas pārvaldība  </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26776A" w:rsidRPr="00741400" w:rsidRDefault="0026776A" w:rsidP="0026776A">
            <w:pPr>
              <w:keepLines/>
              <w:rPr>
                <w:i/>
                <w:sz w:val="22"/>
              </w:rPr>
            </w:pPr>
            <w:r>
              <w:rPr>
                <w:sz w:val="22"/>
              </w:rPr>
              <w:t xml:space="preserve">7.1. Nodrošināt tautsaimniecību ar energoapgādi apdraudējuma gadījumā </w:t>
            </w:r>
          </w:p>
        </w:tc>
        <w:tc>
          <w:tcPr>
            <w:tcW w:w="1134" w:type="dxa"/>
            <w:shd w:val="clear" w:color="auto" w:fill="FBD4B4" w:themeFill="accent6" w:themeFillTint="66"/>
          </w:tcPr>
          <w:p w:rsidR="0026776A" w:rsidRPr="00741400" w:rsidRDefault="0026776A" w:rsidP="0026776A">
            <w:pPr>
              <w:keepLines/>
              <w:rPr>
                <w:i/>
                <w:sz w:val="22"/>
              </w:rPr>
            </w:pPr>
          </w:p>
        </w:tc>
        <w:tc>
          <w:tcPr>
            <w:tcW w:w="1559" w:type="dxa"/>
            <w:gridSpan w:val="2"/>
            <w:shd w:val="clear" w:color="auto" w:fill="FBD4B4" w:themeFill="accent6" w:themeFillTint="66"/>
          </w:tcPr>
          <w:p w:rsidR="0026776A" w:rsidRPr="00741400" w:rsidRDefault="0026776A" w:rsidP="0026776A">
            <w:pPr>
              <w:keepLines/>
              <w:rPr>
                <w:i/>
                <w:sz w:val="22"/>
              </w:rPr>
            </w:pPr>
          </w:p>
        </w:tc>
        <w:tc>
          <w:tcPr>
            <w:tcW w:w="2127" w:type="dxa"/>
            <w:gridSpan w:val="2"/>
            <w:shd w:val="clear" w:color="auto" w:fill="FBD4B4" w:themeFill="accent6" w:themeFillTint="66"/>
          </w:tcPr>
          <w:p w:rsidR="0026776A" w:rsidRPr="00741400" w:rsidRDefault="0026776A" w:rsidP="0026776A">
            <w:pPr>
              <w:keepLines/>
              <w:rPr>
                <w:i/>
                <w:sz w:val="22"/>
              </w:rPr>
            </w:pPr>
          </w:p>
        </w:tc>
        <w:tc>
          <w:tcPr>
            <w:tcW w:w="2835" w:type="dxa"/>
            <w:gridSpan w:val="2"/>
            <w:shd w:val="clear" w:color="auto" w:fill="FBD4B4" w:themeFill="accent6" w:themeFillTint="66"/>
          </w:tcPr>
          <w:p w:rsidR="0026776A" w:rsidRPr="00741400" w:rsidRDefault="0026776A" w:rsidP="0026776A">
            <w:pPr>
              <w:keepLines/>
              <w:rPr>
                <w:i/>
                <w:sz w:val="22"/>
              </w:rPr>
            </w:pP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26776A" w:rsidRPr="00741400" w:rsidRDefault="0026776A" w:rsidP="0026776A">
            <w:pPr>
              <w:keepLines/>
              <w:jc w:val="both"/>
              <w:rPr>
                <w:sz w:val="22"/>
              </w:rPr>
            </w:pPr>
            <w:r>
              <w:rPr>
                <w:sz w:val="22"/>
              </w:rPr>
              <w:t>7.1.1. Izvērtēt tautsaimniecībai svarīgo objektu apgādes kārtību ar energoresursiem valsts apdraudējuma gadījumā</w:t>
            </w:r>
          </w:p>
        </w:tc>
        <w:tc>
          <w:tcPr>
            <w:tcW w:w="1134" w:type="dxa"/>
            <w:shd w:val="clear" w:color="auto" w:fill="FFFFFF" w:themeFill="background1"/>
          </w:tcPr>
          <w:p w:rsidR="0026776A" w:rsidRPr="00741400" w:rsidRDefault="0026776A" w:rsidP="0026776A">
            <w:pPr>
              <w:keepLines/>
              <w:rPr>
                <w:i/>
                <w:sz w:val="22"/>
              </w:rPr>
            </w:pPr>
            <w:r w:rsidRPr="00741400">
              <w:rPr>
                <w:i/>
                <w:sz w:val="22"/>
              </w:rPr>
              <w:t>2014.</w:t>
            </w:r>
          </w:p>
        </w:tc>
        <w:tc>
          <w:tcPr>
            <w:tcW w:w="1559" w:type="dxa"/>
            <w:gridSpan w:val="2"/>
            <w:shd w:val="clear" w:color="auto" w:fill="FFFFFF" w:themeFill="background1"/>
          </w:tcPr>
          <w:p w:rsidR="0026776A" w:rsidRPr="00741400" w:rsidRDefault="0026776A" w:rsidP="0026776A">
            <w:pPr>
              <w:keepLines/>
              <w:rPr>
                <w:i/>
                <w:sz w:val="22"/>
              </w:rPr>
            </w:pPr>
            <w:r w:rsidRPr="00741400">
              <w:rPr>
                <w:i/>
                <w:sz w:val="22"/>
              </w:rPr>
              <w:t>EM</w:t>
            </w:r>
          </w:p>
        </w:tc>
        <w:tc>
          <w:tcPr>
            <w:tcW w:w="2127" w:type="dxa"/>
            <w:gridSpan w:val="2"/>
            <w:shd w:val="clear" w:color="auto" w:fill="FFFFFF" w:themeFill="background1"/>
          </w:tcPr>
          <w:p w:rsidR="0026776A" w:rsidRPr="00741400" w:rsidRDefault="0026776A" w:rsidP="0026776A">
            <w:pPr>
              <w:keepLines/>
              <w:rPr>
                <w:i/>
                <w:sz w:val="22"/>
              </w:rPr>
            </w:pPr>
            <w:r w:rsidRPr="00741400">
              <w:rPr>
                <w:i/>
                <w:sz w:val="22"/>
              </w:rPr>
              <w:t>VARAM, SM, LM, FM, TM</w:t>
            </w:r>
            <w:r>
              <w:rPr>
                <w:i/>
                <w:sz w:val="22"/>
              </w:rPr>
              <w:t>, IeM</w:t>
            </w:r>
          </w:p>
        </w:tc>
        <w:tc>
          <w:tcPr>
            <w:tcW w:w="2835" w:type="dxa"/>
            <w:gridSpan w:val="2"/>
            <w:shd w:val="clear" w:color="auto" w:fill="FFFFFF" w:themeFill="background1"/>
          </w:tcPr>
          <w:p w:rsidR="0026776A" w:rsidRPr="00741400" w:rsidRDefault="0026776A" w:rsidP="0026776A">
            <w:pPr>
              <w:keepLines/>
              <w:rPr>
                <w:i/>
                <w:sz w:val="22"/>
              </w:rPr>
            </w:pPr>
            <w:r w:rsidRPr="00741400">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26776A" w:rsidRPr="00741400" w:rsidRDefault="0026776A" w:rsidP="0026776A">
            <w:pPr>
              <w:keepLines/>
              <w:autoSpaceDE w:val="0"/>
              <w:autoSpaceDN w:val="0"/>
              <w:adjustRightInd w:val="0"/>
              <w:ind w:right="173"/>
              <w:jc w:val="both"/>
              <w:rPr>
                <w:color w:val="000000"/>
                <w:sz w:val="22"/>
              </w:rPr>
            </w:pPr>
            <w:r>
              <w:rPr>
                <w:color w:val="000000"/>
                <w:sz w:val="22"/>
              </w:rPr>
              <w:t xml:space="preserve">7.1.2. Izvērtēt dabasgāzes rezervju uzturēšanu </w:t>
            </w:r>
          </w:p>
        </w:tc>
        <w:tc>
          <w:tcPr>
            <w:tcW w:w="1134" w:type="dxa"/>
            <w:shd w:val="clear" w:color="auto" w:fill="FFFFFF" w:themeFill="background1"/>
          </w:tcPr>
          <w:p w:rsidR="0026776A" w:rsidRPr="00741400" w:rsidRDefault="0026776A" w:rsidP="0026776A">
            <w:pPr>
              <w:keepLines/>
              <w:rPr>
                <w:i/>
                <w:sz w:val="22"/>
              </w:rPr>
            </w:pPr>
            <w:r w:rsidRPr="00741400">
              <w:rPr>
                <w:i/>
                <w:sz w:val="22"/>
              </w:rPr>
              <w:t>2014.</w:t>
            </w:r>
          </w:p>
        </w:tc>
        <w:tc>
          <w:tcPr>
            <w:tcW w:w="1559" w:type="dxa"/>
            <w:gridSpan w:val="2"/>
            <w:shd w:val="clear" w:color="auto" w:fill="FFFFFF" w:themeFill="background1"/>
          </w:tcPr>
          <w:p w:rsidR="0026776A" w:rsidRPr="00741400" w:rsidRDefault="0026776A" w:rsidP="0026776A">
            <w:pPr>
              <w:keepLines/>
              <w:rPr>
                <w:i/>
                <w:sz w:val="22"/>
              </w:rPr>
            </w:pPr>
            <w:r w:rsidRPr="00741400">
              <w:rPr>
                <w:i/>
                <w:sz w:val="22"/>
              </w:rPr>
              <w:t>EM</w:t>
            </w:r>
          </w:p>
        </w:tc>
        <w:tc>
          <w:tcPr>
            <w:tcW w:w="2127" w:type="dxa"/>
            <w:gridSpan w:val="2"/>
            <w:shd w:val="clear" w:color="auto" w:fill="FFFFFF" w:themeFill="background1"/>
          </w:tcPr>
          <w:p w:rsidR="0026776A" w:rsidRPr="00741400" w:rsidRDefault="0026776A" w:rsidP="0026776A">
            <w:pPr>
              <w:keepLines/>
              <w:rPr>
                <w:i/>
                <w:sz w:val="22"/>
              </w:rPr>
            </w:pPr>
            <w:r w:rsidRPr="00741400">
              <w:rPr>
                <w:i/>
                <w:sz w:val="22"/>
              </w:rPr>
              <w:t>TM, FM, VARAM, SM, LM, VM</w:t>
            </w:r>
            <w:r>
              <w:rPr>
                <w:i/>
                <w:sz w:val="22"/>
              </w:rPr>
              <w:t>, IeM</w:t>
            </w:r>
          </w:p>
        </w:tc>
        <w:tc>
          <w:tcPr>
            <w:tcW w:w="2835" w:type="dxa"/>
            <w:gridSpan w:val="2"/>
            <w:shd w:val="clear" w:color="auto" w:fill="FFFFFF" w:themeFill="background1"/>
          </w:tcPr>
          <w:p w:rsidR="0026776A" w:rsidRPr="00741400" w:rsidRDefault="0026776A" w:rsidP="0026776A">
            <w:pPr>
              <w:keepLines/>
              <w:rPr>
                <w:i/>
                <w:sz w:val="22"/>
              </w:rPr>
            </w:pPr>
            <w:r w:rsidRPr="00741400">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26776A" w:rsidRDefault="0026776A" w:rsidP="0026776A">
            <w:pPr>
              <w:keepLines/>
              <w:autoSpaceDE w:val="0"/>
              <w:autoSpaceDN w:val="0"/>
              <w:adjustRightInd w:val="0"/>
              <w:ind w:right="173"/>
              <w:jc w:val="both"/>
              <w:rPr>
                <w:color w:val="000000"/>
                <w:sz w:val="22"/>
              </w:rPr>
            </w:pPr>
            <w:r>
              <w:rPr>
                <w:color w:val="000000"/>
                <w:sz w:val="22"/>
              </w:rPr>
              <w:t>7.1.3. Veikt dabasgāzes apgādes drošības izvērtējumu (N-1), sadarbojoties Baltijas valstīm,  ieskaitot Somiju, un izstrādāt attiecīgo ziņojumu</w:t>
            </w:r>
          </w:p>
        </w:tc>
        <w:tc>
          <w:tcPr>
            <w:tcW w:w="1134" w:type="dxa"/>
            <w:shd w:val="clear" w:color="auto" w:fill="FFFFFF" w:themeFill="background1"/>
          </w:tcPr>
          <w:p w:rsidR="0026776A" w:rsidRPr="00741400" w:rsidRDefault="0026776A" w:rsidP="0026776A">
            <w:pPr>
              <w:keepLines/>
              <w:rPr>
                <w:i/>
                <w:sz w:val="22"/>
              </w:rPr>
            </w:pPr>
            <w:r w:rsidRPr="00741400">
              <w:rPr>
                <w:i/>
                <w:sz w:val="22"/>
              </w:rPr>
              <w:t>2014.</w:t>
            </w:r>
            <w:r>
              <w:rPr>
                <w:i/>
                <w:sz w:val="22"/>
              </w:rPr>
              <w:t>-2015.</w:t>
            </w:r>
          </w:p>
        </w:tc>
        <w:tc>
          <w:tcPr>
            <w:tcW w:w="1559" w:type="dxa"/>
            <w:gridSpan w:val="2"/>
            <w:shd w:val="clear" w:color="auto" w:fill="FFFFFF" w:themeFill="background1"/>
          </w:tcPr>
          <w:p w:rsidR="0026776A" w:rsidRPr="00741400" w:rsidRDefault="0026776A" w:rsidP="0026776A">
            <w:pPr>
              <w:keepLines/>
              <w:rPr>
                <w:i/>
                <w:sz w:val="22"/>
              </w:rPr>
            </w:pPr>
            <w:r w:rsidRPr="00741400">
              <w:rPr>
                <w:i/>
                <w:sz w:val="22"/>
              </w:rPr>
              <w:t>EM</w:t>
            </w:r>
          </w:p>
        </w:tc>
        <w:tc>
          <w:tcPr>
            <w:tcW w:w="2127" w:type="dxa"/>
            <w:gridSpan w:val="2"/>
            <w:shd w:val="clear" w:color="auto" w:fill="FFFFFF" w:themeFill="background1"/>
          </w:tcPr>
          <w:p w:rsidR="0026776A" w:rsidRPr="00741400" w:rsidRDefault="0026776A" w:rsidP="0026776A">
            <w:pPr>
              <w:keepLines/>
              <w:rPr>
                <w:i/>
                <w:sz w:val="22"/>
              </w:rPr>
            </w:pPr>
            <w:r w:rsidRPr="00741400">
              <w:rPr>
                <w:i/>
                <w:sz w:val="22"/>
              </w:rPr>
              <w:t>TM, FM, VARAM, SM, LM, VM</w:t>
            </w:r>
            <w:r>
              <w:rPr>
                <w:i/>
                <w:sz w:val="22"/>
              </w:rPr>
              <w:t>, IeM</w:t>
            </w:r>
          </w:p>
        </w:tc>
        <w:tc>
          <w:tcPr>
            <w:tcW w:w="2835" w:type="dxa"/>
            <w:gridSpan w:val="2"/>
            <w:shd w:val="clear" w:color="auto" w:fill="FFFFFF" w:themeFill="background1"/>
          </w:tcPr>
          <w:p w:rsidR="0026776A" w:rsidRPr="00741400" w:rsidRDefault="0026776A" w:rsidP="0026776A">
            <w:pPr>
              <w:keepLines/>
              <w:rPr>
                <w:i/>
                <w:sz w:val="22"/>
              </w:rPr>
            </w:pPr>
            <w:r w:rsidRPr="00741400">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shd w:val="clear" w:color="auto" w:fill="FFFFFF" w:themeFill="background1"/>
          </w:tcPr>
          <w:p w:rsidR="0026776A" w:rsidRDefault="0026776A" w:rsidP="0026776A">
            <w:pPr>
              <w:keepLines/>
              <w:autoSpaceDE w:val="0"/>
              <w:autoSpaceDN w:val="0"/>
              <w:adjustRightInd w:val="0"/>
              <w:ind w:right="173"/>
              <w:jc w:val="both"/>
              <w:rPr>
                <w:color w:val="000000"/>
                <w:sz w:val="22"/>
              </w:rPr>
            </w:pPr>
            <w:r>
              <w:rPr>
                <w:color w:val="000000"/>
                <w:sz w:val="22"/>
              </w:rPr>
              <w:t>7.1.4. Atjaunot Latvijas dabasgāzes piegādes drošības riska novērtējumu un Preventīvās rīcības plānu un Ārkārtas rīcības plānu</w:t>
            </w:r>
          </w:p>
        </w:tc>
        <w:tc>
          <w:tcPr>
            <w:tcW w:w="1134" w:type="dxa"/>
            <w:tcBorders>
              <w:bottom w:val="single" w:sz="4" w:space="0" w:color="auto"/>
            </w:tcBorders>
            <w:shd w:val="clear" w:color="auto" w:fill="FFFFFF" w:themeFill="background1"/>
          </w:tcPr>
          <w:p w:rsidR="0026776A" w:rsidRPr="00741400" w:rsidRDefault="0026776A" w:rsidP="0026776A">
            <w:pPr>
              <w:rPr>
                <w:i/>
                <w:sz w:val="22"/>
              </w:rPr>
            </w:pPr>
            <w:r w:rsidRPr="00741400">
              <w:rPr>
                <w:i/>
                <w:sz w:val="22"/>
              </w:rPr>
              <w:t>2014.-2020.</w:t>
            </w:r>
          </w:p>
        </w:tc>
        <w:tc>
          <w:tcPr>
            <w:tcW w:w="1559" w:type="dxa"/>
            <w:gridSpan w:val="2"/>
            <w:tcBorders>
              <w:bottom w:val="single" w:sz="4" w:space="0" w:color="auto"/>
            </w:tcBorders>
            <w:shd w:val="clear" w:color="auto" w:fill="FFFFFF" w:themeFill="background1"/>
          </w:tcPr>
          <w:p w:rsidR="0026776A" w:rsidRPr="00D66D17" w:rsidRDefault="0026776A" w:rsidP="0026776A">
            <w:pPr>
              <w:rPr>
                <w:color w:val="000000" w:themeColor="text1"/>
                <w:sz w:val="22"/>
              </w:rPr>
            </w:pPr>
            <w:r w:rsidRPr="00D66D17">
              <w:rPr>
                <w:color w:val="000000" w:themeColor="text1"/>
                <w:sz w:val="22"/>
              </w:rPr>
              <w:t>EM</w:t>
            </w:r>
          </w:p>
        </w:tc>
        <w:tc>
          <w:tcPr>
            <w:tcW w:w="2127" w:type="dxa"/>
            <w:gridSpan w:val="2"/>
            <w:tcBorders>
              <w:bottom w:val="single" w:sz="4" w:space="0" w:color="auto"/>
            </w:tcBorders>
            <w:shd w:val="clear" w:color="auto" w:fill="FFFFFF" w:themeFill="background1"/>
          </w:tcPr>
          <w:p w:rsidR="0026776A" w:rsidRPr="00741400" w:rsidRDefault="0026776A" w:rsidP="0026776A">
            <w:pPr>
              <w:rPr>
                <w:i/>
                <w:sz w:val="22"/>
              </w:rPr>
            </w:pPr>
            <w:r w:rsidRPr="00741400">
              <w:rPr>
                <w:i/>
                <w:sz w:val="22"/>
              </w:rPr>
              <w:t>VARAM, SM, IeM, AiM, ZM, VM, FM</w:t>
            </w:r>
          </w:p>
        </w:tc>
        <w:tc>
          <w:tcPr>
            <w:tcW w:w="2835" w:type="dxa"/>
            <w:gridSpan w:val="2"/>
            <w:tcBorders>
              <w:bottom w:val="single" w:sz="4" w:space="0" w:color="auto"/>
            </w:tcBorders>
            <w:shd w:val="clear" w:color="auto" w:fill="FFFFFF" w:themeFill="background1"/>
          </w:tcPr>
          <w:p w:rsidR="0026776A" w:rsidRPr="00741400" w:rsidRDefault="0026776A" w:rsidP="0026776A">
            <w:pPr>
              <w:rPr>
                <w:i/>
                <w:sz w:val="22"/>
              </w:rPr>
            </w:pPr>
            <w:r w:rsidRPr="00741400">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BD4B4" w:themeFill="accent6" w:themeFillTint="66"/>
          </w:tcPr>
          <w:p w:rsidR="0026776A" w:rsidRDefault="0026776A" w:rsidP="0026776A">
            <w:pPr>
              <w:keepLines/>
              <w:autoSpaceDE w:val="0"/>
              <w:autoSpaceDN w:val="0"/>
              <w:adjustRightInd w:val="0"/>
              <w:ind w:right="173"/>
              <w:jc w:val="both"/>
              <w:rPr>
                <w:color w:val="000000"/>
                <w:sz w:val="22"/>
              </w:rPr>
            </w:pPr>
            <w:r>
              <w:rPr>
                <w:color w:val="000000"/>
                <w:sz w:val="22"/>
              </w:rPr>
              <w:t xml:space="preserve">7.2. Nodrošināt naftas rezerves </w:t>
            </w:r>
          </w:p>
        </w:tc>
        <w:tc>
          <w:tcPr>
            <w:tcW w:w="1134" w:type="dxa"/>
            <w:shd w:val="clear" w:color="auto" w:fill="FBD4B4" w:themeFill="accent6" w:themeFillTint="66"/>
          </w:tcPr>
          <w:p w:rsidR="0026776A" w:rsidRPr="00741400" w:rsidRDefault="0026776A" w:rsidP="0026776A">
            <w:pPr>
              <w:keepLines/>
              <w:rPr>
                <w:i/>
                <w:sz w:val="22"/>
              </w:rPr>
            </w:pPr>
          </w:p>
        </w:tc>
        <w:tc>
          <w:tcPr>
            <w:tcW w:w="1559" w:type="dxa"/>
            <w:gridSpan w:val="2"/>
            <w:shd w:val="clear" w:color="auto" w:fill="FBD4B4" w:themeFill="accent6" w:themeFillTint="66"/>
          </w:tcPr>
          <w:p w:rsidR="0026776A" w:rsidRPr="00741400" w:rsidRDefault="0026776A" w:rsidP="0026776A">
            <w:pPr>
              <w:keepLines/>
              <w:rPr>
                <w:i/>
                <w:sz w:val="22"/>
              </w:rPr>
            </w:pPr>
          </w:p>
        </w:tc>
        <w:tc>
          <w:tcPr>
            <w:tcW w:w="2127" w:type="dxa"/>
            <w:gridSpan w:val="2"/>
            <w:shd w:val="clear" w:color="auto" w:fill="FBD4B4" w:themeFill="accent6" w:themeFillTint="66"/>
          </w:tcPr>
          <w:p w:rsidR="0026776A" w:rsidRPr="00741400" w:rsidRDefault="0026776A" w:rsidP="0026776A">
            <w:pPr>
              <w:keepLines/>
              <w:rPr>
                <w:i/>
                <w:sz w:val="22"/>
              </w:rPr>
            </w:pPr>
          </w:p>
        </w:tc>
        <w:tc>
          <w:tcPr>
            <w:tcW w:w="2835" w:type="dxa"/>
            <w:gridSpan w:val="2"/>
            <w:shd w:val="clear" w:color="auto" w:fill="FBD4B4" w:themeFill="accent6" w:themeFillTint="66"/>
          </w:tcPr>
          <w:p w:rsidR="0026776A" w:rsidRPr="00741400" w:rsidRDefault="0026776A" w:rsidP="0026776A">
            <w:pPr>
              <w:keepLines/>
              <w:rPr>
                <w:i/>
                <w:sz w:val="22"/>
              </w:rPr>
            </w:pP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26776A" w:rsidRPr="00700342" w:rsidRDefault="0026776A" w:rsidP="0026776A">
            <w:pPr>
              <w:keepLines/>
              <w:autoSpaceDE w:val="0"/>
              <w:autoSpaceDN w:val="0"/>
              <w:adjustRightInd w:val="0"/>
              <w:ind w:right="173"/>
              <w:jc w:val="both"/>
              <w:rPr>
                <w:rFonts w:cs="Times New Roman"/>
                <w:color w:val="000000"/>
                <w:sz w:val="22"/>
              </w:rPr>
            </w:pPr>
            <w:r>
              <w:rPr>
                <w:rFonts w:cs="Times New Roman"/>
                <w:color w:val="000000"/>
                <w:sz w:val="22"/>
              </w:rPr>
              <w:t>7</w:t>
            </w:r>
            <w:r w:rsidRPr="00700342">
              <w:rPr>
                <w:rFonts w:cs="Times New Roman"/>
                <w:color w:val="000000"/>
                <w:sz w:val="22"/>
              </w:rPr>
              <w:t xml:space="preserve">.2.1. </w:t>
            </w:r>
            <w:r w:rsidRPr="00700342">
              <w:rPr>
                <w:rFonts w:cs="Times New Roman"/>
                <w:sz w:val="22"/>
              </w:rPr>
              <w:t>Izsludināt jaunu atklātu konkursu par „Drošības rezervju pakalpojuma sniegšanu valsts (Latvijas Republikas) naftas produktu rezervju izveidei”</w:t>
            </w:r>
          </w:p>
        </w:tc>
        <w:tc>
          <w:tcPr>
            <w:tcW w:w="1134" w:type="dxa"/>
            <w:shd w:val="clear" w:color="auto" w:fill="FFFFFF" w:themeFill="background1"/>
          </w:tcPr>
          <w:p w:rsidR="0026776A" w:rsidRPr="00741400" w:rsidRDefault="0026776A" w:rsidP="0026776A">
            <w:pPr>
              <w:keepLines/>
              <w:rPr>
                <w:i/>
              </w:rPr>
            </w:pPr>
            <w:r>
              <w:rPr>
                <w:i/>
                <w:sz w:val="22"/>
              </w:rPr>
              <w:t>03.2015.</w:t>
            </w:r>
          </w:p>
        </w:tc>
        <w:tc>
          <w:tcPr>
            <w:tcW w:w="1559" w:type="dxa"/>
            <w:gridSpan w:val="2"/>
            <w:shd w:val="clear" w:color="auto" w:fill="FFFFFF" w:themeFill="background1"/>
          </w:tcPr>
          <w:p w:rsidR="0026776A" w:rsidRPr="00741400" w:rsidRDefault="0026776A" w:rsidP="0026776A">
            <w:pPr>
              <w:keepLines/>
              <w:rPr>
                <w:i/>
              </w:rPr>
            </w:pPr>
            <w:r>
              <w:rPr>
                <w:i/>
                <w:sz w:val="22"/>
              </w:rPr>
              <w:t>EM</w:t>
            </w:r>
          </w:p>
        </w:tc>
        <w:tc>
          <w:tcPr>
            <w:tcW w:w="2127" w:type="dxa"/>
            <w:gridSpan w:val="2"/>
            <w:shd w:val="clear" w:color="auto" w:fill="FFFFFF" w:themeFill="background1"/>
          </w:tcPr>
          <w:p w:rsidR="0026776A" w:rsidRPr="00741400" w:rsidRDefault="0026776A" w:rsidP="0026776A">
            <w:pPr>
              <w:keepLines/>
              <w:rPr>
                <w:i/>
              </w:rPr>
            </w:pPr>
            <w:r>
              <w:rPr>
                <w:i/>
                <w:sz w:val="22"/>
              </w:rPr>
              <w:t>FM</w:t>
            </w:r>
          </w:p>
        </w:tc>
        <w:tc>
          <w:tcPr>
            <w:tcW w:w="2835" w:type="dxa"/>
            <w:gridSpan w:val="2"/>
            <w:shd w:val="clear" w:color="auto" w:fill="FFFFFF" w:themeFill="background1"/>
          </w:tcPr>
          <w:p w:rsidR="0026776A" w:rsidRPr="00741400" w:rsidRDefault="0026776A" w:rsidP="0026776A">
            <w:pPr>
              <w:keepLines/>
              <w:rPr>
                <w:i/>
              </w:rPr>
            </w:pPr>
            <w:r>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FFFFF" w:themeFill="background1"/>
          </w:tcPr>
          <w:p w:rsidR="0026776A" w:rsidRDefault="0026776A" w:rsidP="0026776A">
            <w:pPr>
              <w:keepLines/>
              <w:autoSpaceDE w:val="0"/>
              <w:autoSpaceDN w:val="0"/>
              <w:adjustRightInd w:val="0"/>
              <w:ind w:right="173"/>
              <w:jc w:val="both"/>
              <w:rPr>
                <w:color w:val="000000"/>
              </w:rPr>
            </w:pPr>
            <w:r>
              <w:rPr>
                <w:color w:val="000000"/>
                <w:sz w:val="22"/>
              </w:rPr>
              <w:t>7.2.2. Aktualizēt esošo Valsts naftas produktu rezervju izveides koncepciju</w:t>
            </w:r>
          </w:p>
        </w:tc>
        <w:tc>
          <w:tcPr>
            <w:tcW w:w="1134" w:type="dxa"/>
            <w:shd w:val="clear" w:color="auto" w:fill="FFFFFF" w:themeFill="background1"/>
          </w:tcPr>
          <w:p w:rsidR="0026776A" w:rsidRPr="00741400" w:rsidRDefault="0026776A" w:rsidP="0026776A">
            <w:pPr>
              <w:keepLines/>
              <w:rPr>
                <w:i/>
              </w:rPr>
            </w:pPr>
            <w:r>
              <w:rPr>
                <w:i/>
                <w:sz w:val="22"/>
              </w:rPr>
              <w:t>2015.</w:t>
            </w:r>
          </w:p>
        </w:tc>
        <w:tc>
          <w:tcPr>
            <w:tcW w:w="1559" w:type="dxa"/>
            <w:gridSpan w:val="2"/>
            <w:shd w:val="clear" w:color="auto" w:fill="FFFFFF" w:themeFill="background1"/>
          </w:tcPr>
          <w:p w:rsidR="0026776A" w:rsidRPr="00741400" w:rsidRDefault="0026776A" w:rsidP="0026776A">
            <w:pPr>
              <w:keepLines/>
              <w:rPr>
                <w:i/>
              </w:rPr>
            </w:pPr>
            <w:r>
              <w:rPr>
                <w:i/>
                <w:sz w:val="22"/>
              </w:rPr>
              <w:t>EM</w:t>
            </w:r>
          </w:p>
        </w:tc>
        <w:tc>
          <w:tcPr>
            <w:tcW w:w="2127" w:type="dxa"/>
            <w:gridSpan w:val="2"/>
            <w:shd w:val="clear" w:color="auto" w:fill="FFFFFF" w:themeFill="background1"/>
          </w:tcPr>
          <w:p w:rsidR="0026776A" w:rsidRPr="00741400" w:rsidRDefault="0026776A" w:rsidP="0026776A">
            <w:pPr>
              <w:keepLines/>
              <w:rPr>
                <w:i/>
              </w:rPr>
            </w:pPr>
            <w:r>
              <w:rPr>
                <w:i/>
                <w:sz w:val="22"/>
              </w:rPr>
              <w:t>FM, LDTA, LTRSA, LSNGA, LGA</w:t>
            </w:r>
          </w:p>
        </w:tc>
        <w:tc>
          <w:tcPr>
            <w:tcW w:w="2835" w:type="dxa"/>
            <w:gridSpan w:val="2"/>
            <w:shd w:val="clear" w:color="auto" w:fill="FFFFFF" w:themeFill="background1"/>
          </w:tcPr>
          <w:p w:rsidR="0026776A" w:rsidRPr="00741400" w:rsidRDefault="0026776A" w:rsidP="0026776A">
            <w:pPr>
              <w:keepLines/>
              <w:rPr>
                <w:i/>
              </w:rPr>
            </w:pPr>
            <w:r>
              <w:rPr>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D9D9D9" w:themeFill="background1" w:themeFillShade="D9"/>
          </w:tcPr>
          <w:p w:rsidR="0026776A" w:rsidRPr="001124C4" w:rsidRDefault="0026776A" w:rsidP="0026776A">
            <w:pPr>
              <w:spacing w:before="120" w:after="120"/>
              <w:rPr>
                <w:rFonts w:cs="Times New Roman"/>
                <w:b/>
                <w:sz w:val="22"/>
              </w:rPr>
            </w:pPr>
            <w:r w:rsidRPr="001124C4">
              <w:rPr>
                <w:rFonts w:cs="Times New Roman"/>
                <w:b/>
                <w:sz w:val="22"/>
              </w:rPr>
              <w:t xml:space="preserve">Rīcības virziens mērķa sasniegšanai </w:t>
            </w:r>
          </w:p>
        </w:tc>
        <w:tc>
          <w:tcPr>
            <w:tcW w:w="7655" w:type="dxa"/>
            <w:gridSpan w:val="7"/>
            <w:shd w:val="clear" w:color="auto" w:fill="D9D9D9" w:themeFill="background1" w:themeFillShade="D9"/>
          </w:tcPr>
          <w:p w:rsidR="0026776A" w:rsidRPr="001124C4" w:rsidRDefault="0026776A" w:rsidP="0026776A">
            <w:pPr>
              <w:spacing w:before="120" w:after="120"/>
              <w:rPr>
                <w:rFonts w:cs="Times New Roman"/>
                <w:b/>
                <w:i/>
                <w:sz w:val="22"/>
              </w:rPr>
            </w:pPr>
            <w:r w:rsidRPr="001124C4">
              <w:rPr>
                <w:rFonts w:cs="Times New Roman"/>
                <w:b/>
                <w:i/>
                <w:sz w:val="22"/>
              </w:rPr>
              <w:t xml:space="preserve">8.Starptautiskās un reģionālās sadarbības stiprināšana </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rPr>
                <w:rFonts w:cs="Times New Roman"/>
                <w:i/>
                <w:sz w:val="22"/>
              </w:rPr>
            </w:pPr>
            <w:r w:rsidRPr="001124C4">
              <w:rPr>
                <w:rFonts w:cs="Times New Roman"/>
                <w:sz w:val="22"/>
              </w:rPr>
              <w:t xml:space="preserve">8.1. Aktīvi  iesaistīties BEMIP darbā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1559" w:type="dxa"/>
            <w:gridSpan w:val="2"/>
            <w:shd w:val="clear" w:color="auto" w:fill="FABF8F" w:themeFill="accent6" w:themeFillTint="99"/>
          </w:tcPr>
          <w:p w:rsidR="0026776A" w:rsidRPr="001124C4" w:rsidRDefault="0026776A" w:rsidP="0026776A">
            <w:pPr>
              <w:keepLines/>
              <w:rPr>
                <w:rFonts w:cs="Times New Roman"/>
                <w:i/>
                <w:sz w:val="22"/>
              </w:rPr>
            </w:pPr>
          </w:p>
        </w:tc>
        <w:tc>
          <w:tcPr>
            <w:tcW w:w="2127" w:type="dxa"/>
            <w:gridSpan w:val="2"/>
            <w:shd w:val="clear" w:color="auto" w:fill="FABF8F" w:themeFill="accent6" w:themeFillTint="99"/>
          </w:tcPr>
          <w:p w:rsidR="0026776A" w:rsidRPr="001124C4" w:rsidRDefault="0026776A" w:rsidP="0026776A">
            <w:pPr>
              <w:keepLines/>
              <w:rPr>
                <w:rFonts w:cs="Times New Roman"/>
                <w:i/>
                <w:sz w:val="22"/>
              </w:rPr>
            </w:pPr>
          </w:p>
        </w:tc>
        <w:tc>
          <w:tcPr>
            <w:tcW w:w="2835" w:type="dxa"/>
            <w:gridSpan w:val="2"/>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jc w:val="both"/>
              <w:rPr>
                <w:rFonts w:cs="Times New Roman"/>
                <w:sz w:val="22"/>
              </w:rPr>
            </w:pPr>
            <w:r w:rsidRPr="001124C4">
              <w:rPr>
                <w:rFonts w:cs="Times New Roman"/>
                <w:sz w:val="22"/>
              </w:rPr>
              <w:t xml:space="preserve">8.1.1. Regulāri piedalīties BEMIP sanāksmēs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jc w:val="both"/>
              <w:rPr>
                <w:rFonts w:cs="Times New Roman"/>
                <w:sz w:val="22"/>
              </w:rPr>
            </w:pPr>
            <w:r w:rsidRPr="001124C4">
              <w:rPr>
                <w:rFonts w:cs="Times New Roman"/>
                <w:sz w:val="22"/>
              </w:rPr>
              <w:t xml:space="preserve">8.1.2. Organizēt BEMIP Augsta līmeņa sanāksmi Rīgā </w:t>
            </w:r>
          </w:p>
        </w:tc>
        <w:tc>
          <w:tcPr>
            <w:tcW w:w="1134" w:type="dxa"/>
          </w:tcPr>
          <w:p w:rsidR="0026776A" w:rsidRPr="001124C4" w:rsidRDefault="0026776A" w:rsidP="0026776A">
            <w:pPr>
              <w:rPr>
                <w:rFonts w:cs="Times New Roman"/>
                <w:i/>
                <w:sz w:val="22"/>
              </w:rPr>
            </w:pPr>
            <w:r w:rsidRPr="001124C4">
              <w:rPr>
                <w:rFonts w:cs="Times New Roman"/>
                <w:i/>
                <w:sz w:val="22"/>
              </w:rPr>
              <w:t>2014.</w:t>
            </w:r>
            <w:r>
              <w:rPr>
                <w:rFonts w:cs="Times New Roman"/>
                <w:i/>
                <w:sz w:val="22"/>
              </w:rPr>
              <w:t>-2020.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 ES līdzfinansējums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jc w:val="both"/>
              <w:rPr>
                <w:rFonts w:cs="Times New Roman"/>
                <w:sz w:val="22"/>
              </w:rPr>
            </w:pPr>
            <w:r w:rsidRPr="001124C4">
              <w:rPr>
                <w:rFonts w:cs="Times New Roman"/>
                <w:sz w:val="22"/>
              </w:rPr>
              <w:t xml:space="preserve">8.1.3. Veicināt reģiona infrastruktūras projektu attīstību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rPr>
                <w:rFonts w:cs="Times New Roman"/>
                <w:i/>
                <w:sz w:val="22"/>
              </w:rPr>
            </w:pPr>
            <w:r w:rsidRPr="001124C4">
              <w:rPr>
                <w:rFonts w:cs="Times New Roman"/>
                <w:sz w:val="22"/>
              </w:rPr>
              <w:t xml:space="preserve">8.2. Veicināt sadarbību ar Igauniju un Lietuvu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1559" w:type="dxa"/>
            <w:gridSpan w:val="2"/>
            <w:shd w:val="clear" w:color="auto" w:fill="FABF8F" w:themeFill="accent6" w:themeFillTint="99"/>
          </w:tcPr>
          <w:p w:rsidR="0026776A" w:rsidRPr="001124C4" w:rsidRDefault="0026776A" w:rsidP="0026776A">
            <w:pPr>
              <w:keepLines/>
              <w:rPr>
                <w:rFonts w:cs="Times New Roman"/>
                <w:i/>
                <w:sz w:val="22"/>
              </w:rPr>
            </w:pPr>
          </w:p>
        </w:tc>
        <w:tc>
          <w:tcPr>
            <w:tcW w:w="2127" w:type="dxa"/>
            <w:gridSpan w:val="2"/>
            <w:shd w:val="clear" w:color="auto" w:fill="FABF8F" w:themeFill="accent6" w:themeFillTint="99"/>
          </w:tcPr>
          <w:p w:rsidR="0026776A" w:rsidRPr="001124C4" w:rsidRDefault="0026776A" w:rsidP="0026776A">
            <w:pPr>
              <w:keepLines/>
              <w:rPr>
                <w:rFonts w:cs="Times New Roman"/>
                <w:i/>
                <w:sz w:val="22"/>
              </w:rPr>
            </w:pPr>
          </w:p>
        </w:tc>
        <w:tc>
          <w:tcPr>
            <w:tcW w:w="2835" w:type="dxa"/>
            <w:gridSpan w:val="2"/>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jc w:val="both"/>
              <w:rPr>
                <w:rFonts w:cs="Times New Roman"/>
                <w:sz w:val="22"/>
              </w:rPr>
            </w:pPr>
            <w:r w:rsidRPr="001124C4">
              <w:rPr>
                <w:rFonts w:cs="Times New Roman"/>
                <w:sz w:val="22"/>
              </w:rPr>
              <w:t xml:space="preserve">8.2.1. Regulāri piedalīties Augsta līmeņa Baltijas Komitejas Sanāksmēs (BCM)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47675D" w:rsidRDefault="0026776A" w:rsidP="0026776A">
            <w:pPr>
              <w:keepLines/>
              <w:autoSpaceDE w:val="0"/>
              <w:autoSpaceDN w:val="0"/>
              <w:adjustRightInd w:val="0"/>
              <w:ind w:right="173"/>
              <w:jc w:val="both"/>
              <w:rPr>
                <w:rFonts w:cs="Times New Roman"/>
                <w:sz w:val="22"/>
              </w:rPr>
            </w:pPr>
            <w:r w:rsidRPr="0047675D">
              <w:rPr>
                <w:rFonts w:cs="Times New Roman"/>
                <w:sz w:val="22"/>
              </w:rPr>
              <w:lastRenderedPageBreak/>
              <w:t>8.2.2. Organizēt BCM laika posmā, kad Latvija būs prezidējošā valsts Baltijas Ministru padomē</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47675D" w:rsidRDefault="0026776A" w:rsidP="0026776A">
            <w:pPr>
              <w:keepLines/>
              <w:autoSpaceDE w:val="0"/>
              <w:autoSpaceDN w:val="0"/>
              <w:adjustRightInd w:val="0"/>
              <w:ind w:right="173"/>
              <w:jc w:val="both"/>
              <w:rPr>
                <w:rFonts w:cs="Times New Roman"/>
                <w:sz w:val="22"/>
              </w:rPr>
            </w:pPr>
            <w:r w:rsidRPr="0047675D">
              <w:rPr>
                <w:rFonts w:cs="Times New Roman"/>
                <w:sz w:val="22"/>
              </w:rPr>
              <w:t xml:space="preserve">8.2.3. Veicināt BEMIP efektīvu darbību pēc 2015.gada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47675D" w:rsidRDefault="0026776A" w:rsidP="0026776A">
            <w:pPr>
              <w:keepLines/>
              <w:autoSpaceDE w:val="0"/>
              <w:autoSpaceDN w:val="0"/>
              <w:adjustRightInd w:val="0"/>
              <w:ind w:right="173"/>
              <w:jc w:val="both"/>
              <w:rPr>
                <w:rFonts w:cs="Times New Roman"/>
                <w:sz w:val="22"/>
              </w:rPr>
            </w:pPr>
            <w:r w:rsidRPr="0047675D">
              <w:rPr>
                <w:rFonts w:cs="Times New Roman"/>
                <w:sz w:val="22"/>
              </w:rPr>
              <w:t xml:space="preserve">8.3. Veicināt starptautisko sadarbību BASREC ietvaros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1559" w:type="dxa"/>
            <w:gridSpan w:val="2"/>
            <w:shd w:val="clear" w:color="auto" w:fill="FABF8F" w:themeFill="accent6" w:themeFillTint="99"/>
          </w:tcPr>
          <w:p w:rsidR="0026776A" w:rsidRPr="001124C4" w:rsidRDefault="0026776A" w:rsidP="0026776A">
            <w:pPr>
              <w:keepLines/>
              <w:rPr>
                <w:rFonts w:cs="Times New Roman"/>
                <w:i/>
                <w:sz w:val="22"/>
              </w:rPr>
            </w:pPr>
          </w:p>
        </w:tc>
        <w:tc>
          <w:tcPr>
            <w:tcW w:w="2127" w:type="dxa"/>
            <w:gridSpan w:val="2"/>
            <w:shd w:val="clear" w:color="auto" w:fill="FABF8F" w:themeFill="accent6" w:themeFillTint="99"/>
          </w:tcPr>
          <w:p w:rsidR="0026776A" w:rsidRPr="001124C4" w:rsidRDefault="0026776A" w:rsidP="0026776A">
            <w:pPr>
              <w:keepLines/>
              <w:rPr>
                <w:rFonts w:cs="Times New Roman"/>
                <w:i/>
                <w:sz w:val="22"/>
              </w:rPr>
            </w:pPr>
          </w:p>
        </w:tc>
        <w:tc>
          <w:tcPr>
            <w:tcW w:w="2835" w:type="dxa"/>
            <w:gridSpan w:val="2"/>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47675D" w:rsidRDefault="0026776A" w:rsidP="0026776A">
            <w:pPr>
              <w:keepLines/>
              <w:autoSpaceDE w:val="0"/>
              <w:autoSpaceDN w:val="0"/>
              <w:adjustRightInd w:val="0"/>
              <w:ind w:right="173"/>
              <w:jc w:val="both"/>
              <w:rPr>
                <w:rFonts w:cs="Times New Roman"/>
                <w:sz w:val="22"/>
              </w:rPr>
            </w:pPr>
            <w:r w:rsidRPr="0047675D">
              <w:rPr>
                <w:rFonts w:cs="Times New Roman"/>
                <w:sz w:val="22"/>
              </w:rPr>
              <w:t>8.3.1. Regulāri piedalīties par enerģētiku atbildīgo vecāko amatpersonu  sanāksmēs (3-4 reizes gadā), kā arī iespēju robežās piedalīties BASREC ietvaros rīkotajos semināros un konferencēs</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47675D" w:rsidRDefault="0026776A" w:rsidP="0026776A">
            <w:pPr>
              <w:keepLines/>
              <w:autoSpaceDE w:val="0"/>
              <w:autoSpaceDN w:val="0"/>
              <w:adjustRightInd w:val="0"/>
              <w:ind w:right="173"/>
              <w:jc w:val="both"/>
              <w:rPr>
                <w:rFonts w:cs="Times New Roman"/>
                <w:sz w:val="22"/>
              </w:rPr>
            </w:pPr>
            <w:r w:rsidRPr="0047675D">
              <w:rPr>
                <w:rFonts w:cs="Times New Roman"/>
                <w:sz w:val="22"/>
              </w:rPr>
              <w:t>8.3.2. Organizēt par enerģētiku atbildīgo vecāko amatpersonu sanāksmes laika posmā, kad Latvija būs prezidējošā valsts Baltijas jūras valstu padomē</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8.3.3. Piedalīties </w:t>
            </w:r>
            <w:r>
              <w:rPr>
                <w:rFonts w:cs="Times New Roman"/>
                <w:color w:val="000000"/>
                <w:sz w:val="22"/>
              </w:rPr>
              <w:t xml:space="preserve">starptautiskajos </w:t>
            </w:r>
            <w:r w:rsidRPr="009968DD">
              <w:rPr>
                <w:rFonts w:cs="Times New Roman"/>
                <w:color w:val="000000"/>
                <w:sz w:val="22"/>
              </w:rPr>
              <w:t>projektos enerģētikas nozarē</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FM</w:t>
            </w:r>
            <w:r>
              <w:rPr>
                <w:rFonts w:cs="Times New Roman"/>
                <w:i/>
                <w:sz w:val="22"/>
              </w:rPr>
              <w:t>, uzņēmumi</w:t>
            </w:r>
          </w:p>
        </w:tc>
        <w:tc>
          <w:tcPr>
            <w:tcW w:w="2835" w:type="dxa"/>
            <w:gridSpan w:val="2"/>
            <w:shd w:val="clear" w:color="auto" w:fill="auto"/>
          </w:tcPr>
          <w:p w:rsidR="0026776A" w:rsidRPr="001124C4" w:rsidRDefault="0026776A" w:rsidP="0026776A">
            <w:pPr>
              <w:rPr>
                <w:rFonts w:cs="Times New Roman"/>
                <w:i/>
                <w:sz w:val="22"/>
              </w:rPr>
            </w:pPr>
            <w:r w:rsidRPr="001124C4">
              <w:rPr>
                <w:rFonts w:cs="Times New Roman"/>
                <w:i/>
                <w:sz w:val="22"/>
              </w:rPr>
              <w:t xml:space="preserve">Valsts pamatbudžets, </w:t>
            </w:r>
            <w:r>
              <w:rPr>
                <w:rFonts w:cs="Times New Roman"/>
                <w:i/>
                <w:sz w:val="22"/>
              </w:rPr>
              <w:t xml:space="preserve">ES </w:t>
            </w:r>
            <w:r w:rsidRPr="001124C4">
              <w:rPr>
                <w:rFonts w:cs="Times New Roman"/>
                <w:i/>
                <w:sz w:val="22"/>
              </w:rPr>
              <w:t>lī</w:t>
            </w:r>
            <w:r>
              <w:rPr>
                <w:rFonts w:cs="Times New Roman"/>
                <w:i/>
                <w:sz w:val="22"/>
              </w:rPr>
              <w:t>dzfinansējums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 Koordinēt Baltijas jūras reģiona stratēģijas Enerģētikas prioritāti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1559" w:type="dxa"/>
            <w:gridSpan w:val="2"/>
            <w:shd w:val="clear" w:color="auto" w:fill="FABF8F" w:themeFill="accent6" w:themeFillTint="99"/>
          </w:tcPr>
          <w:p w:rsidR="0026776A" w:rsidRPr="001124C4" w:rsidRDefault="0026776A" w:rsidP="0026776A">
            <w:pPr>
              <w:keepLines/>
              <w:rPr>
                <w:rFonts w:cs="Times New Roman"/>
                <w:i/>
                <w:sz w:val="22"/>
              </w:rPr>
            </w:pPr>
          </w:p>
        </w:tc>
        <w:tc>
          <w:tcPr>
            <w:tcW w:w="2127" w:type="dxa"/>
            <w:gridSpan w:val="2"/>
            <w:shd w:val="clear" w:color="auto" w:fill="FABF8F" w:themeFill="accent6" w:themeFillTint="99"/>
          </w:tcPr>
          <w:p w:rsidR="0026776A" w:rsidRPr="001124C4" w:rsidRDefault="0026776A" w:rsidP="0026776A">
            <w:pPr>
              <w:keepLines/>
              <w:rPr>
                <w:rFonts w:cs="Times New Roman"/>
                <w:i/>
                <w:sz w:val="22"/>
              </w:rPr>
            </w:pPr>
          </w:p>
        </w:tc>
        <w:tc>
          <w:tcPr>
            <w:tcW w:w="2835" w:type="dxa"/>
            <w:gridSpan w:val="2"/>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8.4.1. Vērtēt “Seed Money” projektus enerģētikas jomā</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VM, LM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 ES līdzfinansējums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8.4.2. Regulāri piedalīties pasākumos attiecībā uz enerģētikas jautājumiem</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VM, LM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8.4.3. Organizēt Vadības komitejas (divas reizes gadā)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VM, LM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8.4.4. </w:t>
            </w:r>
            <w:r>
              <w:rPr>
                <w:rFonts w:cs="Times New Roman"/>
                <w:color w:val="000000"/>
                <w:sz w:val="22"/>
              </w:rPr>
              <w:t>Aktīvi p</w:t>
            </w:r>
            <w:r w:rsidRPr="001124C4">
              <w:rPr>
                <w:rFonts w:cs="Times New Roman"/>
                <w:color w:val="000000"/>
                <w:sz w:val="22"/>
              </w:rPr>
              <w:t>iedalīties Stratēģijas ikgadējā forumā par enerģētikas jomu</w:t>
            </w:r>
          </w:p>
        </w:tc>
        <w:tc>
          <w:tcPr>
            <w:tcW w:w="1134" w:type="dxa"/>
          </w:tcPr>
          <w:p w:rsidR="0026776A" w:rsidRPr="001124C4" w:rsidRDefault="0026776A" w:rsidP="0026776A">
            <w:pPr>
              <w:keepLines/>
              <w:rPr>
                <w:rFonts w:cs="Times New Roman"/>
                <w:i/>
                <w:sz w:val="22"/>
              </w:rPr>
            </w:pPr>
            <w:r w:rsidRPr="001124C4">
              <w:rPr>
                <w:rFonts w:cs="Times New Roman"/>
                <w:i/>
                <w:sz w:val="22"/>
              </w:rPr>
              <w:t>2015.</w:t>
            </w:r>
          </w:p>
        </w:tc>
        <w:tc>
          <w:tcPr>
            <w:tcW w:w="1559" w:type="dxa"/>
            <w:gridSpan w:val="2"/>
          </w:tcPr>
          <w:p w:rsidR="0026776A" w:rsidRPr="001124C4" w:rsidRDefault="0026776A" w:rsidP="0026776A">
            <w:pPr>
              <w:keepLines/>
              <w:rPr>
                <w:rFonts w:cs="Times New Roman"/>
                <w:i/>
                <w:sz w:val="22"/>
              </w:rPr>
            </w:pPr>
            <w:r w:rsidRPr="001124C4">
              <w:rPr>
                <w:rFonts w:cs="Times New Roman"/>
                <w:i/>
                <w:sz w:val="22"/>
              </w:rPr>
              <w:t>ĀM</w:t>
            </w:r>
          </w:p>
        </w:tc>
        <w:tc>
          <w:tcPr>
            <w:tcW w:w="2127" w:type="dxa"/>
            <w:gridSpan w:val="2"/>
          </w:tcPr>
          <w:p w:rsidR="0026776A" w:rsidRPr="001124C4" w:rsidRDefault="0026776A" w:rsidP="0026776A">
            <w:pPr>
              <w:keepLines/>
              <w:rPr>
                <w:rFonts w:cs="Times New Roman"/>
                <w:i/>
                <w:sz w:val="22"/>
              </w:rPr>
            </w:pPr>
            <w:r w:rsidRPr="001124C4">
              <w:rPr>
                <w:rFonts w:cs="Times New Roman"/>
                <w:i/>
                <w:sz w:val="22"/>
              </w:rPr>
              <w:t>VARAM, SM, LM, VM</w:t>
            </w:r>
          </w:p>
        </w:tc>
        <w:tc>
          <w:tcPr>
            <w:tcW w:w="2835" w:type="dxa"/>
            <w:gridSpan w:val="2"/>
          </w:tcPr>
          <w:p w:rsidR="0026776A" w:rsidRPr="001124C4" w:rsidRDefault="0026776A" w:rsidP="0026776A">
            <w:pPr>
              <w:keepLines/>
              <w:rPr>
                <w:rFonts w:cs="Times New Roman"/>
                <w:i/>
                <w:sz w:val="22"/>
              </w:rPr>
            </w:pPr>
            <w:r w:rsidRPr="001124C4">
              <w:rPr>
                <w:rFonts w:cs="Times New Roman"/>
                <w:i/>
                <w:sz w:val="22"/>
              </w:rPr>
              <w:t>Valsts pamatbudžets, ES līdzfinansējums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 Veicināt Latvijas aktīvu dalību starptautiskās organizācijās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1559" w:type="dxa"/>
            <w:gridSpan w:val="2"/>
            <w:shd w:val="clear" w:color="auto" w:fill="FABF8F" w:themeFill="accent6" w:themeFillTint="99"/>
          </w:tcPr>
          <w:p w:rsidR="0026776A" w:rsidRPr="001124C4" w:rsidRDefault="0026776A" w:rsidP="0026776A">
            <w:pPr>
              <w:keepLines/>
              <w:rPr>
                <w:rFonts w:cs="Times New Roman"/>
                <w:i/>
                <w:sz w:val="22"/>
              </w:rPr>
            </w:pPr>
          </w:p>
        </w:tc>
        <w:tc>
          <w:tcPr>
            <w:tcW w:w="2127" w:type="dxa"/>
            <w:gridSpan w:val="2"/>
            <w:shd w:val="clear" w:color="auto" w:fill="FABF8F" w:themeFill="accent6" w:themeFillTint="99"/>
          </w:tcPr>
          <w:p w:rsidR="0026776A" w:rsidRPr="001124C4" w:rsidRDefault="0026776A" w:rsidP="0026776A">
            <w:pPr>
              <w:keepLines/>
              <w:rPr>
                <w:rFonts w:cs="Times New Roman"/>
                <w:i/>
                <w:sz w:val="22"/>
              </w:rPr>
            </w:pPr>
          </w:p>
        </w:tc>
        <w:tc>
          <w:tcPr>
            <w:tcW w:w="2835" w:type="dxa"/>
            <w:gridSpan w:val="2"/>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8.4.1. Piedalīties </w:t>
            </w:r>
            <w:r>
              <w:rPr>
                <w:rFonts w:cs="Times New Roman"/>
                <w:color w:val="000000"/>
                <w:sz w:val="22"/>
              </w:rPr>
              <w:t xml:space="preserve">Eiropas </w:t>
            </w:r>
            <w:r w:rsidRPr="001124C4">
              <w:rPr>
                <w:rFonts w:cs="Times New Roman"/>
                <w:color w:val="000000"/>
                <w:sz w:val="22"/>
              </w:rPr>
              <w:t xml:space="preserve">Enerģētikas Kopienā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VM, LM, TM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8.4.2. Piedalīties Enerģētikas Hartas pasākumos, kā arī līdzdarboties jaunas redakcijas izstrādē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Pr>
          <w:p w:rsidR="0026776A" w:rsidRPr="001124C4" w:rsidRDefault="0026776A" w:rsidP="0026776A">
            <w:pPr>
              <w:rPr>
                <w:rFonts w:cs="Times New Roman"/>
                <w:i/>
                <w:sz w:val="22"/>
              </w:rPr>
            </w:pPr>
            <w:r w:rsidRPr="001124C4">
              <w:rPr>
                <w:rFonts w:cs="Times New Roman"/>
                <w:i/>
                <w:sz w:val="22"/>
              </w:rPr>
              <w:t>ĀM, VARAM, SM, VM, LM, TM</w:t>
            </w:r>
          </w:p>
        </w:tc>
        <w:tc>
          <w:tcPr>
            <w:tcW w:w="2835" w:type="dxa"/>
            <w:gridSpan w:val="2"/>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8.4.3. Veicināt divpusējus kontaktus enerģētikas jomā. </w:t>
            </w:r>
          </w:p>
        </w:tc>
        <w:tc>
          <w:tcPr>
            <w:tcW w:w="1134" w:type="dxa"/>
            <w:tcBorders>
              <w:bottom w:val="single" w:sz="4" w:space="0" w:color="auto"/>
            </w:tcBorders>
          </w:tcPr>
          <w:p w:rsidR="0026776A" w:rsidRPr="001124C4" w:rsidRDefault="0026776A" w:rsidP="0026776A">
            <w:pPr>
              <w:rPr>
                <w:rFonts w:cs="Times New Roman"/>
                <w:i/>
                <w:sz w:val="22"/>
              </w:rPr>
            </w:pPr>
            <w:r w:rsidRPr="001124C4">
              <w:rPr>
                <w:rFonts w:cs="Times New Roman"/>
                <w:i/>
                <w:sz w:val="22"/>
              </w:rPr>
              <w:t>2014.-2020.</w:t>
            </w:r>
          </w:p>
        </w:tc>
        <w:tc>
          <w:tcPr>
            <w:tcW w:w="1559" w:type="dxa"/>
            <w:gridSpan w:val="2"/>
            <w:tcBorders>
              <w:bottom w:val="single" w:sz="4" w:space="0" w:color="auto"/>
            </w:tcBorders>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2127" w:type="dxa"/>
            <w:gridSpan w:val="2"/>
            <w:tcBorders>
              <w:bottom w:val="single" w:sz="4" w:space="0" w:color="auto"/>
            </w:tcBorders>
          </w:tcPr>
          <w:p w:rsidR="0026776A" w:rsidRPr="001124C4" w:rsidRDefault="0026776A" w:rsidP="0026776A">
            <w:pPr>
              <w:rPr>
                <w:rFonts w:cs="Times New Roman"/>
                <w:i/>
                <w:sz w:val="22"/>
              </w:rPr>
            </w:pPr>
            <w:r w:rsidRPr="001124C4">
              <w:rPr>
                <w:rFonts w:cs="Times New Roman"/>
                <w:i/>
                <w:sz w:val="22"/>
              </w:rPr>
              <w:t>ĀM, VARAM, SM, VM, LM, TM</w:t>
            </w:r>
          </w:p>
        </w:tc>
        <w:tc>
          <w:tcPr>
            <w:tcW w:w="2835" w:type="dxa"/>
            <w:gridSpan w:val="2"/>
            <w:tcBorders>
              <w:bottom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26776A" w:rsidRPr="001124C4" w:rsidRDefault="0026776A" w:rsidP="0026776A">
            <w:pPr>
              <w:spacing w:before="120" w:after="120"/>
              <w:rPr>
                <w:rFonts w:cs="Times New Roman"/>
                <w:b/>
                <w:sz w:val="22"/>
              </w:rPr>
            </w:pPr>
            <w:r w:rsidRPr="001124C4">
              <w:rPr>
                <w:rFonts w:cs="Times New Roman"/>
                <w:b/>
                <w:sz w:val="22"/>
              </w:rPr>
              <w:t xml:space="preserve">Rīcības virziens mērķa sasniegšanai </w:t>
            </w:r>
          </w:p>
        </w:tc>
        <w:tc>
          <w:tcPr>
            <w:tcW w:w="7655" w:type="dxa"/>
            <w:gridSpan w:val="7"/>
            <w:shd w:val="clear" w:color="auto" w:fill="BFBFBF" w:themeFill="background1" w:themeFillShade="BF"/>
          </w:tcPr>
          <w:p w:rsidR="0026776A" w:rsidRPr="001124C4" w:rsidRDefault="0026776A" w:rsidP="0026776A">
            <w:pPr>
              <w:spacing w:before="120" w:after="120"/>
              <w:rPr>
                <w:rFonts w:cs="Times New Roman"/>
                <w:b/>
                <w:sz w:val="22"/>
              </w:rPr>
            </w:pPr>
            <w:r w:rsidRPr="001124C4">
              <w:rPr>
                <w:rFonts w:cs="Times New Roman"/>
                <w:b/>
                <w:i/>
                <w:sz w:val="22"/>
              </w:rPr>
              <w:t xml:space="preserve">9.Sabiedrības informēšana par enerģētikas sektora aktualitātēm </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9.1. Veicināt sabiedrības izpratni par notikumiem enerģētikas </w:t>
            </w:r>
            <w:r w:rsidRPr="001124C4">
              <w:rPr>
                <w:rFonts w:cs="Times New Roman"/>
                <w:color w:val="000000"/>
                <w:sz w:val="22"/>
              </w:rPr>
              <w:lastRenderedPageBreak/>
              <w:t xml:space="preserve">sektorā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2126" w:type="dxa"/>
            <w:gridSpan w:val="3"/>
            <w:shd w:val="clear" w:color="auto" w:fill="FABF8F" w:themeFill="accent6" w:themeFillTint="99"/>
          </w:tcPr>
          <w:p w:rsidR="0026776A" w:rsidRPr="001124C4" w:rsidRDefault="0026776A" w:rsidP="0026776A">
            <w:pPr>
              <w:keepLines/>
              <w:rPr>
                <w:rFonts w:cs="Times New Roman"/>
                <w:i/>
                <w:sz w:val="22"/>
              </w:rPr>
            </w:pPr>
          </w:p>
        </w:tc>
        <w:tc>
          <w:tcPr>
            <w:tcW w:w="1985" w:type="dxa"/>
            <w:gridSpan w:val="2"/>
            <w:shd w:val="clear" w:color="auto" w:fill="FABF8F" w:themeFill="accent6" w:themeFillTint="99"/>
          </w:tcPr>
          <w:p w:rsidR="0026776A" w:rsidRPr="001124C4" w:rsidRDefault="0026776A" w:rsidP="0026776A">
            <w:pPr>
              <w:keepLines/>
              <w:rPr>
                <w:rFonts w:cs="Times New Roman"/>
                <w:i/>
                <w:sz w:val="22"/>
              </w:rPr>
            </w:pPr>
          </w:p>
        </w:tc>
        <w:tc>
          <w:tcPr>
            <w:tcW w:w="2410" w:type="dxa"/>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lastRenderedPageBreak/>
              <w:t>9.1.</w:t>
            </w:r>
            <w:r>
              <w:rPr>
                <w:rFonts w:cs="Times New Roman"/>
                <w:color w:val="000000"/>
                <w:sz w:val="22"/>
              </w:rPr>
              <w:t>1</w:t>
            </w:r>
            <w:r w:rsidRPr="001124C4">
              <w:rPr>
                <w:rFonts w:cs="Times New Roman"/>
                <w:color w:val="000000"/>
                <w:sz w:val="22"/>
              </w:rPr>
              <w:t xml:space="preserve">. Regulāri organizēt Tautsaimniecības padomes Enerģētikas apakškomitejas sanāksmes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2126" w:type="dxa"/>
            <w:gridSpan w:val="3"/>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1985" w:type="dxa"/>
            <w:gridSpan w:val="2"/>
            <w:shd w:val="clear" w:color="auto" w:fill="auto"/>
          </w:tcPr>
          <w:p w:rsidR="0026776A" w:rsidRPr="001124C4" w:rsidRDefault="0026776A" w:rsidP="0026776A">
            <w:pPr>
              <w:rPr>
                <w:rFonts w:cs="Times New Roman"/>
                <w:i/>
                <w:sz w:val="22"/>
              </w:rPr>
            </w:pPr>
            <w:r w:rsidRPr="001124C4">
              <w:rPr>
                <w:rFonts w:cs="Times New Roman"/>
                <w:i/>
                <w:sz w:val="22"/>
              </w:rPr>
              <w:t>LBAS, LDDK, LPS, LTRK, , LIAA</w:t>
            </w:r>
          </w:p>
        </w:tc>
        <w:tc>
          <w:tcPr>
            <w:tcW w:w="2410" w:type="dxa"/>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Borders>
              <w:bottom w:val="single" w:sz="4" w:space="0" w:color="auto"/>
            </w:tcBorders>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9.1.</w:t>
            </w:r>
            <w:r>
              <w:rPr>
                <w:rFonts w:cs="Times New Roman"/>
                <w:color w:val="000000"/>
                <w:sz w:val="22"/>
              </w:rPr>
              <w:t>2</w:t>
            </w:r>
            <w:r w:rsidRPr="001124C4">
              <w:rPr>
                <w:rFonts w:cs="Times New Roman"/>
                <w:color w:val="000000"/>
                <w:sz w:val="22"/>
              </w:rPr>
              <w:t xml:space="preserve">. Pieņemot jaunus tiesību aktus enerģētikas nozarē organizēt preses konferences  </w:t>
            </w:r>
          </w:p>
        </w:tc>
        <w:tc>
          <w:tcPr>
            <w:tcW w:w="1134" w:type="dxa"/>
            <w:tcBorders>
              <w:bottom w:val="single" w:sz="4" w:space="0" w:color="auto"/>
            </w:tcBorders>
          </w:tcPr>
          <w:p w:rsidR="0026776A" w:rsidRPr="001124C4" w:rsidRDefault="0026776A" w:rsidP="0026776A">
            <w:pPr>
              <w:rPr>
                <w:rFonts w:cs="Times New Roman"/>
                <w:i/>
                <w:sz w:val="22"/>
              </w:rPr>
            </w:pPr>
            <w:r w:rsidRPr="001124C4">
              <w:rPr>
                <w:rFonts w:cs="Times New Roman"/>
                <w:i/>
                <w:sz w:val="22"/>
              </w:rPr>
              <w:t>2014.-2020.</w:t>
            </w:r>
          </w:p>
        </w:tc>
        <w:tc>
          <w:tcPr>
            <w:tcW w:w="2126" w:type="dxa"/>
            <w:gridSpan w:val="3"/>
            <w:tcBorders>
              <w:bottom w:val="single" w:sz="4" w:space="0" w:color="auto"/>
            </w:tcBorders>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1985" w:type="dxa"/>
            <w:gridSpan w:val="2"/>
            <w:tcBorders>
              <w:bottom w:val="single" w:sz="4" w:space="0" w:color="auto"/>
            </w:tcBorders>
          </w:tcPr>
          <w:p w:rsidR="0026776A" w:rsidRPr="001124C4" w:rsidRDefault="0026776A" w:rsidP="0026776A">
            <w:pPr>
              <w:rPr>
                <w:rFonts w:cs="Times New Roman"/>
                <w:i/>
                <w:sz w:val="22"/>
              </w:rPr>
            </w:pPr>
            <w:r w:rsidRPr="001124C4">
              <w:rPr>
                <w:rFonts w:cs="Times New Roman"/>
                <w:i/>
                <w:sz w:val="22"/>
              </w:rPr>
              <w:t>NVO, preses p</w:t>
            </w:r>
            <w:r>
              <w:rPr>
                <w:rFonts w:cs="Times New Roman"/>
                <w:i/>
                <w:sz w:val="22"/>
              </w:rPr>
              <w:t>ā</w:t>
            </w:r>
            <w:r w:rsidRPr="001124C4">
              <w:rPr>
                <w:rFonts w:cs="Times New Roman"/>
                <w:i/>
                <w:sz w:val="22"/>
              </w:rPr>
              <w:t>rstāvji</w:t>
            </w:r>
          </w:p>
        </w:tc>
        <w:tc>
          <w:tcPr>
            <w:tcW w:w="2410" w:type="dxa"/>
            <w:tcBorders>
              <w:bottom w:val="single" w:sz="4" w:space="0" w:color="auto"/>
            </w:tcBorders>
          </w:tcPr>
          <w:p w:rsidR="0026776A" w:rsidRPr="001124C4" w:rsidRDefault="0026776A" w:rsidP="0026776A">
            <w:pPr>
              <w:rPr>
                <w:rFonts w:cs="Times New Roman"/>
                <w:i/>
                <w:sz w:val="22"/>
              </w:rPr>
            </w:pPr>
            <w:r w:rsidRPr="001124C4">
              <w:rPr>
                <w:rFonts w:cs="Times New Roman"/>
                <w:i/>
                <w:sz w:val="22"/>
              </w:rPr>
              <w:t>Valsts pamatbudžets</w:t>
            </w:r>
          </w:p>
        </w:tc>
      </w:tr>
      <w:tr w:rsidR="0026776A" w:rsidRPr="00A80B2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BFBFBF" w:themeFill="background1" w:themeFillShade="BF"/>
          </w:tcPr>
          <w:p w:rsidR="0026776A" w:rsidRPr="001124C4" w:rsidRDefault="0026776A" w:rsidP="0026776A">
            <w:pPr>
              <w:tabs>
                <w:tab w:val="left" w:pos="4424"/>
              </w:tabs>
              <w:spacing w:before="120" w:after="120"/>
              <w:rPr>
                <w:rFonts w:cs="Times New Roman"/>
                <w:b/>
                <w:sz w:val="22"/>
              </w:rPr>
            </w:pPr>
            <w:r w:rsidRPr="001124C4">
              <w:rPr>
                <w:rFonts w:cs="Times New Roman"/>
                <w:b/>
                <w:sz w:val="22"/>
              </w:rPr>
              <w:t xml:space="preserve">Rīcības virziens mērķa sasniegšanai </w:t>
            </w:r>
            <w:r w:rsidRPr="001124C4">
              <w:rPr>
                <w:rFonts w:cs="Times New Roman"/>
                <w:b/>
                <w:sz w:val="22"/>
              </w:rPr>
              <w:tab/>
            </w:r>
          </w:p>
        </w:tc>
        <w:tc>
          <w:tcPr>
            <w:tcW w:w="7655" w:type="dxa"/>
            <w:gridSpan w:val="7"/>
            <w:shd w:val="clear" w:color="auto" w:fill="BFBFBF" w:themeFill="background1" w:themeFillShade="BF"/>
          </w:tcPr>
          <w:p w:rsidR="0026776A" w:rsidRPr="001124C4" w:rsidRDefault="0026776A" w:rsidP="0026776A">
            <w:pPr>
              <w:spacing w:before="120" w:after="120"/>
              <w:rPr>
                <w:rFonts w:cs="Times New Roman"/>
                <w:b/>
                <w:i/>
                <w:sz w:val="22"/>
              </w:rPr>
            </w:pPr>
            <w:r w:rsidRPr="001124C4">
              <w:rPr>
                <w:rFonts w:cs="Times New Roman"/>
                <w:b/>
                <w:i/>
                <w:sz w:val="22"/>
              </w:rPr>
              <w:t xml:space="preserve">10. Inovatīvi risinājumi enerģētikas nozares problēmām </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shd w:val="clear" w:color="auto" w:fill="FABF8F" w:themeFill="accent6" w:themeFillTint="99"/>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 xml:space="preserve">10.1. Nodrošināt institucionālo ietvaru valsts un uzņēmēju sadarbībai  </w:t>
            </w:r>
          </w:p>
        </w:tc>
        <w:tc>
          <w:tcPr>
            <w:tcW w:w="1134" w:type="dxa"/>
            <w:shd w:val="clear" w:color="auto" w:fill="FABF8F" w:themeFill="accent6" w:themeFillTint="99"/>
          </w:tcPr>
          <w:p w:rsidR="0026776A" w:rsidRPr="001124C4" w:rsidRDefault="0026776A" w:rsidP="0026776A">
            <w:pPr>
              <w:keepLines/>
              <w:rPr>
                <w:rFonts w:cs="Times New Roman"/>
                <w:i/>
                <w:sz w:val="22"/>
              </w:rPr>
            </w:pPr>
          </w:p>
        </w:tc>
        <w:tc>
          <w:tcPr>
            <w:tcW w:w="2126" w:type="dxa"/>
            <w:gridSpan w:val="3"/>
            <w:shd w:val="clear" w:color="auto" w:fill="FABF8F" w:themeFill="accent6" w:themeFillTint="99"/>
          </w:tcPr>
          <w:p w:rsidR="0026776A" w:rsidRPr="001124C4" w:rsidRDefault="0026776A" w:rsidP="0026776A">
            <w:pPr>
              <w:keepLines/>
              <w:rPr>
                <w:rFonts w:cs="Times New Roman"/>
                <w:i/>
                <w:sz w:val="22"/>
              </w:rPr>
            </w:pPr>
          </w:p>
        </w:tc>
        <w:tc>
          <w:tcPr>
            <w:tcW w:w="1985" w:type="dxa"/>
            <w:gridSpan w:val="2"/>
            <w:shd w:val="clear" w:color="auto" w:fill="FABF8F" w:themeFill="accent6" w:themeFillTint="99"/>
          </w:tcPr>
          <w:p w:rsidR="0026776A" w:rsidRPr="001124C4" w:rsidRDefault="0026776A" w:rsidP="0026776A">
            <w:pPr>
              <w:keepLines/>
              <w:rPr>
                <w:rFonts w:cs="Times New Roman"/>
                <w:i/>
                <w:sz w:val="22"/>
              </w:rPr>
            </w:pPr>
          </w:p>
        </w:tc>
        <w:tc>
          <w:tcPr>
            <w:tcW w:w="2410" w:type="dxa"/>
            <w:shd w:val="clear" w:color="auto" w:fill="FABF8F" w:themeFill="accent6" w:themeFillTint="99"/>
          </w:tcPr>
          <w:p w:rsidR="0026776A" w:rsidRPr="001124C4" w:rsidRDefault="0026776A" w:rsidP="0026776A">
            <w:pPr>
              <w:keepLines/>
              <w:rPr>
                <w:rFonts w:cs="Times New Roman"/>
                <w:i/>
                <w:sz w:val="22"/>
              </w:rPr>
            </w:pP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10.1.</w:t>
            </w:r>
            <w:r>
              <w:rPr>
                <w:rFonts w:cs="Times New Roman"/>
                <w:color w:val="000000"/>
                <w:sz w:val="22"/>
              </w:rPr>
              <w:t xml:space="preserve">1. </w:t>
            </w:r>
            <w:r w:rsidRPr="001124C4">
              <w:rPr>
                <w:rFonts w:cs="Times New Roman"/>
                <w:color w:val="000000"/>
                <w:sz w:val="22"/>
              </w:rPr>
              <w:t xml:space="preserve">Veicināt </w:t>
            </w:r>
            <w:r>
              <w:rPr>
                <w:rFonts w:cs="Times New Roman"/>
                <w:color w:val="000000"/>
                <w:sz w:val="22"/>
              </w:rPr>
              <w:t xml:space="preserve">efektīvas institūcijas </w:t>
            </w:r>
            <w:r w:rsidRPr="001124C4">
              <w:rPr>
                <w:rFonts w:cs="Times New Roman"/>
                <w:color w:val="000000"/>
                <w:sz w:val="22"/>
              </w:rPr>
              <w:t>izveidi, kas sniegtu pētnieciska rakstura pakalpojumus</w:t>
            </w:r>
            <w:r>
              <w:rPr>
                <w:rFonts w:cs="Times New Roman"/>
                <w:color w:val="000000"/>
                <w:sz w:val="22"/>
              </w:rPr>
              <w:t xml:space="preserve"> </w:t>
            </w:r>
            <w:r w:rsidRPr="001124C4">
              <w:rPr>
                <w:rFonts w:cs="Times New Roman"/>
                <w:color w:val="000000"/>
                <w:sz w:val="22"/>
              </w:rPr>
              <w:t>valsts pārvalde</w:t>
            </w:r>
            <w:r>
              <w:rPr>
                <w:rFonts w:cs="Times New Roman"/>
                <w:color w:val="000000"/>
                <w:sz w:val="22"/>
              </w:rPr>
              <w:t>i</w:t>
            </w:r>
            <w:r w:rsidRPr="001124C4">
              <w:rPr>
                <w:rFonts w:cs="Times New Roman"/>
                <w:color w:val="000000"/>
                <w:sz w:val="22"/>
              </w:rPr>
              <w:t xml:space="preserve">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2126" w:type="dxa"/>
            <w:gridSpan w:val="3"/>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1985" w:type="dxa"/>
            <w:gridSpan w:val="2"/>
          </w:tcPr>
          <w:p w:rsidR="0026776A" w:rsidRPr="001124C4" w:rsidRDefault="0026776A" w:rsidP="0026776A">
            <w:pPr>
              <w:rPr>
                <w:rFonts w:cs="Times New Roman"/>
                <w:i/>
                <w:sz w:val="22"/>
              </w:rPr>
            </w:pPr>
            <w:r w:rsidRPr="001124C4">
              <w:rPr>
                <w:rFonts w:cs="Times New Roman"/>
                <w:i/>
                <w:sz w:val="22"/>
              </w:rPr>
              <w:t>ĀM, VARAM, SM, VM, LM, TM, IzM</w:t>
            </w:r>
            <w:r>
              <w:rPr>
                <w:rFonts w:cs="Times New Roman"/>
                <w:i/>
                <w:sz w:val="22"/>
              </w:rPr>
              <w:t>, augstskolas, pētnieciskās institūcijas</w:t>
            </w:r>
          </w:p>
        </w:tc>
        <w:tc>
          <w:tcPr>
            <w:tcW w:w="2410" w:type="dxa"/>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10.1.</w:t>
            </w:r>
            <w:r>
              <w:rPr>
                <w:rFonts w:cs="Times New Roman"/>
                <w:color w:val="000000"/>
                <w:sz w:val="22"/>
              </w:rPr>
              <w:t>2</w:t>
            </w:r>
            <w:r w:rsidRPr="001124C4">
              <w:rPr>
                <w:rFonts w:cs="Times New Roman"/>
                <w:color w:val="000000"/>
                <w:sz w:val="22"/>
              </w:rPr>
              <w:t>. Sadarbībā ar pētniekiem</w:t>
            </w:r>
            <w:r>
              <w:rPr>
                <w:rFonts w:cs="Times New Roman"/>
                <w:color w:val="000000"/>
                <w:sz w:val="22"/>
              </w:rPr>
              <w:t xml:space="preserve">, </w:t>
            </w:r>
            <w:r w:rsidRPr="001124C4">
              <w:rPr>
                <w:rFonts w:cs="Times New Roman"/>
                <w:color w:val="000000"/>
                <w:sz w:val="22"/>
              </w:rPr>
              <w:t xml:space="preserve">uzņēmējiem </w:t>
            </w:r>
            <w:r>
              <w:rPr>
                <w:rFonts w:cs="Times New Roman"/>
                <w:color w:val="000000"/>
                <w:sz w:val="22"/>
              </w:rPr>
              <w:t xml:space="preserve">un mācību iestādēm </w:t>
            </w:r>
            <w:r w:rsidRPr="001124C4">
              <w:rPr>
                <w:rFonts w:cs="Times New Roman"/>
                <w:color w:val="000000"/>
                <w:sz w:val="22"/>
              </w:rPr>
              <w:t xml:space="preserve">izstrādāt jaunus virzienu pētniecības programmai sākot no 2018.gada </w:t>
            </w:r>
          </w:p>
        </w:tc>
        <w:tc>
          <w:tcPr>
            <w:tcW w:w="1134" w:type="dxa"/>
          </w:tcPr>
          <w:p w:rsidR="0026776A" w:rsidRPr="001124C4" w:rsidRDefault="0026776A" w:rsidP="0026776A">
            <w:pPr>
              <w:rPr>
                <w:rFonts w:cs="Times New Roman"/>
                <w:i/>
                <w:sz w:val="22"/>
              </w:rPr>
            </w:pPr>
            <w:r w:rsidRPr="001124C4">
              <w:rPr>
                <w:rFonts w:cs="Times New Roman"/>
                <w:i/>
                <w:sz w:val="22"/>
              </w:rPr>
              <w:t>2018.-2020.</w:t>
            </w:r>
          </w:p>
        </w:tc>
        <w:tc>
          <w:tcPr>
            <w:tcW w:w="2126" w:type="dxa"/>
            <w:gridSpan w:val="3"/>
          </w:tcPr>
          <w:p w:rsidR="0026776A" w:rsidRPr="001124C4" w:rsidRDefault="0026776A" w:rsidP="0026776A">
            <w:pPr>
              <w:rPr>
                <w:rFonts w:cs="Times New Roman"/>
                <w:color w:val="000000" w:themeColor="text1"/>
                <w:sz w:val="22"/>
              </w:rPr>
            </w:pPr>
            <w:r w:rsidRPr="001124C4">
              <w:rPr>
                <w:rFonts w:cs="Times New Roman"/>
                <w:color w:val="000000" w:themeColor="text1"/>
                <w:sz w:val="22"/>
              </w:rPr>
              <w:t>EM</w:t>
            </w:r>
          </w:p>
        </w:tc>
        <w:tc>
          <w:tcPr>
            <w:tcW w:w="1985" w:type="dxa"/>
            <w:gridSpan w:val="2"/>
          </w:tcPr>
          <w:p w:rsidR="0026776A" w:rsidRPr="001124C4" w:rsidRDefault="0026776A" w:rsidP="0026776A">
            <w:pPr>
              <w:rPr>
                <w:rFonts w:cs="Times New Roman"/>
                <w:i/>
                <w:sz w:val="22"/>
              </w:rPr>
            </w:pPr>
            <w:r w:rsidRPr="001124C4">
              <w:rPr>
                <w:rFonts w:cs="Times New Roman"/>
                <w:i/>
                <w:sz w:val="22"/>
              </w:rPr>
              <w:t>ĀM, VARAM, SM, VM, LM, TM, IzM</w:t>
            </w:r>
          </w:p>
        </w:tc>
        <w:tc>
          <w:tcPr>
            <w:tcW w:w="2410" w:type="dxa"/>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10.1.</w:t>
            </w:r>
            <w:r>
              <w:rPr>
                <w:rFonts w:cs="Times New Roman"/>
                <w:color w:val="000000"/>
                <w:sz w:val="22"/>
              </w:rPr>
              <w:t>3</w:t>
            </w:r>
            <w:r w:rsidRPr="001124C4">
              <w:rPr>
                <w:rFonts w:cs="Times New Roman"/>
                <w:color w:val="000000"/>
                <w:sz w:val="22"/>
              </w:rPr>
              <w:t xml:space="preserve">. Uzraudzīt Zinātniski pētnieciskās programmas ieviešanu laika posmā no 2014.-2017.gadam, rīkot regulāras sanāksmes ar zinātniekiem lai apspriestu rezultātu praktisko pielietošanu un vajadzības </w:t>
            </w:r>
          </w:p>
        </w:tc>
        <w:tc>
          <w:tcPr>
            <w:tcW w:w="1134" w:type="dxa"/>
          </w:tcPr>
          <w:p w:rsidR="0026776A" w:rsidRPr="001124C4" w:rsidRDefault="0026776A" w:rsidP="0026776A">
            <w:pPr>
              <w:rPr>
                <w:rFonts w:cs="Times New Roman"/>
                <w:i/>
                <w:sz w:val="22"/>
              </w:rPr>
            </w:pPr>
            <w:r w:rsidRPr="001124C4">
              <w:rPr>
                <w:rFonts w:cs="Times New Roman"/>
                <w:i/>
                <w:sz w:val="22"/>
              </w:rPr>
              <w:t>2014.-2017.</w:t>
            </w:r>
          </w:p>
        </w:tc>
        <w:tc>
          <w:tcPr>
            <w:tcW w:w="2126" w:type="dxa"/>
            <w:gridSpan w:val="3"/>
          </w:tcPr>
          <w:p w:rsidR="0026776A" w:rsidRPr="001124C4" w:rsidRDefault="0026776A" w:rsidP="0026776A">
            <w:pPr>
              <w:rPr>
                <w:rFonts w:cs="Times New Roman"/>
                <w:color w:val="000000" w:themeColor="text1"/>
                <w:sz w:val="22"/>
              </w:rPr>
            </w:pPr>
            <w:r w:rsidRPr="001124C4">
              <w:rPr>
                <w:rFonts w:cs="Times New Roman"/>
                <w:color w:val="000000" w:themeColor="text1"/>
                <w:sz w:val="22"/>
              </w:rPr>
              <w:t>IzM</w:t>
            </w:r>
          </w:p>
        </w:tc>
        <w:tc>
          <w:tcPr>
            <w:tcW w:w="1985" w:type="dxa"/>
            <w:gridSpan w:val="2"/>
          </w:tcPr>
          <w:p w:rsidR="0026776A" w:rsidRPr="001124C4" w:rsidRDefault="0026776A" w:rsidP="0026776A">
            <w:pPr>
              <w:rPr>
                <w:rFonts w:cs="Times New Roman"/>
                <w:i/>
                <w:sz w:val="22"/>
              </w:rPr>
            </w:pPr>
            <w:r w:rsidRPr="001124C4">
              <w:rPr>
                <w:rFonts w:cs="Times New Roman"/>
                <w:i/>
                <w:sz w:val="22"/>
              </w:rPr>
              <w:t>EM, ĀM, VARAM, SM, VM, LM, TM, IzM</w:t>
            </w:r>
          </w:p>
        </w:tc>
        <w:tc>
          <w:tcPr>
            <w:tcW w:w="2410" w:type="dxa"/>
          </w:tcPr>
          <w:p w:rsidR="0026776A" w:rsidRPr="001124C4" w:rsidRDefault="0026776A" w:rsidP="0026776A">
            <w:pPr>
              <w:rPr>
                <w:rFonts w:cs="Times New Roman"/>
                <w:i/>
                <w:sz w:val="22"/>
              </w:rPr>
            </w:pPr>
            <w:r w:rsidRPr="001124C4">
              <w:rPr>
                <w:rFonts w:cs="Times New Roman"/>
                <w:i/>
                <w:sz w:val="22"/>
              </w:rPr>
              <w:t>Valsts pamatbudžets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10.1.</w:t>
            </w:r>
            <w:r>
              <w:rPr>
                <w:rFonts w:cs="Times New Roman"/>
                <w:color w:val="000000"/>
                <w:sz w:val="22"/>
              </w:rPr>
              <w:t>4</w:t>
            </w:r>
            <w:r w:rsidRPr="001124C4">
              <w:rPr>
                <w:rFonts w:cs="Times New Roman"/>
                <w:color w:val="000000"/>
                <w:sz w:val="22"/>
              </w:rPr>
              <w:t xml:space="preserve">. efektīvi izmantot Zinātniski pētnieciskās programmas ietvaros pieejamos finanšu līdzekļus enerģētikas problēmu risināšanā </w:t>
            </w:r>
          </w:p>
        </w:tc>
        <w:tc>
          <w:tcPr>
            <w:tcW w:w="1134" w:type="dxa"/>
          </w:tcPr>
          <w:p w:rsidR="0026776A" w:rsidRPr="001124C4" w:rsidRDefault="0026776A" w:rsidP="0026776A">
            <w:pPr>
              <w:keepLines/>
              <w:rPr>
                <w:rFonts w:cs="Times New Roman"/>
                <w:i/>
                <w:sz w:val="22"/>
              </w:rPr>
            </w:pPr>
            <w:r w:rsidRPr="001124C4">
              <w:rPr>
                <w:rFonts w:cs="Times New Roman"/>
                <w:i/>
                <w:sz w:val="22"/>
              </w:rPr>
              <w:t>2014.-2017.</w:t>
            </w:r>
          </w:p>
        </w:tc>
        <w:tc>
          <w:tcPr>
            <w:tcW w:w="2126" w:type="dxa"/>
            <w:gridSpan w:val="3"/>
          </w:tcPr>
          <w:p w:rsidR="0026776A" w:rsidRPr="001124C4" w:rsidRDefault="0026776A" w:rsidP="0026776A">
            <w:pPr>
              <w:keepLines/>
              <w:rPr>
                <w:rFonts w:cs="Times New Roman"/>
                <w:i/>
                <w:sz w:val="22"/>
              </w:rPr>
            </w:pPr>
            <w:r w:rsidRPr="001124C4">
              <w:rPr>
                <w:rFonts w:cs="Times New Roman"/>
                <w:i/>
                <w:sz w:val="22"/>
              </w:rPr>
              <w:t xml:space="preserve">Zinātniskās institūcijas </w:t>
            </w:r>
          </w:p>
        </w:tc>
        <w:tc>
          <w:tcPr>
            <w:tcW w:w="1985" w:type="dxa"/>
            <w:gridSpan w:val="2"/>
          </w:tcPr>
          <w:p w:rsidR="0026776A" w:rsidRPr="001124C4" w:rsidRDefault="0026776A" w:rsidP="0026776A">
            <w:pPr>
              <w:keepLines/>
              <w:rPr>
                <w:rFonts w:cs="Times New Roman"/>
                <w:i/>
                <w:sz w:val="22"/>
              </w:rPr>
            </w:pPr>
            <w:r>
              <w:rPr>
                <w:rFonts w:cs="Times New Roman"/>
                <w:i/>
                <w:sz w:val="22"/>
              </w:rPr>
              <w:t>EM</w:t>
            </w:r>
          </w:p>
        </w:tc>
        <w:tc>
          <w:tcPr>
            <w:tcW w:w="2410" w:type="dxa"/>
          </w:tcPr>
          <w:p w:rsidR="0026776A" w:rsidRPr="001124C4" w:rsidRDefault="0026776A" w:rsidP="0026776A">
            <w:pPr>
              <w:keepLines/>
              <w:rPr>
                <w:rFonts w:cs="Times New Roman"/>
                <w:i/>
                <w:sz w:val="22"/>
              </w:rPr>
            </w:pPr>
            <w:r w:rsidRPr="001124C4">
              <w:rPr>
                <w:rFonts w:cs="Times New Roman"/>
                <w:color w:val="000000"/>
                <w:sz w:val="22"/>
              </w:rPr>
              <w:t>Zinātniski pētnieciskās programmas</w:t>
            </w:r>
          </w:p>
        </w:tc>
      </w:tr>
      <w:tr w:rsidR="0026776A" w:rsidRPr="00741400" w:rsidTr="00157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487" w:type="dxa"/>
          </w:tcPr>
          <w:p w:rsidR="0026776A" w:rsidRPr="001124C4" w:rsidRDefault="0026776A" w:rsidP="0026776A">
            <w:pPr>
              <w:keepLines/>
              <w:autoSpaceDE w:val="0"/>
              <w:autoSpaceDN w:val="0"/>
              <w:adjustRightInd w:val="0"/>
              <w:ind w:right="173"/>
              <w:jc w:val="both"/>
              <w:rPr>
                <w:rFonts w:cs="Times New Roman"/>
                <w:color w:val="000000"/>
                <w:sz w:val="22"/>
              </w:rPr>
            </w:pPr>
            <w:r w:rsidRPr="001124C4">
              <w:rPr>
                <w:rFonts w:cs="Times New Roman"/>
                <w:color w:val="000000"/>
                <w:sz w:val="22"/>
              </w:rPr>
              <w:t>10.1.</w:t>
            </w:r>
            <w:r>
              <w:rPr>
                <w:rFonts w:cs="Times New Roman"/>
                <w:color w:val="000000"/>
                <w:sz w:val="22"/>
              </w:rPr>
              <w:t>5</w:t>
            </w:r>
            <w:r w:rsidRPr="001124C4">
              <w:rPr>
                <w:rFonts w:cs="Times New Roman"/>
                <w:color w:val="000000"/>
                <w:sz w:val="22"/>
              </w:rPr>
              <w:t xml:space="preserve">. Veicināt dalību ES programmā „Horizonts” </w:t>
            </w:r>
          </w:p>
        </w:tc>
        <w:tc>
          <w:tcPr>
            <w:tcW w:w="1134" w:type="dxa"/>
          </w:tcPr>
          <w:p w:rsidR="0026776A" w:rsidRPr="001124C4" w:rsidRDefault="0026776A" w:rsidP="0026776A">
            <w:pPr>
              <w:rPr>
                <w:rFonts w:cs="Times New Roman"/>
                <w:i/>
                <w:sz w:val="22"/>
              </w:rPr>
            </w:pPr>
            <w:r w:rsidRPr="001124C4">
              <w:rPr>
                <w:rFonts w:cs="Times New Roman"/>
                <w:i/>
                <w:sz w:val="22"/>
              </w:rPr>
              <w:t>2014.-2020.</w:t>
            </w:r>
          </w:p>
        </w:tc>
        <w:tc>
          <w:tcPr>
            <w:tcW w:w="2126" w:type="dxa"/>
            <w:gridSpan w:val="3"/>
          </w:tcPr>
          <w:p w:rsidR="0026776A" w:rsidRPr="001124C4" w:rsidRDefault="0026776A" w:rsidP="0026776A">
            <w:pPr>
              <w:rPr>
                <w:rFonts w:cs="Times New Roman"/>
                <w:color w:val="000000" w:themeColor="text1"/>
                <w:sz w:val="22"/>
              </w:rPr>
            </w:pPr>
            <w:r w:rsidRPr="001124C4">
              <w:rPr>
                <w:rFonts w:cs="Times New Roman"/>
                <w:color w:val="000000" w:themeColor="text1"/>
                <w:sz w:val="22"/>
              </w:rPr>
              <w:t>IzM</w:t>
            </w:r>
          </w:p>
        </w:tc>
        <w:tc>
          <w:tcPr>
            <w:tcW w:w="1985" w:type="dxa"/>
            <w:gridSpan w:val="2"/>
          </w:tcPr>
          <w:p w:rsidR="0026776A" w:rsidRPr="001124C4" w:rsidRDefault="0026776A" w:rsidP="0026776A">
            <w:pPr>
              <w:rPr>
                <w:rFonts w:cs="Times New Roman"/>
                <w:i/>
                <w:sz w:val="22"/>
              </w:rPr>
            </w:pPr>
            <w:r>
              <w:rPr>
                <w:rFonts w:cs="Times New Roman"/>
                <w:i/>
                <w:sz w:val="22"/>
              </w:rPr>
              <w:t xml:space="preserve">Zinātniskās institūcijas, </w:t>
            </w:r>
            <w:r w:rsidRPr="001124C4">
              <w:rPr>
                <w:rFonts w:cs="Times New Roman"/>
                <w:i/>
                <w:sz w:val="22"/>
              </w:rPr>
              <w:t>EM, ĀM, VARAM, SM, VM, LM, TM</w:t>
            </w:r>
          </w:p>
        </w:tc>
        <w:tc>
          <w:tcPr>
            <w:tcW w:w="2410" w:type="dxa"/>
          </w:tcPr>
          <w:p w:rsidR="0026776A" w:rsidRPr="001124C4" w:rsidRDefault="0026776A" w:rsidP="0026776A">
            <w:pPr>
              <w:keepLines/>
              <w:rPr>
                <w:rFonts w:cs="Times New Roman"/>
                <w:i/>
                <w:sz w:val="22"/>
              </w:rPr>
            </w:pPr>
            <w:r w:rsidRPr="001124C4">
              <w:rPr>
                <w:rFonts w:cs="Times New Roman"/>
                <w:i/>
                <w:sz w:val="22"/>
              </w:rPr>
              <w:t>ES līdzfinansējums, zinātnisko institūciju līdzfinansējums</w:t>
            </w:r>
          </w:p>
        </w:tc>
      </w:tr>
    </w:tbl>
    <w:p w:rsidR="00F203EC" w:rsidRDefault="00F203EC" w:rsidP="00F203EC">
      <w:pPr>
        <w:sectPr w:rsidR="00F203EC" w:rsidSect="005D60DE">
          <w:pgSz w:w="16838" w:h="11906" w:orient="landscape" w:code="9"/>
          <w:pgMar w:top="1701" w:right="1418" w:bottom="1134" w:left="1134" w:header="709" w:footer="709" w:gutter="0"/>
          <w:cols w:space="708"/>
          <w:docGrid w:linePitch="381"/>
        </w:sectPr>
      </w:pPr>
      <w:r>
        <w:br w:type="textWrapping" w:clear="all"/>
      </w:r>
    </w:p>
    <w:p w:rsidR="000D146E" w:rsidRDefault="000D146E" w:rsidP="000D146E">
      <w:pPr>
        <w:pStyle w:val="Heading1"/>
        <w:spacing w:before="120" w:after="120"/>
        <w:ind w:left="284"/>
      </w:pPr>
      <w:bookmarkStart w:id="34" w:name="_Toc401644334"/>
      <w:bookmarkStart w:id="35" w:name="_Toc398574171"/>
      <w:r>
        <w:lastRenderedPageBreak/>
        <w:t xml:space="preserve">6. </w:t>
      </w:r>
      <w:r w:rsidRPr="00395CEF">
        <w:t>Politikas un darbības rezultā</w:t>
      </w:r>
      <w:r>
        <w:t>ti</w:t>
      </w:r>
      <w:bookmarkEnd w:id="34"/>
      <w:r>
        <w:t xml:space="preserve"> </w:t>
      </w:r>
    </w:p>
    <w:bookmarkEnd w:id="35"/>
    <w:tbl>
      <w:tblPr>
        <w:tblStyle w:val="TableGrid"/>
        <w:tblW w:w="13858" w:type="dxa"/>
        <w:tblInd w:w="284" w:type="dxa"/>
        <w:tblLayout w:type="fixed"/>
        <w:tblLook w:val="04A0" w:firstRow="1" w:lastRow="0" w:firstColumn="1" w:lastColumn="0" w:noHBand="0" w:noVBand="1"/>
      </w:tblPr>
      <w:tblGrid>
        <w:gridCol w:w="533"/>
        <w:gridCol w:w="2552"/>
        <w:gridCol w:w="1417"/>
        <w:gridCol w:w="1134"/>
        <w:gridCol w:w="1418"/>
        <w:gridCol w:w="6804"/>
      </w:tblGrid>
      <w:tr w:rsidR="00F203EC" w:rsidRPr="0039482D" w:rsidTr="00157239">
        <w:tc>
          <w:tcPr>
            <w:tcW w:w="533" w:type="dxa"/>
            <w:shd w:val="clear" w:color="auto" w:fill="BFBFBF" w:themeFill="background1" w:themeFillShade="BF"/>
          </w:tcPr>
          <w:p w:rsidR="00F203EC" w:rsidRPr="00664FD6" w:rsidRDefault="00F203EC" w:rsidP="00157239">
            <w:pPr>
              <w:rPr>
                <w:b/>
                <w:sz w:val="24"/>
                <w:szCs w:val="24"/>
              </w:rPr>
            </w:pPr>
          </w:p>
        </w:tc>
        <w:tc>
          <w:tcPr>
            <w:tcW w:w="2552" w:type="dxa"/>
            <w:shd w:val="clear" w:color="auto" w:fill="BFBFBF" w:themeFill="background1" w:themeFillShade="BF"/>
          </w:tcPr>
          <w:p w:rsidR="00F203EC" w:rsidRPr="00664FD6" w:rsidRDefault="00F203EC" w:rsidP="00157239">
            <w:pPr>
              <w:rPr>
                <w:b/>
                <w:sz w:val="24"/>
                <w:szCs w:val="24"/>
              </w:rPr>
            </w:pPr>
            <w:r w:rsidRPr="00664FD6">
              <w:rPr>
                <w:b/>
                <w:sz w:val="24"/>
                <w:szCs w:val="24"/>
              </w:rPr>
              <w:t>Rīcības virziens</w:t>
            </w:r>
          </w:p>
        </w:tc>
        <w:tc>
          <w:tcPr>
            <w:tcW w:w="3969" w:type="dxa"/>
            <w:gridSpan w:val="3"/>
            <w:shd w:val="clear" w:color="auto" w:fill="BFBFBF" w:themeFill="background1" w:themeFillShade="BF"/>
          </w:tcPr>
          <w:p w:rsidR="00F203EC" w:rsidRPr="00664FD6" w:rsidRDefault="00F203EC" w:rsidP="00157239">
            <w:pPr>
              <w:jc w:val="center"/>
              <w:rPr>
                <w:b/>
                <w:sz w:val="24"/>
                <w:szCs w:val="24"/>
              </w:rPr>
            </w:pPr>
            <w:r w:rsidRPr="00664FD6">
              <w:rPr>
                <w:b/>
                <w:sz w:val="24"/>
                <w:szCs w:val="24"/>
              </w:rPr>
              <w:t>Sasniedzamie apakšmērķi</w:t>
            </w:r>
          </w:p>
        </w:tc>
        <w:tc>
          <w:tcPr>
            <w:tcW w:w="6804" w:type="dxa"/>
            <w:shd w:val="clear" w:color="auto" w:fill="BFBFBF" w:themeFill="background1" w:themeFillShade="BF"/>
          </w:tcPr>
          <w:p w:rsidR="00F203EC" w:rsidRPr="00664FD6" w:rsidRDefault="00F203EC" w:rsidP="00157239">
            <w:pPr>
              <w:rPr>
                <w:b/>
                <w:sz w:val="24"/>
                <w:szCs w:val="24"/>
              </w:rPr>
            </w:pPr>
            <w:r w:rsidRPr="00664FD6">
              <w:rPr>
                <w:b/>
                <w:sz w:val="24"/>
                <w:szCs w:val="24"/>
              </w:rPr>
              <w:t xml:space="preserve">Sasniedzamie rezultāti </w:t>
            </w:r>
          </w:p>
        </w:tc>
      </w:tr>
      <w:tr w:rsidR="00F203EC" w:rsidRPr="0039482D" w:rsidTr="00157239">
        <w:tc>
          <w:tcPr>
            <w:tcW w:w="533" w:type="dxa"/>
          </w:tcPr>
          <w:p w:rsidR="00F203EC" w:rsidRPr="00664FD6" w:rsidRDefault="00F203EC" w:rsidP="00157239">
            <w:pPr>
              <w:rPr>
                <w:b/>
                <w:sz w:val="24"/>
                <w:szCs w:val="24"/>
              </w:rPr>
            </w:pPr>
          </w:p>
        </w:tc>
        <w:tc>
          <w:tcPr>
            <w:tcW w:w="2552" w:type="dxa"/>
          </w:tcPr>
          <w:p w:rsidR="00F203EC" w:rsidRPr="00664FD6" w:rsidRDefault="00F203EC" w:rsidP="00157239">
            <w:pPr>
              <w:rPr>
                <w:b/>
                <w:sz w:val="24"/>
                <w:szCs w:val="24"/>
              </w:rPr>
            </w:pPr>
          </w:p>
        </w:tc>
        <w:tc>
          <w:tcPr>
            <w:tcW w:w="1417" w:type="dxa"/>
          </w:tcPr>
          <w:p w:rsidR="00F203EC" w:rsidRPr="00664FD6" w:rsidRDefault="00F203EC" w:rsidP="00157239">
            <w:pPr>
              <w:rPr>
                <w:b/>
                <w:sz w:val="24"/>
                <w:szCs w:val="24"/>
              </w:rPr>
            </w:pPr>
            <w:r w:rsidRPr="00664FD6">
              <w:rPr>
                <w:b/>
                <w:sz w:val="24"/>
                <w:szCs w:val="24"/>
              </w:rPr>
              <w:t>Konkurēt</w:t>
            </w:r>
            <w:r>
              <w:rPr>
                <w:b/>
                <w:sz w:val="24"/>
                <w:szCs w:val="24"/>
              </w:rPr>
              <w:t>-</w:t>
            </w:r>
            <w:r w:rsidRPr="00664FD6">
              <w:rPr>
                <w:b/>
                <w:sz w:val="24"/>
                <w:szCs w:val="24"/>
              </w:rPr>
              <w:t>spējīga ekonomika</w:t>
            </w:r>
          </w:p>
        </w:tc>
        <w:tc>
          <w:tcPr>
            <w:tcW w:w="1134" w:type="dxa"/>
          </w:tcPr>
          <w:p w:rsidR="00F203EC" w:rsidRPr="00664FD6" w:rsidRDefault="00F203EC" w:rsidP="00157239">
            <w:pPr>
              <w:rPr>
                <w:b/>
                <w:sz w:val="24"/>
                <w:szCs w:val="24"/>
              </w:rPr>
            </w:pPr>
            <w:r w:rsidRPr="00664FD6">
              <w:rPr>
                <w:b/>
                <w:sz w:val="24"/>
                <w:szCs w:val="24"/>
              </w:rPr>
              <w:t>Droša energo</w:t>
            </w:r>
            <w:r>
              <w:rPr>
                <w:b/>
                <w:sz w:val="24"/>
                <w:szCs w:val="24"/>
              </w:rPr>
              <w:t>-</w:t>
            </w:r>
            <w:r w:rsidRPr="00664FD6">
              <w:rPr>
                <w:b/>
                <w:sz w:val="24"/>
                <w:szCs w:val="24"/>
              </w:rPr>
              <w:t>apgāde</w:t>
            </w:r>
          </w:p>
        </w:tc>
        <w:tc>
          <w:tcPr>
            <w:tcW w:w="1418" w:type="dxa"/>
          </w:tcPr>
          <w:p w:rsidR="00F203EC" w:rsidRPr="00664FD6" w:rsidRDefault="00F203EC" w:rsidP="00157239">
            <w:pPr>
              <w:rPr>
                <w:b/>
                <w:sz w:val="24"/>
                <w:szCs w:val="24"/>
              </w:rPr>
            </w:pPr>
            <w:r w:rsidRPr="00664FD6">
              <w:rPr>
                <w:b/>
                <w:sz w:val="24"/>
                <w:szCs w:val="24"/>
              </w:rPr>
              <w:t>Ilgtspējīga enerģētika</w:t>
            </w:r>
          </w:p>
        </w:tc>
        <w:tc>
          <w:tcPr>
            <w:tcW w:w="6804" w:type="dxa"/>
          </w:tcPr>
          <w:p w:rsidR="00F203EC" w:rsidRPr="00664FD6" w:rsidRDefault="00F203EC" w:rsidP="00157239">
            <w:pPr>
              <w:rPr>
                <w:b/>
                <w:sz w:val="24"/>
                <w:szCs w:val="24"/>
              </w:rPr>
            </w:pPr>
          </w:p>
        </w:tc>
      </w:tr>
      <w:tr w:rsidR="00F203EC" w:rsidRPr="0039482D" w:rsidTr="00157239">
        <w:tc>
          <w:tcPr>
            <w:tcW w:w="533" w:type="dxa"/>
          </w:tcPr>
          <w:p w:rsidR="00F203EC" w:rsidRPr="00D26898" w:rsidRDefault="00F203EC" w:rsidP="00157239">
            <w:pPr>
              <w:rPr>
                <w:sz w:val="24"/>
                <w:szCs w:val="24"/>
              </w:rPr>
            </w:pPr>
            <w:r>
              <w:rPr>
                <w:sz w:val="24"/>
                <w:szCs w:val="24"/>
              </w:rPr>
              <w:t>1.</w:t>
            </w:r>
          </w:p>
        </w:tc>
        <w:tc>
          <w:tcPr>
            <w:tcW w:w="2552" w:type="dxa"/>
          </w:tcPr>
          <w:p w:rsidR="00F203EC" w:rsidRPr="00D26898" w:rsidRDefault="00F203EC" w:rsidP="00157239">
            <w:pPr>
              <w:rPr>
                <w:sz w:val="24"/>
                <w:szCs w:val="24"/>
              </w:rPr>
            </w:pPr>
            <w:r>
              <w:rPr>
                <w:sz w:val="24"/>
                <w:szCs w:val="24"/>
              </w:rPr>
              <w:t>Primāro e</w:t>
            </w:r>
            <w:r w:rsidRPr="00D26898">
              <w:rPr>
                <w:sz w:val="24"/>
                <w:szCs w:val="24"/>
              </w:rPr>
              <w:t>nergoresusrsu diversifikācija</w:t>
            </w:r>
          </w:p>
        </w:tc>
        <w:tc>
          <w:tcPr>
            <w:tcW w:w="1417" w:type="dxa"/>
          </w:tcPr>
          <w:p w:rsidR="00F203EC" w:rsidRPr="00D26898" w:rsidRDefault="00F203EC" w:rsidP="00157239">
            <w:pPr>
              <w:rPr>
                <w:sz w:val="24"/>
                <w:szCs w:val="24"/>
              </w:rPr>
            </w:pPr>
            <w:r w:rsidRPr="00D26898">
              <w:rPr>
                <w:sz w:val="24"/>
                <w:szCs w:val="24"/>
              </w:rPr>
              <w:t>XX</w:t>
            </w:r>
          </w:p>
        </w:tc>
        <w:tc>
          <w:tcPr>
            <w:tcW w:w="1134" w:type="dxa"/>
          </w:tcPr>
          <w:p w:rsidR="00F203EC" w:rsidRPr="00D26898" w:rsidRDefault="00F203EC" w:rsidP="00157239">
            <w:pPr>
              <w:rPr>
                <w:sz w:val="24"/>
                <w:szCs w:val="24"/>
              </w:rPr>
            </w:pPr>
            <w:r w:rsidRPr="00D26898">
              <w:rPr>
                <w:sz w:val="24"/>
                <w:szCs w:val="24"/>
              </w:rPr>
              <w:t>XXX</w:t>
            </w:r>
          </w:p>
        </w:tc>
        <w:tc>
          <w:tcPr>
            <w:tcW w:w="1418" w:type="dxa"/>
          </w:tcPr>
          <w:p w:rsidR="00F203EC" w:rsidRPr="00D26898" w:rsidRDefault="00F203EC" w:rsidP="00157239">
            <w:pPr>
              <w:rPr>
                <w:sz w:val="24"/>
                <w:szCs w:val="24"/>
              </w:rPr>
            </w:pPr>
            <w:r w:rsidRPr="00D26898">
              <w:rPr>
                <w:sz w:val="24"/>
                <w:szCs w:val="24"/>
              </w:rPr>
              <w:t>X</w:t>
            </w:r>
          </w:p>
        </w:tc>
        <w:tc>
          <w:tcPr>
            <w:tcW w:w="6804" w:type="dxa"/>
          </w:tcPr>
          <w:p w:rsidR="00F203EC" w:rsidRDefault="00F203EC" w:rsidP="00157239">
            <w:pPr>
              <w:pStyle w:val="ListParagraph"/>
              <w:numPr>
                <w:ilvl w:val="0"/>
                <w:numId w:val="20"/>
              </w:numPr>
              <w:rPr>
                <w:sz w:val="24"/>
                <w:szCs w:val="24"/>
              </w:rPr>
            </w:pPr>
            <w:r>
              <w:rPr>
                <w:sz w:val="24"/>
                <w:szCs w:val="24"/>
              </w:rPr>
              <w:t xml:space="preserve">Dažādoti vietējo energoresursu avoti </w:t>
            </w:r>
          </w:p>
          <w:p w:rsidR="00F203EC" w:rsidRPr="0047659D" w:rsidRDefault="00F203EC" w:rsidP="00985767">
            <w:pPr>
              <w:pStyle w:val="ListParagraph"/>
              <w:numPr>
                <w:ilvl w:val="0"/>
                <w:numId w:val="20"/>
              </w:numPr>
              <w:rPr>
                <w:sz w:val="24"/>
                <w:szCs w:val="24"/>
              </w:rPr>
            </w:pPr>
            <w:r w:rsidRPr="0047659D">
              <w:rPr>
                <w:sz w:val="24"/>
                <w:szCs w:val="24"/>
              </w:rPr>
              <w:t xml:space="preserve">Dabasgāzi </w:t>
            </w:r>
            <w:r w:rsidR="00985767">
              <w:rPr>
                <w:sz w:val="24"/>
                <w:szCs w:val="24"/>
              </w:rPr>
              <w:t xml:space="preserve">var iegādāties </w:t>
            </w:r>
            <w:r w:rsidRPr="0047659D">
              <w:rPr>
                <w:sz w:val="24"/>
                <w:szCs w:val="24"/>
              </w:rPr>
              <w:t xml:space="preserve">vairāk kā </w:t>
            </w:r>
            <w:r w:rsidR="00985767">
              <w:rPr>
                <w:sz w:val="24"/>
                <w:szCs w:val="24"/>
              </w:rPr>
              <w:t xml:space="preserve">no </w:t>
            </w:r>
            <w:r w:rsidRPr="0047659D">
              <w:rPr>
                <w:sz w:val="24"/>
                <w:szCs w:val="24"/>
              </w:rPr>
              <w:t>viena</w:t>
            </w:r>
            <w:r w:rsidR="00985767">
              <w:rPr>
                <w:sz w:val="24"/>
                <w:szCs w:val="24"/>
              </w:rPr>
              <w:t>s</w:t>
            </w:r>
            <w:r w:rsidRPr="0047659D">
              <w:rPr>
                <w:sz w:val="24"/>
                <w:szCs w:val="24"/>
              </w:rPr>
              <w:t xml:space="preserve"> valsts </w:t>
            </w:r>
          </w:p>
        </w:tc>
      </w:tr>
      <w:tr w:rsidR="00F203EC" w:rsidRPr="0039482D" w:rsidTr="00157239">
        <w:tc>
          <w:tcPr>
            <w:tcW w:w="533" w:type="dxa"/>
          </w:tcPr>
          <w:p w:rsidR="00F203EC" w:rsidRPr="00D26898" w:rsidRDefault="00F203EC" w:rsidP="00157239">
            <w:pPr>
              <w:rPr>
                <w:sz w:val="24"/>
                <w:szCs w:val="24"/>
              </w:rPr>
            </w:pPr>
            <w:r>
              <w:rPr>
                <w:sz w:val="24"/>
                <w:szCs w:val="24"/>
              </w:rPr>
              <w:t>2.</w:t>
            </w:r>
          </w:p>
        </w:tc>
        <w:tc>
          <w:tcPr>
            <w:tcW w:w="2552" w:type="dxa"/>
          </w:tcPr>
          <w:p w:rsidR="00F203EC" w:rsidRPr="00D26898" w:rsidRDefault="00F203EC" w:rsidP="00157239">
            <w:pPr>
              <w:rPr>
                <w:sz w:val="24"/>
                <w:szCs w:val="24"/>
              </w:rPr>
            </w:pPr>
            <w:r w:rsidRPr="00D26898">
              <w:rPr>
                <w:sz w:val="24"/>
                <w:szCs w:val="24"/>
              </w:rPr>
              <w:t xml:space="preserve">Efektīva </w:t>
            </w:r>
            <w:r>
              <w:rPr>
                <w:sz w:val="24"/>
                <w:szCs w:val="24"/>
              </w:rPr>
              <w:t xml:space="preserve">enerģijas resursu tirgus izveide  </w:t>
            </w:r>
          </w:p>
        </w:tc>
        <w:tc>
          <w:tcPr>
            <w:tcW w:w="1417" w:type="dxa"/>
          </w:tcPr>
          <w:p w:rsidR="00F203EC" w:rsidRPr="00D26898" w:rsidRDefault="00F203EC" w:rsidP="00157239">
            <w:pPr>
              <w:rPr>
                <w:sz w:val="24"/>
                <w:szCs w:val="24"/>
              </w:rPr>
            </w:pPr>
            <w:r w:rsidRPr="00D26898">
              <w:rPr>
                <w:sz w:val="24"/>
                <w:szCs w:val="24"/>
              </w:rPr>
              <w:t>XX</w:t>
            </w:r>
          </w:p>
        </w:tc>
        <w:tc>
          <w:tcPr>
            <w:tcW w:w="1134" w:type="dxa"/>
          </w:tcPr>
          <w:p w:rsidR="00F203EC" w:rsidRPr="00D26898" w:rsidRDefault="00F203EC" w:rsidP="00157239">
            <w:pPr>
              <w:rPr>
                <w:sz w:val="24"/>
                <w:szCs w:val="24"/>
              </w:rPr>
            </w:pPr>
            <w:r w:rsidRPr="00D26898">
              <w:rPr>
                <w:sz w:val="24"/>
                <w:szCs w:val="24"/>
              </w:rPr>
              <w:t>XXX</w:t>
            </w:r>
          </w:p>
        </w:tc>
        <w:tc>
          <w:tcPr>
            <w:tcW w:w="1418" w:type="dxa"/>
          </w:tcPr>
          <w:p w:rsidR="00F203EC" w:rsidRPr="00D26898" w:rsidRDefault="00F203EC" w:rsidP="00157239">
            <w:pPr>
              <w:rPr>
                <w:sz w:val="24"/>
                <w:szCs w:val="24"/>
              </w:rPr>
            </w:pPr>
            <w:r w:rsidRPr="00D26898">
              <w:rPr>
                <w:sz w:val="24"/>
                <w:szCs w:val="24"/>
              </w:rPr>
              <w:t>XX</w:t>
            </w: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NPS elektrības tirgū cenas neatšķiras LV un EE cenu zonās;</w:t>
            </w:r>
          </w:p>
          <w:p w:rsidR="00F203EC" w:rsidRPr="0047659D" w:rsidRDefault="00F203EC" w:rsidP="00157239">
            <w:pPr>
              <w:pStyle w:val="ListParagraph"/>
              <w:numPr>
                <w:ilvl w:val="0"/>
                <w:numId w:val="20"/>
              </w:numPr>
              <w:rPr>
                <w:sz w:val="24"/>
                <w:szCs w:val="24"/>
              </w:rPr>
            </w:pPr>
            <w:r w:rsidRPr="0047659D">
              <w:rPr>
                <w:sz w:val="24"/>
                <w:szCs w:val="24"/>
              </w:rPr>
              <w:t>Uzlabota elektroenerģijas tirgus darbība, tajā skaitā konkurence starp tirgotājiem;</w:t>
            </w:r>
          </w:p>
          <w:p w:rsidR="00F203EC" w:rsidRPr="0047659D" w:rsidRDefault="00F203EC" w:rsidP="00157239">
            <w:pPr>
              <w:pStyle w:val="ListParagraph"/>
              <w:numPr>
                <w:ilvl w:val="0"/>
                <w:numId w:val="20"/>
              </w:numPr>
              <w:rPr>
                <w:sz w:val="24"/>
                <w:szCs w:val="24"/>
              </w:rPr>
            </w:pPr>
            <w:r w:rsidRPr="0047659D">
              <w:rPr>
                <w:sz w:val="24"/>
                <w:szCs w:val="24"/>
              </w:rPr>
              <w:t xml:space="preserve">Elektroenerģija mājsaimniecībām ir pieejama par caurspīdīgu cenu, tajā skaitā tā ir pieejama trūcīgajiem un maznodrošinātajiem, </w:t>
            </w:r>
          </w:p>
          <w:p w:rsidR="00F203EC" w:rsidRDefault="00F203EC" w:rsidP="00157239">
            <w:pPr>
              <w:pStyle w:val="ListParagraph"/>
              <w:numPr>
                <w:ilvl w:val="0"/>
                <w:numId w:val="20"/>
              </w:numPr>
              <w:rPr>
                <w:sz w:val="24"/>
                <w:szCs w:val="24"/>
              </w:rPr>
            </w:pPr>
            <w:r w:rsidRPr="003E0821">
              <w:rPr>
                <w:sz w:val="24"/>
                <w:szCs w:val="24"/>
              </w:rPr>
              <w:t xml:space="preserve">Saglabājot OIK 2,69 EUR centi/kWh līmenī nepasliktināsies uzņēmumu konkurētspēja, nodrošinātas papildus atlaides energointensīvajiem ražotājiem, </w:t>
            </w:r>
          </w:p>
          <w:p w:rsidR="00F203EC" w:rsidRPr="0047659D" w:rsidRDefault="00F203EC" w:rsidP="00157239">
            <w:pPr>
              <w:pStyle w:val="ListParagraph"/>
              <w:numPr>
                <w:ilvl w:val="0"/>
                <w:numId w:val="20"/>
              </w:numPr>
              <w:rPr>
                <w:sz w:val="24"/>
                <w:szCs w:val="24"/>
              </w:rPr>
            </w:pPr>
            <w:r w:rsidRPr="003E0821">
              <w:rPr>
                <w:sz w:val="24"/>
                <w:szCs w:val="24"/>
              </w:rPr>
              <w:t>Uzlabota dabasgāzes tirgus darbība</w:t>
            </w:r>
          </w:p>
        </w:tc>
      </w:tr>
      <w:tr w:rsidR="00F203EC" w:rsidRPr="0039482D" w:rsidTr="00157239">
        <w:tc>
          <w:tcPr>
            <w:tcW w:w="533" w:type="dxa"/>
          </w:tcPr>
          <w:p w:rsidR="00F203EC" w:rsidRPr="00D26898" w:rsidRDefault="00F203EC" w:rsidP="00157239">
            <w:pPr>
              <w:rPr>
                <w:sz w:val="24"/>
                <w:szCs w:val="24"/>
              </w:rPr>
            </w:pPr>
            <w:r>
              <w:rPr>
                <w:sz w:val="24"/>
                <w:szCs w:val="24"/>
              </w:rPr>
              <w:t>3.</w:t>
            </w:r>
          </w:p>
        </w:tc>
        <w:tc>
          <w:tcPr>
            <w:tcW w:w="2552" w:type="dxa"/>
          </w:tcPr>
          <w:p w:rsidR="00F203EC" w:rsidRPr="00D26898" w:rsidRDefault="00F203EC" w:rsidP="00157239">
            <w:pPr>
              <w:rPr>
                <w:sz w:val="24"/>
                <w:szCs w:val="24"/>
              </w:rPr>
            </w:pPr>
            <w:r w:rsidRPr="00D26898">
              <w:rPr>
                <w:sz w:val="24"/>
                <w:szCs w:val="24"/>
              </w:rPr>
              <w:t xml:space="preserve">Efektīva </w:t>
            </w:r>
            <w:r>
              <w:rPr>
                <w:sz w:val="24"/>
                <w:szCs w:val="24"/>
              </w:rPr>
              <w:t xml:space="preserve">enerģijas infrastruktūra </w:t>
            </w:r>
          </w:p>
        </w:tc>
        <w:tc>
          <w:tcPr>
            <w:tcW w:w="1417" w:type="dxa"/>
          </w:tcPr>
          <w:p w:rsidR="00F203EC" w:rsidRPr="00D26898" w:rsidRDefault="00F203EC" w:rsidP="00157239">
            <w:pPr>
              <w:rPr>
                <w:sz w:val="24"/>
                <w:szCs w:val="24"/>
              </w:rPr>
            </w:pPr>
            <w:r w:rsidRPr="00D26898">
              <w:rPr>
                <w:sz w:val="24"/>
                <w:szCs w:val="24"/>
              </w:rPr>
              <w:t>XX</w:t>
            </w:r>
          </w:p>
        </w:tc>
        <w:tc>
          <w:tcPr>
            <w:tcW w:w="1134" w:type="dxa"/>
          </w:tcPr>
          <w:p w:rsidR="00F203EC" w:rsidRPr="00D26898" w:rsidRDefault="00F203EC" w:rsidP="00157239">
            <w:pPr>
              <w:rPr>
                <w:sz w:val="24"/>
                <w:szCs w:val="24"/>
              </w:rPr>
            </w:pPr>
            <w:r w:rsidRPr="00D26898">
              <w:rPr>
                <w:sz w:val="24"/>
                <w:szCs w:val="24"/>
              </w:rPr>
              <w:t>XXX</w:t>
            </w:r>
          </w:p>
        </w:tc>
        <w:tc>
          <w:tcPr>
            <w:tcW w:w="1418" w:type="dxa"/>
          </w:tcPr>
          <w:p w:rsidR="00F203EC" w:rsidRPr="00D26898" w:rsidRDefault="00F203EC" w:rsidP="00157239">
            <w:pPr>
              <w:rPr>
                <w:sz w:val="24"/>
                <w:szCs w:val="24"/>
              </w:rPr>
            </w:pPr>
            <w:r w:rsidRPr="00D26898">
              <w:rPr>
                <w:sz w:val="24"/>
                <w:szCs w:val="24"/>
              </w:rPr>
              <w:t>X</w:t>
            </w:r>
          </w:p>
        </w:tc>
        <w:tc>
          <w:tcPr>
            <w:tcW w:w="6804" w:type="dxa"/>
          </w:tcPr>
          <w:p w:rsidR="00F203EC" w:rsidRDefault="00F203EC" w:rsidP="00157239">
            <w:pPr>
              <w:pStyle w:val="ListParagraph"/>
              <w:numPr>
                <w:ilvl w:val="0"/>
                <w:numId w:val="20"/>
              </w:numPr>
              <w:rPr>
                <w:sz w:val="24"/>
                <w:szCs w:val="24"/>
              </w:rPr>
            </w:pPr>
            <w:r>
              <w:rPr>
                <w:sz w:val="24"/>
                <w:szCs w:val="24"/>
              </w:rPr>
              <w:t xml:space="preserve">Izlīdzinātas cenas NPS tirdzniecības apgabalos </w:t>
            </w:r>
          </w:p>
          <w:p w:rsidR="00F203EC" w:rsidRPr="0047659D" w:rsidRDefault="00F203EC" w:rsidP="00157239">
            <w:pPr>
              <w:pStyle w:val="ListParagraph"/>
              <w:numPr>
                <w:ilvl w:val="0"/>
                <w:numId w:val="20"/>
              </w:numPr>
              <w:rPr>
                <w:sz w:val="24"/>
                <w:szCs w:val="24"/>
              </w:rPr>
            </w:pPr>
            <w:r w:rsidRPr="0047659D">
              <w:rPr>
                <w:sz w:val="24"/>
                <w:szCs w:val="24"/>
              </w:rPr>
              <w:t xml:space="preserve">Latvijai ir starpsavienota ar ES dabasgāzes tīklu </w:t>
            </w:r>
          </w:p>
          <w:p w:rsidR="00F203EC" w:rsidRDefault="00F203EC" w:rsidP="00157239">
            <w:pPr>
              <w:pStyle w:val="ListParagraph"/>
              <w:numPr>
                <w:ilvl w:val="0"/>
                <w:numId w:val="20"/>
              </w:numPr>
              <w:rPr>
                <w:sz w:val="24"/>
                <w:szCs w:val="24"/>
              </w:rPr>
            </w:pPr>
            <w:r w:rsidRPr="0047659D">
              <w:rPr>
                <w:sz w:val="24"/>
                <w:szCs w:val="24"/>
              </w:rPr>
              <w:t>Uzlabota dabasgāzes tirgus darbība</w:t>
            </w:r>
          </w:p>
          <w:p w:rsidR="00F203EC" w:rsidRPr="0047659D" w:rsidRDefault="00F203EC" w:rsidP="00157239">
            <w:pPr>
              <w:pStyle w:val="ListParagraph"/>
              <w:numPr>
                <w:ilvl w:val="0"/>
                <w:numId w:val="20"/>
              </w:numPr>
              <w:rPr>
                <w:sz w:val="24"/>
                <w:szCs w:val="24"/>
              </w:rPr>
            </w:pPr>
            <w:r w:rsidRPr="003E0821">
              <w:rPr>
                <w:sz w:val="24"/>
                <w:szCs w:val="24"/>
              </w:rPr>
              <w:t>Nodrošināta atbilstoša sprieguma kvalitāte, samazināts elektroenerģijas piegādes pārtraukuma laiks.</w:t>
            </w:r>
          </w:p>
        </w:tc>
      </w:tr>
      <w:tr w:rsidR="00F203EC" w:rsidRPr="0039482D" w:rsidTr="00157239">
        <w:tc>
          <w:tcPr>
            <w:tcW w:w="533" w:type="dxa"/>
          </w:tcPr>
          <w:p w:rsidR="00F203EC" w:rsidRPr="003E0821" w:rsidRDefault="00F203EC" w:rsidP="00F203EC">
            <w:pPr>
              <w:pStyle w:val="ListParagraph"/>
              <w:numPr>
                <w:ilvl w:val="0"/>
                <w:numId w:val="28"/>
              </w:numPr>
              <w:rPr>
                <w:sz w:val="24"/>
                <w:szCs w:val="24"/>
              </w:rPr>
            </w:pPr>
          </w:p>
        </w:tc>
        <w:tc>
          <w:tcPr>
            <w:tcW w:w="2552" w:type="dxa"/>
          </w:tcPr>
          <w:p w:rsidR="00F203EC" w:rsidRPr="00D26898" w:rsidRDefault="00F203EC" w:rsidP="00157239">
            <w:pPr>
              <w:rPr>
                <w:sz w:val="24"/>
                <w:szCs w:val="24"/>
              </w:rPr>
            </w:pPr>
            <w:r w:rsidRPr="00D26898">
              <w:rPr>
                <w:sz w:val="24"/>
                <w:szCs w:val="24"/>
              </w:rPr>
              <w:t>Efektīvs siltumenerģijas tirgus</w:t>
            </w:r>
          </w:p>
        </w:tc>
        <w:tc>
          <w:tcPr>
            <w:tcW w:w="1417" w:type="dxa"/>
          </w:tcPr>
          <w:p w:rsidR="00F203EC" w:rsidRPr="00D26898" w:rsidRDefault="00F203EC" w:rsidP="00157239">
            <w:pPr>
              <w:rPr>
                <w:sz w:val="24"/>
                <w:szCs w:val="24"/>
              </w:rPr>
            </w:pPr>
          </w:p>
        </w:tc>
        <w:tc>
          <w:tcPr>
            <w:tcW w:w="1134" w:type="dxa"/>
          </w:tcPr>
          <w:p w:rsidR="00F203EC" w:rsidRPr="00D26898" w:rsidRDefault="00F203EC" w:rsidP="00157239">
            <w:pPr>
              <w:rPr>
                <w:sz w:val="24"/>
                <w:szCs w:val="24"/>
              </w:rPr>
            </w:pPr>
            <w:r w:rsidRPr="00D26898">
              <w:rPr>
                <w:sz w:val="24"/>
                <w:szCs w:val="24"/>
              </w:rPr>
              <w:t>XX</w:t>
            </w:r>
          </w:p>
        </w:tc>
        <w:tc>
          <w:tcPr>
            <w:tcW w:w="1418" w:type="dxa"/>
          </w:tcPr>
          <w:p w:rsidR="00F203EC" w:rsidRPr="00D26898" w:rsidRDefault="00F203EC" w:rsidP="00157239">
            <w:pPr>
              <w:rPr>
                <w:sz w:val="24"/>
                <w:szCs w:val="24"/>
              </w:rPr>
            </w:pP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 xml:space="preserve">Sakārtots tiesiskais ietvars siltumenerģijas tirgum, </w:t>
            </w:r>
          </w:p>
          <w:p w:rsidR="00F203EC" w:rsidRPr="0047659D" w:rsidRDefault="00F203EC" w:rsidP="00157239">
            <w:pPr>
              <w:pStyle w:val="ListParagraph"/>
              <w:numPr>
                <w:ilvl w:val="0"/>
                <w:numId w:val="20"/>
              </w:numPr>
              <w:rPr>
                <w:sz w:val="24"/>
                <w:szCs w:val="24"/>
              </w:rPr>
            </w:pPr>
            <w:r w:rsidRPr="0047659D">
              <w:rPr>
                <w:sz w:val="24"/>
                <w:szCs w:val="24"/>
              </w:rPr>
              <w:t xml:space="preserve">Nodrošināta centralizētās siltumapgādes sistēmas modernizācija un attīstība </w:t>
            </w:r>
          </w:p>
          <w:p w:rsidR="00F203EC" w:rsidRPr="0047659D" w:rsidRDefault="00F203EC" w:rsidP="00157239">
            <w:pPr>
              <w:pStyle w:val="ListParagraph"/>
              <w:numPr>
                <w:ilvl w:val="0"/>
                <w:numId w:val="20"/>
              </w:numPr>
              <w:rPr>
                <w:sz w:val="24"/>
                <w:szCs w:val="24"/>
              </w:rPr>
            </w:pPr>
            <w:r w:rsidRPr="0047659D">
              <w:rPr>
                <w:sz w:val="24"/>
                <w:szCs w:val="24"/>
              </w:rPr>
              <w:t>Samazināti zudumi siltumapgādes sistēmās</w:t>
            </w:r>
          </w:p>
        </w:tc>
      </w:tr>
      <w:tr w:rsidR="00F203EC" w:rsidRPr="0039482D" w:rsidTr="00157239">
        <w:tc>
          <w:tcPr>
            <w:tcW w:w="533" w:type="dxa"/>
          </w:tcPr>
          <w:p w:rsidR="00F203EC" w:rsidRPr="00D26898" w:rsidRDefault="00F203EC" w:rsidP="00157239">
            <w:pPr>
              <w:rPr>
                <w:sz w:val="24"/>
                <w:szCs w:val="24"/>
              </w:rPr>
            </w:pPr>
            <w:r>
              <w:rPr>
                <w:sz w:val="24"/>
                <w:szCs w:val="24"/>
              </w:rPr>
              <w:t>5.</w:t>
            </w:r>
          </w:p>
        </w:tc>
        <w:tc>
          <w:tcPr>
            <w:tcW w:w="2552" w:type="dxa"/>
          </w:tcPr>
          <w:p w:rsidR="00F203EC" w:rsidRPr="00D26898" w:rsidRDefault="00F203EC" w:rsidP="00157239">
            <w:pPr>
              <w:rPr>
                <w:sz w:val="24"/>
                <w:szCs w:val="24"/>
              </w:rPr>
            </w:pPr>
            <w:r w:rsidRPr="00D26898">
              <w:rPr>
                <w:sz w:val="24"/>
                <w:szCs w:val="24"/>
              </w:rPr>
              <w:t xml:space="preserve">Atjaunojamo energoresursu īpatsvara pieaugums </w:t>
            </w:r>
          </w:p>
        </w:tc>
        <w:tc>
          <w:tcPr>
            <w:tcW w:w="1417" w:type="dxa"/>
          </w:tcPr>
          <w:p w:rsidR="00F203EC" w:rsidRPr="00D26898" w:rsidRDefault="00F203EC" w:rsidP="00157239">
            <w:pPr>
              <w:rPr>
                <w:sz w:val="24"/>
                <w:szCs w:val="24"/>
              </w:rPr>
            </w:pPr>
            <w:r w:rsidRPr="00D26898">
              <w:rPr>
                <w:sz w:val="24"/>
                <w:szCs w:val="24"/>
              </w:rPr>
              <w:t>X</w:t>
            </w:r>
          </w:p>
        </w:tc>
        <w:tc>
          <w:tcPr>
            <w:tcW w:w="1134" w:type="dxa"/>
          </w:tcPr>
          <w:p w:rsidR="00F203EC" w:rsidRPr="00D26898" w:rsidRDefault="00F203EC" w:rsidP="00157239">
            <w:pPr>
              <w:rPr>
                <w:sz w:val="24"/>
                <w:szCs w:val="24"/>
              </w:rPr>
            </w:pPr>
            <w:r w:rsidRPr="00D26898">
              <w:rPr>
                <w:sz w:val="24"/>
                <w:szCs w:val="24"/>
              </w:rPr>
              <w:t>XX</w:t>
            </w:r>
          </w:p>
        </w:tc>
        <w:tc>
          <w:tcPr>
            <w:tcW w:w="1418" w:type="dxa"/>
          </w:tcPr>
          <w:p w:rsidR="00F203EC" w:rsidRPr="00D26898" w:rsidRDefault="00F203EC" w:rsidP="00157239">
            <w:pPr>
              <w:rPr>
                <w:sz w:val="24"/>
                <w:szCs w:val="24"/>
              </w:rPr>
            </w:pPr>
            <w:r w:rsidRPr="00D26898">
              <w:rPr>
                <w:sz w:val="24"/>
                <w:szCs w:val="24"/>
              </w:rPr>
              <w:t>XXX</w:t>
            </w:r>
          </w:p>
        </w:tc>
        <w:tc>
          <w:tcPr>
            <w:tcW w:w="6804" w:type="dxa"/>
          </w:tcPr>
          <w:p w:rsidR="00F203EC" w:rsidRPr="0047659D" w:rsidRDefault="00F203EC" w:rsidP="00463584">
            <w:pPr>
              <w:pStyle w:val="ListParagraph"/>
              <w:numPr>
                <w:ilvl w:val="0"/>
                <w:numId w:val="20"/>
              </w:numPr>
              <w:rPr>
                <w:sz w:val="24"/>
                <w:szCs w:val="24"/>
              </w:rPr>
            </w:pPr>
            <w:r w:rsidRPr="0047659D">
              <w:rPr>
                <w:sz w:val="24"/>
                <w:szCs w:val="24"/>
              </w:rPr>
              <w:t>AER īpatsvars enerģijas</w:t>
            </w:r>
            <w:r w:rsidR="00463584">
              <w:t xml:space="preserve"> </w:t>
            </w:r>
            <w:r w:rsidR="00463584" w:rsidRPr="00463584">
              <w:rPr>
                <w:sz w:val="24"/>
                <w:szCs w:val="24"/>
              </w:rPr>
              <w:t xml:space="preserve">bruto </w:t>
            </w:r>
            <w:r w:rsidRPr="0047659D">
              <w:rPr>
                <w:sz w:val="24"/>
                <w:szCs w:val="24"/>
              </w:rPr>
              <w:t>galapatēriņā – 40 %</w:t>
            </w:r>
          </w:p>
          <w:p w:rsidR="00F203EC" w:rsidRPr="0047659D" w:rsidRDefault="00F203EC" w:rsidP="00157239">
            <w:pPr>
              <w:pStyle w:val="ListParagraph"/>
              <w:numPr>
                <w:ilvl w:val="0"/>
                <w:numId w:val="20"/>
              </w:numPr>
              <w:rPr>
                <w:sz w:val="24"/>
                <w:szCs w:val="24"/>
              </w:rPr>
            </w:pPr>
            <w:r w:rsidRPr="0047659D">
              <w:rPr>
                <w:sz w:val="24"/>
                <w:szCs w:val="24"/>
              </w:rPr>
              <w:t>Atjaunojamo energoresursu īpatsvars bruto enerģijas galapatēriņā transportā – 10 %</w:t>
            </w:r>
          </w:p>
          <w:p w:rsidR="00F203EC" w:rsidRPr="00D26898" w:rsidRDefault="00F203EC" w:rsidP="00157239">
            <w:pPr>
              <w:rPr>
                <w:sz w:val="24"/>
                <w:szCs w:val="24"/>
              </w:rPr>
            </w:pPr>
          </w:p>
        </w:tc>
      </w:tr>
      <w:tr w:rsidR="00F203EC" w:rsidRPr="0039482D" w:rsidTr="00157239">
        <w:tc>
          <w:tcPr>
            <w:tcW w:w="533" w:type="dxa"/>
          </w:tcPr>
          <w:p w:rsidR="00F203EC" w:rsidRPr="00D26898" w:rsidRDefault="00F203EC" w:rsidP="00157239">
            <w:pPr>
              <w:rPr>
                <w:sz w:val="24"/>
                <w:szCs w:val="24"/>
              </w:rPr>
            </w:pPr>
            <w:r>
              <w:rPr>
                <w:sz w:val="24"/>
                <w:szCs w:val="24"/>
              </w:rPr>
              <w:lastRenderedPageBreak/>
              <w:t>6.</w:t>
            </w:r>
          </w:p>
        </w:tc>
        <w:tc>
          <w:tcPr>
            <w:tcW w:w="2552" w:type="dxa"/>
          </w:tcPr>
          <w:p w:rsidR="00F203EC" w:rsidRPr="00D26898" w:rsidRDefault="00F203EC" w:rsidP="00157239">
            <w:pPr>
              <w:rPr>
                <w:sz w:val="24"/>
                <w:szCs w:val="24"/>
              </w:rPr>
            </w:pPr>
            <w:r w:rsidRPr="00D26898">
              <w:rPr>
                <w:sz w:val="24"/>
                <w:szCs w:val="24"/>
              </w:rPr>
              <w:t>Uzlabota energoefektivitāte</w:t>
            </w:r>
          </w:p>
        </w:tc>
        <w:tc>
          <w:tcPr>
            <w:tcW w:w="1417" w:type="dxa"/>
          </w:tcPr>
          <w:p w:rsidR="00F203EC" w:rsidRPr="00D26898" w:rsidRDefault="00F203EC" w:rsidP="00157239">
            <w:pPr>
              <w:rPr>
                <w:sz w:val="24"/>
                <w:szCs w:val="24"/>
              </w:rPr>
            </w:pPr>
            <w:r w:rsidRPr="00D26898">
              <w:rPr>
                <w:sz w:val="24"/>
                <w:szCs w:val="24"/>
              </w:rPr>
              <w:t>X</w:t>
            </w:r>
          </w:p>
        </w:tc>
        <w:tc>
          <w:tcPr>
            <w:tcW w:w="1134" w:type="dxa"/>
          </w:tcPr>
          <w:p w:rsidR="00F203EC" w:rsidRPr="00D26898" w:rsidRDefault="00F203EC" w:rsidP="00157239">
            <w:pPr>
              <w:rPr>
                <w:sz w:val="24"/>
                <w:szCs w:val="24"/>
              </w:rPr>
            </w:pPr>
            <w:r w:rsidRPr="00D26898">
              <w:rPr>
                <w:sz w:val="24"/>
                <w:szCs w:val="24"/>
              </w:rPr>
              <w:t>X</w:t>
            </w:r>
          </w:p>
        </w:tc>
        <w:tc>
          <w:tcPr>
            <w:tcW w:w="1418" w:type="dxa"/>
          </w:tcPr>
          <w:p w:rsidR="00F203EC" w:rsidRPr="00D26898" w:rsidRDefault="00F203EC" w:rsidP="00157239">
            <w:pPr>
              <w:rPr>
                <w:sz w:val="24"/>
                <w:szCs w:val="24"/>
              </w:rPr>
            </w:pPr>
            <w:r w:rsidRPr="00D26898">
              <w:rPr>
                <w:sz w:val="24"/>
                <w:szCs w:val="24"/>
              </w:rPr>
              <w:t>XXX</w:t>
            </w: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Valsts  indikatīvais energoefektivitātes mērķis - primārās enerģijas ietaupījums – 0,670 Mtoe</w:t>
            </w:r>
          </w:p>
          <w:p w:rsidR="00F203EC" w:rsidRPr="0047659D" w:rsidRDefault="00F203EC" w:rsidP="00157239">
            <w:pPr>
              <w:pStyle w:val="ListParagraph"/>
              <w:numPr>
                <w:ilvl w:val="0"/>
                <w:numId w:val="20"/>
              </w:numPr>
              <w:rPr>
                <w:sz w:val="24"/>
                <w:szCs w:val="24"/>
              </w:rPr>
            </w:pPr>
            <w:r w:rsidRPr="0047659D">
              <w:rPr>
                <w:sz w:val="24"/>
                <w:szCs w:val="24"/>
              </w:rPr>
              <w:t>Valsts obligātais  gala enerģijas ietaupījuma kumulatīvais mērķis – 0,</w:t>
            </w:r>
            <w:r w:rsidR="00463584">
              <w:rPr>
                <w:sz w:val="24"/>
                <w:szCs w:val="24"/>
              </w:rPr>
              <w:t>850</w:t>
            </w:r>
            <w:r w:rsidRPr="0047659D">
              <w:rPr>
                <w:sz w:val="24"/>
                <w:szCs w:val="24"/>
              </w:rPr>
              <w:t xml:space="preserve"> Mtoe</w:t>
            </w:r>
          </w:p>
          <w:p w:rsidR="00F203EC" w:rsidRPr="0047659D" w:rsidRDefault="00F203EC" w:rsidP="00157239">
            <w:pPr>
              <w:pStyle w:val="ListParagraph"/>
              <w:numPr>
                <w:ilvl w:val="0"/>
                <w:numId w:val="20"/>
              </w:numPr>
              <w:rPr>
                <w:sz w:val="24"/>
                <w:szCs w:val="24"/>
              </w:rPr>
            </w:pPr>
            <w:r w:rsidRPr="0047659D">
              <w:rPr>
                <w:sz w:val="24"/>
                <w:szCs w:val="24"/>
              </w:rPr>
              <w:t>Centrālās valdības ēku 3% platības renovācija (katru gadu)</w:t>
            </w:r>
          </w:p>
          <w:p w:rsidR="00F203EC" w:rsidRPr="0047659D" w:rsidRDefault="00F203EC" w:rsidP="00157239">
            <w:pPr>
              <w:pStyle w:val="ListParagraph"/>
              <w:numPr>
                <w:ilvl w:val="0"/>
                <w:numId w:val="20"/>
              </w:numPr>
              <w:rPr>
                <w:sz w:val="24"/>
                <w:szCs w:val="24"/>
              </w:rPr>
            </w:pPr>
            <w:r w:rsidRPr="0047659D">
              <w:rPr>
                <w:sz w:val="24"/>
                <w:szCs w:val="24"/>
              </w:rPr>
              <w:t>Energointensitāte ekonomikā (bruto iekšzemes enerģijas patēriņš pret IKP, kg naftas- 280</w:t>
            </w:r>
          </w:p>
        </w:tc>
      </w:tr>
      <w:tr w:rsidR="00F203EC" w:rsidRPr="0039482D" w:rsidTr="00157239">
        <w:trPr>
          <w:trHeight w:val="922"/>
        </w:trPr>
        <w:tc>
          <w:tcPr>
            <w:tcW w:w="533" w:type="dxa"/>
          </w:tcPr>
          <w:p w:rsidR="00F203EC" w:rsidRPr="003E0821" w:rsidRDefault="00F203EC" w:rsidP="00157239">
            <w:pPr>
              <w:rPr>
                <w:sz w:val="24"/>
                <w:szCs w:val="24"/>
              </w:rPr>
            </w:pPr>
            <w:r>
              <w:rPr>
                <w:sz w:val="24"/>
                <w:szCs w:val="24"/>
              </w:rPr>
              <w:t>7.</w:t>
            </w:r>
          </w:p>
        </w:tc>
        <w:tc>
          <w:tcPr>
            <w:tcW w:w="2552" w:type="dxa"/>
          </w:tcPr>
          <w:p w:rsidR="00F203EC" w:rsidRPr="00D26898" w:rsidRDefault="00F203EC" w:rsidP="00157239">
            <w:pPr>
              <w:rPr>
                <w:sz w:val="24"/>
                <w:szCs w:val="24"/>
              </w:rPr>
            </w:pPr>
            <w:r>
              <w:rPr>
                <w:sz w:val="24"/>
                <w:szCs w:val="24"/>
              </w:rPr>
              <w:t xml:space="preserve">Efetīva krīzes situācijas pārvaldība </w:t>
            </w:r>
          </w:p>
        </w:tc>
        <w:tc>
          <w:tcPr>
            <w:tcW w:w="1417" w:type="dxa"/>
          </w:tcPr>
          <w:p w:rsidR="00F203EC" w:rsidRPr="00D26898" w:rsidRDefault="00F203EC" w:rsidP="00157239">
            <w:pPr>
              <w:rPr>
                <w:sz w:val="24"/>
                <w:szCs w:val="24"/>
              </w:rPr>
            </w:pPr>
          </w:p>
        </w:tc>
        <w:tc>
          <w:tcPr>
            <w:tcW w:w="1134" w:type="dxa"/>
          </w:tcPr>
          <w:p w:rsidR="00F203EC" w:rsidRPr="00D26898" w:rsidRDefault="00F203EC" w:rsidP="00157239">
            <w:pPr>
              <w:rPr>
                <w:sz w:val="24"/>
                <w:szCs w:val="24"/>
              </w:rPr>
            </w:pPr>
            <w:r>
              <w:rPr>
                <w:sz w:val="24"/>
                <w:szCs w:val="24"/>
              </w:rPr>
              <w:t>XXX</w:t>
            </w:r>
          </w:p>
        </w:tc>
        <w:tc>
          <w:tcPr>
            <w:tcW w:w="1418" w:type="dxa"/>
          </w:tcPr>
          <w:p w:rsidR="00F203EC" w:rsidRPr="00D26898" w:rsidRDefault="00F203EC" w:rsidP="00157239">
            <w:pPr>
              <w:rPr>
                <w:sz w:val="24"/>
                <w:szCs w:val="24"/>
              </w:rPr>
            </w:pPr>
          </w:p>
        </w:tc>
        <w:tc>
          <w:tcPr>
            <w:tcW w:w="6804" w:type="dxa"/>
          </w:tcPr>
          <w:p w:rsidR="00F203EC" w:rsidRDefault="00F203EC" w:rsidP="00157239">
            <w:pPr>
              <w:pStyle w:val="ListParagraph"/>
              <w:numPr>
                <w:ilvl w:val="0"/>
                <w:numId w:val="20"/>
              </w:numPr>
              <w:rPr>
                <w:sz w:val="24"/>
                <w:szCs w:val="24"/>
              </w:rPr>
            </w:pPr>
            <w:r>
              <w:rPr>
                <w:sz w:val="24"/>
                <w:szCs w:val="24"/>
              </w:rPr>
              <w:t xml:space="preserve">Izstrādāts plāns tautsaimniecības apgādei ar energoresusrsiem apdraudējuma gadījumā </w:t>
            </w:r>
          </w:p>
          <w:p w:rsidR="00F203EC" w:rsidRPr="0047659D" w:rsidRDefault="00F203EC" w:rsidP="00157239">
            <w:pPr>
              <w:pStyle w:val="ListParagraph"/>
              <w:numPr>
                <w:ilvl w:val="0"/>
                <w:numId w:val="20"/>
              </w:numPr>
              <w:rPr>
                <w:sz w:val="24"/>
                <w:szCs w:val="24"/>
              </w:rPr>
            </w:pPr>
            <w:r>
              <w:rPr>
                <w:sz w:val="24"/>
                <w:szCs w:val="24"/>
              </w:rPr>
              <w:t>Nodrošinātas naftas rezerves</w:t>
            </w:r>
          </w:p>
        </w:tc>
      </w:tr>
      <w:tr w:rsidR="00F203EC" w:rsidRPr="0039482D" w:rsidTr="00157239">
        <w:tc>
          <w:tcPr>
            <w:tcW w:w="533" w:type="dxa"/>
          </w:tcPr>
          <w:p w:rsidR="00F203EC" w:rsidRPr="00D26898" w:rsidRDefault="00F203EC" w:rsidP="00157239">
            <w:pPr>
              <w:rPr>
                <w:sz w:val="24"/>
                <w:szCs w:val="24"/>
              </w:rPr>
            </w:pPr>
            <w:r>
              <w:rPr>
                <w:sz w:val="24"/>
                <w:szCs w:val="24"/>
              </w:rPr>
              <w:t>8.</w:t>
            </w:r>
          </w:p>
        </w:tc>
        <w:tc>
          <w:tcPr>
            <w:tcW w:w="2552" w:type="dxa"/>
          </w:tcPr>
          <w:p w:rsidR="00F203EC" w:rsidRPr="00D26898" w:rsidRDefault="00F203EC" w:rsidP="00157239">
            <w:pPr>
              <w:rPr>
                <w:sz w:val="24"/>
                <w:szCs w:val="24"/>
              </w:rPr>
            </w:pPr>
            <w:r w:rsidRPr="00D26898">
              <w:rPr>
                <w:sz w:val="24"/>
                <w:szCs w:val="24"/>
              </w:rPr>
              <w:t>Starptautiskās un reģionālās sadarbības stiprināšana</w:t>
            </w:r>
          </w:p>
        </w:tc>
        <w:tc>
          <w:tcPr>
            <w:tcW w:w="1417" w:type="dxa"/>
          </w:tcPr>
          <w:p w:rsidR="00F203EC" w:rsidRPr="00D26898" w:rsidRDefault="00F203EC" w:rsidP="00157239">
            <w:pPr>
              <w:rPr>
                <w:sz w:val="24"/>
                <w:szCs w:val="24"/>
              </w:rPr>
            </w:pPr>
            <w:r w:rsidRPr="00D26898">
              <w:rPr>
                <w:sz w:val="24"/>
                <w:szCs w:val="24"/>
              </w:rPr>
              <w:t>X</w:t>
            </w:r>
          </w:p>
        </w:tc>
        <w:tc>
          <w:tcPr>
            <w:tcW w:w="1134" w:type="dxa"/>
          </w:tcPr>
          <w:p w:rsidR="00F203EC" w:rsidRPr="00D26898" w:rsidRDefault="00F203EC" w:rsidP="00157239">
            <w:pPr>
              <w:rPr>
                <w:sz w:val="24"/>
                <w:szCs w:val="24"/>
              </w:rPr>
            </w:pPr>
            <w:r w:rsidRPr="00D26898">
              <w:rPr>
                <w:sz w:val="24"/>
                <w:szCs w:val="24"/>
              </w:rPr>
              <w:t>X</w:t>
            </w:r>
          </w:p>
        </w:tc>
        <w:tc>
          <w:tcPr>
            <w:tcW w:w="1418" w:type="dxa"/>
          </w:tcPr>
          <w:p w:rsidR="00F203EC" w:rsidRPr="00D26898" w:rsidRDefault="00F203EC" w:rsidP="00157239">
            <w:pPr>
              <w:rPr>
                <w:sz w:val="24"/>
                <w:szCs w:val="24"/>
              </w:rPr>
            </w:pPr>
            <w:r w:rsidRPr="00D26898">
              <w:rPr>
                <w:sz w:val="24"/>
                <w:szCs w:val="24"/>
              </w:rPr>
              <w:t>X</w:t>
            </w: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Enerģijas tirgus darbības uzlabošana</w:t>
            </w:r>
          </w:p>
        </w:tc>
      </w:tr>
      <w:tr w:rsidR="00F203EC" w:rsidRPr="0039482D" w:rsidTr="00157239">
        <w:tc>
          <w:tcPr>
            <w:tcW w:w="533" w:type="dxa"/>
          </w:tcPr>
          <w:p w:rsidR="00F203EC" w:rsidRPr="00D26898" w:rsidRDefault="00F203EC" w:rsidP="00157239">
            <w:pPr>
              <w:rPr>
                <w:sz w:val="24"/>
                <w:szCs w:val="24"/>
              </w:rPr>
            </w:pPr>
            <w:r>
              <w:rPr>
                <w:sz w:val="24"/>
                <w:szCs w:val="24"/>
              </w:rPr>
              <w:t>9.</w:t>
            </w:r>
          </w:p>
        </w:tc>
        <w:tc>
          <w:tcPr>
            <w:tcW w:w="2552" w:type="dxa"/>
          </w:tcPr>
          <w:p w:rsidR="00F203EC" w:rsidRPr="00D26898" w:rsidRDefault="00F203EC" w:rsidP="00157239">
            <w:pPr>
              <w:rPr>
                <w:sz w:val="24"/>
                <w:szCs w:val="24"/>
              </w:rPr>
            </w:pPr>
            <w:r w:rsidRPr="00D26898">
              <w:rPr>
                <w:sz w:val="24"/>
                <w:szCs w:val="24"/>
              </w:rPr>
              <w:t>Sabiedrības informēšana par enerģētikas sektora aktualitātēm</w:t>
            </w:r>
          </w:p>
        </w:tc>
        <w:tc>
          <w:tcPr>
            <w:tcW w:w="1417" w:type="dxa"/>
          </w:tcPr>
          <w:p w:rsidR="00F203EC" w:rsidRPr="00D26898" w:rsidRDefault="00F203EC" w:rsidP="00157239">
            <w:pPr>
              <w:rPr>
                <w:sz w:val="24"/>
                <w:szCs w:val="24"/>
              </w:rPr>
            </w:pPr>
            <w:r w:rsidRPr="00D26898">
              <w:rPr>
                <w:sz w:val="24"/>
                <w:szCs w:val="24"/>
              </w:rPr>
              <w:t>X</w:t>
            </w:r>
          </w:p>
        </w:tc>
        <w:tc>
          <w:tcPr>
            <w:tcW w:w="1134" w:type="dxa"/>
          </w:tcPr>
          <w:p w:rsidR="00F203EC" w:rsidRPr="00D26898" w:rsidRDefault="00F203EC" w:rsidP="00157239">
            <w:pPr>
              <w:rPr>
                <w:sz w:val="24"/>
                <w:szCs w:val="24"/>
              </w:rPr>
            </w:pPr>
            <w:r w:rsidRPr="00D26898">
              <w:rPr>
                <w:sz w:val="24"/>
                <w:szCs w:val="24"/>
              </w:rPr>
              <w:t>X</w:t>
            </w:r>
          </w:p>
        </w:tc>
        <w:tc>
          <w:tcPr>
            <w:tcW w:w="1418" w:type="dxa"/>
          </w:tcPr>
          <w:p w:rsidR="00F203EC" w:rsidRPr="00D26898" w:rsidRDefault="00F203EC" w:rsidP="00157239">
            <w:pPr>
              <w:rPr>
                <w:sz w:val="24"/>
                <w:szCs w:val="24"/>
              </w:rPr>
            </w:pPr>
            <w:r w:rsidRPr="00D26898">
              <w:rPr>
                <w:sz w:val="24"/>
                <w:szCs w:val="24"/>
              </w:rPr>
              <w:t>X</w:t>
            </w: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Enerģijas tirgus darbības uzlabošana, sabiedrības izglītošana</w:t>
            </w:r>
          </w:p>
        </w:tc>
      </w:tr>
      <w:tr w:rsidR="00F203EC" w:rsidRPr="0039482D" w:rsidTr="00157239">
        <w:tc>
          <w:tcPr>
            <w:tcW w:w="533" w:type="dxa"/>
          </w:tcPr>
          <w:p w:rsidR="00F203EC" w:rsidRPr="00D26898" w:rsidRDefault="00F203EC" w:rsidP="00157239">
            <w:pPr>
              <w:rPr>
                <w:sz w:val="24"/>
                <w:szCs w:val="24"/>
              </w:rPr>
            </w:pPr>
            <w:r>
              <w:rPr>
                <w:sz w:val="24"/>
                <w:szCs w:val="24"/>
              </w:rPr>
              <w:t>10.</w:t>
            </w:r>
          </w:p>
        </w:tc>
        <w:tc>
          <w:tcPr>
            <w:tcW w:w="2552" w:type="dxa"/>
          </w:tcPr>
          <w:p w:rsidR="00F203EC" w:rsidRPr="00D26898" w:rsidRDefault="00F203EC" w:rsidP="00157239">
            <w:pPr>
              <w:rPr>
                <w:sz w:val="24"/>
                <w:szCs w:val="24"/>
              </w:rPr>
            </w:pPr>
            <w:r w:rsidRPr="00D26898">
              <w:rPr>
                <w:sz w:val="24"/>
                <w:szCs w:val="24"/>
              </w:rPr>
              <w:t>Inovatīvi risinājumi enerģētikas nozares problēmām</w:t>
            </w:r>
          </w:p>
        </w:tc>
        <w:tc>
          <w:tcPr>
            <w:tcW w:w="1417" w:type="dxa"/>
          </w:tcPr>
          <w:p w:rsidR="00F203EC" w:rsidRPr="00D26898" w:rsidRDefault="00F203EC" w:rsidP="00157239">
            <w:pPr>
              <w:rPr>
                <w:sz w:val="24"/>
                <w:szCs w:val="24"/>
              </w:rPr>
            </w:pPr>
            <w:r w:rsidRPr="00D26898">
              <w:rPr>
                <w:sz w:val="24"/>
                <w:szCs w:val="24"/>
              </w:rPr>
              <w:t>X</w:t>
            </w:r>
          </w:p>
        </w:tc>
        <w:tc>
          <w:tcPr>
            <w:tcW w:w="1134" w:type="dxa"/>
          </w:tcPr>
          <w:p w:rsidR="00F203EC" w:rsidRPr="00D26898" w:rsidRDefault="00F203EC" w:rsidP="00157239">
            <w:pPr>
              <w:rPr>
                <w:sz w:val="24"/>
                <w:szCs w:val="24"/>
              </w:rPr>
            </w:pPr>
            <w:r w:rsidRPr="00D26898">
              <w:rPr>
                <w:sz w:val="24"/>
                <w:szCs w:val="24"/>
              </w:rPr>
              <w:t>X</w:t>
            </w:r>
          </w:p>
        </w:tc>
        <w:tc>
          <w:tcPr>
            <w:tcW w:w="1418" w:type="dxa"/>
          </w:tcPr>
          <w:p w:rsidR="00F203EC" w:rsidRPr="00D26898" w:rsidRDefault="00F203EC" w:rsidP="00157239">
            <w:pPr>
              <w:rPr>
                <w:sz w:val="24"/>
                <w:szCs w:val="24"/>
              </w:rPr>
            </w:pPr>
            <w:r w:rsidRPr="00D26898">
              <w:rPr>
                <w:sz w:val="24"/>
                <w:szCs w:val="24"/>
              </w:rPr>
              <w:t>X</w:t>
            </w:r>
          </w:p>
        </w:tc>
        <w:tc>
          <w:tcPr>
            <w:tcW w:w="6804" w:type="dxa"/>
          </w:tcPr>
          <w:p w:rsidR="00F203EC" w:rsidRPr="0047659D" w:rsidRDefault="00F203EC" w:rsidP="00157239">
            <w:pPr>
              <w:pStyle w:val="ListParagraph"/>
              <w:numPr>
                <w:ilvl w:val="0"/>
                <w:numId w:val="20"/>
              </w:numPr>
              <w:rPr>
                <w:sz w:val="24"/>
                <w:szCs w:val="24"/>
              </w:rPr>
            </w:pPr>
            <w:r w:rsidRPr="0047659D">
              <w:rPr>
                <w:sz w:val="24"/>
                <w:szCs w:val="24"/>
              </w:rPr>
              <w:t>Nodrošināta enerģētikas nozares inovatīva attīstība</w:t>
            </w:r>
          </w:p>
        </w:tc>
      </w:tr>
    </w:tbl>
    <w:p w:rsidR="00F203EC" w:rsidRPr="00D26898" w:rsidRDefault="00F203EC" w:rsidP="00F203EC">
      <w:pPr>
        <w:rPr>
          <w:i/>
          <w:sz w:val="24"/>
          <w:szCs w:val="24"/>
        </w:rPr>
      </w:pPr>
      <w:r w:rsidRPr="00D26898">
        <w:rPr>
          <w:i/>
          <w:sz w:val="24"/>
          <w:szCs w:val="24"/>
        </w:rPr>
        <w:t>Paskaidrojumi:</w:t>
      </w:r>
    </w:p>
    <w:p w:rsidR="00F203EC" w:rsidRPr="00D26898" w:rsidRDefault="00F203EC" w:rsidP="00F203EC">
      <w:pPr>
        <w:rPr>
          <w:i/>
          <w:sz w:val="24"/>
          <w:szCs w:val="24"/>
        </w:rPr>
      </w:pPr>
      <w:r w:rsidRPr="00D26898">
        <w:rPr>
          <w:i/>
          <w:sz w:val="24"/>
          <w:szCs w:val="24"/>
        </w:rPr>
        <w:t>X – neliela ietekme</w:t>
      </w:r>
    </w:p>
    <w:p w:rsidR="00F203EC" w:rsidRPr="00D26898" w:rsidRDefault="00F203EC" w:rsidP="00F203EC">
      <w:pPr>
        <w:rPr>
          <w:i/>
          <w:sz w:val="24"/>
          <w:szCs w:val="24"/>
        </w:rPr>
      </w:pPr>
      <w:r w:rsidRPr="00D26898">
        <w:rPr>
          <w:i/>
          <w:sz w:val="24"/>
          <w:szCs w:val="24"/>
        </w:rPr>
        <w:t>XX – mērena ietekme</w:t>
      </w:r>
    </w:p>
    <w:p w:rsidR="00F203EC" w:rsidRPr="00D26898" w:rsidRDefault="00F203EC" w:rsidP="00F203EC">
      <w:pPr>
        <w:rPr>
          <w:i/>
          <w:sz w:val="24"/>
          <w:szCs w:val="24"/>
        </w:rPr>
      </w:pPr>
      <w:r w:rsidRPr="00D26898">
        <w:rPr>
          <w:i/>
          <w:sz w:val="24"/>
          <w:szCs w:val="24"/>
        </w:rPr>
        <w:t>XXX – stipra ietekme</w:t>
      </w:r>
    </w:p>
    <w:p w:rsidR="00F203EC" w:rsidRDefault="00F203EC" w:rsidP="0036140D">
      <w:pPr>
        <w:rPr>
          <w:rFonts w:eastAsia="Times New Roman" w:cs="Times New Roman"/>
          <w:b/>
          <w:bCs/>
          <w:kern w:val="36"/>
          <w:sz w:val="24"/>
          <w:szCs w:val="24"/>
          <w:lang w:eastAsia="lv-LV"/>
        </w:rPr>
        <w:sectPr w:rsidR="00F203EC" w:rsidSect="00F203EC">
          <w:pgSz w:w="16838" w:h="11906" w:orient="landscape" w:code="9"/>
          <w:pgMar w:top="1134" w:right="1134" w:bottom="1701" w:left="1418" w:header="709" w:footer="709" w:gutter="0"/>
          <w:cols w:space="708"/>
          <w:docGrid w:linePitch="381"/>
        </w:sectPr>
      </w:pPr>
    </w:p>
    <w:p w:rsidR="0036140D" w:rsidRPr="00D26898" w:rsidRDefault="0036140D" w:rsidP="0036140D">
      <w:pPr>
        <w:rPr>
          <w:rFonts w:eastAsia="Times New Roman" w:cs="Times New Roman"/>
          <w:b/>
          <w:bCs/>
          <w:kern w:val="36"/>
          <w:sz w:val="24"/>
          <w:szCs w:val="24"/>
          <w:lang w:eastAsia="lv-LV"/>
        </w:rPr>
      </w:pPr>
    </w:p>
    <w:p w:rsidR="002A01C7" w:rsidRPr="003E1851" w:rsidRDefault="00B25A9B" w:rsidP="0036140D">
      <w:pPr>
        <w:pStyle w:val="Heading1"/>
        <w:numPr>
          <w:ilvl w:val="0"/>
          <w:numId w:val="47"/>
        </w:numPr>
      </w:pPr>
      <w:bookmarkStart w:id="36" w:name="_Toc401644335"/>
      <w:r w:rsidRPr="003E1851">
        <w:t>Politikas ietekme uz valsts un pašvaldību budžetiem</w:t>
      </w:r>
      <w:bookmarkEnd w:id="36"/>
    </w:p>
    <w:p w:rsidR="00276D72" w:rsidRPr="00276D72" w:rsidRDefault="00276D72" w:rsidP="00276D72">
      <w:pPr>
        <w:spacing w:after="120"/>
        <w:ind w:firstLine="360"/>
        <w:jc w:val="both"/>
      </w:pPr>
      <w:r w:rsidRPr="00E141C2">
        <w:t>Pamatnostādņu īstenošanai plānotie finanšu avoti ir valsts un pašvaldību budžets, ES struktūrfondu finansējums, kā arī privātais kapitāls. Pamatnostādņu paredzēto pasākumu īstenošana 201</w:t>
      </w:r>
      <w:r w:rsidR="00D435BF">
        <w:t>4</w:t>
      </w:r>
      <w:r w:rsidRPr="00E141C2">
        <w:t>. – 2020.gadā tiks nodrošināta minētajiem pasākumiem piešķirto līdzekļu ietvaros un saskaņā ar Nacionālā attīstība</w:t>
      </w:r>
      <w:r w:rsidR="00D435BF">
        <w:t>s plāna finanšu rādītājiem. 2015</w:t>
      </w:r>
      <w:r w:rsidRPr="00E141C2">
        <w:t>.gadā un turpmākajos gados jautājums par papildu valsts budžeta līdzekļu piešķiršanu minētajiem pasākumiem ir izskatāms turpmāko gadu valsts budžeta likumprojekta sagatavošanas un izskatīšanas procesā.</w:t>
      </w:r>
    </w:p>
    <w:p w:rsidR="002A01C7" w:rsidRPr="00276D72" w:rsidRDefault="00B25A9B" w:rsidP="0036140D">
      <w:pPr>
        <w:pStyle w:val="Heading1"/>
        <w:numPr>
          <w:ilvl w:val="0"/>
          <w:numId w:val="47"/>
        </w:numPr>
      </w:pPr>
      <w:bookmarkStart w:id="37" w:name="_Toc401644336"/>
      <w:r w:rsidRPr="00276D72">
        <w:t>Pārskatu sniegšanas un novērtēšanas kārtība</w:t>
      </w:r>
      <w:bookmarkEnd w:id="37"/>
    </w:p>
    <w:p w:rsidR="00276D72" w:rsidRPr="00626F61" w:rsidRDefault="00276D72" w:rsidP="00276D72">
      <w:pPr>
        <w:spacing w:after="120"/>
        <w:ind w:firstLine="360"/>
        <w:jc w:val="both"/>
      </w:pPr>
      <w:r w:rsidRPr="00626F61">
        <w:t xml:space="preserve">Reizi divos gados </w:t>
      </w:r>
      <w:r w:rsidR="00D435BF">
        <w:t>Ekonomikas</w:t>
      </w:r>
      <w:r w:rsidRPr="00626F61">
        <w:t xml:space="preserve"> ministrija veic starpposma novērtējumu, kur vērtē sākotnēji izvirzīto mērķu un plānoto rezultātu sasniegšanas pakāpi, kā arī mērķa sasniegšanā ieguldīto līdzekļu izlietojuma pamatotību. Pēc izvērtējuma Ministrija sagatavo Informatīvo ziņojumu, ko iesniedz Ministru kabinetā. Ja nepieciešams, iesniedz arī priekšlikumus pamatnostādņu aktualizācijai.</w:t>
      </w:r>
    </w:p>
    <w:p w:rsidR="00276D72" w:rsidRPr="00276D72" w:rsidRDefault="00276D72" w:rsidP="00276D72">
      <w:pPr>
        <w:spacing w:after="120"/>
        <w:ind w:firstLine="360"/>
        <w:jc w:val="both"/>
      </w:pPr>
      <w:r w:rsidRPr="00626F61">
        <w:t xml:space="preserve">Pamatnostādņu īstenošanas termiņa beigās </w:t>
      </w:r>
      <w:r w:rsidR="00A76CD6">
        <w:t>Ekonomikas</w:t>
      </w:r>
      <w:r w:rsidRPr="00626F61">
        <w:t xml:space="preserve"> ministrija veic gala novērtējumu, uz kuru pamata var lemt par turpmāko rīcību nozarē.</w:t>
      </w:r>
    </w:p>
    <w:p w:rsidR="002A01C7" w:rsidRPr="00276D72" w:rsidRDefault="00B25A9B" w:rsidP="0036140D">
      <w:pPr>
        <w:pStyle w:val="Heading1"/>
        <w:numPr>
          <w:ilvl w:val="0"/>
          <w:numId w:val="47"/>
        </w:numPr>
      </w:pPr>
      <w:bookmarkStart w:id="38" w:name="_Toc401644337"/>
      <w:r w:rsidRPr="00276D72">
        <w:t>Spēku zaudējušie</w:t>
      </w:r>
      <w:r w:rsidR="008E0896">
        <w:t xml:space="preserve"> </w:t>
      </w:r>
      <w:r w:rsidRPr="00276D72">
        <w:t>politikas plānošanas dokumenti</w:t>
      </w:r>
      <w:bookmarkEnd w:id="38"/>
    </w:p>
    <w:p w:rsidR="00276D72" w:rsidRPr="00F6691E" w:rsidRDefault="00276D72" w:rsidP="00276D72">
      <w:pPr>
        <w:spacing w:after="120"/>
        <w:ind w:firstLine="360"/>
        <w:jc w:val="both"/>
      </w:pPr>
      <w:r w:rsidRPr="00276D72">
        <w:rPr>
          <w:spacing w:val="1"/>
        </w:rPr>
        <w:t xml:space="preserve">Līdz ar </w:t>
      </w:r>
      <w:r w:rsidRPr="00017EFA">
        <w:rPr>
          <w:spacing w:val="1"/>
        </w:rPr>
        <w:t xml:space="preserve">pamatnostādņu apstiprināšanu </w:t>
      </w:r>
      <w:r w:rsidR="00B36FD1" w:rsidRPr="00017EFA">
        <w:rPr>
          <w:spacing w:val="1"/>
        </w:rPr>
        <w:t>Enerģētikas</w:t>
      </w:r>
      <w:r w:rsidRPr="00017EFA">
        <w:rPr>
          <w:spacing w:val="1"/>
        </w:rPr>
        <w:t xml:space="preserve"> attīstības pamatnostādnes 2007.-201</w:t>
      </w:r>
      <w:r w:rsidR="00B36FD1" w:rsidRPr="00017EFA">
        <w:rPr>
          <w:spacing w:val="1"/>
        </w:rPr>
        <w:t>6</w:t>
      </w:r>
      <w:r w:rsidRPr="00017EFA">
        <w:rPr>
          <w:spacing w:val="1"/>
        </w:rPr>
        <w:t xml:space="preserve">. gadam (apstiprinātas ar </w:t>
      </w:r>
      <w:r w:rsidRPr="00017EFA">
        <w:t xml:space="preserve">Ministru kabineta 2006.gada </w:t>
      </w:r>
      <w:r w:rsidR="00017EFA" w:rsidRPr="00017EFA">
        <w:t>1.augusta</w:t>
      </w:r>
      <w:r w:rsidRPr="00017EFA">
        <w:t xml:space="preserve"> rīkojumu Nr.</w:t>
      </w:r>
      <w:r w:rsidR="00017EFA" w:rsidRPr="00017EFA">
        <w:t>571</w:t>
      </w:r>
      <w:r w:rsidRPr="00017EFA">
        <w:t xml:space="preserve"> "Par </w:t>
      </w:r>
      <w:r w:rsidR="00017EFA" w:rsidRPr="00017EFA">
        <w:t>Enerģētikas</w:t>
      </w:r>
      <w:r w:rsidRPr="00017EFA">
        <w:t xml:space="preserve"> attīstības pamatnostādnēm 2007.–2013.gadam" (Latvijas Vēstnesis, 2006, 1</w:t>
      </w:r>
      <w:r w:rsidR="00017EFA" w:rsidRPr="00017EFA">
        <w:t>22.nr.</w:t>
      </w:r>
      <w:r w:rsidRPr="00017EFA">
        <w:t>) atzīstamas par spēku zaudējušām.</w:t>
      </w:r>
    </w:p>
    <w:p w:rsidR="00C7493D" w:rsidRDefault="00C7493D" w:rsidP="00307029">
      <w:pPr>
        <w:rPr>
          <w:rFonts w:eastAsiaTheme="majorEastAsia" w:cstheme="majorBidi"/>
          <w:b/>
          <w:bCs/>
          <w:szCs w:val="26"/>
          <w:highlight w:val="yellow"/>
        </w:rPr>
      </w:pPr>
    </w:p>
    <w:p w:rsidR="001A585D" w:rsidRDefault="001A585D" w:rsidP="00307029">
      <w:pPr>
        <w:rPr>
          <w:rFonts w:eastAsiaTheme="majorEastAsia" w:cstheme="majorBidi"/>
          <w:b/>
          <w:bCs/>
          <w:szCs w:val="26"/>
          <w:highlight w:val="yellow"/>
        </w:rPr>
      </w:pPr>
    </w:p>
    <w:p w:rsidR="001A585D" w:rsidRDefault="001A585D" w:rsidP="001A585D">
      <w:pPr>
        <w:pStyle w:val="BodyText"/>
        <w:spacing w:after="0"/>
        <w:rPr>
          <w:sz w:val="20"/>
        </w:rPr>
      </w:pPr>
      <w:r>
        <w:rPr>
          <w:sz w:val="20"/>
        </w:rPr>
        <w:t>Sils, 67013036</w:t>
      </w:r>
    </w:p>
    <w:p w:rsidR="001A585D" w:rsidRPr="007720D1" w:rsidRDefault="001A585D" w:rsidP="001A585D">
      <w:pPr>
        <w:pStyle w:val="BodyText"/>
        <w:spacing w:after="0"/>
        <w:rPr>
          <w:sz w:val="20"/>
        </w:rPr>
      </w:pPr>
      <w:r>
        <w:rPr>
          <w:sz w:val="20"/>
        </w:rPr>
        <w:t>Ingars.Sils@em.gov.lv</w:t>
      </w:r>
    </w:p>
    <w:p w:rsidR="001A585D" w:rsidRPr="00AD4436" w:rsidRDefault="001A585D" w:rsidP="001A585D">
      <w:pPr>
        <w:pStyle w:val="BodyText"/>
        <w:spacing w:after="0"/>
        <w:rPr>
          <w:szCs w:val="26"/>
        </w:rPr>
      </w:pPr>
    </w:p>
    <w:p w:rsidR="001A585D" w:rsidRDefault="001A585D" w:rsidP="001A585D">
      <w:pPr>
        <w:pStyle w:val="BodyText"/>
        <w:spacing w:after="0"/>
        <w:rPr>
          <w:sz w:val="20"/>
        </w:rPr>
      </w:pPr>
      <w:r>
        <w:rPr>
          <w:sz w:val="20"/>
        </w:rPr>
        <w:t>Bogdanova, 67013113</w:t>
      </w:r>
    </w:p>
    <w:p w:rsidR="001A585D" w:rsidRPr="007720D1" w:rsidRDefault="001A585D" w:rsidP="001A585D">
      <w:pPr>
        <w:pStyle w:val="BodyText"/>
        <w:spacing w:after="0"/>
        <w:rPr>
          <w:sz w:val="20"/>
        </w:rPr>
      </w:pPr>
      <w:r>
        <w:rPr>
          <w:sz w:val="20"/>
        </w:rPr>
        <w:t>Olga.Bogdanova@em.gov.lv</w:t>
      </w:r>
    </w:p>
    <w:p w:rsidR="001A585D" w:rsidRDefault="001A585D" w:rsidP="001A585D">
      <w:pPr>
        <w:pStyle w:val="BodyText"/>
        <w:spacing w:after="0"/>
        <w:rPr>
          <w:sz w:val="20"/>
        </w:rPr>
      </w:pPr>
    </w:p>
    <w:p w:rsidR="001A585D" w:rsidRDefault="001A585D" w:rsidP="001A585D">
      <w:pPr>
        <w:pStyle w:val="BodyText"/>
        <w:spacing w:after="0"/>
        <w:rPr>
          <w:sz w:val="20"/>
        </w:rPr>
      </w:pPr>
      <w:r>
        <w:rPr>
          <w:sz w:val="20"/>
        </w:rPr>
        <w:t>Strautiņa, 67013036</w:t>
      </w:r>
    </w:p>
    <w:p w:rsidR="001A585D" w:rsidRPr="007720D1" w:rsidRDefault="001A585D" w:rsidP="001A585D">
      <w:pPr>
        <w:pStyle w:val="BodyText"/>
        <w:spacing w:after="0"/>
        <w:rPr>
          <w:sz w:val="20"/>
        </w:rPr>
      </w:pPr>
      <w:r>
        <w:rPr>
          <w:sz w:val="20"/>
        </w:rPr>
        <w:t>Sintija.Strautina@em.gov.lv</w:t>
      </w:r>
    </w:p>
    <w:p w:rsidR="001A585D" w:rsidRDefault="001A585D" w:rsidP="001A585D">
      <w:pPr>
        <w:pStyle w:val="BodyText"/>
        <w:spacing w:after="0"/>
        <w:rPr>
          <w:sz w:val="20"/>
        </w:rPr>
      </w:pPr>
    </w:p>
    <w:p w:rsidR="001A585D" w:rsidRDefault="001A585D" w:rsidP="001A585D">
      <w:pPr>
        <w:pStyle w:val="BodyText"/>
        <w:spacing w:after="0"/>
        <w:rPr>
          <w:sz w:val="20"/>
        </w:rPr>
      </w:pPr>
      <w:r>
        <w:rPr>
          <w:sz w:val="20"/>
        </w:rPr>
        <w:t>Pētersone, 67013036</w:t>
      </w:r>
    </w:p>
    <w:p w:rsidR="001A585D" w:rsidRPr="007720D1" w:rsidRDefault="001A585D" w:rsidP="001A585D">
      <w:pPr>
        <w:pStyle w:val="BodyText"/>
        <w:spacing w:after="0"/>
        <w:rPr>
          <w:sz w:val="20"/>
        </w:rPr>
      </w:pPr>
      <w:r>
        <w:rPr>
          <w:sz w:val="20"/>
        </w:rPr>
        <w:t>Eizenija.Petersone@em.gov.lv</w:t>
      </w:r>
    </w:p>
    <w:p w:rsidR="001A585D" w:rsidRDefault="001A585D" w:rsidP="001A585D">
      <w:pPr>
        <w:pStyle w:val="BodyText"/>
        <w:spacing w:after="0"/>
        <w:rPr>
          <w:sz w:val="20"/>
        </w:rPr>
      </w:pPr>
    </w:p>
    <w:p w:rsidR="001A585D" w:rsidRDefault="001A585D" w:rsidP="001A585D">
      <w:pPr>
        <w:pStyle w:val="BodyText"/>
        <w:spacing w:after="0"/>
        <w:rPr>
          <w:sz w:val="20"/>
        </w:rPr>
      </w:pPr>
      <w:r>
        <w:rPr>
          <w:sz w:val="20"/>
        </w:rPr>
        <w:t>Logina, 67013036</w:t>
      </w:r>
    </w:p>
    <w:p w:rsidR="00A03348" w:rsidRPr="00307029" w:rsidRDefault="001A585D" w:rsidP="001A585D">
      <w:pPr>
        <w:pStyle w:val="BodyText"/>
        <w:spacing w:after="0"/>
        <w:rPr>
          <w:rFonts w:eastAsiaTheme="majorEastAsia" w:cstheme="majorBidi"/>
          <w:b/>
          <w:bCs/>
          <w:szCs w:val="26"/>
          <w:highlight w:val="yellow"/>
        </w:rPr>
      </w:pPr>
      <w:r>
        <w:rPr>
          <w:sz w:val="20"/>
        </w:rPr>
        <w:t>Baiba.Logina@em.gov.lv</w:t>
      </w:r>
    </w:p>
    <w:sectPr w:rsidR="00A03348" w:rsidRPr="00307029" w:rsidSect="00EE759E">
      <w:pgSz w:w="11906" w:h="16838" w:code="9"/>
      <w:pgMar w:top="1134" w:right="1701" w:bottom="1418" w:left="1134" w:header="709" w:footer="709" w:gutter="0"/>
      <w:cols w:space="708"/>
      <w:docGrid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64119F" w15:done="0"/>
  <w15:commentEx w15:paraId="1204ECD0" w15:done="0"/>
  <w15:commentEx w15:paraId="61FD9830" w15:done="0"/>
  <w15:commentEx w15:paraId="58C46538" w15:done="0"/>
  <w15:commentEx w15:paraId="016BF1E2" w15:done="0"/>
  <w15:commentEx w15:paraId="252B2B18" w15:done="0"/>
  <w15:commentEx w15:paraId="0420EFD8" w15:done="0"/>
  <w15:commentEx w15:paraId="7E9DF251" w15:done="0"/>
  <w15:commentEx w15:paraId="0C660281" w15:done="0"/>
  <w15:commentEx w15:paraId="407ACE7A" w15:done="0"/>
  <w15:commentEx w15:paraId="42500054" w15:done="0"/>
  <w15:commentEx w15:paraId="12296079" w15:done="0"/>
  <w15:commentEx w15:paraId="5866C025" w15:done="0"/>
  <w15:commentEx w15:paraId="78E64280" w15:done="0"/>
  <w15:commentEx w15:paraId="4504A440" w15:done="0"/>
  <w15:commentEx w15:paraId="34921A64" w15:done="0"/>
  <w15:commentEx w15:paraId="1515EE84" w15:done="0"/>
  <w15:commentEx w15:paraId="1340D064" w15:done="0"/>
  <w15:commentEx w15:paraId="3887462C" w15:done="0"/>
  <w15:commentEx w15:paraId="389BE884" w15:done="0"/>
  <w15:commentEx w15:paraId="5033E452" w15:done="0"/>
  <w15:commentEx w15:paraId="71CB0BDB" w15:done="0"/>
  <w15:commentEx w15:paraId="1592CA3F" w15:done="0"/>
  <w15:commentEx w15:paraId="3B6585C3" w15:done="0"/>
  <w15:commentEx w15:paraId="40C9707E" w15:done="0"/>
  <w15:commentEx w15:paraId="0AED65C6" w15:done="0"/>
  <w15:commentEx w15:paraId="506601CB" w15:done="0"/>
  <w15:commentEx w15:paraId="745FB0AB" w15:done="0"/>
  <w15:commentEx w15:paraId="16098DDB" w15:done="0"/>
  <w15:commentEx w15:paraId="0793B63F" w15:done="0"/>
  <w15:commentEx w15:paraId="48C33E64" w15:done="0"/>
  <w15:commentEx w15:paraId="053D6251" w15:done="0"/>
  <w15:commentEx w15:paraId="1EF164B1" w15:done="0"/>
  <w15:commentEx w15:paraId="2DB094AC" w15:done="0"/>
  <w15:commentEx w15:paraId="6A445111" w15:done="0"/>
  <w15:commentEx w15:paraId="59E6D70F" w15:done="0"/>
  <w15:commentEx w15:paraId="07D54B25" w15:done="0"/>
  <w15:commentEx w15:paraId="1CB0851D" w15:done="0"/>
  <w15:commentEx w15:paraId="3AEF65A1" w15:done="0"/>
  <w15:commentEx w15:paraId="0D1A9EE5" w15:done="0"/>
  <w15:commentEx w15:paraId="514E5CA8" w15:done="0"/>
  <w15:commentEx w15:paraId="46456BFA" w15:done="0"/>
  <w15:commentEx w15:paraId="704C3294" w15:done="0"/>
  <w15:commentEx w15:paraId="363D5306" w15:done="0"/>
  <w15:commentEx w15:paraId="69A6DF60" w15:done="0"/>
  <w15:commentEx w15:paraId="41D449AE" w15:done="0"/>
  <w15:commentEx w15:paraId="081B6FF5" w15:done="0"/>
  <w15:commentEx w15:paraId="1FA2B205" w15:done="0"/>
  <w15:commentEx w15:paraId="3F941D25" w15:done="0"/>
  <w15:commentEx w15:paraId="302ED82E" w15:done="0"/>
  <w15:commentEx w15:paraId="102817FC" w15:done="0"/>
  <w15:commentEx w15:paraId="6D2CC5A8" w15:done="0"/>
  <w15:commentEx w15:paraId="69A7B730" w15:done="0"/>
  <w15:commentEx w15:paraId="622BA1B3" w15:done="0"/>
  <w15:commentEx w15:paraId="3EE73422" w15:done="0"/>
  <w15:commentEx w15:paraId="46C7C99A" w15:done="0"/>
  <w15:commentEx w15:paraId="798DFD32" w15:done="0"/>
  <w15:commentEx w15:paraId="573768B7" w15:done="0"/>
  <w15:commentEx w15:paraId="03B91092" w15:done="0"/>
  <w15:commentEx w15:paraId="6DBD6D94" w15:done="0"/>
  <w15:commentEx w15:paraId="1721BDFB" w15:done="0"/>
  <w15:commentEx w15:paraId="0481F95D" w15:done="0"/>
  <w15:commentEx w15:paraId="09481A96" w15:done="0"/>
  <w15:commentEx w15:paraId="2E30B001" w15:done="0"/>
  <w15:commentEx w15:paraId="1CDCE318" w15:done="0"/>
  <w15:commentEx w15:paraId="6100C331" w15:done="0"/>
  <w15:commentEx w15:paraId="754D26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45B" w:rsidRDefault="006D445B" w:rsidP="008F6836">
      <w:r>
        <w:separator/>
      </w:r>
    </w:p>
  </w:endnote>
  <w:endnote w:type="continuationSeparator" w:id="0">
    <w:p w:rsidR="006D445B" w:rsidRDefault="006D445B" w:rsidP="008F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905022"/>
      <w:docPartObj>
        <w:docPartGallery w:val="Page Numbers (Bottom of Page)"/>
        <w:docPartUnique/>
      </w:docPartObj>
    </w:sdtPr>
    <w:sdtEndPr>
      <w:rPr>
        <w:noProof/>
      </w:rPr>
    </w:sdtEndPr>
    <w:sdtContent>
      <w:p w:rsidR="00547FD4" w:rsidRDefault="00547FD4">
        <w:pPr>
          <w:pStyle w:val="Footer"/>
          <w:jc w:val="center"/>
        </w:pPr>
        <w:r>
          <w:fldChar w:fldCharType="begin"/>
        </w:r>
        <w:r>
          <w:instrText xml:space="preserve"> PAGE   \* MERGEFORMAT </w:instrText>
        </w:r>
        <w:r>
          <w:fldChar w:fldCharType="separate"/>
        </w:r>
        <w:r w:rsidR="002770D8">
          <w:rPr>
            <w:noProof/>
          </w:rPr>
          <w:t>7</w:t>
        </w:r>
        <w:r>
          <w:rPr>
            <w:noProof/>
          </w:rPr>
          <w:fldChar w:fldCharType="end"/>
        </w:r>
      </w:p>
    </w:sdtContent>
  </w:sdt>
  <w:p w:rsidR="00547FD4" w:rsidRDefault="00547F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90029"/>
      <w:docPartObj>
        <w:docPartGallery w:val="Page Numbers (Bottom of Page)"/>
        <w:docPartUnique/>
      </w:docPartObj>
    </w:sdtPr>
    <w:sdtEndPr>
      <w:rPr>
        <w:noProof/>
      </w:rPr>
    </w:sdtEndPr>
    <w:sdtContent>
      <w:p w:rsidR="00547FD4" w:rsidRPr="00C37632" w:rsidRDefault="00547FD4" w:rsidP="00C37632">
        <w:pPr>
          <w:jc w:val="center"/>
        </w:pPr>
        <w:r w:rsidRPr="003E292C">
          <w:rPr>
            <w:i/>
            <w:sz w:val="22"/>
          </w:rPr>
          <w:t xml:space="preserve">Enerģētikas attīstības pamatnostādnes 2014. – 2020. </w:t>
        </w:r>
        <w:r>
          <w:rPr>
            <w:i/>
            <w:sz w:val="22"/>
          </w:rPr>
          <w:t>g</w:t>
        </w:r>
        <w:r w:rsidRPr="003E292C">
          <w:rPr>
            <w:i/>
            <w:sz w:val="22"/>
          </w:rPr>
          <w:t>adam</w:t>
        </w:r>
        <w:r>
          <w:rPr>
            <w:i/>
            <w:sz w:val="22"/>
          </w:rPr>
          <w:t>; projekts</w:t>
        </w:r>
      </w:p>
      <w:p w:rsidR="00547FD4" w:rsidRDefault="00547FD4">
        <w:pPr>
          <w:pStyle w:val="Footer"/>
          <w:jc w:val="center"/>
        </w:pPr>
      </w:p>
      <w:p w:rsidR="00547FD4" w:rsidRDefault="00547FD4">
        <w:pPr>
          <w:pStyle w:val="Footer"/>
          <w:jc w:val="center"/>
        </w:pPr>
        <w:r>
          <w:fldChar w:fldCharType="begin"/>
        </w:r>
        <w:r>
          <w:instrText xml:space="preserve"> PAGE   \* MERGEFORMAT </w:instrText>
        </w:r>
        <w:r>
          <w:fldChar w:fldCharType="separate"/>
        </w:r>
        <w:r w:rsidR="002770D8">
          <w:rPr>
            <w:noProof/>
          </w:rPr>
          <w:t>90</w:t>
        </w:r>
        <w:r>
          <w:rPr>
            <w:noProof/>
          </w:rPr>
          <w:fldChar w:fldCharType="end"/>
        </w:r>
      </w:p>
    </w:sdtContent>
  </w:sdt>
  <w:p w:rsidR="00547FD4" w:rsidRDefault="00547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45B" w:rsidRDefault="006D445B" w:rsidP="008F6836">
      <w:r>
        <w:separator/>
      </w:r>
    </w:p>
  </w:footnote>
  <w:footnote w:type="continuationSeparator" w:id="0">
    <w:p w:rsidR="006D445B" w:rsidRDefault="006D445B" w:rsidP="008F6836">
      <w:r>
        <w:continuationSeparator/>
      </w:r>
    </w:p>
  </w:footnote>
  <w:footnote w:id="1">
    <w:p w:rsidR="00547FD4" w:rsidRPr="00E8387D" w:rsidRDefault="00547FD4" w:rsidP="009334D9">
      <w:pPr>
        <w:pStyle w:val="FootnoteText"/>
        <w:rPr>
          <w:rFonts w:ascii="Times New Roman" w:hAnsi="Times New Roman"/>
        </w:rPr>
      </w:pPr>
      <w:r w:rsidRPr="000A44AA">
        <w:rPr>
          <w:rStyle w:val="FootnoteReference"/>
          <w:sz w:val="20"/>
          <w:szCs w:val="20"/>
        </w:rPr>
        <w:footnoteRef/>
      </w:r>
      <w:r w:rsidRPr="000A44AA">
        <w:t xml:space="preserve"> </w:t>
      </w:r>
      <w:r w:rsidRPr="00E8387D">
        <w:rPr>
          <w:rFonts w:ascii="Times New Roman" w:hAnsi="Times New Roman"/>
        </w:rPr>
        <w:t xml:space="preserve">COM (2011) 112 </w:t>
      </w:r>
    </w:p>
  </w:footnote>
  <w:footnote w:id="2">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COM (2014) 15</w:t>
      </w:r>
    </w:p>
  </w:footnote>
  <w:footnote w:id="3">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COM (2014) 520</w:t>
      </w:r>
    </w:p>
  </w:footnote>
  <w:footnote w:id="4">
    <w:p w:rsidR="00547FD4" w:rsidRPr="00E8387D" w:rsidRDefault="00547FD4" w:rsidP="009334D9">
      <w:pPr>
        <w:pStyle w:val="FootnoteText"/>
        <w:rPr>
          <w:rFonts w:ascii="Times New Roman" w:hAnsi="Times New Roman"/>
        </w:rPr>
      </w:pPr>
      <w:r w:rsidRPr="00921EDE">
        <w:rPr>
          <w:rStyle w:val="FootnoteReference"/>
          <w:sz w:val="20"/>
          <w:szCs w:val="20"/>
        </w:rPr>
        <w:footnoteRef/>
      </w:r>
      <w:r w:rsidRPr="00921EDE">
        <w:t xml:space="preserve"> </w:t>
      </w:r>
      <w:r w:rsidRPr="00E8387D">
        <w:rPr>
          <w:rFonts w:ascii="Times New Roman" w:hAnsi="Times New Roman"/>
        </w:rPr>
        <w:t>Ne-ETS sektori – lauksaimniecība, transporta sektors (izņemot starptautiskā aviācija un starptautiskais jūras transports), ETS neaptvertā enerģētika un rūpniecība, mājsaimniecības un atkritumu apsaimniekošana</w:t>
      </w:r>
      <w:r>
        <w:rPr>
          <w:rFonts w:ascii="Times New Roman" w:hAnsi="Times New Roman"/>
        </w:rPr>
        <w:t>.</w:t>
      </w:r>
    </w:p>
  </w:footnote>
  <w:footnote w:id="5">
    <w:p w:rsidR="00547FD4" w:rsidRPr="00E8387D" w:rsidRDefault="00547FD4" w:rsidP="009334D9">
      <w:pPr>
        <w:pStyle w:val="FootnoteText"/>
        <w:rPr>
          <w:rFonts w:ascii="Times New Roman" w:hAnsi="Times New Roman"/>
        </w:rPr>
      </w:pPr>
      <w:r w:rsidRPr="000066ED">
        <w:rPr>
          <w:rStyle w:val="FootnoteReference"/>
          <w:sz w:val="20"/>
          <w:szCs w:val="20"/>
        </w:rPr>
        <w:footnoteRef/>
      </w:r>
      <w:r w:rsidRPr="000066ED">
        <w:t xml:space="preserve"> - J</w:t>
      </w:r>
      <w:r w:rsidRPr="00E8387D">
        <w:rPr>
          <w:rFonts w:ascii="Times New Roman" w:hAnsi="Times New Roman"/>
        </w:rPr>
        <w:t>.Strūbergs, K.Siļķe „Latvijas mazo upju hidroenerģētiskā potenciāla novērtējums”, Jelgava, 1999.</w:t>
      </w:r>
    </w:p>
  </w:footnote>
  <w:footnote w:id="6">
    <w:p w:rsidR="00547FD4" w:rsidRPr="000066ED" w:rsidRDefault="00547FD4" w:rsidP="009334D9">
      <w:pPr>
        <w:pStyle w:val="FootnoteText"/>
      </w:pPr>
      <w:r w:rsidRPr="00E8387D">
        <w:rPr>
          <w:rStyle w:val="FootnoteReference"/>
          <w:sz w:val="20"/>
          <w:szCs w:val="20"/>
        </w:rPr>
        <w:footnoteRef/>
      </w:r>
      <w:r w:rsidRPr="00E8387D">
        <w:rPr>
          <w:rFonts w:ascii="Times New Roman" w:hAnsi="Times New Roman"/>
        </w:rPr>
        <w:t xml:space="preserve"> - </w:t>
      </w:r>
      <w:r w:rsidRPr="00E8387D">
        <w:rPr>
          <w:rStyle w:val="FootnoteReference"/>
          <w:sz w:val="20"/>
          <w:szCs w:val="20"/>
          <w:vertAlign w:val="baseline"/>
        </w:rPr>
        <w:t>Atjaunojamo energoresursu programma, 2000. Sagatavojusi COWI Engineers and Planners AS-Bkb EC DG1A LR Ekonomikas ministrijas uzdevumā</w:t>
      </w:r>
      <w:r w:rsidRPr="00E8387D">
        <w:rPr>
          <w:rFonts w:ascii="Times New Roman" w:hAnsi="Times New Roman"/>
        </w:rPr>
        <w:t xml:space="preserve"> un saskaņā ar </w:t>
      </w:r>
      <w:r w:rsidRPr="00E8387D">
        <w:rPr>
          <w:rStyle w:val="FootnoteReference"/>
          <w:sz w:val="20"/>
          <w:szCs w:val="20"/>
          <w:vertAlign w:val="baseline"/>
        </w:rPr>
        <w:t>Phare Enerģētikas sektora līguma Nr.SFR96/04</w:t>
      </w:r>
      <w:r w:rsidRPr="00E8387D">
        <w:rPr>
          <w:rFonts w:ascii="Times New Roman" w:hAnsi="Times New Roman"/>
        </w:rPr>
        <w:t>.</w:t>
      </w:r>
    </w:p>
  </w:footnote>
  <w:footnote w:id="7">
    <w:p w:rsidR="00547FD4" w:rsidRPr="00E8387D" w:rsidRDefault="00547FD4" w:rsidP="009334D9">
      <w:pPr>
        <w:pStyle w:val="FootnoteText"/>
        <w:rPr>
          <w:rFonts w:ascii="Times New Roman" w:hAnsi="Times New Roman"/>
        </w:rPr>
      </w:pPr>
      <w:r w:rsidRPr="000066ED">
        <w:rPr>
          <w:rStyle w:val="FootnoteReference"/>
          <w:sz w:val="20"/>
          <w:szCs w:val="20"/>
        </w:rPr>
        <w:footnoteRef/>
      </w:r>
      <w:r w:rsidRPr="000066ED">
        <w:t xml:space="preserve"> </w:t>
      </w:r>
      <w:r w:rsidRPr="00E8387D">
        <w:rPr>
          <w:rFonts w:ascii="Times New Roman" w:hAnsi="Times New Roman"/>
        </w:rPr>
        <w:t>Latvijas Kūdras ražotāju asociācijas informācija</w:t>
      </w:r>
      <w:r>
        <w:rPr>
          <w:rFonts w:ascii="Times New Roman" w:hAnsi="Times New Roman"/>
        </w:rPr>
        <w:t>.</w:t>
      </w:r>
    </w:p>
  </w:footnote>
  <w:footnote w:id="8">
    <w:p w:rsidR="00547FD4" w:rsidRPr="000066ED" w:rsidRDefault="00547FD4" w:rsidP="009334D9">
      <w:pPr>
        <w:pStyle w:val="FootnoteText"/>
      </w:pPr>
      <w:r w:rsidRPr="00E8387D">
        <w:rPr>
          <w:rStyle w:val="FootnoteReference"/>
          <w:sz w:val="20"/>
          <w:szCs w:val="20"/>
        </w:rPr>
        <w:footnoteRef/>
      </w:r>
      <w:r w:rsidRPr="00E8387D">
        <w:rPr>
          <w:rFonts w:ascii="Times New Roman" w:hAnsi="Times New Roman"/>
        </w:rPr>
        <w:t xml:space="preserve"> 2012.gada 16.novembrī EK nāca klajā ar Paziņojumu Eiropas Parlamentam, Padomei, Eiropas Ekonomikas un sociālo lietu komitejai un Reģionu komitejai „Kā panākt, lai iekšējais enerģijas tirgus patiešām funkcionētu” (COM(2012)663)</w:t>
      </w:r>
      <w:r>
        <w:rPr>
          <w:rFonts w:ascii="Times New Roman" w:hAnsi="Times New Roman"/>
        </w:rPr>
        <w:t>.</w:t>
      </w:r>
    </w:p>
  </w:footnote>
  <w:footnote w:id="9">
    <w:p w:rsidR="00547FD4" w:rsidRPr="009334D9" w:rsidRDefault="00547FD4" w:rsidP="009334D9">
      <w:pPr>
        <w:pStyle w:val="FootnoteText"/>
      </w:pPr>
      <w:r w:rsidRPr="009334D9">
        <w:rPr>
          <w:rStyle w:val="FootnoteReference"/>
          <w:sz w:val="20"/>
          <w:szCs w:val="20"/>
        </w:rPr>
        <w:footnoteRef/>
      </w:r>
      <w:r w:rsidRPr="009334D9">
        <w:t xml:space="preserve"> </w:t>
      </w:r>
      <w:r w:rsidRPr="009334D9">
        <w:rPr>
          <w:rFonts w:ascii="Times New Roman" w:hAnsi="Times New Roman"/>
        </w:rPr>
        <w:t>Elektroenerģijas kopējās cena veidojas no elektroenerģijas vairumcenas, tīkla pakalpojumiem, obligātā iepirkuma komponentes (turpmāk – OIK), uzņēmuma peļņas un pievienotās vērtības nodokļa (turpmāk – PVN).</w:t>
      </w:r>
      <w:r w:rsidRPr="009334D9">
        <w:t xml:space="preserve">  </w:t>
      </w:r>
    </w:p>
  </w:footnote>
  <w:footnote w:id="10">
    <w:p w:rsidR="00547FD4" w:rsidRPr="00640AEE" w:rsidRDefault="00547FD4" w:rsidP="009334D9">
      <w:pPr>
        <w:pStyle w:val="FootnoteText"/>
      </w:pPr>
      <w:r w:rsidRPr="00640AEE">
        <w:rPr>
          <w:rStyle w:val="FootnoteReference"/>
          <w:sz w:val="20"/>
          <w:szCs w:val="20"/>
        </w:rPr>
        <w:footnoteRef/>
      </w:r>
      <w:r>
        <w:rPr>
          <w:rFonts w:ascii="Times New Roman" w:hAnsi="Times New Roman"/>
        </w:rPr>
        <w:t xml:space="preserve"> </w:t>
      </w:r>
      <w:r w:rsidRPr="00E8387D">
        <w:rPr>
          <w:rFonts w:ascii="Times New Roman" w:hAnsi="Times New Roman"/>
        </w:rPr>
        <w:t>http://www.sadalestikls.lv/files/newnode/infodudok/majas%20lapa_tarifi_LVL_no_01.01.2014.EUR_2.pdf</w:t>
      </w:r>
    </w:p>
  </w:footnote>
  <w:footnote w:id="11">
    <w:p w:rsidR="00547FD4" w:rsidRPr="00E8387D" w:rsidRDefault="00547FD4" w:rsidP="009334D9">
      <w:pPr>
        <w:pStyle w:val="FootnoteText"/>
        <w:rPr>
          <w:rFonts w:ascii="Times New Roman" w:hAnsi="Times New Roman"/>
        </w:rPr>
      </w:pPr>
      <w:r w:rsidRPr="009F7E8F">
        <w:rPr>
          <w:rStyle w:val="FootnoteReference"/>
          <w:sz w:val="20"/>
          <w:szCs w:val="20"/>
        </w:rPr>
        <w:footnoteRef/>
      </w:r>
      <w:r w:rsidRPr="009F7E8F">
        <w:t xml:space="preserve"> - </w:t>
      </w:r>
      <w:r w:rsidRPr="00E8387D">
        <w:rPr>
          <w:rFonts w:ascii="Times New Roman" w:hAnsi="Times New Roman"/>
        </w:rPr>
        <w:t>J.Strūbergs, K.Siļķe „Latvijas mazo upju hidroenerģētiskā potenciāla novērtējums”, Jelgava, 1999.</w:t>
      </w:r>
    </w:p>
  </w:footnote>
  <w:footnote w:id="12">
    <w:p w:rsidR="00547FD4" w:rsidRPr="009F7E8F" w:rsidRDefault="00547FD4" w:rsidP="009334D9">
      <w:pPr>
        <w:pStyle w:val="FootnoteText"/>
      </w:pPr>
      <w:r w:rsidRPr="00E8387D">
        <w:rPr>
          <w:rStyle w:val="FootnoteReference"/>
          <w:sz w:val="20"/>
          <w:szCs w:val="20"/>
        </w:rPr>
        <w:footnoteRef/>
      </w:r>
      <w:r w:rsidRPr="00E8387D">
        <w:rPr>
          <w:rFonts w:ascii="Times New Roman" w:hAnsi="Times New Roman"/>
        </w:rPr>
        <w:t xml:space="preserve"> </w:t>
      </w:r>
      <w:r w:rsidRPr="00E8387D">
        <w:rPr>
          <w:rStyle w:val="FootnoteReference"/>
          <w:sz w:val="20"/>
          <w:szCs w:val="20"/>
          <w:vertAlign w:val="baseline"/>
        </w:rPr>
        <w:t>Atjaunojamo energoresursu programma, 2000. Sagatavojusi COWI Engineers and Planners AS-Bkb EC DG1A LR Ekonomikas ministrijas uzdevumā</w:t>
      </w:r>
      <w:r w:rsidRPr="00E8387D">
        <w:rPr>
          <w:rFonts w:ascii="Times New Roman" w:hAnsi="Times New Roman"/>
        </w:rPr>
        <w:t xml:space="preserve"> un saskaņā ar </w:t>
      </w:r>
      <w:r w:rsidRPr="00E8387D">
        <w:rPr>
          <w:rStyle w:val="FootnoteReference"/>
          <w:sz w:val="20"/>
          <w:szCs w:val="20"/>
          <w:vertAlign w:val="baseline"/>
        </w:rPr>
        <w:t>Phare En</w:t>
      </w:r>
      <w:r w:rsidRPr="00E8387D">
        <w:rPr>
          <w:rFonts w:ascii="Times New Roman" w:hAnsi="Times New Roman"/>
        </w:rPr>
        <w:t>.</w:t>
      </w:r>
    </w:p>
  </w:footnote>
  <w:footnote w:id="13">
    <w:p w:rsidR="00547FD4" w:rsidRPr="00E8387D" w:rsidRDefault="00547FD4" w:rsidP="009334D9">
      <w:pPr>
        <w:pStyle w:val="FootnoteText"/>
        <w:rPr>
          <w:rFonts w:ascii="Times New Roman" w:hAnsi="Times New Roman"/>
        </w:rPr>
      </w:pPr>
      <w:r w:rsidRPr="00013943">
        <w:rPr>
          <w:rStyle w:val="FootnoteReference"/>
          <w:sz w:val="20"/>
          <w:szCs w:val="20"/>
        </w:rPr>
        <w:footnoteRef/>
      </w:r>
      <w:r w:rsidRPr="00013943">
        <w:t xml:space="preserve"> - </w:t>
      </w:r>
      <w:r w:rsidRPr="00E8387D">
        <w:rPr>
          <w:rFonts w:ascii="Times New Roman" w:hAnsi="Times New Roman"/>
        </w:rPr>
        <w:t>J.Strūbergs, K.Siļķe „Latvijas mazo upju hidroenerģētiskā potenciāla novērtējums”, Jelgava, 1999.</w:t>
      </w:r>
    </w:p>
  </w:footnote>
  <w:footnote w:id="14">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 </w:t>
      </w:r>
      <w:r w:rsidRPr="00E8387D">
        <w:rPr>
          <w:rStyle w:val="FootnoteReference"/>
          <w:sz w:val="20"/>
          <w:szCs w:val="20"/>
          <w:vertAlign w:val="baseline"/>
        </w:rPr>
        <w:t>Atjaunojamo energoresursu programma, 2000. Sagatavojusi COWI Engineers and Planners AS-Bkb EC DG1A LR Ekonomikas ministrijas uzdevumā</w:t>
      </w:r>
      <w:r w:rsidRPr="00E8387D">
        <w:rPr>
          <w:rFonts w:ascii="Times New Roman" w:hAnsi="Times New Roman"/>
        </w:rPr>
        <w:t xml:space="preserve"> un saskaņā ar </w:t>
      </w:r>
      <w:r w:rsidRPr="00E8387D">
        <w:rPr>
          <w:rStyle w:val="FootnoteReference"/>
          <w:sz w:val="20"/>
          <w:szCs w:val="20"/>
          <w:vertAlign w:val="baseline"/>
        </w:rPr>
        <w:t>Phare Enerģētikas sektora līguma Nr.SFR96/04</w:t>
      </w:r>
      <w:r w:rsidRPr="00E8387D">
        <w:rPr>
          <w:rFonts w:ascii="Times New Roman" w:hAnsi="Times New Roman"/>
        </w:rPr>
        <w:t>.</w:t>
      </w:r>
    </w:p>
  </w:footnote>
  <w:footnote w:id="15">
    <w:p w:rsidR="00547FD4" w:rsidRPr="00013943" w:rsidRDefault="00547FD4" w:rsidP="009334D9">
      <w:pPr>
        <w:pStyle w:val="FootnoteText"/>
      </w:pPr>
      <w:r w:rsidRPr="00E8387D">
        <w:rPr>
          <w:rStyle w:val="FootnoteReference"/>
          <w:color w:val="000000" w:themeColor="text1"/>
          <w:sz w:val="20"/>
          <w:szCs w:val="20"/>
        </w:rPr>
        <w:footnoteRef/>
      </w:r>
      <w:r w:rsidRPr="00E8387D">
        <w:rPr>
          <w:rFonts w:ascii="Times New Roman" w:hAnsi="Times New Roman"/>
          <w:color w:val="000000" w:themeColor="text1"/>
        </w:rPr>
        <w:t xml:space="preserve"> </w:t>
      </w:r>
      <w:hyperlink r:id="rId1" w:history="1">
        <w:r w:rsidRPr="00E8387D">
          <w:rPr>
            <w:rStyle w:val="Hyperlink"/>
            <w:rFonts w:ascii="Times New Roman" w:hAnsi="Times New Roman"/>
            <w:color w:val="000000" w:themeColor="text1"/>
          </w:rPr>
          <w:t>http://eur-lex.europa.eu/legal-content/EN/TXT/HTML/?uri=OJ:C:2014:200:FULL&amp;from=EN</w:t>
        </w:r>
      </w:hyperlink>
      <w:r w:rsidRPr="00013943">
        <w:rPr>
          <w:color w:val="000000" w:themeColor="text1"/>
        </w:rPr>
        <w:t xml:space="preserve"> </w:t>
      </w:r>
    </w:p>
  </w:footnote>
  <w:footnote w:id="16">
    <w:p w:rsidR="00547FD4" w:rsidRPr="00E8387D" w:rsidRDefault="00547FD4" w:rsidP="009334D9">
      <w:pPr>
        <w:pStyle w:val="FootnoteText"/>
        <w:rPr>
          <w:rFonts w:ascii="Times New Roman" w:hAnsi="Times New Roman"/>
        </w:rPr>
      </w:pPr>
      <w:r w:rsidRPr="00FA1217">
        <w:rPr>
          <w:rStyle w:val="FootnoteReference"/>
          <w:sz w:val="20"/>
          <w:szCs w:val="20"/>
        </w:rPr>
        <w:footnoteRef/>
      </w:r>
      <w:r w:rsidRPr="00FA1217">
        <w:t xml:space="preserve"> </w:t>
      </w:r>
      <w:r w:rsidRPr="00E8387D">
        <w:rPr>
          <w:rFonts w:ascii="Times New Roman" w:hAnsi="Times New Roman"/>
        </w:rPr>
        <w:t>augstas efektivitātes dabas gāzes koģenerācijas stacijas ar elektrisko jaudu līdz 4 MW vai arī stacijas, kas izmanto AER bez jaudas ierobežojuma, kuras nodrošina ar siltumenerģiju centralizētās siltumapgādes sistēmas;</w:t>
      </w:r>
    </w:p>
    <w:p w:rsidR="00547FD4" w:rsidRPr="00E8387D" w:rsidRDefault="00547FD4" w:rsidP="009334D9">
      <w:pPr>
        <w:pStyle w:val="FootnoteText"/>
        <w:rPr>
          <w:rFonts w:ascii="Times New Roman" w:hAnsi="Times New Roman"/>
        </w:rPr>
      </w:pPr>
      <w:r w:rsidRPr="00E8387D">
        <w:rPr>
          <w:rFonts w:ascii="Times New Roman" w:hAnsi="Times New Roman"/>
        </w:rPr>
        <w:t>augstas efektivitātes koģenerācijas stacijas ar elektrisko jaudu līdz 4 MW, kas vismaz 30% elektroenerģijas ražošanas nodrošina ar dzīvnieku izcelsmes blakusproduktiem vai to atvasinājumiem un, kas vismaz 70% no izejvielām nodrošina pats vai iegādājas no ražotāja, kam pieder vairāk nekā 50% no nodokļa maksātāja pamatkapitāla, turklāt saražotā siltumenerģija tiek izmantota savas produkcijas ražošanā;</w:t>
      </w:r>
    </w:p>
    <w:p w:rsidR="00547FD4" w:rsidRPr="00E8387D" w:rsidRDefault="00547FD4" w:rsidP="009334D9">
      <w:pPr>
        <w:pStyle w:val="FootnoteText"/>
        <w:rPr>
          <w:rFonts w:ascii="Times New Roman" w:hAnsi="Times New Roman"/>
        </w:rPr>
      </w:pPr>
      <w:r w:rsidRPr="00E8387D">
        <w:rPr>
          <w:rFonts w:ascii="Times New Roman" w:hAnsi="Times New Roman"/>
        </w:rPr>
        <w:t>augstas efektivitātes koksnes biomasas koģenerācijas stacijas ar elektrisko jaudu līdz 4 MW un vismaz 70% no koģenerācijas procesā iegūtās siltumenerģijas izmanto savas produkcijas ražošanā;</w:t>
      </w:r>
    </w:p>
    <w:p w:rsidR="00547FD4" w:rsidRPr="005A0CB2" w:rsidRDefault="00547FD4" w:rsidP="009334D9">
      <w:pPr>
        <w:pStyle w:val="FootnoteText"/>
      </w:pPr>
      <w:r w:rsidRPr="00E8387D">
        <w:rPr>
          <w:rFonts w:ascii="Times New Roman" w:hAnsi="Times New Roman"/>
        </w:rPr>
        <w:t>augstas efektivitātes dabas gāzes koģenerācijas stacijas ar elektrisko jaudu līdz 4 MW vai bez uzstādītās elektriskās jaudas ierobežojuma AER koģenerācijas stacijās, kas vismaz 70% no saražotās siltumenerģijas izmanto augu veģetācijas procesa nodrošināšanai segtajās platībās, kuru kopējā platība ir ne mazāka kā 5000 m2.</w:t>
      </w:r>
    </w:p>
  </w:footnote>
  <w:footnote w:id="17">
    <w:p w:rsidR="00547FD4" w:rsidRPr="005A0CB2" w:rsidRDefault="00547FD4" w:rsidP="009334D9">
      <w:pPr>
        <w:pStyle w:val="FootnoteText"/>
      </w:pPr>
      <w:r w:rsidRPr="008F1E3E">
        <w:rPr>
          <w:rStyle w:val="FootnoteReference"/>
          <w:i/>
          <w:sz w:val="20"/>
          <w:szCs w:val="20"/>
        </w:rPr>
        <w:footnoteRef/>
      </w:r>
      <w:r w:rsidRPr="008F1E3E">
        <w:t xml:space="preserve"> </w:t>
      </w:r>
      <w:r w:rsidRPr="00E8387D">
        <w:rPr>
          <w:rFonts w:ascii="Times New Roman" w:hAnsi="Times New Roman"/>
        </w:rPr>
        <w:t xml:space="preserve">Informatīvais ziņojums „Par situāciju biodegvielas ražošanas nozarē” (TA-1804) (23.04.2013. prot. Nr.23, </w:t>
      </w:r>
      <w:r w:rsidRPr="00E8387D">
        <w:rPr>
          <w:rFonts w:ascii="Times New Roman" w:hAnsi="Times New Roman"/>
          <w:bCs/>
          <w:color w:val="000000"/>
        </w:rPr>
        <w:t xml:space="preserve">31.§). Pieejams: </w:t>
      </w:r>
      <w:r w:rsidRPr="00E8387D">
        <w:rPr>
          <w:rFonts w:ascii="Times New Roman" w:hAnsi="Times New Roman"/>
          <w:bCs/>
          <w:i/>
        </w:rPr>
        <w:t>http://www.mk.gov.lv/lv/mk/tap/?pid=40248005</w:t>
      </w:r>
      <w:r w:rsidRPr="00E8387D">
        <w:rPr>
          <w:rFonts w:ascii="Times New Roman" w:hAnsi="Times New Roman"/>
          <w:bCs/>
          <w:color w:val="000000"/>
        </w:rPr>
        <w:t>.</w:t>
      </w:r>
    </w:p>
  </w:footnote>
  <w:footnote w:id="18">
    <w:p w:rsidR="00547FD4" w:rsidRPr="00E8387D" w:rsidRDefault="00547FD4" w:rsidP="009334D9">
      <w:pPr>
        <w:pStyle w:val="FootnoteText"/>
        <w:rPr>
          <w:rFonts w:ascii="Times New Roman" w:hAnsi="Times New Roman"/>
        </w:rPr>
      </w:pPr>
      <w:r w:rsidRPr="00893494">
        <w:rPr>
          <w:rStyle w:val="FootnoteReference"/>
          <w:sz w:val="20"/>
          <w:szCs w:val="20"/>
        </w:rPr>
        <w:footnoteRef/>
      </w:r>
      <w:r w:rsidRPr="00893494">
        <w:t xml:space="preserve"> </w:t>
      </w:r>
      <w:r w:rsidRPr="00E8387D">
        <w:rPr>
          <w:rFonts w:ascii="Times New Roman" w:hAnsi="Times New Roman"/>
        </w:rPr>
        <w:t>Eiropas Parlamenta un Padomes direktīva 2010/31/ES par ēku energoefektivitāti</w:t>
      </w:r>
      <w:r>
        <w:rPr>
          <w:rFonts w:ascii="Times New Roman" w:hAnsi="Times New Roman"/>
        </w:rPr>
        <w:t>.</w:t>
      </w:r>
    </w:p>
  </w:footnote>
  <w:footnote w:id="19">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Eiropas Parlamenta un Padomes direktīvā 2010/30/ES par enerģijas un citu resursu patēriņa norādīšanu ražojumiem, kas saistīti ar energopatēriņu, izmantojot etiķetes un standarta informāciju par precēm</w:t>
      </w:r>
      <w:r>
        <w:rPr>
          <w:rFonts w:ascii="Times New Roman" w:hAnsi="Times New Roman"/>
        </w:rPr>
        <w:t>.</w:t>
      </w:r>
    </w:p>
  </w:footnote>
  <w:footnote w:id="20">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Eiropas Parlamenta un Padomes direktīvā 2009/125/EK, ar ko izveido sistēmu, lai noteiktu ekodizaina prasības ar enerģiju saistītiem ražojumiem</w:t>
      </w:r>
      <w:r>
        <w:rPr>
          <w:rFonts w:ascii="Times New Roman" w:hAnsi="Times New Roman"/>
        </w:rPr>
        <w:t>.</w:t>
      </w:r>
    </w:p>
  </w:footnote>
  <w:footnote w:id="21">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Eiropas Parlamenta un Padomes direktīva 2012/27/ES par energoefektivitāti, ar ko groza Direktīvas 2009/125/EK un 2010/30/ES un atceļ Direktīvas 2004/8/EK un 2006/32/EK</w:t>
      </w:r>
      <w:r>
        <w:rPr>
          <w:rFonts w:ascii="Times New Roman" w:hAnsi="Times New Roman"/>
        </w:rPr>
        <w:t>.</w:t>
      </w:r>
    </w:p>
  </w:footnote>
  <w:footnote w:id="22">
    <w:p w:rsidR="00547FD4" w:rsidRPr="005A0CB2" w:rsidRDefault="00547FD4" w:rsidP="009334D9">
      <w:pPr>
        <w:pStyle w:val="FootnoteText"/>
      </w:pPr>
      <w:r w:rsidRPr="00E8387D">
        <w:rPr>
          <w:rStyle w:val="FootnoteReference"/>
          <w:sz w:val="20"/>
          <w:szCs w:val="20"/>
        </w:rPr>
        <w:footnoteRef/>
      </w:r>
      <w:r w:rsidRPr="00E8387D">
        <w:rPr>
          <w:rFonts w:ascii="Times New Roman" w:hAnsi="Times New Roman"/>
        </w:rPr>
        <w:t xml:space="preserve"> COM (2014) 520 final</w:t>
      </w:r>
      <w:r>
        <w:rPr>
          <w:rFonts w:ascii="Times New Roman" w:hAnsi="Times New Roman"/>
        </w:rPr>
        <w:t>.</w:t>
      </w:r>
    </w:p>
  </w:footnote>
  <w:footnote w:id="23">
    <w:p w:rsidR="00547FD4" w:rsidRPr="007A53B5" w:rsidRDefault="00547FD4" w:rsidP="009334D9">
      <w:pPr>
        <w:pStyle w:val="FootnoteText"/>
      </w:pPr>
      <w:r w:rsidRPr="007A53B5">
        <w:rPr>
          <w:rStyle w:val="FootnoteReference"/>
          <w:sz w:val="20"/>
          <w:szCs w:val="20"/>
        </w:rPr>
        <w:footnoteRef/>
      </w:r>
      <w:r w:rsidRPr="007A53B5">
        <w:t xml:space="preserve"> </w:t>
      </w:r>
      <w:r w:rsidRPr="00772A34">
        <w:rPr>
          <w:rFonts w:ascii="Times New Roman" w:hAnsi="Times New Roman"/>
          <w:color w:val="000000"/>
        </w:rPr>
        <w:t>Koncepcija par Eiropas Parlamenta un Padomes 2012.gada 25.oktobra Direktīvas 2012/27/ES par energoefektivitāti, ar ko groza Direktīvas 2009/125/EK un 2010/30/ES, un atceļ Direktīvas 2004/8/EK un 2006/32/EK, prasību pārņemšanu normatīvajos aktos</w:t>
      </w:r>
      <w:r w:rsidRPr="009334D9">
        <w:rPr>
          <w:color w:val="000000"/>
        </w:rPr>
        <w:t> (MK 02.12.2013. rīkojums Nr.587)</w:t>
      </w:r>
      <w:r>
        <w:rPr>
          <w:color w:val="000000"/>
        </w:rPr>
        <w:t>.</w:t>
      </w:r>
    </w:p>
  </w:footnote>
  <w:footnote w:id="24">
    <w:p w:rsidR="00547FD4" w:rsidRPr="007A53B5" w:rsidRDefault="00547FD4">
      <w:pPr>
        <w:pStyle w:val="FootnoteText"/>
      </w:pPr>
      <w:r w:rsidRPr="007A53B5">
        <w:rPr>
          <w:rStyle w:val="FootnoteReference"/>
          <w:sz w:val="20"/>
          <w:szCs w:val="20"/>
        </w:rPr>
        <w:footnoteRef/>
      </w:r>
      <w:r w:rsidRPr="007A53B5">
        <w:t xml:space="preserve"> </w:t>
      </w:r>
      <w:r w:rsidRPr="00E8387D">
        <w:rPr>
          <w:rFonts w:ascii="Times New Roman" w:hAnsi="Times New Roman"/>
        </w:rPr>
        <w:t>Centrālā statistikas pārvalde</w:t>
      </w:r>
      <w:r>
        <w:rPr>
          <w:rFonts w:ascii="Times New Roman" w:hAnsi="Times New Roman"/>
        </w:rPr>
        <w:t>.</w:t>
      </w:r>
    </w:p>
  </w:footnote>
  <w:footnote w:id="25">
    <w:p w:rsidR="00547FD4" w:rsidRDefault="00547FD4">
      <w:pPr>
        <w:pStyle w:val="FootnoteText"/>
      </w:pPr>
      <w:r>
        <w:rPr>
          <w:rStyle w:val="FootnoteReference"/>
        </w:rPr>
        <w:footnoteRef/>
      </w:r>
      <w:r>
        <w:t xml:space="preserve"> </w:t>
      </w:r>
      <w:r w:rsidRPr="00B9719A">
        <w:t>Saskaņā ar Enerģētikas likumu derogācija līdz 2017.gadam.</w:t>
      </w:r>
      <w:r>
        <w:t xml:space="preserve">  </w:t>
      </w:r>
    </w:p>
  </w:footnote>
  <w:footnote w:id="26">
    <w:p w:rsidR="00547FD4" w:rsidRPr="00E8387D" w:rsidRDefault="00547FD4" w:rsidP="00F203EC">
      <w:pPr>
        <w:tabs>
          <w:tab w:val="left" w:pos="6663"/>
        </w:tabs>
        <w:jc w:val="both"/>
        <w:rPr>
          <w:rFonts w:cs="Times New Roman"/>
          <w:sz w:val="20"/>
          <w:szCs w:val="20"/>
        </w:rPr>
      </w:pPr>
      <w:r w:rsidRPr="003E0821">
        <w:rPr>
          <w:rStyle w:val="FootnoteReference"/>
          <w:rFonts w:cs="Times New Roman"/>
          <w:sz w:val="20"/>
          <w:szCs w:val="20"/>
        </w:rPr>
        <w:footnoteRef/>
      </w:r>
      <w:r w:rsidRPr="003E0821">
        <w:rPr>
          <w:rFonts w:cs="Times New Roman"/>
          <w:sz w:val="20"/>
          <w:szCs w:val="20"/>
        </w:rPr>
        <w:t xml:space="preserve"> </w:t>
      </w:r>
      <w:r w:rsidRPr="00E8387D">
        <w:rPr>
          <w:rFonts w:cs="Times New Roman"/>
          <w:sz w:val="20"/>
          <w:szCs w:val="20"/>
        </w:rPr>
        <w:t>Ministru kabineta 2013.gada 27.decembra rīkojums Nr.683 „Par Transporta attīstības pamatnostādnēm 2014. – 2020.gadam”</w:t>
      </w:r>
      <w:r>
        <w:rPr>
          <w:rFonts w:cs="Times New Roman"/>
          <w:sz w:val="20"/>
          <w:szCs w:val="20"/>
        </w:rPr>
        <w:t>.</w:t>
      </w:r>
    </w:p>
  </w:footnote>
  <w:footnote w:id="27">
    <w:p w:rsidR="00547FD4" w:rsidRPr="00E8387D" w:rsidRDefault="00547FD4" w:rsidP="009334D9">
      <w:pPr>
        <w:pStyle w:val="FootnoteText"/>
        <w:rPr>
          <w:rFonts w:ascii="Times New Roman" w:hAnsi="Times New Roman"/>
        </w:rPr>
      </w:pPr>
      <w:r w:rsidRPr="00E8387D">
        <w:rPr>
          <w:rStyle w:val="FootnoteReference"/>
          <w:sz w:val="20"/>
          <w:szCs w:val="20"/>
        </w:rPr>
        <w:footnoteRef/>
      </w:r>
      <w:r w:rsidRPr="00E8387D">
        <w:rPr>
          <w:rFonts w:ascii="Times New Roman" w:hAnsi="Times New Roman"/>
        </w:rPr>
        <w:t xml:space="preserve"> Ministru kabineta 2013.gada 27.decembra rīkojums Nr.683 „Par Transporta attīstības pamatnostādnēm 2014. – 2020.gadam”</w:t>
      </w:r>
      <w:r>
        <w:rPr>
          <w:rFonts w:ascii="Times New Roman" w:hAnsi="Times New Roman"/>
        </w:rPr>
        <w:t>.</w:t>
      </w:r>
    </w:p>
  </w:footnote>
  <w:footnote w:id="28">
    <w:p w:rsidR="00547FD4" w:rsidRDefault="00547FD4" w:rsidP="009334D9">
      <w:pPr>
        <w:pStyle w:val="FootnoteText"/>
      </w:pPr>
      <w:r w:rsidRPr="00E8387D">
        <w:rPr>
          <w:rStyle w:val="FootnoteReference"/>
          <w:sz w:val="20"/>
          <w:szCs w:val="20"/>
        </w:rPr>
        <w:footnoteRef/>
      </w:r>
      <w:r w:rsidRPr="00E8387D">
        <w:rPr>
          <w:rFonts w:ascii="Times New Roman" w:hAnsi="Times New Roman"/>
        </w:rPr>
        <w:t xml:space="preserve"> Rīgas pilsētas ilgtspējīgas enerģētikas rīcības plāns viedai pilsētai 2014. – 2020.gadam</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7E9"/>
    <w:multiLevelType w:val="hybridMultilevel"/>
    <w:tmpl w:val="01F80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6B611A2"/>
    <w:multiLevelType w:val="hybridMultilevel"/>
    <w:tmpl w:val="4EDCE64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
    <w:nsid w:val="07092348"/>
    <w:multiLevelType w:val="hybridMultilevel"/>
    <w:tmpl w:val="EC2CF8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7921276"/>
    <w:multiLevelType w:val="hybridMultilevel"/>
    <w:tmpl w:val="EB2CB178"/>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81C3AC1"/>
    <w:multiLevelType w:val="hybridMultilevel"/>
    <w:tmpl w:val="4E684BCA"/>
    <w:lvl w:ilvl="0" w:tplc="B3C042D6">
      <w:start w:val="1"/>
      <w:numFmt w:val="decimal"/>
      <w:lvlText w:val="(%1)"/>
      <w:lvlJc w:val="left"/>
      <w:pPr>
        <w:ind w:left="644" w:hanging="360"/>
      </w:pPr>
      <w:rPr>
        <w:rFonts w:hint="default"/>
      </w:rPr>
    </w:lvl>
    <w:lvl w:ilvl="1" w:tplc="0409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9B186A50">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AF51AA6"/>
    <w:multiLevelType w:val="hybridMultilevel"/>
    <w:tmpl w:val="535EA38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
    <w:nsid w:val="0B667171"/>
    <w:multiLevelType w:val="hybridMultilevel"/>
    <w:tmpl w:val="A768B1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07C0827"/>
    <w:multiLevelType w:val="hybridMultilevel"/>
    <w:tmpl w:val="C24ECD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0F77E96"/>
    <w:multiLevelType w:val="hybridMultilevel"/>
    <w:tmpl w:val="1CA07E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1F50BE2"/>
    <w:multiLevelType w:val="hybridMultilevel"/>
    <w:tmpl w:val="F0DCEAE8"/>
    <w:lvl w:ilvl="0" w:tplc="8C88DB4E">
      <w:start w:val="1"/>
      <w:numFmt w:val="decimal"/>
      <w:lvlText w:val="(%1)"/>
      <w:lvlJc w:val="left"/>
      <w:pPr>
        <w:ind w:left="644"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C2DAA626">
      <w:start w:val="1"/>
      <w:numFmt w:val="decimal"/>
      <w:lvlText w:val="%3)"/>
      <w:lvlJc w:val="left"/>
      <w:pPr>
        <w:ind w:left="3474" w:hanging="1494"/>
      </w:pPr>
      <w:rPr>
        <w:rFonts w:hint="default"/>
      </w:r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22E3240"/>
    <w:multiLevelType w:val="multilevel"/>
    <w:tmpl w:val="14D486A6"/>
    <w:lvl w:ilvl="0">
      <w:start w:val="1"/>
      <w:numFmt w:val="decimal"/>
      <w:lvlText w:val="%1."/>
      <w:lvlJc w:val="left"/>
      <w:pPr>
        <w:ind w:left="644" w:hanging="360"/>
      </w:pPr>
      <w:rPr>
        <w:rFonts w:hint="default"/>
      </w:rPr>
    </w:lvl>
    <w:lvl w:ilvl="1">
      <w:start w:val="1"/>
      <w:numFmt w:val="decimal"/>
      <w:isLgl/>
      <w:lvlText w:val="%1.%2."/>
      <w:lvlJc w:val="left"/>
      <w:pPr>
        <w:ind w:left="1855" w:hanging="720"/>
      </w:pPr>
      <w:rPr>
        <w:rFonts w:hint="default"/>
      </w:rPr>
    </w:lvl>
    <w:lvl w:ilvl="2">
      <w:numFmt w:val="lowerLetter"/>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3804D2C"/>
    <w:multiLevelType w:val="hybridMultilevel"/>
    <w:tmpl w:val="2C9CC4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49C504C"/>
    <w:multiLevelType w:val="hybridMultilevel"/>
    <w:tmpl w:val="8E1AEF1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8966A3C"/>
    <w:multiLevelType w:val="hybridMultilevel"/>
    <w:tmpl w:val="2716F5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ADA5DCB"/>
    <w:multiLevelType w:val="hybridMultilevel"/>
    <w:tmpl w:val="F1E0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70A75"/>
    <w:multiLevelType w:val="multilevel"/>
    <w:tmpl w:val="1424E55E"/>
    <w:lvl w:ilvl="0">
      <w:start w:val="2012"/>
      <w:numFmt w:val="bullet"/>
      <w:lvlText w:val="-"/>
      <w:lvlJc w:val="left"/>
      <w:pPr>
        <w:ind w:left="927" w:hanging="360"/>
      </w:pPr>
      <w:rPr>
        <w:rFonts w:ascii="Tahoma" w:eastAsiaTheme="minorHAnsi" w:hAnsi="Tahoma" w:cs="Tahoma" w:hint="default"/>
        <w:b w:val="0"/>
        <w:i w:val="0"/>
        <w:u w:val="none"/>
      </w:rPr>
    </w:lvl>
    <w:lvl w:ilvl="1">
      <w:start w:val="1"/>
      <w:numFmt w:val="decimal"/>
      <w:isLgl/>
      <w:lvlText w:val="%1.%2."/>
      <w:lvlJc w:val="left"/>
      <w:pPr>
        <w:ind w:left="1800" w:hanging="36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3906" w:hanging="72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012" w:hanging="108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118" w:hanging="1440"/>
      </w:pPr>
      <w:rPr>
        <w:rFonts w:hint="default"/>
      </w:rPr>
    </w:lvl>
    <w:lvl w:ilvl="8">
      <w:start w:val="1"/>
      <w:numFmt w:val="decimal"/>
      <w:isLgl/>
      <w:lvlText w:val="%1.%2.%3.%4.%5.%6.%7.%8.%9."/>
      <w:lvlJc w:val="left"/>
      <w:pPr>
        <w:ind w:left="9351" w:hanging="1800"/>
      </w:pPr>
      <w:rPr>
        <w:rFonts w:hint="default"/>
      </w:rPr>
    </w:lvl>
  </w:abstractNum>
  <w:abstractNum w:abstractNumId="16">
    <w:nsid w:val="1D3D5A8A"/>
    <w:multiLevelType w:val="hybridMultilevel"/>
    <w:tmpl w:val="2EC6A934"/>
    <w:lvl w:ilvl="0" w:tplc="79C04144">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E3334F2"/>
    <w:multiLevelType w:val="hybridMultilevel"/>
    <w:tmpl w:val="CDE2D93C"/>
    <w:lvl w:ilvl="0" w:tplc="8196C724">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FFD58C3"/>
    <w:multiLevelType w:val="hybridMultilevel"/>
    <w:tmpl w:val="4F782BEA"/>
    <w:lvl w:ilvl="0" w:tplc="CBCE4AFA">
      <w:numFmt w:val="bullet"/>
      <w:lvlText w:val="-"/>
      <w:lvlJc w:val="left"/>
      <w:pPr>
        <w:ind w:left="1429" w:hanging="360"/>
      </w:pPr>
      <w:rPr>
        <w:rFonts w:ascii="Times New Roman" w:eastAsiaTheme="minorHAns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9">
    <w:nsid w:val="210D334C"/>
    <w:multiLevelType w:val="hybridMultilevel"/>
    <w:tmpl w:val="A69AFD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1CB0F99"/>
    <w:multiLevelType w:val="hybridMultilevel"/>
    <w:tmpl w:val="01F80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22997599"/>
    <w:multiLevelType w:val="hybridMultilevel"/>
    <w:tmpl w:val="5EF678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24964444"/>
    <w:multiLevelType w:val="hybridMultilevel"/>
    <w:tmpl w:val="FC9C8F36"/>
    <w:lvl w:ilvl="0" w:tplc="44FE5612">
      <w:start w:val="20"/>
      <w:numFmt w:val="bullet"/>
      <w:lvlText w:val="-"/>
      <w:lvlJc w:val="left"/>
      <w:pPr>
        <w:ind w:left="1080" w:hanging="360"/>
      </w:pPr>
      <w:rPr>
        <w:rFonts w:ascii="Times New Roman" w:eastAsiaTheme="minorHAnsi" w:hAnsi="Times New Roman" w:cs="Times New Roman" w:hint="default"/>
      </w:rPr>
    </w:lvl>
    <w:lvl w:ilvl="1" w:tplc="89B2DA20">
      <w:numFmt w:val="bullet"/>
      <w:lvlText w:val="•"/>
      <w:lvlJc w:val="left"/>
      <w:pPr>
        <w:ind w:left="2880" w:hanging="1440"/>
      </w:pPr>
      <w:rPr>
        <w:rFonts w:ascii="Times New Roman" w:eastAsiaTheme="minorHAnsi"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nsid w:val="25394468"/>
    <w:multiLevelType w:val="hybridMultilevel"/>
    <w:tmpl w:val="9FC8364A"/>
    <w:lvl w:ilvl="0" w:tplc="E80C937C">
      <w:start w:val="7"/>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4">
    <w:nsid w:val="29170A86"/>
    <w:multiLevelType w:val="hybridMultilevel"/>
    <w:tmpl w:val="BC8849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2B621C4D"/>
    <w:multiLevelType w:val="hybridMultilevel"/>
    <w:tmpl w:val="F6E42E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2D350F46"/>
    <w:multiLevelType w:val="hybridMultilevel"/>
    <w:tmpl w:val="301891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2D3B5D2E"/>
    <w:multiLevelType w:val="hybridMultilevel"/>
    <w:tmpl w:val="002AC3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315D093C"/>
    <w:multiLevelType w:val="hybridMultilevel"/>
    <w:tmpl w:val="0C64DA0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nsid w:val="31BF2F0C"/>
    <w:multiLevelType w:val="hybridMultilevel"/>
    <w:tmpl w:val="D41A9238"/>
    <w:lvl w:ilvl="0" w:tplc="D7C8BC22">
      <w:start w:val="7"/>
      <w:numFmt w:val="bullet"/>
      <w:lvlText w:val="-"/>
      <w:lvlJc w:val="left"/>
      <w:pPr>
        <w:ind w:left="720" w:hanging="360"/>
      </w:pPr>
      <w:rPr>
        <w:rFonts w:ascii="Times New Roman" w:eastAsia="Times New Roman" w:hAnsi="Times New Roman" w:cs="Times New Roman" w:hint="default"/>
        <w:b/>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34014CA7"/>
    <w:multiLevelType w:val="hybridMultilevel"/>
    <w:tmpl w:val="0B365442"/>
    <w:lvl w:ilvl="0" w:tplc="06368356">
      <w:start w:val="7"/>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nsid w:val="34E33360"/>
    <w:multiLevelType w:val="multilevel"/>
    <w:tmpl w:val="14D486A6"/>
    <w:lvl w:ilvl="0">
      <w:start w:val="1"/>
      <w:numFmt w:val="decimal"/>
      <w:lvlText w:val="%1."/>
      <w:lvlJc w:val="left"/>
      <w:pPr>
        <w:ind w:left="644" w:hanging="360"/>
      </w:pPr>
      <w:rPr>
        <w:rFonts w:hint="default"/>
      </w:rPr>
    </w:lvl>
    <w:lvl w:ilvl="1">
      <w:start w:val="1"/>
      <w:numFmt w:val="decimal"/>
      <w:isLgl/>
      <w:lvlText w:val="%1.%2."/>
      <w:lvlJc w:val="left"/>
      <w:pPr>
        <w:ind w:left="1713" w:hanging="720"/>
      </w:pPr>
      <w:rPr>
        <w:rFonts w:hint="default"/>
      </w:rPr>
    </w:lvl>
    <w:lvl w:ilvl="2">
      <w:numFmt w:val="lowerLetter"/>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35C61D1C"/>
    <w:multiLevelType w:val="hybridMultilevel"/>
    <w:tmpl w:val="158CE59C"/>
    <w:lvl w:ilvl="0" w:tplc="3CBEBC6E">
      <w:start w:val="1"/>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3">
    <w:nsid w:val="370D3C58"/>
    <w:multiLevelType w:val="hybridMultilevel"/>
    <w:tmpl w:val="D26AB160"/>
    <w:lvl w:ilvl="0" w:tplc="F9DC063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39A65829"/>
    <w:multiLevelType w:val="hybridMultilevel"/>
    <w:tmpl w:val="A4EA2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A075E1A"/>
    <w:multiLevelType w:val="hybridMultilevel"/>
    <w:tmpl w:val="B532EC20"/>
    <w:lvl w:ilvl="0" w:tplc="53F435B4">
      <w:start w:val="1"/>
      <w:numFmt w:val="decimal"/>
      <w:lvlText w:val="%1."/>
      <w:lvlJc w:val="left"/>
      <w:pPr>
        <w:ind w:left="1465" w:hanging="360"/>
      </w:pPr>
      <w:rPr>
        <w:rFonts w:hint="default"/>
      </w:rPr>
    </w:lvl>
    <w:lvl w:ilvl="1" w:tplc="04260019" w:tentative="1">
      <w:start w:val="1"/>
      <w:numFmt w:val="lowerLetter"/>
      <w:lvlText w:val="%2."/>
      <w:lvlJc w:val="left"/>
      <w:pPr>
        <w:ind w:left="2185" w:hanging="360"/>
      </w:pPr>
    </w:lvl>
    <w:lvl w:ilvl="2" w:tplc="0426001B" w:tentative="1">
      <w:start w:val="1"/>
      <w:numFmt w:val="lowerRoman"/>
      <w:lvlText w:val="%3."/>
      <w:lvlJc w:val="right"/>
      <w:pPr>
        <w:ind w:left="2905" w:hanging="180"/>
      </w:pPr>
    </w:lvl>
    <w:lvl w:ilvl="3" w:tplc="0426000F" w:tentative="1">
      <w:start w:val="1"/>
      <w:numFmt w:val="decimal"/>
      <w:lvlText w:val="%4."/>
      <w:lvlJc w:val="left"/>
      <w:pPr>
        <w:ind w:left="3625" w:hanging="360"/>
      </w:pPr>
    </w:lvl>
    <w:lvl w:ilvl="4" w:tplc="04260019" w:tentative="1">
      <w:start w:val="1"/>
      <w:numFmt w:val="lowerLetter"/>
      <w:lvlText w:val="%5."/>
      <w:lvlJc w:val="left"/>
      <w:pPr>
        <w:ind w:left="4345" w:hanging="360"/>
      </w:pPr>
    </w:lvl>
    <w:lvl w:ilvl="5" w:tplc="0426001B" w:tentative="1">
      <w:start w:val="1"/>
      <w:numFmt w:val="lowerRoman"/>
      <w:lvlText w:val="%6."/>
      <w:lvlJc w:val="right"/>
      <w:pPr>
        <w:ind w:left="5065" w:hanging="180"/>
      </w:pPr>
    </w:lvl>
    <w:lvl w:ilvl="6" w:tplc="0426000F" w:tentative="1">
      <w:start w:val="1"/>
      <w:numFmt w:val="decimal"/>
      <w:lvlText w:val="%7."/>
      <w:lvlJc w:val="left"/>
      <w:pPr>
        <w:ind w:left="5785" w:hanging="360"/>
      </w:pPr>
    </w:lvl>
    <w:lvl w:ilvl="7" w:tplc="04260019" w:tentative="1">
      <w:start w:val="1"/>
      <w:numFmt w:val="lowerLetter"/>
      <w:lvlText w:val="%8."/>
      <w:lvlJc w:val="left"/>
      <w:pPr>
        <w:ind w:left="6505" w:hanging="360"/>
      </w:pPr>
    </w:lvl>
    <w:lvl w:ilvl="8" w:tplc="0426001B" w:tentative="1">
      <w:start w:val="1"/>
      <w:numFmt w:val="lowerRoman"/>
      <w:lvlText w:val="%9."/>
      <w:lvlJc w:val="right"/>
      <w:pPr>
        <w:ind w:left="7225" w:hanging="180"/>
      </w:pPr>
    </w:lvl>
  </w:abstractNum>
  <w:abstractNum w:abstractNumId="36">
    <w:nsid w:val="3B376FEB"/>
    <w:multiLevelType w:val="hybridMultilevel"/>
    <w:tmpl w:val="8F88E7AA"/>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3B8E777B"/>
    <w:multiLevelType w:val="hybridMultilevel"/>
    <w:tmpl w:val="00A2A28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3E093043"/>
    <w:multiLevelType w:val="hybridMultilevel"/>
    <w:tmpl w:val="7C2624D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42836B9E"/>
    <w:multiLevelType w:val="hybridMultilevel"/>
    <w:tmpl w:val="DE866F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nsid w:val="43CD59D2"/>
    <w:multiLevelType w:val="hybridMultilevel"/>
    <w:tmpl w:val="24CAD2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5DB34C1"/>
    <w:multiLevelType w:val="hybridMultilevel"/>
    <w:tmpl w:val="AA4CA0E0"/>
    <w:lvl w:ilvl="0" w:tplc="FFFFFFFF">
      <w:start w:val="1"/>
      <w:numFmt w:val="bullet"/>
      <w:pStyle w:val="ListBullet2"/>
      <w:lvlText w:val=""/>
      <w:lvlJc w:val="left"/>
      <w:pPr>
        <w:tabs>
          <w:tab w:val="num" w:pos="1816"/>
        </w:tabs>
        <w:ind w:left="1816" w:hanging="556"/>
      </w:pPr>
      <w:rPr>
        <w:rFonts w:ascii="Symbol" w:hAnsi="Symbol" w:hint="default"/>
        <w:sz w:val="16"/>
        <w:szCs w:val="16"/>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2">
    <w:nsid w:val="45E34BB8"/>
    <w:multiLevelType w:val="hybridMultilevel"/>
    <w:tmpl w:val="10F6F026"/>
    <w:lvl w:ilvl="0" w:tplc="3CBEBC6E">
      <w:start w:val="1"/>
      <w:numFmt w:val="bullet"/>
      <w:lvlText w:val="-"/>
      <w:lvlJc w:val="left"/>
      <w:pPr>
        <w:ind w:left="1069" w:hanging="360"/>
      </w:pPr>
      <w:rPr>
        <w:rFonts w:ascii="Times New Roman" w:eastAsia="Times New Roman" w:hAnsi="Times New Roman" w:cs="Times New Roman" w:hint="default"/>
      </w:rPr>
    </w:lvl>
    <w:lvl w:ilvl="1" w:tplc="BBDA489C">
      <w:start w:val="1"/>
      <w:numFmt w:val="bullet"/>
      <w:lvlText w:val="-"/>
      <w:lvlJc w:val="left"/>
      <w:pPr>
        <w:ind w:left="1789" w:hanging="360"/>
      </w:pPr>
      <w:rPr>
        <w:rFonts w:ascii="Courier New" w:hAnsi="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3">
    <w:nsid w:val="46987C85"/>
    <w:multiLevelType w:val="multilevel"/>
    <w:tmpl w:val="63202066"/>
    <w:lvl w:ilvl="0">
      <w:start w:val="1"/>
      <w:numFmt w:val="decimal"/>
      <w:lvlText w:val="%1."/>
      <w:lvlJc w:val="left"/>
      <w:pPr>
        <w:ind w:left="786" w:hanging="360"/>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372" w:hanging="1080"/>
      </w:pPr>
      <w:rPr>
        <w:rFonts w:hint="default"/>
      </w:rPr>
    </w:lvl>
    <w:lvl w:ilvl="4">
      <w:start w:val="1"/>
      <w:numFmt w:val="decimal"/>
      <w:isLgl/>
      <w:lvlText w:val="%1.%2.%3.%4.%5."/>
      <w:lvlJc w:val="left"/>
      <w:pPr>
        <w:ind w:left="4016" w:hanging="1080"/>
      </w:pPr>
      <w:rPr>
        <w:rFonts w:hint="default"/>
      </w:rPr>
    </w:lvl>
    <w:lvl w:ilvl="5">
      <w:start w:val="1"/>
      <w:numFmt w:val="decimal"/>
      <w:isLgl/>
      <w:lvlText w:val="%1.%2.%3.%4.%5.%6."/>
      <w:lvlJc w:val="left"/>
      <w:pPr>
        <w:ind w:left="5020" w:hanging="1440"/>
      </w:pPr>
      <w:rPr>
        <w:rFonts w:hint="default"/>
      </w:rPr>
    </w:lvl>
    <w:lvl w:ilvl="6">
      <w:start w:val="1"/>
      <w:numFmt w:val="decimal"/>
      <w:isLgl/>
      <w:lvlText w:val="%1.%2.%3.%4.%5.%6.%7."/>
      <w:lvlJc w:val="left"/>
      <w:pPr>
        <w:ind w:left="6024" w:hanging="1800"/>
      </w:pPr>
      <w:rPr>
        <w:rFonts w:hint="default"/>
      </w:rPr>
    </w:lvl>
    <w:lvl w:ilvl="7">
      <w:start w:val="1"/>
      <w:numFmt w:val="decimal"/>
      <w:isLgl/>
      <w:lvlText w:val="%1.%2.%3.%4.%5.%6.%7.%8."/>
      <w:lvlJc w:val="left"/>
      <w:pPr>
        <w:ind w:left="6668" w:hanging="1800"/>
      </w:pPr>
      <w:rPr>
        <w:rFonts w:hint="default"/>
      </w:rPr>
    </w:lvl>
    <w:lvl w:ilvl="8">
      <w:start w:val="1"/>
      <w:numFmt w:val="decimal"/>
      <w:isLgl/>
      <w:lvlText w:val="%1.%2.%3.%4.%5.%6.%7.%8.%9."/>
      <w:lvlJc w:val="left"/>
      <w:pPr>
        <w:ind w:left="7672" w:hanging="2160"/>
      </w:pPr>
      <w:rPr>
        <w:rFonts w:hint="default"/>
      </w:rPr>
    </w:lvl>
  </w:abstractNum>
  <w:abstractNum w:abstractNumId="44">
    <w:nsid w:val="48C866B5"/>
    <w:multiLevelType w:val="hybridMultilevel"/>
    <w:tmpl w:val="147A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620B97"/>
    <w:multiLevelType w:val="multilevel"/>
    <w:tmpl w:val="97FAEE24"/>
    <w:lvl w:ilvl="0">
      <w:start w:val="6"/>
      <w:numFmt w:val="decimal"/>
      <w:lvlText w:val="%1."/>
      <w:lvlJc w:val="left"/>
      <w:pPr>
        <w:ind w:left="419" w:hanging="419"/>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54510070"/>
    <w:multiLevelType w:val="hybridMultilevel"/>
    <w:tmpl w:val="D820000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560F4197"/>
    <w:multiLevelType w:val="hybridMultilevel"/>
    <w:tmpl w:val="DD025886"/>
    <w:lvl w:ilvl="0" w:tplc="04090011">
      <w:start w:val="1"/>
      <w:numFmt w:val="decimal"/>
      <w:lvlText w:val="%1)"/>
      <w:lvlJc w:val="left"/>
      <w:pPr>
        <w:ind w:left="36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56234C46"/>
    <w:multiLevelType w:val="hybridMultilevel"/>
    <w:tmpl w:val="7B8E6CA4"/>
    <w:lvl w:ilvl="0" w:tplc="79C04144">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566C440F"/>
    <w:multiLevelType w:val="hybridMultilevel"/>
    <w:tmpl w:val="7E3669B0"/>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0">
    <w:nsid w:val="5742448F"/>
    <w:multiLevelType w:val="hybridMultilevel"/>
    <w:tmpl w:val="DE20225A"/>
    <w:lvl w:ilvl="0" w:tplc="BBDA489C">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nsid w:val="5B2F593E"/>
    <w:multiLevelType w:val="hybridMultilevel"/>
    <w:tmpl w:val="DD466C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5C864B01"/>
    <w:multiLevelType w:val="hybridMultilevel"/>
    <w:tmpl w:val="4A4462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5E3152B5"/>
    <w:multiLevelType w:val="hybridMultilevel"/>
    <w:tmpl w:val="CF3E16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60087053"/>
    <w:multiLevelType w:val="hybridMultilevel"/>
    <w:tmpl w:val="DB8E6A2E"/>
    <w:lvl w:ilvl="0" w:tplc="04260011">
      <w:start w:val="1"/>
      <w:numFmt w:val="decimal"/>
      <w:lvlText w:val="%1)"/>
      <w:lvlJc w:val="left"/>
      <w:pPr>
        <w:ind w:left="1429" w:hanging="360"/>
      </w:pPr>
    </w:lvl>
    <w:lvl w:ilvl="1" w:tplc="04260019">
      <w:start w:val="1"/>
      <w:numFmt w:val="lowerLetter"/>
      <w:lvlText w:val="%2."/>
      <w:lvlJc w:val="left"/>
      <w:pPr>
        <w:ind w:left="2149" w:hanging="360"/>
      </w:p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55">
    <w:nsid w:val="61B242DD"/>
    <w:multiLevelType w:val="hybridMultilevel"/>
    <w:tmpl w:val="0458E90C"/>
    <w:lvl w:ilvl="0" w:tplc="04B4B142">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nsid w:val="623C70D8"/>
    <w:multiLevelType w:val="hybridMultilevel"/>
    <w:tmpl w:val="26807FDA"/>
    <w:lvl w:ilvl="0" w:tplc="04260005">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pStyle w:val="ListBullet"/>
      <w:lvlText w:val=""/>
      <w:lvlJc w:val="left"/>
      <w:pPr>
        <w:tabs>
          <w:tab w:val="num" w:pos="2880"/>
        </w:tabs>
        <w:ind w:left="2880" w:hanging="360"/>
      </w:pPr>
      <w:rPr>
        <w:rFonts w:ascii="Symbol" w:hAnsi="Symbol" w:hint="default"/>
      </w:rPr>
    </w:lvl>
    <w:lvl w:ilvl="4" w:tplc="04090019">
      <w:start w:val="1"/>
      <w:numFmt w:val="bullet"/>
      <w:lvlText w:val=""/>
      <w:lvlJc w:val="left"/>
      <w:pPr>
        <w:tabs>
          <w:tab w:val="num" w:pos="3600"/>
        </w:tabs>
        <w:ind w:left="3600" w:hanging="360"/>
      </w:pPr>
      <w:rPr>
        <w:rFonts w:ascii="Symbol" w:hAnsi="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nsid w:val="6E79612C"/>
    <w:multiLevelType w:val="hybridMultilevel"/>
    <w:tmpl w:val="1F06B1E4"/>
    <w:lvl w:ilvl="0" w:tplc="445AAD04">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8">
    <w:nsid w:val="70472C83"/>
    <w:multiLevelType w:val="hybridMultilevel"/>
    <w:tmpl w:val="442011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nsid w:val="711F7A32"/>
    <w:multiLevelType w:val="hybridMultilevel"/>
    <w:tmpl w:val="5044C8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741755E6"/>
    <w:multiLevelType w:val="hybridMultilevel"/>
    <w:tmpl w:val="0C0EF576"/>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61">
    <w:nsid w:val="7C064AD9"/>
    <w:multiLevelType w:val="hybridMultilevel"/>
    <w:tmpl w:val="44303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7DD4151F"/>
    <w:multiLevelType w:val="multilevel"/>
    <w:tmpl w:val="C60428B4"/>
    <w:lvl w:ilvl="0">
      <w:start w:val="1"/>
      <w:numFmt w:val="decimal"/>
      <w:lvlText w:val="%1."/>
      <w:lvlJc w:val="left"/>
      <w:pPr>
        <w:ind w:left="720" w:hanging="360"/>
      </w:pPr>
    </w:lvl>
    <w:lvl w:ilvl="1">
      <w:start w:val="6"/>
      <w:numFmt w:val="decimal"/>
      <w:isLgl/>
      <w:lvlText w:val="%1.%2."/>
      <w:lvlJc w:val="left"/>
      <w:pPr>
        <w:ind w:left="2150" w:hanging="720"/>
      </w:pPr>
      <w:rPr>
        <w:rFonts w:hint="default"/>
      </w:rPr>
    </w:lvl>
    <w:lvl w:ilvl="2">
      <w:start w:val="1"/>
      <w:numFmt w:val="decimal"/>
      <w:isLgl/>
      <w:lvlText w:val="%1.%2.%3."/>
      <w:lvlJc w:val="left"/>
      <w:pPr>
        <w:ind w:left="3220" w:hanging="720"/>
      </w:pPr>
      <w:rPr>
        <w:rFonts w:hint="default"/>
      </w:rPr>
    </w:lvl>
    <w:lvl w:ilvl="3">
      <w:start w:val="1"/>
      <w:numFmt w:val="decimal"/>
      <w:isLgl/>
      <w:lvlText w:val="%1.%2.%3.%4."/>
      <w:lvlJc w:val="left"/>
      <w:pPr>
        <w:ind w:left="4650" w:hanging="1080"/>
      </w:pPr>
      <w:rPr>
        <w:rFonts w:hint="default"/>
      </w:rPr>
    </w:lvl>
    <w:lvl w:ilvl="4">
      <w:start w:val="1"/>
      <w:numFmt w:val="decimal"/>
      <w:isLgl/>
      <w:lvlText w:val="%1.%2.%3.%4.%5."/>
      <w:lvlJc w:val="left"/>
      <w:pPr>
        <w:ind w:left="5720"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580" w:hanging="1800"/>
      </w:pPr>
      <w:rPr>
        <w:rFonts w:hint="default"/>
      </w:rPr>
    </w:lvl>
    <w:lvl w:ilvl="7">
      <w:start w:val="1"/>
      <w:numFmt w:val="decimal"/>
      <w:isLgl/>
      <w:lvlText w:val="%1.%2.%3.%4.%5.%6.%7.%8."/>
      <w:lvlJc w:val="left"/>
      <w:pPr>
        <w:ind w:left="9650" w:hanging="1800"/>
      </w:pPr>
      <w:rPr>
        <w:rFonts w:hint="default"/>
      </w:rPr>
    </w:lvl>
    <w:lvl w:ilvl="8">
      <w:start w:val="1"/>
      <w:numFmt w:val="decimal"/>
      <w:isLgl/>
      <w:lvlText w:val="%1.%2.%3.%4.%5.%6.%7.%8.%9."/>
      <w:lvlJc w:val="left"/>
      <w:pPr>
        <w:ind w:left="11080" w:hanging="2160"/>
      </w:pPr>
      <w:rPr>
        <w:rFonts w:hint="default"/>
      </w:rPr>
    </w:lvl>
  </w:abstractNum>
  <w:num w:numId="1">
    <w:abstractNumId w:val="18"/>
  </w:num>
  <w:num w:numId="2">
    <w:abstractNumId w:val="10"/>
  </w:num>
  <w:num w:numId="3">
    <w:abstractNumId w:val="56"/>
  </w:num>
  <w:num w:numId="4">
    <w:abstractNumId w:val="41"/>
  </w:num>
  <w:num w:numId="5">
    <w:abstractNumId w:val="22"/>
  </w:num>
  <w:num w:numId="6">
    <w:abstractNumId w:val="19"/>
  </w:num>
  <w:num w:numId="7">
    <w:abstractNumId w:val="3"/>
  </w:num>
  <w:num w:numId="8">
    <w:abstractNumId w:val="32"/>
  </w:num>
  <w:num w:numId="9">
    <w:abstractNumId w:val="43"/>
  </w:num>
  <w:num w:numId="10">
    <w:abstractNumId w:val="48"/>
  </w:num>
  <w:num w:numId="11">
    <w:abstractNumId w:val="20"/>
  </w:num>
  <w:num w:numId="12">
    <w:abstractNumId w:val="11"/>
  </w:num>
  <w:num w:numId="13">
    <w:abstractNumId w:val="7"/>
  </w:num>
  <w:num w:numId="14">
    <w:abstractNumId w:val="6"/>
  </w:num>
  <w:num w:numId="15">
    <w:abstractNumId w:val="24"/>
  </w:num>
  <w:num w:numId="16">
    <w:abstractNumId w:val="55"/>
  </w:num>
  <w:num w:numId="17">
    <w:abstractNumId w:val="2"/>
  </w:num>
  <w:num w:numId="18">
    <w:abstractNumId w:val="38"/>
  </w:num>
  <w:num w:numId="19">
    <w:abstractNumId w:val="0"/>
  </w:num>
  <w:num w:numId="20">
    <w:abstractNumId w:val="29"/>
  </w:num>
  <w:num w:numId="21">
    <w:abstractNumId w:val="57"/>
  </w:num>
  <w:num w:numId="22">
    <w:abstractNumId w:val="39"/>
  </w:num>
  <w:num w:numId="23">
    <w:abstractNumId w:val="45"/>
  </w:num>
  <w:num w:numId="24">
    <w:abstractNumId w:val="35"/>
  </w:num>
  <w:num w:numId="25">
    <w:abstractNumId w:val="24"/>
  </w:num>
  <w:num w:numId="26">
    <w:abstractNumId w:val="3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num>
  <w:num w:numId="29">
    <w:abstractNumId w:val="51"/>
  </w:num>
  <w:num w:numId="30">
    <w:abstractNumId w:val="1"/>
  </w:num>
  <w:num w:numId="31">
    <w:abstractNumId w:val="44"/>
  </w:num>
  <w:num w:numId="32">
    <w:abstractNumId w:val="4"/>
  </w:num>
  <w:num w:numId="33">
    <w:abstractNumId w:val="34"/>
  </w:num>
  <w:num w:numId="34">
    <w:abstractNumId w:val="14"/>
  </w:num>
  <w:num w:numId="35">
    <w:abstractNumId w:val="33"/>
  </w:num>
  <w:num w:numId="36">
    <w:abstractNumId w:val="58"/>
  </w:num>
  <w:num w:numId="37">
    <w:abstractNumId w:val="42"/>
  </w:num>
  <w:num w:numId="38">
    <w:abstractNumId w:val="50"/>
  </w:num>
  <w:num w:numId="39">
    <w:abstractNumId w:val="49"/>
  </w:num>
  <w:num w:numId="40">
    <w:abstractNumId w:val="9"/>
  </w:num>
  <w:num w:numId="41">
    <w:abstractNumId w:val="17"/>
  </w:num>
  <w:num w:numId="42">
    <w:abstractNumId w:val="47"/>
  </w:num>
  <w:num w:numId="43">
    <w:abstractNumId w:val="30"/>
  </w:num>
  <w:num w:numId="44">
    <w:abstractNumId w:val="5"/>
  </w:num>
  <w:num w:numId="45">
    <w:abstractNumId w:val="52"/>
  </w:num>
  <w:num w:numId="46">
    <w:abstractNumId w:val="26"/>
  </w:num>
  <w:num w:numId="47">
    <w:abstractNumId w:val="23"/>
  </w:num>
  <w:num w:numId="48">
    <w:abstractNumId w:val="12"/>
  </w:num>
  <w:num w:numId="49">
    <w:abstractNumId w:val="60"/>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13"/>
  </w:num>
  <w:num w:numId="53">
    <w:abstractNumId w:val="59"/>
  </w:num>
  <w:num w:numId="54">
    <w:abstractNumId w:val="27"/>
  </w:num>
  <w:num w:numId="55">
    <w:abstractNumId w:val="37"/>
  </w:num>
  <w:num w:numId="56">
    <w:abstractNumId w:val="25"/>
  </w:num>
  <w:num w:numId="57">
    <w:abstractNumId w:val="8"/>
  </w:num>
  <w:num w:numId="58">
    <w:abstractNumId w:val="46"/>
  </w:num>
  <w:num w:numId="59">
    <w:abstractNumId w:val="21"/>
  </w:num>
  <w:num w:numId="60">
    <w:abstractNumId w:val="28"/>
  </w:num>
  <w:num w:numId="61">
    <w:abstractNumId w:val="40"/>
  </w:num>
  <w:num w:numId="62">
    <w:abstractNumId w:val="31"/>
  </w:num>
  <w:num w:numId="63">
    <w:abstractNumId w:val="15"/>
  </w:num>
  <w:num w:numId="64">
    <w:abstractNumId w:val="16"/>
  </w:num>
  <w:num w:numId="65">
    <w:abstractNumId w:val="6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hideSpellingErrors/>
  <w:hideGrammaticalErrors/>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EC"/>
    <w:rsid w:val="00001323"/>
    <w:rsid w:val="00002272"/>
    <w:rsid w:val="00002669"/>
    <w:rsid w:val="00003332"/>
    <w:rsid w:val="000044EE"/>
    <w:rsid w:val="00005CC0"/>
    <w:rsid w:val="000066ED"/>
    <w:rsid w:val="00007705"/>
    <w:rsid w:val="00011460"/>
    <w:rsid w:val="0001253D"/>
    <w:rsid w:val="00013943"/>
    <w:rsid w:val="00017EFA"/>
    <w:rsid w:val="000227D4"/>
    <w:rsid w:val="00022B40"/>
    <w:rsid w:val="000236B3"/>
    <w:rsid w:val="00023932"/>
    <w:rsid w:val="000244B7"/>
    <w:rsid w:val="00027017"/>
    <w:rsid w:val="000310C9"/>
    <w:rsid w:val="00033131"/>
    <w:rsid w:val="000336C5"/>
    <w:rsid w:val="000336EC"/>
    <w:rsid w:val="00034359"/>
    <w:rsid w:val="000352D2"/>
    <w:rsid w:val="000370E2"/>
    <w:rsid w:val="000420FA"/>
    <w:rsid w:val="000442C1"/>
    <w:rsid w:val="00045B32"/>
    <w:rsid w:val="0004655E"/>
    <w:rsid w:val="000517C1"/>
    <w:rsid w:val="00054AA1"/>
    <w:rsid w:val="00061973"/>
    <w:rsid w:val="0006216F"/>
    <w:rsid w:val="00063D8C"/>
    <w:rsid w:val="00065300"/>
    <w:rsid w:val="000725D8"/>
    <w:rsid w:val="00072843"/>
    <w:rsid w:val="00073CDD"/>
    <w:rsid w:val="000746EE"/>
    <w:rsid w:val="00075643"/>
    <w:rsid w:val="000760A9"/>
    <w:rsid w:val="000762D1"/>
    <w:rsid w:val="000770B8"/>
    <w:rsid w:val="00077A55"/>
    <w:rsid w:val="000831BB"/>
    <w:rsid w:val="000833C4"/>
    <w:rsid w:val="00084CCB"/>
    <w:rsid w:val="00084EB5"/>
    <w:rsid w:val="000855B5"/>
    <w:rsid w:val="00085919"/>
    <w:rsid w:val="00086799"/>
    <w:rsid w:val="00087837"/>
    <w:rsid w:val="0009094A"/>
    <w:rsid w:val="00093803"/>
    <w:rsid w:val="00093FCD"/>
    <w:rsid w:val="000971E8"/>
    <w:rsid w:val="000A080D"/>
    <w:rsid w:val="000A0F27"/>
    <w:rsid w:val="000A1367"/>
    <w:rsid w:val="000A1381"/>
    <w:rsid w:val="000A44AA"/>
    <w:rsid w:val="000A7117"/>
    <w:rsid w:val="000A7170"/>
    <w:rsid w:val="000B3844"/>
    <w:rsid w:val="000B4C87"/>
    <w:rsid w:val="000B52B8"/>
    <w:rsid w:val="000B552A"/>
    <w:rsid w:val="000B60BB"/>
    <w:rsid w:val="000C2DAF"/>
    <w:rsid w:val="000C3504"/>
    <w:rsid w:val="000C5051"/>
    <w:rsid w:val="000D146E"/>
    <w:rsid w:val="000D1653"/>
    <w:rsid w:val="000D1B7D"/>
    <w:rsid w:val="000D52F5"/>
    <w:rsid w:val="000D755E"/>
    <w:rsid w:val="000E0F03"/>
    <w:rsid w:val="000E1B03"/>
    <w:rsid w:val="000E454C"/>
    <w:rsid w:val="000E75CE"/>
    <w:rsid w:val="000F1448"/>
    <w:rsid w:val="000F306F"/>
    <w:rsid w:val="000F4DC1"/>
    <w:rsid w:val="000F57C0"/>
    <w:rsid w:val="00100410"/>
    <w:rsid w:val="00101E99"/>
    <w:rsid w:val="00103623"/>
    <w:rsid w:val="0010381B"/>
    <w:rsid w:val="001045CF"/>
    <w:rsid w:val="00107083"/>
    <w:rsid w:val="0011097D"/>
    <w:rsid w:val="001124C4"/>
    <w:rsid w:val="00112607"/>
    <w:rsid w:val="00112818"/>
    <w:rsid w:val="00113C59"/>
    <w:rsid w:val="0011607E"/>
    <w:rsid w:val="001162AC"/>
    <w:rsid w:val="00116504"/>
    <w:rsid w:val="00116956"/>
    <w:rsid w:val="00116A8D"/>
    <w:rsid w:val="00120B49"/>
    <w:rsid w:val="00123F3D"/>
    <w:rsid w:val="00131526"/>
    <w:rsid w:val="001317AA"/>
    <w:rsid w:val="00132D18"/>
    <w:rsid w:val="00133E9A"/>
    <w:rsid w:val="00140F4A"/>
    <w:rsid w:val="001429B9"/>
    <w:rsid w:val="00145DFF"/>
    <w:rsid w:val="00147876"/>
    <w:rsid w:val="00147F7D"/>
    <w:rsid w:val="00152F84"/>
    <w:rsid w:val="001561BA"/>
    <w:rsid w:val="00157239"/>
    <w:rsid w:val="00157832"/>
    <w:rsid w:val="00157D56"/>
    <w:rsid w:val="00160A68"/>
    <w:rsid w:val="00162D4E"/>
    <w:rsid w:val="00164F39"/>
    <w:rsid w:val="00167115"/>
    <w:rsid w:val="00173E78"/>
    <w:rsid w:val="001756BA"/>
    <w:rsid w:val="0017624A"/>
    <w:rsid w:val="001777DB"/>
    <w:rsid w:val="0018235E"/>
    <w:rsid w:val="00183517"/>
    <w:rsid w:val="00185C22"/>
    <w:rsid w:val="00190498"/>
    <w:rsid w:val="00194EBC"/>
    <w:rsid w:val="00196021"/>
    <w:rsid w:val="0019696F"/>
    <w:rsid w:val="001A2251"/>
    <w:rsid w:val="001A4C2A"/>
    <w:rsid w:val="001A584C"/>
    <w:rsid w:val="001A585D"/>
    <w:rsid w:val="001B09DD"/>
    <w:rsid w:val="001B1CAC"/>
    <w:rsid w:val="001B48DC"/>
    <w:rsid w:val="001B4901"/>
    <w:rsid w:val="001B7CC4"/>
    <w:rsid w:val="001C03A7"/>
    <w:rsid w:val="001C44D5"/>
    <w:rsid w:val="001D11F8"/>
    <w:rsid w:val="001D1BFD"/>
    <w:rsid w:val="001D323C"/>
    <w:rsid w:val="001D5BEB"/>
    <w:rsid w:val="001D634D"/>
    <w:rsid w:val="001D7450"/>
    <w:rsid w:val="001E0383"/>
    <w:rsid w:val="001E38E1"/>
    <w:rsid w:val="001E5177"/>
    <w:rsid w:val="001E5A96"/>
    <w:rsid w:val="001E691C"/>
    <w:rsid w:val="001F0DE9"/>
    <w:rsid w:val="001F4865"/>
    <w:rsid w:val="001F4933"/>
    <w:rsid w:val="001F5FD7"/>
    <w:rsid w:val="001F62A4"/>
    <w:rsid w:val="0020034A"/>
    <w:rsid w:val="00200571"/>
    <w:rsid w:val="00201582"/>
    <w:rsid w:val="00201848"/>
    <w:rsid w:val="00203480"/>
    <w:rsid w:val="0020465B"/>
    <w:rsid w:val="002063CC"/>
    <w:rsid w:val="00210AD9"/>
    <w:rsid w:val="00212A6B"/>
    <w:rsid w:val="00212F6A"/>
    <w:rsid w:val="00213E1C"/>
    <w:rsid w:val="00216530"/>
    <w:rsid w:val="002200C9"/>
    <w:rsid w:val="00223862"/>
    <w:rsid w:val="002300F9"/>
    <w:rsid w:val="0023043A"/>
    <w:rsid w:val="002306F1"/>
    <w:rsid w:val="002325A4"/>
    <w:rsid w:val="002346AE"/>
    <w:rsid w:val="002350B7"/>
    <w:rsid w:val="0024240E"/>
    <w:rsid w:val="00251313"/>
    <w:rsid w:val="00252669"/>
    <w:rsid w:val="0025368A"/>
    <w:rsid w:val="002561AB"/>
    <w:rsid w:val="00257882"/>
    <w:rsid w:val="00261B87"/>
    <w:rsid w:val="0026306E"/>
    <w:rsid w:val="002641FD"/>
    <w:rsid w:val="00264F33"/>
    <w:rsid w:val="002668D4"/>
    <w:rsid w:val="0026776A"/>
    <w:rsid w:val="00267CD6"/>
    <w:rsid w:val="0027005F"/>
    <w:rsid w:val="00270486"/>
    <w:rsid w:val="00271E23"/>
    <w:rsid w:val="00276D72"/>
    <w:rsid w:val="002770D8"/>
    <w:rsid w:val="002823CA"/>
    <w:rsid w:val="00282634"/>
    <w:rsid w:val="00282B84"/>
    <w:rsid w:val="00283AC2"/>
    <w:rsid w:val="00283F25"/>
    <w:rsid w:val="00286A9A"/>
    <w:rsid w:val="00287D70"/>
    <w:rsid w:val="00291556"/>
    <w:rsid w:val="002962FD"/>
    <w:rsid w:val="00296FFB"/>
    <w:rsid w:val="002A01C7"/>
    <w:rsid w:val="002A0C86"/>
    <w:rsid w:val="002A2E4C"/>
    <w:rsid w:val="002A45EB"/>
    <w:rsid w:val="002A4772"/>
    <w:rsid w:val="002A5A7A"/>
    <w:rsid w:val="002A7795"/>
    <w:rsid w:val="002B1663"/>
    <w:rsid w:val="002B1C5A"/>
    <w:rsid w:val="002B3804"/>
    <w:rsid w:val="002B3F5B"/>
    <w:rsid w:val="002B6C80"/>
    <w:rsid w:val="002B7DFE"/>
    <w:rsid w:val="002C066D"/>
    <w:rsid w:val="002C159D"/>
    <w:rsid w:val="002C36C8"/>
    <w:rsid w:val="002C7420"/>
    <w:rsid w:val="002D0043"/>
    <w:rsid w:val="002D08AE"/>
    <w:rsid w:val="002D11E0"/>
    <w:rsid w:val="002D2C8A"/>
    <w:rsid w:val="002E049B"/>
    <w:rsid w:val="002E0D3C"/>
    <w:rsid w:val="002E364E"/>
    <w:rsid w:val="002E3EA1"/>
    <w:rsid w:val="002E55DB"/>
    <w:rsid w:val="002E56F1"/>
    <w:rsid w:val="002E6DCD"/>
    <w:rsid w:val="002E74BB"/>
    <w:rsid w:val="002F3513"/>
    <w:rsid w:val="002F6800"/>
    <w:rsid w:val="00301901"/>
    <w:rsid w:val="00301C5A"/>
    <w:rsid w:val="003053D8"/>
    <w:rsid w:val="00306E31"/>
    <w:rsid w:val="00307029"/>
    <w:rsid w:val="003101EE"/>
    <w:rsid w:val="00312E0D"/>
    <w:rsid w:val="00321D17"/>
    <w:rsid w:val="00324E7B"/>
    <w:rsid w:val="00327FF9"/>
    <w:rsid w:val="00331EC6"/>
    <w:rsid w:val="003345A3"/>
    <w:rsid w:val="00335324"/>
    <w:rsid w:val="0034087B"/>
    <w:rsid w:val="00341841"/>
    <w:rsid w:val="00342093"/>
    <w:rsid w:val="00342F3D"/>
    <w:rsid w:val="003437CF"/>
    <w:rsid w:val="003464DD"/>
    <w:rsid w:val="00347104"/>
    <w:rsid w:val="003504FB"/>
    <w:rsid w:val="00352ADE"/>
    <w:rsid w:val="003553EC"/>
    <w:rsid w:val="00357212"/>
    <w:rsid w:val="0036140D"/>
    <w:rsid w:val="00362B45"/>
    <w:rsid w:val="00367A3A"/>
    <w:rsid w:val="00371357"/>
    <w:rsid w:val="00372AC7"/>
    <w:rsid w:val="00382D97"/>
    <w:rsid w:val="00382E8A"/>
    <w:rsid w:val="00383505"/>
    <w:rsid w:val="003837D9"/>
    <w:rsid w:val="00384D47"/>
    <w:rsid w:val="0038671F"/>
    <w:rsid w:val="00386B05"/>
    <w:rsid w:val="0038724D"/>
    <w:rsid w:val="0039027D"/>
    <w:rsid w:val="00390E87"/>
    <w:rsid w:val="0039152F"/>
    <w:rsid w:val="00393BAE"/>
    <w:rsid w:val="0039482D"/>
    <w:rsid w:val="00394CF1"/>
    <w:rsid w:val="00395AA9"/>
    <w:rsid w:val="00395CEF"/>
    <w:rsid w:val="00396EDB"/>
    <w:rsid w:val="003A2447"/>
    <w:rsid w:val="003A4A4D"/>
    <w:rsid w:val="003A5BE9"/>
    <w:rsid w:val="003A6D1A"/>
    <w:rsid w:val="003B2A02"/>
    <w:rsid w:val="003B2A68"/>
    <w:rsid w:val="003B2A70"/>
    <w:rsid w:val="003B54D9"/>
    <w:rsid w:val="003C02CE"/>
    <w:rsid w:val="003C174E"/>
    <w:rsid w:val="003C288C"/>
    <w:rsid w:val="003C28AD"/>
    <w:rsid w:val="003C4F41"/>
    <w:rsid w:val="003C5B99"/>
    <w:rsid w:val="003D18F5"/>
    <w:rsid w:val="003D1F9C"/>
    <w:rsid w:val="003D2AD5"/>
    <w:rsid w:val="003D6601"/>
    <w:rsid w:val="003D7178"/>
    <w:rsid w:val="003D7738"/>
    <w:rsid w:val="003E1851"/>
    <w:rsid w:val="003E292C"/>
    <w:rsid w:val="003E2932"/>
    <w:rsid w:val="003E62E8"/>
    <w:rsid w:val="003F1EAF"/>
    <w:rsid w:val="003F2742"/>
    <w:rsid w:val="003F41FA"/>
    <w:rsid w:val="003F447E"/>
    <w:rsid w:val="003F5ACE"/>
    <w:rsid w:val="003F6475"/>
    <w:rsid w:val="003F7582"/>
    <w:rsid w:val="003F7B34"/>
    <w:rsid w:val="00401A96"/>
    <w:rsid w:val="00402234"/>
    <w:rsid w:val="00402BB6"/>
    <w:rsid w:val="00402D95"/>
    <w:rsid w:val="00402E85"/>
    <w:rsid w:val="00404A12"/>
    <w:rsid w:val="004128EE"/>
    <w:rsid w:val="00412D67"/>
    <w:rsid w:val="004132C4"/>
    <w:rsid w:val="0041553D"/>
    <w:rsid w:val="00420384"/>
    <w:rsid w:val="00423B50"/>
    <w:rsid w:val="00423E5C"/>
    <w:rsid w:val="00426758"/>
    <w:rsid w:val="0043319B"/>
    <w:rsid w:val="004335B5"/>
    <w:rsid w:val="0043375A"/>
    <w:rsid w:val="00433FB7"/>
    <w:rsid w:val="00436DD5"/>
    <w:rsid w:val="0043759B"/>
    <w:rsid w:val="00442599"/>
    <w:rsid w:val="00442E0B"/>
    <w:rsid w:val="00443736"/>
    <w:rsid w:val="004437BF"/>
    <w:rsid w:val="00445524"/>
    <w:rsid w:val="004502EB"/>
    <w:rsid w:val="004507F4"/>
    <w:rsid w:val="00454987"/>
    <w:rsid w:val="00454EF8"/>
    <w:rsid w:val="00456714"/>
    <w:rsid w:val="0046124B"/>
    <w:rsid w:val="00462BD0"/>
    <w:rsid w:val="00463584"/>
    <w:rsid w:val="0046402E"/>
    <w:rsid w:val="0046599A"/>
    <w:rsid w:val="0046601F"/>
    <w:rsid w:val="004675C8"/>
    <w:rsid w:val="00470528"/>
    <w:rsid w:val="004717DC"/>
    <w:rsid w:val="00471F44"/>
    <w:rsid w:val="00474A85"/>
    <w:rsid w:val="0047675D"/>
    <w:rsid w:val="00476E51"/>
    <w:rsid w:val="00477FB8"/>
    <w:rsid w:val="00480C2F"/>
    <w:rsid w:val="0048211F"/>
    <w:rsid w:val="00483702"/>
    <w:rsid w:val="00484B5F"/>
    <w:rsid w:val="004870C4"/>
    <w:rsid w:val="00487883"/>
    <w:rsid w:val="00487D8D"/>
    <w:rsid w:val="00496537"/>
    <w:rsid w:val="004975D3"/>
    <w:rsid w:val="004A3B49"/>
    <w:rsid w:val="004A56CE"/>
    <w:rsid w:val="004A7E31"/>
    <w:rsid w:val="004B16C5"/>
    <w:rsid w:val="004B1750"/>
    <w:rsid w:val="004B2FDC"/>
    <w:rsid w:val="004B57DA"/>
    <w:rsid w:val="004B7DBA"/>
    <w:rsid w:val="004C07FB"/>
    <w:rsid w:val="004C0859"/>
    <w:rsid w:val="004C1B8E"/>
    <w:rsid w:val="004C2AEF"/>
    <w:rsid w:val="004C6BEE"/>
    <w:rsid w:val="004C6FB6"/>
    <w:rsid w:val="004D003B"/>
    <w:rsid w:val="004D02B4"/>
    <w:rsid w:val="004D1228"/>
    <w:rsid w:val="004D1614"/>
    <w:rsid w:val="004D1868"/>
    <w:rsid w:val="004D2A47"/>
    <w:rsid w:val="004D61D9"/>
    <w:rsid w:val="004D7638"/>
    <w:rsid w:val="004D7C19"/>
    <w:rsid w:val="004E0AB4"/>
    <w:rsid w:val="004E0E32"/>
    <w:rsid w:val="004E46E6"/>
    <w:rsid w:val="004E5377"/>
    <w:rsid w:val="004E57A7"/>
    <w:rsid w:val="004E6344"/>
    <w:rsid w:val="004E6D19"/>
    <w:rsid w:val="004E7E8E"/>
    <w:rsid w:val="004F21B0"/>
    <w:rsid w:val="004F3295"/>
    <w:rsid w:val="004F3D19"/>
    <w:rsid w:val="004F5800"/>
    <w:rsid w:val="004F5BB9"/>
    <w:rsid w:val="004F5CDD"/>
    <w:rsid w:val="004F7CA1"/>
    <w:rsid w:val="004F7CB6"/>
    <w:rsid w:val="00500C9D"/>
    <w:rsid w:val="005055ED"/>
    <w:rsid w:val="005112D4"/>
    <w:rsid w:val="005120DE"/>
    <w:rsid w:val="005121F0"/>
    <w:rsid w:val="005130A2"/>
    <w:rsid w:val="005169D8"/>
    <w:rsid w:val="00517869"/>
    <w:rsid w:val="00520F39"/>
    <w:rsid w:val="0052156E"/>
    <w:rsid w:val="00523EE5"/>
    <w:rsid w:val="00526105"/>
    <w:rsid w:val="00526BF2"/>
    <w:rsid w:val="00527740"/>
    <w:rsid w:val="0053189D"/>
    <w:rsid w:val="00532901"/>
    <w:rsid w:val="00533E7F"/>
    <w:rsid w:val="005400C0"/>
    <w:rsid w:val="005414B4"/>
    <w:rsid w:val="0054392C"/>
    <w:rsid w:val="00547FD4"/>
    <w:rsid w:val="005524AB"/>
    <w:rsid w:val="00553404"/>
    <w:rsid w:val="00554E56"/>
    <w:rsid w:val="00561753"/>
    <w:rsid w:val="0056265A"/>
    <w:rsid w:val="005629DC"/>
    <w:rsid w:val="00562CDC"/>
    <w:rsid w:val="00565321"/>
    <w:rsid w:val="00572C51"/>
    <w:rsid w:val="00572CF9"/>
    <w:rsid w:val="00572F89"/>
    <w:rsid w:val="00573432"/>
    <w:rsid w:val="005776AA"/>
    <w:rsid w:val="0058066C"/>
    <w:rsid w:val="00581994"/>
    <w:rsid w:val="00583815"/>
    <w:rsid w:val="00585DA9"/>
    <w:rsid w:val="00586473"/>
    <w:rsid w:val="00592C33"/>
    <w:rsid w:val="00592E44"/>
    <w:rsid w:val="00593C6F"/>
    <w:rsid w:val="00595662"/>
    <w:rsid w:val="005A0CB2"/>
    <w:rsid w:val="005A0E45"/>
    <w:rsid w:val="005A1694"/>
    <w:rsid w:val="005A546D"/>
    <w:rsid w:val="005A5C9C"/>
    <w:rsid w:val="005A651A"/>
    <w:rsid w:val="005A784B"/>
    <w:rsid w:val="005B041A"/>
    <w:rsid w:val="005B22BC"/>
    <w:rsid w:val="005B3150"/>
    <w:rsid w:val="005B4739"/>
    <w:rsid w:val="005C002E"/>
    <w:rsid w:val="005C00E2"/>
    <w:rsid w:val="005C0B3D"/>
    <w:rsid w:val="005C3993"/>
    <w:rsid w:val="005C436C"/>
    <w:rsid w:val="005C47F5"/>
    <w:rsid w:val="005D15F0"/>
    <w:rsid w:val="005D315D"/>
    <w:rsid w:val="005D3339"/>
    <w:rsid w:val="005D4BC0"/>
    <w:rsid w:val="005D5E61"/>
    <w:rsid w:val="005D60DE"/>
    <w:rsid w:val="005D7695"/>
    <w:rsid w:val="005E024B"/>
    <w:rsid w:val="005E0874"/>
    <w:rsid w:val="005E0A0B"/>
    <w:rsid w:val="005E0DC3"/>
    <w:rsid w:val="005E1315"/>
    <w:rsid w:val="005E1686"/>
    <w:rsid w:val="005E189A"/>
    <w:rsid w:val="005E4131"/>
    <w:rsid w:val="005E74B8"/>
    <w:rsid w:val="005F143D"/>
    <w:rsid w:val="005F184A"/>
    <w:rsid w:val="005F24DF"/>
    <w:rsid w:val="005F32EF"/>
    <w:rsid w:val="005F64B9"/>
    <w:rsid w:val="005F79C6"/>
    <w:rsid w:val="00600A9F"/>
    <w:rsid w:val="0060173F"/>
    <w:rsid w:val="00601D05"/>
    <w:rsid w:val="00602819"/>
    <w:rsid w:val="006035EB"/>
    <w:rsid w:val="00605375"/>
    <w:rsid w:val="00605B69"/>
    <w:rsid w:val="006078FC"/>
    <w:rsid w:val="00610935"/>
    <w:rsid w:val="00612260"/>
    <w:rsid w:val="00612F18"/>
    <w:rsid w:val="00613052"/>
    <w:rsid w:val="006172AE"/>
    <w:rsid w:val="00617671"/>
    <w:rsid w:val="006179F9"/>
    <w:rsid w:val="0062266C"/>
    <w:rsid w:val="00622F37"/>
    <w:rsid w:val="006239C1"/>
    <w:rsid w:val="006313AC"/>
    <w:rsid w:val="006344AD"/>
    <w:rsid w:val="00634541"/>
    <w:rsid w:val="00634904"/>
    <w:rsid w:val="006350E8"/>
    <w:rsid w:val="0063576A"/>
    <w:rsid w:val="0063735A"/>
    <w:rsid w:val="00640AEE"/>
    <w:rsid w:val="006429E6"/>
    <w:rsid w:val="00646F0E"/>
    <w:rsid w:val="00647314"/>
    <w:rsid w:val="00647FB8"/>
    <w:rsid w:val="00651645"/>
    <w:rsid w:val="00651A0C"/>
    <w:rsid w:val="00651BBF"/>
    <w:rsid w:val="00651FC1"/>
    <w:rsid w:val="00653C51"/>
    <w:rsid w:val="006556DF"/>
    <w:rsid w:val="0066129F"/>
    <w:rsid w:val="00661A99"/>
    <w:rsid w:val="00661EFA"/>
    <w:rsid w:val="00662D11"/>
    <w:rsid w:val="006650DF"/>
    <w:rsid w:val="006705DB"/>
    <w:rsid w:val="006709E6"/>
    <w:rsid w:val="00672513"/>
    <w:rsid w:val="00672E41"/>
    <w:rsid w:val="00673195"/>
    <w:rsid w:val="006739E9"/>
    <w:rsid w:val="00674155"/>
    <w:rsid w:val="00674496"/>
    <w:rsid w:val="006754B9"/>
    <w:rsid w:val="00676648"/>
    <w:rsid w:val="00680263"/>
    <w:rsid w:val="006805E8"/>
    <w:rsid w:val="00680CB1"/>
    <w:rsid w:val="0068187C"/>
    <w:rsid w:val="006827F5"/>
    <w:rsid w:val="00682F67"/>
    <w:rsid w:val="00682F87"/>
    <w:rsid w:val="006830EF"/>
    <w:rsid w:val="00685E1D"/>
    <w:rsid w:val="00686BF7"/>
    <w:rsid w:val="00686E28"/>
    <w:rsid w:val="00687449"/>
    <w:rsid w:val="006923C5"/>
    <w:rsid w:val="00696B77"/>
    <w:rsid w:val="006A11D7"/>
    <w:rsid w:val="006A7EBA"/>
    <w:rsid w:val="006B057D"/>
    <w:rsid w:val="006B1810"/>
    <w:rsid w:val="006B3751"/>
    <w:rsid w:val="006B435B"/>
    <w:rsid w:val="006C3FBE"/>
    <w:rsid w:val="006C493F"/>
    <w:rsid w:val="006C575D"/>
    <w:rsid w:val="006C7D82"/>
    <w:rsid w:val="006D0509"/>
    <w:rsid w:val="006D0A6D"/>
    <w:rsid w:val="006D0EBF"/>
    <w:rsid w:val="006D3517"/>
    <w:rsid w:val="006D41C3"/>
    <w:rsid w:val="006D445B"/>
    <w:rsid w:val="006D7F17"/>
    <w:rsid w:val="006E0293"/>
    <w:rsid w:val="006E1F9C"/>
    <w:rsid w:val="006E4985"/>
    <w:rsid w:val="006E68C3"/>
    <w:rsid w:val="006F3947"/>
    <w:rsid w:val="006F3DBE"/>
    <w:rsid w:val="006F5021"/>
    <w:rsid w:val="006F5ADD"/>
    <w:rsid w:val="006F718D"/>
    <w:rsid w:val="00700342"/>
    <w:rsid w:val="00702441"/>
    <w:rsid w:val="00702C2F"/>
    <w:rsid w:val="00704441"/>
    <w:rsid w:val="0070496E"/>
    <w:rsid w:val="00706626"/>
    <w:rsid w:val="00711533"/>
    <w:rsid w:val="00713E08"/>
    <w:rsid w:val="0072036A"/>
    <w:rsid w:val="00720A33"/>
    <w:rsid w:val="00721F11"/>
    <w:rsid w:val="0072235A"/>
    <w:rsid w:val="00722841"/>
    <w:rsid w:val="007248EE"/>
    <w:rsid w:val="00724AB0"/>
    <w:rsid w:val="0072597F"/>
    <w:rsid w:val="007259E1"/>
    <w:rsid w:val="0072640C"/>
    <w:rsid w:val="007277A1"/>
    <w:rsid w:val="007304F8"/>
    <w:rsid w:val="00731511"/>
    <w:rsid w:val="007315AB"/>
    <w:rsid w:val="00732A1A"/>
    <w:rsid w:val="00737DB0"/>
    <w:rsid w:val="0074127B"/>
    <w:rsid w:val="00742D5E"/>
    <w:rsid w:val="00743C2E"/>
    <w:rsid w:val="00743CCF"/>
    <w:rsid w:val="00744A6E"/>
    <w:rsid w:val="00747791"/>
    <w:rsid w:val="00750182"/>
    <w:rsid w:val="007536D9"/>
    <w:rsid w:val="0075536B"/>
    <w:rsid w:val="0075785E"/>
    <w:rsid w:val="00762EA9"/>
    <w:rsid w:val="00763326"/>
    <w:rsid w:val="00767242"/>
    <w:rsid w:val="00767636"/>
    <w:rsid w:val="00771604"/>
    <w:rsid w:val="00771732"/>
    <w:rsid w:val="00772304"/>
    <w:rsid w:val="00772A34"/>
    <w:rsid w:val="0077469E"/>
    <w:rsid w:val="0077704E"/>
    <w:rsid w:val="00780C5A"/>
    <w:rsid w:val="00783441"/>
    <w:rsid w:val="007849F6"/>
    <w:rsid w:val="00787022"/>
    <w:rsid w:val="00787455"/>
    <w:rsid w:val="0079099D"/>
    <w:rsid w:val="00791189"/>
    <w:rsid w:val="00791430"/>
    <w:rsid w:val="0079197C"/>
    <w:rsid w:val="007970F0"/>
    <w:rsid w:val="00797146"/>
    <w:rsid w:val="007978EF"/>
    <w:rsid w:val="00797C0E"/>
    <w:rsid w:val="007A01D6"/>
    <w:rsid w:val="007A53B5"/>
    <w:rsid w:val="007A7903"/>
    <w:rsid w:val="007B0F1E"/>
    <w:rsid w:val="007B136A"/>
    <w:rsid w:val="007B1A6D"/>
    <w:rsid w:val="007B2039"/>
    <w:rsid w:val="007B44DF"/>
    <w:rsid w:val="007B5C64"/>
    <w:rsid w:val="007C08B2"/>
    <w:rsid w:val="007C0912"/>
    <w:rsid w:val="007C0B6D"/>
    <w:rsid w:val="007C1A22"/>
    <w:rsid w:val="007C2BE8"/>
    <w:rsid w:val="007C2C51"/>
    <w:rsid w:val="007C3266"/>
    <w:rsid w:val="007C33D4"/>
    <w:rsid w:val="007C51FC"/>
    <w:rsid w:val="007D1A05"/>
    <w:rsid w:val="007D1E05"/>
    <w:rsid w:val="007D302F"/>
    <w:rsid w:val="007D3ED0"/>
    <w:rsid w:val="007D50C3"/>
    <w:rsid w:val="007D757C"/>
    <w:rsid w:val="007D78EF"/>
    <w:rsid w:val="007E0F57"/>
    <w:rsid w:val="007E126E"/>
    <w:rsid w:val="007E1F16"/>
    <w:rsid w:val="007E2A92"/>
    <w:rsid w:val="007F117E"/>
    <w:rsid w:val="007F5A10"/>
    <w:rsid w:val="008003F0"/>
    <w:rsid w:val="008022C2"/>
    <w:rsid w:val="008025C8"/>
    <w:rsid w:val="008036DA"/>
    <w:rsid w:val="008048CE"/>
    <w:rsid w:val="0080518A"/>
    <w:rsid w:val="008109B6"/>
    <w:rsid w:val="00810E77"/>
    <w:rsid w:val="00814132"/>
    <w:rsid w:val="00817896"/>
    <w:rsid w:val="00820D44"/>
    <w:rsid w:val="00824192"/>
    <w:rsid w:val="0082435F"/>
    <w:rsid w:val="00825EDD"/>
    <w:rsid w:val="00827FDD"/>
    <w:rsid w:val="008301FE"/>
    <w:rsid w:val="008309EE"/>
    <w:rsid w:val="00832331"/>
    <w:rsid w:val="00832971"/>
    <w:rsid w:val="008349E5"/>
    <w:rsid w:val="0083758D"/>
    <w:rsid w:val="00840DDA"/>
    <w:rsid w:val="00840F1B"/>
    <w:rsid w:val="00841243"/>
    <w:rsid w:val="0084215D"/>
    <w:rsid w:val="00842FDE"/>
    <w:rsid w:val="00844357"/>
    <w:rsid w:val="00844B88"/>
    <w:rsid w:val="008458C0"/>
    <w:rsid w:val="00845D87"/>
    <w:rsid w:val="0084782F"/>
    <w:rsid w:val="00847A8C"/>
    <w:rsid w:val="0085062E"/>
    <w:rsid w:val="00851DD2"/>
    <w:rsid w:val="0085344E"/>
    <w:rsid w:val="00854744"/>
    <w:rsid w:val="008569BF"/>
    <w:rsid w:val="008574DB"/>
    <w:rsid w:val="008612C5"/>
    <w:rsid w:val="00861974"/>
    <w:rsid w:val="00861A4E"/>
    <w:rsid w:val="00861AB1"/>
    <w:rsid w:val="0086245D"/>
    <w:rsid w:val="008624BB"/>
    <w:rsid w:val="00864A53"/>
    <w:rsid w:val="00867FC8"/>
    <w:rsid w:val="0087029F"/>
    <w:rsid w:val="008817FF"/>
    <w:rsid w:val="00885154"/>
    <w:rsid w:val="008874F6"/>
    <w:rsid w:val="00887A9D"/>
    <w:rsid w:val="008912CA"/>
    <w:rsid w:val="00893494"/>
    <w:rsid w:val="008A06E4"/>
    <w:rsid w:val="008A0C72"/>
    <w:rsid w:val="008A0FA3"/>
    <w:rsid w:val="008A145B"/>
    <w:rsid w:val="008A14BD"/>
    <w:rsid w:val="008A568C"/>
    <w:rsid w:val="008B0160"/>
    <w:rsid w:val="008B0C28"/>
    <w:rsid w:val="008B0FA1"/>
    <w:rsid w:val="008B2308"/>
    <w:rsid w:val="008B3050"/>
    <w:rsid w:val="008B3819"/>
    <w:rsid w:val="008B38A2"/>
    <w:rsid w:val="008B3DA6"/>
    <w:rsid w:val="008B49C6"/>
    <w:rsid w:val="008B5959"/>
    <w:rsid w:val="008B78F2"/>
    <w:rsid w:val="008B7E90"/>
    <w:rsid w:val="008C1A28"/>
    <w:rsid w:val="008C438C"/>
    <w:rsid w:val="008C79E5"/>
    <w:rsid w:val="008D1E2C"/>
    <w:rsid w:val="008D2459"/>
    <w:rsid w:val="008D4B15"/>
    <w:rsid w:val="008D648B"/>
    <w:rsid w:val="008D740C"/>
    <w:rsid w:val="008E0896"/>
    <w:rsid w:val="008E7B05"/>
    <w:rsid w:val="008E7CB2"/>
    <w:rsid w:val="008F01D3"/>
    <w:rsid w:val="008F02A1"/>
    <w:rsid w:val="008F0D96"/>
    <w:rsid w:val="008F1CCD"/>
    <w:rsid w:val="008F1E3E"/>
    <w:rsid w:val="008F3207"/>
    <w:rsid w:val="008F3628"/>
    <w:rsid w:val="008F6836"/>
    <w:rsid w:val="00900B96"/>
    <w:rsid w:val="00901174"/>
    <w:rsid w:val="009040AD"/>
    <w:rsid w:val="00911F22"/>
    <w:rsid w:val="009139CB"/>
    <w:rsid w:val="00914C6C"/>
    <w:rsid w:val="00914EE1"/>
    <w:rsid w:val="00915CEE"/>
    <w:rsid w:val="00916680"/>
    <w:rsid w:val="00916D6D"/>
    <w:rsid w:val="00921EDE"/>
    <w:rsid w:val="00922493"/>
    <w:rsid w:val="0092363D"/>
    <w:rsid w:val="00924049"/>
    <w:rsid w:val="00924725"/>
    <w:rsid w:val="00924993"/>
    <w:rsid w:val="00925489"/>
    <w:rsid w:val="00932C90"/>
    <w:rsid w:val="009334D9"/>
    <w:rsid w:val="009359BA"/>
    <w:rsid w:val="00936CAD"/>
    <w:rsid w:val="009402BE"/>
    <w:rsid w:val="0094144A"/>
    <w:rsid w:val="00941B77"/>
    <w:rsid w:val="00943B79"/>
    <w:rsid w:val="00944424"/>
    <w:rsid w:val="009474E9"/>
    <w:rsid w:val="009507B8"/>
    <w:rsid w:val="00950919"/>
    <w:rsid w:val="00953D45"/>
    <w:rsid w:val="00954DE9"/>
    <w:rsid w:val="009608E5"/>
    <w:rsid w:val="00960ADC"/>
    <w:rsid w:val="00961131"/>
    <w:rsid w:val="00962EEB"/>
    <w:rsid w:val="00963B3B"/>
    <w:rsid w:val="009643FD"/>
    <w:rsid w:val="00964E06"/>
    <w:rsid w:val="0097153E"/>
    <w:rsid w:val="00971E67"/>
    <w:rsid w:val="00972222"/>
    <w:rsid w:val="00973ED6"/>
    <w:rsid w:val="00975A9C"/>
    <w:rsid w:val="0097602C"/>
    <w:rsid w:val="00976F99"/>
    <w:rsid w:val="00985767"/>
    <w:rsid w:val="00985CB7"/>
    <w:rsid w:val="00991BCD"/>
    <w:rsid w:val="00992CE4"/>
    <w:rsid w:val="00992FD6"/>
    <w:rsid w:val="009963DD"/>
    <w:rsid w:val="009968DD"/>
    <w:rsid w:val="009A0D9E"/>
    <w:rsid w:val="009A3A2E"/>
    <w:rsid w:val="009A65B8"/>
    <w:rsid w:val="009A6A73"/>
    <w:rsid w:val="009B11C7"/>
    <w:rsid w:val="009B1C05"/>
    <w:rsid w:val="009B2048"/>
    <w:rsid w:val="009B3223"/>
    <w:rsid w:val="009B36F4"/>
    <w:rsid w:val="009B4653"/>
    <w:rsid w:val="009C2976"/>
    <w:rsid w:val="009C488C"/>
    <w:rsid w:val="009C48B1"/>
    <w:rsid w:val="009C4E91"/>
    <w:rsid w:val="009D0395"/>
    <w:rsid w:val="009D0F60"/>
    <w:rsid w:val="009D2C1C"/>
    <w:rsid w:val="009D5388"/>
    <w:rsid w:val="009D6D37"/>
    <w:rsid w:val="009D6FE7"/>
    <w:rsid w:val="009E1764"/>
    <w:rsid w:val="009E27AD"/>
    <w:rsid w:val="009E2BCE"/>
    <w:rsid w:val="009E4FB4"/>
    <w:rsid w:val="009E50A4"/>
    <w:rsid w:val="009E5214"/>
    <w:rsid w:val="009E5E89"/>
    <w:rsid w:val="009E7643"/>
    <w:rsid w:val="009E7EA1"/>
    <w:rsid w:val="009F022D"/>
    <w:rsid w:val="009F059F"/>
    <w:rsid w:val="009F2AAA"/>
    <w:rsid w:val="009F3329"/>
    <w:rsid w:val="009F609C"/>
    <w:rsid w:val="009F6F0C"/>
    <w:rsid w:val="009F739D"/>
    <w:rsid w:val="009F7E8F"/>
    <w:rsid w:val="00A00F76"/>
    <w:rsid w:val="00A01433"/>
    <w:rsid w:val="00A0262F"/>
    <w:rsid w:val="00A03348"/>
    <w:rsid w:val="00A03F2B"/>
    <w:rsid w:val="00A04353"/>
    <w:rsid w:val="00A04379"/>
    <w:rsid w:val="00A0468C"/>
    <w:rsid w:val="00A064BE"/>
    <w:rsid w:val="00A06C58"/>
    <w:rsid w:val="00A11159"/>
    <w:rsid w:val="00A120AE"/>
    <w:rsid w:val="00A13040"/>
    <w:rsid w:val="00A20A8B"/>
    <w:rsid w:val="00A22B68"/>
    <w:rsid w:val="00A24B1C"/>
    <w:rsid w:val="00A25228"/>
    <w:rsid w:val="00A270BA"/>
    <w:rsid w:val="00A27E0E"/>
    <w:rsid w:val="00A3109B"/>
    <w:rsid w:val="00A31519"/>
    <w:rsid w:val="00A32804"/>
    <w:rsid w:val="00A33313"/>
    <w:rsid w:val="00A34861"/>
    <w:rsid w:val="00A349ED"/>
    <w:rsid w:val="00A367D2"/>
    <w:rsid w:val="00A405DB"/>
    <w:rsid w:val="00A417EA"/>
    <w:rsid w:val="00A41A22"/>
    <w:rsid w:val="00A41EF7"/>
    <w:rsid w:val="00A4340C"/>
    <w:rsid w:val="00A462BE"/>
    <w:rsid w:val="00A46DE1"/>
    <w:rsid w:val="00A470AC"/>
    <w:rsid w:val="00A50FA2"/>
    <w:rsid w:val="00A52F59"/>
    <w:rsid w:val="00A52FAD"/>
    <w:rsid w:val="00A57AAF"/>
    <w:rsid w:val="00A61BDD"/>
    <w:rsid w:val="00A63560"/>
    <w:rsid w:val="00A63779"/>
    <w:rsid w:val="00A67281"/>
    <w:rsid w:val="00A67716"/>
    <w:rsid w:val="00A67A1E"/>
    <w:rsid w:val="00A67C76"/>
    <w:rsid w:val="00A71591"/>
    <w:rsid w:val="00A725E8"/>
    <w:rsid w:val="00A72C82"/>
    <w:rsid w:val="00A753F0"/>
    <w:rsid w:val="00A7656A"/>
    <w:rsid w:val="00A76CD6"/>
    <w:rsid w:val="00A8004C"/>
    <w:rsid w:val="00A83B5B"/>
    <w:rsid w:val="00A8442A"/>
    <w:rsid w:val="00A84ECA"/>
    <w:rsid w:val="00A93DC7"/>
    <w:rsid w:val="00A93E42"/>
    <w:rsid w:val="00A944AB"/>
    <w:rsid w:val="00A972BC"/>
    <w:rsid w:val="00AA0361"/>
    <w:rsid w:val="00AA1AF7"/>
    <w:rsid w:val="00AA3948"/>
    <w:rsid w:val="00AA4431"/>
    <w:rsid w:val="00AA6A08"/>
    <w:rsid w:val="00AA6D94"/>
    <w:rsid w:val="00AA758C"/>
    <w:rsid w:val="00AA77BB"/>
    <w:rsid w:val="00AB0EB6"/>
    <w:rsid w:val="00AB4089"/>
    <w:rsid w:val="00AB6BA5"/>
    <w:rsid w:val="00AB7597"/>
    <w:rsid w:val="00AB7E03"/>
    <w:rsid w:val="00AC4304"/>
    <w:rsid w:val="00AC4A03"/>
    <w:rsid w:val="00AC5E1E"/>
    <w:rsid w:val="00AD034B"/>
    <w:rsid w:val="00AD6B7F"/>
    <w:rsid w:val="00AE10F0"/>
    <w:rsid w:val="00AE23FC"/>
    <w:rsid w:val="00AE382A"/>
    <w:rsid w:val="00AE4126"/>
    <w:rsid w:val="00AF0AFF"/>
    <w:rsid w:val="00AF100B"/>
    <w:rsid w:val="00AF11FA"/>
    <w:rsid w:val="00AF202E"/>
    <w:rsid w:val="00AF40DD"/>
    <w:rsid w:val="00B0123B"/>
    <w:rsid w:val="00B01854"/>
    <w:rsid w:val="00B047A0"/>
    <w:rsid w:val="00B05D0F"/>
    <w:rsid w:val="00B060A7"/>
    <w:rsid w:val="00B107E5"/>
    <w:rsid w:val="00B12B32"/>
    <w:rsid w:val="00B14C66"/>
    <w:rsid w:val="00B177B2"/>
    <w:rsid w:val="00B20599"/>
    <w:rsid w:val="00B20693"/>
    <w:rsid w:val="00B22346"/>
    <w:rsid w:val="00B225DD"/>
    <w:rsid w:val="00B24BFE"/>
    <w:rsid w:val="00B25A9B"/>
    <w:rsid w:val="00B25C76"/>
    <w:rsid w:val="00B26B87"/>
    <w:rsid w:val="00B36FD1"/>
    <w:rsid w:val="00B370DA"/>
    <w:rsid w:val="00B404FA"/>
    <w:rsid w:val="00B41329"/>
    <w:rsid w:val="00B4476B"/>
    <w:rsid w:val="00B468B1"/>
    <w:rsid w:val="00B512A0"/>
    <w:rsid w:val="00B520F0"/>
    <w:rsid w:val="00B54479"/>
    <w:rsid w:val="00B577FD"/>
    <w:rsid w:val="00B61554"/>
    <w:rsid w:val="00B61E4E"/>
    <w:rsid w:val="00B62D13"/>
    <w:rsid w:val="00B63C34"/>
    <w:rsid w:val="00B63EE5"/>
    <w:rsid w:val="00B64A29"/>
    <w:rsid w:val="00B655DF"/>
    <w:rsid w:val="00B669E2"/>
    <w:rsid w:val="00B67D2D"/>
    <w:rsid w:val="00B71E27"/>
    <w:rsid w:val="00B77264"/>
    <w:rsid w:val="00B77AD4"/>
    <w:rsid w:val="00B81B11"/>
    <w:rsid w:val="00B82964"/>
    <w:rsid w:val="00B82B14"/>
    <w:rsid w:val="00B836B4"/>
    <w:rsid w:val="00B83754"/>
    <w:rsid w:val="00B94243"/>
    <w:rsid w:val="00B9719A"/>
    <w:rsid w:val="00BA041E"/>
    <w:rsid w:val="00BA0C99"/>
    <w:rsid w:val="00BA17FA"/>
    <w:rsid w:val="00BA4A32"/>
    <w:rsid w:val="00BB2F9D"/>
    <w:rsid w:val="00BB3931"/>
    <w:rsid w:val="00BB49ED"/>
    <w:rsid w:val="00BB4D57"/>
    <w:rsid w:val="00BB6B44"/>
    <w:rsid w:val="00BB754E"/>
    <w:rsid w:val="00BB79F1"/>
    <w:rsid w:val="00BC28DD"/>
    <w:rsid w:val="00BC2B45"/>
    <w:rsid w:val="00BC5C4D"/>
    <w:rsid w:val="00BC6456"/>
    <w:rsid w:val="00BC6488"/>
    <w:rsid w:val="00BC7536"/>
    <w:rsid w:val="00BD179E"/>
    <w:rsid w:val="00BD4E05"/>
    <w:rsid w:val="00BD6107"/>
    <w:rsid w:val="00BD7076"/>
    <w:rsid w:val="00BD7E48"/>
    <w:rsid w:val="00BE0781"/>
    <w:rsid w:val="00BE0F8E"/>
    <w:rsid w:val="00BE1443"/>
    <w:rsid w:val="00BE147F"/>
    <w:rsid w:val="00BE35C2"/>
    <w:rsid w:val="00BE657F"/>
    <w:rsid w:val="00BE6BF3"/>
    <w:rsid w:val="00BE771B"/>
    <w:rsid w:val="00BE7FC9"/>
    <w:rsid w:val="00BF0F21"/>
    <w:rsid w:val="00BF63CD"/>
    <w:rsid w:val="00BF6FF5"/>
    <w:rsid w:val="00C00ED9"/>
    <w:rsid w:val="00C01445"/>
    <w:rsid w:val="00C03149"/>
    <w:rsid w:val="00C06B5D"/>
    <w:rsid w:val="00C10D37"/>
    <w:rsid w:val="00C12F7F"/>
    <w:rsid w:val="00C166A5"/>
    <w:rsid w:val="00C33DB1"/>
    <w:rsid w:val="00C34CBD"/>
    <w:rsid w:val="00C356FC"/>
    <w:rsid w:val="00C35846"/>
    <w:rsid w:val="00C3610D"/>
    <w:rsid w:val="00C37109"/>
    <w:rsid w:val="00C37632"/>
    <w:rsid w:val="00C40A21"/>
    <w:rsid w:val="00C41728"/>
    <w:rsid w:val="00C4211D"/>
    <w:rsid w:val="00C44380"/>
    <w:rsid w:val="00C4740E"/>
    <w:rsid w:val="00C47BDB"/>
    <w:rsid w:val="00C5158F"/>
    <w:rsid w:val="00C51BFB"/>
    <w:rsid w:val="00C5262F"/>
    <w:rsid w:val="00C52E04"/>
    <w:rsid w:val="00C5472E"/>
    <w:rsid w:val="00C56ED1"/>
    <w:rsid w:val="00C6115F"/>
    <w:rsid w:val="00C61682"/>
    <w:rsid w:val="00C62B79"/>
    <w:rsid w:val="00C636B9"/>
    <w:rsid w:val="00C666C5"/>
    <w:rsid w:val="00C67594"/>
    <w:rsid w:val="00C67826"/>
    <w:rsid w:val="00C707FD"/>
    <w:rsid w:val="00C71B97"/>
    <w:rsid w:val="00C73C4A"/>
    <w:rsid w:val="00C7493D"/>
    <w:rsid w:val="00C74A05"/>
    <w:rsid w:val="00C74F08"/>
    <w:rsid w:val="00C77B42"/>
    <w:rsid w:val="00C80CDD"/>
    <w:rsid w:val="00C810A1"/>
    <w:rsid w:val="00C8380D"/>
    <w:rsid w:val="00C83C8F"/>
    <w:rsid w:val="00C84DD3"/>
    <w:rsid w:val="00C8605A"/>
    <w:rsid w:val="00C86688"/>
    <w:rsid w:val="00C917E3"/>
    <w:rsid w:val="00C91FAE"/>
    <w:rsid w:val="00C92534"/>
    <w:rsid w:val="00C93C7D"/>
    <w:rsid w:val="00C977F0"/>
    <w:rsid w:val="00C97989"/>
    <w:rsid w:val="00CA0310"/>
    <w:rsid w:val="00CA0EE2"/>
    <w:rsid w:val="00CA1503"/>
    <w:rsid w:val="00CA2119"/>
    <w:rsid w:val="00CA56ED"/>
    <w:rsid w:val="00CA671D"/>
    <w:rsid w:val="00CA787F"/>
    <w:rsid w:val="00CB088E"/>
    <w:rsid w:val="00CB19B4"/>
    <w:rsid w:val="00CB1B52"/>
    <w:rsid w:val="00CB1E6D"/>
    <w:rsid w:val="00CB2F2F"/>
    <w:rsid w:val="00CB316D"/>
    <w:rsid w:val="00CB38C6"/>
    <w:rsid w:val="00CB54BA"/>
    <w:rsid w:val="00CB6588"/>
    <w:rsid w:val="00CB7EA8"/>
    <w:rsid w:val="00CC114E"/>
    <w:rsid w:val="00CC15D2"/>
    <w:rsid w:val="00CC1860"/>
    <w:rsid w:val="00CC1C52"/>
    <w:rsid w:val="00CC3064"/>
    <w:rsid w:val="00CC5274"/>
    <w:rsid w:val="00CC58F2"/>
    <w:rsid w:val="00CC5F9D"/>
    <w:rsid w:val="00CD0F24"/>
    <w:rsid w:val="00CD1435"/>
    <w:rsid w:val="00CD1B53"/>
    <w:rsid w:val="00CD371C"/>
    <w:rsid w:val="00CD62BB"/>
    <w:rsid w:val="00CD64D8"/>
    <w:rsid w:val="00CD75C5"/>
    <w:rsid w:val="00CD7985"/>
    <w:rsid w:val="00CE0A61"/>
    <w:rsid w:val="00CE3685"/>
    <w:rsid w:val="00CE606B"/>
    <w:rsid w:val="00CF0B57"/>
    <w:rsid w:val="00CF35A7"/>
    <w:rsid w:val="00CF3B51"/>
    <w:rsid w:val="00CF444E"/>
    <w:rsid w:val="00CF7095"/>
    <w:rsid w:val="00D0072B"/>
    <w:rsid w:val="00D04940"/>
    <w:rsid w:val="00D0757A"/>
    <w:rsid w:val="00D10CEF"/>
    <w:rsid w:val="00D11C1A"/>
    <w:rsid w:val="00D13065"/>
    <w:rsid w:val="00D13694"/>
    <w:rsid w:val="00D17E18"/>
    <w:rsid w:val="00D211F2"/>
    <w:rsid w:val="00D2188E"/>
    <w:rsid w:val="00D228C8"/>
    <w:rsid w:val="00D235F4"/>
    <w:rsid w:val="00D23F11"/>
    <w:rsid w:val="00D24702"/>
    <w:rsid w:val="00D31F3D"/>
    <w:rsid w:val="00D320AF"/>
    <w:rsid w:val="00D32160"/>
    <w:rsid w:val="00D326BD"/>
    <w:rsid w:val="00D331DD"/>
    <w:rsid w:val="00D40096"/>
    <w:rsid w:val="00D40308"/>
    <w:rsid w:val="00D42CB6"/>
    <w:rsid w:val="00D42D66"/>
    <w:rsid w:val="00D42FDA"/>
    <w:rsid w:val="00D43504"/>
    <w:rsid w:val="00D435BF"/>
    <w:rsid w:val="00D43A3B"/>
    <w:rsid w:val="00D43E35"/>
    <w:rsid w:val="00D44F1E"/>
    <w:rsid w:val="00D44FAD"/>
    <w:rsid w:val="00D454AE"/>
    <w:rsid w:val="00D47298"/>
    <w:rsid w:val="00D50C38"/>
    <w:rsid w:val="00D515AF"/>
    <w:rsid w:val="00D52A45"/>
    <w:rsid w:val="00D551F3"/>
    <w:rsid w:val="00D6172D"/>
    <w:rsid w:val="00D6185A"/>
    <w:rsid w:val="00D61F07"/>
    <w:rsid w:val="00D6300C"/>
    <w:rsid w:val="00D66E50"/>
    <w:rsid w:val="00D70F11"/>
    <w:rsid w:val="00D71365"/>
    <w:rsid w:val="00D75A7E"/>
    <w:rsid w:val="00D778C6"/>
    <w:rsid w:val="00D8001F"/>
    <w:rsid w:val="00D8074A"/>
    <w:rsid w:val="00D80F1A"/>
    <w:rsid w:val="00D8151B"/>
    <w:rsid w:val="00D842C4"/>
    <w:rsid w:val="00D84529"/>
    <w:rsid w:val="00D8728E"/>
    <w:rsid w:val="00D900B6"/>
    <w:rsid w:val="00D90EDC"/>
    <w:rsid w:val="00D9128B"/>
    <w:rsid w:val="00DA0548"/>
    <w:rsid w:val="00DA7EBE"/>
    <w:rsid w:val="00DB2FA5"/>
    <w:rsid w:val="00DB5452"/>
    <w:rsid w:val="00DB7F1C"/>
    <w:rsid w:val="00DC00A4"/>
    <w:rsid w:val="00DC0965"/>
    <w:rsid w:val="00DC0BF1"/>
    <w:rsid w:val="00DC180F"/>
    <w:rsid w:val="00DC2348"/>
    <w:rsid w:val="00DC72C0"/>
    <w:rsid w:val="00DD03B9"/>
    <w:rsid w:val="00DD2A8F"/>
    <w:rsid w:val="00DD41F2"/>
    <w:rsid w:val="00DD5E16"/>
    <w:rsid w:val="00DD662C"/>
    <w:rsid w:val="00DD7C03"/>
    <w:rsid w:val="00DE02E8"/>
    <w:rsid w:val="00DE11EF"/>
    <w:rsid w:val="00DE2AD3"/>
    <w:rsid w:val="00DE2D26"/>
    <w:rsid w:val="00DE3536"/>
    <w:rsid w:val="00DE3E4A"/>
    <w:rsid w:val="00DE71BE"/>
    <w:rsid w:val="00DF0816"/>
    <w:rsid w:val="00DF0A05"/>
    <w:rsid w:val="00DF1A83"/>
    <w:rsid w:val="00DF298D"/>
    <w:rsid w:val="00DF3F7D"/>
    <w:rsid w:val="00DF552C"/>
    <w:rsid w:val="00E001AA"/>
    <w:rsid w:val="00E0115A"/>
    <w:rsid w:val="00E03750"/>
    <w:rsid w:val="00E03A15"/>
    <w:rsid w:val="00E04EE6"/>
    <w:rsid w:val="00E05F68"/>
    <w:rsid w:val="00E0653C"/>
    <w:rsid w:val="00E07E69"/>
    <w:rsid w:val="00E119BF"/>
    <w:rsid w:val="00E13778"/>
    <w:rsid w:val="00E13902"/>
    <w:rsid w:val="00E14C00"/>
    <w:rsid w:val="00E204D0"/>
    <w:rsid w:val="00E22577"/>
    <w:rsid w:val="00E230EA"/>
    <w:rsid w:val="00E27A60"/>
    <w:rsid w:val="00E415CC"/>
    <w:rsid w:val="00E42D8B"/>
    <w:rsid w:val="00E433D5"/>
    <w:rsid w:val="00E446D7"/>
    <w:rsid w:val="00E45A92"/>
    <w:rsid w:val="00E46721"/>
    <w:rsid w:val="00E46F67"/>
    <w:rsid w:val="00E51B20"/>
    <w:rsid w:val="00E5239A"/>
    <w:rsid w:val="00E5390E"/>
    <w:rsid w:val="00E634AD"/>
    <w:rsid w:val="00E662B5"/>
    <w:rsid w:val="00E66E8C"/>
    <w:rsid w:val="00E67487"/>
    <w:rsid w:val="00E736CC"/>
    <w:rsid w:val="00E75754"/>
    <w:rsid w:val="00E76187"/>
    <w:rsid w:val="00E8387D"/>
    <w:rsid w:val="00E83A71"/>
    <w:rsid w:val="00E856C7"/>
    <w:rsid w:val="00E865B0"/>
    <w:rsid w:val="00E86FE2"/>
    <w:rsid w:val="00E90F43"/>
    <w:rsid w:val="00E91806"/>
    <w:rsid w:val="00E932AF"/>
    <w:rsid w:val="00E9367A"/>
    <w:rsid w:val="00E93DA8"/>
    <w:rsid w:val="00E96650"/>
    <w:rsid w:val="00E96FD7"/>
    <w:rsid w:val="00EA4004"/>
    <w:rsid w:val="00EA4579"/>
    <w:rsid w:val="00EA4B65"/>
    <w:rsid w:val="00EA6F00"/>
    <w:rsid w:val="00EA77F2"/>
    <w:rsid w:val="00EA7EA9"/>
    <w:rsid w:val="00EA7FC5"/>
    <w:rsid w:val="00EB084E"/>
    <w:rsid w:val="00EB436B"/>
    <w:rsid w:val="00EB5FF1"/>
    <w:rsid w:val="00EB6D07"/>
    <w:rsid w:val="00EC01F8"/>
    <w:rsid w:val="00EC0C3E"/>
    <w:rsid w:val="00EC39D6"/>
    <w:rsid w:val="00EC4322"/>
    <w:rsid w:val="00EC4DBD"/>
    <w:rsid w:val="00EC59B4"/>
    <w:rsid w:val="00EC6439"/>
    <w:rsid w:val="00EC710C"/>
    <w:rsid w:val="00ED06FC"/>
    <w:rsid w:val="00ED082D"/>
    <w:rsid w:val="00ED0B86"/>
    <w:rsid w:val="00ED2037"/>
    <w:rsid w:val="00ED22F0"/>
    <w:rsid w:val="00ED2E9B"/>
    <w:rsid w:val="00EE1712"/>
    <w:rsid w:val="00EE1A95"/>
    <w:rsid w:val="00EE1D2B"/>
    <w:rsid w:val="00EE4D6C"/>
    <w:rsid w:val="00EE5F25"/>
    <w:rsid w:val="00EE6D9B"/>
    <w:rsid w:val="00EE759E"/>
    <w:rsid w:val="00EF098A"/>
    <w:rsid w:val="00EF0A22"/>
    <w:rsid w:val="00EF103D"/>
    <w:rsid w:val="00EF1378"/>
    <w:rsid w:val="00EF42CF"/>
    <w:rsid w:val="00EF4801"/>
    <w:rsid w:val="00F01116"/>
    <w:rsid w:val="00F017C3"/>
    <w:rsid w:val="00F01FF5"/>
    <w:rsid w:val="00F03C4E"/>
    <w:rsid w:val="00F03CB4"/>
    <w:rsid w:val="00F043F3"/>
    <w:rsid w:val="00F04670"/>
    <w:rsid w:val="00F05FCE"/>
    <w:rsid w:val="00F06B8B"/>
    <w:rsid w:val="00F06E27"/>
    <w:rsid w:val="00F1150F"/>
    <w:rsid w:val="00F11BB3"/>
    <w:rsid w:val="00F12726"/>
    <w:rsid w:val="00F170C5"/>
    <w:rsid w:val="00F203EC"/>
    <w:rsid w:val="00F21076"/>
    <w:rsid w:val="00F23870"/>
    <w:rsid w:val="00F253C6"/>
    <w:rsid w:val="00F25D19"/>
    <w:rsid w:val="00F2725A"/>
    <w:rsid w:val="00F316BA"/>
    <w:rsid w:val="00F40111"/>
    <w:rsid w:val="00F40268"/>
    <w:rsid w:val="00F41539"/>
    <w:rsid w:val="00F431CB"/>
    <w:rsid w:val="00F4455C"/>
    <w:rsid w:val="00F456F4"/>
    <w:rsid w:val="00F4773F"/>
    <w:rsid w:val="00F47936"/>
    <w:rsid w:val="00F512EC"/>
    <w:rsid w:val="00F5410F"/>
    <w:rsid w:val="00F55033"/>
    <w:rsid w:val="00F5503B"/>
    <w:rsid w:val="00F55BAF"/>
    <w:rsid w:val="00F574A8"/>
    <w:rsid w:val="00F57ACE"/>
    <w:rsid w:val="00F65F0E"/>
    <w:rsid w:val="00F7019D"/>
    <w:rsid w:val="00F71683"/>
    <w:rsid w:val="00F71F3D"/>
    <w:rsid w:val="00F7339F"/>
    <w:rsid w:val="00F73C55"/>
    <w:rsid w:val="00F74AD9"/>
    <w:rsid w:val="00F76DC7"/>
    <w:rsid w:val="00F770E7"/>
    <w:rsid w:val="00F774D5"/>
    <w:rsid w:val="00F811C6"/>
    <w:rsid w:val="00F81CB0"/>
    <w:rsid w:val="00F8420C"/>
    <w:rsid w:val="00F8474F"/>
    <w:rsid w:val="00F848CC"/>
    <w:rsid w:val="00F84CED"/>
    <w:rsid w:val="00F85826"/>
    <w:rsid w:val="00F90740"/>
    <w:rsid w:val="00F93BCC"/>
    <w:rsid w:val="00F954E6"/>
    <w:rsid w:val="00F97483"/>
    <w:rsid w:val="00F978F5"/>
    <w:rsid w:val="00F97B42"/>
    <w:rsid w:val="00F97E5A"/>
    <w:rsid w:val="00FA0BD9"/>
    <w:rsid w:val="00FA1217"/>
    <w:rsid w:val="00FA1347"/>
    <w:rsid w:val="00FA17B4"/>
    <w:rsid w:val="00FA1BAC"/>
    <w:rsid w:val="00FA2003"/>
    <w:rsid w:val="00FA399B"/>
    <w:rsid w:val="00FA5CE5"/>
    <w:rsid w:val="00FA5E1E"/>
    <w:rsid w:val="00FA7AC8"/>
    <w:rsid w:val="00FB5563"/>
    <w:rsid w:val="00FB6656"/>
    <w:rsid w:val="00FB7232"/>
    <w:rsid w:val="00FB7260"/>
    <w:rsid w:val="00FB7E9D"/>
    <w:rsid w:val="00FB7EB1"/>
    <w:rsid w:val="00FC39BE"/>
    <w:rsid w:val="00FC5B28"/>
    <w:rsid w:val="00FD0FAB"/>
    <w:rsid w:val="00FD2580"/>
    <w:rsid w:val="00FD373D"/>
    <w:rsid w:val="00FD461A"/>
    <w:rsid w:val="00FD666B"/>
    <w:rsid w:val="00FD6C75"/>
    <w:rsid w:val="00FD7CB9"/>
    <w:rsid w:val="00FD7F67"/>
    <w:rsid w:val="00FE168D"/>
    <w:rsid w:val="00FE1CF5"/>
    <w:rsid w:val="00FE20D6"/>
    <w:rsid w:val="00FE3076"/>
    <w:rsid w:val="00FE6470"/>
    <w:rsid w:val="00FE6C1B"/>
    <w:rsid w:val="00FF0BF6"/>
    <w:rsid w:val="00FF252B"/>
    <w:rsid w:val="00FF30CD"/>
    <w:rsid w:val="00FF417B"/>
    <w:rsid w:val="00FF448E"/>
    <w:rsid w:val="00FF450B"/>
    <w:rsid w:val="00FF78D2"/>
    <w:rsid w:val="00FF7D08"/>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9C488C"/>
    <w:pPr>
      <w:keepNext/>
      <w:spacing w:before="240" w:after="240" w:line="360" w:lineRule="auto"/>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9B3223"/>
    <w:pPr>
      <w:keepNext/>
      <w:keepLines/>
      <w:spacing w:before="240" w:after="240" w:line="360" w:lineRule="auto"/>
      <w:outlineLvl w:val="1"/>
    </w:pPr>
    <w:rPr>
      <w:rFonts w:eastAsiaTheme="majorEastAsia" w:cstheme="majorBidi"/>
      <w:b/>
      <w:bCs/>
      <w:szCs w:val="26"/>
    </w:rPr>
  </w:style>
  <w:style w:type="paragraph" w:styleId="Heading3">
    <w:name w:val="heading 3"/>
    <w:basedOn w:val="Normal"/>
    <w:next w:val="Normal"/>
    <w:link w:val="Heading3Char"/>
    <w:unhideWhenUsed/>
    <w:qFormat/>
    <w:rsid w:val="002A01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3735A"/>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63735A"/>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3735A"/>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63735A"/>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63735A"/>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63735A"/>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488C"/>
    <w:rPr>
      <w:rFonts w:eastAsia="Times New Roman" w:cs="Times New Roman"/>
      <w:b/>
      <w:bCs/>
      <w:kern w:val="36"/>
      <w:szCs w:val="28"/>
      <w:lang w:eastAsia="lv-LV"/>
    </w:rPr>
  </w:style>
  <w:style w:type="character" w:customStyle="1" w:styleId="Heading2Char">
    <w:name w:val="Heading 2 Char"/>
    <w:basedOn w:val="DefaultParagraphFont"/>
    <w:link w:val="Heading2"/>
    <w:rsid w:val="009B3223"/>
    <w:rPr>
      <w:rFonts w:eastAsiaTheme="majorEastAsia" w:cstheme="majorBidi"/>
      <w:b/>
      <w:bCs/>
      <w:szCs w:val="26"/>
    </w:rPr>
  </w:style>
  <w:style w:type="character" w:customStyle="1" w:styleId="Heading3Char">
    <w:name w:val="Heading 3 Char"/>
    <w:basedOn w:val="DefaultParagraphFont"/>
    <w:link w:val="Heading3"/>
    <w:rsid w:val="002A01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3735A"/>
    <w:rPr>
      <w:rFonts w:eastAsia="Times New Roman" w:cs="Times New Roman"/>
      <w:b/>
      <w:bCs/>
      <w:szCs w:val="28"/>
    </w:rPr>
  </w:style>
  <w:style w:type="character" w:customStyle="1" w:styleId="Heading5Char">
    <w:name w:val="Heading 5 Char"/>
    <w:basedOn w:val="DefaultParagraphFont"/>
    <w:link w:val="Heading5"/>
    <w:rsid w:val="0063735A"/>
    <w:rPr>
      <w:rFonts w:eastAsia="Times New Roman" w:cs="Times New Roman"/>
      <w:b/>
      <w:bCs/>
      <w:i/>
      <w:iCs/>
      <w:sz w:val="26"/>
      <w:szCs w:val="26"/>
    </w:rPr>
  </w:style>
  <w:style w:type="character" w:customStyle="1" w:styleId="Heading6Char">
    <w:name w:val="Heading 6 Char"/>
    <w:basedOn w:val="DefaultParagraphFont"/>
    <w:link w:val="Heading6"/>
    <w:rsid w:val="0063735A"/>
    <w:rPr>
      <w:rFonts w:eastAsia="Times New Roman" w:cs="Times New Roman"/>
      <w:b/>
      <w:bCs/>
      <w:sz w:val="22"/>
    </w:rPr>
  </w:style>
  <w:style w:type="character" w:customStyle="1" w:styleId="Heading7Char">
    <w:name w:val="Heading 7 Char"/>
    <w:basedOn w:val="DefaultParagraphFont"/>
    <w:link w:val="Heading7"/>
    <w:rsid w:val="0063735A"/>
    <w:rPr>
      <w:rFonts w:eastAsia="Times New Roman" w:cs="Times New Roman"/>
      <w:sz w:val="24"/>
      <w:szCs w:val="24"/>
    </w:rPr>
  </w:style>
  <w:style w:type="character" w:customStyle="1" w:styleId="Heading8Char">
    <w:name w:val="Heading 8 Char"/>
    <w:basedOn w:val="DefaultParagraphFont"/>
    <w:link w:val="Heading8"/>
    <w:rsid w:val="0063735A"/>
    <w:rPr>
      <w:rFonts w:eastAsia="Times New Roman" w:cs="Times New Roman"/>
      <w:i/>
      <w:iCs/>
      <w:sz w:val="24"/>
      <w:szCs w:val="24"/>
    </w:rPr>
  </w:style>
  <w:style w:type="character" w:customStyle="1" w:styleId="Heading9Char">
    <w:name w:val="Heading 9 Char"/>
    <w:basedOn w:val="DefaultParagraphFont"/>
    <w:link w:val="Heading9"/>
    <w:rsid w:val="0063735A"/>
    <w:rPr>
      <w:rFonts w:ascii="Arial" w:eastAsia="Times New Roman" w:hAnsi="Arial" w:cs="Arial"/>
      <w:sz w:val="22"/>
    </w:rPr>
  </w:style>
  <w:style w:type="paragraph" w:styleId="ListParagraph">
    <w:name w:val="List Paragraph"/>
    <w:aliases w:val="2"/>
    <w:basedOn w:val="Normal"/>
    <w:link w:val="ListParagraphChar"/>
    <w:uiPriority w:val="34"/>
    <w:qFormat/>
    <w:rsid w:val="000336EC"/>
    <w:pPr>
      <w:ind w:left="720"/>
      <w:contextualSpacing/>
    </w:pPr>
  </w:style>
  <w:style w:type="character" w:customStyle="1" w:styleId="ListParagraphChar">
    <w:name w:val="List Paragraph Char"/>
    <w:aliases w:val="2 Char"/>
    <w:link w:val="ListParagraph"/>
    <w:uiPriority w:val="34"/>
    <w:locked/>
    <w:rsid w:val="002200C9"/>
  </w:style>
  <w:style w:type="paragraph" w:styleId="Header">
    <w:name w:val="header"/>
    <w:basedOn w:val="Normal"/>
    <w:link w:val="HeaderChar"/>
    <w:uiPriority w:val="99"/>
    <w:unhideWhenUsed/>
    <w:rsid w:val="008F6836"/>
    <w:pPr>
      <w:tabs>
        <w:tab w:val="center" w:pos="4153"/>
        <w:tab w:val="right" w:pos="8306"/>
      </w:tabs>
    </w:pPr>
  </w:style>
  <w:style w:type="character" w:customStyle="1" w:styleId="HeaderChar">
    <w:name w:val="Header Char"/>
    <w:basedOn w:val="DefaultParagraphFont"/>
    <w:link w:val="Header"/>
    <w:uiPriority w:val="99"/>
    <w:rsid w:val="008F6836"/>
  </w:style>
  <w:style w:type="paragraph" w:styleId="Footer">
    <w:name w:val="footer"/>
    <w:basedOn w:val="Normal"/>
    <w:link w:val="FooterChar"/>
    <w:uiPriority w:val="99"/>
    <w:unhideWhenUsed/>
    <w:rsid w:val="008F6836"/>
    <w:pPr>
      <w:tabs>
        <w:tab w:val="center" w:pos="4153"/>
        <w:tab w:val="right" w:pos="8306"/>
      </w:tabs>
    </w:pPr>
  </w:style>
  <w:style w:type="character" w:customStyle="1" w:styleId="FooterChar">
    <w:name w:val="Footer Char"/>
    <w:basedOn w:val="DefaultParagraphFont"/>
    <w:link w:val="Footer"/>
    <w:uiPriority w:val="99"/>
    <w:rsid w:val="008F6836"/>
  </w:style>
  <w:style w:type="character" w:styleId="Strong">
    <w:name w:val="Strong"/>
    <w:basedOn w:val="DefaultParagraphFont"/>
    <w:uiPriority w:val="22"/>
    <w:qFormat/>
    <w:rsid w:val="00B01854"/>
    <w:rPr>
      <w:b/>
      <w:bCs/>
    </w:rPr>
  </w:style>
  <w:style w:type="character" w:styleId="Hyperlink">
    <w:name w:val="Hyperlink"/>
    <w:basedOn w:val="DefaultParagraphFont"/>
    <w:uiPriority w:val="99"/>
    <w:unhideWhenUsed/>
    <w:rsid w:val="00CC5F9D"/>
    <w:rPr>
      <w:color w:val="0000FF"/>
      <w:u w:val="single"/>
    </w:rPr>
  </w:style>
  <w:style w:type="character" w:customStyle="1" w:styleId="st">
    <w:name w:val="st"/>
    <w:basedOn w:val="DefaultParagraphFont"/>
    <w:rsid w:val="00EA4B65"/>
  </w:style>
  <w:style w:type="paragraph" w:styleId="BodyText">
    <w:name w:val="Body Text"/>
    <w:aliases w:val=" Rakstz."/>
    <w:basedOn w:val="Normal"/>
    <w:link w:val="BodyTextChar"/>
    <w:rsid w:val="00E46721"/>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E46721"/>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
    <w:basedOn w:val="Normal"/>
    <w:link w:val="FootnoteTextChar"/>
    <w:autoRedefine/>
    <w:uiPriority w:val="99"/>
    <w:rsid w:val="009334D9"/>
    <w:pPr>
      <w:jc w:val="both"/>
    </w:pPr>
    <w:rPr>
      <w:rFonts w:ascii="Arial" w:eastAsia="Times New Roman" w:hAnsi="Arial"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9334D9"/>
    <w:rPr>
      <w:rFonts w:ascii="Arial" w:eastAsia="Times New Roman" w:hAnsi="Arial"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
    <w:uiPriority w:val="99"/>
    <w:qFormat/>
    <w:rsid w:val="00E46721"/>
    <w:rPr>
      <w:rFonts w:ascii="Times New Roman" w:hAnsi="Times New Roman"/>
      <w:color w:val="000000"/>
      <w:position w:val="6"/>
      <w:sz w:val="16"/>
      <w:szCs w:val="16"/>
      <w:vertAlign w:val="superscript"/>
      <w:lang w:val="lv-LV"/>
    </w:rPr>
  </w:style>
  <w:style w:type="paragraph" w:styleId="BalloonText">
    <w:name w:val="Balloon Text"/>
    <w:basedOn w:val="Normal"/>
    <w:link w:val="BalloonTextChar"/>
    <w:uiPriority w:val="99"/>
    <w:semiHidden/>
    <w:unhideWhenUsed/>
    <w:rsid w:val="00E46721"/>
    <w:rPr>
      <w:rFonts w:ascii="Tahoma" w:hAnsi="Tahoma" w:cs="Tahoma"/>
      <w:sz w:val="16"/>
      <w:szCs w:val="16"/>
    </w:rPr>
  </w:style>
  <w:style w:type="character" w:customStyle="1" w:styleId="BalloonTextChar">
    <w:name w:val="Balloon Text Char"/>
    <w:basedOn w:val="DefaultParagraphFont"/>
    <w:link w:val="BalloonText"/>
    <w:uiPriority w:val="99"/>
    <w:semiHidden/>
    <w:rsid w:val="00E46721"/>
    <w:rPr>
      <w:rFonts w:ascii="Tahoma" w:hAnsi="Tahoma" w:cs="Tahoma"/>
      <w:sz w:val="16"/>
      <w:szCs w:val="16"/>
    </w:rPr>
  </w:style>
  <w:style w:type="character" w:styleId="CommentReference">
    <w:name w:val="annotation reference"/>
    <w:basedOn w:val="DefaultParagraphFont"/>
    <w:uiPriority w:val="99"/>
    <w:semiHidden/>
    <w:unhideWhenUsed/>
    <w:rsid w:val="00FB5563"/>
    <w:rPr>
      <w:sz w:val="16"/>
      <w:szCs w:val="16"/>
    </w:rPr>
  </w:style>
  <w:style w:type="paragraph" w:styleId="CommentText">
    <w:name w:val="annotation text"/>
    <w:basedOn w:val="Normal"/>
    <w:link w:val="CommentTextChar"/>
    <w:uiPriority w:val="99"/>
    <w:unhideWhenUsed/>
    <w:rsid w:val="00FB5563"/>
    <w:rPr>
      <w:sz w:val="20"/>
      <w:szCs w:val="20"/>
    </w:rPr>
  </w:style>
  <w:style w:type="character" w:customStyle="1" w:styleId="CommentTextChar">
    <w:name w:val="Comment Text Char"/>
    <w:basedOn w:val="DefaultParagraphFont"/>
    <w:link w:val="CommentText"/>
    <w:uiPriority w:val="99"/>
    <w:rsid w:val="00FB5563"/>
    <w:rPr>
      <w:sz w:val="20"/>
      <w:szCs w:val="20"/>
    </w:rPr>
  </w:style>
  <w:style w:type="paragraph" w:styleId="CommentSubject">
    <w:name w:val="annotation subject"/>
    <w:basedOn w:val="CommentText"/>
    <w:next w:val="CommentText"/>
    <w:link w:val="CommentSubjectChar"/>
    <w:uiPriority w:val="99"/>
    <w:semiHidden/>
    <w:unhideWhenUsed/>
    <w:rsid w:val="00FB5563"/>
    <w:rPr>
      <w:b/>
      <w:bCs/>
    </w:rPr>
  </w:style>
  <w:style w:type="character" w:customStyle="1" w:styleId="CommentSubjectChar">
    <w:name w:val="Comment Subject Char"/>
    <w:basedOn w:val="CommentTextChar"/>
    <w:link w:val="CommentSubject"/>
    <w:uiPriority w:val="99"/>
    <w:semiHidden/>
    <w:rsid w:val="00FB5563"/>
    <w:rPr>
      <w:b/>
      <w:bCs/>
      <w:sz w:val="20"/>
      <w:szCs w:val="20"/>
    </w:rPr>
  </w:style>
  <w:style w:type="paragraph" w:styleId="TOCHeading">
    <w:name w:val="TOC Heading"/>
    <w:basedOn w:val="Heading1"/>
    <w:next w:val="Normal"/>
    <w:uiPriority w:val="39"/>
    <w:semiHidden/>
    <w:unhideWhenUsed/>
    <w:qFormat/>
    <w:rsid w:val="00B25A9B"/>
    <w:pPr>
      <w:keepLines/>
      <w:spacing w:before="480" w:line="276" w:lineRule="auto"/>
      <w:jc w:val="left"/>
      <w:outlineLvl w:val="9"/>
    </w:pPr>
    <w:rPr>
      <w:rFonts w:asciiTheme="majorHAnsi" w:eastAsiaTheme="majorEastAsia" w:hAnsiTheme="majorHAnsi" w:cstheme="majorBidi"/>
      <w:color w:val="365F91" w:themeColor="accent1" w:themeShade="BF"/>
      <w:kern w:val="0"/>
      <w:lang w:val="en-US" w:eastAsia="ja-JP"/>
    </w:rPr>
  </w:style>
  <w:style w:type="paragraph" w:styleId="TOC1">
    <w:name w:val="toc 1"/>
    <w:basedOn w:val="Normal"/>
    <w:next w:val="Normal"/>
    <w:autoRedefine/>
    <w:uiPriority w:val="39"/>
    <w:unhideWhenUsed/>
    <w:rsid w:val="00282634"/>
    <w:pPr>
      <w:tabs>
        <w:tab w:val="left" w:pos="284"/>
        <w:tab w:val="right" w:leader="dot" w:pos="9061"/>
      </w:tabs>
      <w:spacing w:after="100"/>
    </w:pPr>
  </w:style>
  <w:style w:type="paragraph" w:styleId="TOC2">
    <w:name w:val="toc 2"/>
    <w:basedOn w:val="Normal"/>
    <w:next w:val="Normal"/>
    <w:autoRedefine/>
    <w:uiPriority w:val="39"/>
    <w:unhideWhenUsed/>
    <w:rsid w:val="00282634"/>
    <w:pPr>
      <w:tabs>
        <w:tab w:val="left" w:pos="851"/>
        <w:tab w:val="right" w:leader="dot" w:pos="9061"/>
      </w:tabs>
      <w:spacing w:after="100"/>
      <w:ind w:left="280"/>
    </w:pPr>
  </w:style>
  <w:style w:type="paragraph" w:styleId="TOC3">
    <w:name w:val="toc 3"/>
    <w:basedOn w:val="Normal"/>
    <w:next w:val="Normal"/>
    <w:autoRedefine/>
    <w:uiPriority w:val="39"/>
    <w:unhideWhenUsed/>
    <w:rsid w:val="00B25A9B"/>
    <w:pPr>
      <w:spacing w:after="100"/>
      <w:ind w:left="560"/>
    </w:pPr>
  </w:style>
  <w:style w:type="paragraph" w:styleId="NormalWeb">
    <w:name w:val="Normal (Web)"/>
    <w:basedOn w:val="Normal"/>
    <w:uiPriority w:val="99"/>
    <w:unhideWhenUsed/>
    <w:rsid w:val="0063735A"/>
    <w:pPr>
      <w:spacing w:before="100" w:beforeAutospacing="1" w:after="100" w:afterAutospacing="1"/>
    </w:pPr>
    <w:rPr>
      <w:rFonts w:eastAsia="Times New Roman" w:cs="Times New Roman"/>
      <w:sz w:val="24"/>
      <w:szCs w:val="24"/>
      <w:lang w:eastAsia="lv-LV"/>
    </w:rPr>
  </w:style>
  <w:style w:type="table" w:styleId="TableGrid">
    <w:name w:val="Table Grid"/>
    <w:basedOn w:val="TableNormal"/>
    <w:uiPriority w:val="59"/>
    <w:rsid w:val="006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63735A"/>
    <w:pPr>
      <w:numPr>
        <w:ilvl w:val="3"/>
        <w:numId w:val="3"/>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63735A"/>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63735A"/>
    <w:pPr>
      <w:autoSpaceDE w:val="0"/>
      <w:autoSpaceDN w:val="0"/>
      <w:adjustRightInd w:val="0"/>
    </w:pPr>
    <w:rPr>
      <w:rFonts w:ascii="Arial" w:hAnsi="Arial" w:cs="Arial"/>
      <w:color w:val="000000"/>
      <w:sz w:val="24"/>
      <w:szCs w:val="24"/>
    </w:rPr>
  </w:style>
  <w:style w:type="paragraph" w:styleId="ListBullet2">
    <w:name w:val="List Bullet 2"/>
    <w:basedOn w:val="Normal"/>
    <w:rsid w:val="0063735A"/>
    <w:pPr>
      <w:numPr>
        <w:numId w:val="4"/>
      </w:numPr>
      <w:tabs>
        <w:tab w:val="num" w:pos="1080"/>
      </w:tabs>
      <w:ind w:left="1080" w:hanging="540"/>
    </w:pPr>
    <w:rPr>
      <w:rFonts w:eastAsia="Times New Roman" w:cs="Times New Roman"/>
      <w:noProof/>
      <w:szCs w:val="28"/>
    </w:rPr>
  </w:style>
  <w:style w:type="paragraph" w:styleId="Caption">
    <w:name w:val="caption"/>
    <w:basedOn w:val="Normal"/>
    <w:next w:val="Normal"/>
    <w:uiPriority w:val="35"/>
    <w:unhideWhenUsed/>
    <w:qFormat/>
    <w:rsid w:val="0063735A"/>
    <w:pPr>
      <w:spacing w:before="240" w:after="120"/>
    </w:pPr>
    <w:rPr>
      <w:rFonts w:eastAsia="Times New Roman" w:cs="Times New Roman"/>
      <w:b/>
      <w:bCs/>
      <w:sz w:val="20"/>
      <w:szCs w:val="20"/>
    </w:rPr>
  </w:style>
  <w:style w:type="character" w:styleId="Emphasis">
    <w:name w:val="Emphasis"/>
    <w:uiPriority w:val="20"/>
    <w:qFormat/>
    <w:rsid w:val="0063735A"/>
    <w:rPr>
      <w:i/>
      <w:iCs/>
    </w:rPr>
  </w:style>
  <w:style w:type="table" w:customStyle="1" w:styleId="TableGrid11">
    <w:name w:val="Table Grid11"/>
    <w:basedOn w:val="TableNormal"/>
    <w:next w:val="TableGrid"/>
    <w:uiPriority w:val="59"/>
    <w:rsid w:val="005E0DC3"/>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E0DC3"/>
    <w:pPr>
      <w:ind w:left="283" w:hanging="283"/>
    </w:pPr>
    <w:rPr>
      <w:rFonts w:eastAsia="Times New Roman" w:cs="Times New Roman"/>
      <w:sz w:val="24"/>
      <w:szCs w:val="24"/>
      <w:lang w:val="en-GB"/>
    </w:rPr>
  </w:style>
  <w:style w:type="table" w:customStyle="1" w:styleId="TableGrid1">
    <w:name w:val="Table Grid1"/>
    <w:basedOn w:val="TableNormal"/>
    <w:next w:val="TableGrid"/>
    <w:uiPriority w:val="59"/>
    <w:rsid w:val="00C7493D"/>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semiHidden/>
    <w:unhideWhenUsed/>
    <w:rsid w:val="00C749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493D"/>
    <w:rPr>
      <w:sz w:val="16"/>
      <w:szCs w:val="16"/>
    </w:rPr>
  </w:style>
  <w:style w:type="character" w:styleId="FollowedHyperlink">
    <w:name w:val="FollowedHyperlink"/>
    <w:aliases w:val="Footnote Text Char2,Footnote Text Char1 Char,Footnote Text Char Char Char,Footnote Text Char1 Char Char Char,Footnote Text Char Char Char Char Char,Vēres teksts Rakstz.1 Char Char Char Char Char"/>
    <w:semiHidden/>
    <w:unhideWhenUsed/>
    <w:rsid w:val="00C7493D"/>
    <w:rPr>
      <w:rFonts w:eastAsia="Times New Roman" w:cs="Times New Roman"/>
      <w:sz w:val="20"/>
      <w:szCs w:val="20"/>
    </w:rPr>
  </w:style>
  <w:style w:type="paragraph" w:styleId="PlainText">
    <w:name w:val="Plain Text"/>
    <w:basedOn w:val="Normal"/>
    <w:link w:val="PlainTextChar"/>
    <w:uiPriority w:val="99"/>
    <w:unhideWhenUsed/>
    <w:rsid w:val="00C7493D"/>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C7493D"/>
    <w:rPr>
      <w:rFonts w:ascii="Calibri" w:eastAsia="Calibri" w:hAnsi="Calibri" w:cs="Times New Roman"/>
      <w:szCs w:val="21"/>
    </w:rPr>
  </w:style>
  <w:style w:type="paragraph" w:customStyle="1" w:styleId="CM4">
    <w:name w:val="CM4"/>
    <w:basedOn w:val="Normal"/>
    <w:next w:val="Normal"/>
    <w:rsid w:val="00C7493D"/>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C7493D"/>
    <w:pPr>
      <w:spacing w:before="75" w:after="75"/>
      <w:ind w:firstLine="375"/>
      <w:jc w:val="both"/>
    </w:pPr>
    <w:rPr>
      <w:rFonts w:eastAsia="Times New Roman" w:cs="Times New Roman"/>
      <w:sz w:val="24"/>
      <w:szCs w:val="24"/>
      <w:lang w:eastAsia="lv-LV"/>
    </w:rPr>
  </w:style>
  <w:style w:type="paragraph" w:customStyle="1" w:styleId="Vstulesdatumsunnumurs">
    <w:name w:val="Vçstules datums un numurs"/>
    <w:basedOn w:val="Normal"/>
    <w:next w:val="EnvelopeAddress"/>
    <w:rsid w:val="00BD179E"/>
    <w:pPr>
      <w:keepNext/>
      <w:keepLines/>
      <w:widowControl w:val="0"/>
      <w:suppressAutoHyphens/>
      <w:spacing w:before="60" w:after="60"/>
      <w:ind w:right="4820"/>
    </w:pPr>
    <w:rPr>
      <w:rFonts w:eastAsia="Times New Roman" w:cs="Times New Roman"/>
      <w:szCs w:val="20"/>
      <w:lang w:val="en-AU"/>
    </w:rPr>
  </w:style>
  <w:style w:type="paragraph" w:styleId="EnvelopeAddress">
    <w:name w:val="envelope address"/>
    <w:basedOn w:val="Normal"/>
    <w:uiPriority w:val="99"/>
    <w:semiHidden/>
    <w:unhideWhenUsed/>
    <w:rsid w:val="00BD179E"/>
    <w:pPr>
      <w:framePr w:w="7920" w:h="1980" w:hRule="exact" w:hSpace="180" w:wrap="auto" w:hAnchor="page" w:xAlign="center" w:yAlign="bottom"/>
      <w:ind w:left="2880"/>
    </w:pPr>
    <w:rPr>
      <w:rFonts w:asciiTheme="majorHAnsi" w:eastAsiaTheme="majorEastAsia" w:hAnsiTheme="majorHAnsi" w:cstheme="majorBidi"/>
      <w:sz w:val="24"/>
      <w:szCs w:val="24"/>
    </w:rPr>
  </w:style>
  <w:style w:type="table" w:customStyle="1" w:styleId="TableGrid2">
    <w:name w:val="Table Grid2"/>
    <w:basedOn w:val="TableNormal"/>
    <w:next w:val="TableGrid"/>
    <w:uiPriority w:val="59"/>
    <w:rsid w:val="00C84DD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84DD3"/>
  </w:style>
  <w:style w:type="paragraph" w:customStyle="1" w:styleId="BodyTEXT0">
    <w:name w:val="BodyTEXT"/>
    <w:basedOn w:val="Normal"/>
    <w:autoRedefine/>
    <w:qFormat/>
    <w:rsid w:val="00893494"/>
    <w:pPr>
      <w:ind w:firstLine="720"/>
      <w:jc w:val="both"/>
    </w:pPr>
    <w:rPr>
      <w:rFonts w:eastAsia="Times New Roman" w:cs="Times New Roman"/>
      <w:szCs w:val="28"/>
      <w:lang w:bidi="en-US"/>
    </w:rPr>
  </w:style>
  <w:style w:type="paragraph" w:customStyle="1" w:styleId="tv2131">
    <w:name w:val="tv2131"/>
    <w:basedOn w:val="Normal"/>
    <w:rsid w:val="00C84DD3"/>
    <w:pPr>
      <w:autoSpaceDN w:val="0"/>
      <w:spacing w:line="360" w:lineRule="auto"/>
      <w:ind w:firstLine="300"/>
    </w:pPr>
    <w:rPr>
      <w:rFonts w:cs="Times New Roman"/>
      <w:color w:val="414142"/>
      <w:sz w:val="20"/>
      <w:szCs w:val="20"/>
      <w:lang w:eastAsia="lv-LV"/>
    </w:rPr>
  </w:style>
  <w:style w:type="paragraph" w:styleId="BodyText2">
    <w:name w:val="Body Text 2"/>
    <w:basedOn w:val="Normal"/>
    <w:link w:val="BodyText2Char"/>
    <w:uiPriority w:val="99"/>
    <w:unhideWhenUsed/>
    <w:rsid w:val="00D40096"/>
    <w:pPr>
      <w:spacing w:after="120" w:line="480" w:lineRule="auto"/>
    </w:pPr>
  </w:style>
  <w:style w:type="character" w:customStyle="1" w:styleId="BodyText2Char">
    <w:name w:val="Body Text 2 Char"/>
    <w:basedOn w:val="DefaultParagraphFont"/>
    <w:link w:val="BodyText2"/>
    <w:uiPriority w:val="99"/>
    <w:rsid w:val="00D40096"/>
  </w:style>
  <w:style w:type="paragraph" w:styleId="Title">
    <w:name w:val="Title"/>
    <w:basedOn w:val="Normal"/>
    <w:link w:val="TitleChar"/>
    <w:qFormat/>
    <w:rsid w:val="00D40096"/>
    <w:pPr>
      <w:jc w:val="center"/>
    </w:pPr>
    <w:rPr>
      <w:rFonts w:eastAsia="Times New Roman" w:cs="Times New Roman"/>
      <w:b/>
      <w:bCs/>
      <w:szCs w:val="24"/>
    </w:rPr>
  </w:style>
  <w:style w:type="character" w:customStyle="1" w:styleId="TitleChar">
    <w:name w:val="Title Char"/>
    <w:basedOn w:val="DefaultParagraphFont"/>
    <w:link w:val="Title"/>
    <w:rsid w:val="00D40096"/>
    <w:rPr>
      <w:rFonts w:eastAsia="Times New Roman" w:cs="Times New Roman"/>
      <w:b/>
      <w:bCs/>
      <w:szCs w:val="24"/>
    </w:rPr>
  </w:style>
  <w:style w:type="paragraph" w:styleId="Subtitle">
    <w:name w:val="Subtitle"/>
    <w:basedOn w:val="Normal"/>
    <w:next w:val="Normal"/>
    <w:link w:val="SubtitleChar"/>
    <w:uiPriority w:val="11"/>
    <w:qFormat/>
    <w:rsid w:val="00EE1D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1D2B"/>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AB4089"/>
  </w:style>
  <w:style w:type="paragraph" w:customStyle="1" w:styleId="xmsonormal">
    <w:name w:val="x_msonormal"/>
    <w:basedOn w:val="Normal"/>
    <w:rsid w:val="008B3819"/>
    <w:pPr>
      <w:spacing w:before="100" w:beforeAutospacing="1" w:after="100" w:afterAutospacing="1"/>
    </w:pPr>
    <w:rPr>
      <w:rFonts w:eastAsia="Times New Roman" w:cs="Times New Roman"/>
      <w:sz w:val="24"/>
      <w:szCs w:val="24"/>
      <w:lang w:val="en-US"/>
    </w:rPr>
  </w:style>
  <w:style w:type="paragraph" w:customStyle="1" w:styleId="CM1">
    <w:name w:val="CM1"/>
    <w:basedOn w:val="Default"/>
    <w:next w:val="Default"/>
    <w:uiPriority w:val="99"/>
    <w:rsid w:val="007A53B5"/>
    <w:rPr>
      <w:rFonts w:ascii="EUAlbertina" w:hAnsi="EUAlbertina"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9C488C"/>
    <w:pPr>
      <w:keepNext/>
      <w:spacing w:before="240" w:after="240" w:line="360" w:lineRule="auto"/>
      <w:jc w:val="both"/>
      <w:outlineLvl w:val="0"/>
    </w:pPr>
    <w:rPr>
      <w:rFonts w:eastAsia="Times New Roman" w:cs="Times New Roman"/>
      <w:b/>
      <w:bCs/>
      <w:kern w:val="36"/>
      <w:szCs w:val="28"/>
      <w:lang w:eastAsia="lv-LV"/>
    </w:rPr>
  </w:style>
  <w:style w:type="paragraph" w:styleId="Heading2">
    <w:name w:val="heading 2"/>
    <w:basedOn w:val="Normal"/>
    <w:next w:val="Normal"/>
    <w:link w:val="Heading2Char"/>
    <w:unhideWhenUsed/>
    <w:qFormat/>
    <w:rsid w:val="009B3223"/>
    <w:pPr>
      <w:keepNext/>
      <w:keepLines/>
      <w:spacing w:before="240" w:after="240" w:line="360" w:lineRule="auto"/>
      <w:outlineLvl w:val="1"/>
    </w:pPr>
    <w:rPr>
      <w:rFonts w:eastAsiaTheme="majorEastAsia" w:cstheme="majorBidi"/>
      <w:b/>
      <w:bCs/>
      <w:szCs w:val="26"/>
    </w:rPr>
  </w:style>
  <w:style w:type="paragraph" w:styleId="Heading3">
    <w:name w:val="heading 3"/>
    <w:basedOn w:val="Normal"/>
    <w:next w:val="Normal"/>
    <w:link w:val="Heading3Char"/>
    <w:unhideWhenUsed/>
    <w:qFormat/>
    <w:rsid w:val="002A01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3735A"/>
    <w:pPr>
      <w:keepNext/>
      <w:tabs>
        <w:tab w:val="num" w:pos="1080"/>
      </w:tabs>
      <w:spacing w:before="240" w:after="60"/>
      <w:outlineLvl w:val="3"/>
    </w:pPr>
    <w:rPr>
      <w:rFonts w:eastAsia="Times New Roman" w:cs="Times New Roman"/>
      <w:b/>
      <w:bCs/>
      <w:szCs w:val="28"/>
    </w:rPr>
  </w:style>
  <w:style w:type="paragraph" w:styleId="Heading5">
    <w:name w:val="heading 5"/>
    <w:basedOn w:val="Normal"/>
    <w:next w:val="Normal"/>
    <w:link w:val="Heading5Char"/>
    <w:qFormat/>
    <w:rsid w:val="0063735A"/>
    <w:pPr>
      <w:tabs>
        <w:tab w:val="num" w:pos="0"/>
      </w:tabs>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3735A"/>
    <w:pPr>
      <w:tabs>
        <w:tab w:val="num" w:pos="0"/>
      </w:tabs>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63735A"/>
    <w:pPr>
      <w:tabs>
        <w:tab w:val="num" w:pos="0"/>
      </w:tabs>
      <w:spacing w:before="240" w:after="60"/>
      <w:outlineLvl w:val="6"/>
    </w:pPr>
    <w:rPr>
      <w:rFonts w:eastAsia="Times New Roman" w:cs="Times New Roman"/>
      <w:sz w:val="24"/>
      <w:szCs w:val="24"/>
    </w:rPr>
  </w:style>
  <w:style w:type="paragraph" w:styleId="Heading8">
    <w:name w:val="heading 8"/>
    <w:basedOn w:val="Normal"/>
    <w:next w:val="Normal"/>
    <w:link w:val="Heading8Char"/>
    <w:qFormat/>
    <w:rsid w:val="0063735A"/>
    <w:pPr>
      <w:tabs>
        <w:tab w:val="num" w:pos="0"/>
      </w:tabs>
      <w:spacing w:before="240" w:after="60"/>
      <w:outlineLvl w:val="7"/>
    </w:pPr>
    <w:rPr>
      <w:rFonts w:eastAsia="Times New Roman" w:cs="Times New Roman"/>
      <w:i/>
      <w:iCs/>
      <w:sz w:val="24"/>
      <w:szCs w:val="24"/>
    </w:rPr>
  </w:style>
  <w:style w:type="paragraph" w:styleId="Heading9">
    <w:name w:val="heading 9"/>
    <w:basedOn w:val="Normal"/>
    <w:next w:val="Normal"/>
    <w:link w:val="Heading9Char"/>
    <w:qFormat/>
    <w:rsid w:val="0063735A"/>
    <w:pPr>
      <w:tabs>
        <w:tab w:val="num" w:pos="0"/>
      </w:tabs>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488C"/>
    <w:rPr>
      <w:rFonts w:eastAsia="Times New Roman" w:cs="Times New Roman"/>
      <w:b/>
      <w:bCs/>
      <w:kern w:val="36"/>
      <w:szCs w:val="28"/>
      <w:lang w:eastAsia="lv-LV"/>
    </w:rPr>
  </w:style>
  <w:style w:type="character" w:customStyle="1" w:styleId="Heading2Char">
    <w:name w:val="Heading 2 Char"/>
    <w:basedOn w:val="DefaultParagraphFont"/>
    <w:link w:val="Heading2"/>
    <w:rsid w:val="009B3223"/>
    <w:rPr>
      <w:rFonts w:eastAsiaTheme="majorEastAsia" w:cstheme="majorBidi"/>
      <w:b/>
      <w:bCs/>
      <w:szCs w:val="26"/>
    </w:rPr>
  </w:style>
  <w:style w:type="character" w:customStyle="1" w:styleId="Heading3Char">
    <w:name w:val="Heading 3 Char"/>
    <w:basedOn w:val="DefaultParagraphFont"/>
    <w:link w:val="Heading3"/>
    <w:rsid w:val="002A01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3735A"/>
    <w:rPr>
      <w:rFonts w:eastAsia="Times New Roman" w:cs="Times New Roman"/>
      <w:b/>
      <w:bCs/>
      <w:szCs w:val="28"/>
    </w:rPr>
  </w:style>
  <w:style w:type="character" w:customStyle="1" w:styleId="Heading5Char">
    <w:name w:val="Heading 5 Char"/>
    <w:basedOn w:val="DefaultParagraphFont"/>
    <w:link w:val="Heading5"/>
    <w:rsid w:val="0063735A"/>
    <w:rPr>
      <w:rFonts w:eastAsia="Times New Roman" w:cs="Times New Roman"/>
      <w:b/>
      <w:bCs/>
      <w:i/>
      <w:iCs/>
      <w:sz w:val="26"/>
      <w:szCs w:val="26"/>
    </w:rPr>
  </w:style>
  <w:style w:type="character" w:customStyle="1" w:styleId="Heading6Char">
    <w:name w:val="Heading 6 Char"/>
    <w:basedOn w:val="DefaultParagraphFont"/>
    <w:link w:val="Heading6"/>
    <w:rsid w:val="0063735A"/>
    <w:rPr>
      <w:rFonts w:eastAsia="Times New Roman" w:cs="Times New Roman"/>
      <w:b/>
      <w:bCs/>
      <w:sz w:val="22"/>
    </w:rPr>
  </w:style>
  <w:style w:type="character" w:customStyle="1" w:styleId="Heading7Char">
    <w:name w:val="Heading 7 Char"/>
    <w:basedOn w:val="DefaultParagraphFont"/>
    <w:link w:val="Heading7"/>
    <w:rsid w:val="0063735A"/>
    <w:rPr>
      <w:rFonts w:eastAsia="Times New Roman" w:cs="Times New Roman"/>
      <w:sz w:val="24"/>
      <w:szCs w:val="24"/>
    </w:rPr>
  </w:style>
  <w:style w:type="character" w:customStyle="1" w:styleId="Heading8Char">
    <w:name w:val="Heading 8 Char"/>
    <w:basedOn w:val="DefaultParagraphFont"/>
    <w:link w:val="Heading8"/>
    <w:rsid w:val="0063735A"/>
    <w:rPr>
      <w:rFonts w:eastAsia="Times New Roman" w:cs="Times New Roman"/>
      <w:i/>
      <w:iCs/>
      <w:sz w:val="24"/>
      <w:szCs w:val="24"/>
    </w:rPr>
  </w:style>
  <w:style w:type="character" w:customStyle="1" w:styleId="Heading9Char">
    <w:name w:val="Heading 9 Char"/>
    <w:basedOn w:val="DefaultParagraphFont"/>
    <w:link w:val="Heading9"/>
    <w:rsid w:val="0063735A"/>
    <w:rPr>
      <w:rFonts w:ascii="Arial" w:eastAsia="Times New Roman" w:hAnsi="Arial" w:cs="Arial"/>
      <w:sz w:val="22"/>
    </w:rPr>
  </w:style>
  <w:style w:type="paragraph" w:styleId="ListParagraph">
    <w:name w:val="List Paragraph"/>
    <w:aliases w:val="2"/>
    <w:basedOn w:val="Normal"/>
    <w:link w:val="ListParagraphChar"/>
    <w:uiPriority w:val="34"/>
    <w:qFormat/>
    <w:rsid w:val="000336EC"/>
    <w:pPr>
      <w:ind w:left="720"/>
      <w:contextualSpacing/>
    </w:pPr>
  </w:style>
  <w:style w:type="character" w:customStyle="1" w:styleId="ListParagraphChar">
    <w:name w:val="List Paragraph Char"/>
    <w:aliases w:val="2 Char"/>
    <w:link w:val="ListParagraph"/>
    <w:uiPriority w:val="34"/>
    <w:locked/>
    <w:rsid w:val="002200C9"/>
  </w:style>
  <w:style w:type="paragraph" w:styleId="Header">
    <w:name w:val="header"/>
    <w:basedOn w:val="Normal"/>
    <w:link w:val="HeaderChar"/>
    <w:uiPriority w:val="99"/>
    <w:unhideWhenUsed/>
    <w:rsid w:val="008F6836"/>
    <w:pPr>
      <w:tabs>
        <w:tab w:val="center" w:pos="4153"/>
        <w:tab w:val="right" w:pos="8306"/>
      </w:tabs>
    </w:pPr>
  </w:style>
  <w:style w:type="character" w:customStyle="1" w:styleId="HeaderChar">
    <w:name w:val="Header Char"/>
    <w:basedOn w:val="DefaultParagraphFont"/>
    <w:link w:val="Header"/>
    <w:uiPriority w:val="99"/>
    <w:rsid w:val="008F6836"/>
  </w:style>
  <w:style w:type="paragraph" w:styleId="Footer">
    <w:name w:val="footer"/>
    <w:basedOn w:val="Normal"/>
    <w:link w:val="FooterChar"/>
    <w:uiPriority w:val="99"/>
    <w:unhideWhenUsed/>
    <w:rsid w:val="008F6836"/>
    <w:pPr>
      <w:tabs>
        <w:tab w:val="center" w:pos="4153"/>
        <w:tab w:val="right" w:pos="8306"/>
      </w:tabs>
    </w:pPr>
  </w:style>
  <w:style w:type="character" w:customStyle="1" w:styleId="FooterChar">
    <w:name w:val="Footer Char"/>
    <w:basedOn w:val="DefaultParagraphFont"/>
    <w:link w:val="Footer"/>
    <w:uiPriority w:val="99"/>
    <w:rsid w:val="008F6836"/>
  </w:style>
  <w:style w:type="character" w:styleId="Strong">
    <w:name w:val="Strong"/>
    <w:basedOn w:val="DefaultParagraphFont"/>
    <w:uiPriority w:val="22"/>
    <w:qFormat/>
    <w:rsid w:val="00B01854"/>
    <w:rPr>
      <w:b/>
      <w:bCs/>
    </w:rPr>
  </w:style>
  <w:style w:type="character" w:styleId="Hyperlink">
    <w:name w:val="Hyperlink"/>
    <w:basedOn w:val="DefaultParagraphFont"/>
    <w:uiPriority w:val="99"/>
    <w:unhideWhenUsed/>
    <w:rsid w:val="00CC5F9D"/>
    <w:rPr>
      <w:color w:val="0000FF"/>
      <w:u w:val="single"/>
    </w:rPr>
  </w:style>
  <w:style w:type="character" w:customStyle="1" w:styleId="st">
    <w:name w:val="st"/>
    <w:basedOn w:val="DefaultParagraphFont"/>
    <w:rsid w:val="00EA4B65"/>
  </w:style>
  <w:style w:type="paragraph" w:styleId="BodyText">
    <w:name w:val="Body Text"/>
    <w:aliases w:val=" Rakstz."/>
    <w:basedOn w:val="Normal"/>
    <w:link w:val="BodyTextChar"/>
    <w:rsid w:val="00E46721"/>
    <w:pPr>
      <w:spacing w:after="120"/>
    </w:pPr>
    <w:rPr>
      <w:rFonts w:eastAsia="Times New Roman" w:cs="Times New Roman"/>
      <w:sz w:val="24"/>
      <w:szCs w:val="24"/>
    </w:rPr>
  </w:style>
  <w:style w:type="character" w:customStyle="1" w:styleId="BodyTextChar">
    <w:name w:val="Body Text Char"/>
    <w:aliases w:val=" Rakstz. Char"/>
    <w:basedOn w:val="DefaultParagraphFont"/>
    <w:link w:val="BodyText"/>
    <w:rsid w:val="00E46721"/>
    <w:rPr>
      <w:rFonts w:eastAsia="Times New Roman" w:cs="Times New Roman"/>
      <w:sz w:val="24"/>
      <w:szCs w:val="24"/>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
    <w:basedOn w:val="Normal"/>
    <w:link w:val="FootnoteTextChar"/>
    <w:autoRedefine/>
    <w:uiPriority w:val="99"/>
    <w:rsid w:val="009334D9"/>
    <w:pPr>
      <w:jc w:val="both"/>
    </w:pPr>
    <w:rPr>
      <w:rFonts w:ascii="Arial" w:eastAsia="Times New Roman" w:hAnsi="Arial" w:cs="Times New Roman"/>
      <w:position w:val="6"/>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9334D9"/>
    <w:rPr>
      <w:rFonts w:ascii="Arial" w:eastAsia="Times New Roman" w:hAnsi="Arial" w:cs="Times New Roman"/>
      <w:position w:val="6"/>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
    <w:uiPriority w:val="99"/>
    <w:qFormat/>
    <w:rsid w:val="00E46721"/>
    <w:rPr>
      <w:rFonts w:ascii="Times New Roman" w:hAnsi="Times New Roman"/>
      <w:color w:val="000000"/>
      <w:position w:val="6"/>
      <w:sz w:val="16"/>
      <w:szCs w:val="16"/>
      <w:vertAlign w:val="superscript"/>
      <w:lang w:val="lv-LV"/>
    </w:rPr>
  </w:style>
  <w:style w:type="paragraph" w:styleId="BalloonText">
    <w:name w:val="Balloon Text"/>
    <w:basedOn w:val="Normal"/>
    <w:link w:val="BalloonTextChar"/>
    <w:uiPriority w:val="99"/>
    <w:semiHidden/>
    <w:unhideWhenUsed/>
    <w:rsid w:val="00E46721"/>
    <w:rPr>
      <w:rFonts w:ascii="Tahoma" w:hAnsi="Tahoma" w:cs="Tahoma"/>
      <w:sz w:val="16"/>
      <w:szCs w:val="16"/>
    </w:rPr>
  </w:style>
  <w:style w:type="character" w:customStyle="1" w:styleId="BalloonTextChar">
    <w:name w:val="Balloon Text Char"/>
    <w:basedOn w:val="DefaultParagraphFont"/>
    <w:link w:val="BalloonText"/>
    <w:uiPriority w:val="99"/>
    <w:semiHidden/>
    <w:rsid w:val="00E46721"/>
    <w:rPr>
      <w:rFonts w:ascii="Tahoma" w:hAnsi="Tahoma" w:cs="Tahoma"/>
      <w:sz w:val="16"/>
      <w:szCs w:val="16"/>
    </w:rPr>
  </w:style>
  <w:style w:type="character" w:styleId="CommentReference">
    <w:name w:val="annotation reference"/>
    <w:basedOn w:val="DefaultParagraphFont"/>
    <w:uiPriority w:val="99"/>
    <w:semiHidden/>
    <w:unhideWhenUsed/>
    <w:rsid w:val="00FB5563"/>
    <w:rPr>
      <w:sz w:val="16"/>
      <w:szCs w:val="16"/>
    </w:rPr>
  </w:style>
  <w:style w:type="paragraph" w:styleId="CommentText">
    <w:name w:val="annotation text"/>
    <w:basedOn w:val="Normal"/>
    <w:link w:val="CommentTextChar"/>
    <w:uiPriority w:val="99"/>
    <w:unhideWhenUsed/>
    <w:rsid w:val="00FB5563"/>
    <w:rPr>
      <w:sz w:val="20"/>
      <w:szCs w:val="20"/>
    </w:rPr>
  </w:style>
  <w:style w:type="character" w:customStyle="1" w:styleId="CommentTextChar">
    <w:name w:val="Comment Text Char"/>
    <w:basedOn w:val="DefaultParagraphFont"/>
    <w:link w:val="CommentText"/>
    <w:uiPriority w:val="99"/>
    <w:rsid w:val="00FB5563"/>
    <w:rPr>
      <w:sz w:val="20"/>
      <w:szCs w:val="20"/>
    </w:rPr>
  </w:style>
  <w:style w:type="paragraph" w:styleId="CommentSubject">
    <w:name w:val="annotation subject"/>
    <w:basedOn w:val="CommentText"/>
    <w:next w:val="CommentText"/>
    <w:link w:val="CommentSubjectChar"/>
    <w:uiPriority w:val="99"/>
    <w:semiHidden/>
    <w:unhideWhenUsed/>
    <w:rsid w:val="00FB5563"/>
    <w:rPr>
      <w:b/>
      <w:bCs/>
    </w:rPr>
  </w:style>
  <w:style w:type="character" w:customStyle="1" w:styleId="CommentSubjectChar">
    <w:name w:val="Comment Subject Char"/>
    <w:basedOn w:val="CommentTextChar"/>
    <w:link w:val="CommentSubject"/>
    <w:uiPriority w:val="99"/>
    <w:semiHidden/>
    <w:rsid w:val="00FB5563"/>
    <w:rPr>
      <w:b/>
      <w:bCs/>
      <w:sz w:val="20"/>
      <w:szCs w:val="20"/>
    </w:rPr>
  </w:style>
  <w:style w:type="paragraph" w:styleId="TOCHeading">
    <w:name w:val="TOC Heading"/>
    <w:basedOn w:val="Heading1"/>
    <w:next w:val="Normal"/>
    <w:uiPriority w:val="39"/>
    <w:semiHidden/>
    <w:unhideWhenUsed/>
    <w:qFormat/>
    <w:rsid w:val="00B25A9B"/>
    <w:pPr>
      <w:keepLines/>
      <w:spacing w:before="480" w:line="276" w:lineRule="auto"/>
      <w:jc w:val="left"/>
      <w:outlineLvl w:val="9"/>
    </w:pPr>
    <w:rPr>
      <w:rFonts w:asciiTheme="majorHAnsi" w:eastAsiaTheme="majorEastAsia" w:hAnsiTheme="majorHAnsi" w:cstheme="majorBidi"/>
      <w:color w:val="365F91" w:themeColor="accent1" w:themeShade="BF"/>
      <w:kern w:val="0"/>
      <w:lang w:val="en-US" w:eastAsia="ja-JP"/>
    </w:rPr>
  </w:style>
  <w:style w:type="paragraph" w:styleId="TOC1">
    <w:name w:val="toc 1"/>
    <w:basedOn w:val="Normal"/>
    <w:next w:val="Normal"/>
    <w:autoRedefine/>
    <w:uiPriority w:val="39"/>
    <w:unhideWhenUsed/>
    <w:rsid w:val="00282634"/>
    <w:pPr>
      <w:tabs>
        <w:tab w:val="left" w:pos="284"/>
        <w:tab w:val="right" w:leader="dot" w:pos="9061"/>
      </w:tabs>
      <w:spacing w:after="100"/>
    </w:pPr>
  </w:style>
  <w:style w:type="paragraph" w:styleId="TOC2">
    <w:name w:val="toc 2"/>
    <w:basedOn w:val="Normal"/>
    <w:next w:val="Normal"/>
    <w:autoRedefine/>
    <w:uiPriority w:val="39"/>
    <w:unhideWhenUsed/>
    <w:rsid w:val="00282634"/>
    <w:pPr>
      <w:tabs>
        <w:tab w:val="left" w:pos="851"/>
        <w:tab w:val="right" w:leader="dot" w:pos="9061"/>
      </w:tabs>
      <w:spacing w:after="100"/>
      <w:ind w:left="280"/>
    </w:pPr>
  </w:style>
  <w:style w:type="paragraph" w:styleId="TOC3">
    <w:name w:val="toc 3"/>
    <w:basedOn w:val="Normal"/>
    <w:next w:val="Normal"/>
    <w:autoRedefine/>
    <w:uiPriority w:val="39"/>
    <w:unhideWhenUsed/>
    <w:rsid w:val="00B25A9B"/>
    <w:pPr>
      <w:spacing w:after="100"/>
      <w:ind w:left="560"/>
    </w:pPr>
  </w:style>
  <w:style w:type="paragraph" w:styleId="NormalWeb">
    <w:name w:val="Normal (Web)"/>
    <w:basedOn w:val="Normal"/>
    <w:uiPriority w:val="99"/>
    <w:unhideWhenUsed/>
    <w:rsid w:val="0063735A"/>
    <w:pPr>
      <w:spacing w:before="100" w:beforeAutospacing="1" w:after="100" w:afterAutospacing="1"/>
    </w:pPr>
    <w:rPr>
      <w:rFonts w:eastAsia="Times New Roman" w:cs="Times New Roman"/>
      <w:sz w:val="24"/>
      <w:szCs w:val="24"/>
      <w:lang w:eastAsia="lv-LV"/>
    </w:rPr>
  </w:style>
  <w:style w:type="table" w:styleId="TableGrid">
    <w:name w:val="Table Grid"/>
    <w:basedOn w:val="TableNormal"/>
    <w:uiPriority w:val="59"/>
    <w:rsid w:val="006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63735A"/>
    <w:pPr>
      <w:numPr>
        <w:ilvl w:val="3"/>
        <w:numId w:val="3"/>
      </w:numPr>
      <w:tabs>
        <w:tab w:val="clear" w:pos="2880"/>
        <w:tab w:val="num" w:pos="900"/>
      </w:tabs>
      <w:spacing w:before="100" w:beforeAutospacing="1" w:after="100" w:afterAutospacing="1"/>
      <w:ind w:left="900"/>
      <w:jc w:val="both"/>
    </w:pPr>
    <w:rPr>
      <w:rFonts w:eastAsia="Times New Roman" w:cs="Times New Roman"/>
      <w:szCs w:val="28"/>
    </w:rPr>
  </w:style>
  <w:style w:type="paragraph" w:customStyle="1" w:styleId="nosaukumsatt">
    <w:name w:val="nosaukums att."/>
    <w:basedOn w:val="Normal"/>
    <w:rsid w:val="0063735A"/>
    <w:pPr>
      <w:spacing w:before="100" w:beforeAutospacing="1" w:after="100" w:afterAutospacing="1"/>
      <w:jc w:val="center"/>
    </w:pPr>
    <w:rPr>
      <w:rFonts w:ascii="Arial" w:eastAsia="Times New Roman" w:hAnsi="Arial" w:cs="Arial"/>
      <w:b/>
      <w:sz w:val="20"/>
      <w:szCs w:val="20"/>
    </w:rPr>
  </w:style>
  <w:style w:type="paragraph" w:customStyle="1" w:styleId="Default">
    <w:name w:val="Default"/>
    <w:rsid w:val="0063735A"/>
    <w:pPr>
      <w:autoSpaceDE w:val="0"/>
      <w:autoSpaceDN w:val="0"/>
      <w:adjustRightInd w:val="0"/>
    </w:pPr>
    <w:rPr>
      <w:rFonts w:ascii="Arial" w:hAnsi="Arial" w:cs="Arial"/>
      <w:color w:val="000000"/>
      <w:sz w:val="24"/>
      <w:szCs w:val="24"/>
    </w:rPr>
  </w:style>
  <w:style w:type="paragraph" w:styleId="ListBullet2">
    <w:name w:val="List Bullet 2"/>
    <w:basedOn w:val="Normal"/>
    <w:rsid w:val="0063735A"/>
    <w:pPr>
      <w:numPr>
        <w:numId w:val="4"/>
      </w:numPr>
      <w:tabs>
        <w:tab w:val="num" w:pos="1080"/>
      </w:tabs>
      <w:ind w:left="1080" w:hanging="540"/>
    </w:pPr>
    <w:rPr>
      <w:rFonts w:eastAsia="Times New Roman" w:cs="Times New Roman"/>
      <w:noProof/>
      <w:szCs w:val="28"/>
    </w:rPr>
  </w:style>
  <w:style w:type="paragraph" w:styleId="Caption">
    <w:name w:val="caption"/>
    <w:basedOn w:val="Normal"/>
    <w:next w:val="Normal"/>
    <w:uiPriority w:val="35"/>
    <w:unhideWhenUsed/>
    <w:qFormat/>
    <w:rsid w:val="0063735A"/>
    <w:pPr>
      <w:spacing w:before="240" w:after="120"/>
    </w:pPr>
    <w:rPr>
      <w:rFonts w:eastAsia="Times New Roman" w:cs="Times New Roman"/>
      <w:b/>
      <w:bCs/>
      <w:sz w:val="20"/>
      <w:szCs w:val="20"/>
    </w:rPr>
  </w:style>
  <w:style w:type="character" w:styleId="Emphasis">
    <w:name w:val="Emphasis"/>
    <w:uiPriority w:val="20"/>
    <w:qFormat/>
    <w:rsid w:val="0063735A"/>
    <w:rPr>
      <w:i/>
      <w:iCs/>
    </w:rPr>
  </w:style>
  <w:style w:type="table" w:customStyle="1" w:styleId="TableGrid11">
    <w:name w:val="Table Grid11"/>
    <w:basedOn w:val="TableNormal"/>
    <w:next w:val="TableGrid"/>
    <w:uiPriority w:val="59"/>
    <w:rsid w:val="005E0DC3"/>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E0DC3"/>
    <w:pPr>
      <w:ind w:left="283" w:hanging="283"/>
    </w:pPr>
    <w:rPr>
      <w:rFonts w:eastAsia="Times New Roman" w:cs="Times New Roman"/>
      <w:sz w:val="24"/>
      <w:szCs w:val="24"/>
      <w:lang w:val="en-GB"/>
    </w:rPr>
  </w:style>
  <w:style w:type="table" w:customStyle="1" w:styleId="TableGrid1">
    <w:name w:val="Table Grid1"/>
    <w:basedOn w:val="TableNormal"/>
    <w:next w:val="TableGrid"/>
    <w:uiPriority w:val="59"/>
    <w:rsid w:val="00C7493D"/>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semiHidden/>
    <w:unhideWhenUsed/>
    <w:rsid w:val="00C749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493D"/>
    <w:rPr>
      <w:sz w:val="16"/>
      <w:szCs w:val="16"/>
    </w:rPr>
  </w:style>
  <w:style w:type="character" w:styleId="FollowedHyperlink">
    <w:name w:val="FollowedHyperlink"/>
    <w:aliases w:val="Footnote Text Char2,Footnote Text Char1 Char,Footnote Text Char Char Char,Footnote Text Char1 Char Char Char,Footnote Text Char Char Char Char Char,Vēres teksts Rakstz.1 Char Char Char Char Char"/>
    <w:semiHidden/>
    <w:unhideWhenUsed/>
    <w:rsid w:val="00C7493D"/>
    <w:rPr>
      <w:rFonts w:eastAsia="Times New Roman" w:cs="Times New Roman"/>
      <w:sz w:val="20"/>
      <w:szCs w:val="20"/>
    </w:rPr>
  </w:style>
  <w:style w:type="paragraph" w:styleId="PlainText">
    <w:name w:val="Plain Text"/>
    <w:basedOn w:val="Normal"/>
    <w:link w:val="PlainTextChar"/>
    <w:uiPriority w:val="99"/>
    <w:unhideWhenUsed/>
    <w:rsid w:val="00C7493D"/>
    <w:pPr>
      <w:spacing w:before="120"/>
      <w:ind w:firstLine="720"/>
      <w:jc w:val="both"/>
    </w:pPr>
    <w:rPr>
      <w:rFonts w:ascii="Calibri" w:eastAsia="Calibri" w:hAnsi="Calibri" w:cs="Times New Roman"/>
      <w:szCs w:val="21"/>
    </w:rPr>
  </w:style>
  <w:style w:type="character" w:customStyle="1" w:styleId="PlainTextChar">
    <w:name w:val="Plain Text Char"/>
    <w:basedOn w:val="DefaultParagraphFont"/>
    <w:link w:val="PlainText"/>
    <w:uiPriority w:val="99"/>
    <w:rsid w:val="00C7493D"/>
    <w:rPr>
      <w:rFonts w:ascii="Calibri" w:eastAsia="Calibri" w:hAnsi="Calibri" w:cs="Times New Roman"/>
      <w:szCs w:val="21"/>
    </w:rPr>
  </w:style>
  <w:style w:type="paragraph" w:customStyle="1" w:styleId="CM4">
    <w:name w:val="CM4"/>
    <w:basedOn w:val="Normal"/>
    <w:next w:val="Normal"/>
    <w:rsid w:val="00C7493D"/>
    <w:pPr>
      <w:autoSpaceDE w:val="0"/>
      <w:autoSpaceDN w:val="0"/>
      <w:adjustRightInd w:val="0"/>
      <w:snapToGrid w:val="0"/>
    </w:pPr>
    <w:rPr>
      <w:rFonts w:ascii="EUAlbertina" w:eastAsia="Times New Roman" w:hAnsi="EUAlbertina" w:cs="Times New Roman"/>
      <w:sz w:val="24"/>
      <w:szCs w:val="24"/>
      <w:lang w:val="en-GB" w:eastAsia="en-GB"/>
    </w:rPr>
  </w:style>
  <w:style w:type="paragraph" w:customStyle="1" w:styleId="naisf">
    <w:name w:val="naisf"/>
    <w:basedOn w:val="Normal"/>
    <w:rsid w:val="00C7493D"/>
    <w:pPr>
      <w:spacing w:before="75" w:after="75"/>
      <w:ind w:firstLine="375"/>
      <w:jc w:val="both"/>
    </w:pPr>
    <w:rPr>
      <w:rFonts w:eastAsia="Times New Roman" w:cs="Times New Roman"/>
      <w:sz w:val="24"/>
      <w:szCs w:val="24"/>
      <w:lang w:eastAsia="lv-LV"/>
    </w:rPr>
  </w:style>
  <w:style w:type="paragraph" w:customStyle="1" w:styleId="Vstulesdatumsunnumurs">
    <w:name w:val="Vçstules datums un numurs"/>
    <w:basedOn w:val="Normal"/>
    <w:next w:val="EnvelopeAddress"/>
    <w:rsid w:val="00BD179E"/>
    <w:pPr>
      <w:keepNext/>
      <w:keepLines/>
      <w:widowControl w:val="0"/>
      <w:suppressAutoHyphens/>
      <w:spacing w:before="60" w:after="60"/>
      <w:ind w:right="4820"/>
    </w:pPr>
    <w:rPr>
      <w:rFonts w:eastAsia="Times New Roman" w:cs="Times New Roman"/>
      <w:szCs w:val="20"/>
      <w:lang w:val="en-AU"/>
    </w:rPr>
  </w:style>
  <w:style w:type="paragraph" w:styleId="EnvelopeAddress">
    <w:name w:val="envelope address"/>
    <w:basedOn w:val="Normal"/>
    <w:uiPriority w:val="99"/>
    <w:semiHidden/>
    <w:unhideWhenUsed/>
    <w:rsid w:val="00BD179E"/>
    <w:pPr>
      <w:framePr w:w="7920" w:h="1980" w:hRule="exact" w:hSpace="180" w:wrap="auto" w:hAnchor="page" w:xAlign="center" w:yAlign="bottom"/>
      <w:ind w:left="2880"/>
    </w:pPr>
    <w:rPr>
      <w:rFonts w:asciiTheme="majorHAnsi" w:eastAsiaTheme="majorEastAsia" w:hAnsiTheme="majorHAnsi" w:cstheme="majorBidi"/>
      <w:sz w:val="24"/>
      <w:szCs w:val="24"/>
    </w:rPr>
  </w:style>
  <w:style w:type="table" w:customStyle="1" w:styleId="TableGrid2">
    <w:name w:val="Table Grid2"/>
    <w:basedOn w:val="TableNormal"/>
    <w:next w:val="TableGrid"/>
    <w:uiPriority w:val="59"/>
    <w:rsid w:val="00C84DD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84DD3"/>
  </w:style>
  <w:style w:type="paragraph" w:customStyle="1" w:styleId="BodyTEXT0">
    <w:name w:val="BodyTEXT"/>
    <w:basedOn w:val="Normal"/>
    <w:autoRedefine/>
    <w:qFormat/>
    <w:rsid w:val="00893494"/>
    <w:pPr>
      <w:ind w:firstLine="720"/>
      <w:jc w:val="both"/>
    </w:pPr>
    <w:rPr>
      <w:rFonts w:eastAsia="Times New Roman" w:cs="Times New Roman"/>
      <w:szCs w:val="28"/>
      <w:lang w:bidi="en-US"/>
    </w:rPr>
  </w:style>
  <w:style w:type="paragraph" w:customStyle="1" w:styleId="tv2131">
    <w:name w:val="tv2131"/>
    <w:basedOn w:val="Normal"/>
    <w:rsid w:val="00C84DD3"/>
    <w:pPr>
      <w:autoSpaceDN w:val="0"/>
      <w:spacing w:line="360" w:lineRule="auto"/>
      <w:ind w:firstLine="300"/>
    </w:pPr>
    <w:rPr>
      <w:rFonts w:cs="Times New Roman"/>
      <w:color w:val="414142"/>
      <w:sz w:val="20"/>
      <w:szCs w:val="20"/>
      <w:lang w:eastAsia="lv-LV"/>
    </w:rPr>
  </w:style>
  <w:style w:type="paragraph" w:styleId="BodyText2">
    <w:name w:val="Body Text 2"/>
    <w:basedOn w:val="Normal"/>
    <w:link w:val="BodyText2Char"/>
    <w:uiPriority w:val="99"/>
    <w:unhideWhenUsed/>
    <w:rsid w:val="00D40096"/>
    <w:pPr>
      <w:spacing w:after="120" w:line="480" w:lineRule="auto"/>
    </w:pPr>
  </w:style>
  <w:style w:type="character" w:customStyle="1" w:styleId="BodyText2Char">
    <w:name w:val="Body Text 2 Char"/>
    <w:basedOn w:val="DefaultParagraphFont"/>
    <w:link w:val="BodyText2"/>
    <w:uiPriority w:val="99"/>
    <w:rsid w:val="00D40096"/>
  </w:style>
  <w:style w:type="paragraph" w:styleId="Title">
    <w:name w:val="Title"/>
    <w:basedOn w:val="Normal"/>
    <w:link w:val="TitleChar"/>
    <w:qFormat/>
    <w:rsid w:val="00D40096"/>
    <w:pPr>
      <w:jc w:val="center"/>
    </w:pPr>
    <w:rPr>
      <w:rFonts w:eastAsia="Times New Roman" w:cs="Times New Roman"/>
      <w:b/>
      <w:bCs/>
      <w:szCs w:val="24"/>
    </w:rPr>
  </w:style>
  <w:style w:type="character" w:customStyle="1" w:styleId="TitleChar">
    <w:name w:val="Title Char"/>
    <w:basedOn w:val="DefaultParagraphFont"/>
    <w:link w:val="Title"/>
    <w:rsid w:val="00D40096"/>
    <w:rPr>
      <w:rFonts w:eastAsia="Times New Roman" w:cs="Times New Roman"/>
      <w:b/>
      <w:bCs/>
      <w:szCs w:val="24"/>
    </w:rPr>
  </w:style>
  <w:style w:type="paragraph" w:styleId="Subtitle">
    <w:name w:val="Subtitle"/>
    <w:basedOn w:val="Normal"/>
    <w:next w:val="Normal"/>
    <w:link w:val="SubtitleChar"/>
    <w:uiPriority w:val="11"/>
    <w:qFormat/>
    <w:rsid w:val="00EE1D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1D2B"/>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AB4089"/>
  </w:style>
  <w:style w:type="paragraph" w:customStyle="1" w:styleId="xmsonormal">
    <w:name w:val="x_msonormal"/>
    <w:basedOn w:val="Normal"/>
    <w:rsid w:val="008B3819"/>
    <w:pPr>
      <w:spacing w:before="100" w:beforeAutospacing="1" w:after="100" w:afterAutospacing="1"/>
    </w:pPr>
    <w:rPr>
      <w:rFonts w:eastAsia="Times New Roman" w:cs="Times New Roman"/>
      <w:sz w:val="24"/>
      <w:szCs w:val="24"/>
      <w:lang w:val="en-US"/>
    </w:rPr>
  </w:style>
  <w:style w:type="paragraph" w:customStyle="1" w:styleId="CM1">
    <w:name w:val="CM1"/>
    <w:basedOn w:val="Default"/>
    <w:next w:val="Default"/>
    <w:uiPriority w:val="99"/>
    <w:rsid w:val="007A53B5"/>
    <w:rPr>
      <w:rFonts w:ascii="EUAlbertina" w:hAnsi="EUAlbertin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9151">
      <w:bodyDiv w:val="1"/>
      <w:marLeft w:val="120"/>
      <w:marRight w:val="120"/>
      <w:marTop w:val="0"/>
      <w:marBottom w:val="120"/>
      <w:divBdr>
        <w:top w:val="none" w:sz="0" w:space="0" w:color="auto"/>
        <w:left w:val="none" w:sz="0" w:space="0" w:color="auto"/>
        <w:bottom w:val="none" w:sz="0" w:space="0" w:color="auto"/>
        <w:right w:val="none" w:sz="0" w:space="0" w:color="auto"/>
      </w:divBdr>
      <w:divsChild>
        <w:div w:id="77094931">
          <w:marLeft w:val="0"/>
          <w:marRight w:val="0"/>
          <w:marTop w:val="0"/>
          <w:marBottom w:val="0"/>
          <w:divBdr>
            <w:top w:val="none" w:sz="0" w:space="0" w:color="auto"/>
            <w:left w:val="none" w:sz="0" w:space="0" w:color="auto"/>
            <w:bottom w:val="none" w:sz="0" w:space="0" w:color="auto"/>
            <w:right w:val="none" w:sz="0" w:space="0" w:color="auto"/>
          </w:divBdr>
          <w:divsChild>
            <w:div w:id="103622682">
              <w:marLeft w:val="0"/>
              <w:marRight w:val="0"/>
              <w:marTop w:val="0"/>
              <w:marBottom w:val="0"/>
              <w:divBdr>
                <w:top w:val="none" w:sz="0" w:space="0" w:color="auto"/>
                <w:left w:val="none" w:sz="0" w:space="0" w:color="auto"/>
                <w:bottom w:val="none" w:sz="0" w:space="0" w:color="auto"/>
                <w:right w:val="none" w:sz="0" w:space="0" w:color="auto"/>
              </w:divBdr>
              <w:divsChild>
                <w:div w:id="4691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6026">
      <w:bodyDiv w:val="1"/>
      <w:marLeft w:val="0"/>
      <w:marRight w:val="0"/>
      <w:marTop w:val="0"/>
      <w:marBottom w:val="0"/>
      <w:divBdr>
        <w:top w:val="none" w:sz="0" w:space="0" w:color="auto"/>
        <w:left w:val="none" w:sz="0" w:space="0" w:color="auto"/>
        <w:bottom w:val="none" w:sz="0" w:space="0" w:color="auto"/>
        <w:right w:val="none" w:sz="0" w:space="0" w:color="auto"/>
      </w:divBdr>
    </w:div>
    <w:div w:id="1268348409">
      <w:bodyDiv w:val="1"/>
      <w:marLeft w:val="0"/>
      <w:marRight w:val="0"/>
      <w:marTop w:val="0"/>
      <w:marBottom w:val="0"/>
      <w:divBdr>
        <w:top w:val="none" w:sz="0" w:space="0" w:color="auto"/>
        <w:left w:val="none" w:sz="0" w:space="0" w:color="auto"/>
        <w:bottom w:val="none" w:sz="0" w:space="0" w:color="auto"/>
        <w:right w:val="none" w:sz="0" w:space="0" w:color="auto"/>
      </w:divBdr>
      <w:divsChild>
        <w:div w:id="506406820">
          <w:marLeft w:val="0"/>
          <w:marRight w:val="0"/>
          <w:marTop w:val="0"/>
          <w:marBottom w:val="0"/>
          <w:divBdr>
            <w:top w:val="none" w:sz="0" w:space="0" w:color="auto"/>
            <w:left w:val="none" w:sz="0" w:space="0" w:color="auto"/>
            <w:bottom w:val="none" w:sz="0" w:space="0" w:color="auto"/>
            <w:right w:val="none" w:sz="0" w:space="0" w:color="auto"/>
          </w:divBdr>
          <w:divsChild>
            <w:div w:id="850416907">
              <w:marLeft w:val="0"/>
              <w:marRight w:val="0"/>
              <w:marTop w:val="0"/>
              <w:marBottom w:val="0"/>
              <w:divBdr>
                <w:top w:val="none" w:sz="0" w:space="0" w:color="auto"/>
                <w:left w:val="none" w:sz="0" w:space="0" w:color="auto"/>
                <w:bottom w:val="none" w:sz="0" w:space="0" w:color="auto"/>
                <w:right w:val="none" w:sz="0" w:space="0" w:color="auto"/>
              </w:divBdr>
              <w:divsChild>
                <w:div w:id="2076659742">
                  <w:marLeft w:val="0"/>
                  <w:marRight w:val="0"/>
                  <w:marTop w:val="0"/>
                  <w:marBottom w:val="0"/>
                  <w:divBdr>
                    <w:top w:val="none" w:sz="0" w:space="0" w:color="auto"/>
                    <w:left w:val="none" w:sz="0" w:space="0" w:color="auto"/>
                    <w:bottom w:val="none" w:sz="0" w:space="0" w:color="auto"/>
                    <w:right w:val="none" w:sz="0" w:space="0" w:color="auto"/>
                  </w:divBdr>
                  <w:divsChild>
                    <w:div w:id="533349000">
                      <w:marLeft w:val="0"/>
                      <w:marRight w:val="0"/>
                      <w:marTop w:val="300"/>
                      <w:marBottom w:val="300"/>
                      <w:divBdr>
                        <w:top w:val="none" w:sz="0" w:space="0" w:color="auto"/>
                        <w:left w:val="none" w:sz="0" w:space="0" w:color="auto"/>
                        <w:bottom w:val="none" w:sz="0" w:space="0" w:color="auto"/>
                        <w:right w:val="none" w:sz="0" w:space="0" w:color="auto"/>
                      </w:divBdr>
                      <w:divsChild>
                        <w:div w:id="2102288635">
                          <w:marLeft w:val="0"/>
                          <w:marRight w:val="0"/>
                          <w:marTop w:val="0"/>
                          <w:marBottom w:val="0"/>
                          <w:divBdr>
                            <w:top w:val="none" w:sz="0" w:space="0" w:color="auto"/>
                            <w:left w:val="none" w:sz="0" w:space="0" w:color="auto"/>
                            <w:bottom w:val="none" w:sz="0" w:space="0" w:color="auto"/>
                            <w:right w:val="none" w:sz="0" w:space="0" w:color="auto"/>
                          </w:divBdr>
                          <w:divsChild>
                            <w:div w:id="2114158284">
                              <w:marLeft w:val="0"/>
                              <w:marRight w:val="0"/>
                              <w:marTop w:val="0"/>
                              <w:marBottom w:val="0"/>
                              <w:divBdr>
                                <w:top w:val="none" w:sz="0" w:space="0" w:color="auto"/>
                                <w:left w:val="none" w:sz="0" w:space="0" w:color="auto"/>
                                <w:bottom w:val="none" w:sz="0" w:space="0" w:color="auto"/>
                                <w:right w:val="none" w:sz="0" w:space="0" w:color="auto"/>
                              </w:divBdr>
                              <w:divsChild>
                                <w:div w:id="1909459131">
                                  <w:marLeft w:val="0"/>
                                  <w:marRight w:val="0"/>
                                  <w:marTop w:val="0"/>
                                  <w:marBottom w:val="300"/>
                                  <w:divBdr>
                                    <w:top w:val="none" w:sz="0" w:space="0" w:color="auto"/>
                                    <w:left w:val="none" w:sz="0" w:space="0" w:color="auto"/>
                                    <w:bottom w:val="none" w:sz="0" w:space="0" w:color="auto"/>
                                    <w:right w:val="none" w:sz="0" w:space="0" w:color="auto"/>
                                  </w:divBdr>
                                  <w:divsChild>
                                    <w:div w:id="787284408">
                                      <w:marLeft w:val="0"/>
                                      <w:marRight w:val="0"/>
                                      <w:marTop w:val="0"/>
                                      <w:marBottom w:val="0"/>
                                      <w:divBdr>
                                        <w:top w:val="none" w:sz="0" w:space="0" w:color="auto"/>
                                        <w:left w:val="none" w:sz="0" w:space="0" w:color="auto"/>
                                        <w:bottom w:val="none" w:sz="0" w:space="0" w:color="auto"/>
                                        <w:right w:val="none" w:sz="0" w:space="0" w:color="auto"/>
                                      </w:divBdr>
                                      <w:divsChild>
                                        <w:div w:id="1082023287">
                                          <w:marLeft w:val="0"/>
                                          <w:marRight w:val="0"/>
                                          <w:marTop w:val="0"/>
                                          <w:marBottom w:val="0"/>
                                          <w:divBdr>
                                            <w:top w:val="none" w:sz="0" w:space="0" w:color="auto"/>
                                            <w:left w:val="none" w:sz="0" w:space="0" w:color="auto"/>
                                            <w:bottom w:val="none" w:sz="0" w:space="0" w:color="auto"/>
                                            <w:right w:val="none" w:sz="0" w:space="0" w:color="auto"/>
                                          </w:divBdr>
                                          <w:divsChild>
                                            <w:div w:id="180239609">
                                              <w:marLeft w:val="0"/>
                                              <w:marRight w:val="0"/>
                                              <w:marTop w:val="0"/>
                                              <w:marBottom w:val="0"/>
                                              <w:divBdr>
                                                <w:top w:val="none" w:sz="0" w:space="0" w:color="auto"/>
                                                <w:left w:val="none" w:sz="0" w:space="0" w:color="auto"/>
                                                <w:bottom w:val="none" w:sz="0" w:space="0" w:color="auto"/>
                                                <w:right w:val="none" w:sz="0" w:space="0" w:color="auto"/>
                                              </w:divBdr>
                                              <w:divsChild>
                                                <w:div w:id="7070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803203">
      <w:bodyDiv w:val="1"/>
      <w:marLeft w:val="0"/>
      <w:marRight w:val="0"/>
      <w:marTop w:val="0"/>
      <w:marBottom w:val="0"/>
      <w:divBdr>
        <w:top w:val="none" w:sz="0" w:space="0" w:color="auto"/>
        <w:left w:val="none" w:sz="0" w:space="0" w:color="auto"/>
        <w:bottom w:val="none" w:sz="0" w:space="0" w:color="auto"/>
        <w:right w:val="none" w:sz="0" w:space="0" w:color="auto"/>
      </w:divBdr>
      <w:divsChild>
        <w:div w:id="587546170">
          <w:marLeft w:val="0"/>
          <w:marRight w:val="0"/>
          <w:marTop w:val="0"/>
          <w:marBottom w:val="0"/>
          <w:divBdr>
            <w:top w:val="none" w:sz="0" w:space="0" w:color="auto"/>
            <w:left w:val="none" w:sz="0" w:space="0" w:color="auto"/>
            <w:bottom w:val="none" w:sz="0" w:space="0" w:color="auto"/>
            <w:right w:val="none" w:sz="0" w:space="0" w:color="auto"/>
          </w:divBdr>
          <w:divsChild>
            <w:div w:id="735279861">
              <w:marLeft w:val="0"/>
              <w:marRight w:val="0"/>
              <w:marTop w:val="0"/>
              <w:marBottom w:val="0"/>
              <w:divBdr>
                <w:top w:val="none" w:sz="0" w:space="0" w:color="auto"/>
                <w:left w:val="none" w:sz="0" w:space="0" w:color="auto"/>
                <w:bottom w:val="none" w:sz="0" w:space="0" w:color="auto"/>
                <w:right w:val="none" w:sz="0" w:space="0" w:color="auto"/>
              </w:divBdr>
              <w:divsChild>
                <w:div w:id="743453000">
                  <w:marLeft w:val="0"/>
                  <w:marRight w:val="0"/>
                  <w:marTop w:val="0"/>
                  <w:marBottom w:val="0"/>
                  <w:divBdr>
                    <w:top w:val="none" w:sz="0" w:space="0" w:color="auto"/>
                    <w:left w:val="single" w:sz="6" w:space="0" w:color="FFFFFF"/>
                    <w:bottom w:val="none" w:sz="0" w:space="0" w:color="auto"/>
                    <w:right w:val="single" w:sz="6" w:space="0" w:color="FFFFFF"/>
                  </w:divBdr>
                  <w:divsChild>
                    <w:div w:id="455031470">
                      <w:marLeft w:val="0"/>
                      <w:marRight w:val="0"/>
                      <w:marTop w:val="0"/>
                      <w:marBottom w:val="0"/>
                      <w:divBdr>
                        <w:top w:val="none" w:sz="0" w:space="0" w:color="auto"/>
                        <w:left w:val="single" w:sz="6" w:space="0" w:color="DCE1E4"/>
                        <w:bottom w:val="none" w:sz="0" w:space="0" w:color="auto"/>
                        <w:right w:val="single" w:sz="6" w:space="0" w:color="DCE1E4"/>
                      </w:divBdr>
                      <w:divsChild>
                        <w:div w:id="691567362">
                          <w:marLeft w:val="0"/>
                          <w:marRight w:val="0"/>
                          <w:marTop w:val="0"/>
                          <w:marBottom w:val="0"/>
                          <w:divBdr>
                            <w:top w:val="none" w:sz="0" w:space="0" w:color="auto"/>
                            <w:left w:val="none" w:sz="0" w:space="0" w:color="auto"/>
                            <w:bottom w:val="none" w:sz="0" w:space="0" w:color="auto"/>
                            <w:right w:val="none" w:sz="0" w:space="0" w:color="auto"/>
                          </w:divBdr>
                          <w:divsChild>
                            <w:div w:id="820346029">
                              <w:marLeft w:val="0"/>
                              <w:marRight w:val="0"/>
                              <w:marTop w:val="195"/>
                              <w:marBottom w:val="180"/>
                              <w:divBdr>
                                <w:top w:val="none" w:sz="0" w:space="0" w:color="auto"/>
                                <w:left w:val="none" w:sz="0" w:space="0" w:color="auto"/>
                                <w:bottom w:val="none" w:sz="0" w:space="0" w:color="auto"/>
                                <w:right w:val="none" w:sz="0" w:space="0" w:color="auto"/>
                              </w:divBdr>
                              <w:divsChild>
                                <w:div w:id="18016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984324">
      <w:bodyDiv w:val="1"/>
      <w:marLeft w:val="0"/>
      <w:marRight w:val="0"/>
      <w:marTop w:val="0"/>
      <w:marBottom w:val="0"/>
      <w:divBdr>
        <w:top w:val="none" w:sz="0" w:space="0" w:color="auto"/>
        <w:left w:val="none" w:sz="0" w:space="0" w:color="auto"/>
        <w:bottom w:val="none" w:sz="0" w:space="0" w:color="auto"/>
        <w:right w:val="none" w:sz="0" w:space="0" w:color="auto"/>
      </w:divBdr>
      <w:divsChild>
        <w:div w:id="80223273">
          <w:marLeft w:val="0"/>
          <w:marRight w:val="0"/>
          <w:marTop w:val="0"/>
          <w:marBottom w:val="0"/>
          <w:divBdr>
            <w:top w:val="none" w:sz="0" w:space="0" w:color="auto"/>
            <w:left w:val="none" w:sz="0" w:space="0" w:color="auto"/>
            <w:bottom w:val="none" w:sz="0" w:space="0" w:color="auto"/>
            <w:right w:val="none" w:sz="0" w:space="0" w:color="auto"/>
          </w:divBdr>
          <w:divsChild>
            <w:div w:id="1971398639">
              <w:marLeft w:val="0"/>
              <w:marRight w:val="0"/>
              <w:marTop w:val="0"/>
              <w:marBottom w:val="0"/>
              <w:divBdr>
                <w:top w:val="none" w:sz="0" w:space="0" w:color="auto"/>
                <w:left w:val="none" w:sz="0" w:space="0" w:color="auto"/>
                <w:bottom w:val="none" w:sz="0" w:space="0" w:color="auto"/>
                <w:right w:val="none" w:sz="0" w:space="0" w:color="auto"/>
              </w:divBdr>
              <w:divsChild>
                <w:div w:id="1505508272">
                  <w:marLeft w:val="0"/>
                  <w:marRight w:val="0"/>
                  <w:marTop w:val="0"/>
                  <w:marBottom w:val="0"/>
                  <w:divBdr>
                    <w:top w:val="none" w:sz="0" w:space="0" w:color="auto"/>
                    <w:left w:val="none" w:sz="0" w:space="0" w:color="auto"/>
                    <w:bottom w:val="none" w:sz="0" w:space="0" w:color="auto"/>
                    <w:right w:val="none" w:sz="0" w:space="0" w:color="auto"/>
                  </w:divBdr>
                  <w:divsChild>
                    <w:div w:id="1503428185">
                      <w:marLeft w:val="0"/>
                      <w:marRight w:val="0"/>
                      <w:marTop w:val="0"/>
                      <w:marBottom w:val="0"/>
                      <w:divBdr>
                        <w:top w:val="none" w:sz="0" w:space="0" w:color="auto"/>
                        <w:left w:val="none" w:sz="0" w:space="0" w:color="auto"/>
                        <w:bottom w:val="none" w:sz="0" w:space="0" w:color="auto"/>
                        <w:right w:val="none" w:sz="0" w:space="0" w:color="auto"/>
                      </w:divBdr>
                      <w:divsChild>
                        <w:div w:id="2144618173">
                          <w:marLeft w:val="0"/>
                          <w:marRight w:val="0"/>
                          <w:marTop w:val="0"/>
                          <w:marBottom w:val="0"/>
                          <w:divBdr>
                            <w:top w:val="none" w:sz="0" w:space="0" w:color="auto"/>
                            <w:left w:val="none" w:sz="0" w:space="0" w:color="auto"/>
                            <w:bottom w:val="none" w:sz="0" w:space="0" w:color="auto"/>
                            <w:right w:val="none" w:sz="0" w:space="0" w:color="auto"/>
                          </w:divBdr>
                          <w:divsChild>
                            <w:div w:id="1682319479">
                              <w:marLeft w:val="0"/>
                              <w:marRight w:val="0"/>
                              <w:marTop w:val="0"/>
                              <w:marBottom w:val="0"/>
                              <w:divBdr>
                                <w:top w:val="none" w:sz="0" w:space="0" w:color="auto"/>
                                <w:left w:val="none" w:sz="0" w:space="0" w:color="auto"/>
                                <w:bottom w:val="none" w:sz="0" w:space="0" w:color="auto"/>
                                <w:right w:val="none" w:sz="0" w:space="0" w:color="auto"/>
                              </w:divBdr>
                              <w:divsChild>
                                <w:div w:id="742794582">
                                  <w:marLeft w:val="0"/>
                                  <w:marRight w:val="0"/>
                                  <w:marTop w:val="0"/>
                                  <w:marBottom w:val="0"/>
                                  <w:divBdr>
                                    <w:top w:val="none" w:sz="0" w:space="0" w:color="auto"/>
                                    <w:left w:val="none" w:sz="0" w:space="0" w:color="auto"/>
                                    <w:bottom w:val="none" w:sz="0" w:space="0" w:color="auto"/>
                                    <w:right w:val="none" w:sz="0" w:space="0" w:color="auto"/>
                                  </w:divBdr>
                                  <w:divsChild>
                                    <w:div w:id="1242643154">
                                      <w:marLeft w:val="0"/>
                                      <w:marRight w:val="0"/>
                                      <w:marTop w:val="0"/>
                                      <w:marBottom w:val="0"/>
                                      <w:divBdr>
                                        <w:top w:val="none" w:sz="0" w:space="0" w:color="auto"/>
                                        <w:left w:val="none" w:sz="0" w:space="0" w:color="auto"/>
                                        <w:bottom w:val="none" w:sz="0" w:space="0" w:color="auto"/>
                                        <w:right w:val="none" w:sz="0" w:space="0" w:color="auto"/>
                                      </w:divBdr>
                                      <w:divsChild>
                                        <w:div w:id="1926570542">
                                          <w:marLeft w:val="0"/>
                                          <w:marRight w:val="0"/>
                                          <w:marTop w:val="0"/>
                                          <w:marBottom w:val="0"/>
                                          <w:divBdr>
                                            <w:top w:val="none" w:sz="0" w:space="0" w:color="auto"/>
                                            <w:left w:val="none" w:sz="0" w:space="0" w:color="auto"/>
                                            <w:bottom w:val="none" w:sz="0" w:space="0" w:color="auto"/>
                                            <w:right w:val="none" w:sz="0" w:space="0" w:color="auto"/>
                                          </w:divBdr>
                                          <w:divsChild>
                                            <w:div w:id="262616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127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459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609190">
      <w:bodyDiv w:val="1"/>
      <w:marLeft w:val="0"/>
      <w:marRight w:val="0"/>
      <w:marTop w:val="0"/>
      <w:marBottom w:val="0"/>
      <w:divBdr>
        <w:top w:val="none" w:sz="0" w:space="0" w:color="auto"/>
        <w:left w:val="none" w:sz="0" w:space="0" w:color="auto"/>
        <w:bottom w:val="none" w:sz="0" w:space="0" w:color="auto"/>
        <w:right w:val="none" w:sz="0" w:space="0" w:color="auto"/>
      </w:divBdr>
      <w:divsChild>
        <w:div w:id="160046135">
          <w:marLeft w:val="0"/>
          <w:marRight w:val="0"/>
          <w:marTop w:val="0"/>
          <w:marBottom w:val="0"/>
          <w:divBdr>
            <w:top w:val="none" w:sz="0" w:space="0" w:color="auto"/>
            <w:left w:val="none" w:sz="0" w:space="0" w:color="auto"/>
            <w:bottom w:val="none" w:sz="0" w:space="0" w:color="auto"/>
            <w:right w:val="none" w:sz="0" w:space="0" w:color="auto"/>
          </w:divBdr>
          <w:divsChild>
            <w:div w:id="100614112">
              <w:marLeft w:val="0"/>
              <w:marRight w:val="0"/>
              <w:marTop w:val="0"/>
              <w:marBottom w:val="0"/>
              <w:divBdr>
                <w:top w:val="none" w:sz="0" w:space="0" w:color="auto"/>
                <w:left w:val="none" w:sz="0" w:space="0" w:color="auto"/>
                <w:bottom w:val="none" w:sz="0" w:space="0" w:color="auto"/>
                <w:right w:val="none" w:sz="0" w:space="0" w:color="auto"/>
              </w:divBdr>
              <w:divsChild>
                <w:div w:id="2133011743">
                  <w:marLeft w:val="0"/>
                  <w:marRight w:val="0"/>
                  <w:marTop w:val="0"/>
                  <w:marBottom w:val="0"/>
                  <w:divBdr>
                    <w:top w:val="none" w:sz="0" w:space="0" w:color="auto"/>
                    <w:left w:val="none" w:sz="0" w:space="0" w:color="auto"/>
                    <w:bottom w:val="none" w:sz="0" w:space="0" w:color="auto"/>
                    <w:right w:val="none" w:sz="0" w:space="0" w:color="auto"/>
                  </w:divBdr>
                  <w:divsChild>
                    <w:div w:id="1008291455">
                      <w:marLeft w:val="0"/>
                      <w:marRight w:val="0"/>
                      <w:marTop w:val="0"/>
                      <w:marBottom w:val="0"/>
                      <w:divBdr>
                        <w:top w:val="none" w:sz="0" w:space="0" w:color="auto"/>
                        <w:left w:val="none" w:sz="0" w:space="0" w:color="auto"/>
                        <w:bottom w:val="none" w:sz="0" w:space="0" w:color="auto"/>
                        <w:right w:val="none" w:sz="0" w:space="0" w:color="auto"/>
                      </w:divBdr>
                      <w:divsChild>
                        <w:div w:id="1435442436">
                          <w:marLeft w:val="0"/>
                          <w:marRight w:val="0"/>
                          <w:marTop w:val="0"/>
                          <w:marBottom w:val="0"/>
                          <w:divBdr>
                            <w:top w:val="none" w:sz="0" w:space="0" w:color="auto"/>
                            <w:left w:val="none" w:sz="0" w:space="0" w:color="auto"/>
                            <w:bottom w:val="none" w:sz="0" w:space="0" w:color="auto"/>
                            <w:right w:val="none" w:sz="0" w:space="0" w:color="auto"/>
                          </w:divBdr>
                          <w:divsChild>
                            <w:div w:id="337776463">
                              <w:marLeft w:val="0"/>
                              <w:marRight w:val="0"/>
                              <w:marTop w:val="0"/>
                              <w:marBottom w:val="0"/>
                              <w:divBdr>
                                <w:top w:val="none" w:sz="0" w:space="0" w:color="auto"/>
                                <w:left w:val="none" w:sz="0" w:space="0" w:color="auto"/>
                                <w:bottom w:val="none" w:sz="0" w:space="0" w:color="auto"/>
                                <w:right w:val="none" w:sz="0" w:space="0" w:color="auto"/>
                              </w:divBdr>
                              <w:divsChild>
                                <w:div w:id="637422071">
                                  <w:marLeft w:val="0"/>
                                  <w:marRight w:val="0"/>
                                  <w:marTop w:val="0"/>
                                  <w:marBottom w:val="0"/>
                                  <w:divBdr>
                                    <w:top w:val="none" w:sz="0" w:space="0" w:color="auto"/>
                                    <w:left w:val="none" w:sz="0" w:space="0" w:color="auto"/>
                                    <w:bottom w:val="none" w:sz="0" w:space="0" w:color="auto"/>
                                    <w:right w:val="none" w:sz="0" w:space="0" w:color="auto"/>
                                  </w:divBdr>
                                </w:div>
                                <w:div w:id="1116406565">
                                  <w:marLeft w:val="0"/>
                                  <w:marRight w:val="0"/>
                                  <w:marTop w:val="0"/>
                                  <w:marBottom w:val="0"/>
                                  <w:divBdr>
                                    <w:top w:val="none" w:sz="0" w:space="0" w:color="auto"/>
                                    <w:left w:val="none" w:sz="0" w:space="0" w:color="auto"/>
                                    <w:bottom w:val="none" w:sz="0" w:space="0" w:color="auto"/>
                                    <w:right w:val="none" w:sz="0" w:space="0" w:color="auto"/>
                                  </w:divBdr>
                                  <w:divsChild>
                                    <w:div w:id="588271485">
                                      <w:marLeft w:val="0"/>
                                      <w:marRight w:val="0"/>
                                      <w:marTop w:val="0"/>
                                      <w:marBottom w:val="0"/>
                                      <w:divBdr>
                                        <w:top w:val="none" w:sz="0" w:space="0" w:color="auto"/>
                                        <w:left w:val="none" w:sz="0" w:space="0" w:color="auto"/>
                                        <w:bottom w:val="none" w:sz="0" w:space="0" w:color="auto"/>
                                        <w:right w:val="none" w:sz="0" w:space="0" w:color="auto"/>
                                      </w:divBdr>
                                    </w:div>
                                    <w:div w:id="324821608">
                                      <w:marLeft w:val="0"/>
                                      <w:marRight w:val="0"/>
                                      <w:marTop w:val="0"/>
                                      <w:marBottom w:val="0"/>
                                      <w:divBdr>
                                        <w:top w:val="none" w:sz="0" w:space="0" w:color="auto"/>
                                        <w:left w:val="none" w:sz="0" w:space="0" w:color="auto"/>
                                        <w:bottom w:val="none" w:sz="0" w:space="0" w:color="auto"/>
                                        <w:right w:val="none" w:sz="0" w:space="0" w:color="auto"/>
                                      </w:divBdr>
                                    </w:div>
                                  </w:divsChild>
                                </w:div>
                                <w:div w:id="278805809">
                                  <w:marLeft w:val="0"/>
                                  <w:marRight w:val="0"/>
                                  <w:marTop w:val="0"/>
                                  <w:marBottom w:val="0"/>
                                  <w:divBdr>
                                    <w:top w:val="none" w:sz="0" w:space="0" w:color="auto"/>
                                    <w:left w:val="none" w:sz="0" w:space="0" w:color="auto"/>
                                    <w:bottom w:val="none" w:sz="0" w:space="0" w:color="auto"/>
                                    <w:right w:val="none" w:sz="0" w:space="0" w:color="auto"/>
                                  </w:divBdr>
                                  <w:divsChild>
                                    <w:div w:id="8053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321182">
      <w:bodyDiv w:val="1"/>
      <w:marLeft w:val="0"/>
      <w:marRight w:val="0"/>
      <w:marTop w:val="0"/>
      <w:marBottom w:val="0"/>
      <w:divBdr>
        <w:top w:val="none" w:sz="0" w:space="0" w:color="auto"/>
        <w:left w:val="none" w:sz="0" w:space="0" w:color="auto"/>
        <w:bottom w:val="none" w:sz="0" w:space="0" w:color="auto"/>
        <w:right w:val="none" w:sz="0" w:space="0" w:color="auto"/>
      </w:divBdr>
    </w:div>
    <w:div w:id="200782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0.xml"/><Relationship Id="rId42" Type="http://schemas.openxmlformats.org/officeDocument/2006/relationships/theme" Target="theme/theme1.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5.jpg"/><Relationship Id="rId25" Type="http://schemas.openxmlformats.org/officeDocument/2006/relationships/image" Target="media/image9.emf"/><Relationship Id="rId33" Type="http://schemas.openxmlformats.org/officeDocument/2006/relationships/chart" Target="charts/chart9.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chart" Target="charts/chart8.xml"/><Relationship Id="rId37" Type="http://schemas.openxmlformats.org/officeDocument/2006/relationships/image" Target="media/image15.emf"/><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http://www.delfi.lv/temas/eiropa-0" TargetMode="Externa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4.png"/><Relationship Id="rId56"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HTML/?uri=OJ:C:2014:200:FULL&amp;from=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mbraskoI\Desktop\Documents\Aktuali_energ_pat_1990_2012_06052014.xlsx"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mbraskoI\Desktop\Documents\OI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eihmanisK\AppData\Local\Microsoft\Windows\Temporary%20Internet%20Files\Content.Outlook\X5FS3T5P\Eurostat_energijas_intensitates_11042014.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k&#257;dijs\SkyDrive\Rezerves_09062014.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nsonsL\AppData\Local\Microsoft\Windows\Temporary%20Internet%20Files\Content.Outlook\8S8MXLQ0\Pamatnostadnem_0606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nsonsL\AppData\Local\Microsoft\Windows\Temporary%20Internet%20Files\Content.Outlook\8S8MXLQ0\CSP_naftas_pr__dabasg_paterins_2000_2012_0406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k&#257;dijs\Desktop\Rezerves_0906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imofejevaA\AppData\Local\Microsoft\Windows\Temporary%20Internet%20Files\Content.Outlook\MX76ITQD\Centr%20silt_grafik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TimofejevaA\AppData\Local\Microsoft\Windows\Temporary%20Internet%20Files\Content.Outlook\MX76ITQD\Centr%20silt_grafiks.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k&#257;dijs\Desktop\Atteli_2909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42501623818637E-2"/>
          <c:y val="0.16501078233401514"/>
          <c:w val="0.64099396364321648"/>
          <c:h val="0.56515470057396855"/>
        </c:manualLayout>
      </c:layout>
      <c:ofPieChart>
        <c:ofPieType val="pie"/>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0"/>
              <c:layout>
                <c:manualLayout>
                  <c:x val="5.2590260973426402E-2"/>
                  <c:y val="1.7275533096660228E-2"/>
                </c:manualLayout>
              </c:layout>
              <c:tx>
                <c:rich>
                  <a:bodyPr/>
                  <a:lstStyle/>
                  <a:p>
                    <a:r>
                      <a:rPr lang="en-US"/>
                      <a:t>Atkritumi
2,33 PJ</a:t>
                    </a:r>
                  </a:p>
                  <a:p>
                    <a:r>
                      <a:rPr lang="en-US"/>
                      <a:t>1,2%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5.7715041996822238E-2"/>
                  <c:y val="7.3263829267812094E-2"/>
                </c:manualLayout>
              </c:layout>
              <c:tx>
                <c:rich>
                  <a:bodyPr/>
                  <a:lstStyle/>
                  <a:p>
                    <a:r>
                      <a:rPr lang="en-US"/>
                      <a:t>Ogles un kokss
3,81 PJ</a:t>
                    </a:r>
                  </a:p>
                  <a:p>
                    <a:r>
                      <a:rPr lang="en-US"/>
                      <a:t>2,0%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2028446357272686"/>
                  <c:y val="1.1598654069918453E-2"/>
                </c:manualLayout>
              </c:layout>
              <c:tx>
                <c:rich>
                  <a:bodyPr/>
                  <a:lstStyle/>
                  <a:p>
                    <a:r>
                      <a:rPr lang="en-US"/>
                      <a:t>Kūdra
0,03 PJ</a:t>
                    </a:r>
                  </a:p>
                  <a:p>
                    <a:r>
                      <a:rPr lang="en-US"/>
                      <a:t>0,0%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8.0104312918703166E-2"/>
                  <c:y val="-0.18280835082621058"/>
                </c:manualLayout>
              </c:layout>
              <c:tx>
                <c:rich>
                  <a:bodyPr/>
                  <a:lstStyle/>
                  <a:p>
                    <a:r>
                      <a:rPr lang="en-US"/>
                      <a:t>Naftas</a:t>
                    </a:r>
                    <a:r>
                      <a:rPr lang="en-US" baseline="0"/>
                      <a:t> produkti</a:t>
                    </a:r>
                    <a:r>
                      <a:rPr lang="en-US"/>
                      <a:t>
58,39 PJ</a:t>
                    </a:r>
                  </a:p>
                  <a:p>
                    <a:r>
                      <a:rPr lang="en-US"/>
                      <a:t>30,6%</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8.7749147562979288E-2"/>
                  <c:y val="0.17193843070398954"/>
                </c:manualLayout>
              </c:layout>
              <c:tx>
                <c:rich>
                  <a:bodyPr/>
                  <a:lstStyle/>
                  <a:p>
                    <a:r>
                      <a:rPr lang="en-US"/>
                      <a:t>Dabasgāze
50,</a:t>
                    </a:r>
                    <a:r>
                      <a:rPr lang="en-US" baseline="0"/>
                      <a:t>81 PJ</a:t>
                    </a:r>
                  </a:p>
                  <a:p>
                    <a:r>
                      <a:rPr lang="en-US"/>
                      <a:t>26,7%</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5.1300479996574826E-2"/>
                  <c:y val="-6.1913927639578861E-3"/>
                </c:manualLayout>
              </c:layout>
              <c:tx>
                <c:rich>
                  <a:bodyPr/>
                  <a:lstStyle/>
                  <a:p>
                    <a:r>
                      <a:rPr lang="lv-LV"/>
                      <a:t>Elektroenerģijas neto</a:t>
                    </a:r>
                    <a:r>
                      <a:rPr lang="lv-LV" baseline="0"/>
                      <a:t> imports</a:t>
                    </a:r>
                    <a:endParaRPr lang="lv-LV"/>
                  </a:p>
                  <a:p>
                    <a:r>
                      <a:rPr lang="lv-LV"/>
                      <a:t>6,09 PJ
3,2%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6503271495455665"/>
                  <c:y val="-0.20529509423634559"/>
                </c:manualLayout>
              </c:layout>
              <c:tx>
                <c:rich>
                  <a:bodyPr/>
                  <a:lstStyle/>
                  <a:p>
                    <a:r>
                      <a:rPr lang="en-US"/>
                      <a:t>Kurināmā</a:t>
                    </a:r>
                    <a:r>
                      <a:rPr lang="en-US" baseline="0"/>
                      <a:t> koksne un kokogles</a:t>
                    </a:r>
                    <a:r>
                      <a:rPr lang="en-US"/>
                      <a:t>
52,24 PJ</a:t>
                    </a:r>
                  </a:p>
                  <a:p>
                    <a:r>
                      <a:rPr lang="en-US"/>
                      <a:t>27,4%</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4.4277069865856646E-2"/>
                  <c:y val="-0.11705203494331838"/>
                </c:manualLayout>
              </c:layout>
              <c:tx>
                <c:rich>
                  <a:bodyPr/>
                  <a:lstStyle/>
                  <a:p>
                    <a:r>
                      <a:rPr lang="en-US"/>
                      <a:t>Salmi,</a:t>
                    </a:r>
                    <a:r>
                      <a:rPr lang="en-US" baseline="0"/>
                      <a:t> cita biomasa</a:t>
                    </a:r>
                    <a:r>
                      <a:rPr lang="en-US"/>
                      <a:t>
0,04 PJ</a:t>
                    </a:r>
                  </a:p>
                  <a:p>
                    <a:r>
                      <a:rPr lang="en-US"/>
                      <a:t>0,0%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9.0495104483742678E-2"/>
                  <c:y val="-3.3930141624112169E-2"/>
                </c:manualLayout>
              </c:layout>
              <c:tx>
                <c:rich>
                  <a:bodyPr/>
                  <a:lstStyle/>
                  <a:p>
                    <a:r>
                      <a:rPr lang="en-US"/>
                      <a:t>Biogāze
2,18 PJ</a:t>
                    </a:r>
                  </a:p>
                  <a:p>
                    <a:r>
                      <a:rPr lang="en-US"/>
                      <a:t>1,1%</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8.6595514218635386E-2"/>
                  <c:y val="8.2689383053963297E-2"/>
                </c:manualLayout>
              </c:layout>
              <c:tx>
                <c:rich>
                  <a:bodyPr/>
                  <a:lstStyle/>
                  <a:p>
                    <a:r>
                      <a:rPr lang="en-US"/>
                      <a:t>Biodegvielas
0,94 PJ</a:t>
                    </a:r>
                  </a:p>
                  <a:p>
                    <a:r>
                      <a:rPr lang="en-US"/>
                      <a:t>0,5%</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2.6299752064121801E-2"/>
                  <c:y val="9.044058507884653E-2"/>
                </c:manualLayout>
              </c:layout>
              <c:tx>
                <c:rich>
                  <a:bodyPr/>
                  <a:lstStyle/>
                  <a:p>
                    <a:r>
                      <a:rPr lang="lv-LV"/>
                      <a:t>Hidroenerģija 
13,35 PJ</a:t>
                    </a:r>
                  </a:p>
                  <a:p>
                    <a:r>
                      <a:rPr lang="lv-LV"/>
                      <a:t>7,0%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1"/>
              <c:layout>
                <c:manualLayout>
                  <c:x val="-5.2447092546365731E-2"/>
                  <c:y val="7.4116841813782225E-2"/>
                </c:manualLayout>
              </c:layout>
              <c:tx>
                <c:rich>
                  <a:bodyPr/>
                  <a:lstStyle/>
                  <a:p>
                    <a:r>
                      <a:rPr lang="lv-LV"/>
                      <a:t>Vēja</a:t>
                    </a:r>
                    <a:r>
                      <a:rPr lang="lv-LV" baseline="0"/>
                      <a:t> enerģija</a:t>
                    </a:r>
                    <a:r>
                      <a:rPr lang="lv-LV"/>
                      <a:t>
0,41 PJ</a:t>
                    </a:r>
                  </a:p>
                  <a:p>
                    <a:r>
                      <a:rPr lang="lv-LV"/>
                      <a:t>0,2%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2"/>
              <c:layout>
                <c:manualLayout>
                  <c:x val="-0.1417228687972634"/>
                  <c:y val="-5.6749341594715648E-3"/>
                </c:manualLayout>
              </c:layout>
              <c:tx>
                <c:rich>
                  <a:bodyPr/>
                  <a:lstStyle/>
                  <a:p>
                    <a:r>
                      <a:rPr lang="en-US"/>
                      <a:t>Atjaunojamie</a:t>
                    </a:r>
                    <a:r>
                      <a:rPr lang="en-US" baseline="0"/>
                      <a:t> energoresursi</a:t>
                    </a:r>
                    <a:endParaRPr lang="en-US"/>
                  </a:p>
                  <a:p>
                    <a:r>
                      <a:rPr lang="en-US"/>
                      <a:t>69,14 PJ
36,3%</a:t>
                    </a:r>
                  </a:p>
                </c:rich>
              </c:tx>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'[Atteli_29092014.xlsx]KPEP strukt 2012'!$A$22:$A$33</c:f>
              <c:strCache>
                <c:ptCount val="12"/>
                <c:pt idx="0">
                  <c:v>Atkritumi</c:v>
                </c:pt>
                <c:pt idx="1">
                  <c:v>Ogles un kokss</c:v>
                </c:pt>
                <c:pt idx="2">
                  <c:v>Kūdra</c:v>
                </c:pt>
                <c:pt idx="3">
                  <c:v>Naftas produkti </c:v>
                </c:pt>
                <c:pt idx="4">
                  <c:v>Dabasgāze</c:v>
                </c:pt>
                <c:pt idx="5">
                  <c:v>Elektroenerģijas neto imports</c:v>
                </c:pt>
                <c:pt idx="6">
                  <c:v>Kurināmā koksne un kokogles</c:v>
                </c:pt>
                <c:pt idx="7">
                  <c:v>Salmi, cita biomasa</c:v>
                </c:pt>
                <c:pt idx="8">
                  <c:v>Biogāze</c:v>
                </c:pt>
                <c:pt idx="9">
                  <c:v>Biodegvielas</c:v>
                </c:pt>
                <c:pt idx="10">
                  <c:v>Hidroenerģija </c:v>
                </c:pt>
                <c:pt idx="11">
                  <c:v>Vēja enerģija</c:v>
                </c:pt>
              </c:strCache>
            </c:strRef>
          </c:cat>
          <c:val>
            <c:numRef>
              <c:f>'[Atteli_29092014.xlsx]KPEP strukt 2012'!$B$22:$B$33</c:f>
              <c:numCache>
                <c:formatCode>0.0%</c:formatCode>
                <c:ptCount val="12"/>
                <c:pt idx="0">
                  <c:v>1.2230634828188702E-2</c:v>
                </c:pt>
                <c:pt idx="1">
                  <c:v>1.9969882520843502E-2</c:v>
                </c:pt>
                <c:pt idx="2">
                  <c:v>1.4166758488249462E-4</c:v>
                </c:pt>
                <c:pt idx="3">
                  <c:v>0.30635352883460049</c:v>
                </c:pt>
                <c:pt idx="4">
                  <c:v>0.26657641916814895</c:v>
                </c:pt>
                <c:pt idx="5">
                  <c:v>3.1943416917208416E-2</c:v>
                </c:pt>
                <c:pt idx="6">
                  <c:v>0.2740743072717447</c:v>
                </c:pt>
                <c:pt idx="7">
                  <c:v>1.9938400835314057E-4</c:v>
                </c:pt>
                <c:pt idx="8">
                  <c:v>1.1412111004423176E-2</c:v>
                </c:pt>
                <c:pt idx="9">
                  <c:v>4.9216368377696272E-3</c:v>
                </c:pt>
                <c:pt idx="10">
                  <c:v>7.0020515565070024E-2</c:v>
                </c:pt>
                <c:pt idx="11">
                  <c:v>2.1564954587668622E-3</c:v>
                </c:pt>
              </c:numCache>
            </c:numRef>
          </c:val>
        </c:ser>
        <c:dLbls>
          <c:showLegendKey val="0"/>
          <c:showVal val="0"/>
          <c:showCatName val="0"/>
          <c:showSerName val="0"/>
          <c:showPercent val="0"/>
          <c:showBubbleSize val="0"/>
          <c:showLeaderLines val="1"/>
        </c:dLbls>
        <c:gapWidth val="100"/>
        <c:splitType val="pos"/>
        <c:splitPos val="6"/>
        <c:secondPieSize val="50"/>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9.0445734114590379E-2"/>
          <c:y val="0.86927950182697744"/>
          <c:w val="0.86133947564831148"/>
          <c:h val="0.11111265503576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'1990-2012'!$A$37</c:f>
              <c:strCache>
                <c:ptCount val="1"/>
                <c:pt idx="0">
                  <c:v>AER</c:v>
                </c:pt>
              </c:strCache>
            </c:strRef>
          </c:tx>
          <c:spPr>
            <a:solidFill>
              <a:schemeClr val="accent3"/>
            </a:solidFill>
            <a:ln>
              <a:solidFill>
                <a:schemeClr val="accent3"/>
              </a:solidFill>
            </a:ln>
          </c:spPr>
          <c:invertIfNegative val="0"/>
          <c:dLbls>
            <c:spPr>
              <a:noFill/>
              <a:ln>
                <a:noFill/>
              </a:ln>
              <a:effectLst/>
            </c:spPr>
            <c:txPr>
              <a:bodyPr rot="-5400000" vert="horz"/>
              <a:lstStyle/>
              <a:p>
                <a:pPr>
                  <a:defRPr b="1"/>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'1990-2012'!$B$22:$X$22</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'1990-2012'!$B$37:$X$37</c:f>
              <c:numCache>
                <c:formatCode>0.0%</c:formatCode>
                <c:ptCount val="23"/>
                <c:pt idx="0">
                  <c:v>0.13136103199162036</c:v>
                </c:pt>
                <c:pt idx="1">
                  <c:v>0.13943968314775382</c:v>
                </c:pt>
                <c:pt idx="2">
                  <c:v>0.16027579345029438</c:v>
                </c:pt>
                <c:pt idx="3">
                  <c:v>0.2070134377143783</c:v>
                </c:pt>
                <c:pt idx="4">
                  <c:v>0.2455692272251519</c:v>
                </c:pt>
                <c:pt idx="5">
                  <c:v>0.27518166953123785</c:v>
                </c:pt>
                <c:pt idx="6">
                  <c:v>0.26336101891241931</c:v>
                </c:pt>
                <c:pt idx="7">
                  <c:v>0.29177014826737158</c:v>
                </c:pt>
                <c:pt idx="8">
                  <c:v>0.32238069775309169</c:v>
                </c:pt>
                <c:pt idx="9">
                  <c:v>0.30241597482976867</c:v>
                </c:pt>
                <c:pt idx="10">
                  <c:v>0.30429661275556907</c:v>
                </c:pt>
                <c:pt idx="11">
                  <c:v>0.31055500806051944</c:v>
                </c:pt>
                <c:pt idx="12">
                  <c:v>0.29958464898878473</c:v>
                </c:pt>
                <c:pt idx="13">
                  <c:v>0.29920965125929638</c:v>
                </c:pt>
                <c:pt idx="14">
                  <c:v>0.32295399644288764</c:v>
                </c:pt>
                <c:pt idx="15">
                  <c:v>0.32209025385525453</c:v>
                </c:pt>
                <c:pt idx="16">
                  <c:v>0.30082244361714483</c:v>
                </c:pt>
                <c:pt idx="17">
                  <c:v>0.28794854500845563</c:v>
                </c:pt>
                <c:pt idx="18">
                  <c:v>0.29350790775305863</c:v>
                </c:pt>
                <c:pt idx="19">
                  <c:v>0.34711146154701011</c:v>
                </c:pt>
                <c:pt idx="20">
                  <c:v>0.32794144045315826</c:v>
                </c:pt>
                <c:pt idx="21">
                  <c:v>0.32211136563494119</c:v>
                </c:pt>
                <c:pt idx="22">
                  <c:v>0.36278445014612754</c:v>
                </c:pt>
              </c:numCache>
            </c:numRef>
          </c:val>
        </c:ser>
        <c:dLbls>
          <c:showLegendKey val="0"/>
          <c:showVal val="0"/>
          <c:showCatName val="0"/>
          <c:showSerName val="0"/>
          <c:showPercent val="0"/>
          <c:showBubbleSize val="0"/>
        </c:dLbls>
        <c:gapWidth val="40"/>
        <c:axId val="128464000"/>
        <c:axId val="128465536"/>
      </c:barChart>
      <c:catAx>
        <c:axId val="128464000"/>
        <c:scaling>
          <c:orientation val="minMax"/>
        </c:scaling>
        <c:delete val="0"/>
        <c:axPos val="b"/>
        <c:numFmt formatCode="General" sourceLinked="1"/>
        <c:majorTickMark val="out"/>
        <c:minorTickMark val="none"/>
        <c:tickLblPos val="nextTo"/>
        <c:crossAx val="128465536"/>
        <c:crosses val="autoZero"/>
        <c:auto val="1"/>
        <c:lblAlgn val="ctr"/>
        <c:lblOffset val="100"/>
        <c:noMultiLvlLbl val="0"/>
      </c:catAx>
      <c:valAx>
        <c:axId val="128465536"/>
        <c:scaling>
          <c:orientation val="minMax"/>
        </c:scaling>
        <c:delete val="0"/>
        <c:axPos val="l"/>
        <c:majorGridlines/>
        <c:numFmt formatCode="0%" sourceLinked="0"/>
        <c:majorTickMark val="out"/>
        <c:minorTickMark val="none"/>
        <c:tickLblPos val="nextTo"/>
        <c:crossAx val="12846400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Obligātā iepirkuma komponente</a:t>
            </a:r>
          </a:p>
        </c:rich>
      </c:tx>
      <c:layout>
        <c:manualLayout>
          <c:xMode val="edge"/>
          <c:yMode val="edge"/>
          <c:x val="0.23676142732102834"/>
          <c:y val="4.6296296296296439E-2"/>
        </c:manualLayout>
      </c:layout>
      <c:overlay val="1"/>
      <c:spPr>
        <a:noFill/>
        <a:ln>
          <a:noFill/>
        </a:ln>
        <a:effectLst/>
      </c:spPr>
    </c:title>
    <c:autoTitleDeleted val="0"/>
    <c:plotArea>
      <c:layout>
        <c:manualLayout>
          <c:layoutTarget val="inner"/>
          <c:xMode val="edge"/>
          <c:yMode val="edge"/>
          <c:x val="9.2030183727034143E-2"/>
          <c:y val="0.16714129483814544"/>
          <c:w val="0.87741426071740958"/>
          <c:h val="0.71687882764654665"/>
        </c:manualLayout>
      </c:layout>
      <c:lineChart>
        <c:grouping val="standard"/>
        <c:varyColors val="0"/>
        <c:ser>
          <c:idx val="0"/>
          <c:order val="0"/>
          <c:spPr>
            <a:ln w="28575" cap="rnd">
              <a:solidFill>
                <a:schemeClr val="accent4"/>
              </a:solidFill>
              <a:round/>
            </a:ln>
            <a:effectLst/>
          </c:spPr>
          <c:marker>
            <c:symbol val="none"/>
          </c:marker>
          <c:dLbls>
            <c:dLbl>
              <c:idx val="2"/>
              <c:layout>
                <c:manualLayout>
                  <c:x val="-5.1097331583552064E-2"/>
                  <c:y val="-4.21412948381454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1097331583552064E-2"/>
                  <c:y val="-5.14005540974044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1097331583552064E-2"/>
                  <c:y val="-4.21412948381454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1097550306211804E-2"/>
                  <c:y val="-3.75116652085156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Sheet1!$A$19:$A$25</c:f>
              <c:numCache>
                <c:formatCode>General</c:formatCode>
                <c:ptCount val="7"/>
                <c:pt idx="0">
                  <c:v>2008</c:v>
                </c:pt>
                <c:pt idx="1">
                  <c:v>2009</c:v>
                </c:pt>
                <c:pt idx="2">
                  <c:v>2010</c:v>
                </c:pt>
                <c:pt idx="3">
                  <c:v>2011</c:v>
                </c:pt>
                <c:pt idx="4">
                  <c:v>2012</c:v>
                </c:pt>
                <c:pt idx="5">
                  <c:v>2013</c:v>
                </c:pt>
                <c:pt idx="6">
                  <c:v>2014</c:v>
                </c:pt>
              </c:numCache>
            </c:numRef>
          </c:cat>
          <c:val>
            <c:numRef>
              <c:f>Sheet1!$B$19:$B$25</c:f>
              <c:numCache>
                <c:formatCode>General</c:formatCode>
                <c:ptCount val="7"/>
                <c:pt idx="0">
                  <c:v>0.8</c:v>
                </c:pt>
                <c:pt idx="1">
                  <c:v>1.1200000000000001</c:v>
                </c:pt>
                <c:pt idx="2">
                  <c:v>1.6400000000000001</c:v>
                </c:pt>
                <c:pt idx="3">
                  <c:v>1.6600000000000001</c:v>
                </c:pt>
                <c:pt idx="4">
                  <c:v>1.7500000000000007</c:v>
                </c:pt>
                <c:pt idx="5">
                  <c:v>2.69</c:v>
                </c:pt>
                <c:pt idx="6">
                  <c:v>2.68</c:v>
                </c:pt>
              </c:numCache>
            </c:numRef>
          </c:val>
          <c:smooth val="0"/>
        </c:ser>
        <c:dLbls>
          <c:showLegendKey val="0"/>
          <c:showVal val="0"/>
          <c:showCatName val="0"/>
          <c:showSerName val="0"/>
          <c:showPercent val="0"/>
          <c:showBubbleSize val="0"/>
        </c:dLbls>
        <c:marker val="1"/>
        <c:smooth val="0"/>
        <c:axId val="128486016"/>
        <c:axId val="128504192"/>
      </c:lineChart>
      <c:catAx>
        <c:axId val="1284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8504192"/>
        <c:crosses val="autoZero"/>
        <c:auto val="1"/>
        <c:lblAlgn val="ctr"/>
        <c:lblOffset val="100"/>
        <c:noMultiLvlLbl val="0"/>
      </c:catAx>
      <c:valAx>
        <c:axId val="12850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centi/kWh</a:t>
                </a:r>
              </a:p>
            </c:rich>
          </c:tx>
          <c:layout>
            <c:manualLayout>
              <c:xMode val="edge"/>
              <c:yMode val="edge"/>
              <c:x val="0"/>
              <c:y val="5.7513487897346546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84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43001962230823"/>
          <c:y val="4.2463529268143806E-2"/>
          <c:w val="0.70307603518967399"/>
          <c:h val="0.67782294655028585"/>
        </c:manualLayout>
      </c:layout>
      <c:barChart>
        <c:barDir val="col"/>
        <c:grouping val="clustered"/>
        <c:varyColors val="0"/>
        <c:ser>
          <c:idx val="2"/>
          <c:order val="0"/>
          <c:tx>
            <c:strRef>
              <c:f>'abas enerģijas intensitātes'!$A$7</c:f>
              <c:strCache>
                <c:ptCount val="1"/>
                <c:pt idx="0">
                  <c:v>Latvija (primārās enerģijas intensitāte)</c:v>
                </c:pt>
              </c:strCache>
            </c:strRef>
          </c:tx>
          <c:spPr>
            <a:solidFill>
              <a:srgbClr val="C00000"/>
            </a:solidFill>
          </c:spPr>
          <c:invertIfNegative val="0"/>
          <c:cat>
            <c:strRef>
              <c:f>'abas enerģijas intensitātes'!$B$4:$M$4</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'abas enerģijas intensitātes'!$B$7:$M$7</c:f>
              <c:numCache>
                <c:formatCode>0.000</c:formatCode>
                <c:ptCount val="12"/>
                <c:pt idx="0">
                  <c:v>0.44269999999999998</c:v>
                </c:pt>
                <c:pt idx="1">
                  <c:v>0.41060000000000002</c:v>
                </c:pt>
                <c:pt idx="2">
                  <c:v>0.40540000000000009</c:v>
                </c:pt>
                <c:pt idx="3">
                  <c:v>0.3822000000000001</c:v>
                </c:pt>
                <c:pt idx="4">
                  <c:v>0.35520000000000002</c:v>
                </c:pt>
                <c:pt idx="5">
                  <c:v>0.33200000000000013</c:v>
                </c:pt>
                <c:pt idx="6">
                  <c:v>0.30960000000000015</c:v>
                </c:pt>
                <c:pt idx="7">
                  <c:v>0.30590000000000012</c:v>
                </c:pt>
                <c:pt idx="8">
                  <c:v>0.35710000000000008</c:v>
                </c:pt>
                <c:pt idx="9">
                  <c:v>0.38240000000000013</c:v>
                </c:pt>
                <c:pt idx="10">
                  <c:v>0.33350000000000013</c:v>
                </c:pt>
                <c:pt idx="11">
                  <c:v>0.32860000000000011</c:v>
                </c:pt>
              </c:numCache>
            </c:numRef>
          </c:val>
        </c:ser>
        <c:ser>
          <c:idx val="0"/>
          <c:order val="1"/>
          <c:tx>
            <c:strRef>
              <c:f>'abas enerģijas intensitātes'!$A$11</c:f>
              <c:strCache>
                <c:ptCount val="1"/>
                <c:pt idx="0">
                  <c:v>Latvija (gala enerģijas intensitāte)</c:v>
                </c:pt>
              </c:strCache>
            </c:strRef>
          </c:tx>
          <c:spPr>
            <a:solidFill>
              <a:srgbClr val="FF8B8B"/>
            </a:solidFill>
          </c:spPr>
          <c:invertIfNegative val="0"/>
          <c:cat>
            <c:strRef>
              <c:f>'abas enerģijas intensitātes'!$B$4:$M$4</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'abas enerģijas intensitātes'!$B$11:$M$11</c:f>
              <c:numCache>
                <c:formatCode>0.000</c:formatCode>
                <c:ptCount val="12"/>
                <c:pt idx="0">
                  <c:v>0.3818817925213337</c:v>
                </c:pt>
                <c:pt idx="1">
                  <c:v>0.36114172570099412</c:v>
                </c:pt>
                <c:pt idx="2">
                  <c:v>0.35193996881554884</c:v>
                </c:pt>
                <c:pt idx="3">
                  <c:v>0.33270937845677517</c:v>
                </c:pt>
                <c:pt idx="4">
                  <c:v>0.31081670297601721</c:v>
                </c:pt>
                <c:pt idx="5">
                  <c:v>0.29221684487030192</c:v>
                </c:pt>
                <c:pt idx="6">
                  <c:v>0.27592449992048868</c:v>
                </c:pt>
                <c:pt idx="7">
                  <c:v>0.27068475200822328</c:v>
                </c:pt>
                <c:pt idx="8">
                  <c:v>0.31989863616341341</c:v>
                </c:pt>
                <c:pt idx="9">
                  <c:v>0.34150218188846493</c:v>
                </c:pt>
                <c:pt idx="10">
                  <c:v>0.29478030589515153</c:v>
                </c:pt>
                <c:pt idx="11">
                  <c:v>0.29162469450709921</c:v>
                </c:pt>
              </c:numCache>
            </c:numRef>
          </c:val>
        </c:ser>
        <c:ser>
          <c:idx val="3"/>
          <c:order val="2"/>
          <c:tx>
            <c:strRef>
              <c:f>'abas enerģijas intensitātes'!$A$6</c:f>
              <c:strCache>
                <c:ptCount val="1"/>
                <c:pt idx="0">
                  <c:v>ES-28 (primārās enerģijas intensitāte)</c:v>
                </c:pt>
              </c:strCache>
            </c:strRef>
          </c:tx>
          <c:spPr>
            <a:solidFill>
              <a:srgbClr val="0070C0"/>
            </a:solidFill>
          </c:spPr>
          <c:invertIfNegative val="0"/>
          <c:cat>
            <c:strRef>
              <c:f>'abas enerģijas intensitātes'!$B$4:$M$4</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'abas enerģijas intensitātes'!$B$6:$M$6</c:f>
              <c:numCache>
                <c:formatCode>0.000</c:formatCode>
                <c:ptCount val="12"/>
                <c:pt idx="0">
                  <c:v>0.17090000000000005</c:v>
                </c:pt>
                <c:pt idx="1">
                  <c:v>0.16830000000000001</c:v>
                </c:pt>
                <c:pt idx="2">
                  <c:v>0.16919999999999999</c:v>
                </c:pt>
                <c:pt idx="3">
                  <c:v>0.16689999999999999</c:v>
                </c:pt>
                <c:pt idx="4">
                  <c:v>0.16400000000000001</c:v>
                </c:pt>
                <c:pt idx="5">
                  <c:v>0.15930000000000008</c:v>
                </c:pt>
                <c:pt idx="6">
                  <c:v>0.15190000000000006</c:v>
                </c:pt>
                <c:pt idx="7">
                  <c:v>0.15100000000000005</c:v>
                </c:pt>
                <c:pt idx="8">
                  <c:v>0.14900000000000005</c:v>
                </c:pt>
                <c:pt idx="9">
                  <c:v>0.15150000000000005</c:v>
                </c:pt>
                <c:pt idx="10">
                  <c:v>0.14400000000000004</c:v>
                </c:pt>
                <c:pt idx="11">
                  <c:v>0.14319999999999999</c:v>
                </c:pt>
              </c:numCache>
            </c:numRef>
          </c:val>
        </c:ser>
        <c:ser>
          <c:idx val="1"/>
          <c:order val="3"/>
          <c:tx>
            <c:strRef>
              <c:f>'abas enerģijas intensitātes'!$A$10</c:f>
              <c:strCache>
                <c:ptCount val="1"/>
                <c:pt idx="0">
                  <c:v>ES-28 (gala enerģijas intensitāte)</c:v>
                </c:pt>
              </c:strCache>
            </c:strRef>
          </c:tx>
          <c:spPr>
            <a:solidFill>
              <a:srgbClr val="7DC7FF"/>
            </a:solidFill>
          </c:spPr>
          <c:invertIfNegative val="0"/>
          <c:cat>
            <c:strRef>
              <c:f>'abas enerģijas intensitātes'!$B$4:$M$4</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'abas enerģijas intensitātes'!$B$10:$M$10</c:f>
              <c:numCache>
                <c:formatCode>0.000</c:formatCode>
                <c:ptCount val="12"/>
                <c:pt idx="0">
                  <c:v>0.11175953514244621</c:v>
                </c:pt>
                <c:pt idx="1">
                  <c:v>0.10918911483648806</c:v>
                </c:pt>
                <c:pt idx="2">
                  <c:v>0.11054951708133347</c:v>
                </c:pt>
                <c:pt idx="3">
                  <c:v>0.10894744928478473</c:v>
                </c:pt>
                <c:pt idx="4">
                  <c:v>0.10687137652675666</c:v>
                </c:pt>
                <c:pt idx="5">
                  <c:v>0.10346795397078863</c:v>
                </c:pt>
                <c:pt idx="6">
                  <c:v>9.8591268477265695E-2</c:v>
                </c:pt>
                <c:pt idx="7">
                  <c:v>9.8575907839163535E-2</c:v>
                </c:pt>
                <c:pt idx="8">
                  <c:v>9.7366434159352755E-2</c:v>
                </c:pt>
                <c:pt idx="9">
                  <c:v>9.9923651494840254E-2</c:v>
                </c:pt>
                <c:pt idx="10">
                  <c:v>9.3833817861102148E-2</c:v>
                </c:pt>
                <c:pt idx="11">
                  <c:v>9.3875553226399358E-2</c:v>
                </c:pt>
              </c:numCache>
            </c:numRef>
          </c:val>
        </c:ser>
        <c:dLbls>
          <c:showLegendKey val="0"/>
          <c:showVal val="0"/>
          <c:showCatName val="0"/>
          <c:showSerName val="0"/>
          <c:showPercent val="0"/>
          <c:showBubbleSize val="0"/>
        </c:dLbls>
        <c:gapWidth val="50"/>
        <c:axId val="129136896"/>
        <c:axId val="129142784"/>
      </c:barChart>
      <c:catAx>
        <c:axId val="129136896"/>
        <c:scaling>
          <c:orientation val="minMax"/>
        </c:scaling>
        <c:delete val="0"/>
        <c:axPos val="b"/>
        <c:numFmt formatCode="General" sourceLinked="1"/>
        <c:majorTickMark val="out"/>
        <c:minorTickMark val="none"/>
        <c:tickLblPos val="nextTo"/>
        <c:spPr>
          <a:ln>
            <a:solidFill>
              <a:schemeClr val="tx1"/>
            </a:solidFill>
          </a:ln>
        </c:spPr>
        <c:crossAx val="129142784"/>
        <c:crosses val="autoZero"/>
        <c:auto val="1"/>
        <c:lblAlgn val="ctr"/>
        <c:lblOffset val="100"/>
        <c:noMultiLvlLbl val="0"/>
      </c:catAx>
      <c:valAx>
        <c:axId val="129142784"/>
        <c:scaling>
          <c:orientation val="minMax"/>
          <c:max val="0.45"/>
        </c:scaling>
        <c:delete val="0"/>
        <c:axPos val="l"/>
        <c:majorGridlines/>
        <c:title>
          <c:tx>
            <c:rich>
              <a:bodyPr rot="-5400000" vert="horz"/>
              <a:lstStyle/>
              <a:p>
                <a:pPr>
                  <a:defRPr sz="1100" baseline="0"/>
                </a:pPr>
                <a:r>
                  <a:rPr lang="lv-LV" sz="1100" baseline="0"/>
                  <a:t>Enerģijas intensitāte</a:t>
                </a:r>
              </a:p>
              <a:p>
                <a:pPr>
                  <a:defRPr sz="1100" baseline="0"/>
                </a:pPr>
                <a:r>
                  <a:rPr lang="lv-LV" sz="1100" b="0" baseline="0"/>
                  <a:t>(enerģijas patēriņš pret IKP 2005.gada salīdzināmajās cenās)</a:t>
                </a:r>
              </a:p>
              <a:p>
                <a:pPr>
                  <a:defRPr sz="1100" baseline="0"/>
                </a:pPr>
                <a:r>
                  <a:rPr lang="lv-LV" sz="1100" baseline="0"/>
                  <a:t>(toe/1000 EUR (2005))</a:t>
                </a:r>
              </a:p>
            </c:rich>
          </c:tx>
          <c:layout>
            <c:manualLayout>
              <c:xMode val="edge"/>
              <c:yMode val="edge"/>
              <c:x val="1.8518518518518528E-3"/>
              <c:y val="9.7134490133177848E-2"/>
            </c:manualLayout>
          </c:layout>
          <c:overlay val="0"/>
        </c:title>
        <c:numFmt formatCode="#,##0.00" sourceLinked="0"/>
        <c:majorTickMark val="out"/>
        <c:minorTickMark val="none"/>
        <c:tickLblPos val="nextTo"/>
        <c:spPr>
          <a:ln>
            <a:solidFill>
              <a:schemeClr val="tx1"/>
            </a:solidFill>
          </a:ln>
        </c:spPr>
        <c:crossAx val="129136896"/>
        <c:crosses val="autoZero"/>
        <c:crossBetween val="between"/>
        <c:majorUnit val="5.0000000000000024E-2"/>
      </c:valAx>
      <c:spPr>
        <a:ln>
          <a:solidFill>
            <a:schemeClr val="bg1">
              <a:lumMod val="50000"/>
            </a:schemeClr>
          </a:solidFill>
        </a:ln>
      </c:spPr>
    </c:plotArea>
    <c:legend>
      <c:legendPos val="b"/>
      <c:layout>
        <c:manualLayout>
          <c:xMode val="edge"/>
          <c:yMode val="edge"/>
          <c:x val="0.19347676186748167"/>
          <c:y val="0.87193809511675113"/>
          <c:w val="0.75677314725903166"/>
          <c:h val="0.10483825243437021"/>
        </c:manualLayout>
      </c:layout>
      <c:overlay val="0"/>
      <c:txPr>
        <a:bodyPr/>
        <a:lstStyle/>
        <a:p>
          <a:pPr>
            <a:defRPr sz="1100" baseline="0"/>
          </a:pPr>
          <a:endParaRPr lang="lv-LV"/>
        </a:p>
      </c:txPr>
    </c:legend>
    <c:plotVisOnly val="1"/>
    <c:dispBlanksAs val="gap"/>
    <c:showDLblsOverMax val="0"/>
  </c:chart>
  <c:txPr>
    <a:bodyPr/>
    <a:lstStyle/>
    <a:p>
      <a:pPr>
        <a:defRPr sz="1200"/>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3891868650892966"/>
          <c:y val="5.0925925925925923E-2"/>
          <c:w val="0.68900602583601256"/>
          <c:h val="0.71576000821001495"/>
        </c:manualLayout>
      </c:layout>
      <c:barChart>
        <c:barDir val="col"/>
        <c:grouping val="clustered"/>
        <c:varyColors val="0"/>
        <c:ser>
          <c:idx val="0"/>
          <c:order val="1"/>
          <c:tx>
            <c:strRef>
              <c:f>[Atteli_29092014.xlsx]rezerves!$C$18</c:f>
              <c:strCache>
                <c:ptCount val="1"/>
                <c:pt idx="0">
                  <c:v>apjoms (tonnas) (kreisā ass)</c:v>
                </c:pt>
              </c:strCache>
            </c:strRef>
          </c:tx>
          <c:spPr>
            <a:solidFill>
              <a:schemeClr val="accent4">
                <a:shade val="76000"/>
              </a:schemeClr>
            </a:solidFill>
            <a:ln>
              <a:noFill/>
            </a:ln>
            <a:effectLst/>
          </c:spPr>
          <c:invertIfNegative val="0"/>
          <c:dLbls>
            <c:dLbl>
              <c:idx val="0"/>
              <c:layout>
                <c:manualLayout>
                  <c:x val="3.2599837000814994E-3"/>
                  <c:y val="-1.04236765877404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16998597836846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9765677416621972E-17"/>
                  <c:y val="8.4529180239162217E-3"/>
                </c:manualLayout>
              </c:layout>
              <c:tx>
                <c:rich>
                  <a:bodyPr/>
                  <a:lstStyle/>
                  <a:p>
                    <a:r>
                      <a:rPr lang="lv-LV"/>
                      <a:t>1</a:t>
                    </a:r>
                    <a:r>
                      <a:rPr lang="en-US"/>
                      <a:t>15 990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2599837000816191E-3"/>
                  <c:y val="4.495940598098813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[Atteli_29092014.xlsx]rezerves!$A$19:$A$22</c:f>
              <c:strCache>
                <c:ptCount val="4"/>
                <c:pt idx="0">
                  <c:v>2011-2012</c:v>
                </c:pt>
                <c:pt idx="1">
                  <c:v>2012-2013</c:v>
                </c:pt>
                <c:pt idx="2">
                  <c:v>2013-2014</c:v>
                </c:pt>
                <c:pt idx="3">
                  <c:v>2014-2015</c:v>
                </c:pt>
              </c:strCache>
            </c:strRef>
          </c:cat>
          <c:val>
            <c:numRef>
              <c:f>[Atteli_29092014.xlsx]rezerves!$C$19:$C$22</c:f>
              <c:numCache>
                <c:formatCode>General</c:formatCode>
                <c:ptCount val="4"/>
                <c:pt idx="0">
                  <c:v>247767</c:v>
                </c:pt>
                <c:pt idx="1">
                  <c:v>230820</c:v>
                </c:pt>
                <c:pt idx="2">
                  <c:v>315990</c:v>
                </c:pt>
                <c:pt idx="3">
                  <c:v>327644</c:v>
                </c:pt>
              </c:numCache>
            </c:numRef>
          </c:val>
        </c:ser>
        <c:dLbls>
          <c:showLegendKey val="0"/>
          <c:showVal val="0"/>
          <c:showCatName val="0"/>
          <c:showSerName val="0"/>
          <c:showPercent val="0"/>
          <c:showBubbleSize val="0"/>
        </c:dLbls>
        <c:gapWidth val="100"/>
        <c:axId val="129247488"/>
        <c:axId val="129269760"/>
      </c:barChart>
      <c:lineChart>
        <c:grouping val="stacked"/>
        <c:varyColors val="0"/>
        <c:ser>
          <c:idx val="1"/>
          <c:order val="0"/>
          <c:tx>
            <c:strRef>
              <c:f>[Atteli_29092014.xlsx]rezerves!$B$18</c:f>
              <c:strCache>
                <c:ptCount val="1"/>
                <c:pt idx="0">
                  <c:v>summa (euro) (labā ass)</c:v>
                </c:pt>
              </c:strCache>
            </c:strRef>
          </c:tx>
          <c:spPr>
            <a:ln w="28575" cap="rnd">
              <a:solidFill>
                <a:schemeClr val="accent4">
                  <a:tint val="77000"/>
                </a:schemeClr>
              </a:solidFill>
              <a:round/>
            </a:ln>
            <a:effectLst/>
          </c:spPr>
          <c:marker>
            <c:symbol val="circle"/>
            <c:size val="5"/>
            <c:spPr>
              <a:solidFill>
                <a:schemeClr val="accent4">
                  <a:tint val="77000"/>
                </a:schemeClr>
              </a:solidFill>
              <a:ln w="9525">
                <a:solidFill>
                  <a:schemeClr val="accent4">
                    <a:tint val="77000"/>
                  </a:schemeClr>
                </a:solidFill>
              </a:ln>
              <a:effectLst/>
            </c:spPr>
          </c:marker>
          <c:dLbls>
            <c:dLbl>
              <c:idx val="2"/>
              <c:tx>
                <c:rich>
                  <a:bodyPr/>
                  <a:lstStyle/>
                  <a:p>
                    <a:r>
                      <a:rPr lang="en-US"/>
                      <a:t>€ 2</a:t>
                    </a:r>
                    <a:r>
                      <a:rPr lang="lv-LV"/>
                      <a:t>8</a:t>
                    </a:r>
                    <a:r>
                      <a:rPr lang="en-US"/>
                      <a:t> </a:t>
                    </a:r>
                    <a:r>
                      <a:rPr lang="lv-LV"/>
                      <a:t>751</a:t>
                    </a:r>
                    <a:r>
                      <a:rPr lang="en-US"/>
                      <a:t> 92</a:t>
                    </a:r>
                    <a:r>
                      <a:rPr lang="lv-LV"/>
                      <a:t>1</a:t>
                    </a:r>
                    <a:endParaRPr lang="en-US"/>
                  </a:p>
                </c:rich>
              </c:tx>
              <c:dLblPos val="t"/>
              <c:showLegendKey val="0"/>
              <c:showVal val="1"/>
              <c:showCatName val="0"/>
              <c:showSerName val="0"/>
              <c:showPercent val="0"/>
              <c:showBubbleSize val="0"/>
            </c:dLbl>
            <c:dLbl>
              <c:idx val="3"/>
              <c:layout>
                <c:manualLayout>
                  <c:x val="-0.1052404879707885"/>
                  <c:y val="-0.1335834179713082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426]\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[Atteli_29092014.xlsx]rezerves!$B$19:$B$22</c:f>
              <c:numCache>
                <c:formatCode>General</c:formatCode>
                <c:ptCount val="4"/>
                <c:pt idx="0">
                  <c:v>19879624</c:v>
                </c:pt>
                <c:pt idx="1">
                  <c:v>21657702</c:v>
                </c:pt>
                <c:pt idx="2">
                  <c:v>26355928</c:v>
                </c:pt>
                <c:pt idx="3">
                  <c:v>18600000</c:v>
                </c:pt>
              </c:numCache>
            </c:numRef>
          </c:val>
          <c:smooth val="0"/>
        </c:ser>
        <c:dLbls>
          <c:showLegendKey val="0"/>
          <c:showVal val="0"/>
          <c:showCatName val="0"/>
          <c:showSerName val="0"/>
          <c:showPercent val="0"/>
          <c:showBubbleSize val="0"/>
        </c:dLbls>
        <c:marker val="1"/>
        <c:smooth val="0"/>
        <c:axId val="129272832"/>
        <c:axId val="129271296"/>
      </c:lineChart>
      <c:catAx>
        <c:axId val="1292474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9269760"/>
        <c:crosses val="autoZero"/>
        <c:auto val="1"/>
        <c:lblAlgn val="ctr"/>
        <c:lblOffset val="100"/>
        <c:noMultiLvlLbl val="0"/>
      </c:catAx>
      <c:valAx>
        <c:axId val="129269760"/>
        <c:scaling>
          <c:orientation val="minMax"/>
          <c:max val="6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9247488"/>
        <c:crosses val="autoZero"/>
        <c:crossBetween val="between"/>
        <c:majorUnit val="200000"/>
      </c:valAx>
      <c:valAx>
        <c:axId val="129271296"/>
        <c:scaling>
          <c:orientation val="minMax"/>
          <c:max val="3000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9272832"/>
        <c:crosses val="max"/>
        <c:crossBetween val="between"/>
        <c:majorUnit val="10000000"/>
      </c:valAx>
      <c:catAx>
        <c:axId val="129272832"/>
        <c:scaling>
          <c:orientation val="minMax"/>
        </c:scaling>
        <c:delete val="1"/>
        <c:axPos val="b"/>
        <c:majorTickMark val="none"/>
        <c:minorTickMark val="none"/>
        <c:tickLblPos val="nextTo"/>
        <c:crossAx val="12927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[Rezerves_09062014.xlsx]Sheet1!$B$58</c:f>
              <c:strCache>
                <c:ptCount val="1"/>
                <c:pt idx="0">
                  <c:v>Brīvā tirgus īpatsvars kopējā lietošanas apjomā</c:v>
                </c:pt>
              </c:strCache>
            </c:strRef>
          </c:tx>
          <c:spPr>
            <a:solidFill>
              <a:schemeClr val="accent3">
                <a:lumMod val="75000"/>
              </a:schemeClr>
            </a:solidFill>
            <a:ln>
              <a:noFill/>
            </a:ln>
            <a:effectLst/>
          </c:spPr>
          <c:invertIfNegative val="0"/>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[Rezerves_09062014.xlsx]Sheet1!$B$59:$B$63</c:f>
              <c:numCache>
                <c:formatCode>0%</c:formatCode>
                <c:ptCount val="5"/>
                <c:pt idx="0">
                  <c:v>1</c:v>
                </c:pt>
                <c:pt idx="1">
                  <c:v>0.75</c:v>
                </c:pt>
                <c:pt idx="2">
                  <c:v>0.66</c:v>
                </c:pt>
                <c:pt idx="3">
                  <c:v>0.35</c:v>
                </c:pt>
                <c:pt idx="4">
                  <c:v>0</c:v>
                </c:pt>
              </c:numCache>
            </c:numRef>
          </c:val>
        </c:ser>
        <c:ser>
          <c:idx val="1"/>
          <c:order val="1"/>
          <c:tx>
            <c:strRef>
              <c:f>[Rezerves_09062014.xlsx]Sheet1!$C$58</c:f>
              <c:strCache>
                <c:ptCount val="1"/>
                <c:pt idx="0">
                  <c:v>Regulēta tirgus īpatsvars kopējā lietošanas apjomā</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[Rezerves_09062014.xlsx]Sheet1!$A$59:$A$63</c:f>
              <c:strCache>
                <c:ptCount val="5"/>
                <c:pt idx="0">
                  <c:v>no 01.01.2015</c:v>
                </c:pt>
                <c:pt idx="1">
                  <c:v>no 01.11.2012</c:v>
                </c:pt>
                <c:pt idx="2">
                  <c:v>no 01.04.2012</c:v>
                </c:pt>
                <c:pt idx="3">
                  <c:v>no 01.12.2008</c:v>
                </c:pt>
                <c:pt idx="4">
                  <c:v>līdz 01.07.2007</c:v>
                </c:pt>
              </c:strCache>
            </c:strRef>
          </c:cat>
          <c:val>
            <c:numRef>
              <c:f>[Rezerves_09062014.xlsx]Sheet1!$C$59:$C$63</c:f>
              <c:numCache>
                <c:formatCode>0%</c:formatCode>
                <c:ptCount val="5"/>
                <c:pt idx="0">
                  <c:v>0</c:v>
                </c:pt>
                <c:pt idx="1">
                  <c:v>0.25</c:v>
                </c:pt>
                <c:pt idx="2">
                  <c:v>0.34</c:v>
                </c:pt>
                <c:pt idx="3">
                  <c:v>0.65</c:v>
                </c:pt>
                <c:pt idx="4">
                  <c:v>1</c:v>
                </c:pt>
              </c:numCache>
            </c:numRef>
          </c:val>
        </c:ser>
        <c:dLbls>
          <c:dLblPos val="ctr"/>
          <c:showLegendKey val="0"/>
          <c:showVal val="1"/>
          <c:showCatName val="0"/>
          <c:showSerName val="0"/>
          <c:showPercent val="0"/>
          <c:showBubbleSize val="0"/>
        </c:dLbls>
        <c:gapWidth val="150"/>
        <c:overlap val="100"/>
        <c:axId val="120019968"/>
        <c:axId val="120537856"/>
      </c:barChart>
      <c:catAx>
        <c:axId val="12001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537856"/>
        <c:crosses val="autoZero"/>
        <c:auto val="1"/>
        <c:lblAlgn val="ctr"/>
        <c:lblOffset val="100"/>
        <c:noMultiLvlLbl val="0"/>
      </c:catAx>
      <c:valAx>
        <c:axId val="120537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0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solidFill>
              <a:schemeClr val="accent4"/>
            </a:solidFill>
            <a:ln>
              <a:noFill/>
            </a:ln>
            <a:effectLst/>
          </c:spPr>
          <c:invertIfNegative val="0"/>
          <c:dPt>
            <c:idx val="10"/>
            <c:invertIfNegative val="0"/>
            <c:bubble3D val="0"/>
            <c:spPr>
              <a:solidFill>
                <a:schemeClr val="accent3">
                  <a:lumMod val="75000"/>
                </a:schemeClr>
              </a:solidFill>
              <a:ln>
                <a:noFill/>
              </a:ln>
              <a:effectLst/>
            </c:spPr>
          </c:dPt>
          <c:dPt>
            <c:idx val="24"/>
            <c:invertIfNegative val="0"/>
            <c:bubble3D val="0"/>
            <c:spPr>
              <a:solidFill>
                <a:schemeClr val="accent2">
                  <a:lumMod val="75000"/>
                </a:schemeClr>
              </a:solidFill>
              <a:ln>
                <a:noFill/>
              </a:ln>
              <a:effectLst/>
            </c:spPr>
          </c:dPt>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[Atteli_29092014.xlsx]elektr_majsaimn!$F$17:$F$45</c:f>
              <c:strCache>
                <c:ptCount val="29"/>
                <c:pt idx="0">
                  <c:v>Dānija</c:v>
                </c:pt>
                <c:pt idx="1">
                  <c:v>Vācija</c:v>
                </c:pt>
                <c:pt idx="2">
                  <c:v>Kipra</c:v>
                </c:pt>
                <c:pt idx="3">
                  <c:v>Īrija</c:v>
                </c:pt>
                <c:pt idx="4">
                  <c:v>Itālija</c:v>
                </c:pt>
                <c:pt idx="5">
                  <c:v>Spānija</c:v>
                </c:pt>
                <c:pt idx="6">
                  <c:v>Beļģija</c:v>
                </c:pt>
                <c:pt idx="7">
                  <c:v>Portugāle</c:v>
                </c:pt>
                <c:pt idx="8">
                  <c:v>Zviedrija</c:v>
                </c:pt>
                <c:pt idx="9">
                  <c:v>Austrija</c:v>
                </c:pt>
                <c:pt idx="10">
                  <c:v>ES-28</c:v>
                </c:pt>
                <c:pt idx="11">
                  <c:v>Nīderlande</c:v>
                </c:pt>
                <c:pt idx="12">
                  <c:v>Lielbritānija</c:v>
                </c:pt>
                <c:pt idx="13">
                  <c:v>Malta</c:v>
                </c:pt>
                <c:pt idx="14">
                  <c:v>Grieķija</c:v>
                </c:pt>
                <c:pt idx="15">
                  <c:v>Slovākija</c:v>
                </c:pt>
                <c:pt idx="16">
                  <c:v>Slovēnija</c:v>
                </c:pt>
                <c:pt idx="17">
                  <c:v>Luksemburga</c:v>
                </c:pt>
                <c:pt idx="18">
                  <c:v>Francija</c:v>
                </c:pt>
                <c:pt idx="19">
                  <c:v>Somija</c:v>
                </c:pt>
                <c:pt idx="20">
                  <c:v>Čehija</c:v>
                </c:pt>
                <c:pt idx="21">
                  <c:v>Polija</c:v>
                </c:pt>
                <c:pt idx="22">
                  <c:v>Lietuva</c:v>
                </c:pt>
                <c:pt idx="23">
                  <c:v>Igaunija</c:v>
                </c:pt>
                <c:pt idx="24">
                  <c:v>Latvija</c:v>
                </c:pt>
                <c:pt idx="25">
                  <c:v>Horvātija</c:v>
                </c:pt>
                <c:pt idx="26">
                  <c:v>Ungārija</c:v>
                </c:pt>
                <c:pt idx="27">
                  <c:v>Rumānija</c:v>
                </c:pt>
                <c:pt idx="28">
                  <c:v>Bulgārija</c:v>
                </c:pt>
              </c:strCache>
            </c:strRef>
          </c:cat>
          <c:val>
            <c:numRef>
              <c:f>[Atteli_29092014.xlsx]elektr_majsaimn!$E$17:$E$45</c:f>
              <c:numCache>
                <c:formatCode>0.0</c:formatCode>
                <c:ptCount val="29"/>
                <c:pt idx="0">
                  <c:v>293.60000000000002</c:v>
                </c:pt>
                <c:pt idx="1">
                  <c:v>292.10000000000002</c:v>
                </c:pt>
                <c:pt idx="2">
                  <c:v>248.1</c:v>
                </c:pt>
                <c:pt idx="3">
                  <c:v>240.5</c:v>
                </c:pt>
                <c:pt idx="4">
                  <c:v>232.3</c:v>
                </c:pt>
                <c:pt idx="5">
                  <c:v>227.3</c:v>
                </c:pt>
                <c:pt idx="6">
                  <c:v>221.5</c:v>
                </c:pt>
                <c:pt idx="7">
                  <c:v>213.10000000000002</c:v>
                </c:pt>
                <c:pt idx="8">
                  <c:v>204.6</c:v>
                </c:pt>
                <c:pt idx="9">
                  <c:v>201.8</c:v>
                </c:pt>
                <c:pt idx="10">
                  <c:v>200.9</c:v>
                </c:pt>
                <c:pt idx="11">
                  <c:v>191.5</c:v>
                </c:pt>
                <c:pt idx="12">
                  <c:v>179.7</c:v>
                </c:pt>
                <c:pt idx="13">
                  <c:v>170</c:v>
                </c:pt>
                <c:pt idx="14">
                  <c:v>169.7</c:v>
                </c:pt>
                <c:pt idx="15">
                  <c:v>167.8</c:v>
                </c:pt>
                <c:pt idx="16">
                  <c:v>165.7</c:v>
                </c:pt>
                <c:pt idx="17">
                  <c:v>164.6</c:v>
                </c:pt>
                <c:pt idx="18">
                  <c:v>158.9</c:v>
                </c:pt>
                <c:pt idx="19">
                  <c:v>155.9</c:v>
                </c:pt>
                <c:pt idx="20">
                  <c:v>149.29999999999998</c:v>
                </c:pt>
                <c:pt idx="21">
                  <c:v>143.69999999999999</c:v>
                </c:pt>
                <c:pt idx="22">
                  <c:v>139.1</c:v>
                </c:pt>
                <c:pt idx="23">
                  <c:v>136.69999999999999</c:v>
                </c:pt>
                <c:pt idx="24">
                  <c:v>135.80000000000001</c:v>
                </c:pt>
                <c:pt idx="25">
                  <c:v>135</c:v>
                </c:pt>
                <c:pt idx="26">
                  <c:v>132.6</c:v>
                </c:pt>
                <c:pt idx="27">
                  <c:v>127.90000000000002</c:v>
                </c:pt>
                <c:pt idx="28">
                  <c:v>88.2</c:v>
                </c:pt>
              </c:numCache>
            </c:numRef>
          </c:val>
        </c:ser>
        <c:dLbls>
          <c:showLegendKey val="0"/>
          <c:showVal val="0"/>
          <c:showCatName val="0"/>
          <c:showSerName val="0"/>
          <c:showPercent val="0"/>
          <c:showBubbleSize val="0"/>
        </c:dLbls>
        <c:gapWidth val="219"/>
        <c:overlap val="-27"/>
        <c:axId val="120552064"/>
        <c:axId val="120562048"/>
      </c:barChart>
      <c:catAx>
        <c:axId val="1205520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562048"/>
        <c:crosses val="autoZero"/>
        <c:auto val="1"/>
        <c:lblAlgn val="ctr"/>
        <c:lblOffset val="100"/>
        <c:noMultiLvlLbl val="0"/>
      </c:catAx>
      <c:valAx>
        <c:axId val="12056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eiro/MWh</a:t>
                </a:r>
              </a:p>
            </c:rich>
          </c:tx>
          <c:layout>
            <c:manualLayout>
              <c:xMode val="edge"/>
              <c:yMode val="edge"/>
              <c:x val="1.752079387130908E-3"/>
              <c:y val="0.2932020457319378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55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28489620615667E-2"/>
          <c:y val="9.9568871580583085E-2"/>
          <c:w val="0.8868253200193551"/>
          <c:h val="0.66503614845978187"/>
        </c:manualLayout>
      </c:layout>
      <c:barChart>
        <c:barDir val="col"/>
        <c:grouping val="stacked"/>
        <c:varyColors val="0"/>
        <c:ser>
          <c:idx val="0"/>
          <c:order val="0"/>
          <c:tx>
            <c:strRef>
              <c:f>'elektr tarifi'!$A$33</c:f>
              <c:strCache>
                <c:ptCount val="1"/>
                <c:pt idx="0">
                  <c:v>Elektroenerģijas cena</c:v>
                </c:pt>
              </c:strCache>
            </c:strRef>
          </c:tx>
          <c:spPr>
            <a:solidFill>
              <a:schemeClr val="accent1"/>
            </a:solidFill>
            <a:ln>
              <a:noFill/>
            </a:ln>
            <a:effectLst/>
          </c:spPr>
          <c:invertIfNegative val="0"/>
          <c:dLbls>
            <c:dLbl>
              <c:idx val="0"/>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tarifi'!$B$33:$C$33</c:f>
              <c:numCache>
                <c:formatCode>0.00</c:formatCode>
                <c:ptCount val="2"/>
                <c:pt idx="0">
                  <c:v>1.0529251398682999</c:v>
                </c:pt>
                <c:pt idx="1">
                  <c:v>3.9555836335592822</c:v>
                </c:pt>
              </c:numCache>
            </c:numRef>
          </c:val>
        </c:ser>
        <c:ser>
          <c:idx val="1"/>
          <c:order val="1"/>
          <c:tx>
            <c:strRef>
              <c:f>'elektr tarifi'!$A$34</c:f>
              <c:strCache>
                <c:ptCount val="1"/>
                <c:pt idx="0">
                  <c:v>Tīkla pakalpojumi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tarifi'!$B$34:$C$34</c:f>
              <c:numCache>
                <c:formatCode>0.00</c:formatCode>
                <c:ptCount val="2"/>
                <c:pt idx="0">
                  <c:v>5.634572370106028</c:v>
                </c:pt>
                <c:pt idx="1">
                  <c:v>5.634572370106028</c:v>
                </c:pt>
              </c:numCache>
            </c:numRef>
          </c:val>
        </c:ser>
        <c:ser>
          <c:idx val="2"/>
          <c:order val="2"/>
          <c:tx>
            <c:strRef>
              <c:f>'elektr tarifi'!$A$35</c:f>
              <c:strCache>
                <c:ptCount val="1"/>
                <c:pt idx="0">
                  <c:v>Tirdzniecības pakalpojumi</c:v>
                </c:pt>
              </c:strCache>
            </c:strRef>
          </c:tx>
          <c:spPr>
            <a:solidFill>
              <a:schemeClr val="accent3"/>
            </a:solidFill>
            <a:ln>
              <a:noFill/>
            </a:ln>
            <a:effectLst/>
          </c:spPr>
          <c:invertIfNegative val="0"/>
          <c:cat>
            <c:strRef>
              <c:f>'elektr tarifi'!$B$31:$C$31</c:f>
              <c:strCache>
                <c:ptCount val="2"/>
                <c:pt idx="0">
                  <c:v>Starta tarifs</c:v>
                </c:pt>
                <c:pt idx="1">
                  <c:v>Pamata tarifs</c:v>
                </c:pt>
              </c:strCache>
            </c:strRef>
          </c:cat>
          <c:val>
            <c:numRef>
              <c:f>'elektr tarifi'!$B$35:$C$35</c:f>
              <c:numCache>
                <c:formatCode>0.00</c:formatCode>
                <c:ptCount val="2"/>
                <c:pt idx="0">
                  <c:v>0.24188820780758233</c:v>
                </c:pt>
                <c:pt idx="1">
                  <c:v>0.24188820780758233</c:v>
                </c:pt>
              </c:numCache>
            </c:numRef>
          </c:val>
        </c:ser>
        <c:ser>
          <c:idx val="3"/>
          <c:order val="3"/>
          <c:tx>
            <c:strRef>
              <c:f>'elektr tarifi'!$A$36</c:f>
              <c:strCache>
                <c:ptCount val="1"/>
                <c:pt idx="0">
                  <c:v>Obligātā iepirkuma komponente</c:v>
                </c:pt>
              </c:strCache>
            </c:strRef>
          </c:tx>
          <c:spPr>
            <a:solidFill>
              <a:schemeClr val="accent4"/>
            </a:solidFill>
            <a:ln>
              <a:noFill/>
            </a:ln>
            <a:effectLst/>
          </c:spPr>
          <c:invertIfNegative val="0"/>
          <c:dLbls>
            <c:dLbl>
              <c:idx val="0"/>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tarifi'!$B$36:$C$36</c:f>
              <c:numCache>
                <c:formatCode>0.00</c:formatCode>
                <c:ptCount val="2"/>
                <c:pt idx="0">
                  <c:v>2.6892277220960632</c:v>
                </c:pt>
                <c:pt idx="1">
                  <c:v>2.6892277220960632</c:v>
                </c:pt>
              </c:numCache>
            </c:numRef>
          </c:val>
        </c:ser>
        <c:ser>
          <c:idx val="4"/>
          <c:order val="4"/>
          <c:tx>
            <c:strRef>
              <c:f>'elektr tarifi'!$A$37</c:f>
              <c:strCache>
                <c:ptCount val="1"/>
                <c:pt idx="0">
                  <c:v>PVN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 tarifi'!$B$31:$C$31</c:f>
              <c:strCache>
                <c:ptCount val="2"/>
                <c:pt idx="0">
                  <c:v>Starta tarifs</c:v>
                </c:pt>
                <c:pt idx="1">
                  <c:v>Pamata tarifs</c:v>
                </c:pt>
              </c:strCache>
            </c:strRef>
          </c:cat>
          <c:val>
            <c:numRef>
              <c:f>'elektr tarifi'!$B$37:$C$37</c:f>
              <c:numCache>
                <c:formatCode>0.00</c:formatCode>
                <c:ptCount val="2"/>
                <c:pt idx="0">
                  <c:v>2.0204779710986278</c:v>
                </c:pt>
                <c:pt idx="1">
                  <c:v>2.6323128496707477</c:v>
                </c:pt>
              </c:numCache>
            </c:numRef>
          </c:val>
        </c:ser>
        <c:dLbls>
          <c:showLegendKey val="0"/>
          <c:showVal val="0"/>
          <c:showCatName val="0"/>
          <c:showSerName val="0"/>
          <c:showPercent val="0"/>
          <c:showBubbleSize val="0"/>
        </c:dLbls>
        <c:gapWidth val="150"/>
        <c:overlap val="100"/>
        <c:axId val="120737152"/>
        <c:axId val="120743040"/>
      </c:barChart>
      <c:catAx>
        <c:axId val="120737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743040"/>
        <c:crosses val="autoZero"/>
        <c:auto val="1"/>
        <c:lblAlgn val="ctr"/>
        <c:lblOffset val="100"/>
        <c:noMultiLvlLbl val="0"/>
      </c:catAx>
      <c:valAx>
        <c:axId val="12074304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737152"/>
        <c:crosses val="autoZero"/>
        <c:crossBetween val="between"/>
        <c:majorUnit val="5"/>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milj. m3</a:t>
            </a:r>
          </a:p>
        </c:rich>
      </c:tx>
      <c:layout>
        <c:manualLayout>
          <c:xMode val="edge"/>
          <c:yMode val="edge"/>
          <c:x val="1.0888888888888903E-2"/>
          <c:y val="1.8518518518518531E-2"/>
        </c:manualLayout>
      </c:layout>
      <c:overlay val="0"/>
      <c:spPr>
        <a:noFill/>
        <a:ln>
          <a:noFill/>
        </a:ln>
        <a:effectLst/>
      </c:spPr>
    </c:title>
    <c:autoTitleDeleted val="0"/>
    <c:plotArea>
      <c:layout/>
      <c:barChart>
        <c:barDir val="col"/>
        <c:grouping val="clustered"/>
        <c:varyColors val="0"/>
        <c:ser>
          <c:idx val="0"/>
          <c:order val="0"/>
          <c:tx>
            <c:strRef>
              <c:f>dabasgāze!$A$5</c:f>
              <c:strCache>
                <c:ptCount val="1"/>
                <c:pt idx="0">
                  <c:v>Dabasgāze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'naftas produkti'!$E$3:$N$3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dabasgāze!$E$5:$N$5</c:f>
              <c:numCache>
                <c:formatCode>General</c:formatCode>
                <c:ptCount val="10"/>
                <c:pt idx="0">
                  <c:v>1677</c:v>
                </c:pt>
                <c:pt idx="1">
                  <c:v>1663</c:v>
                </c:pt>
                <c:pt idx="2">
                  <c:v>1695</c:v>
                </c:pt>
                <c:pt idx="3">
                  <c:v>1756</c:v>
                </c:pt>
                <c:pt idx="4">
                  <c:v>1700</c:v>
                </c:pt>
                <c:pt idx="5">
                  <c:v>1665</c:v>
                </c:pt>
                <c:pt idx="6">
                  <c:v>1528</c:v>
                </c:pt>
                <c:pt idx="7">
                  <c:v>1821</c:v>
                </c:pt>
                <c:pt idx="8">
                  <c:v>1604</c:v>
                </c:pt>
                <c:pt idx="9">
                  <c:v>1508</c:v>
                </c:pt>
              </c:numCache>
            </c:numRef>
          </c:val>
        </c:ser>
        <c:dLbls>
          <c:showLegendKey val="0"/>
          <c:showVal val="0"/>
          <c:showCatName val="0"/>
          <c:showSerName val="0"/>
          <c:showPercent val="0"/>
          <c:showBubbleSize val="0"/>
        </c:dLbls>
        <c:gapWidth val="219"/>
        <c:overlap val="-27"/>
        <c:axId val="120770560"/>
        <c:axId val="120772096"/>
      </c:barChart>
      <c:catAx>
        <c:axId val="12077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772096"/>
        <c:crosses val="autoZero"/>
        <c:auto val="1"/>
        <c:lblAlgn val="ctr"/>
        <c:lblOffset val="100"/>
        <c:noMultiLvlLbl val="0"/>
      </c:catAx>
      <c:valAx>
        <c:axId val="12077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770560"/>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Sheet1!$B$86</c:f>
              <c:strCache>
                <c:ptCount val="1"/>
                <c:pt idx="0">
                  <c:v>AS "Latvijas Gāze"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Sheet1!$B$87:$B$99</c:f>
              <c:numCache>
                <c:formatCode>0%</c:formatCode>
                <c:ptCount val="13"/>
                <c:pt idx="0">
                  <c:v>0.51</c:v>
                </c:pt>
                <c:pt idx="1">
                  <c:v>0.56000000000000005</c:v>
                </c:pt>
                <c:pt idx="2">
                  <c:v>0.54</c:v>
                </c:pt>
                <c:pt idx="3">
                  <c:v>0.55000000000000004</c:v>
                </c:pt>
                <c:pt idx="4">
                  <c:v>0.57999999999999996</c:v>
                </c:pt>
                <c:pt idx="5">
                  <c:v>0.53</c:v>
                </c:pt>
                <c:pt idx="6">
                  <c:v>0.53</c:v>
                </c:pt>
                <c:pt idx="7">
                  <c:v>0.65</c:v>
                </c:pt>
                <c:pt idx="8">
                  <c:v>0.56999999999999995</c:v>
                </c:pt>
                <c:pt idx="9">
                  <c:v>0.72</c:v>
                </c:pt>
                <c:pt idx="10">
                  <c:v>0.61</c:v>
                </c:pt>
                <c:pt idx="11">
                  <c:v>0.55000000000000004</c:v>
                </c:pt>
                <c:pt idx="12">
                  <c:v>0.5</c:v>
                </c:pt>
              </c:numCache>
            </c:numRef>
          </c:val>
        </c:ser>
        <c:ser>
          <c:idx val="1"/>
          <c:order val="1"/>
          <c:tx>
            <c:strRef>
              <c:f>Sheet1!$C$86</c:f>
              <c:strCache>
                <c:ptCount val="1"/>
                <c:pt idx="0">
                  <c:v>AAS "Gazprom"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Sheet1!$C$87:$C$99</c:f>
              <c:numCache>
                <c:formatCode>0%</c:formatCode>
                <c:ptCount val="13"/>
                <c:pt idx="0">
                  <c:v>0.32</c:v>
                </c:pt>
                <c:pt idx="1">
                  <c:v>0.22</c:v>
                </c:pt>
                <c:pt idx="2">
                  <c:v>0.2</c:v>
                </c:pt>
                <c:pt idx="3">
                  <c:v>0.22</c:v>
                </c:pt>
                <c:pt idx="4">
                  <c:v>0.17</c:v>
                </c:pt>
                <c:pt idx="5">
                  <c:v>0.21</c:v>
                </c:pt>
                <c:pt idx="6">
                  <c:v>0.19</c:v>
                </c:pt>
                <c:pt idx="7">
                  <c:v>0.08</c:v>
                </c:pt>
                <c:pt idx="8">
                  <c:v>0.1</c:v>
                </c:pt>
                <c:pt idx="9">
                  <c:v>0.1</c:v>
                </c:pt>
                <c:pt idx="10">
                  <c:v>0.17</c:v>
                </c:pt>
                <c:pt idx="11">
                  <c:v>0.25</c:v>
                </c:pt>
                <c:pt idx="12">
                  <c:v>0.28000000000000003</c:v>
                </c:pt>
              </c:numCache>
            </c:numRef>
          </c:val>
        </c:ser>
        <c:ser>
          <c:idx val="2"/>
          <c:order val="2"/>
          <c:tx>
            <c:strRef>
              <c:f>Sheet1!$D$86</c:f>
              <c:strCache>
                <c:ptCount val="1"/>
                <c:pt idx="0">
                  <c:v>AS "Eesti Gaas"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Sheet1!$D$87:$D$99</c:f>
              <c:numCache>
                <c:formatCode>0%</c:formatCode>
                <c:ptCount val="13"/>
                <c:pt idx="0">
                  <c:v>0.17</c:v>
                </c:pt>
                <c:pt idx="1">
                  <c:v>0.22</c:v>
                </c:pt>
                <c:pt idx="2">
                  <c:v>0.26</c:v>
                </c:pt>
                <c:pt idx="3">
                  <c:v>0.24</c:v>
                </c:pt>
                <c:pt idx="4">
                  <c:v>0.25</c:v>
                </c:pt>
                <c:pt idx="5">
                  <c:v>0.26</c:v>
                </c:pt>
                <c:pt idx="6">
                  <c:v>0.28000000000000003</c:v>
                </c:pt>
                <c:pt idx="7">
                  <c:v>0.27</c:v>
                </c:pt>
                <c:pt idx="8">
                  <c:v>0.26</c:v>
                </c:pt>
                <c:pt idx="9">
                  <c:v>0.16</c:v>
                </c:pt>
                <c:pt idx="10">
                  <c:v>0.22</c:v>
                </c:pt>
                <c:pt idx="11">
                  <c:v>0.2</c:v>
                </c:pt>
                <c:pt idx="12">
                  <c:v>0.22</c:v>
                </c:pt>
              </c:numCache>
            </c:numRef>
          </c:val>
        </c:ser>
        <c:ser>
          <c:idx val="3"/>
          <c:order val="3"/>
          <c:tx>
            <c:strRef>
              <c:f>Sheet1!$E$86</c:f>
              <c:strCache>
                <c:ptCount val="1"/>
                <c:pt idx="0">
                  <c:v>AS "Lietuvos Dujos"</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Sheet1!$A$87:$A$99</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Sheet1!$E$87:$E$99</c:f>
              <c:numCache>
                <c:formatCode>0%</c:formatCode>
                <c:ptCount val="13"/>
                <c:pt idx="0">
                  <c:v>0</c:v>
                </c:pt>
                <c:pt idx="1">
                  <c:v>0</c:v>
                </c:pt>
                <c:pt idx="2">
                  <c:v>0</c:v>
                </c:pt>
                <c:pt idx="3">
                  <c:v>0</c:v>
                </c:pt>
                <c:pt idx="4">
                  <c:v>0</c:v>
                </c:pt>
                <c:pt idx="5">
                  <c:v>0</c:v>
                </c:pt>
                <c:pt idx="6">
                  <c:v>0</c:v>
                </c:pt>
                <c:pt idx="7">
                  <c:v>0</c:v>
                </c:pt>
                <c:pt idx="8">
                  <c:v>7.0000000000000007E-2</c:v>
                </c:pt>
                <c:pt idx="9">
                  <c:v>0.02</c:v>
                </c:pt>
                <c:pt idx="10">
                  <c:v>0.01</c:v>
                </c:pt>
                <c:pt idx="11">
                  <c:v>0</c:v>
                </c:pt>
                <c:pt idx="12">
                  <c:v>0</c:v>
                </c:pt>
              </c:numCache>
            </c:numRef>
          </c:val>
        </c:ser>
        <c:dLbls>
          <c:dLblPos val="ctr"/>
          <c:showLegendKey val="0"/>
          <c:showVal val="1"/>
          <c:showCatName val="0"/>
          <c:showSerName val="0"/>
          <c:showPercent val="0"/>
          <c:showBubbleSize val="0"/>
        </c:dLbls>
        <c:gapWidth val="150"/>
        <c:overlap val="100"/>
        <c:axId val="120832768"/>
        <c:axId val="120834304"/>
      </c:barChart>
      <c:catAx>
        <c:axId val="1208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834304"/>
        <c:crosses val="autoZero"/>
        <c:auto val="1"/>
        <c:lblAlgn val="ctr"/>
        <c:lblOffset val="100"/>
        <c:noMultiLvlLbl val="0"/>
      </c:catAx>
      <c:valAx>
        <c:axId val="1208343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08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10"/>
    </c:view3D>
    <c:floor>
      <c:thickness val="0"/>
    </c:floor>
    <c:sideWall>
      <c:thickness val="0"/>
    </c:sideWall>
    <c:backWall>
      <c:thickness val="0"/>
    </c:backWall>
    <c:plotArea>
      <c:layout>
        <c:manualLayout>
          <c:layoutTarget val="inner"/>
          <c:xMode val="edge"/>
          <c:yMode val="edge"/>
          <c:x val="3.487873399989224E-2"/>
          <c:y val="1.8681740017607518E-2"/>
          <c:w val="0.93384071859052808"/>
          <c:h val="0.87892149844905754"/>
        </c:manualLayout>
      </c:layout>
      <c:pie3DChart>
        <c:varyColors val="1"/>
        <c:ser>
          <c:idx val="0"/>
          <c:order val="0"/>
          <c:tx>
            <c:strRef>
              <c:f>Sheet1!$L$4</c:f>
              <c:strCache>
                <c:ptCount val="1"/>
                <c:pt idx="0">
                  <c:v>Kopējās centralizētās siltumenerģijas galapatēriņš 2012. gadā</c:v>
                </c:pt>
              </c:strCache>
            </c:strRef>
          </c:tx>
          <c:dPt>
            <c:idx val="1"/>
            <c:bubble3D val="0"/>
          </c:dPt>
          <c:dPt>
            <c:idx val="2"/>
            <c:bubble3D val="0"/>
          </c:dPt>
          <c:dLbls>
            <c:dLbl>
              <c:idx val="0"/>
              <c:layout>
                <c:manualLayout>
                  <c:x val="-4.2221506326932728E-3"/>
                  <c:y val="0.1395313690627381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2406062467691076"/>
                  <c:y val="-0.218551773770214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6097095379728343"/>
                  <c:y val="0.12241935483870968"/>
                </c:manualLayout>
              </c:layout>
              <c:dLblPos val="bestFit"/>
              <c:showLegendKey val="0"/>
              <c:showVal val="1"/>
              <c:showCatName val="0"/>
              <c:showSerName val="0"/>
              <c:showPercent val="0"/>
              <c:showBubbleSize val="0"/>
              <c:extLst>
                <c:ext xmlns:c15="http://schemas.microsoft.com/office/drawing/2012/chart" uri="{CE6537A1-D6FC-4f65-9D91-7224C49458BB}"/>
              </c:extLst>
            </c:dLbl>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Sheet1!$K$5:$K$7</c:f>
              <c:strCache>
                <c:ptCount val="3"/>
                <c:pt idx="0">
                  <c:v>Rūpniecība</c:v>
                </c:pt>
                <c:pt idx="1">
                  <c:v>Mājsaimniecības</c:v>
                </c:pt>
                <c:pt idx="2">
                  <c:v>Citi patērētāji </c:v>
                </c:pt>
              </c:strCache>
            </c:strRef>
          </c:cat>
          <c:val>
            <c:numRef>
              <c:f>Sheet1!$L$5:$L$7</c:f>
              <c:numCache>
                <c:formatCode>0%</c:formatCode>
                <c:ptCount val="3"/>
                <c:pt idx="0" formatCode="0.00%">
                  <c:v>1.2E-2</c:v>
                </c:pt>
                <c:pt idx="1">
                  <c:v>0.7200000000000002</c:v>
                </c:pt>
                <c:pt idx="2" formatCode="0.00%">
                  <c:v>0.26800000000000002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85182234573619475"/>
          <c:w val="0.96614989108766092"/>
          <c:h val="0.14817765426380525"/>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v-LV" sz="1400"/>
              <a:t>Centralizētās siltumenerģijas galapatēriņa sadalījums pa reģioniem </a:t>
            </a:r>
          </a:p>
        </c:rich>
      </c:tx>
      <c:layout>
        <c:manualLayout>
          <c:xMode val="edge"/>
          <c:yMode val="edge"/>
          <c:x val="0.11807137054597777"/>
          <c:y val="0"/>
        </c:manualLayout>
      </c:layout>
      <c:overlay val="0"/>
    </c:title>
    <c:autoTitleDeleted val="0"/>
    <c:plotArea>
      <c:layout>
        <c:manualLayout>
          <c:layoutTarget val="inner"/>
          <c:xMode val="edge"/>
          <c:yMode val="edge"/>
          <c:x val="7.2840008282848701E-2"/>
          <c:y val="0.14130748882322924"/>
          <c:w val="0.8489379250567487"/>
          <c:h val="0.85869251117677114"/>
        </c:manualLayout>
      </c:layout>
      <c:doughnutChart>
        <c:varyColors val="1"/>
        <c:ser>
          <c:idx val="0"/>
          <c:order val="0"/>
          <c:tx>
            <c:strRef>
              <c:f>Sheet1!$M$10</c:f>
              <c:strCache>
                <c:ptCount val="1"/>
                <c:pt idx="0">
                  <c:v>Centralizētās siltumenerģijas galapatēriņa sadalījums pa reģioniem </c:v>
                </c:pt>
              </c:strCache>
            </c:strRef>
          </c:tx>
          <c:explosion val="25"/>
          <c:dLbls>
            <c:dLbl>
              <c:idx val="0"/>
              <c:tx>
                <c:rich>
                  <a:bodyPr/>
                  <a:lstStyle/>
                  <a:p>
                    <a:r>
                      <a:rPr lang="lv-LV" sz="1100" b="0" i="0"/>
                      <a:t>Rīgas reģions </a:t>
                    </a:r>
                    <a:r>
                      <a:rPr lang="lv-LV" sz="1100" b="1" i="0"/>
                      <a:t>51,70%</a:t>
                    </a:r>
                    <a:endParaRPr lang="lv-LV" b="1"/>
                  </a:p>
                </c:rich>
              </c:tx>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lv-LV"/>
                      <a:t>Pierīgas reģions </a:t>
                    </a:r>
                    <a:r>
                      <a:rPr lang="lv-LV" b="1"/>
                      <a:t>11,60%</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a:t>Vidzeme </a:t>
                    </a:r>
                    <a:r>
                      <a:rPr lang="en-US" b="1"/>
                      <a:t>6,10%</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en-US"/>
                      <a:t>Kurzeme </a:t>
                    </a:r>
                    <a:r>
                      <a:rPr lang="en-US" b="1"/>
                      <a:t>10,50%</a:t>
                    </a:r>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r>
                      <a:rPr lang="en-US"/>
                      <a:t>Zemgale </a:t>
                    </a:r>
                    <a:r>
                      <a:rPr lang="en-US" b="1"/>
                      <a:t>8,10%</a:t>
                    </a:r>
                  </a:p>
                </c:rich>
              </c:tx>
              <c:showLegendKey val="0"/>
              <c:showVal val="1"/>
              <c:showCatName val="1"/>
              <c:showSerName val="0"/>
              <c:showPercent val="0"/>
              <c:showBubbleSize val="0"/>
              <c:extLst>
                <c:ext xmlns:c15="http://schemas.microsoft.com/office/drawing/2012/chart" uri="{CE6537A1-D6FC-4f65-9D91-7224C49458BB}"/>
              </c:extLst>
            </c:dLbl>
            <c:dLbl>
              <c:idx val="5"/>
              <c:tx>
                <c:rich>
                  <a:bodyPr/>
                  <a:lstStyle/>
                  <a:p>
                    <a:r>
                      <a:rPr lang="en-US"/>
                      <a:t>Latgale</a:t>
                    </a:r>
                  </a:p>
                  <a:p>
                    <a:r>
                      <a:rPr lang="en-US" b="1"/>
                      <a:t>12%</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1100" b="0" i="0">
                    <a:latin typeface="Times New Roman" panose="02020603050405020304" pitchFamily="18" charset="0"/>
                    <a:cs typeface="Times New Roman" panose="02020603050405020304" pitchFamily="18" charset="0"/>
                  </a:defRPr>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Sheet1!$L$11:$L$16</c:f>
              <c:strCache>
                <c:ptCount val="6"/>
                <c:pt idx="0">
                  <c:v>Rīgas reģions </c:v>
                </c:pt>
                <c:pt idx="1">
                  <c:v>Pierīgas reģions </c:v>
                </c:pt>
                <c:pt idx="2">
                  <c:v>Vidzeme</c:v>
                </c:pt>
                <c:pt idx="3">
                  <c:v>Kurzeme</c:v>
                </c:pt>
                <c:pt idx="4">
                  <c:v>Zemgale</c:v>
                </c:pt>
                <c:pt idx="5">
                  <c:v>Latgale</c:v>
                </c:pt>
              </c:strCache>
            </c:strRef>
          </c:cat>
          <c:val>
            <c:numRef>
              <c:f>Sheet1!$M$11:$M$16</c:f>
              <c:numCache>
                <c:formatCode>0.00%</c:formatCode>
                <c:ptCount val="6"/>
                <c:pt idx="0">
                  <c:v>0.51700000000000002</c:v>
                </c:pt>
                <c:pt idx="1">
                  <c:v>0.11600000000000002</c:v>
                </c:pt>
                <c:pt idx="2">
                  <c:v>6.1000000000000013E-2</c:v>
                </c:pt>
                <c:pt idx="3">
                  <c:v>0.10500000000000002</c:v>
                </c:pt>
                <c:pt idx="4">
                  <c:v>8.1000000000000003E-2</c:v>
                </c:pt>
                <c:pt idx="5" formatCode="0%">
                  <c:v>0.12000000000000002</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92808073861267E-2"/>
          <c:y val="3.6529680365296802E-2"/>
          <c:w val="0.92421924401291722"/>
          <c:h val="0.51202794856122436"/>
        </c:manualLayout>
      </c:layout>
      <c:barChart>
        <c:barDir val="col"/>
        <c:grouping val="clustered"/>
        <c:varyColors val="0"/>
        <c:ser>
          <c:idx val="1"/>
          <c:order val="0"/>
          <c:spPr>
            <a:solidFill>
              <a:schemeClr val="accent4"/>
            </a:solidFill>
            <a:ln>
              <a:noFill/>
            </a:ln>
            <a:effectLst/>
          </c:spPr>
          <c:invertIfNegative val="0"/>
          <c:dLbls>
            <c:dLbl>
              <c:idx val="0"/>
              <c:layout>
                <c:manualLayout>
                  <c:x val="-1.6329864287255578E-3"/>
                  <c:y val="-3.83877159309021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8989592861766289E-3"/>
                  <c:y val="-2.5591810620601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9937738683322992E-17"/>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6329864287255428E-3"/>
                  <c:y val="-2.303262955854129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8989592861766289E-3"/>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5.9875477366645985E-17"/>
                  <c:y val="-3.07101727447217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632986428725483E-3"/>
                  <c:y val="-2.55918106206013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1.6329864287255428E-3"/>
                  <c:y val="-3.07101727447216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838771593090213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4.8989592861767486E-3"/>
                  <c:y val="-3.83877159309021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4.8989592861766289E-3"/>
                  <c:y val="-3.838771593090213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1"/>
              <c:layout>
                <c:manualLayout>
                  <c:x val="-4.8989592861766289E-3"/>
                  <c:y val="-4.09468969929622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3"/>
              <c:layout>
                <c:manualLayout>
                  <c:x val="0"/>
                  <c:y val="-1.79142674344210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rezerves!$A$55:$A$88</c:f>
              <c:strCache>
                <c:ptCount val="34"/>
                <c:pt idx="0">
                  <c:v>Ludzas bio-enerģija</c:v>
                </c:pt>
                <c:pt idx="1">
                  <c:v>Norma K- Mālpils</c:v>
                </c:pt>
                <c:pt idx="2">
                  <c:v>Valkas novada domes</c:v>
                </c:pt>
                <c:pt idx="3">
                  <c:v>Kuldīgas siltumtīkli</c:v>
                </c:pt>
                <c:pt idx="4">
                  <c:v>Madonas siltums</c:v>
                </c:pt>
                <c:pt idx="5">
                  <c:v>Pļaviņu komunālie pakalpojumi</c:v>
                </c:pt>
                <c:pt idx="6">
                  <c:v>Valmieras siltums</c:v>
                </c:pt>
                <c:pt idx="7">
                  <c:v>Aizkraukles siltums</c:v>
                </c:pt>
                <c:pt idx="8">
                  <c:v>Iecavas siltums</c:v>
                </c:pt>
                <c:pt idx="9">
                  <c:v>Rūjienas siltums</c:v>
                </c:pt>
                <c:pt idx="10">
                  <c:v>Vidzemes enerģija- Gulbene</c:v>
                </c:pt>
                <c:pt idx="11">
                  <c:v>Limbažu siltums</c:v>
                </c:pt>
                <c:pt idx="12">
                  <c:v>Vangažu namsaimnieks</c:v>
                </c:pt>
                <c:pt idx="13">
                  <c:v>Salaspils siltums</c:v>
                </c:pt>
                <c:pt idx="14">
                  <c:v>Rīgas siltums</c:v>
                </c:pt>
                <c:pt idx="15">
                  <c:v>Krāslavas nami</c:v>
                </c:pt>
                <c:pt idx="16">
                  <c:v>Talsu bio-enerģija</c:v>
                </c:pt>
                <c:pt idx="17">
                  <c:v>Simone- Alūksne</c:v>
                </c:pt>
                <c:pt idx="18">
                  <c:v>Ogre</c:v>
                </c:pt>
                <c:pt idx="19">
                  <c:v>Bauskas siltums</c:v>
                </c:pt>
                <c:pt idx="20">
                  <c:v>Daugavpils siltumtīkli</c:v>
                </c:pt>
                <c:pt idx="21">
                  <c:v>Ventspils siltums</c:v>
                </c:pt>
                <c:pt idx="22">
                  <c:v>Ozolnieks KSDU</c:v>
                </c:pt>
                <c:pt idx="23">
                  <c:v>Liepājas enerģija</c:v>
                </c:pt>
                <c:pt idx="24">
                  <c:v>Fortum Jelgava</c:v>
                </c:pt>
                <c:pt idx="25">
                  <c:v>Rēzekne</c:v>
                </c:pt>
                <c:pt idx="26">
                  <c:v>Tukuma siltums</c:v>
                </c:pt>
                <c:pt idx="27">
                  <c:v>Jēkabpils siltums</c:v>
                </c:pt>
                <c:pt idx="28">
                  <c:v>Wesemann- Sigulda</c:v>
                </c:pt>
                <c:pt idx="29">
                  <c:v>Saldus siltums</c:v>
                </c:pt>
                <c:pt idx="30">
                  <c:v>Olaines ūdens un siltums</c:v>
                </c:pt>
                <c:pt idx="31">
                  <c:v>Jūrmalas siltums</c:v>
                </c:pt>
                <c:pt idx="32">
                  <c:v>Lielvārdes rente</c:v>
                </c:pt>
                <c:pt idx="33">
                  <c:v>Grobiņas siltums</c:v>
                </c:pt>
              </c:strCache>
            </c:strRef>
          </c:cat>
          <c:val>
            <c:numRef>
              <c:f>rezerves!$C$55:$C$88</c:f>
              <c:numCache>
                <c:formatCode>General</c:formatCode>
                <c:ptCount val="34"/>
                <c:pt idx="0">
                  <c:v>45.92</c:v>
                </c:pt>
                <c:pt idx="1">
                  <c:v>48.35</c:v>
                </c:pt>
                <c:pt idx="2">
                  <c:v>48.59</c:v>
                </c:pt>
                <c:pt idx="3" formatCode="0.00">
                  <c:v>49.8</c:v>
                </c:pt>
                <c:pt idx="4">
                  <c:v>50.68</c:v>
                </c:pt>
                <c:pt idx="5">
                  <c:v>53.09</c:v>
                </c:pt>
                <c:pt idx="6">
                  <c:v>53.56</c:v>
                </c:pt>
                <c:pt idx="7">
                  <c:v>54.13</c:v>
                </c:pt>
                <c:pt idx="8">
                  <c:v>54.47</c:v>
                </c:pt>
                <c:pt idx="9">
                  <c:v>54.57</c:v>
                </c:pt>
                <c:pt idx="10">
                  <c:v>55.71</c:v>
                </c:pt>
                <c:pt idx="11">
                  <c:v>56.02</c:v>
                </c:pt>
                <c:pt idx="12">
                  <c:v>56.3</c:v>
                </c:pt>
                <c:pt idx="13">
                  <c:v>56.42</c:v>
                </c:pt>
                <c:pt idx="14">
                  <c:v>56.47</c:v>
                </c:pt>
                <c:pt idx="15">
                  <c:v>56.66</c:v>
                </c:pt>
                <c:pt idx="16">
                  <c:v>57.09</c:v>
                </c:pt>
                <c:pt idx="17">
                  <c:v>57.75</c:v>
                </c:pt>
                <c:pt idx="18">
                  <c:v>58.54</c:v>
                </c:pt>
                <c:pt idx="19">
                  <c:v>58.91</c:v>
                </c:pt>
                <c:pt idx="20">
                  <c:v>59.11</c:v>
                </c:pt>
                <c:pt idx="21">
                  <c:v>59.58</c:v>
                </c:pt>
                <c:pt idx="22">
                  <c:v>59.66</c:v>
                </c:pt>
                <c:pt idx="23">
                  <c:v>59.95</c:v>
                </c:pt>
                <c:pt idx="24">
                  <c:v>60.63</c:v>
                </c:pt>
                <c:pt idx="25">
                  <c:v>60.97</c:v>
                </c:pt>
                <c:pt idx="26">
                  <c:v>91.13</c:v>
                </c:pt>
                <c:pt idx="27">
                  <c:v>62.25</c:v>
                </c:pt>
                <c:pt idx="28">
                  <c:v>65.92</c:v>
                </c:pt>
                <c:pt idx="29">
                  <c:v>66.05</c:v>
                </c:pt>
                <c:pt idx="30">
                  <c:v>66.599999999999994</c:v>
                </c:pt>
                <c:pt idx="31">
                  <c:v>67.03</c:v>
                </c:pt>
                <c:pt idx="32">
                  <c:v>68.94</c:v>
                </c:pt>
                <c:pt idx="33">
                  <c:v>71.040000000000006</c:v>
                </c:pt>
              </c:numCache>
            </c:numRef>
          </c:val>
        </c:ser>
        <c:dLbls>
          <c:dLblPos val="outEnd"/>
          <c:showLegendKey val="0"/>
          <c:showVal val="1"/>
          <c:showCatName val="0"/>
          <c:showSerName val="0"/>
          <c:showPercent val="0"/>
          <c:showBubbleSize val="0"/>
        </c:dLbls>
        <c:gapWidth val="219"/>
        <c:overlap val="-27"/>
        <c:axId val="128259968"/>
        <c:axId val="12826700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rezerves!$A$55:$A$88</c15:sqref>
                        </c15:formulaRef>
                      </c:ext>
                    </c:extLst>
                    <c:strCache>
                      <c:ptCount val="34"/>
                      <c:pt idx="0">
                        <c:v>Ludzas bio-enerģija</c:v>
                      </c:pt>
                      <c:pt idx="1">
                        <c:v>Norma K- Mālpils</c:v>
                      </c:pt>
                      <c:pt idx="2">
                        <c:v>Valkas novada domes</c:v>
                      </c:pt>
                      <c:pt idx="3">
                        <c:v>Kuldīgas siltumtīkli</c:v>
                      </c:pt>
                      <c:pt idx="4">
                        <c:v>Madonas siltums</c:v>
                      </c:pt>
                      <c:pt idx="5">
                        <c:v>Pļaviņu komunālie pakalpojumi</c:v>
                      </c:pt>
                      <c:pt idx="6">
                        <c:v>Valmieras siltums</c:v>
                      </c:pt>
                      <c:pt idx="7">
                        <c:v>Aizkraukles siltums</c:v>
                      </c:pt>
                      <c:pt idx="8">
                        <c:v>Iecavas siltums</c:v>
                      </c:pt>
                      <c:pt idx="9">
                        <c:v>Rūjienas siltums</c:v>
                      </c:pt>
                      <c:pt idx="10">
                        <c:v>Vidzemes enerģija- Gulbene</c:v>
                      </c:pt>
                      <c:pt idx="11">
                        <c:v>Limbažu siltums</c:v>
                      </c:pt>
                      <c:pt idx="12">
                        <c:v>Vangažu namsaimnieks</c:v>
                      </c:pt>
                      <c:pt idx="13">
                        <c:v>Salaspils siltums</c:v>
                      </c:pt>
                      <c:pt idx="14">
                        <c:v>Rīgas siltums</c:v>
                      </c:pt>
                      <c:pt idx="15">
                        <c:v>Krāslavas nami</c:v>
                      </c:pt>
                      <c:pt idx="16">
                        <c:v>Talsu bio-enerģija</c:v>
                      </c:pt>
                      <c:pt idx="17">
                        <c:v>Simone- Alūksne</c:v>
                      </c:pt>
                      <c:pt idx="18">
                        <c:v>Ogre</c:v>
                      </c:pt>
                      <c:pt idx="19">
                        <c:v>Bauskas siltums</c:v>
                      </c:pt>
                      <c:pt idx="20">
                        <c:v>Daugavpils siltumtīkli</c:v>
                      </c:pt>
                      <c:pt idx="21">
                        <c:v>Ventspils siltums</c:v>
                      </c:pt>
                      <c:pt idx="22">
                        <c:v>Ozolnieks KSDU</c:v>
                      </c:pt>
                      <c:pt idx="23">
                        <c:v>Liepājas enerģija</c:v>
                      </c:pt>
                      <c:pt idx="24">
                        <c:v>Fortum Jelgava</c:v>
                      </c:pt>
                      <c:pt idx="25">
                        <c:v>Rēzekne</c:v>
                      </c:pt>
                      <c:pt idx="26">
                        <c:v>Tukuma siltums</c:v>
                      </c:pt>
                      <c:pt idx="27">
                        <c:v>Jēkabpils siltums</c:v>
                      </c:pt>
                      <c:pt idx="28">
                        <c:v>Wesemann- Sigulda</c:v>
                      </c:pt>
                      <c:pt idx="29">
                        <c:v>Saldus siltums</c:v>
                      </c:pt>
                      <c:pt idx="30">
                        <c:v>Olaines ūdens un siltums</c:v>
                      </c:pt>
                      <c:pt idx="31">
                        <c:v>Jūrmalas siltums</c:v>
                      </c:pt>
                      <c:pt idx="32">
                        <c:v>Lielvārdes rente</c:v>
                      </c:pt>
                      <c:pt idx="33">
                        <c:v>Grobiņas siltums</c:v>
                      </c:pt>
                    </c:strCache>
                  </c:strRef>
                </c:cat>
                <c:val>
                  <c:numRef>
                    <c:extLst>
                      <c:ext uri="{02D57815-91ED-43cb-92C2-25804820EDAC}">
                        <c15:formulaRef>
                          <c15:sqref>rezerves!$B$55:$B$88</c15:sqref>
                        </c15:formulaRef>
                      </c:ext>
                    </c:extLst>
                    <c:numCache>
                      <c:formatCode>General</c:formatCode>
                      <c:ptCount val="34"/>
                    </c:numCache>
                  </c:numRef>
                </c:val>
              </c15:ser>
            </c15:filteredBarSeries>
          </c:ext>
        </c:extLst>
      </c:barChart>
      <c:catAx>
        <c:axId val="12825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8267008"/>
        <c:crosses val="autoZero"/>
        <c:auto val="1"/>
        <c:lblAlgn val="ctr"/>
        <c:lblOffset val="100"/>
        <c:noMultiLvlLbl val="0"/>
      </c:catAx>
      <c:valAx>
        <c:axId val="12826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825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0.01246</cdr:x>
      <cdr:y>0.02257</cdr:y>
    </cdr:from>
    <cdr:to>
      <cdr:x>0.14413</cdr:x>
      <cdr:y>0.07465</cdr:y>
    </cdr:to>
    <cdr:sp macro="" textlink="">
      <cdr:nvSpPr>
        <cdr:cNvPr id="2" name="TextBox 1"/>
        <cdr:cNvSpPr txBox="1"/>
      </cdr:nvSpPr>
      <cdr:spPr>
        <a:xfrm xmlns:a="http://schemas.openxmlformats.org/drawingml/2006/main">
          <a:off x="66675" y="61913"/>
          <a:ext cx="70485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0.02491</cdr:x>
      <cdr:y>0.0191</cdr:y>
    </cdr:from>
    <cdr:to>
      <cdr:x>0.16904</cdr:x>
      <cdr:y>0.06424</cdr:y>
    </cdr:to>
    <cdr:sp macro="" textlink="">
      <cdr:nvSpPr>
        <cdr:cNvPr id="3" name="TextBox 2"/>
        <cdr:cNvSpPr txBox="1"/>
      </cdr:nvSpPr>
      <cdr:spPr>
        <a:xfrm xmlns:a="http://schemas.openxmlformats.org/drawingml/2006/main">
          <a:off x="133350" y="52388"/>
          <a:ext cx="771525"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000">
            <a:latin typeface="Arial Narrow" panose="020B0606020202030204" pitchFamily="34" charset="0"/>
          </a:endParaRPr>
        </a:p>
      </cdr:txBody>
    </cdr:sp>
  </cdr:relSizeAnchor>
  <cdr:relSizeAnchor xmlns:cdr="http://schemas.openxmlformats.org/drawingml/2006/chartDrawing">
    <cdr:from>
      <cdr:x>0</cdr:x>
      <cdr:y>0.01215</cdr:y>
    </cdr:from>
    <cdr:to>
      <cdr:x>0.15836</cdr:x>
      <cdr:y>0.07813</cdr:y>
    </cdr:to>
    <cdr:sp macro="" textlink="">
      <cdr:nvSpPr>
        <cdr:cNvPr id="6" name="TextBox 5"/>
        <cdr:cNvSpPr txBox="1"/>
      </cdr:nvSpPr>
      <cdr:spPr>
        <a:xfrm xmlns:a="http://schemas.openxmlformats.org/drawingml/2006/main">
          <a:off x="0" y="33338"/>
          <a:ext cx="8477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a:latin typeface="Arial Narrow" panose="020B0606020202030204" pitchFamily="34" charset="0"/>
            </a:rPr>
            <a:t>centi/kWh</a:t>
          </a:r>
          <a:endParaRPr lang="lv-LV" sz="1100">
            <a:latin typeface="Arial Narrow" panose="020B0606020202030204" pitchFamily="34" charset="0"/>
          </a:endParaRPr>
        </a:p>
      </cdr:txBody>
    </cdr:sp>
  </cdr:relSizeAnchor>
  <cdr:relSizeAnchor xmlns:cdr="http://schemas.openxmlformats.org/drawingml/2006/chartDrawing">
    <cdr:from>
      <cdr:x>0.21364</cdr:x>
      <cdr:y>0.27894</cdr:y>
    </cdr:from>
    <cdr:to>
      <cdr:x>0.39091</cdr:x>
      <cdr:y>0.37616</cdr:y>
    </cdr:to>
    <cdr:sp macro="" textlink="">
      <cdr:nvSpPr>
        <cdr:cNvPr id="5" name="TextBox 7"/>
        <cdr:cNvSpPr txBox="1"/>
      </cdr:nvSpPr>
      <cdr:spPr>
        <a:xfrm xmlns:a="http://schemas.openxmlformats.org/drawingml/2006/main">
          <a:off x="895349" y="765175"/>
          <a:ext cx="742950"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a:latin typeface="Arial Narrow" panose="020B0606020202030204" pitchFamily="34" charset="0"/>
            </a:rPr>
            <a:t>11,64</a:t>
          </a:r>
        </a:p>
      </cdr:txBody>
    </cdr:sp>
  </cdr:relSizeAnchor>
  <cdr:relSizeAnchor xmlns:cdr="http://schemas.openxmlformats.org/drawingml/2006/chartDrawing">
    <cdr:from>
      <cdr:x>0.66136</cdr:x>
      <cdr:y>0.18866</cdr:y>
    </cdr:from>
    <cdr:to>
      <cdr:x>0.83636</cdr:x>
      <cdr:y>0.28588</cdr:y>
    </cdr:to>
    <cdr:sp macro="" textlink="">
      <cdr:nvSpPr>
        <cdr:cNvPr id="7" name="TextBox 7"/>
        <cdr:cNvSpPr txBox="1"/>
      </cdr:nvSpPr>
      <cdr:spPr>
        <a:xfrm xmlns:a="http://schemas.openxmlformats.org/drawingml/2006/main">
          <a:off x="2771774" y="517525"/>
          <a:ext cx="733425"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a:latin typeface="Arial Narrow" panose="020B0606020202030204" pitchFamily="34" charset="0"/>
            </a:rPr>
            <a:t>15,15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D2727-2EAB-434E-958D-CCDB06ED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109606</Words>
  <Characters>62476</Characters>
  <Application>Microsoft Office Word</Application>
  <DocSecurity>0</DocSecurity>
  <Lines>520</Lines>
  <Paragraphs>343</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171739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Jansons</dc:creator>
  <cp:lastModifiedBy>Laimdota Adlere</cp:lastModifiedBy>
  <cp:revision>4</cp:revision>
  <cp:lastPrinted>2014-10-21T05:38:00Z</cp:lastPrinted>
  <dcterms:created xsi:type="dcterms:W3CDTF">2014-10-21T10:25:00Z</dcterms:created>
  <dcterms:modified xsi:type="dcterms:W3CDTF">2014-10-21T10:25:00Z</dcterms:modified>
</cp:coreProperties>
</file>