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theme/themeOverride1.xml" ContentType="application/vnd.openxmlformats-officedocument.themeOverride+xml"/>
  <Override PartName="/word/charts/chart7.xml" ContentType="application/vnd.openxmlformats-officedocument.drawingml.chart+xml"/>
  <Override PartName="/word/charts/chart8.xml" ContentType="application/vnd.openxmlformats-officedocument.drawingml.chart+xml"/>
  <Override PartName="/word/drawings/drawing1.xml" ContentType="application/vnd.openxmlformats-officedocument.drawingml.chartshapes+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709074220"/>
        <w:docPartObj>
          <w:docPartGallery w:val="Cover Pages"/>
          <w:docPartUnique/>
        </w:docPartObj>
      </w:sdtPr>
      <w:sdtEndPr>
        <w:rPr>
          <w:rFonts w:eastAsia="Times New Roman" w:cs="Times New Roman"/>
          <w:sz w:val="32"/>
          <w:szCs w:val="32"/>
          <w:lang w:eastAsia="lv-LV"/>
        </w:rPr>
      </w:sdtEndPr>
      <w:sdtContent>
        <w:p w:rsidR="0011653A" w:rsidRPr="00A11D1C" w:rsidRDefault="0011653A" w:rsidP="008F01D3">
          <w:pPr>
            <w:jc w:val="right"/>
          </w:pPr>
          <w:r w:rsidRPr="00A11D1C">
            <w:t>Pielikums Nr.1</w:t>
          </w:r>
        </w:p>
        <w:p w:rsidR="0011653A" w:rsidRDefault="0011653A" w:rsidP="006C493F">
          <w:pPr>
            <w:jc w:val="center"/>
            <w:rPr>
              <w:b/>
            </w:rPr>
          </w:pPr>
        </w:p>
        <w:p w:rsidR="0011653A" w:rsidRPr="00083555" w:rsidRDefault="0011653A" w:rsidP="00083555">
          <w:pPr>
            <w:ind w:firstLine="720"/>
            <w:jc w:val="right"/>
            <w:rPr>
              <w:rFonts w:eastAsia="Times New Roman" w:cs="Times New Roman"/>
              <w:szCs w:val="28"/>
              <w:lang w:eastAsia="lv-LV"/>
            </w:rPr>
          </w:pPr>
        </w:p>
        <w:p w:rsidR="0011653A" w:rsidRPr="00083555" w:rsidRDefault="0011653A" w:rsidP="00083555">
          <w:pPr>
            <w:rPr>
              <w:rFonts w:eastAsia="Times New Roman" w:cs="Times New Roman"/>
              <w:sz w:val="32"/>
              <w:szCs w:val="32"/>
              <w:lang w:eastAsia="lv-LV"/>
            </w:rPr>
          </w:pPr>
        </w:p>
        <w:p w:rsidR="0011653A" w:rsidRPr="00083555" w:rsidRDefault="0011653A" w:rsidP="00083555">
          <w:pPr>
            <w:jc w:val="center"/>
            <w:rPr>
              <w:rFonts w:eastAsia="Times New Roman" w:cs="Times New Roman"/>
              <w:sz w:val="32"/>
              <w:szCs w:val="32"/>
              <w:lang w:eastAsia="lv-LV"/>
            </w:rPr>
          </w:pPr>
        </w:p>
        <w:p w:rsidR="0011653A" w:rsidRPr="00083555" w:rsidRDefault="0011653A" w:rsidP="00083555">
          <w:pPr>
            <w:jc w:val="center"/>
            <w:rPr>
              <w:rFonts w:eastAsia="Times New Roman" w:cs="Times New Roman"/>
              <w:sz w:val="32"/>
              <w:szCs w:val="32"/>
              <w:lang w:eastAsia="lv-LV"/>
            </w:rPr>
          </w:pPr>
        </w:p>
        <w:p w:rsidR="0011653A" w:rsidRPr="00083555" w:rsidRDefault="0011653A" w:rsidP="00083555">
          <w:pPr>
            <w:jc w:val="center"/>
            <w:rPr>
              <w:rFonts w:eastAsia="Times New Roman" w:cs="Times New Roman"/>
              <w:sz w:val="32"/>
              <w:szCs w:val="32"/>
              <w:lang w:eastAsia="lv-LV"/>
            </w:rPr>
          </w:pPr>
        </w:p>
        <w:p w:rsidR="0011653A" w:rsidRPr="00083555" w:rsidRDefault="0011653A" w:rsidP="00083555">
          <w:pPr>
            <w:jc w:val="center"/>
            <w:rPr>
              <w:rFonts w:eastAsia="Times New Roman" w:cs="Times New Roman"/>
              <w:sz w:val="32"/>
              <w:szCs w:val="32"/>
              <w:lang w:eastAsia="lv-LV"/>
            </w:rPr>
          </w:pPr>
        </w:p>
        <w:p w:rsidR="0011653A" w:rsidRPr="00083555" w:rsidRDefault="0011653A" w:rsidP="00083555">
          <w:pPr>
            <w:jc w:val="center"/>
            <w:rPr>
              <w:rFonts w:eastAsia="Times New Roman" w:cs="Times New Roman"/>
              <w:sz w:val="32"/>
              <w:szCs w:val="32"/>
              <w:lang w:eastAsia="lv-LV"/>
            </w:rPr>
          </w:pPr>
        </w:p>
        <w:p w:rsidR="0011653A" w:rsidRPr="00083555" w:rsidRDefault="0011653A" w:rsidP="00083555">
          <w:pPr>
            <w:jc w:val="center"/>
            <w:rPr>
              <w:rFonts w:eastAsia="Times New Roman" w:cs="Times New Roman"/>
              <w:sz w:val="32"/>
              <w:szCs w:val="32"/>
              <w:lang w:eastAsia="lv-LV"/>
            </w:rPr>
          </w:pPr>
        </w:p>
        <w:p w:rsidR="0011653A" w:rsidRPr="00083555" w:rsidRDefault="0011653A" w:rsidP="00083555">
          <w:pPr>
            <w:jc w:val="center"/>
            <w:rPr>
              <w:rFonts w:eastAsia="Times New Roman" w:cs="Times New Roman"/>
              <w:sz w:val="32"/>
              <w:szCs w:val="32"/>
              <w:lang w:eastAsia="lv-LV"/>
            </w:rPr>
          </w:pPr>
        </w:p>
        <w:p w:rsidR="0011653A" w:rsidRPr="00083555" w:rsidRDefault="0011653A" w:rsidP="00083555">
          <w:pPr>
            <w:jc w:val="center"/>
            <w:rPr>
              <w:rFonts w:eastAsia="Times New Roman" w:cs="Times New Roman"/>
              <w:sz w:val="32"/>
              <w:szCs w:val="32"/>
              <w:lang w:eastAsia="lv-LV"/>
            </w:rPr>
          </w:pPr>
        </w:p>
        <w:p w:rsidR="0011653A" w:rsidRPr="00083555" w:rsidRDefault="0011653A" w:rsidP="00083555">
          <w:pPr>
            <w:jc w:val="center"/>
            <w:rPr>
              <w:rFonts w:eastAsia="Times New Roman" w:cs="Times New Roman"/>
              <w:sz w:val="32"/>
              <w:szCs w:val="32"/>
              <w:lang w:eastAsia="lv-LV"/>
            </w:rPr>
          </w:pPr>
        </w:p>
        <w:p w:rsidR="0011653A" w:rsidRPr="00083555" w:rsidRDefault="0011653A" w:rsidP="00083555">
          <w:pPr>
            <w:jc w:val="center"/>
            <w:rPr>
              <w:rFonts w:eastAsia="Times New Roman" w:cs="Times New Roman"/>
              <w:sz w:val="32"/>
              <w:szCs w:val="32"/>
              <w:lang w:eastAsia="lv-LV"/>
            </w:rPr>
          </w:pPr>
        </w:p>
        <w:p w:rsidR="0011653A" w:rsidRPr="00083555" w:rsidRDefault="0011653A" w:rsidP="00083555">
          <w:pPr>
            <w:jc w:val="center"/>
            <w:rPr>
              <w:rFonts w:eastAsia="Times New Roman" w:cs="Times New Roman"/>
              <w:sz w:val="32"/>
              <w:szCs w:val="32"/>
              <w:lang w:eastAsia="lv-LV"/>
            </w:rPr>
          </w:pPr>
        </w:p>
        <w:p w:rsidR="0011653A" w:rsidRPr="00083555" w:rsidRDefault="0011653A" w:rsidP="00083555">
          <w:pPr>
            <w:jc w:val="center"/>
            <w:rPr>
              <w:rFonts w:eastAsia="Times New Roman" w:cs="Times New Roman"/>
              <w:sz w:val="32"/>
              <w:szCs w:val="32"/>
              <w:lang w:eastAsia="lv-LV"/>
            </w:rPr>
          </w:pPr>
        </w:p>
        <w:p w:rsidR="0011653A" w:rsidRPr="00083555" w:rsidRDefault="0011653A" w:rsidP="000B40BB">
          <w:pPr>
            <w:jc w:val="center"/>
            <w:rPr>
              <w:rFonts w:eastAsia="Times New Roman" w:cs="Times New Roman"/>
              <w:szCs w:val="28"/>
              <w:lang w:eastAsia="lv-LV"/>
            </w:rPr>
          </w:pPr>
          <w:r>
            <w:rPr>
              <w:rFonts w:eastAsia="Times New Roman" w:cs="Times New Roman"/>
              <w:szCs w:val="28"/>
              <w:lang w:eastAsia="lv-LV"/>
            </w:rPr>
            <w:t xml:space="preserve">Enerģētikas </w:t>
          </w:r>
          <w:r w:rsidRPr="00083555">
            <w:rPr>
              <w:rFonts w:eastAsia="Times New Roman" w:cs="Times New Roman"/>
              <w:szCs w:val="28"/>
              <w:lang w:eastAsia="lv-LV"/>
            </w:rPr>
            <w:t>attīstības pamatnostādnes 2014.–2020. gadam</w:t>
          </w:r>
        </w:p>
        <w:p w:rsidR="0011653A" w:rsidRPr="00083555" w:rsidRDefault="0011653A" w:rsidP="000B40BB">
          <w:pPr>
            <w:spacing w:after="120"/>
            <w:jc w:val="center"/>
            <w:rPr>
              <w:rFonts w:eastAsia="Times New Roman" w:cs="Times New Roman"/>
              <w:sz w:val="20"/>
              <w:szCs w:val="20"/>
              <w:lang w:eastAsia="lv-LV"/>
            </w:rPr>
          </w:pPr>
        </w:p>
        <w:p w:rsidR="0011653A" w:rsidRPr="00083555" w:rsidRDefault="0011653A" w:rsidP="000B40BB">
          <w:pPr>
            <w:spacing w:after="120"/>
            <w:jc w:val="center"/>
            <w:rPr>
              <w:rFonts w:ascii="Cambria" w:eastAsia="Times New Roman" w:hAnsi="Cambria" w:cs="Times New Roman"/>
              <w:b/>
              <w:bCs/>
              <w:kern w:val="32"/>
              <w:sz w:val="56"/>
              <w:szCs w:val="48"/>
            </w:rPr>
          </w:pPr>
          <w:r w:rsidRPr="00083555">
            <w:rPr>
              <w:rFonts w:eastAsia="Times New Roman" w:cs="Times New Roman"/>
              <w:sz w:val="56"/>
              <w:szCs w:val="48"/>
              <w:lang w:eastAsia="lv-LV"/>
            </w:rPr>
            <w:t>Esošās situācijas raksturojums</w:t>
          </w:r>
        </w:p>
        <w:p w:rsidR="0011653A" w:rsidRPr="00083555" w:rsidRDefault="0011653A" w:rsidP="00083555">
          <w:pPr>
            <w:spacing w:after="120"/>
            <w:jc w:val="center"/>
            <w:rPr>
              <w:rFonts w:eastAsia="Times New Roman" w:cs="Times New Roman"/>
              <w:sz w:val="20"/>
              <w:szCs w:val="20"/>
              <w:lang w:eastAsia="lv-LV"/>
            </w:rPr>
          </w:pPr>
        </w:p>
        <w:p w:rsidR="0011653A" w:rsidRDefault="0011653A" w:rsidP="00083555">
          <w:pPr>
            <w:jc w:val="center"/>
            <w:rPr>
              <w:rFonts w:eastAsia="Times New Roman" w:cs="Times New Roman"/>
              <w:b/>
              <w:sz w:val="40"/>
              <w:szCs w:val="40"/>
              <w:lang w:eastAsia="lv-LV"/>
            </w:rPr>
          </w:pPr>
        </w:p>
        <w:p w:rsidR="0011653A" w:rsidRDefault="0011653A" w:rsidP="00083555">
          <w:pPr>
            <w:jc w:val="center"/>
            <w:rPr>
              <w:rFonts w:eastAsia="Times New Roman" w:cs="Times New Roman"/>
              <w:b/>
              <w:sz w:val="40"/>
              <w:szCs w:val="40"/>
              <w:lang w:eastAsia="lv-LV"/>
            </w:rPr>
          </w:pPr>
        </w:p>
        <w:p w:rsidR="0011653A" w:rsidRDefault="0011653A" w:rsidP="00083555">
          <w:pPr>
            <w:jc w:val="center"/>
            <w:rPr>
              <w:rFonts w:eastAsia="Times New Roman" w:cs="Times New Roman"/>
              <w:b/>
              <w:sz w:val="40"/>
              <w:szCs w:val="40"/>
              <w:lang w:eastAsia="lv-LV"/>
            </w:rPr>
          </w:pPr>
        </w:p>
        <w:p w:rsidR="0011653A" w:rsidRDefault="0011653A" w:rsidP="00083555">
          <w:pPr>
            <w:jc w:val="center"/>
            <w:rPr>
              <w:rFonts w:eastAsia="Times New Roman" w:cs="Times New Roman"/>
              <w:b/>
              <w:sz w:val="40"/>
              <w:szCs w:val="40"/>
              <w:lang w:eastAsia="lv-LV"/>
            </w:rPr>
          </w:pPr>
        </w:p>
        <w:p w:rsidR="0011653A" w:rsidRDefault="0011653A" w:rsidP="00083555">
          <w:pPr>
            <w:jc w:val="center"/>
            <w:rPr>
              <w:rFonts w:eastAsia="Times New Roman" w:cs="Times New Roman"/>
              <w:b/>
              <w:sz w:val="40"/>
              <w:szCs w:val="40"/>
              <w:lang w:eastAsia="lv-LV"/>
            </w:rPr>
          </w:pPr>
        </w:p>
        <w:p w:rsidR="0011653A" w:rsidRDefault="0011653A" w:rsidP="00083555">
          <w:pPr>
            <w:jc w:val="center"/>
            <w:rPr>
              <w:rFonts w:eastAsia="Times New Roman" w:cs="Times New Roman"/>
              <w:b/>
              <w:sz w:val="40"/>
              <w:szCs w:val="40"/>
              <w:lang w:eastAsia="lv-LV"/>
            </w:rPr>
          </w:pPr>
        </w:p>
        <w:p w:rsidR="0011653A" w:rsidRDefault="0011653A" w:rsidP="00083555">
          <w:pPr>
            <w:jc w:val="center"/>
            <w:rPr>
              <w:rFonts w:eastAsia="Times New Roman" w:cs="Times New Roman"/>
              <w:b/>
              <w:sz w:val="40"/>
              <w:szCs w:val="40"/>
              <w:lang w:eastAsia="lv-LV"/>
            </w:rPr>
          </w:pPr>
        </w:p>
        <w:p w:rsidR="0011653A" w:rsidRDefault="0011653A" w:rsidP="00083555">
          <w:pPr>
            <w:jc w:val="center"/>
            <w:rPr>
              <w:rFonts w:eastAsia="Times New Roman" w:cs="Times New Roman"/>
              <w:b/>
              <w:sz w:val="40"/>
              <w:szCs w:val="40"/>
              <w:lang w:eastAsia="lv-LV"/>
            </w:rPr>
          </w:pPr>
        </w:p>
        <w:p w:rsidR="0011653A" w:rsidRDefault="0011653A" w:rsidP="00083555">
          <w:pPr>
            <w:jc w:val="center"/>
            <w:rPr>
              <w:rFonts w:eastAsia="Times New Roman" w:cs="Times New Roman"/>
              <w:b/>
              <w:sz w:val="40"/>
              <w:szCs w:val="40"/>
              <w:lang w:eastAsia="lv-LV"/>
            </w:rPr>
          </w:pPr>
        </w:p>
        <w:p w:rsidR="0011653A" w:rsidRDefault="0011653A" w:rsidP="00083555">
          <w:pPr>
            <w:jc w:val="center"/>
            <w:rPr>
              <w:rFonts w:eastAsia="Times New Roman" w:cs="Times New Roman"/>
              <w:b/>
              <w:sz w:val="40"/>
              <w:szCs w:val="40"/>
              <w:lang w:eastAsia="lv-LV"/>
            </w:rPr>
          </w:pPr>
        </w:p>
        <w:p w:rsidR="0011653A" w:rsidRDefault="0011653A" w:rsidP="00083555">
          <w:pPr>
            <w:jc w:val="center"/>
            <w:rPr>
              <w:rFonts w:eastAsia="Times New Roman" w:cs="Times New Roman"/>
              <w:b/>
              <w:sz w:val="40"/>
              <w:szCs w:val="40"/>
              <w:lang w:eastAsia="lv-LV"/>
            </w:rPr>
          </w:pPr>
        </w:p>
        <w:p w:rsidR="0011653A" w:rsidRDefault="0011653A" w:rsidP="00083555">
          <w:pPr>
            <w:jc w:val="center"/>
            <w:rPr>
              <w:rFonts w:eastAsia="Times New Roman" w:cs="Times New Roman"/>
              <w:b/>
              <w:sz w:val="40"/>
              <w:szCs w:val="40"/>
              <w:lang w:eastAsia="lv-LV"/>
            </w:rPr>
          </w:pPr>
        </w:p>
        <w:p w:rsidR="0011653A" w:rsidRDefault="0011653A">
          <w:pPr>
            <w:rPr>
              <w:rFonts w:eastAsia="Times New Roman" w:cs="Times New Roman"/>
              <w:sz w:val="32"/>
              <w:szCs w:val="32"/>
              <w:lang w:eastAsia="lv-LV"/>
            </w:rPr>
          </w:pPr>
          <w:r>
            <w:rPr>
              <w:rFonts w:eastAsia="Times New Roman" w:cs="Times New Roman"/>
              <w:sz w:val="32"/>
              <w:szCs w:val="32"/>
              <w:lang w:eastAsia="lv-LV"/>
            </w:rPr>
            <w:br w:type="page"/>
          </w:r>
        </w:p>
      </w:sdtContent>
    </w:sdt>
    <w:p w:rsidR="00E62B3F" w:rsidRPr="00083555" w:rsidRDefault="00E62B3F" w:rsidP="00E62B3F">
      <w:pPr>
        <w:jc w:val="center"/>
        <w:rPr>
          <w:rFonts w:eastAsia="Times New Roman" w:cs="Times New Roman"/>
          <w:b/>
          <w:sz w:val="40"/>
          <w:szCs w:val="40"/>
          <w:lang w:eastAsia="lv-LV"/>
        </w:rPr>
      </w:pPr>
      <w:r w:rsidRPr="00083555">
        <w:rPr>
          <w:rFonts w:eastAsia="Times New Roman" w:cs="Times New Roman"/>
          <w:b/>
          <w:sz w:val="40"/>
          <w:szCs w:val="40"/>
          <w:lang w:eastAsia="lv-LV"/>
        </w:rPr>
        <w:lastRenderedPageBreak/>
        <w:t>Saturs</w:t>
      </w:r>
    </w:p>
    <w:sdt>
      <w:sdtPr>
        <w:rPr>
          <w:rFonts w:ascii="Times New Roman" w:eastAsiaTheme="minorHAnsi" w:hAnsi="Times New Roman" w:cstheme="minorBidi"/>
          <w:b w:val="0"/>
          <w:bCs w:val="0"/>
          <w:color w:val="auto"/>
          <w:szCs w:val="22"/>
          <w:lang w:val="lv-LV" w:eastAsia="en-US"/>
        </w:rPr>
        <w:id w:val="202841012"/>
        <w:docPartObj>
          <w:docPartGallery w:val="Table of Contents"/>
          <w:docPartUnique/>
        </w:docPartObj>
      </w:sdtPr>
      <w:sdtEndPr>
        <w:rPr>
          <w:noProof/>
        </w:rPr>
      </w:sdtEndPr>
      <w:sdtContent>
        <w:p w:rsidR="00E62B3F" w:rsidRDefault="00E62B3F" w:rsidP="00E62B3F">
          <w:pPr>
            <w:pStyle w:val="TOCHeading"/>
          </w:pPr>
        </w:p>
        <w:p w:rsidR="00103BD6" w:rsidRDefault="00E62B3F">
          <w:pPr>
            <w:pStyle w:val="TOC1"/>
            <w:tabs>
              <w:tab w:val="left" w:pos="560"/>
              <w:tab w:val="right" w:leader="dot" w:pos="9061"/>
            </w:tabs>
            <w:rPr>
              <w:rFonts w:asciiTheme="minorHAnsi" w:eastAsiaTheme="minorEastAsia" w:hAnsiTheme="minorHAnsi"/>
              <w:noProof/>
              <w:sz w:val="22"/>
              <w:lang w:eastAsia="lv-LV"/>
            </w:rPr>
          </w:pPr>
          <w:r>
            <w:fldChar w:fldCharType="begin"/>
          </w:r>
          <w:r>
            <w:instrText xml:space="preserve"> TOC \o "1-3" \h \z \u </w:instrText>
          </w:r>
          <w:r>
            <w:fldChar w:fldCharType="separate"/>
          </w:r>
          <w:hyperlink w:anchor="_Toc400714647" w:history="1">
            <w:r w:rsidR="00103BD6" w:rsidRPr="00217793">
              <w:rPr>
                <w:rStyle w:val="Hyperlink"/>
                <w:noProof/>
              </w:rPr>
              <w:t>1.</w:t>
            </w:r>
            <w:r w:rsidR="00103BD6">
              <w:rPr>
                <w:rFonts w:asciiTheme="minorHAnsi" w:eastAsiaTheme="minorEastAsia" w:hAnsiTheme="minorHAnsi"/>
                <w:noProof/>
                <w:sz w:val="22"/>
                <w:lang w:eastAsia="lv-LV"/>
              </w:rPr>
              <w:tab/>
            </w:r>
            <w:r w:rsidR="00103BD6" w:rsidRPr="00217793">
              <w:rPr>
                <w:rStyle w:val="Hyperlink"/>
                <w:noProof/>
              </w:rPr>
              <w:t>Primārie energoresursi</w:t>
            </w:r>
            <w:r w:rsidR="00103BD6">
              <w:rPr>
                <w:noProof/>
                <w:webHidden/>
              </w:rPr>
              <w:tab/>
            </w:r>
            <w:r w:rsidR="00103BD6">
              <w:rPr>
                <w:noProof/>
                <w:webHidden/>
              </w:rPr>
              <w:fldChar w:fldCharType="begin"/>
            </w:r>
            <w:r w:rsidR="00103BD6">
              <w:rPr>
                <w:noProof/>
                <w:webHidden/>
              </w:rPr>
              <w:instrText xml:space="preserve"> PAGEREF _Toc400714647 \h </w:instrText>
            </w:r>
            <w:r w:rsidR="00103BD6">
              <w:rPr>
                <w:noProof/>
                <w:webHidden/>
              </w:rPr>
            </w:r>
            <w:r w:rsidR="00103BD6">
              <w:rPr>
                <w:noProof/>
                <w:webHidden/>
              </w:rPr>
              <w:fldChar w:fldCharType="separate"/>
            </w:r>
            <w:r w:rsidR="00422D8F">
              <w:rPr>
                <w:noProof/>
                <w:webHidden/>
              </w:rPr>
              <w:t>5</w:t>
            </w:r>
            <w:r w:rsidR="00103BD6">
              <w:rPr>
                <w:noProof/>
                <w:webHidden/>
              </w:rPr>
              <w:fldChar w:fldCharType="end"/>
            </w:r>
          </w:hyperlink>
        </w:p>
        <w:p w:rsidR="00103BD6" w:rsidRDefault="00E60297">
          <w:pPr>
            <w:pStyle w:val="TOC2"/>
            <w:tabs>
              <w:tab w:val="left" w:pos="1100"/>
              <w:tab w:val="right" w:leader="dot" w:pos="9061"/>
            </w:tabs>
            <w:rPr>
              <w:rFonts w:asciiTheme="minorHAnsi" w:eastAsiaTheme="minorEastAsia" w:hAnsiTheme="minorHAnsi"/>
              <w:noProof/>
              <w:sz w:val="22"/>
              <w:lang w:eastAsia="lv-LV"/>
            </w:rPr>
          </w:pPr>
          <w:hyperlink w:anchor="_Toc400714648" w:history="1">
            <w:r w:rsidR="00103BD6" w:rsidRPr="00217793">
              <w:rPr>
                <w:rStyle w:val="Hyperlink"/>
                <w:rFonts w:eastAsia="Times New Roman" w:cs="Times New Roman"/>
                <w:noProof/>
              </w:rPr>
              <w:t>1.1.</w:t>
            </w:r>
            <w:r w:rsidR="00103BD6">
              <w:rPr>
                <w:rFonts w:asciiTheme="minorHAnsi" w:eastAsiaTheme="minorEastAsia" w:hAnsiTheme="minorHAnsi"/>
                <w:noProof/>
                <w:sz w:val="22"/>
                <w:lang w:eastAsia="lv-LV"/>
              </w:rPr>
              <w:tab/>
            </w:r>
            <w:r w:rsidR="00103BD6" w:rsidRPr="00217793">
              <w:rPr>
                <w:rStyle w:val="Hyperlink"/>
                <w:rFonts w:eastAsia="Times New Roman" w:cs="Times New Roman"/>
                <w:noProof/>
              </w:rPr>
              <w:t>Nodrošinājums ar primārajiem resursiem</w:t>
            </w:r>
            <w:r w:rsidR="00103BD6">
              <w:rPr>
                <w:noProof/>
                <w:webHidden/>
              </w:rPr>
              <w:tab/>
            </w:r>
            <w:r w:rsidR="00103BD6">
              <w:rPr>
                <w:noProof/>
                <w:webHidden/>
              </w:rPr>
              <w:fldChar w:fldCharType="begin"/>
            </w:r>
            <w:r w:rsidR="00103BD6">
              <w:rPr>
                <w:noProof/>
                <w:webHidden/>
              </w:rPr>
              <w:instrText xml:space="preserve"> PAGEREF _Toc400714648 \h </w:instrText>
            </w:r>
            <w:r w:rsidR="00103BD6">
              <w:rPr>
                <w:noProof/>
                <w:webHidden/>
              </w:rPr>
            </w:r>
            <w:r w:rsidR="00103BD6">
              <w:rPr>
                <w:noProof/>
                <w:webHidden/>
              </w:rPr>
              <w:fldChar w:fldCharType="separate"/>
            </w:r>
            <w:r w:rsidR="00422D8F">
              <w:rPr>
                <w:noProof/>
                <w:webHidden/>
              </w:rPr>
              <w:t>5</w:t>
            </w:r>
            <w:r w:rsidR="00103BD6">
              <w:rPr>
                <w:noProof/>
                <w:webHidden/>
              </w:rPr>
              <w:fldChar w:fldCharType="end"/>
            </w:r>
          </w:hyperlink>
        </w:p>
        <w:p w:rsidR="00103BD6" w:rsidRDefault="00E60297">
          <w:pPr>
            <w:pStyle w:val="TOC2"/>
            <w:tabs>
              <w:tab w:val="right" w:leader="dot" w:pos="9061"/>
            </w:tabs>
            <w:rPr>
              <w:rFonts w:asciiTheme="minorHAnsi" w:eastAsiaTheme="minorEastAsia" w:hAnsiTheme="minorHAnsi"/>
              <w:noProof/>
              <w:sz w:val="22"/>
              <w:lang w:eastAsia="lv-LV"/>
            </w:rPr>
          </w:pPr>
          <w:hyperlink w:anchor="_Toc400714649" w:history="1">
            <w:r w:rsidR="00103BD6" w:rsidRPr="00217793">
              <w:rPr>
                <w:rStyle w:val="Hyperlink"/>
                <w:rFonts w:eastAsia="Times New Roman" w:cs="Times New Roman"/>
                <w:noProof/>
              </w:rPr>
              <w:t>1.2. Biomasa</w:t>
            </w:r>
            <w:r w:rsidR="00103BD6">
              <w:rPr>
                <w:noProof/>
                <w:webHidden/>
              </w:rPr>
              <w:tab/>
            </w:r>
            <w:r w:rsidR="00103BD6">
              <w:rPr>
                <w:noProof/>
                <w:webHidden/>
              </w:rPr>
              <w:fldChar w:fldCharType="begin"/>
            </w:r>
            <w:r w:rsidR="00103BD6">
              <w:rPr>
                <w:noProof/>
                <w:webHidden/>
              </w:rPr>
              <w:instrText xml:space="preserve"> PAGEREF _Toc400714649 \h </w:instrText>
            </w:r>
            <w:r w:rsidR="00103BD6">
              <w:rPr>
                <w:noProof/>
                <w:webHidden/>
              </w:rPr>
            </w:r>
            <w:r w:rsidR="00103BD6">
              <w:rPr>
                <w:noProof/>
                <w:webHidden/>
              </w:rPr>
              <w:fldChar w:fldCharType="separate"/>
            </w:r>
            <w:r w:rsidR="00422D8F">
              <w:rPr>
                <w:noProof/>
                <w:webHidden/>
              </w:rPr>
              <w:t>8</w:t>
            </w:r>
            <w:r w:rsidR="00103BD6">
              <w:rPr>
                <w:noProof/>
                <w:webHidden/>
              </w:rPr>
              <w:fldChar w:fldCharType="end"/>
            </w:r>
          </w:hyperlink>
        </w:p>
        <w:p w:rsidR="00103BD6" w:rsidRDefault="00E60297">
          <w:pPr>
            <w:pStyle w:val="TOC3"/>
            <w:tabs>
              <w:tab w:val="right" w:leader="dot" w:pos="9061"/>
            </w:tabs>
            <w:rPr>
              <w:rFonts w:asciiTheme="minorHAnsi" w:eastAsiaTheme="minorEastAsia" w:hAnsiTheme="minorHAnsi"/>
              <w:noProof/>
              <w:sz w:val="22"/>
              <w:lang w:eastAsia="lv-LV"/>
            </w:rPr>
          </w:pPr>
          <w:hyperlink w:anchor="_Toc400714650" w:history="1">
            <w:r w:rsidR="00103BD6" w:rsidRPr="00217793">
              <w:rPr>
                <w:rStyle w:val="Hyperlink"/>
                <w:rFonts w:eastAsia="Times New Roman" w:cs="Times New Roman"/>
                <w:noProof/>
              </w:rPr>
              <w:t>1.2.1. Koksne</w:t>
            </w:r>
            <w:r w:rsidR="00103BD6">
              <w:rPr>
                <w:noProof/>
                <w:webHidden/>
              </w:rPr>
              <w:tab/>
            </w:r>
            <w:r w:rsidR="00103BD6">
              <w:rPr>
                <w:noProof/>
                <w:webHidden/>
              </w:rPr>
              <w:fldChar w:fldCharType="begin"/>
            </w:r>
            <w:r w:rsidR="00103BD6">
              <w:rPr>
                <w:noProof/>
                <w:webHidden/>
              </w:rPr>
              <w:instrText xml:space="preserve"> PAGEREF _Toc400714650 \h </w:instrText>
            </w:r>
            <w:r w:rsidR="00103BD6">
              <w:rPr>
                <w:noProof/>
                <w:webHidden/>
              </w:rPr>
            </w:r>
            <w:r w:rsidR="00103BD6">
              <w:rPr>
                <w:noProof/>
                <w:webHidden/>
              </w:rPr>
              <w:fldChar w:fldCharType="separate"/>
            </w:r>
            <w:r w:rsidR="00422D8F">
              <w:rPr>
                <w:noProof/>
                <w:webHidden/>
              </w:rPr>
              <w:t>8</w:t>
            </w:r>
            <w:r w:rsidR="00103BD6">
              <w:rPr>
                <w:noProof/>
                <w:webHidden/>
              </w:rPr>
              <w:fldChar w:fldCharType="end"/>
            </w:r>
          </w:hyperlink>
        </w:p>
        <w:p w:rsidR="00103BD6" w:rsidRDefault="00E60297">
          <w:pPr>
            <w:pStyle w:val="TOC3"/>
            <w:tabs>
              <w:tab w:val="right" w:leader="dot" w:pos="9061"/>
            </w:tabs>
            <w:rPr>
              <w:rFonts w:asciiTheme="minorHAnsi" w:eastAsiaTheme="minorEastAsia" w:hAnsiTheme="minorHAnsi"/>
              <w:noProof/>
              <w:sz w:val="22"/>
              <w:lang w:eastAsia="lv-LV"/>
            </w:rPr>
          </w:pPr>
          <w:hyperlink w:anchor="_Toc400714651" w:history="1">
            <w:r w:rsidR="00103BD6" w:rsidRPr="00217793">
              <w:rPr>
                <w:rStyle w:val="Hyperlink"/>
                <w:rFonts w:eastAsia="Times New Roman" w:cs="Times New Roman"/>
                <w:noProof/>
              </w:rPr>
              <w:t>1.2.2. Biogāze</w:t>
            </w:r>
            <w:r w:rsidR="00103BD6">
              <w:rPr>
                <w:noProof/>
                <w:webHidden/>
              </w:rPr>
              <w:tab/>
            </w:r>
            <w:r w:rsidR="00103BD6">
              <w:rPr>
                <w:noProof/>
                <w:webHidden/>
              </w:rPr>
              <w:fldChar w:fldCharType="begin"/>
            </w:r>
            <w:r w:rsidR="00103BD6">
              <w:rPr>
                <w:noProof/>
                <w:webHidden/>
              </w:rPr>
              <w:instrText xml:space="preserve"> PAGEREF _Toc400714651 \h </w:instrText>
            </w:r>
            <w:r w:rsidR="00103BD6">
              <w:rPr>
                <w:noProof/>
                <w:webHidden/>
              </w:rPr>
            </w:r>
            <w:r w:rsidR="00103BD6">
              <w:rPr>
                <w:noProof/>
                <w:webHidden/>
              </w:rPr>
              <w:fldChar w:fldCharType="separate"/>
            </w:r>
            <w:r w:rsidR="00422D8F">
              <w:rPr>
                <w:noProof/>
                <w:webHidden/>
              </w:rPr>
              <w:t>9</w:t>
            </w:r>
            <w:r w:rsidR="00103BD6">
              <w:rPr>
                <w:noProof/>
                <w:webHidden/>
              </w:rPr>
              <w:fldChar w:fldCharType="end"/>
            </w:r>
          </w:hyperlink>
        </w:p>
        <w:p w:rsidR="00103BD6" w:rsidRDefault="00E60297">
          <w:pPr>
            <w:pStyle w:val="TOC3"/>
            <w:tabs>
              <w:tab w:val="right" w:leader="dot" w:pos="9061"/>
            </w:tabs>
            <w:rPr>
              <w:rFonts w:asciiTheme="minorHAnsi" w:eastAsiaTheme="minorEastAsia" w:hAnsiTheme="minorHAnsi"/>
              <w:noProof/>
              <w:sz w:val="22"/>
              <w:lang w:eastAsia="lv-LV"/>
            </w:rPr>
          </w:pPr>
          <w:hyperlink w:anchor="_Toc400714652" w:history="1">
            <w:r w:rsidR="00103BD6" w:rsidRPr="00217793">
              <w:rPr>
                <w:rStyle w:val="Hyperlink"/>
                <w:rFonts w:eastAsia="Times New Roman" w:cs="Times New Roman"/>
                <w:noProof/>
              </w:rPr>
              <w:t>1.2.3. Salmi un lauksaimnieciskās ražošanas blakusprodukti</w:t>
            </w:r>
            <w:r w:rsidR="00103BD6">
              <w:rPr>
                <w:noProof/>
                <w:webHidden/>
              </w:rPr>
              <w:tab/>
            </w:r>
            <w:r w:rsidR="00103BD6">
              <w:rPr>
                <w:noProof/>
                <w:webHidden/>
              </w:rPr>
              <w:fldChar w:fldCharType="begin"/>
            </w:r>
            <w:r w:rsidR="00103BD6">
              <w:rPr>
                <w:noProof/>
                <w:webHidden/>
              </w:rPr>
              <w:instrText xml:space="preserve"> PAGEREF _Toc400714652 \h </w:instrText>
            </w:r>
            <w:r w:rsidR="00103BD6">
              <w:rPr>
                <w:noProof/>
                <w:webHidden/>
              </w:rPr>
            </w:r>
            <w:r w:rsidR="00103BD6">
              <w:rPr>
                <w:noProof/>
                <w:webHidden/>
              </w:rPr>
              <w:fldChar w:fldCharType="separate"/>
            </w:r>
            <w:r w:rsidR="00422D8F">
              <w:rPr>
                <w:noProof/>
                <w:webHidden/>
              </w:rPr>
              <w:t>10</w:t>
            </w:r>
            <w:r w:rsidR="00103BD6">
              <w:rPr>
                <w:noProof/>
                <w:webHidden/>
              </w:rPr>
              <w:fldChar w:fldCharType="end"/>
            </w:r>
          </w:hyperlink>
        </w:p>
        <w:p w:rsidR="00103BD6" w:rsidRDefault="00E60297">
          <w:pPr>
            <w:pStyle w:val="TOC2"/>
            <w:tabs>
              <w:tab w:val="right" w:leader="dot" w:pos="9061"/>
            </w:tabs>
            <w:rPr>
              <w:rFonts w:asciiTheme="minorHAnsi" w:eastAsiaTheme="minorEastAsia" w:hAnsiTheme="minorHAnsi"/>
              <w:noProof/>
              <w:sz w:val="22"/>
              <w:lang w:eastAsia="lv-LV"/>
            </w:rPr>
          </w:pPr>
          <w:hyperlink w:anchor="_Toc400714653" w:history="1">
            <w:r w:rsidR="00103BD6" w:rsidRPr="00217793">
              <w:rPr>
                <w:rStyle w:val="Hyperlink"/>
                <w:rFonts w:eastAsia="Times New Roman" w:cs="Times New Roman"/>
                <w:noProof/>
              </w:rPr>
              <w:t>1.3. Naftas produkti</w:t>
            </w:r>
            <w:r w:rsidR="00103BD6">
              <w:rPr>
                <w:noProof/>
                <w:webHidden/>
              </w:rPr>
              <w:tab/>
            </w:r>
            <w:r w:rsidR="00103BD6">
              <w:rPr>
                <w:noProof/>
                <w:webHidden/>
              </w:rPr>
              <w:fldChar w:fldCharType="begin"/>
            </w:r>
            <w:r w:rsidR="00103BD6">
              <w:rPr>
                <w:noProof/>
                <w:webHidden/>
              </w:rPr>
              <w:instrText xml:space="preserve"> PAGEREF _Toc400714653 \h </w:instrText>
            </w:r>
            <w:r w:rsidR="00103BD6">
              <w:rPr>
                <w:noProof/>
                <w:webHidden/>
              </w:rPr>
            </w:r>
            <w:r w:rsidR="00103BD6">
              <w:rPr>
                <w:noProof/>
                <w:webHidden/>
              </w:rPr>
              <w:fldChar w:fldCharType="separate"/>
            </w:r>
            <w:r w:rsidR="00422D8F">
              <w:rPr>
                <w:noProof/>
                <w:webHidden/>
              </w:rPr>
              <w:t>10</w:t>
            </w:r>
            <w:r w:rsidR="00103BD6">
              <w:rPr>
                <w:noProof/>
                <w:webHidden/>
              </w:rPr>
              <w:fldChar w:fldCharType="end"/>
            </w:r>
          </w:hyperlink>
        </w:p>
        <w:p w:rsidR="00103BD6" w:rsidRDefault="00E60297">
          <w:pPr>
            <w:pStyle w:val="TOC2"/>
            <w:tabs>
              <w:tab w:val="right" w:leader="dot" w:pos="9061"/>
            </w:tabs>
            <w:rPr>
              <w:rFonts w:asciiTheme="minorHAnsi" w:eastAsiaTheme="minorEastAsia" w:hAnsiTheme="minorHAnsi"/>
              <w:noProof/>
              <w:sz w:val="22"/>
              <w:lang w:eastAsia="lv-LV"/>
            </w:rPr>
          </w:pPr>
          <w:hyperlink w:anchor="_Toc400714654" w:history="1">
            <w:r w:rsidR="00103BD6" w:rsidRPr="00217793">
              <w:rPr>
                <w:rStyle w:val="Hyperlink"/>
                <w:rFonts w:eastAsia="Times New Roman" w:cs="Times New Roman"/>
                <w:noProof/>
              </w:rPr>
              <w:t>1.4. Dabasgāze</w:t>
            </w:r>
            <w:r w:rsidR="00103BD6">
              <w:rPr>
                <w:noProof/>
                <w:webHidden/>
              </w:rPr>
              <w:tab/>
            </w:r>
            <w:r w:rsidR="00103BD6">
              <w:rPr>
                <w:noProof/>
                <w:webHidden/>
              </w:rPr>
              <w:fldChar w:fldCharType="begin"/>
            </w:r>
            <w:r w:rsidR="00103BD6">
              <w:rPr>
                <w:noProof/>
                <w:webHidden/>
              </w:rPr>
              <w:instrText xml:space="preserve"> PAGEREF _Toc400714654 \h </w:instrText>
            </w:r>
            <w:r w:rsidR="00103BD6">
              <w:rPr>
                <w:noProof/>
                <w:webHidden/>
              </w:rPr>
            </w:r>
            <w:r w:rsidR="00103BD6">
              <w:rPr>
                <w:noProof/>
                <w:webHidden/>
              </w:rPr>
              <w:fldChar w:fldCharType="separate"/>
            </w:r>
            <w:r w:rsidR="00422D8F">
              <w:rPr>
                <w:noProof/>
                <w:webHidden/>
              </w:rPr>
              <w:t>12</w:t>
            </w:r>
            <w:r w:rsidR="00103BD6">
              <w:rPr>
                <w:noProof/>
                <w:webHidden/>
              </w:rPr>
              <w:fldChar w:fldCharType="end"/>
            </w:r>
          </w:hyperlink>
        </w:p>
        <w:p w:rsidR="00103BD6" w:rsidRDefault="00E60297">
          <w:pPr>
            <w:pStyle w:val="TOC2"/>
            <w:tabs>
              <w:tab w:val="right" w:leader="dot" w:pos="9061"/>
            </w:tabs>
            <w:rPr>
              <w:rFonts w:asciiTheme="minorHAnsi" w:eastAsiaTheme="minorEastAsia" w:hAnsiTheme="minorHAnsi"/>
              <w:noProof/>
              <w:sz w:val="22"/>
              <w:lang w:eastAsia="lv-LV"/>
            </w:rPr>
          </w:pPr>
          <w:hyperlink w:anchor="_Toc400714655" w:history="1">
            <w:r w:rsidR="00103BD6" w:rsidRPr="00217793">
              <w:rPr>
                <w:rStyle w:val="Hyperlink"/>
                <w:rFonts w:eastAsia="Calibri" w:cs="Times New Roman"/>
                <w:noProof/>
              </w:rPr>
              <w:t>1.5. Kūdra</w:t>
            </w:r>
            <w:r w:rsidR="00103BD6">
              <w:rPr>
                <w:noProof/>
                <w:webHidden/>
              </w:rPr>
              <w:tab/>
            </w:r>
            <w:r w:rsidR="00103BD6">
              <w:rPr>
                <w:noProof/>
                <w:webHidden/>
              </w:rPr>
              <w:fldChar w:fldCharType="begin"/>
            </w:r>
            <w:r w:rsidR="00103BD6">
              <w:rPr>
                <w:noProof/>
                <w:webHidden/>
              </w:rPr>
              <w:instrText xml:space="preserve"> PAGEREF _Toc400714655 \h </w:instrText>
            </w:r>
            <w:r w:rsidR="00103BD6">
              <w:rPr>
                <w:noProof/>
                <w:webHidden/>
              </w:rPr>
            </w:r>
            <w:r w:rsidR="00103BD6">
              <w:rPr>
                <w:noProof/>
                <w:webHidden/>
              </w:rPr>
              <w:fldChar w:fldCharType="separate"/>
            </w:r>
            <w:r w:rsidR="00422D8F">
              <w:rPr>
                <w:noProof/>
                <w:webHidden/>
              </w:rPr>
              <w:t>13</w:t>
            </w:r>
            <w:r w:rsidR="00103BD6">
              <w:rPr>
                <w:noProof/>
                <w:webHidden/>
              </w:rPr>
              <w:fldChar w:fldCharType="end"/>
            </w:r>
          </w:hyperlink>
        </w:p>
        <w:p w:rsidR="00103BD6" w:rsidRDefault="00E60297">
          <w:pPr>
            <w:pStyle w:val="TOC2"/>
            <w:tabs>
              <w:tab w:val="right" w:leader="dot" w:pos="9061"/>
            </w:tabs>
            <w:rPr>
              <w:rFonts w:asciiTheme="minorHAnsi" w:eastAsiaTheme="minorEastAsia" w:hAnsiTheme="minorHAnsi"/>
              <w:noProof/>
              <w:sz w:val="22"/>
              <w:lang w:eastAsia="lv-LV"/>
            </w:rPr>
          </w:pPr>
          <w:hyperlink w:anchor="_Toc400714656" w:history="1">
            <w:r w:rsidR="00103BD6" w:rsidRPr="00217793">
              <w:rPr>
                <w:rStyle w:val="Hyperlink"/>
                <w:rFonts w:eastAsia="Times New Roman" w:cs="Times New Roman"/>
                <w:noProof/>
              </w:rPr>
              <w:t>1.6. Cietais kurināmais</w:t>
            </w:r>
            <w:r w:rsidR="00103BD6">
              <w:rPr>
                <w:noProof/>
                <w:webHidden/>
              </w:rPr>
              <w:tab/>
            </w:r>
            <w:r w:rsidR="00103BD6">
              <w:rPr>
                <w:noProof/>
                <w:webHidden/>
              </w:rPr>
              <w:fldChar w:fldCharType="begin"/>
            </w:r>
            <w:r w:rsidR="00103BD6">
              <w:rPr>
                <w:noProof/>
                <w:webHidden/>
              </w:rPr>
              <w:instrText xml:space="preserve"> PAGEREF _Toc400714656 \h </w:instrText>
            </w:r>
            <w:r w:rsidR="00103BD6">
              <w:rPr>
                <w:noProof/>
                <w:webHidden/>
              </w:rPr>
            </w:r>
            <w:r w:rsidR="00103BD6">
              <w:rPr>
                <w:noProof/>
                <w:webHidden/>
              </w:rPr>
              <w:fldChar w:fldCharType="separate"/>
            </w:r>
            <w:r w:rsidR="00422D8F">
              <w:rPr>
                <w:noProof/>
                <w:webHidden/>
              </w:rPr>
              <w:t>13</w:t>
            </w:r>
            <w:r w:rsidR="00103BD6">
              <w:rPr>
                <w:noProof/>
                <w:webHidden/>
              </w:rPr>
              <w:fldChar w:fldCharType="end"/>
            </w:r>
          </w:hyperlink>
        </w:p>
        <w:p w:rsidR="00103BD6" w:rsidRDefault="00E60297">
          <w:pPr>
            <w:pStyle w:val="TOC1"/>
            <w:tabs>
              <w:tab w:val="left" w:pos="560"/>
              <w:tab w:val="right" w:leader="dot" w:pos="9061"/>
            </w:tabs>
            <w:rPr>
              <w:rFonts w:asciiTheme="minorHAnsi" w:eastAsiaTheme="minorEastAsia" w:hAnsiTheme="minorHAnsi"/>
              <w:noProof/>
              <w:sz w:val="22"/>
              <w:lang w:eastAsia="lv-LV"/>
            </w:rPr>
          </w:pPr>
          <w:hyperlink w:anchor="_Toc400714657" w:history="1">
            <w:r w:rsidR="00103BD6" w:rsidRPr="00217793">
              <w:rPr>
                <w:rStyle w:val="Hyperlink"/>
                <w:noProof/>
              </w:rPr>
              <w:t>2.</w:t>
            </w:r>
            <w:r w:rsidR="00103BD6">
              <w:rPr>
                <w:rFonts w:asciiTheme="minorHAnsi" w:eastAsiaTheme="minorEastAsia" w:hAnsiTheme="minorHAnsi"/>
                <w:noProof/>
                <w:sz w:val="22"/>
                <w:lang w:eastAsia="lv-LV"/>
              </w:rPr>
              <w:tab/>
            </w:r>
            <w:r w:rsidR="00103BD6" w:rsidRPr="00217793">
              <w:rPr>
                <w:rStyle w:val="Hyperlink"/>
                <w:noProof/>
              </w:rPr>
              <w:t>Elektroenerģijas tirgus</w:t>
            </w:r>
            <w:r w:rsidR="00103BD6">
              <w:rPr>
                <w:noProof/>
                <w:webHidden/>
              </w:rPr>
              <w:tab/>
            </w:r>
            <w:r w:rsidR="00103BD6">
              <w:rPr>
                <w:noProof/>
                <w:webHidden/>
              </w:rPr>
              <w:fldChar w:fldCharType="begin"/>
            </w:r>
            <w:r w:rsidR="00103BD6">
              <w:rPr>
                <w:noProof/>
                <w:webHidden/>
              </w:rPr>
              <w:instrText xml:space="preserve"> PAGEREF _Toc400714657 \h </w:instrText>
            </w:r>
            <w:r w:rsidR="00103BD6">
              <w:rPr>
                <w:noProof/>
                <w:webHidden/>
              </w:rPr>
            </w:r>
            <w:r w:rsidR="00103BD6">
              <w:rPr>
                <w:noProof/>
                <w:webHidden/>
              </w:rPr>
              <w:fldChar w:fldCharType="separate"/>
            </w:r>
            <w:r w:rsidR="00422D8F">
              <w:rPr>
                <w:noProof/>
                <w:webHidden/>
              </w:rPr>
              <w:t>14</w:t>
            </w:r>
            <w:r w:rsidR="00103BD6">
              <w:rPr>
                <w:noProof/>
                <w:webHidden/>
              </w:rPr>
              <w:fldChar w:fldCharType="end"/>
            </w:r>
          </w:hyperlink>
        </w:p>
        <w:p w:rsidR="00103BD6" w:rsidRDefault="00E60297">
          <w:pPr>
            <w:pStyle w:val="TOC2"/>
            <w:tabs>
              <w:tab w:val="left" w:pos="1100"/>
              <w:tab w:val="right" w:leader="dot" w:pos="9061"/>
            </w:tabs>
            <w:rPr>
              <w:rFonts w:asciiTheme="minorHAnsi" w:eastAsiaTheme="minorEastAsia" w:hAnsiTheme="minorHAnsi"/>
              <w:noProof/>
              <w:sz w:val="22"/>
              <w:lang w:eastAsia="lv-LV"/>
            </w:rPr>
          </w:pPr>
          <w:hyperlink w:anchor="_Toc400714658" w:history="1">
            <w:r w:rsidR="00103BD6" w:rsidRPr="00217793">
              <w:rPr>
                <w:rStyle w:val="Hyperlink"/>
                <w:rFonts w:eastAsia="Times New Roman" w:cs="Times New Roman"/>
                <w:noProof/>
                <w:lang w:eastAsia="lv-LV"/>
              </w:rPr>
              <w:t>2.1.</w:t>
            </w:r>
            <w:r w:rsidR="00103BD6">
              <w:rPr>
                <w:rFonts w:asciiTheme="minorHAnsi" w:eastAsiaTheme="minorEastAsia" w:hAnsiTheme="minorHAnsi"/>
                <w:noProof/>
                <w:sz w:val="22"/>
                <w:lang w:eastAsia="lv-LV"/>
              </w:rPr>
              <w:tab/>
            </w:r>
            <w:r w:rsidR="00103BD6" w:rsidRPr="00217793">
              <w:rPr>
                <w:rStyle w:val="Hyperlink"/>
                <w:rFonts w:eastAsia="Times New Roman" w:cs="Times New Roman"/>
                <w:noProof/>
                <w:lang w:eastAsia="lv-LV"/>
              </w:rPr>
              <w:t>Tiesiskais ietvars</w:t>
            </w:r>
            <w:r w:rsidR="00103BD6">
              <w:rPr>
                <w:noProof/>
                <w:webHidden/>
              </w:rPr>
              <w:tab/>
            </w:r>
            <w:r w:rsidR="00103BD6">
              <w:rPr>
                <w:noProof/>
                <w:webHidden/>
              </w:rPr>
              <w:fldChar w:fldCharType="begin"/>
            </w:r>
            <w:r w:rsidR="00103BD6">
              <w:rPr>
                <w:noProof/>
                <w:webHidden/>
              </w:rPr>
              <w:instrText xml:space="preserve"> PAGEREF _Toc400714658 \h </w:instrText>
            </w:r>
            <w:r w:rsidR="00103BD6">
              <w:rPr>
                <w:noProof/>
                <w:webHidden/>
              </w:rPr>
            </w:r>
            <w:r w:rsidR="00103BD6">
              <w:rPr>
                <w:noProof/>
                <w:webHidden/>
              </w:rPr>
              <w:fldChar w:fldCharType="separate"/>
            </w:r>
            <w:r w:rsidR="00422D8F">
              <w:rPr>
                <w:noProof/>
                <w:webHidden/>
              </w:rPr>
              <w:t>14</w:t>
            </w:r>
            <w:r w:rsidR="00103BD6">
              <w:rPr>
                <w:noProof/>
                <w:webHidden/>
              </w:rPr>
              <w:fldChar w:fldCharType="end"/>
            </w:r>
          </w:hyperlink>
        </w:p>
        <w:p w:rsidR="00103BD6" w:rsidRDefault="00E60297">
          <w:pPr>
            <w:pStyle w:val="TOC2"/>
            <w:tabs>
              <w:tab w:val="right" w:leader="dot" w:pos="9061"/>
            </w:tabs>
            <w:rPr>
              <w:rFonts w:asciiTheme="minorHAnsi" w:eastAsiaTheme="minorEastAsia" w:hAnsiTheme="minorHAnsi"/>
              <w:noProof/>
              <w:sz w:val="22"/>
              <w:lang w:eastAsia="lv-LV"/>
            </w:rPr>
          </w:pPr>
          <w:hyperlink w:anchor="_Toc400714659" w:history="1">
            <w:r w:rsidR="00103BD6" w:rsidRPr="00217793">
              <w:rPr>
                <w:rStyle w:val="Hyperlink"/>
                <w:rFonts w:cs="Times New Roman"/>
                <w:noProof/>
              </w:rPr>
              <w:t>2.2. Elektroenerģijas tirgus atvēršanas process</w:t>
            </w:r>
            <w:r w:rsidR="00103BD6">
              <w:rPr>
                <w:noProof/>
                <w:webHidden/>
              </w:rPr>
              <w:tab/>
            </w:r>
            <w:r w:rsidR="00103BD6">
              <w:rPr>
                <w:noProof/>
                <w:webHidden/>
              </w:rPr>
              <w:fldChar w:fldCharType="begin"/>
            </w:r>
            <w:r w:rsidR="00103BD6">
              <w:rPr>
                <w:noProof/>
                <w:webHidden/>
              </w:rPr>
              <w:instrText xml:space="preserve"> PAGEREF _Toc400714659 \h </w:instrText>
            </w:r>
            <w:r w:rsidR="00103BD6">
              <w:rPr>
                <w:noProof/>
                <w:webHidden/>
              </w:rPr>
            </w:r>
            <w:r w:rsidR="00103BD6">
              <w:rPr>
                <w:noProof/>
                <w:webHidden/>
              </w:rPr>
              <w:fldChar w:fldCharType="separate"/>
            </w:r>
            <w:r w:rsidR="00422D8F">
              <w:rPr>
                <w:noProof/>
                <w:webHidden/>
              </w:rPr>
              <w:t>15</w:t>
            </w:r>
            <w:r w:rsidR="00103BD6">
              <w:rPr>
                <w:noProof/>
                <w:webHidden/>
              </w:rPr>
              <w:fldChar w:fldCharType="end"/>
            </w:r>
          </w:hyperlink>
        </w:p>
        <w:p w:rsidR="00103BD6" w:rsidRDefault="00E60297">
          <w:pPr>
            <w:pStyle w:val="TOC2"/>
            <w:tabs>
              <w:tab w:val="right" w:leader="dot" w:pos="9061"/>
            </w:tabs>
            <w:rPr>
              <w:rFonts w:asciiTheme="minorHAnsi" w:eastAsiaTheme="minorEastAsia" w:hAnsiTheme="minorHAnsi"/>
              <w:noProof/>
              <w:sz w:val="22"/>
              <w:lang w:eastAsia="lv-LV"/>
            </w:rPr>
          </w:pPr>
          <w:hyperlink w:anchor="_Toc400714660" w:history="1">
            <w:r w:rsidR="00103BD6" w:rsidRPr="00217793">
              <w:rPr>
                <w:rStyle w:val="Hyperlink"/>
                <w:rFonts w:cs="Times New Roman"/>
                <w:noProof/>
              </w:rPr>
              <w:t>2.3. Elektroenerģijas birža</w:t>
            </w:r>
            <w:r w:rsidR="00103BD6">
              <w:rPr>
                <w:noProof/>
                <w:webHidden/>
              </w:rPr>
              <w:tab/>
            </w:r>
            <w:r w:rsidR="00103BD6">
              <w:rPr>
                <w:noProof/>
                <w:webHidden/>
              </w:rPr>
              <w:fldChar w:fldCharType="begin"/>
            </w:r>
            <w:r w:rsidR="00103BD6">
              <w:rPr>
                <w:noProof/>
                <w:webHidden/>
              </w:rPr>
              <w:instrText xml:space="preserve"> PAGEREF _Toc400714660 \h </w:instrText>
            </w:r>
            <w:r w:rsidR="00103BD6">
              <w:rPr>
                <w:noProof/>
                <w:webHidden/>
              </w:rPr>
            </w:r>
            <w:r w:rsidR="00103BD6">
              <w:rPr>
                <w:noProof/>
                <w:webHidden/>
              </w:rPr>
              <w:fldChar w:fldCharType="separate"/>
            </w:r>
            <w:r w:rsidR="00422D8F">
              <w:rPr>
                <w:noProof/>
                <w:webHidden/>
              </w:rPr>
              <w:t>16</w:t>
            </w:r>
            <w:r w:rsidR="00103BD6">
              <w:rPr>
                <w:noProof/>
                <w:webHidden/>
              </w:rPr>
              <w:fldChar w:fldCharType="end"/>
            </w:r>
          </w:hyperlink>
        </w:p>
        <w:p w:rsidR="00103BD6" w:rsidRDefault="00E60297">
          <w:pPr>
            <w:pStyle w:val="TOC2"/>
            <w:tabs>
              <w:tab w:val="right" w:leader="dot" w:pos="9061"/>
            </w:tabs>
            <w:rPr>
              <w:rFonts w:asciiTheme="minorHAnsi" w:eastAsiaTheme="minorEastAsia" w:hAnsiTheme="minorHAnsi"/>
              <w:noProof/>
              <w:sz w:val="22"/>
              <w:lang w:eastAsia="lv-LV"/>
            </w:rPr>
          </w:pPr>
          <w:hyperlink w:anchor="_Toc400714661" w:history="1">
            <w:r w:rsidR="00103BD6" w:rsidRPr="00217793">
              <w:rPr>
                <w:rStyle w:val="Hyperlink"/>
                <w:rFonts w:eastAsia="Times New Roman" w:cs="Times New Roman"/>
                <w:noProof/>
                <w:lang w:eastAsia="lv-LV"/>
              </w:rPr>
              <w:t>2.4. Elektroenerģijas tirdzniecība</w:t>
            </w:r>
            <w:r w:rsidR="00103BD6">
              <w:rPr>
                <w:noProof/>
                <w:webHidden/>
              </w:rPr>
              <w:tab/>
            </w:r>
            <w:r w:rsidR="00103BD6">
              <w:rPr>
                <w:noProof/>
                <w:webHidden/>
              </w:rPr>
              <w:fldChar w:fldCharType="begin"/>
            </w:r>
            <w:r w:rsidR="00103BD6">
              <w:rPr>
                <w:noProof/>
                <w:webHidden/>
              </w:rPr>
              <w:instrText xml:space="preserve"> PAGEREF _Toc400714661 \h </w:instrText>
            </w:r>
            <w:r w:rsidR="00103BD6">
              <w:rPr>
                <w:noProof/>
                <w:webHidden/>
              </w:rPr>
            </w:r>
            <w:r w:rsidR="00103BD6">
              <w:rPr>
                <w:noProof/>
                <w:webHidden/>
              </w:rPr>
              <w:fldChar w:fldCharType="separate"/>
            </w:r>
            <w:r w:rsidR="00422D8F">
              <w:rPr>
                <w:noProof/>
                <w:webHidden/>
              </w:rPr>
              <w:t>18</w:t>
            </w:r>
            <w:r w:rsidR="00103BD6">
              <w:rPr>
                <w:noProof/>
                <w:webHidden/>
              </w:rPr>
              <w:fldChar w:fldCharType="end"/>
            </w:r>
          </w:hyperlink>
        </w:p>
        <w:p w:rsidR="00103BD6" w:rsidRDefault="00E60297">
          <w:pPr>
            <w:pStyle w:val="TOC2"/>
            <w:tabs>
              <w:tab w:val="right" w:leader="dot" w:pos="9061"/>
            </w:tabs>
            <w:rPr>
              <w:rFonts w:asciiTheme="minorHAnsi" w:eastAsiaTheme="minorEastAsia" w:hAnsiTheme="minorHAnsi"/>
              <w:noProof/>
              <w:sz w:val="22"/>
              <w:lang w:eastAsia="lv-LV"/>
            </w:rPr>
          </w:pPr>
          <w:hyperlink w:anchor="_Toc400714662" w:history="1">
            <w:r w:rsidR="00103BD6" w:rsidRPr="00217793">
              <w:rPr>
                <w:rStyle w:val="Hyperlink"/>
                <w:rFonts w:cs="Times New Roman"/>
                <w:noProof/>
                <w:lang w:eastAsia="lv-LV"/>
              </w:rPr>
              <w:t>2.5. Elektroenerģijas patēriņš</w:t>
            </w:r>
            <w:r w:rsidR="00103BD6">
              <w:rPr>
                <w:noProof/>
                <w:webHidden/>
              </w:rPr>
              <w:tab/>
            </w:r>
            <w:r w:rsidR="00103BD6">
              <w:rPr>
                <w:noProof/>
                <w:webHidden/>
              </w:rPr>
              <w:fldChar w:fldCharType="begin"/>
            </w:r>
            <w:r w:rsidR="00103BD6">
              <w:rPr>
                <w:noProof/>
                <w:webHidden/>
              </w:rPr>
              <w:instrText xml:space="preserve"> PAGEREF _Toc400714662 \h </w:instrText>
            </w:r>
            <w:r w:rsidR="00103BD6">
              <w:rPr>
                <w:noProof/>
                <w:webHidden/>
              </w:rPr>
            </w:r>
            <w:r w:rsidR="00103BD6">
              <w:rPr>
                <w:noProof/>
                <w:webHidden/>
              </w:rPr>
              <w:fldChar w:fldCharType="separate"/>
            </w:r>
            <w:r w:rsidR="00422D8F">
              <w:rPr>
                <w:noProof/>
                <w:webHidden/>
              </w:rPr>
              <w:t>21</w:t>
            </w:r>
            <w:r w:rsidR="00103BD6">
              <w:rPr>
                <w:noProof/>
                <w:webHidden/>
              </w:rPr>
              <w:fldChar w:fldCharType="end"/>
            </w:r>
          </w:hyperlink>
        </w:p>
        <w:p w:rsidR="00103BD6" w:rsidRDefault="00E60297">
          <w:pPr>
            <w:pStyle w:val="TOC2"/>
            <w:tabs>
              <w:tab w:val="right" w:leader="dot" w:pos="9061"/>
            </w:tabs>
            <w:rPr>
              <w:rFonts w:asciiTheme="minorHAnsi" w:eastAsiaTheme="minorEastAsia" w:hAnsiTheme="minorHAnsi"/>
              <w:noProof/>
              <w:sz w:val="22"/>
              <w:lang w:eastAsia="lv-LV"/>
            </w:rPr>
          </w:pPr>
          <w:hyperlink w:anchor="_Toc400714663" w:history="1">
            <w:r w:rsidR="00103BD6" w:rsidRPr="00217793">
              <w:rPr>
                <w:rStyle w:val="Hyperlink"/>
                <w:rFonts w:cs="Times New Roman"/>
                <w:noProof/>
              </w:rPr>
              <w:t>2.6. Elektroenerģijas nodrošinājums</w:t>
            </w:r>
            <w:r w:rsidR="00103BD6">
              <w:rPr>
                <w:noProof/>
                <w:webHidden/>
              </w:rPr>
              <w:tab/>
            </w:r>
            <w:r w:rsidR="00103BD6">
              <w:rPr>
                <w:noProof/>
                <w:webHidden/>
              </w:rPr>
              <w:fldChar w:fldCharType="begin"/>
            </w:r>
            <w:r w:rsidR="00103BD6">
              <w:rPr>
                <w:noProof/>
                <w:webHidden/>
              </w:rPr>
              <w:instrText xml:space="preserve"> PAGEREF _Toc400714663 \h </w:instrText>
            </w:r>
            <w:r w:rsidR="00103BD6">
              <w:rPr>
                <w:noProof/>
                <w:webHidden/>
              </w:rPr>
            </w:r>
            <w:r w:rsidR="00103BD6">
              <w:rPr>
                <w:noProof/>
                <w:webHidden/>
              </w:rPr>
              <w:fldChar w:fldCharType="separate"/>
            </w:r>
            <w:r w:rsidR="00422D8F">
              <w:rPr>
                <w:noProof/>
                <w:webHidden/>
              </w:rPr>
              <w:t>23</w:t>
            </w:r>
            <w:r w:rsidR="00103BD6">
              <w:rPr>
                <w:noProof/>
                <w:webHidden/>
              </w:rPr>
              <w:fldChar w:fldCharType="end"/>
            </w:r>
          </w:hyperlink>
        </w:p>
        <w:p w:rsidR="00103BD6" w:rsidRDefault="00E60297">
          <w:pPr>
            <w:pStyle w:val="TOC3"/>
            <w:tabs>
              <w:tab w:val="right" w:leader="dot" w:pos="9061"/>
            </w:tabs>
            <w:rPr>
              <w:rFonts w:asciiTheme="minorHAnsi" w:eastAsiaTheme="minorEastAsia" w:hAnsiTheme="minorHAnsi"/>
              <w:noProof/>
              <w:sz w:val="22"/>
              <w:lang w:eastAsia="lv-LV"/>
            </w:rPr>
          </w:pPr>
          <w:hyperlink w:anchor="_Toc400714664" w:history="1">
            <w:r w:rsidR="00103BD6" w:rsidRPr="00217793">
              <w:rPr>
                <w:rStyle w:val="Hyperlink"/>
                <w:noProof/>
              </w:rPr>
              <w:t>2.6.1. Rīgas TEC</w:t>
            </w:r>
            <w:r w:rsidR="00103BD6">
              <w:rPr>
                <w:noProof/>
                <w:webHidden/>
              </w:rPr>
              <w:tab/>
            </w:r>
            <w:r w:rsidR="00103BD6">
              <w:rPr>
                <w:noProof/>
                <w:webHidden/>
              </w:rPr>
              <w:fldChar w:fldCharType="begin"/>
            </w:r>
            <w:r w:rsidR="00103BD6">
              <w:rPr>
                <w:noProof/>
                <w:webHidden/>
              </w:rPr>
              <w:instrText xml:space="preserve"> PAGEREF _Toc400714664 \h </w:instrText>
            </w:r>
            <w:r w:rsidR="00103BD6">
              <w:rPr>
                <w:noProof/>
                <w:webHidden/>
              </w:rPr>
            </w:r>
            <w:r w:rsidR="00103BD6">
              <w:rPr>
                <w:noProof/>
                <w:webHidden/>
              </w:rPr>
              <w:fldChar w:fldCharType="separate"/>
            </w:r>
            <w:r w:rsidR="00422D8F">
              <w:rPr>
                <w:noProof/>
                <w:webHidden/>
              </w:rPr>
              <w:t>23</w:t>
            </w:r>
            <w:r w:rsidR="00103BD6">
              <w:rPr>
                <w:noProof/>
                <w:webHidden/>
              </w:rPr>
              <w:fldChar w:fldCharType="end"/>
            </w:r>
          </w:hyperlink>
        </w:p>
        <w:p w:rsidR="00103BD6" w:rsidRDefault="00E60297">
          <w:pPr>
            <w:pStyle w:val="TOC3"/>
            <w:tabs>
              <w:tab w:val="right" w:leader="dot" w:pos="9061"/>
            </w:tabs>
            <w:rPr>
              <w:rFonts w:asciiTheme="minorHAnsi" w:eastAsiaTheme="minorEastAsia" w:hAnsiTheme="minorHAnsi"/>
              <w:noProof/>
              <w:sz w:val="22"/>
              <w:lang w:eastAsia="lv-LV"/>
            </w:rPr>
          </w:pPr>
          <w:hyperlink w:anchor="_Toc400714665" w:history="1">
            <w:r w:rsidR="00103BD6" w:rsidRPr="00217793">
              <w:rPr>
                <w:rStyle w:val="Hyperlink"/>
                <w:rFonts w:eastAsia="Times New Roman" w:cs="Times New Roman"/>
                <w:noProof/>
                <w:lang w:eastAsia="lv-LV"/>
              </w:rPr>
              <w:t>2.6.2 Daugavas HES kaskāde</w:t>
            </w:r>
            <w:r w:rsidR="00103BD6">
              <w:rPr>
                <w:noProof/>
                <w:webHidden/>
              </w:rPr>
              <w:tab/>
            </w:r>
            <w:r w:rsidR="00103BD6">
              <w:rPr>
                <w:noProof/>
                <w:webHidden/>
              </w:rPr>
              <w:fldChar w:fldCharType="begin"/>
            </w:r>
            <w:r w:rsidR="00103BD6">
              <w:rPr>
                <w:noProof/>
                <w:webHidden/>
              </w:rPr>
              <w:instrText xml:space="preserve"> PAGEREF _Toc400714665 \h </w:instrText>
            </w:r>
            <w:r w:rsidR="00103BD6">
              <w:rPr>
                <w:noProof/>
                <w:webHidden/>
              </w:rPr>
            </w:r>
            <w:r w:rsidR="00103BD6">
              <w:rPr>
                <w:noProof/>
                <w:webHidden/>
              </w:rPr>
              <w:fldChar w:fldCharType="separate"/>
            </w:r>
            <w:r w:rsidR="00422D8F">
              <w:rPr>
                <w:noProof/>
                <w:webHidden/>
              </w:rPr>
              <w:t>24</w:t>
            </w:r>
            <w:r w:rsidR="00103BD6">
              <w:rPr>
                <w:noProof/>
                <w:webHidden/>
              </w:rPr>
              <w:fldChar w:fldCharType="end"/>
            </w:r>
          </w:hyperlink>
        </w:p>
        <w:p w:rsidR="00103BD6" w:rsidRDefault="00E60297">
          <w:pPr>
            <w:pStyle w:val="TOC3"/>
            <w:tabs>
              <w:tab w:val="right" w:leader="dot" w:pos="9061"/>
            </w:tabs>
            <w:rPr>
              <w:rFonts w:asciiTheme="minorHAnsi" w:eastAsiaTheme="minorEastAsia" w:hAnsiTheme="minorHAnsi"/>
              <w:noProof/>
              <w:sz w:val="22"/>
              <w:lang w:eastAsia="lv-LV"/>
            </w:rPr>
          </w:pPr>
          <w:hyperlink w:anchor="_Toc400714666" w:history="1">
            <w:r w:rsidR="00103BD6" w:rsidRPr="00217793">
              <w:rPr>
                <w:rStyle w:val="Hyperlink"/>
                <w:rFonts w:cs="Times New Roman"/>
                <w:noProof/>
              </w:rPr>
              <w:t>2.6.3. Elektroenerģijas ražošana efektīvā koģenerācijā</w:t>
            </w:r>
            <w:r w:rsidR="00103BD6">
              <w:rPr>
                <w:noProof/>
                <w:webHidden/>
              </w:rPr>
              <w:tab/>
            </w:r>
            <w:r w:rsidR="00103BD6">
              <w:rPr>
                <w:noProof/>
                <w:webHidden/>
              </w:rPr>
              <w:fldChar w:fldCharType="begin"/>
            </w:r>
            <w:r w:rsidR="00103BD6">
              <w:rPr>
                <w:noProof/>
                <w:webHidden/>
              </w:rPr>
              <w:instrText xml:space="preserve"> PAGEREF _Toc400714666 \h </w:instrText>
            </w:r>
            <w:r w:rsidR="00103BD6">
              <w:rPr>
                <w:noProof/>
                <w:webHidden/>
              </w:rPr>
            </w:r>
            <w:r w:rsidR="00103BD6">
              <w:rPr>
                <w:noProof/>
                <w:webHidden/>
              </w:rPr>
              <w:fldChar w:fldCharType="separate"/>
            </w:r>
            <w:r w:rsidR="00422D8F">
              <w:rPr>
                <w:noProof/>
                <w:webHidden/>
              </w:rPr>
              <w:t>25</w:t>
            </w:r>
            <w:r w:rsidR="00103BD6">
              <w:rPr>
                <w:noProof/>
                <w:webHidden/>
              </w:rPr>
              <w:fldChar w:fldCharType="end"/>
            </w:r>
          </w:hyperlink>
        </w:p>
        <w:p w:rsidR="00103BD6" w:rsidRDefault="00E60297">
          <w:pPr>
            <w:pStyle w:val="TOC3"/>
            <w:tabs>
              <w:tab w:val="right" w:leader="dot" w:pos="9061"/>
            </w:tabs>
            <w:rPr>
              <w:rFonts w:asciiTheme="minorHAnsi" w:eastAsiaTheme="minorEastAsia" w:hAnsiTheme="minorHAnsi"/>
              <w:noProof/>
              <w:sz w:val="22"/>
              <w:lang w:eastAsia="lv-LV"/>
            </w:rPr>
          </w:pPr>
          <w:hyperlink w:anchor="_Toc400714667" w:history="1">
            <w:r w:rsidR="00103BD6" w:rsidRPr="00217793">
              <w:rPr>
                <w:rStyle w:val="Hyperlink"/>
                <w:rFonts w:cs="Times New Roman"/>
                <w:noProof/>
              </w:rPr>
              <w:t>2.6.4. Elektroenerģijas pašnodrošinājums</w:t>
            </w:r>
            <w:r w:rsidR="00103BD6">
              <w:rPr>
                <w:noProof/>
                <w:webHidden/>
              </w:rPr>
              <w:tab/>
            </w:r>
            <w:r w:rsidR="00103BD6">
              <w:rPr>
                <w:noProof/>
                <w:webHidden/>
              </w:rPr>
              <w:fldChar w:fldCharType="begin"/>
            </w:r>
            <w:r w:rsidR="00103BD6">
              <w:rPr>
                <w:noProof/>
                <w:webHidden/>
              </w:rPr>
              <w:instrText xml:space="preserve"> PAGEREF _Toc400714667 \h </w:instrText>
            </w:r>
            <w:r w:rsidR="00103BD6">
              <w:rPr>
                <w:noProof/>
                <w:webHidden/>
              </w:rPr>
            </w:r>
            <w:r w:rsidR="00103BD6">
              <w:rPr>
                <w:noProof/>
                <w:webHidden/>
              </w:rPr>
              <w:fldChar w:fldCharType="separate"/>
            </w:r>
            <w:r w:rsidR="00422D8F">
              <w:rPr>
                <w:noProof/>
                <w:webHidden/>
              </w:rPr>
              <w:t>26</w:t>
            </w:r>
            <w:r w:rsidR="00103BD6">
              <w:rPr>
                <w:noProof/>
                <w:webHidden/>
              </w:rPr>
              <w:fldChar w:fldCharType="end"/>
            </w:r>
          </w:hyperlink>
        </w:p>
        <w:p w:rsidR="00103BD6" w:rsidRDefault="00E60297">
          <w:pPr>
            <w:pStyle w:val="TOC2"/>
            <w:tabs>
              <w:tab w:val="right" w:leader="dot" w:pos="9061"/>
            </w:tabs>
            <w:rPr>
              <w:rFonts w:asciiTheme="minorHAnsi" w:eastAsiaTheme="minorEastAsia" w:hAnsiTheme="minorHAnsi"/>
              <w:noProof/>
              <w:sz w:val="22"/>
              <w:lang w:eastAsia="lv-LV"/>
            </w:rPr>
          </w:pPr>
          <w:hyperlink w:anchor="_Toc400714668" w:history="1">
            <w:r w:rsidR="00103BD6" w:rsidRPr="00217793">
              <w:rPr>
                <w:rStyle w:val="Hyperlink"/>
                <w:rFonts w:cs="Times New Roman"/>
                <w:noProof/>
              </w:rPr>
              <w:t>2.7. Ģenerējošo jaudu tirgus konkurētspēja</w:t>
            </w:r>
            <w:r w:rsidR="00103BD6">
              <w:rPr>
                <w:noProof/>
                <w:webHidden/>
              </w:rPr>
              <w:tab/>
            </w:r>
            <w:r w:rsidR="00103BD6">
              <w:rPr>
                <w:noProof/>
                <w:webHidden/>
              </w:rPr>
              <w:fldChar w:fldCharType="begin"/>
            </w:r>
            <w:r w:rsidR="00103BD6">
              <w:rPr>
                <w:noProof/>
                <w:webHidden/>
              </w:rPr>
              <w:instrText xml:space="preserve"> PAGEREF _Toc400714668 \h </w:instrText>
            </w:r>
            <w:r w:rsidR="00103BD6">
              <w:rPr>
                <w:noProof/>
                <w:webHidden/>
              </w:rPr>
            </w:r>
            <w:r w:rsidR="00103BD6">
              <w:rPr>
                <w:noProof/>
                <w:webHidden/>
              </w:rPr>
              <w:fldChar w:fldCharType="separate"/>
            </w:r>
            <w:r w:rsidR="00422D8F">
              <w:rPr>
                <w:noProof/>
                <w:webHidden/>
              </w:rPr>
              <w:t>27</w:t>
            </w:r>
            <w:r w:rsidR="00103BD6">
              <w:rPr>
                <w:noProof/>
                <w:webHidden/>
              </w:rPr>
              <w:fldChar w:fldCharType="end"/>
            </w:r>
          </w:hyperlink>
        </w:p>
        <w:p w:rsidR="00103BD6" w:rsidRDefault="00E60297">
          <w:pPr>
            <w:pStyle w:val="TOC2"/>
            <w:tabs>
              <w:tab w:val="right" w:leader="dot" w:pos="9061"/>
            </w:tabs>
            <w:rPr>
              <w:rFonts w:asciiTheme="minorHAnsi" w:eastAsiaTheme="minorEastAsia" w:hAnsiTheme="minorHAnsi"/>
              <w:noProof/>
              <w:sz w:val="22"/>
              <w:lang w:eastAsia="lv-LV"/>
            </w:rPr>
          </w:pPr>
          <w:hyperlink w:anchor="_Toc400714669" w:history="1">
            <w:r w:rsidR="00103BD6" w:rsidRPr="00217793">
              <w:rPr>
                <w:rStyle w:val="Hyperlink"/>
                <w:rFonts w:cs="Times New Roman"/>
                <w:noProof/>
              </w:rPr>
              <w:t>2.8. Elektroenerģijas infrastruktūra</w:t>
            </w:r>
            <w:r w:rsidR="00103BD6">
              <w:rPr>
                <w:noProof/>
                <w:webHidden/>
              </w:rPr>
              <w:tab/>
            </w:r>
            <w:r w:rsidR="00103BD6">
              <w:rPr>
                <w:noProof/>
                <w:webHidden/>
              </w:rPr>
              <w:fldChar w:fldCharType="begin"/>
            </w:r>
            <w:r w:rsidR="00103BD6">
              <w:rPr>
                <w:noProof/>
                <w:webHidden/>
              </w:rPr>
              <w:instrText xml:space="preserve"> PAGEREF _Toc400714669 \h </w:instrText>
            </w:r>
            <w:r w:rsidR="00103BD6">
              <w:rPr>
                <w:noProof/>
                <w:webHidden/>
              </w:rPr>
            </w:r>
            <w:r w:rsidR="00103BD6">
              <w:rPr>
                <w:noProof/>
                <w:webHidden/>
              </w:rPr>
              <w:fldChar w:fldCharType="separate"/>
            </w:r>
            <w:r w:rsidR="00422D8F">
              <w:rPr>
                <w:noProof/>
                <w:webHidden/>
              </w:rPr>
              <w:t>28</w:t>
            </w:r>
            <w:r w:rsidR="00103BD6">
              <w:rPr>
                <w:noProof/>
                <w:webHidden/>
              </w:rPr>
              <w:fldChar w:fldCharType="end"/>
            </w:r>
          </w:hyperlink>
        </w:p>
        <w:p w:rsidR="00103BD6" w:rsidRDefault="00E60297">
          <w:pPr>
            <w:pStyle w:val="TOC1"/>
            <w:tabs>
              <w:tab w:val="left" w:pos="560"/>
              <w:tab w:val="right" w:leader="dot" w:pos="9061"/>
            </w:tabs>
            <w:rPr>
              <w:rFonts w:asciiTheme="minorHAnsi" w:eastAsiaTheme="minorEastAsia" w:hAnsiTheme="minorHAnsi"/>
              <w:noProof/>
              <w:sz w:val="22"/>
              <w:lang w:eastAsia="lv-LV"/>
            </w:rPr>
          </w:pPr>
          <w:hyperlink w:anchor="_Toc400714670" w:history="1">
            <w:r w:rsidR="00103BD6" w:rsidRPr="00217793">
              <w:rPr>
                <w:rStyle w:val="Hyperlink"/>
                <w:noProof/>
              </w:rPr>
              <w:t>3.</w:t>
            </w:r>
            <w:r w:rsidR="00103BD6">
              <w:rPr>
                <w:rFonts w:asciiTheme="minorHAnsi" w:eastAsiaTheme="minorEastAsia" w:hAnsiTheme="minorHAnsi"/>
                <w:noProof/>
                <w:sz w:val="22"/>
                <w:lang w:eastAsia="lv-LV"/>
              </w:rPr>
              <w:tab/>
            </w:r>
            <w:r w:rsidR="00103BD6" w:rsidRPr="00217793">
              <w:rPr>
                <w:rStyle w:val="Hyperlink"/>
                <w:noProof/>
              </w:rPr>
              <w:t>Dabasgāzes tirgus</w:t>
            </w:r>
            <w:r w:rsidR="00103BD6">
              <w:rPr>
                <w:noProof/>
                <w:webHidden/>
              </w:rPr>
              <w:tab/>
            </w:r>
            <w:r w:rsidR="00103BD6">
              <w:rPr>
                <w:noProof/>
                <w:webHidden/>
              </w:rPr>
              <w:fldChar w:fldCharType="begin"/>
            </w:r>
            <w:r w:rsidR="00103BD6">
              <w:rPr>
                <w:noProof/>
                <w:webHidden/>
              </w:rPr>
              <w:instrText xml:space="preserve"> PAGEREF _Toc400714670 \h </w:instrText>
            </w:r>
            <w:r w:rsidR="00103BD6">
              <w:rPr>
                <w:noProof/>
                <w:webHidden/>
              </w:rPr>
            </w:r>
            <w:r w:rsidR="00103BD6">
              <w:rPr>
                <w:noProof/>
                <w:webHidden/>
              </w:rPr>
              <w:fldChar w:fldCharType="separate"/>
            </w:r>
            <w:r w:rsidR="00422D8F">
              <w:rPr>
                <w:noProof/>
                <w:webHidden/>
              </w:rPr>
              <w:t>32</w:t>
            </w:r>
            <w:r w:rsidR="00103BD6">
              <w:rPr>
                <w:noProof/>
                <w:webHidden/>
              </w:rPr>
              <w:fldChar w:fldCharType="end"/>
            </w:r>
          </w:hyperlink>
        </w:p>
        <w:p w:rsidR="00103BD6" w:rsidRDefault="00E60297">
          <w:pPr>
            <w:pStyle w:val="TOC2"/>
            <w:tabs>
              <w:tab w:val="left" w:pos="1100"/>
              <w:tab w:val="right" w:leader="dot" w:pos="9061"/>
            </w:tabs>
            <w:rPr>
              <w:rFonts w:asciiTheme="minorHAnsi" w:eastAsiaTheme="minorEastAsia" w:hAnsiTheme="minorHAnsi"/>
              <w:noProof/>
              <w:sz w:val="22"/>
              <w:lang w:eastAsia="lv-LV"/>
            </w:rPr>
          </w:pPr>
          <w:hyperlink w:anchor="_Toc400714671" w:history="1">
            <w:r w:rsidR="00103BD6" w:rsidRPr="00217793">
              <w:rPr>
                <w:rStyle w:val="Hyperlink"/>
                <w:rFonts w:cs="Times New Roman"/>
                <w:noProof/>
              </w:rPr>
              <w:t>3.1.</w:t>
            </w:r>
            <w:r w:rsidR="00103BD6">
              <w:rPr>
                <w:rFonts w:asciiTheme="minorHAnsi" w:eastAsiaTheme="minorEastAsia" w:hAnsiTheme="minorHAnsi"/>
                <w:noProof/>
                <w:sz w:val="22"/>
                <w:lang w:eastAsia="lv-LV"/>
              </w:rPr>
              <w:tab/>
            </w:r>
            <w:r w:rsidR="00103BD6" w:rsidRPr="00217793">
              <w:rPr>
                <w:rStyle w:val="Hyperlink"/>
                <w:rFonts w:cs="Times New Roman"/>
                <w:noProof/>
              </w:rPr>
              <w:t>Tiesiskais ietvars</w:t>
            </w:r>
            <w:r w:rsidR="00103BD6">
              <w:rPr>
                <w:noProof/>
                <w:webHidden/>
              </w:rPr>
              <w:tab/>
            </w:r>
            <w:r w:rsidR="00103BD6">
              <w:rPr>
                <w:noProof/>
                <w:webHidden/>
              </w:rPr>
              <w:fldChar w:fldCharType="begin"/>
            </w:r>
            <w:r w:rsidR="00103BD6">
              <w:rPr>
                <w:noProof/>
                <w:webHidden/>
              </w:rPr>
              <w:instrText xml:space="preserve"> PAGEREF _Toc400714671 \h </w:instrText>
            </w:r>
            <w:r w:rsidR="00103BD6">
              <w:rPr>
                <w:noProof/>
                <w:webHidden/>
              </w:rPr>
            </w:r>
            <w:r w:rsidR="00103BD6">
              <w:rPr>
                <w:noProof/>
                <w:webHidden/>
              </w:rPr>
              <w:fldChar w:fldCharType="separate"/>
            </w:r>
            <w:r w:rsidR="00422D8F">
              <w:rPr>
                <w:noProof/>
                <w:webHidden/>
              </w:rPr>
              <w:t>32</w:t>
            </w:r>
            <w:r w:rsidR="00103BD6">
              <w:rPr>
                <w:noProof/>
                <w:webHidden/>
              </w:rPr>
              <w:fldChar w:fldCharType="end"/>
            </w:r>
          </w:hyperlink>
        </w:p>
        <w:p w:rsidR="00103BD6" w:rsidRDefault="00E60297">
          <w:pPr>
            <w:pStyle w:val="TOC2"/>
            <w:tabs>
              <w:tab w:val="left" w:pos="1100"/>
              <w:tab w:val="right" w:leader="dot" w:pos="9061"/>
            </w:tabs>
            <w:rPr>
              <w:rFonts w:asciiTheme="minorHAnsi" w:eastAsiaTheme="minorEastAsia" w:hAnsiTheme="minorHAnsi"/>
              <w:noProof/>
              <w:sz w:val="22"/>
              <w:lang w:eastAsia="lv-LV"/>
            </w:rPr>
          </w:pPr>
          <w:hyperlink w:anchor="_Toc400714672" w:history="1">
            <w:r w:rsidR="00103BD6" w:rsidRPr="00217793">
              <w:rPr>
                <w:rStyle w:val="Hyperlink"/>
                <w:rFonts w:eastAsia="Times New Roman" w:cs="Times New Roman"/>
                <w:noProof/>
              </w:rPr>
              <w:t>3.2.</w:t>
            </w:r>
            <w:r w:rsidR="00103BD6">
              <w:rPr>
                <w:rFonts w:asciiTheme="minorHAnsi" w:eastAsiaTheme="minorEastAsia" w:hAnsiTheme="minorHAnsi"/>
                <w:noProof/>
                <w:sz w:val="22"/>
                <w:lang w:eastAsia="lv-LV"/>
              </w:rPr>
              <w:tab/>
            </w:r>
            <w:r w:rsidR="00103BD6" w:rsidRPr="00217793">
              <w:rPr>
                <w:rStyle w:val="Hyperlink"/>
                <w:rFonts w:cs="Times New Roman"/>
                <w:noProof/>
              </w:rPr>
              <w:t>Dabasgāzes</w:t>
            </w:r>
            <w:r w:rsidR="00103BD6" w:rsidRPr="00217793">
              <w:rPr>
                <w:rStyle w:val="Hyperlink"/>
                <w:rFonts w:eastAsia="Times New Roman" w:cs="Times New Roman"/>
                <w:noProof/>
              </w:rPr>
              <w:t xml:space="preserve"> patēriņš</w:t>
            </w:r>
            <w:r w:rsidR="00103BD6">
              <w:rPr>
                <w:noProof/>
                <w:webHidden/>
              </w:rPr>
              <w:tab/>
            </w:r>
            <w:r w:rsidR="00103BD6">
              <w:rPr>
                <w:noProof/>
                <w:webHidden/>
              </w:rPr>
              <w:fldChar w:fldCharType="begin"/>
            </w:r>
            <w:r w:rsidR="00103BD6">
              <w:rPr>
                <w:noProof/>
                <w:webHidden/>
              </w:rPr>
              <w:instrText xml:space="preserve"> PAGEREF _Toc400714672 \h </w:instrText>
            </w:r>
            <w:r w:rsidR="00103BD6">
              <w:rPr>
                <w:noProof/>
                <w:webHidden/>
              </w:rPr>
            </w:r>
            <w:r w:rsidR="00103BD6">
              <w:rPr>
                <w:noProof/>
                <w:webHidden/>
              </w:rPr>
              <w:fldChar w:fldCharType="separate"/>
            </w:r>
            <w:r w:rsidR="00422D8F">
              <w:rPr>
                <w:noProof/>
                <w:webHidden/>
              </w:rPr>
              <w:t>34</w:t>
            </w:r>
            <w:r w:rsidR="00103BD6">
              <w:rPr>
                <w:noProof/>
                <w:webHidden/>
              </w:rPr>
              <w:fldChar w:fldCharType="end"/>
            </w:r>
          </w:hyperlink>
        </w:p>
        <w:p w:rsidR="00103BD6" w:rsidRDefault="00E60297">
          <w:pPr>
            <w:pStyle w:val="TOC2"/>
            <w:tabs>
              <w:tab w:val="left" w:pos="1100"/>
              <w:tab w:val="right" w:leader="dot" w:pos="9061"/>
            </w:tabs>
            <w:rPr>
              <w:rFonts w:asciiTheme="minorHAnsi" w:eastAsiaTheme="minorEastAsia" w:hAnsiTheme="minorHAnsi"/>
              <w:noProof/>
              <w:sz w:val="22"/>
              <w:lang w:eastAsia="lv-LV"/>
            </w:rPr>
          </w:pPr>
          <w:hyperlink w:anchor="_Toc400714673" w:history="1">
            <w:r w:rsidR="00103BD6" w:rsidRPr="00217793">
              <w:rPr>
                <w:rStyle w:val="Hyperlink"/>
                <w:rFonts w:eastAsia="Times New Roman" w:cs="Times New Roman"/>
                <w:noProof/>
              </w:rPr>
              <w:t>3.3.</w:t>
            </w:r>
            <w:r w:rsidR="00103BD6">
              <w:rPr>
                <w:rFonts w:asciiTheme="minorHAnsi" w:eastAsiaTheme="minorEastAsia" w:hAnsiTheme="minorHAnsi"/>
                <w:noProof/>
                <w:sz w:val="22"/>
                <w:lang w:eastAsia="lv-LV"/>
              </w:rPr>
              <w:tab/>
            </w:r>
            <w:r w:rsidR="00103BD6" w:rsidRPr="00217793">
              <w:rPr>
                <w:rStyle w:val="Hyperlink"/>
                <w:rFonts w:eastAsia="Times New Roman" w:cs="Times New Roman"/>
                <w:noProof/>
              </w:rPr>
              <w:t>Dabasgāzes tirdzniecība</w:t>
            </w:r>
            <w:r w:rsidR="00103BD6">
              <w:rPr>
                <w:noProof/>
                <w:webHidden/>
              </w:rPr>
              <w:tab/>
            </w:r>
            <w:r w:rsidR="00103BD6">
              <w:rPr>
                <w:noProof/>
                <w:webHidden/>
              </w:rPr>
              <w:fldChar w:fldCharType="begin"/>
            </w:r>
            <w:r w:rsidR="00103BD6">
              <w:rPr>
                <w:noProof/>
                <w:webHidden/>
              </w:rPr>
              <w:instrText xml:space="preserve"> PAGEREF _Toc400714673 \h </w:instrText>
            </w:r>
            <w:r w:rsidR="00103BD6">
              <w:rPr>
                <w:noProof/>
                <w:webHidden/>
              </w:rPr>
            </w:r>
            <w:r w:rsidR="00103BD6">
              <w:rPr>
                <w:noProof/>
                <w:webHidden/>
              </w:rPr>
              <w:fldChar w:fldCharType="separate"/>
            </w:r>
            <w:r w:rsidR="00422D8F">
              <w:rPr>
                <w:noProof/>
                <w:webHidden/>
              </w:rPr>
              <w:t>38</w:t>
            </w:r>
            <w:r w:rsidR="00103BD6">
              <w:rPr>
                <w:noProof/>
                <w:webHidden/>
              </w:rPr>
              <w:fldChar w:fldCharType="end"/>
            </w:r>
          </w:hyperlink>
        </w:p>
        <w:p w:rsidR="00103BD6" w:rsidRDefault="00E60297">
          <w:pPr>
            <w:pStyle w:val="TOC2"/>
            <w:tabs>
              <w:tab w:val="right" w:leader="dot" w:pos="9061"/>
            </w:tabs>
            <w:rPr>
              <w:rFonts w:asciiTheme="minorHAnsi" w:eastAsiaTheme="minorEastAsia" w:hAnsiTheme="minorHAnsi"/>
              <w:noProof/>
              <w:sz w:val="22"/>
              <w:lang w:eastAsia="lv-LV"/>
            </w:rPr>
          </w:pPr>
          <w:hyperlink w:anchor="_Toc400714674" w:history="1">
            <w:r w:rsidR="00103BD6" w:rsidRPr="00217793">
              <w:rPr>
                <w:rStyle w:val="Hyperlink"/>
                <w:rFonts w:eastAsia="Times New Roman" w:cs="Times New Roman"/>
                <w:noProof/>
              </w:rPr>
              <w:t>4. Dabasgāzes infrastruktūra</w:t>
            </w:r>
            <w:r w:rsidR="00103BD6">
              <w:rPr>
                <w:noProof/>
                <w:webHidden/>
              </w:rPr>
              <w:tab/>
            </w:r>
            <w:r w:rsidR="00103BD6">
              <w:rPr>
                <w:noProof/>
                <w:webHidden/>
              </w:rPr>
              <w:fldChar w:fldCharType="begin"/>
            </w:r>
            <w:r w:rsidR="00103BD6">
              <w:rPr>
                <w:noProof/>
                <w:webHidden/>
              </w:rPr>
              <w:instrText xml:space="preserve"> PAGEREF _Toc400714674 \h </w:instrText>
            </w:r>
            <w:r w:rsidR="00103BD6">
              <w:rPr>
                <w:noProof/>
                <w:webHidden/>
              </w:rPr>
            </w:r>
            <w:r w:rsidR="00103BD6">
              <w:rPr>
                <w:noProof/>
                <w:webHidden/>
              </w:rPr>
              <w:fldChar w:fldCharType="separate"/>
            </w:r>
            <w:r w:rsidR="00422D8F">
              <w:rPr>
                <w:noProof/>
                <w:webHidden/>
              </w:rPr>
              <w:t>40</w:t>
            </w:r>
            <w:r w:rsidR="00103BD6">
              <w:rPr>
                <w:noProof/>
                <w:webHidden/>
              </w:rPr>
              <w:fldChar w:fldCharType="end"/>
            </w:r>
          </w:hyperlink>
        </w:p>
        <w:p w:rsidR="00103BD6" w:rsidRDefault="00E60297">
          <w:pPr>
            <w:pStyle w:val="TOC2"/>
            <w:tabs>
              <w:tab w:val="right" w:leader="dot" w:pos="9061"/>
            </w:tabs>
            <w:rPr>
              <w:rFonts w:asciiTheme="minorHAnsi" w:eastAsiaTheme="minorEastAsia" w:hAnsiTheme="minorHAnsi"/>
              <w:noProof/>
              <w:sz w:val="22"/>
              <w:lang w:eastAsia="lv-LV"/>
            </w:rPr>
          </w:pPr>
          <w:hyperlink w:anchor="_Toc400714675" w:history="1">
            <w:r w:rsidR="00103BD6" w:rsidRPr="00217793">
              <w:rPr>
                <w:rStyle w:val="Hyperlink"/>
                <w:rFonts w:eastAsia="Times New Roman" w:cs="Times New Roman"/>
                <w:noProof/>
              </w:rPr>
              <w:t>4.1. Dabasgāzes infrastruktūras apgādes drošība</w:t>
            </w:r>
            <w:r w:rsidR="00103BD6">
              <w:rPr>
                <w:noProof/>
                <w:webHidden/>
              </w:rPr>
              <w:tab/>
            </w:r>
            <w:r w:rsidR="00103BD6">
              <w:rPr>
                <w:noProof/>
                <w:webHidden/>
              </w:rPr>
              <w:fldChar w:fldCharType="begin"/>
            </w:r>
            <w:r w:rsidR="00103BD6">
              <w:rPr>
                <w:noProof/>
                <w:webHidden/>
              </w:rPr>
              <w:instrText xml:space="preserve"> PAGEREF _Toc400714675 \h </w:instrText>
            </w:r>
            <w:r w:rsidR="00103BD6">
              <w:rPr>
                <w:noProof/>
                <w:webHidden/>
              </w:rPr>
            </w:r>
            <w:r w:rsidR="00103BD6">
              <w:rPr>
                <w:noProof/>
                <w:webHidden/>
              </w:rPr>
              <w:fldChar w:fldCharType="separate"/>
            </w:r>
            <w:r w:rsidR="00422D8F">
              <w:rPr>
                <w:noProof/>
                <w:webHidden/>
              </w:rPr>
              <w:t>43</w:t>
            </w:r>
            <w:r w:rsidR="00103BD6">
              <w:rPr>
                <w:noProof/>
                <w:webHidden/>
              </w:rPr>
              <w:fldChar w:fldCharType="end"/>
            </w:r>
          </w:hyperlink>
        </w:p>
        <w:p w:rsidR="00103BD6" w:rsidRDefault="00E60297">
          <w:pPr>
            <w:pStyle w:val="TOC2"/>
            <w:tabs>
              <w:tab w:val="right" w:leader="dot" w:pos="9061"/>
            </w:tabs>
            <w:rPr>
              <w:rFonts w:asciiTheme="minorHAnsi" w:eastAsiaTheme="minorEastAsia" w:hAnsiTheme="minorHAnsi"/>
              <w:noProof/>
              <w:sz w:val="22"/>
              <w:lang w:eastAsia="lv-LV"/>
            </w:rPr>
          </w:pPr>
          <w:hyperlink w:anchor="_Toc400714676" w:history="1">
            <w:r w:rsidR="00103BD6" w:rsidRPr="00217793">
              <w:rPr>
                <w:rStyle w:val="Hyperlink"/>
                <w:rFonts w:eastAsia="Times New Roman" w:cs="Times New Roman"/>
                <w:noProof/>
              </w:rPr>
              <w:t>4.2 Dabasgāzes uzglabāšanas potenciāls</w:t>
            </w:r>
            <w:r w:rsidR="00103BD6">
              <w:rPr>
                <w:noProof/>
                <w:webHidden/>
              </w:rPr>
              <w:tab/>
            </w:r>
            <w:r w:rsidR="00103BD6">
              <w:rPr>
                <w:noProof/>
                <w:webHidden/>
              </w:rPr>
              <w:fldChar w:fldCharType="begin"/>
            </w:r>
            <w:r w:rsidR="00103BD6">
              <w:rPr>
                <w:noProof/>
                <w:webHidden/>
              </w:rPr>
              <w:instrText xml:space="preserve"> PAGEREF _Toc400714676 \h </w:instrText>
            </w:r>
            <w:r w:rsidR="00103BD6">
              <w:rPr>
                <w:noProof/>
                <w:webHidden/>
              </w:rPr>
            </w:r>
            <w:r w:rsidR="00103BD6">
              <w:rPr>
                <w:noProof/>
                <w:webHidden/>
              </w:rPr>
              <w:fldChar w:fldCharType="separate"/>
            </w:r>
            <w:r w:rsidR="00422D8F">
              <w:rPr>
                <w:noProof/>
                <w:webHidden/>
              </w:rPr>
              <w:t>45</w:t>
            </w:r>
            <w:r w:rsidR="00103BD6">
              <w:rPr>
                <w:noProof/>
                <w:webHidden/>
              </w:rPr>
              <w:fldChar w:fldCharType="end"/>
            </w:r>
          </w:hyperlink>
        </w:p>
        <w:p w:rsidR="00103BD6" w:rsidRDefault="00E60297">
          <w:pPr>
            <w:pStyle w:val="TOC1"/>
            <w:tabs>
              <w:tab w:val="right" w:leader="dot" w:pos="9061"/>
            </w:tabs>
            <w:rPr>
              <w:rFonts w:asciiTheme="minorHAnsi" w:eastAsiaTheme="minorEastAsia" w:hAnsiTheme="minorHAnsi"/>
              <w:noProof/>
              <w:sz w:val="22"/>
              <w:lang w:eastAsia="lv-LV"/>
            </w:rPr>
          </w:pPr>
          <w:hyperlink w:anchor="_Toc400714677" w:history="1">
            <w:r w:rsidR="00103BD6" w:rsidRPr="00217793">
              <w:rPr>
                <w:rStyle w:val="Hyperlink"/>
                <w:noProof/>
              </w:rPr>
              <w:t>5. Siltumapgāde</w:t>
            </w:r>
            <w:r w:rsidR="00103BD6">
              <w:rPr>
                <w:noProof/>
                <w:webHidden/>
              </w:rPr>
              <w:tab/>
            </w:r>
            <w:r w:rsidR="00103BD6">
              <w:rPr>
                <w:noProof/>
                <w:webHidden/>
              </w:rPr>
              <w:fldChar w:fldCharType="begin"/>
            </w:r>
            <w:r w:rsidR="00103BD6">
              <w:rPr>
                <w:noProof/>
                <w:webHidden/>
              </w:rPr>
              <w:instrText xml:space="preserve"> PAGEREF _Toc400714677 \h </w:instrText>
            </w:r>
            <w:r w:rsidR="00103BD6">
              <w:rPr>
                <w:noProof/>
                <w:webHidden/>
              </w:rPr>
            </w:r>
            <w:r w:rsidR="00103BD6">
              <w:rPr>
                <w:noProof/>
                <w:webHidden/>
              </w:rPr>
              <w:fldChar w:fldCharType="separate"/>
            </w:r>
            <w:r w:rsidR="00422D8F">
              <w:rPr>
                <w:noProof/>
                <w:webHidden/>
              </w:rPr>
              <w:t>47</w:t>
            </w:r>
            <w:r w:rsidR="00103BD6">
              <w:rPr>
                <w:noProof/>
                <w:webHidden/>
              </w:rPr>
              <w:fldChar w:fldCharType="end"/>
            </w:r>
          </w:hyperlink>
        </w:p>
        <w:p w:rsidR="00103BD6" w:rsidRDefault="00E60297">
          <w:pPr>
            <w:pStyle w:val="TOC2"/>
            <w:tabs>
              <w:tab w:val="right" w:leader="dot" w:pos="9061"/>
            </w:tabs>
            <w:rPr>
              <w:rFonts w:asciiTheme="minorHAnsi" w:eastAsiaTheme="minorEastAsia" w:hAnsiTheme="minorHAnsi"/>
              <w:noProof/>
              <w:sz w:val="22"/>
              <w:lang w:eastAsia="lv-LV"/>
            </w:rPr>
          </w:pPr>
          <w:hyperlink w:anchor="_Toc400714678" w:history="1">
            <w:r w:rsidR="00103BD6" w:rsidRPr="00217793">
              <w:rPr>
                <w:rStyle w:val="Hyperlink"/>
                <w:rFonts w:cs="Times New Roman"/>
                <w:noProof/>
              </w:rPr>
              <w:t>5.1. Tiesiskais ietvars</w:t>
            </w:r>
            <w:r w:rsidR="00103BD6">
              <w:rPr>
                <w:noProof/>
                <w:webHidden/>
              </w:rPr>
              <w:tab/>
            </w:r>
            <w:r w:rsidR="00103BD6">
              <w:rPr>
                <w:noProof/>
                <w:webHidden/>
              </w:rPr>
              <w:fldChar w:fldCharType="begin"/>
            </w:r>
            <w:r w:rsidR="00103BD6">
              <w:rPr>
                <w:noProof/>
                <w:webHidden/>
              </w:rPr>
              <w:instrText xml:space="preserve"> PAGEREF _Toc400714678 \h </w:instrText>
            </w:r>
            <w:r w:rsidR="00103BD6">
              <w:rPr>
                <w:noProof/>
                <w:webHidden/>
              </w:rPr>
            </w:r>
            <w:r w:rsidR="00103BD6">
              <w:rPr>
                <w:noProof/>
                <w:webHidden/>
              </w:rPr>
              <w:fldChar w:fldCharType="separate"/>
            </w:r>
            <w:r w:rsidR="00422D8F">
              <w:rPr>
                <w:noProof/>
                <w:webHidden/>
              </w:rPr>
              <w:t>47</w:t>
            </w:r>
            <w:r w:rsidR="00103BD6">
              <w:rPr>
                <w:noProof/>
                <w:webHidden/>
              </w:rPr>
              <w:fldChar w:fldCharType="end"/>
            </w:r>
          </w:hyperlink>
        </w:p>
        <w:p w:rsidR="00103BD6" w:rsidRDefault="00E60297">
          <w:pPr>
            <w:pStyle w:val="TOC2"/>
            <w:tabs>
              <w:tab w:val="right" w:leader="dot" w:pos="9061"/>
            </w:tabs>
            <w:rPr>
              <w:rFonts w:asciiTheme="minorHAnsi" w:eastAsiaTheme="minorEastAsia" w:hAnsiTheme="minorHAnsi"/>
              <w:noProof/>
              <w:sz w:val="22"/>
              <w:lang w:eastAsia="lv-LV"/>
            </w:rPr>
          </w:pPr>
          <w:hyperlink w:anchor="_Toc400714679" w:history="1">
            <w:r w:rsidR="00103BD6" w:rsidRPr="00217793">
              <w:rPr>
                <w:rStyle w:val="Hyperlink"/>
                <w:rFonts w:cs="Times New Roman"/>
                <w:noProof/>
              </w:rPr>
              <w:t>5.2. Tiešie norēķini par patērēto siltumenerģiju</w:t>
            </w:r>
            <w:r w:rsidR="00103BD6">
              <w:rPr>
                <w:noProof/>
                <w:webHidden/>
              </w:rPr>
              <w:tab/>
            </w:r>
            <w:r w:rsidR="00103BD6">
              <w:rPr>
                <w:noProof/>
                <w:webHidden/>
              </w:rPr>
              <w:fldChar w:fldCharType="begin"/>
            </w:r>
            <w:r w:rsidR="00103BD6">
              <w:rPr>
                <w:noProof/>
                <w:webHidden/>
              </w:rPr>
              <w:instrText xml:space="preserve"> PAGEREF _Toc400714679 \h </w:instrText>
            </w:r>
            <w:r w:rsidR="00103BD6">
              <w:rPr>
                <w:noProof/>
                <w:webHidden/>
              </w:rPr>
            </w:r>
            <w:r w:rsidR="00103BD6">
              <w:rPr>
                <w:noProof/>
                <w:webHidden/>
              </w:rPr>
              <w:fldChar w:fldCharType="separate"/>
            </w:r>
            <w:r w:rsidR="00422D8F">
              <w:rPr>
                <w:noProof/>
                <w:webHidden/>
              </w:rPr>
              <w:t>47</w:t>
            </w:r>
            <w:r w:rsidR="00103BD6">
              <w:rPr>
                <w:noProof/>
                <w:webHidden/>
              </w:rPr>
              <w:fldChar w:fldCharType="end"/>
            </w:r>
          </w:hyperlink>
        </w:p>
        <w:p w:rsidR="00103BD6" w:rsidRDefault="00E60297">
          <w:pPr>
            <w:pStyle w:val="TOC2"/>
            <w:tabs>
              <w:tab w:val="right" w:leader="dot" w:pos="9061"/>
            </w:tabs>
            <w:rPr>
              <w:rFonts w:asciiTheme="minorHAnsi" w:eastAsiaTheme="minorEastAsia" w:hAnsiTheme="minorHAnsi"/>
              <w:noProof/>
              <w:sz w:val="22"/>
              <w:lang w:eastAsia="lv-LV"/>
            </w:rPr>
          </w:pPr>
          <w:hyperlink w:anchor="_Toc400714680" w:history="1">
            <w:r w:rsidR="00103BD6" w:rsidRPr="00217793">
              <w:rPr>
                <w:rStyle w:val="Hyperlink"/>
                <w:rFonts w:cs="Times New Roman"/>
                <w:noProof/>
              </w:rPr>
              <w:t>5.3.  Siltumapgādes raksturojums, darbības novērtējums</w:t>
            </w:r>
            <w:r w:rsidR="00103BD6">
              <w:rPr>
                <w:noProof/>
                <w:webHidden/>
              </w:rPr>
              <w:tab/>
            </w:r>
            <w:r w:rsidR="00103BD6">
              <w:rPr>
                <w:noProof/>
                <w:webHidden/>
              </w:rPr>
              <w:fldChar w:fldCharType="begin"/>
            </w:r>
            <w:r w:rsidR="00103BD6">
              <w:rPr>
                <w:noProof/>
                <w:webHidden/>
              </w:rPr>
              <w:instrText xml:space="preserve"> PAGEREF _Toc400714680 \h </w:instrText>
            </w:r>
            <w:r w:rsidR="00103BD6">
              <w:rPr>
                <w:noProof/>
                <w:webHidden/>
              </w:rPr>
            </w:r>
            <w:r w:rsidR="00103BD6">
              <w:rPr>
                <w:noProof/>
                <w:webHidden/>
              </w:rPr>
              <w:fldChar w:fldCharType="separate"/>
            </w:r>
            <w:r w:rsidR="00422D8F">
              <w:rPr>
                <w:noProof/>
                <w:webHidden/>
              </w:rPr>
              <w:t>48</w:t>
            </w:r>
            <w:r w:rsidR="00103BD6">
              <w:rPr>
                <w:noProof/>
                <w:webHidden/>
              </w:rPr>
              <w:fldChar w:fldCharType="end"/>
            </w:r>
          </w:hyperlink>
        </w:p>
        <w:p w:rsidR="00103BD6" w:rsidRDefault="00E60297">
          <w:pPr>
            <w:pStyle w:val="TOC2"/>
            <w:tabs>
              <w:tab w:val="right" w:leader="dot" w:pos="9061"/>
            </w:tabs>
            <w:rPr>
              <w:rFonts w:asciiTheme="minorHAnsi" w:eastAsiaTheme="minorEastAsia" w:hAnsiTheme="minorHAnsi"/>
              <w:noProof/>
              <w:sz w:val="22"/>
              <w:lang w:eastAsia="lv-LV"/>
            </w:rPr>
          </w:pPr>
          <w:hyperlink w:anchor="_Toc400714681" w:history="1">
            <w:r w:rsidR="00103BD6" w:rsidRPr="00217793">
              <w:rPr>
                <w:rStyle w:val="Hyperlink"/>
                <w:rFonts w:cs="Times New Roman"/>
                <w:noProof/>
              </w:rPr>
              <w:t>5.4. Siltuma tarifi, cenu dinamika</w:t>
            </w:r>
            <w:r w:rsidR="00103BD6">
              <w:rPr>
                <w:noProof/>
                <w:webHidden/>
              </w:rPr>
              <w:tab/>
            </w:r>
            <w:r w:rsidR="00103BD6">
              <w:rPr>
                <w:noProof/>
                <w:webHidden/>
              </w:rPr>
              <w:fldChar w:fldCharType="begin"/>
            </w:r>
            <w:r w:rsidR="00103BD6">
              <w:rPr>
                <w:noProof/>
                <w:webHidden/>
              </w:rPr>
              <w:instrText xml:space="preserve"> PAGEREF _Toc400714681 \h </w:instrText>
            </w:r>
            <w:r w:rsidR="00103BD6">
              <w:rPr>
                <w:noProof/>
                <w:webHidden/>
              </w:rPr>
            </w:r>
            <w:r w:rsidR="00103BD6">
              <w:rPr>
                <w:noProof/>
                <w:webHidden/>
              </w:rPr>
              <w:fldChar w:fldCharType="separate"/>
            </w:r>
            <w:r w:rsidR="00422D8F">
              <w:rPr>
                <w:noProof/>
                <w:webHidden/>
              </w:rPr>
              <w:t>50</w:t>
            </w:r>
            <w:r w:rsidR="00103BD6">
              <w:rPr>
                <w:noProof/>
                <w:webHidden/>
              </w:rPr>
              <w:fldChar w:fldCharType="end"/>
            </w:r>
          </w:hyperlink>
        </w:p>
        <w:p w:rsidR="00103BD6" w:rsidRDefault="00E60297">
          <w:pPr>
            <w:pStyle w:val="TOC2"/>
            <w:tabs>
              <w:tab w:val="right" w:leader="dot" w:pos="9061"/>
            </w:tabs>
            <w:rPr>
              <w:rFonts w:asciiTheme="minorHAnsi" w:eastAsiaTheme="minorEastAsia" w:hAnsiTheme="minorHAnsi"/>
              <w:noProof/>
              <w:sz w:val="22"/>
              <w:lang w:eastAsia="lv-LV"/>
            </w:rPr>
          </w:pPr>
          <w:hyperlink w:anchor="_Toc400714682" w:history="1">
            <w:r w:rsidR="00103BD6" w:rsidRPr="00217793">
              <w:rPr>
                <w:rStyle w:val="Hyperlink"/>
                <w:rFonts w:cs="Times New Roman"/>
                <w:noProof/>
              </w:rPr>
              <w:t>5.5. Parādu par siltumenerģiju raksturojums</w:t>
            </w:r>
            <w:r w:rsidR="00103BD6">
              <w:rPr>
                <w:noProof/>
                <w:webHidden/>
              </w:rPr>
              <w:tab/>
            </w:r>
            <w:r w:rsidR="00103BD6">
              <w:rPr>
                <w:noProof/>
                <w:webHidden/>
              </w:rPr>
              <w:fldChar w:fldCharType="begin"/>
            </w:r>
            <w:r w:rsidR="00103BD6">
              <w:rPr>
                <w:noProof/>
                <w:webHidden/>
              </w:rPr>
              <w:instrText xml:space="preserve"> PAGEREF _Toc400714682 \h </w:instrText>
            </w:r>
            <w:r w:rsidR="00103BD6">
              <w:rPr>
                <w:noProof/>
                <w:webHidden/>
              </w:rPr>
            </w:r>
            <w:r w:rsidR="00103BD6">
              <w:rPr>
                <w:noProof/>
                <w:webHidden/>
              </w:rPr>
              <w:fldChar w:fldCharType="separate"/>
            </w:r>
            <w:r w:rsidR="00422D8F">
              <w:rPr>
                <w:noProof/>
                <w:webHidden/>
              </w:rPr>
              <w:t>52</w:t>
            </w:r>
            <w:r w:rsidR="00103BD6">
              <w:rPr>
                <w:noProof/>
                <w:webHidden/>
              </w:rPr>
              <w:fldChar w:fldCharType="end"/>
            </w:r>
          </w:hyperlink>
        </w:p>
        <w:p w:rsidR="00103BD6" w:rsidRDefault="00E60297">
          <w:pPr>
            <w:pStyle w:val="TOC1"/>
            <w:tabs>
              <w:tab w:val="right" w:leader="dot" w:pos="9061"/>
            </w:tabs>
            <w:rPr>
              <w:rFonts w:asciiTheme="minorHAnsi" w:eastAsiaTheme="minorEastAsia" w:hAnsiTheme="minorHAnsi"/>
              <w:noProof/>
              <w:sz w:val="22"/>
              <w:lang w:eastAsia="lv-LV"/>
            </w:rPr>
          </w:pPr>
          <w:hyperlink w:anchor="_Toc400714683" w:history="1">
            <w:r w:rsidR="00103BD6" w:rsidRPr="00217793">
              <w:rPr>
                <w:rStyle w:val="Hyperlink"/>
                <w:noProof/>
              </w:rPr>
              <w:t>6. Atjaunojamie energoresursi</w:t>
            </w:r>
            <w:r w:rsidR="00103BD6">
              <w:rPr>
                <w:noProof/>
                <w:webHidden/>
              </w:rPr>
              <w:tab/>
            </w:r>
            <w:r w:rsidR="00103BD6">
              <w:rPr>
                <w:noProof/>
                <w:webHidden/>
              </w:rPr>
              <w:fldChar w:fldCharType="begin"/>
            </w:r>
            <w:r w:rsidR="00103BD6">
              <w:rPr>
                <w:noProof/>
                <w:webHidden/>
              </w:rPr>
              <w:instrText xml:space="preserve"> PAGEREF _Toc400714683 \h </w:instrText>
            </w:r>
            <w:r w:rsidR="00103BD6">
              <w:rPr>
                <w:noProof/>
                <w:webHidden/>
              </w:rPr>
            </w:r>
            <w:r w:rsidR="00103BD6">
              <w:rPr>
                <w:noProof/>
                <w:webHidden/>
              </w:rPr>
              <w:fldChar w:fldCharType="separate"/>
            </w:r>
            <w:r w:rsidR="00422D8F">
              <w:rPr>
                <w:noProof/>
                <w:webHidden/>
              </w:rPr>
              <w:t>54</w:t>
            </w:r>
            <w:r w:rsidR="00103BD6">
              <w:rPr>
                <w:noProof/>
                <w:webHidden/>
              </w:rPr>
              <w:fldChar w:fldCharType="end"/>
            </w:r>
          </w:hyperlink>
        </w:p>
        <w:p w:rsidR="00103BD6" w:rsidRDefault="00E60297">
          <w:pPr>
            <w:pStyle w:val="TOC2"/>
            <w:tabs>
              <w:tab w:val="right" w:leader="dot" w:pos="9061"/>
            </w:tabs>
            <w:rPr>
              <w:rFonts w:asciiTheme="minorHAnsi" w:eastAsiaTheme="minorEastAsia" w:hAnsiTheme="minorHAnsi"/>
              <w:noProof/>
              <w:sz w:val="22"/>
              <w:lang w:eastAsia="lv-LV"/>
            </w:rPr>
          </w:pPr>
          <w:hyperlink w:anchor="_Toc400714684" w:history="1">
            <w:r w:rsidR="00103BD6" w:rsidRPr="00217793">
              <w:rPr>
                <w:rStyle w:val="Hyperlink"/>
                <w:rFonts w:cs="Times New Roman"/>
                <w:noProof/>
              </w:rPr>
              <w:t>6.1. Tiesiskais ietvars</w:t>
            </w:r>
            <w:r w:rsidR="00103BD6">
              <w:rPr>
                <w:noProof/>
                <w:webHidden/>
              </w:rPr>
              <w:tab/>
            </w:r>
            <w:r w:rsidR="00103BD6">
              <w:rPr>
                <w:noProof/>
                <w:webHidden/>
              </w:rPr>
              <w:fldChar w:fldCharType="begin"/>
            </w:r>
            <w:r w:rsidR="00103BD6">
              <w:rPr>
                <w:noProof/>
                <w:webHidden/>
              </w:rPr>
              <w:instrText xml:space="preserve"> PAGEREF _Toc400714684 \h </w:instrText>
            </w:r>
            <w:r w:rsidR="00103BD6">
              <w:rPr>
                <w:noProof/>
                <w:webHidden/>
              </w:rPr>
            </w:r>
            <w:r w:rsidR="00103BD6">
              <w:rPr>
                <w:noProof/>
                <w:webHidden/>
              </w:rPr>
              <w:fldChar w:fldCharType="separate"/>
            </w:r>
            <w:r w:rsidR="00422D8F">
              <w:rPr>
                <w:noProof/>
                <w:webHidden/>
              </w:rPr>
              <w:t>54</w:t>
            </w:r>
            <w:r w:rsidR="00103BD6">
              <w:rPr>
                <w:noProof/>
                <w:webHidden/>
              </w:rPr>
              <w:fldChar w:fldCharType="end"/>
            </w:r>
          </w:hyperlink>
        </w:p>
        <w:p w:rsidR="00103BD6" w:rsidRDefault="00E60297">
          <w:pPr>
            <w:pStyle w:val="TOC3"/>
            <w:tabs>
              <w:tab w:val="right" w:leader="dot" w:pos="9061"/>
            </w:tabs>
            <w:rPr>
              <w:rFonts w:asciiTheme="minorHAnsi" w:eastAsiaTheme="minorEastAsia" w:hAnsiTheme="minorHAnsi"/>
              <w:noProof/>
              <w:sz w:val="22"/>
              <w:lang w:eastAsia="lv-LV"/>
            </w:rPr>
          </w:pPr>
          <w:hyperlink w:anchor="_Toc400714685" w:history="1">
            <w:r w:rsidR="00103BD6" w:rsidRPr="00217793">
              <w:rPr>
                <w:rStyle w:val="Hyperlink"/>
                <w:rFonts w:cs="Times New Roman"/>
                <w:noProof/>
              </w:rPr>
              <w:t>6.1.1. AER mērķi un izmantošanas veicināšana</w:t>
            </w:r>
            <w:r w:rsidR="00103BD6">
              <w:rPr>
                <w:noProof/>
                <w:webHidden/>
              </w:rPr>
              <w:tab/>
            </w:r>
            <w:r w:rsidR="00103BD6">
              <w:rPr>
                <w:noProof/>
                <w:webHidden/>
              </w:rPr>
              <w:fldChar w:fldCharType="begin"/>
            </w:r>
            <w:r w:rsidR="00103BD6">
              <w:rPr>
                <w:noProof/>
                <w:webHidden/>
              </w:rPr>
              <w:instrText xml:space="preserve"> PAGEREF _Toc400714685 \h </w:instrText>
            </w:r>
            <w:r w:rsidR="00103BD6">
              <w:rPr>
                <w:noProof/>
                <w:webHidden/>
              </w:rPr>
            </w:r>
            <w:r w:rsidR="00103BD6">
              <w:rPr>
                <w:noProof/>
                <w:webHidden/>
              </w:rPr>
              <w:fldChar w:fldCharType="separate"/>
            </w:r>
            <w:r w:rsidR="00422D8F">
              <w:rPr>
                <w:noProof/>
                <w:webHidden/>
              </w:rPr>
              <w:t>55</w:t>
            </w:r>
            <w:r w:rsidR="00103BD6">
              <w:rPr>
                <w:noProof/>
                <w:webHidden/>
              </w:rPr>
              <w:fldChar w:fldCharType="end"/>
            </w:r>
          </w:hyperlink>
        </w:p>
        <w:p w:rsidR="00103BD6" w:rsidRDefault="00E60297">
          <w:pPr>
            <w:pStyle w:val="TOC3"/>
            <w:tabs>
              <w:tab w:val="right" w:leader="dot" w:pos="9061"/>
            </w:tabs>
            <w:rPr>
              <w:rFonts w:asciiTheme="minorHAnsi" w:eastAsiaTheme="minorEastAsia" w:hAnsiTheme="minorHAnsi"/>
              <w:noProof/>
              <w:sz w:val="22"/>
              <w:lang w:eastAsia="lv-LV"/>
            </w:rPr>
          </w:pPr>
          <w:hyperlink w:anchor="_Toc400714686" w:history="1">
            <w:r w:rsidR="00103BD6" w:rsidRPr="00217793">
              <w:rPr>
                <w:rStyle w:val="Hyperlink"/>
                <w:rFonts w:cs="Times New Roman"/>
                <w:noProof/>
              </w:rPr>
              <w:t>6.1.2. Neto uzskaite</w:t>
            </w:r>
            <w:r w:rsidR="00103BD6">
              <w:rPr>
                <w:noProof/>
                <w:webHidden/>
              </w:rPr>
              <w:tab/>
            </w:r>
            <w:r w:rsidR="00103BD6">
              <w:rPr>
                <w:noProof/>
                <w:webHidden/>
              </w:rPr>
              <w:fldChar w:fldCharType="begin"/>
            </w:r>
            <w:r w:rsidR="00103BD6">
              <w:rPr>
                <w:noProof/>
                <w:webHidden/>
              </w:rPr>
              <w:instrText xml:space="preserve"> PAGEREF _Toc400714686 \h </w:instrText>
            </w:r>
            <w:r w:rsidR="00103BD6">
              <w:rPr>
                <w:noProof/>
                <w:webHidden/>
              </w:rPr>
            </w:r>
            <w:r w:rsidR="00103BD6">
              <w:rPr>
                <w:noProof/>
                <w:webHidden/>
              </w:rPr>
              <w:fldChar w:fldCharType="separate"/>
            </w:r>
            <w:r w:rsidR="00422D8F">
              <w:rPr>
                <w:noProof/>
                <w:webHidden/>
              </w:rPr>
              <w:t>56</w:t>
            </w:r>
            <w:r w:rsidR="00103BD6">
              <w:rPr>
                <w:noProof/>
                <w:webHidden/>
              </w:rPr>
              <w:fldChar w:fldCharType="end"/>
            </w:r>
          </w:hyperlink>
        </w:p>
        <w:p w:rsidR="00103BD6" w:rsidRDefault="00E60297">
          <w:pPr>
            <w:pStyle w:val="TOC2"/>
            <w:tabs>
              <w:tab w:val="right" w:leader="dot" w:pos="9061"/>
            </w:tabs>
            <w:rPr>
              <w:rFonts w:asciiTheme="minorHAnsi" w:eastAsiaTheme="minorEastAsia" w:hAnsiTheme="minorHAnsi"/>
              <w:noProof/>
              <w:sz w:val="22"/>
              <w:lang w:eastAsia="lv-LV"/>
            </w:rPr>
          </w:pPr>
          <w:hyperlink w:anchor="_Toc400714687" w:history="1">
            <w:r w:rsidR="00103BD6" w:rsidRPr="00217793">
              <w:rPr>
                <w:rStyle w:val="Hyperlink"/>
                <w:rFonts w:cs="Times New Roman"/>
                <w:noProof/>
              </w:rPr>
              <w:t>6.2. Biodegvielas</w:t>
            </w:r>
            <w:r w:rsidR="00103BD6">
              <w:rPr>
                <w:noProof/>
                <w:webHidden/>
              </w:rPr>
              <w:tab/>
            </w:r>
            <w:r w:rsidR="00103BD6">
              <w:rPr>
                <w:noProof/>
                <w:webHidden/>
              </w:rPr>
              <w:fldChar w:fldCharType="begin"/>
            </w:r>
            <w:r w:rsidR="00103BD6">
              <w:rPr>
                <w:noProof/>
                <w:webHidden/>
              </w:rPr>
              <w:instrText xml:space="preserve"> PAGEREF _Toc400714687 \h </w:instrText>
            </w:r>
            <w:r w:rsidR="00103BD6">
              <w:rPr>
                <w:noProof/>
                <w:webHidden/>
              </w:rPr>
            </w:r>
            <w:r w:rsidR="00103BD6">
              <w:rPr>
                <w:noProof/>
                <w:webHidden/>
              </w:rPr>
              <w:fldChar w:fldCharType="separate"/>
            </w:r>
            <w:r w:rsidR="00422D8F">
              <w:rPr>
                <w:noProof/>
                <w:webHidden/>
              </w:rPr>
              <w:t>56</w:t>
            </w:r>
            <w:r w:rsidR="00103BD6">
              <w:rPr>
                <w:noProof/>
                <w:webHidden/>
              </w:rPr>
              <w:fldChar w:fldCharType="end"/>
            </w:r>
          </w:hyperlink>
        </w:p>
        <w:p w:rsidR="00103BD6" w:rsidRDefault="00E60297">
          <w:pPr>
            <w:pStyle w:val="TOC2"/>
            <w:tabs>
              <w:tab w:val="right" w:leader="dot" w:pos="9061"/>
            </w:tabs>
            <w:rPr>
              <w:rFonts w:asciiTheme="minorHAnsi" w:eastAsiaTheme="minorEastAsia" w:hAnsiTheme="minorHAnsi"/>
              <w:noProof/>
              <w:sz w:val="22"/>
              <w:lang w:eastAsia="lv-LV"/>
            </w:rPr>
          </w:pPr>
          <w:hyperlink w:anchor="_Toc400714688" w:history="1">
            <w:r w:rsidR="00103BD6" w:rsidRPr="00217793">
              <w:rPr>
                <w:rStyle w:val="Hyperlink"/>
                <w:rFonts w:cs="Times New Roman"/>
                <w:noProof/>
              </w:rPr>
              <w:t>6.3. Enerģijas ražošana no atjaunojamiem energoresursiem un patēriņš</w:t>
            </w:r>
            <w:r w:rsidR="00103BD6">
              <w:rPr>
                <w:noProof/>
                <w:webHidden/>
              </w:rPr>
              <w:tab/>
            </w:r>
            <w:r w:rsidR="00103BD6">
              <w:rPr>
                <w:noProof/>
                <w:webHidden/>
              </w:rPr>
              <w:fldChar w:fldCharType="begin"/>
            </w:r>
            <w:r w:rsidR="00103BD6">
              <w:rPr>
                <w:noProof/>
                <w:webHidden/>
              </w:rPr>
              <w:instrText xml:space="preserve"> PAGEREF _Toc400714688 \h </w:instrText>
            </w:r>
            <w:r w:rsidR="00103BD6">
              <w:rPr>
                <w:noProof/>
                <w:webHidden/>
              </w:rPr>
            </w:r>
            <w:r w:rsidR="00103BD6">
              <w:rPr>
                <w:noProof/>
                <w:webHidden/>
              </w:rPr>
              <w:fldChar w:fldCharType="separate"/>
            </w:r>
            <w:r w:rsidR="00422D8F">
              <w:rPr>
                <w:noProof/>
                <w:webHidden/>
              </w:rPr>
              <w:t>59</w:t>
            </w:r>
            <w:r w:rsidR="00103BD6">
              <w:rPr>
                <w:noProof/>
                <w:webHidden/>
              </w:rPr>
              <w:fldChar w:fldCharType="end"/>
            </w:r>
          </w:hyperlink>
        </w:p>
        <w:p w:rsidR="00103BD6" w:rsidRDefault="00E60297">
          <w:pPr>
            <w:pStyle w:val="TOC2"/>
            <w:tabs>
              <w:tab w:val="right" w:leader="dot" w:pos="9061"/>
            </w:tabs>
            <w:rPr>
              <w:rFonts w:asciiTheme="minorHAnsi" w:eastAsiaTheme="minorEastAsia" w:hAnsiTheme="minorHAnsi"/>
              <w:noProof/>
              <w:sz w:val="22"/>
              <w:lang w:eastAsia="lv-LV"/>
            </w:rPr>
          </w:pPr>
          <w:hyperlink w:anchor="_Toc400714689" w:history="1">
            <w:r w:rsidR="00103BD6" w:rsidRPr="00217793">
              <w:rPr>
                <w:rStyle w:val="Hyperlink"/>
                <w:rFonts w:cs="Times New Roman"/>
                <w:noProof/>
              </w:rPr>
              <w:t>6.4. Elektroenerģijas obligātais iepirkums, subsidētās elektroenerģijas nodoklis</w:t>
            </w:r>
            <w:r w:rsidR="00103BD6">
              <w:rPr>
                <w:noProof/>
                <w:webHidden/>
              </w:rPr>
              <w:tab/>
            </w:r>
            <w:r w:rsidR="00103BD6">
              <w:rPr>
                <w:noProof/>
                <w:webHidden/>
              </w:rPr>
              <w:fldChar w:fldCharType="begin"/>
            </w:r>
            <w:r w:rsidR="00103BD6">
              <w:rPr>
                <w:noProof/>
                <w:webHidden/>
              </w:rPr>
              <w:instrText xml:space="preserve"> PAGEREF _Toc400714689 \h </w:instrText>
            </w:r>
            <w:r w:rsidR="00103BD6">
              <w:rPr>
                <w:noProof/>
                <w:webHidden/>
              </w:rPr>
            </w:r>
            <w:r w:rsidR="00103BD6">
              <w:rPr>
                <w:noProof/>
                <w:webHidden/>
              </w:rPr>
              <w:fldChar w:fldCharType="separate"/>
            </w:r>
            <w:r w:rsidR="00422D8F">
              <w:rPr>
                <w:noProof/>
                <w:webHidden/>
              </w:rPr>
              <w:t>61</w:t>
            </w:r>
            <w:r w:rsidR="00103BD6">
              <w:rPr>
                <w:noProof/>
                <w:webHidden/>
              </w:rPr>
              <w:fldChar w:fldCharType="end"/>
            </w:r>
          </w:hyperlink>
        </w:p>
        <w:p w:rsidR="00103BD6" w:rsidRDefault="00E60297">
          <w:pPr>
            <w:pStyle w:val="TOC2"/>
            <w:tabs>
              <w:tab w:val="right" w:leader="dot" w:pos="9061"/>
            </w:tabs>
            <w:rPr>
              <w:rFonts w:asciiTheme="minorHAnsi" w:eastAsiaTheme="minorEastAsia" w:hAnsiTheme="minorHAnsi"/>
              <w:noProof/>
              <w:sz w:val="22"/>
              <w:lang w:eastAsia="lv-LV"/>
            </w:rPr>
          </w:pPr>
          <w:hyperlink w:anchor="_Toc400714690" w:history="1">
            <w:r w:rsidR="00103BD6" w:rsidRPr="00217793">
              <w:rPr>
                <w:rStyle w:val="Hyperlink"/>
                <w:rFonts w:cs="Times New Roman"/>
                <w:noProof/>
              </w:rPr>
              <w:t>6.5. Investīciju atbalsts</w:t>
            </w:r>
            <w:r w:rsidR="00103BD6">
              <w:rPr>
                <w:noProof/>
                <w:webHidden/>
              </w:rPr>
              <w:tab/>
            </w:r>
            <w:r w:rsidR="00103BD6">
              <w:rPr>
                <w:noProof/>
                <w:webHidden/>
              </w:rPr>
              <w:fldChar w:fldCharType="begin"/>
            </w:r>
            <w:r w:rsidR="00103BD6">
              <w:rPr>
                <w:noProof/>
                <w:webHidden/>
              </w:rPr>
              <w:instrText xml:space="preserve"> PAGEREF _Toc400714690 \h </w:instrText>
            </w:r>
            <w:r w:rsidR="00103BD6">
              <w:rPr>
                <w:noProof/>
                <w:webHidden/>
              </w:rPr>
            </w:r>
            <w:r w:rsidR="00103BD6">
              <w:rPr>
                <w:noProof/>
                <w:webHidden/>
              </w:rPr>
              <w:fldChar w:fldCharType="separate"/>
            </w:r>
            <w:r w:rsidR="00422D8F">
              <w:rPr>
                <w:noProof/>
                <w:webHidden/>
              </w:rPr>
              <w:t>63</w:t>
            </w:r>
            <w:r w:rsidR="00103BD6">
              <w:rPr>
                <w:noProof/>
                <w:webHidden/>
              </w:rPr>
              <w:fldChar w:fldCharType="end"/>
            </w:r>
          </w:hyperlink>
        </w:p>
        <w:p w:rsidR="00103BD6" w:rsidRDefault="00E60297">
          <w:pPr>
            <w:pStyle w:val="TOC1"/>
            <w:tabs>
              <w:tab w:val="right" w:leader="dot" w:pos="9061"/>
            </w:tabs>
            <w:rPr>
              <w:rFonts w:asciiTheme="minorHAnsi" w:eastAsiaTheme="minorEastAsia" w:hAnsiTheme="minorHAnsi"/>
              <w:noProof/>
              <w:sz w:val="22"/>
              <w:lang w:eastAsia="lv-LV"/>
            </w:rPr>
          </w:pPr>
          <w:hyperlink w:anchor="_Toc400714691" w:history="1">
            <w:r w:rsidR="00103BD6" w:rsidRPr="00217793">
              <w:rPr>
                <w:rStyle w:val="Hyperlink"/>
                <w:noProof/>
              </w:rPr>
              <w:t>7. Energoefektivitāte</w:t>
            </w:r>
            <w:r w:rsidR="00103BD6">
              <w:rPr>
                <w:noProof/>
                <w:webHidden/>
              </w:rPr>
              <w:tab/>
            </w:r>
            <w:r w:rsidR="00103BD6">
              <w:rPr>
                <w:noProof/>
                <w:webHidden/>
              </w:rPr>
              <w:fldChar w:fldCharType="begin"/>
            </w:r>
            <w:r w:rsidR="00103BD6">
              <w:rPr>
                <w:noProof/>
                <w:webHidden/>
              </w:rPr>
              <w:instrText xml:space="preserve"> PAGEREF _Toc400714691 \h </w:instrText>
            </w:r>
            <w:r w:rsidR="00103BD6">
              <w:rPr>
                <w:noProof/>
                <w:webHidden/>
              </w:rPr>
            </w:r>
            <w:r w:rsidR="00103BD6">
              <w:rPr>
                <w:noProof/>
                <w:webHidden/>
              </w:rPr>
              <w:fldChar w:fldCharType="separate"/>
            </w:r>
            <w:r w:rsidR="00422D8F">
              <w:rPr>
                <w:noProof/>
                <w:webHidden/>
              </w:rPr>
              <w:t>64</w:t>
            </w:r>
            <w:r w:rsidR="00103BD6">
              <w:rPr>
                <w:noProof/>
                <w:webHidden/>
              </w:rPr>
              <w:fldChar w:fldCharType="end"/>
            </w:r>
          </w:hyperlink>
        </w:p>
        <w:p w:rsidR="00103BD6" w:rsidRDefault="00E60297">
          <w:pPr>
            <w:pStyle w:val="TOC2"/>
            <w:tabs>
              <w:tab w:val="right" w:leader="dot" w:pos="9061"/>
            </w:tabs>
            <w:rPr>
              <w:rFonts w:asciiTheme="minorHAnsi" w:eastAsiaTheme="minorEastAsia" w:hAnsiTheme="minorHAnsi"/>
              <w:noProof/>
              <w:sz w:val="22"/>
              <w:lang w:eastAsia="lv-LV"/>
            </w:rPr>
          </w:pPr>
          <w:hyperlink w:anchor="_Toc400714692" w:history="1">
            <w:r w:rsidR="00103BD6" w:rsidRPr="00217793">
              <w:rPr>
                <w:rStyle w:val="Hyperlink"/>
                <w:rFonts w:cs="Times New Roman"/>
                <w:noProof/>
              </w:rPr>
              <w:t>7.2. Energoefektivitāte apstrādes rūpniecībā</w:t>
            </w:r>
            <w:r w:rsidR="00103BD6">
              <w:rPr>
                <w:noProof/>
                <w:webHidden/>
              </w:rPr>
              <w:tab/>
            </w:r>
            <w:r w:rsidR="00103BD6">
              <w:rPr>
                <w:noProof/>
                <w:webHidden/>
              </w:rPr>
              <w:fldChar w:fldCharType="begin"/>
            </w:r>
            <w:r w:rsidR="00103BD6">
              <w:rPr>
                <w:noProof/>
                <w:webHidden/>
              </w:rPr>
              <w:instrText xml:space="preserve"> PAGEREF _Toc400714692 \h </w:instrText>
            </w:r>
            <w:r w:rsidR="00103BD6">
              <w:rPr>
                <w:noProof/>
                <w:webHidden/>
              </w:rPr>
            </w:r>
            <w:r w:rsidR="00103BD6">
              <w:rPr>
                <w:noProof/>
                <w:webHidden/>
              </w:rPr>
              <w:fldChar w:fldCharType="separate"/>
            </w:r>
            <w:r w:rsidR="00422D8F">
              <w:rPr>
                <w:noProof/>
                <w:webHidden/>
              </w:rPr>
              <w:t>65</w:t>
            </w:r>
            <w:r w:rsidR="00103BD6">
              <w:rPr>
                <w:noProof/>
                <w:webHidden/>
              </w:rPr>
              <w:fldChar w:fldCharType="end"/>
            </w:r>
          </w:hyperlink>
        </w:p>
        <w:p w:rsidR="00103BD6" w:rsidRDefault="00E60297">
          <w:pPr>
            <w:pStyle w:val="TOC2"/>
            <w:tabs>
              <w:tab w:val="right" w:leader="dot" w:pos="9061"/>
            </w:tabs>
            <w:rPr>
              <w:rFonts w:asciiTheme="minorHAnsi" w:eastAsiaTheme="minorEastAsia" w:hAnsiTheme="minorHAnsi"/>
              <w:noProof/>
              <w:sz w:val="22"/>
              <w:lang w:eastAsia="lv-LV"/>
            </w:rPr>
          </w:pPr>
          <w:hyperlink w:anchor="_Toc400714693" w:history="1">
            <w:r w:rsidR="00103BD6" w:rsidRPr="00217793">
              <w:rPr>
                <w:rStyle w:val="Hyperlink"/>
                <w:rFonts w:cs="Times New Roman"/>
                <w:noProof/>
              </w:rPr>
              <w:t>7.3. Ēku energoefektivitāte</w:t>
            </w:r>
            <w:r w:rsidR="00103BD6">
              <w:rPr>
                <w:noProof/>
                <w:webHidden/>
              </w:rPr>
              <w:tab/>
            </w:r>
            <w:r w:rsidR="00103BD6">
              <w:rPr>
                <w:noProof/>
                <w:webHidden/>
              </w:rPr>
              <w:fldChar w:fldCharType="begin"/>
            </w:r>
            <w:r w:rsidR="00103BD6">
              <w:rPr>
                <w:noProof/>
                <w:webHidden/>
              </w:rPr>
              <w:instrText xml:space="preserve"> PAGEREF _Toc400714693 \h </w:instrText>
            </w:r>
            <w:r w:rsidR="00103BD6">
              <w:rPr>
                <w:noProof/>
                <w:webHidden/>
              </w:rPr>
            </w:r>
            <w:r w:rsidR="00103BD6">
              <w:rPr>
                <w:noProof/>
                <w:webHidden/>
              </w:rPr>
              <w:fldChar w:fldCharType="separate"/>
            </w:r>
            <w:r w:rsidR="00422D8F">
              <w:rPr>
                <w:noProof/>
                <w:webHidden/>
              </w:rPr>
              <w:t>65</w:t>
            </w:r>
            <w:r w:rsidR="00103BD6">
              <w:rPr>
                <w:noProof/>
                <w:webHidden/>
              </w:rPr>
              <w:fldChar w:fldCharType="end"/>
            </w:r>
          </w:hyperlink>
        </w:p>
        <w:p w:rsidR="00103BD6" w:rsidRDefault="00E60297">
          <w:pPr>
            <w:pStyle w:val="TOC3"/>
            <w:tabs>
              <w:tab w:val="right" w:leader="dot" w:pos="9061"/>
            </w:tabs>
            <w:rPr>
              <w:rFonts w:asciiTheme="minorHAnsi" w:eastAsiaTheme="minorEastAsia" w:hAnsiTheme="minorHAnsi"/>
              <w:noProof/>
              <w:sz w:val="22"/>
              <w:lang w:eastAsia="lv-LV"/>
            </w:rPr>
          </w:pPr>
          <w:hyperlink w:anchor="_Toc400714694" w:history="1">
            <w:r w:rsidR="00103BD6" w:rsidRPr="00217793">
              <w:rPr>
                <w:rStyle w:val="Hyperlink"/>
                <w:rFonts w:cs="Times New Roman"/>
                <w:noProof/>
              </w:rPr>
              <w:t>7.3.1.. Energoefektivitāte valsts un dzīvojamās ēkās</w:t>
            </w:r>
            <w:r w:rsidR="00103BD6">
              <w:rPr>
                <w:noProof/>
                <w:webHidden/>
              </w:rPr>
              <w:tab/>
            </w:r>
            <w:r w:rsidR="00103BD6">
              <w:rPr>
                <w:noProof/>
                <w:webHidden/>
              </w:rPr>
              <w:fldChar w:fldCharType="begin"/>
            </w:r>
            <w:r w:rsidR="00103BD6">
              <w:rPr>
                <w:noProof/>
                <w:webHidden/>
              </w:rPr>
              <w:instrText xml:space="preserve"> PAGEREF _Toc400714694 \h </w:instrText>
            </w:r>
            <w:r w:rsidR="00103BD6">
              <w:rPr>
                <w:noProof/>
                <w:webHidden/>
              </w:rPr>
            </w:r>
            <w:r w:rsidR="00103BD6">
              <w:rPr>
                <w:noProof/>
                <w:webHidden/>
              </w:rPr>
              <w:fldChar w:fldCharType="separate"/>
            </w:r>
            <w:r w:rsidR="00422D8F">
              <w:rPr>
                <w:noProof/>
                <w:webHidden/>
              </w:rPr>
              <w:t>65</w:t>
            </w:r>
            <w:r w:rsidR="00103BD6">
              <w:rPr>
                <w:noProof/>
                <w:webHidden/>
              </w:rPr>
              <w:fldChar w:fldCharType="end"/>
            </w:r>
          </w:hyperlink>
        </w:p>
        <w:p w:rsidR="00103BD6" w:rsidRDefault="00E60297">
          <w:pPr>
            <w:pStyle w:val="TOC3"/>
            <w:tabs>
              <w:tab w:val="right" w:leader="dot" w:pos="9061"/>
            </w:tabs>
            <w:rPr>
              <w:rFonts w:asciiTheme="minorHAnsi" w:eastAsiaTheme="minorEastAsia" w:hAnsiTheme="minorHAnsi"/>
              <w:noProof/>
              <w:sz w:val="22"/>
              <w:lang w:eastAsia="lv-LV"/>
            </w:rPr>
          </w:pPr>
          <w:hyperlink w:anchor="_Toc400714695" w:history="1">
            <w:r w:rsidR="00103BD6" w:rsidRPr="00217793">
              <w:rPr>
                <w:rStyle w:val="Hyperlink"/>
                <w:rFonts w:cs="Times New Roman"/>
                <w:noProof/>
              </w:rPr>
              <w:t>7.3.2. Energoefektivitā tes paaugstināšana pašvaldību ēkās</w:t>
            </w:r>
            <w:r w:rsidR="00103BD6">
              <w:rPr>
                <w:noProof/>
                <w:webHidden/>
              </w:rPr>
              <w:tab/>
            </w:r>
            <w:r w:rsidR="00103BD6">
              <w:rPr>
                <w:noProof/>
                <w:webHidden/>
              </w:rPr>
              <w:fldChar w:fldCharType="begin"/>
            </w:r>
            <w:r w:rsidR="00103BD6">
              <w:rPr>
                <w:noProof/>
                <w:webHidden/>
              </w:rPr>
              <w:instrText xml:space="preserve"> PAGEREF _Toc400714695 \h </w:instrText>
            </w:r>
            <w:r w:rsidR="00103BD6">
              <w:rPr>
                <w:noProof/>
                <w:webHidden/>
              </w:rPr>
            </w:r>
            <w:r w:rsidR="00103BD6">
              <w:rPr>
                <w:noProof/>
                <w:webHidden/>
              </w:rPr>
              <w:fldChar w:fldCharType="separate"/>
            </w:r>
            <w:r w:rsidR="00422D8F">
              <w:rPr>
                <w:noProof/>
                <w:webHidden/>
              </w:rPr>
              <w:t>66</w:t>
            </w:r>
            <w:r w:rsidR="00103BD6">
              <w:rPr>
                <w:noProof/>
                <w:webHidden/>
              </w:rPr>
              <w:fldChar w:fldCharType="end"/>
            </w:r>
          </w:hyperlink>
        </w:p>
        <w:p w:rsidR="00103BD6" w:rsidRDefault="00E60297">
          <w:pPr>
            <w:pStyle w:val="TOC3"/>
            <w:tabs>
              <w:tab w:val="right" w:leader="dot" w:pos="9061"/>
            </w:tabs>
            <w:rPr>
              <w:rFonts w:asciiTheme="minorHAnsi" w:eastAsiaTheme="minorEastAsia" w:hAnsiTheme="minorHAnsi"/>
              <w:noProof/>
              <w:sz w:val="22"/>
              <w:lang w:eastAsia="lv-LV"/>
            </w:rPr>
          </w:pPr>
          <w:hyperlink w:anchor="_Toc400714696" w:history="1">
            <w:r w:rsidR="00103BD6" w:rsidRPr="00217793">
              <w:rPr>
                <w:rStyle w:val="Hyperlink"/>
                <w:rFonts w:cs="Times New Roman"/>
                <w:noProof/>
              </w:rPr>
              <w:t>7.3.3  Siltumtrašu rekonstrukciju un pāreja uz AER katlu mājās</w:t>
            </w:r>
            <w:r w:rsidR="00103BD6">
              <w:rPr>
                <w:noProof/>
                <w:webHidden/>
              </w:rPr>
              <w:tab/>
            </w:r>
            <w:r w:rsidR="00103BD6">
              <w:rPr>
                <w:noProof/>
                <w:webHidden/>
              </w:rPr>
              <w:fldChar w:fldCharType="begin"/>
            </w:r>
            <w:r w:rsidR="00103BD6">
              <w:rPr>
                <w:noProof/>
                <w:webHidden/>
              </w:rPr>
              <w:instrText xml:space="preserve"> PAGEREF _Toc400714696 \h </w:instrText>
            </w:r>
            <w:r w:rsidR="00103BD6">
              <w:rPr>
                <w:noProof/>
                <w:webHidden/>
              </w:rPr>
            </w:r>
            <w:r w:rsidR="00103BD6">
              <w:rPr>
                <w:noProof/>
                <w:webHidden/>
              </w:rPr>
              <w:fldChar w:fldCharType="separate"/>
            </w:r>
            <w:r w:rsidR="00422D8F">
              <w:rPr>
                <w:noProof/>
                <w:webHidden/>
              </w:rPr>
              <w:t>66</w:t>
            </w:r>
            <w:r w:rsidR="00103BD6">
              <w:rPr>
                <w:noProof/>
                <w:webHidden/>
              </w:rPr>
              <w:fldChar w:fldCharType="end"/>
            </w:r>
          </w:hyperlink>
        </w:p>
        <w:p w:rsidR="00103BD6" w:rsidRDefault="00E60297">
          <w:pPr>
            <w:pStyle w:val="TOC1"/>
            <w:tabs>
              <w:tab w:val="right" w:leader="dot" w:pos="9061"/>
            </w:tabs>
            <w:rPr>
              <w:rFonts w:asciiTheme="minorHAnsi" w:eastAsiaTheme="minorEastAsia" w:hAnsiTheme="minorHAnsi"/>
              <w:noProof/>
              <w:sz w:val="22"/>
              <w:lang w:eastAsia="lv-LV"/>
            </w:rPr>
          </w:pPr>
          <w:hyperlink w:anchor="_Toc400714697" w:history="1">
            <w:r w:rsidR="00103BD6" w:rsidRPr="00217793">
              <w:rPr>
                <w:rStyle w:val="Hyperlink"/>
                <w:noProof/>
              </w:rPr>
              <w:t>8. Zemes dzīļu izmantošana</w:t>
            </w:r>
            <w:r w:rsidR="00103BD6">
              <w:rPr>
                <w:noProof/>
                <w:webHidden/>
              </w:rPr>
              <w:tab/>
            </w:r>
            <w:r w:rsidR="00103BD6">
              <w:rPr>
                <w:noProof/>
                <w:webHidden/>
              </w:rPr>
              <w:fldChar w:fldCharType="begin"/>
            </w:r>
            <w:r w:rsidR="00103BD6">
              <w:rPr>
                <w:noProof/>
                <w:webHidden/>
              </w:rPr>
              <w:instrText xml:space="preserve"> PAGEREF _Toc400714697 \h </w:instrText>
            </w:r>
            <w:r w:rsidR="00103BD6">
              <w:rPr>
                <w:noProof/>
                <w:webHidden/>
              </w:rPr>
            </w:r>
            <w:r w:rsidR="00103BD6">
              <w:rPr>
                <w:noProof/>
                <w:webHidden/>
              </w:rPr>
              <w:fldChar w:fldCharType="separate"/>
            </w:r>
            <w:r w:rsidR="00422D8F">
              <w:rPr>
                <w:noProof/>
                <w:webHidden/>
              </w:rPr>
              <w:t>66</w:t>
            </w:r>
            <w:r w:rsidR="00103BD6">
              <w:rPr>
                <w:noProof/>
                <w:webHidden/>
              </w:rPr>
              <w:fldChar w:fldCharType="end"/>
            </w:r>
          </w:hyperlink>
        </w:p>
        <w:p w:rsidR="00103BD6" w:rsidRDefault="00E60297">
          <w:pPr>
            <w:pStyle w:val="TOC2"/>
            <w:tabs>
              <w:tab w:val="right" w:leader="dot" w:pos="9061"/>
            </w:tabs>
            <w:rPr>
              <w:rFonts w:asciiTheme="minorHAnsi" w:eastAsiaTheme="minorEastAsia" w:hAnsiTheme="minorHAnsi"/>
              <w:noProof/>
              <w:sz w:val="22"/>
              <w:lang w:eastAsia="lv-LV"/>
            </w:rPr>
          </w:pPr>
          <w:hyperlink w:anchor="_Toc400714698" w:history="1">
            <w:r w:rsidR="00103BD6" w:rsidRPr="00217793">
              <w:rPr>
                <w:rStyle w:val="Hyperlink"/>
                <w:rFonts w:eastAsia="Times New Roman" w:cs="Times New Roman"/>
                <w:noProof/>
              </w:rPr>
              <w:t>8.1. Naftas ieguve</w:t>
            </w:r>
            <w:r w:rsidR="00103BD6">
              <w:rPr>
                <w:noProof/>
                <w:webHidden/>
              </w:rPr>
              <w:tab/>
            </w:r>
            <w:r w:rsidR="00103BD6">
              <w:rPr>
                <w:noProof/>
                <w:webHidden/>
              </w:rPr>
              <w:fldChar w:fldCharType="begin"/>
            </w:r>
            <w:r w:rsidR="00103BD6">
              <w:rPr>
                <w:noProof/>
                <w:webHidden/>
              </w:rPr>
              <w:instrText xml:space="preserve"> PAGEREF _Toc400714698 \h </w:instrText>
            </w:r>
            <w:r w:rsidR="00103BD6">
              <w:rPr>
                <w:noProof/>
                <w:webHidden/>
              </w:rPr>
            </w:r>
            <w:r w:rsidR="00103BD6">
              <w:rPr>
                <w:noProof/>
                <w:webHidden/>
              </w:rPr>
              <w:fldChar w:fldCharType="separate"/>
            </w:r>
            <w:r w:rsidR="00422D8F">
              <w:rPr>
                <w:noProof/>
                <w:webHidden/>
              </w:rPr>
              <w:t>66</w:t>
            </w:r>
            <w:r w:rsidR="00103BD6">
              <w:rPr>
                <w:noProof/>
                <w:webHidden/>
              </w:rPr>
              <w:fldChar w:fldCharType="end"/>
            </w:r>
          </w:hyperlink>
        </w:p>
        <w:p w:rsidR="00103BD6" w:rsidRDefault="00E60297">
          <w:pPr>
            <w:pStyle w:val="TOC2"/>
            <w:tabs>
              <w:tab w:val="right" w:leader="dot" w:pos="9061"/>
            </w:tabs>
            <w:rPr>
              <w:rFonts w:asciiTheme="minorHAnsi" w:eastAsiaTheme="minorEastAsia" w:hAnsiTheme="minorHAnsi"/>
              <w:noProof/>
              <w:sz w:val="22"/>
              <w:lang w:eastAsia="lv-LV"/>
            </w:rPr>
          </w:pPr>
          <w:hyperlink w:anchor="_Toc400714699" w:history="1">
            <w:r w:rsidR="00103BD6" w:rsidRPr="00217793">
              <w:rPr>
                <w:rStyle w:val="Hyperlink"/>
                <w:rFonts w:eastAsia="Calibri" w:cs="Times New Roman"/>
                <w:noProof/>
              </w:rPr>
              <w:t>8.2. Kūdras ieguve</w:t>
            </w:r>
            <w:r w:rsidR="00103BD6">
              <w:rPr>
                <w:noProof/>
                <w:webHidden/>
              </w:rPr>
              <w:tab/>
            </w:r>
            <w:r w:rsidR="00103BD6">
              <w:rPr>
                <w:noProof/>
                <w:webHidden/>
              </w:rPr>
              <w:fldChar w:fldCharType="begin"/>
            </w:r>
            <w:r w:rsidR="00103BD6">
              <w:rPr>
                <w:noProof/>
                <w:webHidden/>
              </w:rPr>
              <w:instrText xml:space="preserve"> PAGEREF _Toc400714699 \h </w:instrText>
            </w:r>
            <w:r w:rsidR="00103BD6">
              <w:rPr>
                <w:noProof/>
                <w:webHidden/>
              </w:rPr>
            </w:r>
            <w:r w:rsidR="00103BD6">
              <w:rPr>
                <w:noProof/>
                <w:webHidden/>
              </w:rPr>
              <w:fldChar w:fldCharType="separate"/>
            </w:r>
            <w:r w:rsidR="00422D8F">
              <w:rPr>
                <w:noProof/>
                <w:webHidden/>
              </w:rPr>
              <w:t>67</w:t>
            </w:r>
            <w:r w:rsidR="00103BD6">
              <w:rPr>
                <w:noProof/>
                <w:webHidden/>
              </w:rPr>
              <w:fldChar w:fldCharType="end"/>
            </w:r>
          </w:hyperlink>
        </w:p>
        <w:p w:rsidR="00103BD6" w:rsidRDefault="00E60297">
          <w:pPr>
            <w:pStyle w:val="TOC2"/>
            <w:tabs>
              <w:tab w:val="right" w:leader="dot" w:pos="9061"/>
            </w:tabs>
            <w:rPr>
              <w:rFonts w:asciiTheme="minorHAnsi" w:eastAsiaTheme="minorEastAsia" w:hAnsiTheme="minorHAnsi"/>
              <w:noProof/>
              <w:sz w:val="22"/>
              <w:lang w:eastAsia="lv-LV"/>
            </w:rPr>
          </w:pPr>
          <w:hyperlink w:anchor="_Toc400714700" w:history="1">
            <w:r w:rsidR="00103BD6" w:rsidRPr="00217793">
              <w:rPr>
                <w:rStyle w:val="Hyperlink"/>
                <w:rFonts w:eastAsia="Calibri" w:cs="Times New Roman"/>
                <w:noProof/>
              </w:rPr>
              <w:t>8.3. Slānekļa gāzes ieguve</w:t>
            </w:r>
            <w:r w:rsidR="00103BD6">
              <w:rPr>
                <w:noProof/>
                <w:webHidden/>
              </w:rPr>
              <w:tab/>
            </w:r>
            <w:r w:rsidR="00103BD6">
              <w:rPr>
                <w:noProof/>
                <w:webHidden/>
              </w:rPr>
              <w:fldChar w:fldCharType="begin"/>
            </w:r>
            <w:r w:rsidR="00103BD6">
              <w:rPr>
                <w:noProof/>
                <w:webHidden/>
              </w:rPr>
              <w:instrText xml:space="preserve"> PAGEREF _Toc400714700 \h </w:instrText>
            </w:r>
            <w:r w:rsidR="00103BD6">
              <w:rPr>
                <w:noProof/>
                <w:webHidden/>
              </w:rPr>
            </w:r>
            <w:r w:rsidR="00103BD6">
              <w:rPr>
                <w:noProof/>
                <w:webHidden/>
              </w:rPr>
              <w:fldChar w:fldCharType="separate"/>
            </w:r>
            <w:r w:rsidR="00422D8F">
              <w:rPr>
                <w:noProof/>
                <w:webHidden/>
              </w:rPr>
              <w:t>68</w:t>
            </w:r>
            <w:r w:rsidR="00103BD6">
              <w:rPr>
                <w:noProof/>
                <w:webHidden/>
              </w:rPr>
              <w:fldChar w:fldCharType="end"/>
            </w:r>
          </w:hyperlink>
        </w:p>
        <w:p w:rsidR="00103BD6" w:rsidRDefault="00E60297">
          <w:pPr>
            <w:pStyle w:val="TOC2"/>
            <w:tabs>
              <w:tab w:val="right" w:leader="dot" w:pos="9061"/>
            </w:tabs>
            <w:rPr>
              <w:rFonts w:asciiTheme="minorHAnsi" w:eastAsiaTheme="minorEastAsia" w:hAnsiTheme="minorHAnsi"/>
              <w:noProof/>
              <w:sz w:val="22"/>
              <w:lang w:eastAsia="lv-LV"/>
            </w:rPr>
          </w:pPr>
          <w:hyperlink w:anchor="_Toc400714701" w:history="1">
            <w:r w:rsidR="00103BD6" w:rsidRPr="00217793">
              <w:rPr>
                <w:rStyle w:val="Hyperlink"/>
                <w:rFonts w:cs="Times New Roman"/>
                <w:noProof/>
              </w:rPr>
              <w:t>8.4. Dabas gāzes uzglabāšanas iespējas</w:t>
            </w:r>
            <w:r w:rsidR="00103BD6">
              <w:rPr>
                <w:noProof/>
                <w:webHidden/>
              </w:rPr>
              <w:tab/>
            </w:r>
            <w:r w:rsidR="00103BD6">
              <w:rPr>
                <w:noProof/>
                <w:webHidden/>
              </w:rPr>
              <w:fldChar w:fldCharType="begin"/>
            </w:r>
            <w:r w:rsidR="00103BD6">
              <w:rPr>
                <w:noProof/>
                <w:webHidden/>
              </w:rPr>
              <w:instrText xml:space="preserve"> PAGEREF _Toc400714701 \h </w:instrText>
            </w:r>
            <w:r w:rsidR="00103BD6">
              <w:rPr>
                <w:noProof/>
                <w:webHidden/>
              </w:rPr>
            </w:r>
            <w:r w:rsidR="00103BD6">
              <w:rPr>
                <w:noProof/>
                <w:webHidden/>
              </w:rPr>
              <w:fldChar w:fldCharType="separate"/>
            </w:r>
            <w:r w:rsidR="00422D8F">
              <w:rPr>
                <w:noProof/>
                <w:webHidden/>
              </w:rPr>
              <w:t>68</w:t>
            </w:r>
            <w:r w:rsidR="00103BD6">
              <w:rPr>
                <w:noProof/>
                <w:webHidden/>
              </w:rPr>
              <w:fldChar w:fldCharType="end"/>
            </w:r>
          </w:hyperlink>
        </w:p>
        <w:p w:rsidR="00103BD6" w:rsidRDefault="00E60297">
          <w:pPr>
            <w:pStyle w:val="TOC1"/>
            <w:tabs>
              <w:tab w:val="right" w:leader="dot" w:pos="9061"/>
            </w:tabs>
            <w:rPr>
              <w:rFonts w:asciiTheme="minorHAnsi" w:eastAsiaTheme="minorEastAsia" w:hAnsiTheme="minorHAnsi"/>
              <w:noProof/>
              <w:sz w:val="22"/>
              <w:lang w:eastAsia="lv-LV"/>
            </w:rPr>
          </w:pPr>
          <w:hyperlink w:anchor="_Toc400714702" w:history="1">
            <w:r w:rsidR="00103BD6" w:rsidRPr="00217793">
              <w:rPr>
                <w:rStyle w:val="Hyperlink"/>
                <w:noProof/>
              </w:rPr>
              <w:t>9. Saikne ar horizontālajām politikām</w:t>
            </w:r>
            <w:r w:rsidR="00103BD6">
              <w:rPr>
                <w:noProof/>
                <w:webHidden/>
              </w:rPr>
              <w:tab/>
            </w:r>
            <w:r w:rsidR="00103BD6">
              <w:rPr>
                <w:noProof/>
                <w:webHidden/>
              </w:rPr>
              <w:fldChar w:fldCharType="begin"/>
            </w:r>
            <w:r w:rsidR="00103BD6">
              <w:rPr>
                <w:noProof/>
                <w:webHidden/>
              </w:rPr>
              <w:instrText xml:space="preserve"> PAGEREF _Toc400714702 \h </w:instrText>
            </w:r>
            <w:r w:rsidR="00103BD6">
              <w:rPr>
                <w:noProof/>
                <w:webHidden/>
              </w:rPr>
            </w:r>
            <w:r w:rsidR="00103BD6">
              <w:rPr>
                <w:noProof/>
                <w:webHidden/>
              </w:rPr>
              <w:fldChar w:fldCharType="separate"/>
            </w:r>
            <w:r w:rsidR="00422D8F">
              <w:rPr>
                <w:noProof/>
                <w:webHidden/>
              </w:rPr>
              <w:t>68</w:t>
            </w:r>
            <w:r w:rsidR="00103BD6">
              <w:rPr>
                <w:noProof/>
                <w:webHidden/>
              </w:rPr>
              <w:fldChar w:fldCharType="end"/>
            </w:r>
          </w:hyperlink>
        </w:p>
        <w:p w:rsidR="00103BD6" w:rsidRDefault="00E60297">
          <w:pPr>
            <w:pStyle w:val="TOC2"/>
            <w:tabs>
              <w:tab w:val="right" w:leader="dot" w:pos="9061"/>
            </w:tabs>
            <w:rPr>
              <w:rFonts w:asciiTheme="minorHAnsi" w:eastAsiaTheme="minorEastAsia" w:hAnsiTheme="minorHAnsi"/>
              <w:noProof/>
              <w:sz w:val="22"/>
              <w:lang w:eastAsia="lv-LV"/>
            </w:rPr>
          </w:pPr>
          <w:hyperlink w:anchor="_Toc400714703" w:history="1">
            <w:r w:rsidR="00103BD6" w:rsidRPr="00217793">
              <w:rPr>
                <w:rStyle w:val="Hyperlink"/>
                <w:rFonts w:cs="Times New Roman"/>
                <w:noProof/>
              </w:rPr>
              <w:t>9.1. Klimata politika</w:t>
            </w:r>
            <w:r w:rsidR="00103BD6">
              <w:rPr>
                <w:noProof/>
                <w:webHidden/>
              </w:rPr>
              <w:tab/>
            </w:r>
            <w:r w:rsidR="00103BD6">
              <w:rPr>
                <w:noProof/>
                <w:webHidden/>
              </w:rPr>
              <w:fldChar w:fldCharType="begin"/>
            </w:r>
            <w:r w:rsidR="00103BD6">
              <w:rPr>
                <w:noProof/>
                <w:webHidden/>
              </w:rPr>
              <w:instrText xml:space="preserve"> PAGEREF _Toc400714703 \h </w:instrText>
            </w:r>
            <w:r w:rsidR="00103BD6">
              <w:rPr>
                <w:noProof/>
                <w:webHidden/>
              </w:rPr>
            </w:r>
            <w:r w:rsidR="00103BD6">
              <w:rPr>
                <w:noProof/>
                <w:webHidden/>
              </w:rPr>
              <w:fldChar w:fldCharType="separate"/>
            </w:r>
            <w:r w:rsidR="00422D8F">
              <w:rPr>
                <w:noProof/>
                <w:webHidden/>
              </w:rPr>
              <w:t>68</w:t>
            </w:r>
            <w:r w:rsidR="00103BD6">
              <w:rPr>
                <w:noProof/>
                <w:webHidden/>
              </w:rPr>
              <w:fldChar w:fldCharType="end"/>
            </w:r>
          </w:hyperlink>
        </w:p>
        <w:p w:rsidR="00103BD6" w:rsidRDefault="00E60297">
          <w:pPr>
            <w:pStyle w:val="TOC2"/>
            <w:tabs>
              <w:tab w:val="right" w:leader="dot" w:pos="9061"/>
            </w:tabs>
            <w:rPr>
              <w:rFonts w:asciiTheme="minorHAnsi" w:eastAsiaTheme="minorEastAsia" w:hAnsiTheme="minorHAnsi"/>
              <w:noProof/>
              <w:sz w:val="22"/>
              <w:lang w:eastAsia="lv-LV"/>
            </w:rPr>
          </w:pPr>
          <w:hyperlink w:anchor="_Toc400714704" w:history="1">
            <w:r w:rsidR="00103BD6" w:rsidRPr="00217793">
              <w:rPr>
                <w:rStyle w:val="Hyperlink"/>
                <w:rFonts w:cs="Times New Roman"/>
                <w:noProof/>
              </w:rPr>
              <w:t>9.2. Transporta politika</w:t>
            </w:r>
            <w:r w:rsidR="00103BD6">
              <w:rPr>
                <w:noProof/>
                <w:webHidden/>
              </w:rPr>
              <w:tab/>
            </w:r>
            <w:r w:rsidR="00103BD6">
              <w:rPr>
                <w:noProof/>
                <w:webHidden/>
              </w:rPr>
              <w:fldChar w:fldCharType="begin"/>
            </w:r>
            <w:r w:rsidR="00103BD6">
              <w:rPr>
                <w:noProof/>
                <w:webHidden/>
              </w:rPr>
              <w:instrText xml:space="preserve"> PAGEREF _Toc400714704 \h </w:instrText>
            </w:r>
            <w:r w:rsidR="00103BD6">
              <w:rPr>
                <w:noProof/>
                <w:webHidden/>
              </w:rPr>
            </w:r>
            <w:r w:rsidR="00103BD6">
              <w:rPr>
                <w:noProof/>
                <w:webHidden/>
              </w:rPr>
              <w:fldChar w:fldCharType="separate"/>
            </w:r>
            <w:r w:rsidR="00422D8F">
              <w:rPr>
                <w:noProof/>
                <w:webHidden/>
              </w:rPr>
              <w:t>69</w:t>
            </w:r>
            <w:r w:rsidR="00103BD6">
              <w:rPr>
                <w:noProof/>
                <w:webHidden/>
              </w:rPr>
              <w:fldChar w:fldCharType="end"/>
            </w:r>
          </w:hyperlink>
        </w:p>
        <w:p w:rsidR="00103BD6" w:rsidRDefault="00E60297">
          <w:pPr>
            <w:pStyle w:val="TOC2"/>
            <w:tabs>
              <w:tab w:val="right" w:leader="dot" w:pos="9061"/>
            </w:tabs>
            <w:rPr>
              <w:rFonts w:asciiTheme="minorHAnsi" w:eastAsiaTheme="minorEastAsia" w:hAnsiTheme="minorHAnsi"/>
              <w:noProof/>
              <w:sz w:val="22"/>
              <w:lang w:eastAsia="lv-LV"/>
            </w:rPr>
          </w:pPr>
          <w:hyperlink w:anchor="_Toc400714705" w:history="1">
            <w:r w:rsidR="00103BD6" w:rsidRPr="00217793">
              <w:rPr>
                <w:rStyle w:val="Hyperlink"/>
                <w:rFonts w:cs="Times New Roman"/>
                <w:noProof/>
              </w:rPr>
              <w:t>9.3. Rūpniecības politika</w:t>
            </w:r>
            <w:r w:rsidR="00103BD6">
              <w:rPr>
                <w:noProof/>
                <w:webHidden/>
              </w:rPr>
              <w:tab/>
            </w:r>
            <w:r w:rsidR="00103BD6">
              <w:rPr>
                <w:noProof/>
                <w:webHidden/>
              </w:rPr>
              <w:fldChar w:fldCharType="begin"/>
            </w:r>
            <w:r w:rsidR="00103BD6">
              <w:rPr>
                <w:noProof/>
                <w:webHidden/>
              </w:rPr>
              <w:instrText xml:space="preserve"> PAGEREF _Toc400714705 \h </w:instrText>
            </w:r>
            <w:r w:rsidR="00103BD6">
              <w:rPr>
                <w:noProof/>
                <w:webHidden/>
              </w:rPr>
            </w:r>
            <w:r w:rsidR="00103BD6">
              <w:rPr>
                <w:noProof/>
                <w:webHidden/>
              </w:rPr>
              <w:fldChar w:fldCharType="separate"/>
            </w:r>
            <w:r w:rsidR="00422D8F">
              <w:rPr>
                <w:noProof/>
                <w:webHidden/>
              </w:rPr>
              <w:t>69</w:t>
            </w:r>
            <w:r w:rsidR="00103BD6">
              <w:rPr>
                <w:noProof/>
                <w:webHidden/>
              </w:rPr>
              <w:fldChar w:fldCharType="end"/>
            </w:r>
          </w:hyperlink>
        </w:p>
        <w:p w:rsidR="00103BD6" w:rsidRDefault="00E60297">
          <w:pPr>
            <w:pStyle w:val="TOC2"/>
            <w:tabs>
              <w:tab w:val="right" w:leader="dot" w:pos="9061"/>
            </w:tabs>
            <w:rPr>
              <w:rFonts w:asciiTheme="minorHAnsi" w:eastAsiaTheme="minorEastAsia" w:hAnsiTheme="minorHAnsi"/>
              <w:noProof/>
              <w:sz w:val="22"/>
              <w:lang w:eastAsia="lv-LV"/>
            </w:rPr>
          </w:pPr>
          <w:hyperlink w:anchor="_Toc400714706" w:history="1">
            <w:r w:rsidR="00103BD6" w:rsidRPr="00217793">
              <w:rPr>
                <w:rStyle w:val="Hyperlink"/>
                <w:rFonts w:cs="Times New Roman"/>
                <w:noProof/>
              </w:rPr>
              <w:t>9.4. Mežsaimniecība un lauksaimniecība</w:t>
            </w:r>
            <w:r w:rsidR="00103BD6">
              <w:rPr>
                <w:noProof/>
                <w:webHidden/>
              </w:rPr>
              <w:tab/>
            </w:r>
            <w:r w:rsidR="00103BD6">
              <w:rPr>
                <w:noProof/>
                <w:webHidden/>
              </w:rPr>
              <w:fldChar w:fldCharType="begin"/>
            </w:r>
            <w:r w:rsidR="00103BD6">
              <w:rPr>
                <w:noProof/>
                <w:webHidden/>
              </w:rPr>
              <w:instrText xml:space="preserve"> PAGEREF _Toc400714706 \h </w:instrText>
            </w:r>
            <w:r w:rsidR="00103BD6">
              <w:rPr>
                <w:noProof/>
                <w:webHidden/>
              </w:rPr>
            </w:r>
            <w:r w:rsidR="00103BD6">
              <w:rPr>
                <w:noProof/>
                <w:webHidden/>
              </w:rPr>
              <w:fldChar w:fldCharType="separate"/>
            </w:r>
            <w:r w:rsidR="00422D8F">
              <w:rPr>
                <w:noProof/>
                <w:webHidden/>
              </w:rPr>
              <w:t>70</w:t>
            </w:r>
            <w:r w:rsidR="00103BD6">
              <w:rPr>
                <w:noProof/>
                <w:webHidden/>
              </w:rPr>
              <w:fldChar w:fldCharType="end"/>
            </w:r>
          </w:hyperlink>
        </w:p>
        <w:p w:rsidR="00103BD6" w:rsidRDefault="00E60297">
          <w:pPr>
            <w:pStyle w:val="TOC2"/>
            <w:tabs>
              <w:tab w:val="right" w:leader="dot" w:pos="9061"/>
            </w:tabs>
            <w:rPr>
              <w:rFonts w:asciiTheme="minorHAnsi" w:eastAsiaTheme="minorEastAsia" w:hAnsiTheme="minorHAnsi"/>
              <w:noProof/>
              <w:sz w:val="22"/>
              <w:lang w:eastAsia="lv-LV"/>
            </w:rPr>
          </w:pPr>
          <w:hyperlink w:anchor="_Toc400714707" w:history="1">
            <w:r w:rsidR="00103BD6" w:rsidRPr="00217793">
              <w:rPr>
                <w:rStyle w:val="Hyperlink"/>
                <w:rFonts w:cs="Times New Roman"/>
                <w:noProof/>
              </w:rPr>
              <w:t>9.5. Pētniecība un attīstība</w:t>
            </w:r>
            <w:r w:rsidR="00103BD6">
              <w:rPr>
                <w:noProof/>
                <w:webHidden/>
              </w:rPr>
              <w:tab/>
            </w:r>
            <w:r w:rsidR="00103BD6">
              <w:rPr>
                <w:noProof/>
                <w:webHidden/>
              </w:rPr>
              <w:fldChar w:fldCharType="begin"/>
            </w:r>
            <w:r w:rsidR="00103BD6">
              <w:rPr>
                <w:noProof/>
                <w:webHidden/>
              </w:rPr>
              <w:instrText xml:space="preserve"> PAGEREF _Toc400714707 \h </w:instrText>
            </w:r>
            <w:r w:rsidR="00103BD6">
              <w:rPr>
                <w:noProof/>
                <w:webHidden/>
              </w:rPr>
            </w:r>
            <w:r w:rsidR="00103BD6">
              <w:rPr>
                <w:noProof/>
                <w:webHidden/>
              </w:rPr>
              <w:fldChar w:fldCharType="separate"/>
            </w:r>
            <w:r w:rsidR="00422D8F">
              <w:rPr>
                <w:noProof/>
                <w:webHidden/>
              </w:rPr>
              <w:t>71</w:t>
            </w:r>
            <w:r w:rsidR="00103BD6">
              <w:rPr>
                <w:noProof/>
                <w:webHidden/>
              </w:rPr>
              <w:fldChar w:fldCharType="end"/>
            </w:r>
          </w:hyperlink>
        </w:p>
        <w:p w:rsidR="00E62B3F" w:rsidRDefault="00E62B3F" w:rsidP="00E62B3F">
          <w:pPr>
            <w:jc w:val="center"/>
            <w:rPr>
              <w:noProof/>
            </w:rPr>
          </w:pPr>
          <w:r>
            <w:rPr>
              <w:b/>
              <w:bCs/>
              <w:noProof/>
            </w:rPr>
            <w:fldChar w:fldCharType="end"/>
          </w:r>
        </w:p>
      </w:sdtContent>
    </w:sdt>
    <w:p w:rsidR="00710F40" w:rsidRDefault="00DB3C30" w:rsidP="00DB3C30">
      <w:pPr>
        <w:rPr>
          <w:rFonts w:asciiTheme="majorHAnsi" w:hAnsiTheme="majorHAnsi"/>
          <w:color w:val="0070C0"/>
        </w:rPr>
      </w:pPr>
      <w:r>
        <w:rPr>
          <w:rFonts w:asciiTheme="majorHAnsi" w:hAnsiTheme="majorHAnsi"/>
          <w:color w:val="0070C0"/>
        </w:rPr>
        <w:t xml:space="preserve">           </w:t>
      </w:r>
      <w:r w:rsidR="00710F40">
        <w:rPr>
          <w:rFonts w:asciiTheme="majorHAnsi" w:hAnsiTheme="majorHAnsi"/>
          <w:color w:val="0070C0"/>
        </w:rPr>
        <w:t xml:space="preserve">    </w:t>
      </w:r>
      <w:r w:rsidR="00710F40">
        <w:rPr>
          <w:rFonts w:asciiTheme="majorHAnsi" w:hAnsiTheme="majorHAnsi"/>
          <w:color w:val="0070C0"/>
        </w:rPr>
        <w:tab/>
      </w:r>
      <w:r w:rsidR="00710F40">
        <w:rPr>
          <w:rFonts w:asciiTheme="majorHAnsi" w:hAnsiTheme="majorHAnsi"/>
          <w:color w:val="0070C0"/>
        </w:rPr>
        <w:tab/>
      </w:r>
      <w:r w:rsidR="00710F40">
        <w:rPr>
          <w:rFonts w:asciiTheme="majorHAnsi" w:hAnsiTheme="majorHAnsi"/>
          <w:color w:val="0070C0"/>
        </w:rPr>
        <w:tab/>
      </w:r>
      <w:r w:rsidR="00710F40">
        <w:rPr>
          <w:rFonts w:asciiTheme="majorHAnsi" w:hAnsiTheme="majorHAnsi"/>
          <w:color w:val="0070C0"/>
        </w:rPr>
        <w:tab/>
      </w:r>
      <w:r w:rsidR="00710F40">
        <w:rPr>
          <w:rFonts w:asciiTheme="majorHAnsi" w:hAnsiTheme="majorHAnsi"/>
          <w:color w:val="0070C0"/>
        </w:rPr>
        <w:tab/>
      </w:r>
      <w:r w:rsidR="00710F40">
        <w:rPr>
          <w:rFonts w:asciiTheme="majorHAnsi" w:hAnsiTheme="majorHAnsi"/>
          <w:color w:val="0070C0"/>
        </w:rPr>
        <w:tab/>
      </w:r>
      <w:r w:rsidR="00710F40">
        <w:rPr>
          <w:rFonts w:asciiTheme="majorHAnsi" w:hAnsiTheme="majorHAnsi"/>
          <w:color w:val="0070C0"/>
        </w:rPr>
        <w:tab/>
      </w:r>
      <w:r w:rsidR="00710F40">
        <w:rPr>
          <w:rFonts w:asciiTheme="majorHAnsi" w:hAnsiTheme="majorHAnsi"/>
          <w:color w:val="0070C0"/>
        </w:rPr>
        <w:tab/>
      </w:r>
    </w:p>
    <w:p w:rsidR="004D7376" w:rsidRDefault="004D7376">
      <w:pPr>
        <w:rPr>
          <w:rFonts w:eastAsia="Times New Roman" w:cs="Times New Roman"/>
          <w:b/>
          <w:bCs/>
          <w:kern w:val="36"/>
          <w:szCs w:val="28"/>
          <w:lang w:eastAsia="lv-LV"/>
        </w:rPr>
      </w:pPr>
      <w:r>
        <w:br w:type="page"/>
      </w:r>
      <w:bookmarkStart w:id="0" w:name="_GoBack"/>
      <w:bookmarkEnd w:id="0"/>
    </w:p>
    <w:p w:rsidR="00CA2AE4" w:rsidRPr="00834B2A" w:rsidRDefault="007E7903" w:rsidP="00562BCC">
      <w:pPr>
        <w:pStyle w:val="Heading1"/>
        <w:numPr>
          <w:ilvl w:val="0"/>
          <w:numId w:val="6"/>
        </w:numPr>
      </w:pPr>
      <w:bookmarkStart w:id="1" w:name="_Toc400714647"/>
      <w:r w:rsidRPr="00834B2A">
        <w:lastRenderedPageBreak/>
        <w:t>Primārie energoresursi</w:t>
      </w:r>
      <w:bookmarkEnd w:id="1"/>
    </w:p>
    <w:p w:rsidR="0048773B" w:rsidRPr="00834B2A" w:rsidRDefault="0048773B" w:rsidP="00562BCC">
      <w:pPr>
        <w:pStyle w:val="Heading2"/>
        <w:numPr>
          <w:ilvl w:val="1"/>
          <w:numId w:val="6"/>
        </w:numPr>
        <w:rPr>
          <w:rFonts w:ascii="Times New Roman" w:eastAsia="Times New Roman" w:hAnsi="Times New Roman" w:cs="Times New Roman"/>
          <w:color w:val="auto"/>
          <w:sz w:val="28"/>
          <w:szCs w:val="28"/>
        </w:rPr>
      </w:pPr>
      <w:bookmarkStart w:id="2" w:name="_Toc400714648"/>
      <w:r w:rsidRPr="00834B2A">
        <w:rPr>
          <w:rFonts w:ascii="Times New Roman" w:eastAsia="Times New Roman" w:hAnsi="Times New Roman" w:cs="Times New Roman"/>
          <w:color w:val="auto"/>
          <w:sz w:val="28"/>
          <w:szCs w:val="28"/>
        </w:rPr>
        <w:t>Nodrošinājums ar primārajiem resursiem</w:t>
      </w:r>
      <w:bookmarkEnd w:id="2"/>
      <w:r w:rsidRPr="00834B2A">
        <w:rPr>
          <w:rFonts w:ascii="Times New Roman" w:eastAsia="Times New Roman" w:hAnsi="Times New Roman" w:cs="Times New Roman"/>
          <w:color w:val="auto"/>
          <w:sz w:val="28"/>
          <w:szCs w:val="28"/>
        </w:rPr>
        <w:t xml:space="preserve"> </w:t>
      </w:r>
    </w:p>
    <w:p w:rsidR="000B56E9" w:rsidRDefault="000B56E9" w:rsidP="002E749F">
      <w:pPr>
        <w:ind w:firstLine="720"/>
        <w:jc w:val="both"/>
        <w:rPr>
          <w:rFonts w:eastAsia="Times New Roman" w:cs="Times New Roman"/>
          <w:szCs w:val="28"/>
        </w:rPr>
      </w:pPr>
      <w:r w:rsidRPr="000B56E9">
        <w:rPr>
          <w:rFonts w:eastAsia="Times New Roman" w:cs="Times New Roman"/>
          <w:szCs w:val="28"/>
        </w:rPr>
        <w:t xml:space="preserve">Latvijā izmanto importētos (dabasgāze, elektroenerģija, naftas produkti, ogles, kokss </w:t>
      </w:r>
      <w:proofErr w:type="spellStart"/>
      <w:r w:rsidRPr="000B56E9">
        <w:rPr>
          <w:rFonts w:eastAsia="Times New Roman" w:cs="Times New Roman"/>
          <w:szCs w:val="28"/>
        </w:rPr>
        <w:t>u.c</w:t>
      </w:r>
      <w:proofErr w:type="spellEnd"/>
      <w:r w:rsidRPr="000B56E9">
        <w:rPr>
          <w:rFonts w:eastAsia="Times New Roman" w:cs="Times New Roman"/>
          <w:szCs w:val="28"/>
        </w:rPr>
        <w:t>.) un vietējos (hidroenerģija, vēja enerģija, kurināmā koksne, kokogles, salmi, cita biomasa, biogāze, bioetanols, biodīzeļdegviela, kūdra, nolietotās riepas, sadzīves atkritumi kurināšanai) energoresursus tautsaimniecības nozaru, komerciālo lietotāju un iedzīvotāju nodrošināšanai ar kurināmo, elektroenerģiju un siltumenerģiju.</w:t>
      </w:r>
    </w:p>
    <w:p w:rsidR="00B23626" w:rsidRDefault="0070076F" w:rsidP="002E749F">
      <w:pPr>
        <w:ind w:firstLine="720"/>
        <w:jc w:val="both"/>
        <w:rPr>
          <w:rFonts w:eastAsia="Times New Roman" w:cs="Times New Roman"/>
          <w:szCs w:val="28"/>
        </w:rPr>
      </w:pPr>
      <w:r>
        <w:rPr>
          <w:rFonts w:eastAsia="Times New Roman" w:cs="Times New Roman"/>
          <w:szCs w:val="28"/>
        </w:rPr>
        <w:t xml:space="preserve">2012.gadā </w:t>
      </w:r>
      <w:r w:rsidR="000753E5">
        <w:rPr>
          <w:rFonts w:eastAsia="Times New Roman" w:cs="Times New Roman"/>
          <w:szCs w:val="28"/>
        </w:rPr>
        <w:t>vietējie energoresursi nodrošināja 3</w:t>
      </w:r>
      <w:r w:rsidR="00180921">
        <w:rPr>
          <w:rFonts w:eastAsia="Times New Roman" w:cs="Times New Roman"/>
          <w:szCs w:val="28"/>
        </w:rPr>
        <w:t xml:space="preserve">5,5% </w:t>
      </w:r>
      <w:r w:rsidR="000753E5">
        <w:rPr>
          <w:rFonts w:eastAsia="Times New Roman" w:cs="Times New Roman"/>
          <w:szCs w:val="28"/>
        </w:rPr>
        <w:t xml:space="preserve">no kopējā primāro </w:t>
      </w:r>
      <w:r w:rsidR="00E35A08">
        <w:rPr>
          <w:rFonts w:eastAsia="Times New Roman" w:cs="Times New Roman"/>
          <w:szCs w:val="28"/>
        </w:rPr>
        <w:t>energo</w:t>
      </w:r>
      <w:r w:rsidR="000753E5">
        <w:rPr>
          <w:rFonts w:eastAsia="Times New Roman" w:cs="Times New Roman"/>
          <w:szCs w:val="28"/>
        </w:rPr>
        <w:t>resursu patēriņa</w:t>
      </w:r>
      <w:r w:rsidR="000B56E9">
        <w:rPr>
          <w:rFonts w:eastAsia="Times New Roman" w:cs="Times New Roman"/>
          <w:szCs w:val="28"/>
        </w:rPr>
        <w:t xml:space="preserve"> valstī</w:t>
      </w:r>
      <w:r w:rsidR="000753E5">
        <w:rPr>
          <w:rFonts w:eastAsia="Times New Roman" w:cs="Times New Roman"/>
          <w:szCs w:val="28"/>
        </w:rPr>
        <w:t xml:space="preserve">. </w:t>
      </w:r>
      <w:r w:rsidR="00E35A08">
        <w:rPr>
          <w:rFonts w:eastAsia="Times New Roman" w:cs="Times New Roman"/>
          <w:szCs w:val="28"/>
        </w:rPr>
        <w:t xml:space="preserve">Lielākā daļa no tiem bija AER – </w:t>
      </w:r>
      <w:r w:rsidR="00E35A08" w:rsidRPr="00F26661">
        <w:rPr>
          <w:rFonts w:eastAsia="Times New Roman" w:cs="Times New Roman"/>
          <w:szCs w:val="28"/>
        </w:rPr>
        <w:t>koksn</w:t>
      </w:r>
      <w:r w:rsidR="00E35A08">
        <w:rPr>
          <w:rFonts w:eastAsia="Times New Roman" w:cs="Times New Roman"/>
          <w:szCs w:val="28"/>
        </w:rPr>
        <w:t>es biomasa</w:t>
      </w:r>
      <w:r w:rsidR="00E35A08" w:rsidRPr="00F26661">
        <w:rPr>
          <w:rFonts w:eastAsia="Times New Roman" w:cs="Times New Roman"/>
          <w:szCs w:val="28"/>
        </w:rPr>
        <w:t xml:space="preserve">, </w:t>
      </w:r>
      <w:proofErr w:type="spellStart"/>
      <w:r w:rsidR="00E35A08" w:rsidRPr="00F26661">
        <w:rPr>
          <w:rFonts w:eastAsia="Times New Roman" w:cs="Times New Roman"/>
          <w:szCs w:val="28"/>
        </w:rPr>
        <w:t>hidroresursi</w:t>
      </w:r>
      <w:proofErr w:type="spellEnd"/>
      <w:r w:rsidR="00E35A08" w:rsidRPr="00F26661">
        <w:rPr>
          <w:rFonts w:eastAsia="Times New Roman" w:cs="Times New Roman"/>
          <w:szCs w:val="28"/>
        </w:rPr>
        <w:t xml:space="preserve">, vējš, </w:t>
      </w:r>
      <w:r w:rsidR="00E35A08">
        <w:rPr>
          <w:rFonts w:eastAsia="Times New Roman" w:cs="Times New Roman"/>
          <w:szCs w:val="28"/>
        </w:rPr>
        <w:t xml:space="preserve">citi </w:t>
      </w:r>
      <w:r w:rsidR="00E35A08" w:rsidRPr="00F26661">
        <w:rPr>
          <w:rFonts w:eastAsia="Times New Roman" w:cs="Times New Roman"/>
          <w:szCs w:val="28"/>
        </w:rPr>
        <w:t>biomasa</w:t>
      </w:r>
      <w:r w:rsidR="00E35A08">
        <w:rPr>
          <w:rFonts w:eastAsia="Times New Roman" w:cs="Times New Roman"/>
          <w:szCs w:val="28"/>
        </w:rPr>
        <w:t>s veidi (izņemot koksnes biomasu)</w:t>
      </w:r>
      <w:r w:rsidR="00E35A08" w:rsidRPr="00F26661">
        <w:rPr>
          <w:rFonts w:eastAsia="Times New Roman" w:cs="Times New Roman"/>
          <w:szCs w:val="28"/>
        </w:rPr>
        <w:t>,</w:t>
      </w:r>
      <w:r w:rsidR="00E35A08">
        <w:rPr>
          <w:rFonts w:eastAsia="Times New Roman" w:cs="Times New Roman"/>
          <w:szCs w:val="28"/>
        </w:rPr>
        <w:t xml:space="preserve"> biogāze, </w:t>
      </w:r>
      <w:r w:rsidR="00E35A08" w:rsidRPr="00F26661">
        <w:rPr>
          <w:rFonts w:eastAsia="Times New Roman" w:cs="Times New Roman"/>
          <w:szCs w:val="28"/>
        </w:rPr>
        <w:t>biodegviela</w:t>
      </w:r>
      <w:r w:rsidR="00E35A08">
        <w:rPr>
          <w:rFonts w:eastAsia="Times New Roman" w:cs="Times New Roman"/>
          <w:szCs w:val="28"/>
        </w:rPr>
        <w:t>s un vietējie energoresursi – kūdra, atkritumi.</w:t>
      </w:r>
      <w:r w:rsidR="00E35A08" w:rsidDel="00E35A08">
        <w:rPr>
          <w:rFonts w:eastAsia="Times New Roman" w:cs="Times New Roman"/>
          <w:szCs w:val="28"/>
        </w:rPr>
        <w:t xml:space="preserve"> </w:t>
      </w:r>
      <w:r w:rsidR="00B23626" w:rsidRPr="00B23626">
        <w:rPr>
          <w:rFonts w:eastAsia="Times New Roman" w:cs="Times New Roman"/>
          <w:szCs w:val="28"/>
        </w:rPr>
        <w:t xml:space="preserve">2012.gadā Latvijā saražotie energoresursi un otrreizēji pārstrādātie produkti sasniedza 97,9 PJ apjomu, bet energoresursu imports bija 173,4 PJ, </w:t>
      </w:r>
      <w:r w:rsidR="00203A54">
        <w:rPr>
          <w:rFonts w:eastAsia="Times New Roman" w:cs="Times New Roman"/>
          <w:szCs w:val="28"/>
        </w:rPr>
        <w:t>tajā skaitā</w:t>
      </w:r>
      <w:r w:rsidR="00B23626" w:rsidRPr="00B23626">
        <w:rPr>
          <w:rFonts w:eastAsia="Times New Roman" w:cs="Times New Roman"/>
          <w:szCs w:val="28"/>
        </w:rPr>
        <w:t xml:space="preserve"> dabasgāzes imports – 57,8 PJ. Latvijas kopējais primāro energoresursu patēriņš sasniedza 190,6 PJ, kas ir par 3,5% vairāk nekā 2011.gadā. </w:t>
      </w:r>
    </w:p>
    <w:p w:rsidR="00B23626" w:rsidRDefault="00B23626" w:rsidP="002E749F">
      <w:pPr>
        <w:ind w:firstLine="720"/>
        <w:jc w:val="both"/>
        <w:rPr>
          <w:rFonts w:eastAsia="Times New Roman" w:cs="Times New Roman"/>
          <w:szCs w:val="28"/>
        </w:rPr>
      </w:pPr>
      <w:r w:rsidRPr="00B23626">
        <w:rPr>
          <w:rFonts w:eastAsia="Times New Roman" w:cs="Times New Roman"/>
          <w:szCs w:val="28"/>
        </w:rPr>
        <w:t>Kopējā primāro energoresursu patēriņā no vietējiem energoresursiem visvairāk tika izmantota kurināmā koksne, kuras kopējais patēriņš bija 52,5 PJ, turpretim hidroelektrostacijās un vēja elektrostacijās saražotā elektroenerģija bija 13,8 PJ.</w:t>
      </w:r>
    </w:p>
    <w:p w:rsidR="00B23626" w:rsidRDefault="00CC7E32" w:rsidP="002E749F">
      <w:pPr>
        <w:ind w:firstLine="720"/>
        <w:jc w:val="both"/>
        <w:rPr>
          <w:rFonts w:eastAsia="Times New Roman" w:cs="Times New Roman"/>
          <w:szCs w:val="28"/>
        </w:rPr>
      </w:pPr>
      <w:r>
        <w:rPr>
          <w:rFonts w:eastAsia="Times New Roman" w:cs="Times New Roman"/>
          <w:szCs w:val="28"/>
        </w:rPr>
        <w:t xml:space="preserve">Pārējā daļa jeb 64,5% </w:t>
      </w:r>
      <w:r w:rsidRPr="00F26661">
        <w:rPr>
          <w:rFonts w:eastAsia="Times New Roman" w:cs="Times New Roman"/>
          <w:szCs w:val="28"/>
        </w:rPr>
        <w:t>energoresurs</w:t>
      </w:r>
      <w:r w:rsidR="007F0702">
        <w:rPr>
          <w:rFonts w:eastAsia="Times New Roman" w:cs="Times New Roman"/>
          <w:szCs w:val="28"/>
        </w:rPr>
        <w:t>u</w:t>
      </w:r>
      <w:r>
        <w:rPr>
          <w:rFonts w:eastAsia="Times New Roman" w:cs="Times New Roman"/>
          <w:szCs w:val="28"/>
        </w:rPr>
        <w:t>, starp kuriem svarīgākie ir naftas produkti un dabasgāze,</w:t>
      </w:r>
      <w:r w:rsidR="00F6294D">
        <w:rPr>
          <w:rFonts w:eastAsia="Times New Roman" w:cs="Times New Roman"/>
          <w:szCs w:val="28"/>
        </w:rPr>
        <w:t>, tika importēti no dažādām Baltijas reģiona, Eiropas Savienības (turpmāk – ES) un trešajām valstīm</w:t>
      </w:r>
      <w:r w:rsidR="007F0702">
        <w:rPr>
          <w:rFonts w:eastAsia="Times New Roman" w:cs="Times New Roman"/>
          <w:szCs w:val="28"/>
        </w:rPr>
        <w:t xml:space="preserve"> (</w:t>
      </w:r>
      <w:proofErr w:type="spellStart"/>
      <w:r w:rsidR="007F0702">
        <w:rPr>
          <w:rFonts w:eastAsia="Times New Roman" w:cs="Times New Roman"/>
          <w:szCs w:val="28"/>
        </w:rPr>
        <w:t>skat</w:t>
      </w:r>
      <w:proofErr w:type="spellEnd"/>
      <w:r w:rsidR="007F0702">
        <w:rPr>
          <w:rFonts w:eastAsia="Times New Roman" w:cs="Times New Roman"/>
          <w:szCs w:val="28"/>
        </w:rPr>
        <w:t>. 1.attēlu)</w:t>
      </w:r>
      <w:r w:rsidR="00F6294D" w:rsidRPr="00F26661">
        <w:rPr>
          <w:rFonts w:eastAsia="Times New Roman" w:cs="Times New Roman"/>
          <w:szCs w:val="28"/>
        </w:rPr>
        <w:t xml:space="preserve">. </w:t>
      </w:r>
      <w:r w:rsidR="007F0702">
        <w:rPr>
          <w:rFonts w:eastAsia="Times New Roman" w:cs="Times New Roman"/>
          <w:bCs/>
          <w:szCs w:val="28"/>
        </w:rPr>
        <w:t>D</w:t>
      </w:r>
      <w:r w:rsidR="007F0702" w:rsidRPr="002E749F">
        <w:rPr>
          <w:rFonts w:eastAsia="Times New Roman" w:cs="Times New Roman"/>
          <w:bCs/>
          <w:szCs w:val="28"/>
        </w:rPr>
        <w:t>abasgāze</w:t>
      </w:r>
      <w:r w:rsidR="007F0702">
        <w:rPr>
          <w:rFonts w:eastAsia="Times New Roman" w:cs="Times New Roman"/>
          <w:bCs/>
          <w:szCs w:val="28"/>
        </w:rPr>
        <w:t xml:space="preserve"> tiek piegādāta tikai no Krievijas.</w:t>
      </w:r>
    </w:p>
    <w:p w:rsidR="00E03E38" w:rsidRPr="00F26661" w:rsidRDefault="002E749F" w:rsidP="00E03E38">
      <w:pPr>
        <w:jc w:val="center"/>
        <w:rPr>
          <w:rFonts w:eastAsia="Calibri" w:cs="Times New Roman"/>
        </w:rPr>
      </w:pPr>
      <w:r w:rsidRPr="002E749F">
        <w:rPr>
          <w:rFonts w:eastAsia="Times New Roman" w:cs="Times New Roman"/>
          <w:bCs/>
          <w:szCs w:val="28"/>
        </w:rPr>
        <w:t xml:space="preserve">  </w:t>
      </w:r>
      <w:r w:rsidR="00997975" w:rsidRPr="00997975">
        <w:rPr>
          <w:rFonts w:eastAsia="Calibri" w:cs="Times New Roman"/>
          <w:noProof/>
          <w:lang w:eastAsia="lv-LV"/>
        </w:rPr>
        <w:drawing>
          <wp:inline distT="0" distB="0" distL="0" distR="0" wp14:anchorId="0D0F8EF3" wp14:editId="28EBA9A4">
            <wp:extent cx="5486400" cy="2196465"/>
            <wp:effectExtent l="19050" t="0" r="0" b="0"/>
            <wp:docPr id="9" name="Picture 2"/>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86400" cy="219646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E03E38" w:rsidRDefault="00E03E38" w:rsidP="00E03E38">
      <w:pPr>
        <w:ind w:firstLine="720"/>
        <w:rPr>
          <w:rFonts w:eastAsia="Calibri" w:cs="Times New Roman"/>
          <w:sz w:val="20"/>
          <w:szCs w:val="20"/>
          <w:lang w:eastAsia="lv-LV"/>
        </w:rPr>
      </w:pPr>
      <w:r w:rsidRPr="00F26661">
        <w:rPr>
          <w:rFonts w:eastAsia="Calibri" w:cs="Times New Roman"/>
          <w:sz w:val="20"/>
          <w:szCs w:val="20"/>
          <w:lang w:eastAsia="lv-LV"/>
        </w:rPr>
        <w:t xml:space="preserve">Avots: </w:t>
      </w:r>
      <w:r w:rsidR="00E34E4F">
        <w:rPr>
          <w:rFonts w:eastAsia="Calibri" w:cs="Times New Roman"/>
          <w:sz w:val="20"/>
          <w:szCs w:val="20"/>
          <w:lang w:eastAsia="lv-LV"/>
        </w:rPr>
        <w:t>A</w:t>
      </w:r>
      <w:r>
        <w:rPr>
          <w:rFonts w:eastAsia="Calibri" w:cs="Times New Roman"/>
          <w:sz w:val="20"/>
          <w:szCs w:val="20"/>
          <w:lang w:eastAsia="lv-LV"/>
        </w:rPr>
        <w:t>prēķin</w:t>
      </w:r>
      <w:r w:rsidR="00E34E4F">
        <w:rPr>
          <w:rFonts w:eastAsia="Calibri" w:cs="Times New Roman"/>
          <w:sz w:val="20"/>
          <w:szCs w:val="20"/>
          <w:lang w:eastAsia="lv-LV"/>
        </w:rPr>
        <w:t xml:space="preserve">os izmantota </w:t>
      </w:r>
      <w:r w:rsidRPr="00F26661">
        <w:rPr>
          <w:rFonts w:eastAsia="Calibri" w:cs="Times New Roman"/>
          <w:sz w:val="20"/>
          <w:szCs w:val="20"/>
          <w:lang w:eastAsia="lv-LV"/>
        </w:rPr>
        <w:t xml:space="preserve"> </w:t>
      </w:r>
      <w:proofErr w:type="spellStart"/>
      <w:r w:rsidRPr="00F26661">
        <w:rPr>
          <w:rFonts w:eastAsia="Calibri" w:cs="Times New Roman"/>
          <w:sz w:val="20"/>
          <w:szCs w:val="20"/>
          <w:lang w:eastAsia="lv-LV"/>
        </w:rPr>
        <w:t>Eurostat</w:t>
      </w:r>
      <w:proofErr w:type="spellEnd"/>
      <w:r w:rsidRPr="00F26661">
        <w:rPr>
          <w:rFonts w:eastAsia="Calibri" w:cs="Times New Roman"/>
          <w:sz w:val="20"/>
          <w:szCs w:val="20"/>
          <w:lang w:eastAsia="lv-LV"/>
        </w:rPr>
        <w:t xml:space="preserve"> </w:t>
      </w:r>
      <w:proofErr w:type="spellStart"/>
      <w:r w:rsidRPr="00F26661">
        <w:rPr>
          <w:rFonts w:eastAsia="Calibri" w:cs="Times New Roman"/>
          <w:sz w:val="20"/>
          <w:szCs w:val="20"/>
          <w:lang w:eastAsia="lv-LV"/>
        </w:rPr>
        <w:t>External</w:t>
      </w:r>
      <w:proofErr w:type="spellEnd"/>
      <w:r w:rsidRPr="00F26661">
        <w:rPr>
          <w:rFonts w:eastAsia="Calibri" w:cs="Times New Roman"/>
          <w:sz w:val="20"/>
          <w:szCs w:val="20"/>
          <w:lang w:eastAsia="lv-LV"/>
        </w:rPr>
        <w:t xml:space="preserve"> </w:t>
      </w:r>
      <w:proofErr w:type="spellStart"/>
      <w:r w:rsidRPr="00F26661">
        <w:rPr>
          <w:rFonts w:eastAsia="Calibri" w:cs="Times New Roman"/>
          <w:sz w:val="20"/>
          <w:szCs w:val="20"/>
          <w:lang w:eastAsia="lv-LV"/>
        </w:rPr>
        <w:t>trade</w:t>
      </w:r>
      <w:proofErr w:type="spellEnd"/>
      <w:r w:rsidRPr="00F26661">
        <w:rPr>
          <w:rFonts w:eastAsia="Calibri" w:cs="Times New Roman"/>
          <w:sz w:val="20"/>
          <w:szCs w:val="20"/>
          <w:lang w:eastAsia="lv-LV"/>
        </w:rPr>
        <w:t xml:space="preserve"> datu bāz</w:t>
      </w:r>
      <w:r w:rsidR="00E34E4F">
        <w:rPr>
          <w:rFonts w:eastAsia="Calibri" w:cs="Times New Roman"/>
          <w:sz w:val="20"/>
          <w:szCs w:val="20"/>
          <w:lang w:eastAsia="lv-LV"/>
        </w:rPr>
        <w:t>e</w:t>
      </w:r>
    </w:p>
    <w:p w:rsidR="00E34E4F" w:rsidRPr="00F26661" w:rsidRDefault="00E34E4F" w:rsidP="00E03E38">
      <w:pPr>
        <w:ind w:firstLine="720"/>
        <w:rPr>
          <w:rFonts w:eastAsia="Calibri" w:cs="Times New Roman"/>
          <w:lang w:eastAsia="lv-LV"/>
        </w:rPr>
      </w:pPr>
      <w:r>
        <w:rPr>
          <w:rFonts w:eastAsia="Calibri" w:cs="Times New Roman"/>
          <w:sz w:val="20"/>
          <w:szCs w:val="20"/>
          <w:lang w:eastAsia="lv-LV"/>
        </w:rPr>
        <w:t>** - Neatkarīgo valstu sadraudzība</w:t>
      </w:r>
    </w:p>
    <w:p w:rsidR="00E03E38" w:rsidRPr="00834B2A" w:rsidRDefault="00E03E38" w:rsidP="00411147">
      <w:pPr>
        <w:rPr>
          <w:rFonts w:eastAsia="Calibri" w:cs="Times New Roman"/>
          <w:b/>
          <w:sz w:val="24"/>
          <w:szCs w:val="24"/>
        </w:rPr>
      </w:pPr>
      <w:r w:rsidRPr="00834B2A">
        <w:rPr>
          <w:rFonts w:eastAsia="Calibri" w:cs="Times New Roman"/>
          <w:b/>
          <w:sz w:val="24"/>
          <w:szCs w:val="24"/>
        </w:rPr>
        <w:t>1.attēls. Primāro energoresursu plūsma Latvijā 201</w:t>
      </w:r>
      <w:r w:rsidR="00997975" w:rsidRPr="00834B2A">
        <w:rPr>
          <w:rFonts w:eastAsia="Calibri" w:cs="Times New Roman"/>
          <w:b/>
          <w:sz w:val="24"/>
          <w:szCs w:val="24"/>
        </w:rPr>
        <w:t>2</w:t>
      </w:r>
      <w:r w:rsidRPr="00834B2A">
        <w:rPr>
          <w:rFonts w:eastAsia="Calibri" w:cs="Times New Roman"/>
          <w:b/>
          <w:sz w:val="24"/>
          <w:szCs w:val="24"/>
        </w:rPr>
        <w:t>.gad</w:t>
      </w:r>
      <w:r w:rsidR="00A04C4E" w:rsidRPr="00834B2A">
        <w:rPr>
          <w:rFonts w:eastAsia="Calibri" w:cs="Times New Roman"/>
          <w:b/>
          <w:sz w:val="24"/>
          <w:szCs w:val="24"/>
        </w:rPr>
        <w:t>ā</w:t>
      </w:r>
    </w:p>
    <w:p w:rsidR="00E03E38" w:rsidRPr="00F26661" w:rsidRDefault="00E03E38" w:rsidP="00E03E38">
      <w:pPr>
        <w:ind w:firstLine="720"/>
        <w:jc w:val="both"/>
        <w:rPr>
          <w:rFonts w:eastAsia="Times New Roman" w:cs="Times New Roman"/>
          <w:szCs w:val="28"/>
        </w:rPr>
      </w:pPr>
    </w:p>
    <w:p w:rsidR="0064277C" w:rsidRDefault="00F26661" w:rsidP="00F26661">
      <w:pPr>
        <w:ind w:firstLine="720"/>
        <w:jc w:val="both"/>
        <w:rPr>
          <w:rFonts w:eastAsia="Times New Roman" w:cs="Times New Roman"/>
          <w:szCs w:val="28"/>
        </w:rPr>
      </w:pPr>
      <w:r w:rsidRPr="00F26661">
        <w:rPr>
          <w:rFonts w:eastAsia="Times New Roman" w:cs="Times New Roman"/>
          <w:szCs w:val="28"/>
        </w:rPr>
        <w:t xml:space="preserve">Šobrīd Latvijas primāro </w:t>
      </w:r>
      <w:r w:rsidR="00312810">
        <w:rPr>
          <w:rFonts w:eastAsia="Times New Roman" w:cs="Times New Roman"/>
          <w:szCs w:val="28"/>
        </w:rPr>
        <w:t>energo</w:t>
      </w:r>
      <w:r w:rsidRPr="00F26661">
        <w:rPr>
          <w:rFonts w:eastAsia="Times New Roman" w:cs="Times New Roman"/>
          <w:szCs w:val="28"/>
        </w:rPr>
        <w:t xml:space="preserve">resursu piegādē dominē trīs energoresursu veidi, kas aizņem apmēram vienādas daļas – naftas produkti (galvenokārt </w:t>
      </w:r>
      <w:r w:rsidRPr="00F26661">
        <w:rPr>
          <w:rFonts w:eastAsia="Times New Roman" w:cs="Times New Roman"/>
          <w:szCs w:val="28"/>
        </w:rPr>
        <w:lastRenderedPageBreak/>
        <w:t>benzīns un dīzeļdegviela), dabasgāze un koksne</w:t>
      </w:r>
      <w:r w:rsidR="0064277C">
        <w:rPr>
          <w:rFonts w:eastAsia="Times New Roman" w:cs="Times New Roman"/>
          <w:szCs w:val="28"/>
        </w:rPr>
        <w:t>s biomasa</w:t>
      </w:r>
      <w:r w:rsidRPr="00F26661">
        <w:rPr>
          <w:rFonts w:eastAsia="Times New Roman" w:cs="Times New Roman"/>
          <w:szCs w:val="28"/>
        </w:rPr>
        <w:t xml:space="preserve">. Latvija, tāpat kā daudzas citas ES valstis, ir atkarīga no </w:t>
      </w:r>
      <w:r w:rsidR="0064277C">
        <w:rPr>
          <w:rFonts w:eastAsia="Times New Roman" w:cs="Times New Roman"/>
          <w:szCs w:val="28"/>
        </w:rPr>
        <w:t xml:space="preserve">importētajiem </w:t>
      </w:r>
      <w:r w:rsidRPr="00F26661">
        <w:rPr>
          <w:rFonts w:eastAsia="Times New Roman" w:cs="Times New Roman"/>
          <w:szCs w:val="28"/>
        </w:rPr>
        <w:t>primār</w:t>
      </w:r>
      <w:r w:rsidR="00180921">
        <w:rPr>
          <w:rFonts w:eastAsia="Times New Roman" w:cs="Times New Roman"/>
          <w:szCs w:val="28"/>
        </w:rPr>
        <w:t xml:space="preserve">ajiem </w:t>
      </w:r>
      <w:r w:rsidR="0064277C">
        <w:rPr>
          <w:rFonts w:eastAsia="Times New Roman" w:cs="Times New Roman"/>
          <w:szCs w:val="28"/>
        </w:rPr>
        <w:t>energo</w:t>
      </w:r>
      <w:r w:rsidRPr="00F26661">
        <w:rPr>
          <w:rFonts w:eastAsia="Times New Roman" w:cs="Times New Roman"/>
          <w:szCs w:val="28"/>
        </w:rPr>
        <w:t>resurs</w:t>
      </w:r>
      <w:r w:rsidR="00180921">
        <w:rPr>
          <w:rFonts w:eastAsia="Times New Roman" w:cs="Times New Roman"/>
          <w:szCs w:val="28"/>
        </w:rPr>
        <w:t xml:space="preserve">iem, </w:t>
      </w:r>
      <w:r w:rsidR="00077DAB">
        <w:rPr>
          <w:rFonts w:eastAsia="Times New Roman" w:cs="Times New Roman"/>
          <w:szCs w:val="28"/>
        </w:rPr>
        <w:t>it īpaši naftas produkti</w:t>
      </w:r>
      <w:r w:rsidR="0064277C">
        <w:rPr>
          <w:rFonts w:eastAsia="Times New Roman" w:cs="Times New Roman"/>
          <w:szCs w:val="28"/>
        </w:rPr>
        <w:t>em</w:t>
      </w:r>
      <w:r w:rsidR="00077DAB">
        <w:rPr>
          <w:rFonts w:eastAsia="Times New Roman" w:cs="Times New Roman"/>
          <w:szCs w:val="28"/>
        </w:rPr>
        <w:t xml:space="preserve"> un dabasgāz</w:t>
      </w:r>
      <w:r w:rsidR="00180921">
        <w:rPr>
          <w:rFonts w:eastAsia="Times New Roman" w:cs="Times New Roman"/>
          <w:szCs w:val="28"/>
        </w:rPr>
        <w:t>e</w:t>
      </w:r>
      <w:r w:rsidR="0064277C">
        <w:rPr>
          <w:rFonts w:eastAsia="Times New Roman" w:cs="Times New Roman"/>
          <w:szCs w:val="28"/>
        </w:rPr>
        <w:t>s</w:t>
      </w:r>
      <w:r w:rsidR="00180921">
        <w:rPr>
          <w:rFonts w:eastAsia="Times New Roman" w:cs="Times New Roman"/>
          <w:szCs w:val="28"/>
        </w:rPr>
        <w:t xml:space="preserve">. </w:t>
      </w:r>
    </w:p>
    <w:p w:rsidR="00F26661" w:rsidRPr="00F26661" w:rsidRDefault="00180921" w:rsidP="00F26661">
      <w:pPr>
        <w:ind w:firstLine="720"/>
        <w:jc w:val="both"/>
        <w:rPr>
          <w:rFonts w:eastAsia="Times New Roman" w:cs="Times New Roman"/>
          <w:szCs w:val="28"/>
        </w:rPr>
      </w:pPr>
      <w:r>
        <w:rPr>
          <w:rFonts w:eastAsia="Times New Roman" w:cs="Times New Roman"/>
          <w:szCs w:val="28"/>
        </w:rPr>
        <w:t>Kopš 1990.gada iepirkt</w:t>
      </w:r>
      <w:r w:rsidR="00EA5153">
        <w:rPr>
          <w:rFonts w:eastAsia="Times New Roman" w:cs="Times New Roman"/>
          <w:szCs w:val="28"/>
        </w:rPr>
        <w:t>o</w:t>
      </w:r>
      <w:r>
        <w:rPr>
          <w:rFonts w:eastAsia="Times New Roman" w:cs="Times New Roman"/>
          <w:szCs w:val="28"/>
        </w:rPr>
        <w:t xml:space="preserve"> </w:t>
      </w:r>
      <w:r w:rsidR="00EA5153">
        <w:rPr>
          <w:rFonts w:eastAsia="Times New Roman" w:cs="Times New Roman"/>
          <w:szCs w:val="28"/>
        </w:rPr>
        <w:t xml:space="preserve">energoresursu īpatsvars </w:t>
      </w:r>
      <w:r>
        <w:rPr>
          <w:rFonts w:eastAsia="Times New Roman" w:cs="Times New Roman"/>
          <w:szCs w:val="28"/>
        </w:rPr>
        <w:t>ir samazinājies, proti</w:t>
      </w:r>
      <w:r w:rsidR="00F402F8">
        <w:rPr>
          <w:rFonts w:eastAsia="Times New Roman" w:cs="Times New Roman"/>
          <w:szCs w:val="28"/>
        </w:rPr>
        <w:t>,</w:t>
      </w:r>
      <w:r>
        <w:rPr>
          <w:rFonts w:eastAsia="Times New Roman" w:cs="Times New Roman"/>
          <w:szCs w:val="28"/>
        </w:rPr>
        <w:t xml:space="preserve"> no </w:t>
      </w:r>
      <w:r w:rsidR="00F26661" w:rsidRPr="00F26661">
        <w:rPr>
          <w:rFonts w:eastAsia="Times New Roman" w:cs="Times New Roman"/>
          <w:szCs w:val="28"/>
        </w:rPr>
        <w:t xml:space="preserve">86% 1990.gadā līdz 64,5% 2012.gadā. </w:t>
      </w:r>
      <w:r w:rsidR="008232E5">
        <w:rPr>
          <w:rFonts w:eastAsia="Times New Roman" w:cs="Times New Roman"/>
          <w:szCs w:val="28"/>
        </w:rPr>
        <w:t>Tas skaidrojams ar</w:t>
      </w:r>
      <w:r w:rsidR="00077DAB">
        <w:rPr>
          <w:rFonts w:eastAsia="Times New Roman" w:cs="Times New Roman"/>
          <w:szCs w:val="28"/>
        </w:rPr>
        <w:t xml:space="preserve"> </w:t>
      </w:r>
      <w:r w:rsidR="00F26661" w:rsidRPr="00F26661">
        <w:rPr>
          <w:rFonts w:eastAsia="Times New Roman" w:cs="Times New Roman"/>
          <w:szCs w:val="28"/>
        </w:rPr>
        <w:t xml:space="preserve">energoresursu patēriņa </w:t>
      </w:r>
      <w:r w:rsidR="00077DAB">
        <w:rPr>
          <w:rFonts w:eastAsia="Times New Roman" w:cs="Times New Roman"/>
          <w:szCs w:val="28"/>
        </w:rPr>
        <w:t>samazinājum</w:t>
      </w:r>
      <w:r w:rsidR="008232E5">
        <w:rPr>
          <w:rFonts w:eastAsia="Times New Roman" w:cs="Times New Roman"/>
          <w:szCs w:val="28"/>
        </w:rPr>
        <w:t>u</w:t>
      </w:r>
      <w:r w:rsidR="00077DAB">
        <w:rPr>
          <w:rFonts w:eastAsia="Times New Roman" w:cs="Times New Roman"/>
          <w:szCs w:val="28"/>
        </w:rPr>
        <w:t xml:space="preserve"> </w:t>
      </w:r>
      <w:r w:rsidR="00F26661" w:rsidRPr="00F26661">
        <w:rPr>
          <w:rFonts w:eastAsia="Times New Roman" w:cs="Times New Roman"/>
          <w:szCs w:val="28"/>
        </w:rPr>
        <w:t>rūpniecībā</w:t>
      </w:r>
      <w:r w:rsidR="00077DAB">
        <w:rPr>
          <w:rFonts w:eastAsia="Times New Roman" w:cs="Times New Roman"/>
          <w:szCs w:val="28"/>
        </w:rPr>
        <w:t xml:space="preserve">, kā arī </w:t>
      </w:r>
      <w:r w:rsidR="008232E5">
        <w:rPr>
          <w:rFonts w:eastAsia="Times New Roman" w:cs="Times New Roman"/>
          <w:szCs w:val="28"/>
        </w:rPr>
        <w:t xml:space="preserve">daļēju </w:t>
      </w:r>
      <w:r w:rsidR="00077DAB">
        <w:rPr>
          <w:rFonts w:eastAsia="Times New Roman" w:cs="Times New Roman"/>
          <w:szCs w:val="28"/>
        </w:rPr>
        <w:t>pārej</w:t>
      </w:r>
      <w:r w:rsidR="008232E5">
        <w:rPr>
          <w:rFonts w:eastAsia="Times New Roman" w:cs="Times New Roman"/>
          <w:szCs w:val="28"/>
        </w:rPr>
        <w:t>u no dabas</w:t>
      </w:r>
      <w:r w:rsidR="00077DAB">
        <w:rPr>
          <w:rFonts w:eastAsia="Times New Roman" w:cs="Times New Roman"/>
          <w:szCs w:val="28"/>
        </w:rPr>
        <w:t xml:space="preserve">gāzes </w:t>
      </w:r>
      <w:r w:rsidR="008232E5">
        <w:rPr>
          <w:rFonts w:eastAsia="Times New Roman" w:cs="Times New Roman"/>
          <w:szCs w:val="28"/>
        </w:rPr>
        <w:t>izmantošanas uz alternatīviem kurināmā veidiem</w:t>
      </w:r>
      <w:r w:rsidR="00077DAB">
        <w:rPr>
          <w:rFonts w:eastAsia="Times New Roman" w:cs="Times New Roman"/>
          <w:szCs w:val="28"/>
        </w:rPr>
        <w:t xml:space="preserve"> centralizētajā siltumapgādē. </w:t>
      </w:r>
    </w:p>
    <w:p w:rsidR="00F26661" w:rsidRPr="00F26661" w:rsidRDefault="00A66E3C" w:rsidP="00F26661">
      <w:pPr>
        <w:ind w:firstLine="720"/>
        <w:jc w:val="both"/>
        <w:rPr>
          <w:rFonts w:eastAsia="Times New Roman" w:cs="Times New Roman"/>
          <w:szCs w:val="28"/>
        </w:rPr>
      </w:pPr>
      <w:r>
        <w:rPr>
          <w:rFonts w:eastAsia="Times New Roman" w:cs="Times New Roman"/>
          <w:szCs w:val="28"/>
        </w:rPr>
        <w:t>Laika</w:t>
      </w:r>
      <w:r w:rsidR="00F26661" w:rsidRPr="00F26661">
        <w:rPr>
          <w:rFonts w:eastAsia="Times New Roman" w:cs="Times New Roman"/>
          <w:szCs w:val="28"/>
        </w:rPr>
        <w:t xml:space="preserve"> periodā</w:t>
      </w:r>
      <w:r>
        <w:rPr>
          <w:rFonts w:eastAsia="Times New Roman" w:cs="Times New Roman"/>
          <w:szCs w:val="28"/>
        </w:rPr>
        <w:t xml:space="preserve"> no 1990.–201</w:t>
      </w:r>
      <w:r w:rsidR="004460BA">
        <w:rPr>
          <w:rFonts w:eastAsia="Times New Roman" w:cs="Times New Roman"/>
          <w:szCs w:val="28"/>
        </w:rPr>
        <w:t>3</w:t>
      </w:r>
      <w:r>
        <w:rPr>
          <w:rFonts w:eastAsia="Times New Roman" w:cs="Times New Roman"/>
          <w:szCs w:val="28"/>
        </w:rPr>
        <w:t>.gadam</w:t>
      </w:r>
      <w:r w:rsidR="00F26661" w:rsidRPr="00F26661">
        <w:rPr>
          <w:rFonts w:eastAsia="Times New Roman" w:cs="Times New Roman"/>
          <w:szCs w:val="28"/>
        </w:rPr>
        <w:t xml:space="preserve"> ekonomikas, enerģētikas un vides kvalitātes mijiedarbība ir bijusi cieša, ko ilustrē Latvijas </w:t>
      </w:r>
      <w:r>
        <w:rPr>
          <w:rFonts w:eastAsia="Times New Roman" w:cs="Times New Roman"/>
          <w:szCs w:val="28"/>
        </w:rPr>
        <w:t xml:space="preserve">tautsaimniecības </w:t>
      </w:r>
      <w:r w:rsidR="00F26661" w:rsidRPr="00F26661">
        <w:rPr>
          <w:rFonts w:eastAsia="Times New Roman" w:cs="Times New Roman"/>
          <w:szCs w:val="28"/>
        </w:rPr>
        <w:t xml:space="preserve">attīstības tendences </w:t>
      </w:r>
      <w:r w:rsidR="000B566B">
        <w:rPr>
          <w:rFonts w:eastAsia="Times New Roman" w:cs="Times New Roman"/>
          <w:szCs w:val="28"/>
        </w:rPr>
        <w:t>aizvadītajos</w:t>
      </w:r>
      <w:r w:rsidR="00F26661" w:rsidRPr="00F26661">
        <w:rPr>
          <w:rFonts w:eastAsia="Times New Roman" w:cs="Times New Roman"/>
          <w:szCs w:val="28"/>
        </w:rPr>
        <w:t xml:space="preserve"> </w:t>
      </w:r>
      <w:r w:rsidR="007406F3">
        <w:rPr>
          <w:rFonts w:eastAsia="Times New Roman" w:cs="Times New Roman"/>
          <w:szCs w:val="28"/>
        </w:rPr>
        <w:t>divdesmit</w:t>
      </w:r>
      <w:r w:rsidR="004460BA">
        <w:rPr>
          <w:rFonts w:eastAsia="Times New Roman" w:cs="Times New Roman"/>
          <w:szCs w:val="28"/>
        </w:rPr>
        <w:t xml:space="preserve"> četros</w:t>
      </w:r>
      <w:r w:rsidR="00F26661" w:rsidRPr="00F26661">
        <w:rPr>
          <w:rFonts w:eastAsia="Times New Roman" w:cs="Times New Roman"/>
          <w:szCs w:val="28"/>
        </w:rPr>
        <w:t> gados (</w:t>
      </w:r>
      <w:proofErr w:type="spellStart"/>
      <w:r w:rsidR="00F26661" w:rsidRPr="00F26661">
        <w:rPr>
          <w:rFonts w:eastAsia="Times New Roman" w:cs="Times New Roman"/>
          <w:szCs w:val="28"/>
        </w:rPr>
        <w:t>sk</w:t>
      </w:r>
      <w:r w:rsidR="00EA5153">
        <w:rPr>
          <w:rFonts w:eastAsia="Times New Roman" w:cs="Times New Roman"/>
          <w:szCs w:val="28"/>
        </w:rPr>
        <w:t>at</w:t>
      </w:r>
      <w:proofErr w:type="spellEnd"/>
      <w:r w:rsidR="00F26661" w:rsidRPr="00F26661">
        <w:rPr>
          <w:rFonts w:eastAsia="Times New Roman" w:cs="Times New Roman"/>
          <w:szCs w:val="28"/>
        </w:rPr>
        <w:t xml:space="preserve">. </w:t>
      </w:r>
      <w:r w:rsidR="00D237D9">
        <w:rPr>
          <w:rFonts w:eastAsia="Times New Roman" w:cs="Times New Roman"/>
          <w:szCs w:val="28"/>
        </w:rPr>
        <w:t>2</w:t>
      </w:r>
      <w:r w:rsidR="00F26661" w:rsidRPr="00F26661">
        <w:rPr>
          <w:rFonts w:eastAsia="Times New Roman" w:cs="Times New Roman"/>
          <w:szCs w:val="28"/>
        </w:rPr>
        <w:t>.attēlu). Attēlotās iekšzemes kopprodukta (turpmāk</w:t>
      </w:r>
      <w:r w:rsidR="009A1E57" w:rsidRPr="00F26661">
        <w:rPr>
          <w:rFonts w:eastAsia="Times New Roman" w:cs="Times New Roman"/>
          <w:szCs w:val="28"/>
        </w:rPr>
        <w:t>–</w:t>
      </w:r>
      <w:r w:rsidR="00F26661" w:rsidRPr="00F26661">
        <w:rPr>
          <w:rFonts w:eastAsia="Times New Roman" w:cs="Times New Roman"/>
          <w:szCs w:val="28"/>
        </w:rPr>
        <w:t xml:space="preserve">IKP), primāro resursu patēriņa, elektroenerģijas patēriņa un siltumnīcas efektu izraisošo gāzu (turpmāk </w:t>
      </w:r>
      <w:r w:rsidR="0046677B" w:rsidRPr="00F26661">
        <w:rPr>
          <w:rFonts w:eastAsia="Times New Roman" w:cs="Times New Roman"/>
          <w:szCs w:val="28"/>
        </w:rPr>
        <w:t>–</w:t>
      </w:r>
      <w:r w:rsidR="00F26661" w:rsidRPr="00F26661">
        <w:rPr>
          <w:rFonts w:eastAsia="Times New Roman" w:cs="Times New Roman"/>
          <w:szCs w:val="28"/>
        </w:rPr>
        <w:t xml:space="preserve"> SEG) emisijas  izmaiņas pa gadiem uzskatāmi parāda ciešo mijiedarbību starp trim svarīgām dimensijām – ekonomiku, enerģētiku un vidi.</w:t>
      </w:r>
    </w:p>
    <w:p w:rsidR="00F26661" w:rsidRPr="00F26661" w:rsidRDefault="00EA5153" w:rsidP="00251CBB">
      <w:pPr>
        <w:jc w:val="center"/>
        <w:rPr>
          <w:rFonts w:eastAsia="Calibri" w:cs="Times New Roman"/>
          <w:sz w:val="20"/>
          <w:szCs w:val="20"/>
          <w:lang w:eastAsia="lv-LV"/>
        </w:rPr>
      </w:pPr>
      <w:r>
        <w:rPr>
          <w:rFonts w:eastAsia="Calibri" w:cs="Times New Roman"/>
          <w:sz w:val="20"/>
          <w:szCs w:val="20"/>
          <w:lang w:eastAsia="lv-LV"/>
        </w:rPr>
        <w:object w:dxaOrig="12992" w:dyaOrig="58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7.25pt;height:168pt" o:ole="">
            <v:imagedata r:id="rId10" o:title=""/>
          </v:shape>
          <o:OLEObject Type="Embed" ProgID="Excel.Sheet.12" ShapeID="_x0000_i1025" DrawAspect="Content" ObjectID="_1475326194" r:id="rId11"/>
        </w:object>
      </w:r>
    </w:p>
    <w:p w:rsidR="00F26661" w:rsidRDefault="00F26661" w:rsidP="003557BD">
      <w:pPr>
        <w:ind w:firstLine="709"/>
        <w:rPr>
          <w:rFonts w:eastAsia="Calibri" w:cs="Times New Roman"/>
          <w:lang w:eastAsia="lv-LV"/>
        </w:rPr>
      </w:pPr>
      <w:r w:rsidRPr="00F26661">
        <w:rPr>
          <w:rFonts w:eastAsia="Calibri" w:cs="Times New Roman"/>
          <w:sz w:val="20"/>
          <w:szCs w:val="20"/>
          <w:lang w:eastAsia="lv-LV"/>
        </w:rPr>
        <w:t>Avots: Latvijas Republikas Centrālā statistikas pārvalde</w:t>
      </w:r>
    </w:p>
    <w:p w:rsidR="00F26661" w:rsidRPr="00834B2A" w:rsidRDefault="003557BD" w:rsidP="00834B2A">
      <w:pPr>
        <w:ind w:firstLine="11"/>
        <w:jc w:val="center"/>
        <w:rPr>
          <w:rFonts w:eastAsia="Times New Roman" w:cs="Times New Roman"/>
          <w:b/>
          <w:sz w:val="24"/>
          <w:szCs w:val="24"/>
        </w:rPr>
      </w:pPr>
      <w:r w:rsidRPr="00834B2A">
        <w:rPr>
          <w:rFonts w:eastAsia="Times New Roman" w:cs="Times New Roman"/>
          <w:b/>
          <w:sz w:val="24"/>
          <w:szCs w:val="24"/>
        </w:rPr>
        <w:t>2</w:t>
      </w:r>
      <w:r w:rsidR="00F26661" w:rsidRPr="00834B2A">
        <w:rPr>
          <w:rFonts w:eastAsia="Times New Roman" w:cs="Times New Roman"/>
          <w:b/>
          <w:sz w:val="24"/>
          <w:szCs w:val="24"/>
        </w:rPr>
        <w:t>.attēls. Enerģētikas, ekonomikas un vides kvalitātes rādītāju mijiedarbība Latvijā</w:t>
      </w:r>
      <w:r w:rsidR="00EA5153" w:rsidRPr="00834B2A">
        <w:rPr>
          <w:rFonts w:eastAsia="Times New Roman" w:cs="Times New Roman"/>
          <w:b/>
          <w:sz w:val="24"/>
          <w:szCs w:val="24"/>
        </w:rPr>
        <w:t>.</w:t>
      </w:r>
    </w:p>
    <w:p w:rsidR="00066689" w:rsidRDefault="00066689" w:rsidP="00F26661">
      <w:pPr>
        <w:ind w:firstLine="720"/>
        <w:jc w:val="both"/>
        <w:rPr>
          <w:rFonts w:eastAsia="Times New Roman" w:cs="Times New Roman"/>
          <w:szCs w:val="28"/>
        </w:rPr>
      </w:pPr>
    </w:p>
    <w:p w:rsidR="0037747F" w:rsidRDefault="009D4D13" w:rsidP="00F26661">
      <w:pPr>
        <w:ind w:firstLine="720"/>
        <w:jc w:val="both"/>
        <w:rPr>
          <w:rFonts w:eastAsia="Times New Roman" w:cs="Times New Roman"/>
          <w:szCs w:val="28"/>
        </w:rPr>
      </w:pPr>
      <w:r>
        <w:rPr>
          <w:rFonts w:eastAsia="Times New Roman" w:cs="Times New Roman"/>
          <w:szCs w:val="28"/>
        </w:rPr>
        <w:t xml:space="preserve">Tāpat laika periodā no 2000.–2012.gadam </w:t>
      </w:r>
      <w:r w:rsidR="000F76F9">
        <w:rPr>
          <w:rFonts w:eastAsia="Times New Roman" w:cs="Times New Roman"/>
          <w:szCs w:val="28"/>
        </w:rPr>
        <w:t xml:space="preserve">kopējo </w:t>
      </w:r>
      <w:r w:rsidR="00F26661" w:rsidRPr="00F26661">
        <w:rPr>
          <w:rFonts w:eastAsia="Times New Roman" w:cs="Times New Roman"/>
          <w:szCs w:val="28"/>
        </w:rPr>
        <w:t>primāro energoresursu patēriņ</w:t>
      </w:r>
      <w:r w:rsidR="009A1E57">
        <w:rPr>
          <w:rFonts w:eastAsia="Times New Roman" w:cs="Times New Roman"/>
          <w:szCs w:val="28"/>
        </w:rPr>
        <w:t>u</w:t>
      </w:r>
      <w:r w:rsidR="00F26661" w:rsidRPr="00F26661">
        <w:rPr>
          <w:rFonts w:eastAsia="Times New Roman" w:cs="Times New Roman"/>
          <w:szCs w:val="28"/>
        </w:rPr>
        <w:t xml:space="preserve"> Latvijā ir </w:t>
      </w:r>
      <w:r w:rsidR="009A1E57">
        <w:rPr>
          <w:rFonts w:eastAsia="Times New Roman" w:cs="Times New Roman"/>
          <w:szCs w:val="28"/>
        </w:rPr>
        <w:t>skārušas</w:t>
      </w:r>
      <w:r w:rsidR="00F26661" w:rsidRPr="00F26661">
        <w:rPr>
          <w:rFonts w:eastAsia="Times New Roman" w:cs="Times New Roman"/>
          <w:szCs w:val="28"/>
        </w:rPr>
        <w:t xml:space="preserve"> būtiskas izmaiņas</w:t>
      </w:r>
      <w:r>
        <w:rPr>
          <w:rFonts w:eastAsia="Times New Roman" w:cs="Times New Roman"/>
          <w:szCs w:val="28"/>
        </w:rPr>
        <w:t xml:space="preserve"> (</w:t>
      </w:r>
      <w:proofErr w:type="spellStart"/>
      <w:r>
        <w:rPr>
          <w:rFonts w:eastAsia="Times New Roman" w:cs="Times New Roman"/>
          <w:szCs w:val="28"/>
        </w:rPr>
        <w:t>sk</w:t>
      </w:r>
      <w:r w:rsidR="00504E66">
        <w:rPr>
          <w:rFonts w:eastAsia="Times New Roman" w:cs="Times New Roman"/>
          <w:szCs w:val="28"/>
        </w:rPr>
        <w:t>at</w:t>
      </w:r>
      <w:proofErr w:type="spellEnd"/>
      <w:r>
        <w:rPr>
          <w:rFonts w:eastAsia="Times New Roman" w:cs="Times New Roman"/>
          <w:szCs w:val="28"/>
        </w:rPr>
        <w:t>. 3.attēlu)</w:t>
      </w:r>
      <w:r w:rsidR="00F26661" w:rsidRPr="00F26661">
        <w:rPr>
          <w:rFonts w:eastAsia="Times New Roman" w:cs="Times New Roman"/>
          <w:szCs w:val="28"/>
        </w:rPr>
        <w:t>. Sākot ar 2001.gadu, tas svārstījies apmēram 180 PJ</w:t>
      </w:r>
      <w:r w:rsidR="00F26661" w:rsidRPr="00F26661">
        <w:rPr>
          <w:rFonts w:eastAsia="Times New Roman" w:cs="Times New Roman"/>
          <w:color w:val="000000"/>
          <w:position w:val="6"/>
          <w:szCs w:val="16"/>
          <w:vertAlign w:val="superscript"/>
        </w:rPr>
        <w:footnoteReference w:id="1"/>
      </w:r>
      <w:r w:rsidR="00F26661" w:rsidRPr="00F26661">
        <w:rPr>
          <w:rFonts w:eastAsia="Times New Roman" w:cs="Times New Roman"/>
          <w:szCs w:val="28"/>
        </w:rPr>
        <w:t xml:space="preserve"> robežās, savukārt </w:t>
      </w:r>
      <w:r w:rsidR="00964EF9">
        <w:rPr>
          <w:rFonts w:eastAsia="Times New Roman" w:cs="Times New Roman"/>
          <w:szCs w:val="28"/>
        </w:rPr>
        <w:t>p</w:t>
      </w:r>
      <w:r w:rsidR="00F26661" w:rsidRPr="00F26661">
        <w:rPr>
          <w:rFonts w:eastAsia="Times New Roman" w:cs="Times New Roman"/>
          <w:szCs w:val="28"/>
        </w:rPr>
        <w:t>ēc 2007.gada nostabilizēj</w:t>
      </w:r>
      <w:r w:rsidR="009A1E57">
        <w:rPr>
          <w:rFonts w:eastAsia="Times New Roman" w:cs="Times New Roman"/>
          <w:szCs w:val="28"/>
        </w:rPr>
        <w:t>ās</w:t>
      </w:r>
      <w:r w:rsidR="00F26661" w:rsidRPr="00F26661">
        <w:rPr>
          <w:rFonts w:eastAsia="Times New Roman" w:cs="Times New Roman"/>
          <w:szCs w:val="28"/>
        </w:rPr>
        <w:t xml:space="preserve"> 190 – 200 PJ robežās. </w:t>
      </w:r>
    </w:p>
    <w:p w:rsidR="00F26661" w:rsidRPr="00F26661" w:rsidRDefault="0037747F" w:rsidP="00943829">
      <w:pPr>
        <w:ind w:firstLine="720"/>
        <w:jc w:val="both"/>
        <w:rPr>
          <w:rFonts w:eastAsia="Times New Roman" w:cs="Times New Roman"/>
          <w:szCs w:val="28"/>
        </w:rPr>
      </w:pPr>
      <w:r>
        <w:rPr>
          <w:rFonts w:eastAsia="Times New Roman" w:cs="Times New Roman"/>
          <w:szCs w:val="28"/>
        </w:rPr>
        <w:t>No</w:t>
      </w:r>
      <w:r w:rsidR="00F26661" w:rsidRPr="00F26661">
        <w:rPr>
          <w:rFonts w:eastAsia="Times New Roman" w:cs="Times New Roman"/>
          <w:szCs w:val="28"/>
        </w:rPr>
        <w:t xml:space="preserve"> 2000.gada līdz 2007.gadam </w:t>
      </w:r>
      <w:r w:rsidR="000F76F9">
        <w:rPr>
          <w:rFonts w:eastAsia="Times New Roman" w:cs="Times New Roman"/>
          <w:szCs w:val="28"/>
        </w:rPr>
        <w:t xml:space="preserve">kopējais </w:t>
      </w:r>
      <w:r w:rsidR="00F26661" w:rsidRPr="00F26661">
        <w:rPr>
          <w:rFonts w:eastAsia="Times New Roman" w:cs="Times New Roman"/>
          <w:szCs w:val="28"/>
        </w:rPr>
        <w:t xml:space="preserve">primāro energoresursu patēriņš pieauga </w:t>
      </w:r>
      <w:r w:rsidR="00F26661" w:rsidRPr="00EE2D0C">
        <w:rPr>
          <w:rFonts w:eastAsia="Times New Roman" w:cs="Times New Roman"/>
          <w:szCs w:val="28"/>
        </w:rPr>
        <w:t>vidēji par</w:t>
      </w:r>
      <w:r w:rsidR="00943829" w:rsidRPr="00EE2D0C">
        <w:rPr>
          <w:rFonts w:eastAsia="Times New Roman" w:cs="Times New Roman"/>
          <w:szCs w:val="28"/>
        </w:rPr>
        <w:t xml:space="preserve"> 2,8</w:t>
      </w:r>
      <w:r w:rsidR="00F26661" w:rsidRPr="00EE2D0C">
        <w:rPr>
          <w:rFonts w:eastAsia="Times New Roman" w:cs="Times New Roman"/>
          <w:szCs w:val="28"/>
        </w:rPr>
        <w:t>% gadā, 2007.gadā sasniedzot 204,6 PJ.</w:t>
      </w:r>
      <w:r w:rsidR="00964EF9" w:rsidRPr="00EE2D0C">
        <w:rPr>
          <w:rFonts w:eastAsia="Times New Roman" w:cs="Times New Roman"/>
          <w:szCs w:val="28"/>
        </w:rPr>
        <w:t xml:space="preserve"> </w:t>
      </w:r>
      <w:r w:rsidRPr="000F76F9">
        <w:rPr>
          <w:rFonts w:eastAsia="Times New Roman" w:cs="Times New Roman"/>
          <w:szCs w:val="28"/>
        </w:rPr>
        <w:t>Savukārt,</w:t>
      </w:r>
      <w:r w:rsidR="00BD2452" w:rsidRPr="000F76F9">
        <w:rPr>
          <w:rFonts w:eastAsia="Times New Roman" w:cs="Times New Roman"/>
          <w:szCs w:val="28"/>
        </w:rPr>
        <w:t>,</w:t>
      </w:r>
      <w:r w:rsidR="00F26661" w:rsidRPr="000F76F9">
        <w:rPr>
          <w:rFonts w:eastAsia="Times New Roman" w:cs="Times New Roman"/>
          <w:szCs w:val="28"/>
        </w:rPr>
        <w:t xml:space="preserve"> ekonomiskās krīzes ietekmē</w:t>
      </w:r>
      <w:r w:rsidR="00BD2452" w:rsidRPr="000F76F9">
        <w:rPr>
          <w:rFonts w:eastAsia="Times New Roman" w:cs="Times New Roman"/>
          <w:szCs w:val="28"/>
        </w:rPr>
        <w:t>,</w:t>
      </w:r>
      <w:r w:rsidR="00F26661" w:rsidRPr="000F76F9">
        <w:rPr>
          <w:rFonts w:eastAsia="Times New Roman" w:cs="Times New Roman"/>
          <w:szCs w:val="28"/>
        </w:rPr>
        <w:t xml:space="preserve"> </w:t>
      </w:r>
      <w:r w:rsidR="000F76F9">
        <w:rPr>
          <w:rFonts w:eastAsia="Times New Roman" w:cs="Times New Roman"/>
          <w:szCs w:val="28"/>
        </w:rPr>
        <w:t xml:space="preserve">kopējais primāro energoresursu </w:t>
      </w:r>
      <w:r w:rsidR="00F9744F" w:rsidRPr="000F76F9">
        <w:rPr>
          <w:rFonts w:eastAsia="Times New Roman" w:cs="Times New Roman"/>
          <w:szCs w:val="28"/>
        </w:rPr>
        <w:t>patēriņš</w:t>
      </w:r>
      <w:r w:rsidR="00F26661" w:rsidRPr="000F76F9">
        <w:rPr>
          <w:rFonts w:eastAsia="Times New Roman" w:cs="Times New Roman"/>
          <w:szCs w:val="28"/>
        </w:rPr>
        <w:t xml:space="preserve"> </w:t>
      </w:r>
      <w:r w:rsidR="00EA5F38">
        <w:rPr>
          <w:rFonts w:eastAsia="Times New Roman" w:cs="Times New Roman"/>
          <w:szCs w:val="28"/>
        </w:rPr>
        <w:t xml:space="preserve">samazinājās (2008.gadā </w:t>
      </w:r>
      <w:r w:rsidR="006810E0">
        <w:rPr>
          <w:rFonts w:eastAsia="Times New Roman" w:cs="Times New Roman"/>
          <w:szCs w:val="28"/>
        </w:rPr>
        <w:t xml:space="preserve">attiecīgi </w:t>
      </w:r>
      <w:r w:rsidR="000F76F9">
        <w:rPr>
          <w:rFonts w:eastAsia="Times New Roman" w:cs="Times New Roman"/>
          <w:szCs w:val="28"/>
        </w:rPr>
        <w:t xml:space="preserve">par </w:t>
      </w:r>
      <w:r w:rsidR="00065CE1">
        <w:rPr>
          <w:rFonts w:eastAsia="Times New Roman" w:cs="Times New Roman"/>
          <w:szCs w:val="28"/>
        </w:rPr>
        <w:t>4%</w:t>
      </w:r>
      <w:r w:rsidR="00EA5F38">
        <w:rPr>
          <w:rFonts w:eastAsia="Times New Roman" w:cs="Times New Roman"/>
          <w:szCs w:val="28"/>
        </w:rPr>
        <w:t xml:space="preserve">, bet </w:t>
      </w:r>
      <w:r w:rsidR="000F76F9">
        <w:rPr>
          <w:rFonts w:eastAsia="Times New Roman" w:cs="Times New Roman"/>
          <w:szCs w:val="28"/>
        </w:rPr>
        <w:t xml:space="preserve">2009.gadā </w:t>
      </w:r>
      <w:r w:rsidR="006810E0">
        <w:rPr>
          <w:rFonts w:eastAsia="Times New Roman" w:cs="Times New Roman"/>
          <w:szCs w:val="28"/>
        </w:rPr>
        <w:t xml:space="preserve">– </w:t>
      </w:r>
      <w:r w:rsidR="000F76F9">
        <w:rPr>
          <w:rFonts w:eastAsia="Times New Roman" w:cs="Times New Roman"/>
          <w:szCs w:val="28"/>
        </w:rPr>
        <w:t>par 3,8%</w:t>
      </w:r>
      <w:r w:rsidR="00EA5F38">
        <w:rPr>
          <w:rFonts w:eastAsia="Times New Roman" w:cs="Times New Roman"/>
          <w:szCs w:val="28"/>
        </w:rPr>
        <w:t>)</w:t>
      </w:r>
      <w:r w:rsidR="00557049">
        <w:rPr>
          <w:rFonts w:eastAsia="Times New Roman" w:cs="Times New Roman"/>
          <w:szCs w:val="28"/>
        </w:rPr>
        <w:t xml:space="preserve">, </w:t>
      </w:r>
      <w:r w:rsidR="000F76F9">
        <w:rPr>
          <w:rFonts w:eastAsia="Times New Roman" w:cs="Times New Roman"/>
          <w:szCs w:val="28"/>
        </w:rPr>
        <w:t xml:space="preserve">sasniedzot 2009.gadā </w:t>
      </w:r>
      <w:r w:rsidR="00EA5F38">
        <w:rPr>
          <w:rFonts w:eastAsia="Times New Roman" w:cs="Times New Roman"/>
          <w:szCs w:val="28"/>
        </w:rPr>
        <w:t>189,0 </w:t>
      </w:r>
      <w:r w:rsidR="000F76F9">
        <w:rPr>
          <w:rFonts w:eastAsia="Times New Roman" w:cs="Times New Roman"/>
          <w:szCs w:val="28"/>
        </w:rPr>
        <w:t>PJ.</w:t>
      </w:r>
      <w:r w:rsidR="00F26661" w:rsidRPr="000F76F9">
        <w:rPr>
          <w:rFonts w:eastAsia="Times New Roman" w:cs="Times New Roman"/>
          <w:szCs w:val="28"/>
        </w:rPr>
        <w:t xml:space="preserve"> 2010.gadā </w:t>
      </w:r>
      <w:r w:rsidR="000F76F9">
        <w:rPr>
          <w:rFonts w:eastAsia="Times New Roman" w:cs="Times New Roman"/>
          <w:szCs w:val="28"/>
        </w:rPr>
        <w:t xml:space="preserve">bija vērojams </w:t>
      </w:r>
      <w:r w:rsidR="00EA5F38">
        <w:rPr>
          <w:rFonts w:eastAsia="Times New Roman" w:cs="Times New Roman"/>
          <w:szCs w:val="28"/>
        </w:rPr>
        <w:t xml:space="preserve">kopējā patēriņa </w:t>
      </w:r>
      <w:r w:rsidR="000F76F9">
        <w:rPr>
          <w:rFonts w:eastAsia="Times New Roman" w:cs="Times New Roman"/>
          <w:szCs w:val="28"/>
        </w:rPr>
        <w:t xml:space="preserve">pieaugums par 6,1%, </w:t>
      </w:r>
      <w:r w:rsidR="00F26661" w:rsidRPr="000F76F9">
        <w:rPr>
          <w:rFonts w:eastAsia="Times New Roman" w:cs="Times New Roman"/>
          <w:szCs w:val="28"/>
        </w:rPr>
        <w:t xml:space="preserve">sasniedzot 200,5 PJ, bet 2011.gadā </w:t>
      </w:r>
      <w:r w:rsidR="006810E0">
        <w:rPr>
          <w:rFonts w:eastAsia="Times New Roman" w:cs="Times New Roman"/>
          <w:szCs w:val="28"/>
        </w:rPr>
        <w:t>tas</w:t>
      </w:r>
      <w:r w:rsidR="00EA5F38">
        <w:rPr>
          <w:rFonts w:eastAsia="Times New Roman" w:cs="Times New Roman"/>
          <w:szCs w:val="28"/>
        </w:rPr>
        <w:t xml:space="preserve"> ievērojami samazinājās par 8,1%</w:t>
      </w:r>
      <w:r w:rsidR="00557049">
        <w:rPr>
          <w:rFonts w:eastAsia="Times New Roman" w:cs="Times New Roman"/>
          <w:szCs w:val="28"/>
        </w:rPr>
        <w:t xml:space="preserve"> </w:t>
      </w:r>
      <w:r w:rsidR="00557049">
        <w:rPr>
          <w:rFonts w:eastAsia="Times New Roman" w:cs="Times New Roman"/>
          <w:szCs w:val="28"/>
        </w:rPr>
        <w:lastRenderedPageBreak/>
        <w:t>un bija</w:t>
      </w:r>
      <w:r w:rsidR="00F26661" w:rsidRPr="000F76F9">
        <w:rPr>
          <w:rFonts w:eastAsia="Times New Roman" w:cs="Times New Roman"/>
          <w:szCs w:val="28"/>
        </w:rPr>
        <w:t xml:space="preserve"> 184,2 PJ</w:t>
      </w:r>
      <w:r w:rsidR="00EA5F38">
        <w:rPr>
          <w:rFonts w:eastAsia="Times New Roman" w:cs="Times New Roman"/>
          <w:szCs w:val="28"/>
        </w:rPr>
        <w:t>.</w:t>
      </w:r>
      <w:r w:rsidR="00964EF9" w:rsidRPr="000F76F9">
        <w:rPr>
          <w:rFonts w:eastAsia="Times New Roman" w:cs="Times New Roman"/>
          <w:szCs w:val="28"/>
        </w:rPr>
        <w:t>.</w:t>
      </w:r>
      <w:r w:rsidR="00035C68">
        <w:rPr>
          <w:rFonts w:eastAsia="Times New Roman" w:cs="Times New Roman"/>
          <w:szCs w:val="28"/>
        </w:rPr>
        <w:t xml:space="preserve"> </w:t>
      </w:r>
      <w:r w:rsidR="004571DE">
        <w:rPr>
          <w:rFonts w:eastAsia="Times New Roman" w:cs="Times New Roman"/>
          <w:szCs w:val="28"/>
        </w:rPr>
        <w:t>2012.gadā, salīdzinot ar 2011.gadu, k</w:t>
      </w:r>
      <w:r w:rsidR="00035C68">
        <w:rPr>
          <w:rFonts w:eastAsia="Times New Roman" w:cs="Times New Roman"/>
          <w:szCs w:val="28"/>
        </w:rPr>
        <w:t xml:space="preserve">opējais </w:t>
      </w:r>
      <w:r w:rsidR="000B3492" w:rsidRPr="000F76F9">
        <w:rPr>
          <w:rFonts w:eastAsia="Times New Roman" w:cs="Times New Roman"/>
          <w:bCs/>
          <w:szCs w:val="28"/>
        </w:rPr>
        <w:t xml:space="preserve">primāro energoresursu patēriņš atkal </w:t>
      </w:r>
      <w:r w:rsidR="004571DE">
        <w:rPr>
          <w:rFonts w:eastAsia="Times New Roman" w:cs="Times New Roman"/>
          <w:bCs/>
          <w:szCs w:val="28"/>
        </w:rPr>
        <w:t>sāka pieaugt (+3,5%) un sasniedza 190,6 </w:t>
      </w:r>
      <w:r w:rsidR="000B3492" w:rsidRPr="000F76F9">
        <w:rPr>
          <w:rFonts w:eastAsia="Times New Roman" w:cs="Times New Roman"/>
          <w:bCs/>
          <w:szCs w:val="28"/>
        </w:rPr>
        <w:t>PJ.</w:t>
      </w:r>
      <w:r w:rsidR="00964EF9">
        <w:rPr>
          <w:rFonts w:eastAsia="Times New Roman" w:cs="Times New Roman"/>
          <w:szCs w:val="28"/>
        </w:rPr>
        <w:t xml:space="preserve"> </w:t>
      </w:r>
    </w:p>
    <w:p w:rsidR="00F26661" w:rsidRDefault="00F26661" w:rsidP="00964EF9">
      <w:pPr>
        <w:jc w:val="center"/>
        <w:rPr>
          <w:rFonts w:eastAsia="Times New Roman" w:cs="Times New Roman"/>
          <w:szCs w:val="28"/>
        </w:rPr>
      </w:pPr>
    </w:p>
    <w:p w:rsidR="00D8013C" w:rsidRPr="00F26661" w:rsidRDefault="00EC0D87" w:rsidP="00964EF9">
      <w:pPr>
        <w:jc w:val="center"/>
        <w:rPr>
          <w:rFonts w:eastAsia="Times New Roman" w:cs="Times New Roman"/>
          <w:szCs w:val="28"/>
        </w:rPr>
      </w:pPr>
      <w:r>
        <w:rPr>
          <w:noProof/>
          <w:lang w:eastAsia="lv-LV"/>
        </w:rPr>
        <w:drawing>
          <wp:inline distT="0" distB="0" distL="0" distR="0" wp14:anchorId="57D3D24F" wp14:editId="7438113D">
            <wp:extent cx="5274310" cy="2647315"/>
            <wp:effectExtent l="0" t="0" r="2540" b="63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354EF6" w:rsidRDefault="00104640" w:rsidP="00834B2A">
      <w:pPr>
        <w:rPr>
          <w:rFonts w:eastAsia="Times New Roman" w:cs="Times New Roman"/>
          <w:b/>
          <w:sz w:val="24"/>
          <w:szCs w:val="24"/>
        </w:rPr>
      </w:pPr>
      <w:r w:rsidRPr="00834B2A">
        <w:rPr>
          <w:rFonts w:eastAsia="Times New Roman" w:cs="Times New Roman"/>
          <w:b/>
          <w:sz w:val="24"/>
          <w:szCs w:val="24"/>
        </w:rPr>
        <w:t>3</w:t>
      </w:r>
      <w:r w:rsidR="00F26661" w:rsidRPr="00834B2A">
        <w:rPr>
          <w:rFonts w:eastAsia="Times New Roman" w:cs="Times New Roman"/>
          <w:b/>
          <w:sz w:val="24"/>
          <w:szCs w:val="24"/>
        </w:rPr>
        <w:t xml:space="preserve">.attēls. Primāro energoresursu struktūra un </w:t>
      </w:r>
      <w:proofErr w:type="spellStart"/>
      <w:r w:rsidR="00F26661" w:rsidRPr="00834B2A">
        <w:rPr>
          <w:rFonts w:eastAsia="Times New Roman" w:cs="Times New Roman"/>
          <w:b/>
          <w:sz w:val="24"/>
          <w:szCs w:val="24"/>
        </w:rPr>
        <w:t>pašnodrošinājums</w:t>
      </w:r>
      <w:proofErr w:type="spellEnd"/>
      <w:r w:rsidR="00F26661" w:rsidRPr="00834B2A">
        <w:rPr>
          <w:rFonts w:eastAsia="Times New Roman" w:cs="Times New Roman"/>
          <w:b/>
          <w:sz w:val="24"/>
          <w:szCs w:val="24"/>
        </w:rPr>
        <w:t xml:space="preserve"> Latvijā 2000</w:t>
      </w:r>
      <w:r w:rsidR="008175E6" w:rsidRPr="00834B2A">
        <w:rPr>
          <w:rFonts w:eastAsia="Times New Roman" w:cs="Times New Roman"/>
          <w:b/>
          <w:sz w:val="24"/>
          <w:szCs w:val="24"/>
        </w:rPr>
        <w:t>.-</w:t>
      </w:r>
      <w:r w:rsidR="00F26661" w:rsidRPr="00834B2A">
        <w:rPr>
          <w:rFonts w:eastAsia="Times New Roman" w:cs="Times New Roman"/>
          <w:b/>
          <w:sz w:val="24"/>
          <w:szCs w:val="24"/>
        </w:rPr>
        <w:t>2012.,</w:t>
      </w:r>
    </w:p>
    <w:p w:rsidR="00F26661" w:rsidRPr="00834B2A" w:rsidRDefault="00F26661" w:rsidP="00834B2A">
      <w:pPr>
        <w:rPr>
          <w:rFonts w:eastAsia="Times New Roman" w:cs="Times New Roman"/>
          <w:b/>
          <w:szCs w:val="28"/>
        </w:rPr>
      </w:pPr>
      <w:r w:rsidRPr="00834B2A">
        <w:rPr>
          <w:rFonts w:eastAsia="Times New Roman" w:cs="Times New Roman"/>
          <w:b/>
          <w:sz w:val="24"/>
          <w:szCs w:val="24"/>
        </w:rPr>
        <w:t xml:space="preserve"> PJ, %</w:t>
      </w:r>
    </w:p>
    <w:p w:rsidR="00F26661" w:rsidRPr="00F26661" w:rsidRDefault="00F26661" w:rsidP="00F26661">
      <w:pPr>
        <w:ind w:firstLine="720"/>
        <w:jc w:val="both"/>
        <w:rPr>
          <w:rFonts w:eastAsia="Times New Roman" w:cs="Times New Roman"/>
          <w:bCs/>
          <w:sz w:val="24"/>
          <w:szCs w:val="24"/>
        </w:rPr>
      </w:pPr>
    </w:p>
    <w:p w:rsidR="00F26661" w:rsidRDefault="00FA0175" w:rsidP="003A7104">
      <w:pPr>
        <w:ind w:firstLine="720"/>
        <w:jc w:val="both"/>
        <w:rPr>
          <w:rFonts w:eastAsia="Times New Roman" w:cs="Times New Roman"/>
          <w:bCs/>
          <w:szCs w:val="28"/>
        </w:rPr>
      </w:pPr>
      <w:r>
        <w:rPr>
          <w:rFonts w:eastAsia="Times New Roman" w:cs="Times New Roman"/>
          <w:bCs/>
          <w:szCs w:val="28"/>
        </w:rPr>
        <w:t xml:space="preserve">Lielāko daļu </w:t>
      </w:r>
      <w:r w:rsidR="00E5132D">
        <w:rPr>
          <w:rFonts w:eastAsia="Times New Roman" w:cs="Times New Roman"/>
          <w:bCs/>
          <w:szCs w:val="28"/>
        </w:rPr>
        <w:t xml:space="preserve">no </w:t>
      </w:r>
      <w:r w:rsidR="000D7457">
        <w:rPr>
          <w:rFonts w:eastAsia="Times New Roman" w:cs="Times New Roman"/>
          <w:bCs/>
          <w:szCs w:val="28"/>
        </w:rPr>
        <w:t xml:space="preserve">kopējā </w:t>
      </w:r>
      <w:r w:rsidR="00F26661" w:rsidRPr="001E5825">
        <w:rPr>
          <w:rFonts w:eastAsia="Times New Roman" w:cs="Times New Roman"/>
          <w:bCs/>
          <w:szCs w:val="28"/>
        </w:rPr>
        <w:t>primāro energoresursu patēriņ</w:t>
      </w:r>
      <w:r w:rsidR="00E5132D">
        <w:rPr>
          <w:rFonts w:eastAsia="Times New Roman" w:cs="Times New Roman"/>
          <w:bCs/>
          <w:szCs w:val="28"/>
        </w:rPr>
        <w:t>a</w:t>
      </w:r>
      <w:r w:rsidR="00F26661" w:rsidRPr="001E5825">
        <w:rPr>
          <w:rFonts w:eastAsia="Times New Roman" w:cs="Times New Roman"/>
          <w:bCs/>
          <w:szCs w:val="28"/>
        </w:rPr>
        <w:t xml:space="preserve"> 2012.gadā</w:t>
      </w:r>
      <w:r w:rsidR="00E5132D">
        <w:rPr>
          <w:rFonts w:eastAsia="Times New Roman" w:cs="Times New Roman"/>
          <w:bCs/>
          <w:szCs w:val="28"/>
        </w:rPr>
        <w:t xml:space="preserve"> veidoja naftas produkti (58,39 PJ jeb </w:t>
      </w:r>
      <w:r w:rsidR="007F0702">
        <w:rPr>
          <w:rFonts w:eastAsia="Times New Roman" w:cs="Times New Roman"/>
          <w:bCs/>
          <w:szCs w:val="28"/>
        </w:rPr>
        <w:t>30,6</w:t>
      </w:r>
      <w:r w:rsidR="00E5132D">
        <w:rPr>
          <w:rFonts w:eastAsia="Times New Roman" w:cs="Times New Roman"/>
          <w:bCs/>
          <w:szCs w:val="28"/>
        </w:rPr>
        <w:t>%), kurināmā koksne un kokogles (</w:t>
      </w:r>
      <w:r w:rsidR="007F0702">
        <w:rPr>
          <w:rFonts w:eastAsia="Times New Roman" w:cs="Times New Roman"/>
          <w:bCs/>
          <w:szCs w:val="28"/>
        </w:rPr>
        <w:t>52,24 PJ jeb 27,4%</w:t>
      </w:r>
      <w:r w:rsidR="00E5132D">
        <w:rPr>
          <w:rFonts w:eastAsia="Times New Roman" w:cs="Times New Roman"/>
          <w:bCs/>
          <w:szCs w:val="28"/>
        </w:rPr>
        <w:t>) un dabasgāze</w:t>
      </w:r>
      <w:r w:rsidR="007F0702">
        <w:rPr>
          <w:rFonts w:eastAsia="Times New Roman" w:cs="Times New Roman"/>
          <w:bCs/>
          <w:szCs w:val="28"/>
        </w:rPr>
        <w:t xml:space="preserve"> (50,81 PJ jeb 26,7%)</w:t>
      </w:r>
      <w:r w:rsidR="00E5132D">
        <w:rPr>
          <w:rFonts w:eastAsia="Times New Roman" w:cs="Times New Roman"/>
          <w:bCs/>
          <w:szCs w:val="28"/>
        </w:rPr>
        <w:t>.</w:t>
      </w:r>
    </w:p>
    <w:p w:rsidR="001375B5" w:rsidRDefault="005201AA" w:rsidP="00422D8F">
      <w:pPr>
        <w:ind w:firstLine="720"/>
        <w:jc w:val="both"/>
        <w:rPr>
          <w:rFonts w:eastAsia="Times New Roman" w:cs="Times New Roman"/>
          <w:szCs w:val="28"/>
        </w:rPr>
      </w:pPr>
      <w:r w:rsidRPr="00F26661">
        <w:rPr>
          <w:rFonts w:eastAsia="Times New Roman" w:cs="Times New Roman"/>
          <w:szCs w:val="28"/>
        </w:rPr>
        <w:t>Vairāk nekā 20% no kopējā primāro resursu patēriņa sastād</w:t>
      </w:r>
      <w:r>
        <w:rPr>
          <w:rFonts w:eastAsia="Times New Roman" w:cs="Times New Roman"/>
          <w:szCs w:val="28"/>
        </w:rPr>
        <w:t>īja</w:t>
      </w:r>
      <w:r w:rsidRPr="00F26661">
        <w:rPr>
          <w:rFonts w:eastAsia="Times New Roman" w:cs="Times New Roman"/>
          <w:szCs w:val="28"/>
        </w:rPr>
        <w:t xml:space="preserve"> transporta sektoram nepieciešamā degviela. </w:t>
      </w:r>
    </w:p>
    <w:p w:rsidR="001375B5" w:rsidRDefault="00EC0D87" w:rsidP="007C527E">
      <w:pPr>
        <w:jc w:val="center"/>
        <w:rPr>
          <w:rFonts w:eastAsia="Times New Roman" w:cs="Times New Roman"/>
          <w:bCs/>
          <w:sz w:val="24"/>
          <w:szCs w:val="24"/>
        </w:rPr>
      </w:pPr>
      <w:r>
        <w:rPr>
          <w:noProof/>
          <w:lang w:eastAsia="lv-LV"/>
        </w:rPr>
        <w:drawing>
          <wp:inline distT="0" distB="0" distL="0" distR="0" wp14:anchorId="0D94EF3F" wp14:editId="25AB09DF">
            <wp:extent cx="5274310" cy="3228340"/>
            <wp:effectExtent l="0" t="0" r="21590" b="1016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1375B5" w:rsidRPr="00834B2A" w:rsidRDefault="00E163DF" w:rsidP="00834B2A">
      <w:pPr>
        <w:rPr>
          <w:rFonts w:eastAsia="Times New Roman" w:cs="Times New Roman"/>
          <w:b/>
          <w:bCs/>
          <w:sz w:val="24"/>
          <w:szCs w:val="24"/>
        </w:rPr>
      </w:pPr>
      <w:r w:rsidRPr="00834B2A">
        <w:rPr>
          <w:rFonts w:eastAsia="Times New Roman" w:cs="Times New Roman"/>
          <w:b/>
          <w:bCs/>
          <w:sz w:val="24"/>
          <w:szCs w:val="24"/>
        </w:rPr>
        <w:t>4</w:t>
      </w:r>
      <w:r w:rsidR="001375B5" w:rsidRPr="00834B2A">
        <w:rPr>
          <w:rFonts w:eastAsia="Times New Roman" w:cs="Times New Roman"/>
          <w:b/>
          <w:bCs/>
          <w:sz w:val="24"/>
          <w:szCs w:val="24"/>
        </w:rPr>
        <w:t>.attēls. Latvijas energoresursu struktūra 2012.gadā (pa resursu ve</w:t>
      </w:r>
      <w:r w:rsidR="006C380C" w:rsidRPr="00834B2A">
        <w:rPr>
          <w:rFonts w:eastAsia="Times New Roman" w:cs="Times New Roman"/>
          <w:b/>
          <w:bCs/>
          <w:sz w:val="24"/>
          <w:szCs w:val="24"/>
        </w:rPr>
        <w:t>i</w:t>
      </w:r>
      <w:r w:rsidR="001375B5" w:rsidRPr="00834B2A">
        <w:rPr>
          <w:rFonts w:eastAsia="Times New Roman" w:cs="Times New Roman"/>
          <w:b/>
          <w:bCs/>
          <w:sz w:val="24"/>
          <w:szCs w:val="24"/>
        </w:rPr>
        <w:t>diem</w:t>
      </w:r>
      <w:r w:rsidR="00354EF6">
        <w:rPr>
          <w:rFonts w:eastAsia="Times New Roman" w:cs="Times New Roman"/>
          <w:b/>
          <w:bCs/>
          <w:sz w:val="24"/>
          <w:szCs w:val="24"/>
        </w:rPr>
        <w:t>)</w:t>
      </w:r>
      <w:r w:rsidR="001375B5" w:rsidRPr="00834B2A">
        <w:rPr>
          <w:rFonts w:eastAsia="Times New Roman" w:cs="Times New Roman"/>
          <w:b/>
          <w:bCs/>
          <w:sz w:val="24"/>
          <w:szCs w:val="24"/>
        </w:rPr>
        <w:t>, PJ un %.</w:t>
      </w:r>
    </w:p>
    <w:p w:rsidR="00F26661" w:rsidRPr="00834B2A" w:rsidRDefault="00964EF9" w:rsidP="00964EF9">
      <w:pPr>
        <w:pStyle w:val="Heading2"/>
        <w:rPr>
          <w:rFonts w:ascii="Times New Roman" w:eastAsia="Times New Roman" w:hAnsi="Times New Roman" w:cs="Times New Roman"/>
          <w:color w:val="auto"/>
          <w:sz w:val="28"/>
          <w:szCs w:val="28"/>
        </w:rPr>
      </w:pPr>
      <w:bookmarkStart w:id="3" w:name="_Toc400714649"/>
      <w:r w:rsidRPr="00834B2A">
        <w:rPr>
          <w:rFonts w:ascii="Times New Roman" w:eastAsia="Times New Roman" w:hAnsi="Times New Roman" w:cs="Times New Roman"/>
          <w:color w:val="auto"/>
          <w:sz w:val="28"/>
          <w:szCs w:val="28"/>
        </w:rPr>
        <w:lastRenderedPageBreak/>
        <w:t xml:space="preserve">1.2. </w:t>
      </w:r>
      <w:r w:rsidR="00F26661" w:rsidRPr="00834B2A">
        <w:rPr>
          <w:rFonts w:ascii="Times New Roman" w:eastAsia="Times New Roman" w:hAnsi="Times New Roman" w:cs="Times New Roman"/>
          <w:color w:val="auto"/>
          <w:sz w:val="28"/>
          <w:szCs w:val="28"/>
        </w:rPr>
        <w:t>Biomasa</w:t>
      </w:r>
      <w:bookmarkEnd w:id="3"/>
    </w:p>
    <w:p w:rsidR="00F26661" w:rsidRPr="00F26661" w:rsidRDefault="00F26661" w:rsidP="00F26661">
      <w:pPr>
        <w:ind w:firstLine="720"/>
        <w:jc w:val="both"/>
        <w:rPr>
          <w:rFonts w:eastAsia="Times New Roman" w:cs="Times New Roman"/>
          <w:bCs/>
          <w:szCs w:val="24"/>
        </w:rPr>
      </w:pPr>
      <w:r w:rsidRPr="00F26661">
        <w:rPr>
          <w:rFonts w:eastAsia="Times New Roman" w:cs="Times New Roman"/>
          <w:bCs/>
          <w:szCs w:val="24"/>
        </w:rPr>
        <w:t xml:space="preserve">Ar terminu „biomasa” apzīmē resursus, kuri ir organiskas izcelsmes un radušies bioloģiskā procesā. </w:t>
      </w:r>
      <w:r w:rsidR="00BA4359">
        <w:rPr>
          <w:rFonts w:eastAsia="Times New Roman" w:cs="Times New Roman"/>
          <w:bCs/>
          <w:szCs w:val="24"/>
        </w:rPr>
        <w:t xml:space="preserve">Tie ir </w:t>
      </w:r>
      <w:r w:rsidRPr="00F26661">
        <w:rPr>
          <w:rFonts w:eastAsia="Times New Roman" w:cs="Times New Roman"/>
          <w:bCs/>
          <w:szCs w:val="24"/>
        </w:rPr>
        <w:t>koksn</w:t>
      </w:r>
      <w:r w:rsidR="00BA4359">
        <w:rPr>
          <w:rFonts w:eastAsia="Times New Roman" w:cs="Times New Roman"/>
          <w:bCs/>
          <w:szCs w:val="24"/>
        </w:rPr>
        <w:t>e</w:t>
      </w:r>
      <w:r w:rsidRPr="00F26661">
        <w:rPr>
          <w:rFonts w:eastAsia="Times New Roman" w:cs="Times New Roman"/>
          <w:bCs/>
          <w:szCs w:val="24"/>
        </w:rPr>
        <w:t>, mežizstrādes un kokapstrādes blakusprodukt</w:t>
      </w:r>
      <w:r w:rsidR="00BA4359">
        <w:rPr>
          <w:rFonts w:eastAsia="Times New Roman" w:cs="Times New Roman"/>
          <w:bCs/>
          <w:szCs w:val="24"/>
        </w:rPr>
        <w:t xml:space="preserve">i, </w:t>
      </w:r>
      <w:r w:rsidRPr="00F26661">
        <w:rPr>
          <w:rFonts w:eastAsia="Times New Roman" w:cs="Times New Roman"/>
          <w:bCs/>
          <w:szCs w:val="24"/>
        </w:rPr>
        <w:t xml:space="preserve">enerģētiskās kultūras (augi, kurus speciāli audzē, lai vēlāk no tiem iegūtu enerģiju, parasti ātraudzīgi, ar salīdzinoši augstu siltumietilpību). Biomasa ir arī bioloģiski produkti un atlikumi no lauksaimniecības procesiem, bioloģiski noārdāmā daļa no rūpniecības, lopkopības un mājsaimniecību atkritumiem. </w:t>
      </w:r>
    </w:p>
    <w:p w:rsidR="00F26661" w:rsidRPr="00834B2A" w:rsidRDefault="00964EF9" w:rsidP="00964EF9">
      <w:pPr>
        <w:pStyle w:val="Heading3"/>
        <w:rPr>
          <w:rFonts w:ascii="Times New Roman" w:eastAsia="Times New Roman" w:hAnsi="Times New Roman" w:cs="Times New Roman"/>
          <w:color w:val="auto"/>
          <w:szCs w:val="28"/>
        </w:rPr>
      </w:pPr>
      <w:bookmarkStart w:id="4" w:name="_Toc400714650"/>
      <w:r w:rsidRPr="00834B2A">
        <w:rPr>
          <w:rFonts w:ascii="Times New Roman" w:eastAsia="Times New Roman" w:hAnsi="Times New Roman" w:cs="Times New Roman"/>
          <w:color w:val="auto"/>
          <w:szCs w:val="28"/>
        </w:rPr>
        <w:t xml:space="preserve">1.2.1. </w:t>
      </w:r>
      <w:r w:rsidR="00F26661" w:rsidRPr="00834B2A">
        <w:rPr>
          <w:rFonts w:ascii="Times New Roman" w:eastAsia="Times New Roman" w:hAnsi="Times New Roman" w:cs="Times New Roman"/>
          <w:color w:val="auto"/>
          <w:szCs w:val="28"/>
        </w:rPr>
        <w:t>Koksne</w:t>
      </w:r>
      <w:bookmarkEnd w:id="4"/>
    </w:p>
    <w:p w:rsidR="008B26C7" w:rsidRPr="00F26661" w:rsidRDefault="008B26C7" w:rsidP="008B26C7">
      <w:pPr>
        <w:ind w:firstLine="567"/>
        <w:jc w:val="both"/>
        <w:rPr>
          <w:rFonts w:eastAsia="Times New Roman" w:cs="Times New Roman"/>
          <w:szCs w:val="28"/>
        </w:rPr>
      </w:pPr>
      <w:r>
        <w:rPr>
          <w:rFonts w:cs="Times New Roman"/>
          <w:szCs w:val="28"/>
        </w:rPr>
        <w:t>Saskaņā ar Latvijas Republikas Centrālās statistikas pārvaldes datiem m</w:t>
      </w:r>
      <w:r w:rsidRPr="006D39BF">
        <w:rPr>
          <w:rFonts w:cs="Times New Roman"/>
          <w:szCs w:val="28"/>
        </w:rPr>
        <w:t xml:space="preserve">eža platība Latvijā </w:t>
      </w:r>
      <w:r>
        <w:rPr>
          <w:rFonts w:cs="Times New Roman"/>
          <w:szCs w:val="28"/>
        </w:rPr>
        <w:t xml:space="preserve">2014.gadā </w:t>
      </w:r>
      <w:r w:rsidRPr="006D39BF">
        <w:rPr>
          <w:rFonts w:cs="Times New Roman"/>
          <w:szCs w:val="28"/>
        </w:rPr>
        <w:t>aizņem</w:t>
      </w:r>
      <w:r>
        <w:rPr>
          <w:rFonts w:cs="Times New Roman"/>
          <w:szCs w:val="28"/>
        </w:rPr>
        <w:t xml:space="preserve"> 3260</w:t>
      </w:r>
      <w:r w:rsidRPr="006D39BF">
        <w:rPr>
          <w:rFonts w:cs="Times New Roman"/>
          <w:szCs w:val="28"/>
        </w:rPr>
        <w:t xml:space="preserve"> </w:t>
      </w:r>
      <w:proofErr w:type="spellStart"/>
      <w:r w:rsidRPr="006D39BF">
        <w:rPr>
          <w:rFonts w:cs="Times New Roman"/>
          <w:szCs w:val="28"/>
        </w:rPr>
        <w:t>tūkst</w:t>
      </w:r>
      <w:proofErr w:type="spellEnd"/>
      <w:r w:rsidRPr="006D39BF">
        <w:rPr>
          <w:rFonts w:cs="Times New Roman"/>
          <w:szCs w:val="28"/>
        </w:rPr>
        <w:t xml:space="preserve">. ha, </w:t>
      </w:r>
      <w:r>
        <w:rPr>
          <w:rFonts w:cs="Times New Roman"/>
          <w:szCs w:val="28"/>
        </w:rPr>
        <w:t>mežainums ir 49,5%..</w:t>
      </w:r>
      <w:r w:rsidRPr="006D39BF">
        <w:rPr>
          <w:rFonts w:cs="Times New Roman"/>
          <w:szCs w:val="28"/>
        </w:rPr>
        <w:t xml:space="preserve"> </w:t>
      </w:r>
      <w:r>
        <w:rPr>
          <w:rFonts w:eastAsia="Times New Roman" w:cs="Times New Roman"/>
          <w:szCs w:val="28"/>
        </w:rPr>
        <w:t xml:space="preserve"> </w:t>
      </w:r>
      <w:r w:rsidRPr="00F26661">
        <w:rPr>
          <w:rFonts w:eastAsia="Times New Roman" w:cs="Times New Roman"/>
          <w:szCs w:val="28"/>
        </w:rPr>
        <w:t xml:space="preserve">Latvijas mežu </w:t>
      </w:r>
      <w:r w:rsidRPr="00F26661">
        <w:rPr>
          <w:rFonts w:eastAsia="Times New Roman" w:cs="Times New Roman"/>
          <w:szCs w:val="24"/>
        </w:rPr>
        <w:t>koksnes</w:t>
      </w:r>
      <w:r w:rsidRPr="00F26661">
        <w:rPr>
          <w:rFonts w:eastAsia="Times New Roman" w:cs="Times New Roman"/>
          <w:szCs w:val="28"/>
        </w:rPr>
        <w:t xml:space="preserve"> kopējā </w:t>
      </w:r>
      <w:r w:rsidRPr="00403B3D">
        <w:rPr>
          <w:rFonts w:eastAsia="Times New Roman" w:cs="Times New Roman"/>
          <w:szCs w:val="28"/>
        </w:rPr>
        <w:t>krāja</w:t>
      </w:r>
      <w:r w:rsidRPr="005B2FE9">
        <w:rPr>
          <w:rFonts w:eastAsia="Times New Roman" w:cs="Times New Roman"/>
          <w:szCs w:val="28"/>
        </w:rPr>
        <w:t xml:space="preserve"> </w:t>
      </w:r>
      <w:r>
        <w:rPr>
          <w:rFonts w:eastAsia="Times New Roman" w:cs="Times New Roman"/>
          <w:szCs w:val="28"/>
        </w:rPr>
        <w:t xml:space="preserve">2014.gadā </w:t>
      </w:r>
      <w:r w:rsidRPr="005B2FE9">
        <w:rPr>
          <w:rFonts w:eastAsia="Times New Roman" w:cs="Times New Roman"/>
          <w:szCs w:val="28"/>
        </w:rPr>
        <w:t>ir</w:t>
      </w:r>
      <w:r>
        <w:rPr>
          <w:rFonts w:eastAsia="Times New Roman" w:cs="Times New Roman"/>
          <w:szCs w:val="28"/>
        </w:rPr>
        <w:t xml:space="preserve"> 668</w:t>
      </w:r>
      <w:r w:rsidRPr="005B2FE9">
        <w:rPr>
          <w:rFonts w:eastAsia="Times New Roman" w:cs="Times New Roman"/>
          <w:szCs w:val="28"/>
        </w:rPr>
        <w:t xml:space="preserve"> </w:t>
      </w:r>
      <w:proofErr w:type="spellStart"/>
      <w:r w:rsidRPr="005B2FE9">
        <w:rPr>
          <w:rFonts w:eastAsia="Times New Roman" w:cs="Times New Roman"/>
          <w:szCs w:val="28"/>
        </w:rPr>
        <w:t>milj</w:t>
      </w:r>
      <w:proofErr w:type="spellEnd"/>
      <w:r w:rsidRPr="005B2FE9">
        <w:rPr>
          <w:rFonts w:eastAsia="Times New Roman" w:cs="Times New Roman"/>
          <w:szCs w:val="28"/>
        </w:rPr>
        <w:t>. m</w:t>
      </w:r>
      <w:r w:rsidRPr="005B2FE9">
        <w:rPr>
          <w:rFonts w:eastAsia="Times New Roman" w:cs="Times New Roman"/>
          <w:szCs w:val="28"/>
          <w:vertAlign w:val="superscript"/>
        </w:rPr>
        <w:t>3</w:t>
      </w:r>
      <w:r>
        <w:rPr>
          <w:rFonts w:eastAsia="Times New Roman" w:cs="Times New Roman"/>
          <w:szCs w:val="28"/>
        </w:rPr>
        <w:t>.</w:t>
      </w:r>
    </w:p>
    <w:p w:rsidR="00F26661" w:rsidRPr="00F26661" w:rsidRDefault="008B26C7" w:rsidP="00F26661">
      <w:pPr>
        <w:ind w:firstLine="720"/>
        <w:jc w:val="both"/>
        <w:rPr>
          <w:rFonts w:eastAsia="Times New Roman" w:cs="Times New Roman"/>
          <w:szCs w:val="28"/>
        </w:rPr>
      </w:pPr>
      <w:r w:rsidRPr="00F26661">
        <w:rPr>
          <w:rFonts w:eastAsia="Times New Roman" w:cs="Times New Roman"/>
          <w:szCs w:val="28"/>
        </w:rPr>
        <w:t>Koksne</w:t>
      </w:r>
      <w:r>
        <w:rPr>
          <w:rFonts w:eastAsia="Times New Roman" w:cs="Times New Roman"/>
          <w:szCs w:val="28"/>
        </w:rPr>
        <w:t>s biomasa</w:t>
      </w:r>
      <w:r w:rsidRPr="00F26661">
        <w:rPr>
          <w:rFonts w:eastAsia="Times New Roman" w:cs="Times New Roman"/>
          <w:szCs w:val="28"/>
        </w:rPr>
        <w:t xml:space="preserve"> ir nozīmīgākais vietējais kurināmais Latvijā. </w:t>
      </w:r>
      <w:r>
        <w:rPr>
          <w:rFonts w:eastAsia="Times New Roman" w:cs="Times New Roman"/>
          <w:szCs w:val="28"/>
        </w:rPr>
        <w:t>Kurināmās koksnes</w:t>
      </w:r>
      <w:r w:rsidRPr="00F26661">
        <w:rPr>
          <w:rFonts w:eastAsia="Times New Roman" w:cs="Times New Roman"/>
          <w:szCs w:val="28"/>
        </w:rPr>
        <w:t xml:space="preserve"> īpatsvars 201</w:t>
      </w:r>
      <w:r>
        <w:rPr>
          <w:rFonts w:eastAsia="Times New Roman" w:cs="Times New Roman"/>
          <w:szCs w:val="28"/>
        </w:rPr>
        <w:t>2.gada Latvijas kopējā primāro energoresursu patēriņā</w:t>
      </w:r>
      <w:r w:rsidRPr="00F26661">
        <w:rPr>
          <w:rFonts w:eastAsia="Times New Roman" w:cs="Times New Roman"/>
          <w:szCs w:val="28"/>
        </w:rPr>
        <w:t xml:space="preserve"> sastādīja</w:t>
      </w:r>
      <w:r>
        <w:rPr>
          <w:rFonts w:eastAsia="Times New Roman" w:cs="Times New Roman"/>
          <w:szCs w:val="28"/>
        </w:rPr>
        <w:t xml:space="preserve"> 27,5</w:t>
      </w:r>
      <w:r w:rsidRPr="00F26661">
        <w:rPr>
          <w:rFonts w:eastAsia="Times New Roman" w:cs="Times New Roman"/>
          <w:szCs w:val="28"/>
        </w:rPr>
        <w:t>% jeb</w:t>
      </w:r>
      <w:r>
        <w:rPr>
          <w:rFonts w:eastAsia="Times New Roman" w:cs="Times New Roman"/>
          <w:szCs w:val="28"/>
        </w:rPr>
        <w:t> 52,50 PJ</w:t>
      </w:r>
      <w:r w:rsidRPr="00F26661">
        <w:rPr>
          <w:rFonts w:eastAsia="Times New Roman" w:cs="Times New Roman"/>
          <w:szCs w:val="28"/>
        </w:rPr>
        <w:t>.</w:t>
      </w:r>
      <w:r>
        <w:rPr>
          <w:rFonts w:eastAsia="Times New Roman" w:cs="Times New Roman"/>
          <w:szCs w:val="28"/>
        </w:rPr>
        <w:t xml:space="preserve"> </w:t>
      </w:r>
      <w:r w:rsidR="00494170" w:rsidRPr="00F26661">
        <w:rPr>
          <w:rFonts w:eastAsia="Times New Roman" w:cs="Times New Roman"/>
          <w:szCs w:val="28"/>
        </w:rPr>
        <w:t>Koksn</w:t>
      </w:r>
      <w:r w:rsidR="00494170">
        <w:rPr>
          <w:rFonts w:eastAsia="Times New Roman" w:cs="Times New Roman"/>
          <w:szCs w:val="28"/>
        </w:rPr>
        <w:t>i</w:t>
      </w:r>
      <w:r w:rsidR="00494170" w:rsidRPr="00F26661">
        <w:rPr>
          <w:rFonts w:eastAsia="Times New Roman" w:cs="Times New Roman"/>
          <w:szCs w:val="28"/>
        </w:rPr>
        <w:t xml:space="preserve"> </w:t>
      </w:r>
      <w:r w:rsidR="00F26661" w:rsidRPr="00F26661">
        <w:rPr>
          <w:rFonts w:eastAsia="Times New Roman" w:cs="Times New Roman"/>
          <w:szCs w:val="28"/>
        </w:rPr>
        <w:t xml:space="preserve">Latvijā </w:t>
      </w:r>
      <w:r w:rsidR="00494170" w:rsidRPr="00F26661">
        <w:rPr>
          <w:rFonts w:eastAsia="Times New Roman" w:cs="Times New Roman"/>
          <w:szCs w:val="28"/>
        </w:rPr>
        <w:t>izmantot</w:t>
      </w:r>
      <w:r w:rsidR="00494170">
        <w:rPr>
          <w:rFonts w:eastAsia="Times New Roman" w:cs="Times New Roman"/>
          <w:szCs w:val="28"/>
        </w:rPr>
        <w:t>o</w:t>
      </w:r>
      <w:r w:rsidR="00494170" w:rsidRPr="00F26661">
        <w:rPr>
          <w:rFonts w:eastAsia="Times New Roman" w:cs="Times New Roman"/>
          <w:szCs w:val="28"/>
        </w:rPr>
        <w:t xml:space="preserve"> </w:t>
      </w:r>
      <w:r w:rsidR="00F26661" w:rsidRPr="00F26661">
        <w:rPr>
          <w:rFonts w:eastAsia="Times New Roman" w:cs="Times New Roman"/>
          <w:szCs w:val="28"/>
        </w:rPr>
        <w:t>centralizētajā, lokālajā un individuālajā siltumapgādē, kā arī koģenerācijā</w:t>
      </w:r>
      <w:r w:rsidR="00F26661" w:rsidRPr="00F26661">
        <w:rPr>
          <w:rFonts w:eastAsia="Times New Roman" w:cs="Times New Roman"/>
          <w:color w:val="000000"/>
          <w:position w:val="6"/>
          <w:szCs w:val="16"/>
          <w:vertAlign w:val="superscript"/>
        </w:rPr>
        <w:footnoteReference w:id="2"/>
      </w:r>
      <w:r w:rsidR="00F26661" w:rsidRPr="00F26661">
        <w:rPr>
          <w:rFonts w:eastAsia="Times New Roman" w:cs="Times New Roman"/>
          <w:szCs w:val="28"/>
        </w:rPr>
        <w:t>.</w:t>
      </w:r>
      <w:r w:rsidR="00206FD6">
        <w:rPr>
          <w:rFonts w:eastAsia="Times New Roman" w:cs="Times New Roman"/>
          <w:szCs w:val="28"/>
        </w:rPr>
        <w:t xml:space="preserve"> </w:t>
      </w:r>
    </w:p>
    <w:p w:rsidR="00F43545" w:rsidRPr="00F26661" w:rsidRDefault="00F43545" w:rsidP="00F43545">
      <w:pPr>
        <w:ind w:firstLine="709"/>
        <w:jc w:val="both"/>
        <w:rPr>
          <w:rFonts w:eastAsia="Calibri" w:cs="Times New Roman"/>
          <w:szCs w:val="28"/>
        </w:rPr>
      </w:pPr>
      <w:r w:rsidRPr="00F26661">
        <w:rPr>
          <w:rFonts w:eastAsia="Calibri" w:cs="Times New Roman"/>
          <w:szCs w:val="28"/>
        </w:rPr>
        <w:t xml:space="preserve">Latvijas enerģētikā tiek izmantoti tādi koksnes veidi kā malka (apaļā un skaldītā formā), mežizstrādes atlikumi (zari, galotnes, celmi, zaru saiņi </w:t>
      </w:r>
      <w:proofErr w:type="spellStart"/>
      <w:r w:rsidRPr="00F26661">
        <w:rPr>
          <w:rFonts w:eastAsia="Calibri" w:cs="Times New Roman"/>
          <w:szCs w:val="28"/>
        </w:rPr>
        <w:t>u.c</w:t>
      </w:r>
      <w:proofErr w:type="spellEnd"/>
      <w:r w:rsidRPr="00F26661">
        <w:rPr>
          <w:rFonts w:eastAsia="Calibri" w:cs="Times New Roman"/>
          <w:szCs w:val="28"/>
        </w:rPr>
        <w:t xml:space="preserve">.), kokapstrādes blakusprodukti (šķeldas, skaidas, mizas, </w:t>
      </w:r>
      <w:proofErr w:type="spellStart"/>
      <w:r w:rsidRPr="00F26661">
        <w:rPr>
          <w:rFonts w:eastAsia="Calibri" w:cs="Times New Roman"/>
          <w:szCs w:val="28"/>
        </w:rPr>
        <w:t>gabalatlikumi</w:t>
      </w:r>
      <w:proofErr w:type="spellEnd"/>
      <w:r w:rsidRPr="00F26661">
        <w:rPr>
          <w:rFonts w:eastAsia="Calibri" w:cs="Times New Roman"/>
          <w:szCs w:val="28"/>
        </w:rPr>
        <w:t xml:space="preserve">, koksnes putekļi) un speciālie produkti (briketes, granulas, kokogles). </w:t>
      </w:r>
    </w:p>
    <w:p w:rsidR="00F26661" w:rsidRPr="00F26661" w:rsidRDefault="00F26661" w:rsidP="00F26661">
      <w:pPr>
        <w:ind w:firstLine="709"/>
        <w:jc w:val="both"/>
        <w:rPr>
          <w:rFonts w:eastAsia="Calibri" w:cs="Times New Roman"/>
          <w:szCs w:val="28"/>
        </w:rPr>
      </w:pPr>
      <w:r w:rsidRPr="00F26661">
        <w:rPr>
          <w:rFonts w:eastAsia="Calibri" w:cs="Times New Roman"/>
          <w:szCs w:val="28"/>
        </w:rPr>
        <w:t xml:space="preserve">Koksne, kas piemērota enerģijas ražošanai, tiek saražota vai ir pieejama visos </w:t>
      </w:r>
      <w:r w:rsidR="00C11D80">
        <w:rPr>
          <w:rFonts w:eastAsia="Calibri" w:cs="Times New Roman"/>
          <w:szCs w:val="28"/>
        </w:rPr>
        <w:t>kokmateriālu pārstrādes posmos</w:t>
      </w:r>
      <w:r w:rsidR="00BA4359">
        <w:rPr>
          <w:rFonts w:eastAsia="Calibri" w:cs="Times New Roman"/>
          <w:szCs w:val="28"/>
        </w:rPr>
        <w:t>. V</w:t>
      </w:r>
      <w:r w:rsidRPr="00F26661">
        <w:rPr>
          <w:rFonts w:eastAsia="Calibri" w:cs="Times New Roman"/>
          <w:szCs w:val="28"/>
        </w:rPr>
        <w:t xml:space="preserve">idējais enerģētiskās koksnes apjoms </w:t>
      </w:r>
      <w:r w:rsidR="00C11D80">
        <w:rPr>
          <w:rFonts w:eastAsia="Calibri" w:cs="Times New Roman"/>
          <w:szCs w:val="28"/>
        </w:rPr>
        <w:t xml:space="preserve">Latvijā </w:t>
      </w:r>
      <w:r w:rsidRPr="00F26661">
        <w:rPr>
          <w:rFonts w:eastAsia="Calibri" w:cs="Times New Roman"/>
          <w:szCs w:val="28"/>
        </w:rPr>
        <w:t>uz vienu hektāru ir 80 m</w:t>
      </w:r>
      <w:r w:rsidRPr="00F26661">
        <w:rPr>
          <w:rFonts w:eastAsia="Calibri" w:cs="Times New Roman"/>
          <w:szCs w:val="28"/>
          <w:vertAlign w:val="superscript"/>
        </w:rPr>
        <w:t>3</w:t>
      </w:r>
      <w:r w:rsidRPr="00F26661">
        <w:rPr>
          <w:rFonts w:eastAsia="Calibri" w:cs="Times New Roman"/>
          <w:szCs w:val="28"/>
        </w:rPr>
        <w:t xml:space="preserve">. </w:t>
      </w:r>
    </w:p>
    <w:p w:rsidR="00F26661" w:rsidRPr="00F26661" w:rsidRDefault="00F26661" w:rsidP="00F26661">
      <w:pPr>
        <w:ind w:firstLine="709"/>
        <w:jc w:val="both"/>
        <w:rPr>
          <w:rFonts w:eastAsia="Calibri" w:cs="Times New Roman"/>
          <w:szCs w:val="28"/>
        </w:rPr>
      </w:pPr>
      <w:r w:rsidRPr="00F26661">
        <w:rPr>
          <w:rFonts w:eastAsia="Calibri" w:cs="Times New Roman"/>
          <w:szCs w:val="28"/>
        </w:rPr>
        <w:t>Kurināmās koksnes tirgus ir atvērts un tajā ir augsts konkurences līmenis. 2010.gadā ar koksnes izstrādājumu ražošanu Latvijā nodarbojās vairāk nekā 1600 komersanti.</w:t>
      </w:r>
      <w:r w:rsidRPr="00F26661">
        <w:rPr>
          <w:rFonts w:eastAsia="Calibri" w:cs="Times New Roman"/>
          <w:color w:val="000000"/>
          <w:position w:val="6"/>
          <w:sz w:val="20"/>
          <w:szCs w:val="20"/>
          <w:vertAlign w:val="superscript"/>
        </w:rPr>
        <w:footnoteReference w:id="3"/>
      </w:r>
      <w:r w:rsidRPr="00F26661">
        <w:rPr>
          <w:rFonts w:eastAsia="Calibri" w:cs="Times New Roman"/>
          <w:szCs w:val="28"/>
        </w:rPr>
        <w:t xml:space="preserve"> </w:t>
      </w:r>
      <w:r w:rsidRPr="00617BF2">
        <w:rPr>
          <w:rFonts w:eastAsia="Calibri" w:cs="Times New Roman"/>
          <w:szCs w:val="28"/>
        </w:rPr>
        <w:t>Daļa no saražotās kurināmās koksnes tiek eksportēta. Saskaņā ar 2011.</w:t>
      </w:r>
      <w:r w:rsidRPr="00BF6276">
        <w:rPr>
          <w:rFonts w:eastAsia="Calibri" w:cs="Times New Roman"/>
          <w:szCs w:val="28"/>
        </w:rPr>
        <w:t xml:space="preserve">gada </w:t>
      </w:r>
      <w:proofErr w:type="spellStart"/>
      <w:r w:rsidRPr="00BF6276">
        <w:rPr>
          <w:rFonts w:eastAsia="Calibri" w:cs="Times New Roman"/>
          <w:szCs w:val="28"/>
        </w:rPr>
        <w:t>energobilances</w:t>
      </w:r>
      <w:proofErr w:type="spellEnd"/>
      <w:r w:rsidRPr="00BF6276">
        <w:rPr>
          <w:rFonts w:eastAsia="Calibri" w:cs="Times New Roman"/>
          <w:szCs w:val="28"/>
        </w:rPr>
        <w:t xml:space="preserve"> datiem, kurināmās koksnes kopējais patēriņš Latvijā bija 4 674 </w:t>
      </w:r>
      <w:proofErr w:type="spellStart"/>
      <w:r w:rsidRPr="00BF6276">
        <w:rPr>
          <w:rFonts w:eastAsia="Calibri" w:cs="Times New Roman"/>
          <w:szCs w:val="28"/>
        </w:rPr>
        <w:t>tūkst</w:t>
      </w:r>
      <w:proofErr w:type="spellEnd"/>
      <w:r w:rsidRPr="00BF6276">
        <w:rPr>
          <w:rFonts w:eastAsia="Calibri" w:cs="Times New Roman"/>
          <w:szCs w:val="28"/>
        </w:rPr>
        <w:t xml:space="preserve">. tonnas, kas </w:t>
      </w:r>
      <w:r w:rsidR="005201AA" w:rsidRPr="00BF6276">
        <w:rPr>
          <w:rFonts w:eastAsia="Calibri" w:cs="Times New Roman"/>
          <w:szCs w:val="28"/>
        </w:rPr>
        <w:t xml:space="preserve">sastāda </w:t>
      </w:r>
      <w:r w:rsidRPr="00803728">
        <w:rPr>
          <w:rFonts w:eastAsia="Calibri" w:cs="Times New Roman"/>
          <w:szCs w:val="28"/>
        </w:rPr>
        <w:t>39% no siltumapgādē patērēto energoresursu kopējā dau</w:t>
      </w:r>
      <w:r w:rsidRPr="00617BF2">
        <w:rPr>
          <w:rFonts w:eastAsia="Calibri" w:cs="Times New Roman"/>
          <w:szCs w:val="28"/>
        </w:rPr>
        <w:t xml:space="preserve">dzuma,  bet 1653 </w:t>
      </w:r>
      <w:proofErr w:type="spellStart"/>
      <w:r w:rsidRPr="00617BF2">
        <w:rPr>
          <w:rFonts w:eastAsia="Calibri" w:cs="Times New Roman"/>
          <w:szCs w:val="28"/>
        </w:rPr>
        <w:t>tūkst</w:t>
      </w:r>
      <w:proofErr w:type="spellEnd"/>
      <w:r w:rsidRPr="00617BF2">
        <w:rPr>
          <w:rFonts w:eastAsia="Calibri" w:cs="Times New Roman"/>
          <w:szCs w:val="28"/>
        </w:rPr>
        <w:t>. tonnas kurināmās koksnes tika eksportētas (</w:t>
      </w:r>
      <w:proofErr w:type="spellStart"/>
      <w:r w:rsidRPr="00617BF2">
        <w:rPr>
          <w:rFonts w:eastAsia="Calibri" w:cs="Times New Roman"/>
          <w:szCs w:val="28"/>
        </w:rPr>
        <w:t>skat</w:t>
      </w:r>
      <w:proofErr w:type="spellEnd"/>
      <w:r w:rsidRPr="00617BF2">
        <w:rPr>
          <w:rFonts w:eastAsia="Calibri" w:cs="Times New Roman"/>
          <w:szCs w:val="28"/>
        </w:rPr>
        <w:t xml:space="preserve">. </w:t>
      </w:r>
      <w:r w:rsidR="00C8113C" w:rsidRPr="00617BF2">
        <w:rPr>
          <w:rFonts w:eastAsia="Calibri" w:cs="Times New Roman"/>
          <w:szCs w:val="28"/>
        </w:rPr>
        <w:t>5</w:t>
      </w:r>
      <w:r w:rsidRPr="00617BF2">
        <w:rPr>
          <w:rFonts w:eastAsia="Calibri" w:cs="Times New Roman"/>
          <w:szCs w:val="28"/>
        </w:rPr>
        <w:t>.attēlu).</w:t>
      </w:r>
    </w:p>
    <w:p w:rsidR="00F26661" w:rsidRPr="00F26661" w:rsidRDefault="00F26661" w:rsidP="00F26661">
      <w:pPr>
        <w:ind w:firstLine="709"/>
        <w:jc w:val="both"/>
        <w:rPr>
          <w:rFonts w:eastAsia="Calibri" w:cs="Times New Roman"/>
          <w:szCs w:val="28"/>
        </w:rPr>
      </w:pPr>
    </w:p>
    <w:p w:rsidR="00F26661" w:rsidRPr="00617BF2" w:rsidRDefault="00EC0D87" w:rsidP="00F26661">
      <w:pPr>
        <w:jc w:val="center"/>
        <w:rPr>
          <w:rFonts w:eastAsia="Calibri" w:cs="Times New Roman"/>
          <w:highlight w:val="yellow"/>
        </w:rPr>
      </w:pPr>
      <w:r w:rsidRPr="00834B2A">
        <w:rPr>
          <w:rFonts w:eastAsia="Calibri" w:cs="Times New Roman"/>
          <w:noProof/>
          <w:highlight w:val="yellow"/>
          <w:lang w:eastAsia="lv-LV"/>
        </w:rPr>
        <w:lastRenderedPageBreak/>
        <w:drawing>
          <wp:inline distT="0" distB="0" distL="0" distR="0" wp14:anchorId="563849C4" wp14:editId="4872BE57">
            <wp:extent cx="5091379" cy="2969971"/>
            <wp:effectExtent l="0" t="0" r="0" b="1905"/>
            <wp:docPr id="16"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F26661" w:rsidRPr="00834B2A" w:rsidRDefault="00C8113C" w:rsidP="00861A79">
      <w:pPr>
        <w:rPr>
          <w:rFonts w:eastAsia="Calibri" w:cs="Times New Roman"/>
          <w:b/>
          <w:sz w:val="24"/>
          <w:szCs w:val="24"/>
        </w:rPr>
      </w:pPr>
      <w:r w:rsidRPr="00834B2A">
        <w:rPr>
          <w:rFonts w:eastAsia="Calibri" w:cs="Times New Roman"/>
          <w:b/>
          <w:sz w:val="24"/>
          <w:szCs w:val="24"/>
        </w:rPr>
        <w:t>5</w:t>
      </w:r>
      <w:r w:rsidR="00F26661" w:rsidRPr="00834B2A">
        <w:rPr>
          <w:rFonts w:eastAsia="Calibri" w:cs="Times New Roman"/>
          <w:b/>
          <w:sz w:val="24"/>
          <w:szCs w:val="24"/>
        </w:rPr>
        <w:t xml:space="preserve">.attēls. Kurināmās koksnes kopējā patēriņa un  eksporta apjomi, </w:t>
      </w:r>
      <w:proofErr w:type="spellStart"/>
      <w:r w:rsidR="00F26661" w:rsidRPr="00834B2A">
        <w:rPr>
          <w:rFonts w:eastAsia="Calibri" w:cs="Times New Roman"/>
          <w:b/>
          <w:sz w:val="24"/>
          <w:szCs w:val="24"/>
        </w:rPr>
        <w:t>milj</w:t>
      </w:r>
      <w:proofErr w:type="spellEnd"/>
      <w:r w:rsidR="00F26661" w:rsidRPr="00834B2A">
        <w:rPr>
          <w:rFonts w:eastAsia="Calibri" w:cs="Times New Roman"/>
          <w:b/>
          <w:sz w:val="24"/>
          <w:szCs w:val="24"/>
        </w:rPr>
        <w:t>. tonnas</w:t>
      </w:r>
      <w:r w:rsidR="00EC0D87">
        <w:rPr>
          <w:rFonts w:eastAsia="Calibri" w:cs="Times New Roman"/>
          <w:b/>
          <w:sz w:val="24"/>
          <w:szCs w:val="24"/>
        </w:rPr>
        <w:t>.</w:t>
      </w:r>
    </w:p>
    <w:p w:rsidR="00593376" w:rsidRDefault="00593376" w:rsidP="00F26661">
      <w:pPr>
        <w:ind w:firstLine="709"/>
        <w:jc w:val="both"/>
        <w:rPr>
          <w:rFonts w:eastAsia="Calibri" w:cs="Times New Roman"/>
          <w:szCs w:val="28"/>
        </w:rPr>
      </w:pPr>
    </w:p>
    <w:p w:rsidR="00F26661" w:rsidRPr="00F26661" w:rsidRDefault="00F26661" w:rsidP="00F26661">
      <w:pPr>
        <w:ind w:firstLine="709"/>
        <w:jc w:val="both"/>
        <w:rPr>
          <w:rFonts w:eastAsia="Calibri" w:cs="Times New Roman"/>
          <w:szCs w:val="28"/>
        </w:rPr>
      </w:pPr>
      <w:r w:rsidRPr="00BF6276">
        <w:rPr>
          <w:rFonts w:eastAsia="Calibri" w:cs="Times New Roman"/>
          <w:szCs w:val="28"/>
        </w:rPr>
        <w:t>Kurināmās koksnes imports Latvijā procentuāli ir niecīgs. 2010.gadā tika ievestas tika</w:t>
      </w:r>
      <w:r w:rsidRPr="00803728">
        <w:rPr>
          <w:rFonts w:eastAsia="Calibri" w:cs="Times New Roman"/>
          <w:szCs w:val="28"/>
        </w:rPr>
        <w:t>i 8 </w:t>
      </w:r>
      <w:proofErr w:type="spellStart"/>
      <w:r w:rsidRPr="00803728">
        <w:rPr>
          <w:rFonts w:eastAsia="Calibri" w:cs="Times New Roman"/>
          <w:szCs w:val="28"/>
        </w:rPr>
        <w:t>tūkst</w:t>
      </w:r>
      <w:proofErr w:type="spellEnd"/>
      <w:r w:rsidRPr="00803728">
        <w:rPr>
          <w:rFonts w:eastAsia="Calibri" w:cs="Times New Roman"/>
          <w:szCs w:val="28"/>
        </w:rPr>
        <w:t>. tonnas, bet 2011.gadā – 11 </w:t>
      </w:r>
      <w:proofErr w:type="spellStart"/>
      <w:r w:rsidRPr="00803728">
        <w:rPr>
          <w:rFonts w:eastAsia="Calibri" w:cs="Times New Roman"/>
          <w:szCs w:val="28"/>
        </w:rPr>
        <w:t>tūkst</w:t>
      </w:r>
      <w:proofErr w:type="spellEnd"/>
      <w:r w:rsidRPr="00803728">
        <w:rPr>
          <w:rFonts w:eastAsia="Calibri" w:cs="Times New Roman"/>
          <w:szCs w:val="28"/>
        </w:rPr>
        <w:t>. tonnas. Visvairāk kurināmā koksne Latvijā tiek ievesta no Baltkrievijas (39% no visa kurināmās koksnes importa), tad seko Igaunija, Lietuva un Krievija.</w:t>
      </w:r>
      <w:r w:rsidRPr="00F26661">
        <w:rPr>
          <w:rFonts w:eastAsia="Calibri" w:cs="Times New Roman"/>
          <w:szCs w:val="28"/>
        </w:rPr>
        <w:t xml:space="preserve"> </w:t>
      </w:r>
    </w:p>
    <w:p w:rsidR="00F26661" w:rsidRPr="00F26661" w:rsidRDefault="00F26661" w:rsidP="00F26661">
      <w:pPr>
        <w:ind w:firstLine="709"/>
        <w:jc w:val="both"/>
        <w:rPr>
          <w:rFonts w:eastAsia="Calibri" w:cs="Times New Roman"/>
          <w:szCs w:val="28"/>
        </w:rPr>
      </w:pPr>
      <w:r w:rsidRPr="00F26661">
        <w:rPr>
          <w:rFonts w:eastAsia="Calibri" w:cs="Times New Roman"/>
          <w:szCs w:val="28"/>
        </w:rPr>
        <w:t xml:space="preserve">Palielinoties koksnes biomasas pieprasījumam, samazināsies un, paredzams, ka izzudīs, cenu priekšrocības koksnes </w:t>
      </w:r>
      <w:r w:rsidR="00145E1C">
        <w:rPr>
          <w:rFonts w:eastAsia="Calibri" w:cs="Times New Roman"/>
          <w:szCs w:val="28"/>
        </w:rPr>
        <w:t xml:space="preserve">biomasas </w:t>
      </w:r>
      <w:r w:rsidRPr="00F26661">
        <w:rPr>
          <w:rFonts w:eastAsia="Calibri" w:cs="Times New Roman"/>
          <w:szCs w:val="28"/>
        </w:rPr>
        <w:t>izmantošanai produktu (celulozes, koksnes plātņu) ražošanā pret tās pielietojumu enerģijas ražošanā.</w:t>
      </w:r>
      <w:r w:rsidRPr="00F26661">
        <w:rPr>
          <w:rFonts w:eastAsia="Calibri" w:cs="Times New Roman"/>
        </w:rPr>
        <w:t xml:space="preserve"> </w:t>
      </w:r>
    </w:p>
    <w:p w:rsidR="00F26661" w:rsidRPr="00834B2A" w:rsidRDefault="00964EF9" w:rsidP="00964EF9">
      <w:pPr>
        <w:pStyle w:val="Heading3"/>
        <w:rPr>
          <w:rFonts w:ascii="Times New Roman" w:eastAsia="Times New Roman" w:hAnsi="Times New Roman" w:cs="Times New Roman"/>
          <w:color w:val="auto"/>
          <w:szCs w:val="28"/>
        </w:rPr>
      </w:pPr>
      <w:bookmarkStart w:id="5" w:name="_Toc400714651"/>
      <w:r w:rsidRPr="00834B2A">
        <w:rPr>
          <w:rFonts w:ascii="Times New Roman" w:eastAsia="Times New Roman" w:hAnsi="Times New Roman" w:cs="Times New Roman"/>
          <w:color w:val="auto"/>
          <w:szCs w:val="28"/>
        </w:rPr>
        <w:t xml:space="preserve">1.2.2. </w:t>
      </w:r>
      <w:r w:rsidR="00F26661" w:rsidRPr="00834B2A">
        <w:rPr>
          <w:rFonts w:ascii="Times New Roman" w:eastAsia="Times New Roman" w:hAnsi="Times New Roman" w:cs="Times New Roman"/>
          <w:color w:val="auto"/>
          <w:szCs w:val="28"/>
        </w:rPr>
        <w:t>Biogāze</w:t>
      </w:r>
      <w:bookmarkEnd w:id="5"/>
    </w:p>
    <w:p w:rsidR="00F26661" w:rsidRPr="00F26661" w:rsidRDefault="00F26661" w:rsidP="00F26661">
      <w:pPr>
        <w:ind w:firstLine="720"/>
        <w:jc w:val="both"/>
        <w:rPr>
          <w:rFonts w:eastAsia="Times New Roman" w:cs="Times New Roman"/>
          <w:sz w:val="24"/>
          <w:szCs w:val="28"/>
        </w:rPr>
      </w:pPr>
      <w:r w:rsidRPr="00F26661">
        <w:rPr>
          <w:rFonts w:eastAsia="Times New Roman" w:cs="Times New Roman"/>
          <w:szCs w:val="28"/>
        </w:rPr>
        <w:t>Biogāze ir deggāze, kas veidojas biomasas anaerobās fermentācijas procesā un satur vidēji 60</w:t>
      </w:r>
      <w:r w:rsidRPr="00F26661">
        <w:rPr>
          <w:rFonts w:eastAsia="Times New Roman" w:cs="Times New Roman"/>
          <w:szCs w:val="24"/>
        </w:rPr>
        <w:t>–</w:t>
      </w:r>
      <w:r w:rsidRPr="00F26661">
        <w:rPr>
          <w:rFonts w:eastAsia="Times New Roman" w:cs="Times New Roman"/>
          <w:szCs w:val="28"/>
        </w:rPr>
        <w:t>75% metāna (dabasgāzes) un 25</w:t>
      </w:r>
      <w:r w:rsidRPr="00F26661">
        <w:rPr>
          <w:rFonts w:eastAsia="Times New Roman" w:cs="Times New Roman"/>
          <w:szCs w:val="24"/>
        </w:rPr>
        <w:t>–</w:t>
      </w:r>
      <w:r w:rsidRPr="00F26661">
        <w:rPr>
          <w:rFonts w:eastAsia="Times New Roman" w:cs="Times New Roman"/>
          <w:szCs w:val="28"/>
        </w:rPr>
        <w:t>40% CO</w:t>
      </w:r>
      <w:r w:rsidRPr="00F26661">
        <w:rPr>
          <w:rFonts w:eastAsia="Times New Roman" w:cs="Times New Roman"/>
          <w:szCs w:val="28"/>
          <w:vertAlign w:val="subscript"/>
        </w:rPr>
        <w:t>2</w:t>
      </w:r>
      <w:r w:rsidRPr="00F26661">
        <w:rPr>
          <w:rFonts w:eastAsia="Times New Roman" w:cs="Times New Roman"/>
          <w:szCs w:val="28"/>
        </w:rPr>
        <w:t xml:space="preserve">. </w:t>
      </w:r>
    </w:p>
    <w:p w:rsidR="00F26661" w:rsidRPr="00F26661" w:rsidRDefault="00221DD7" w:rsidP="00F26661">
      <w:pPr>
        <w:ind w:firstLine="720"/>
        <w:jc w:val="both"/>
        <w:rPr>
          <w:rFonts w:eastAsia="Times New Roman" w:cs="Times New Roman"/>
          <w:szCs w:val="28"/>
        </w:rPr>
      </w:pPr>
      <w:r>
        <w:rPr>
          <w:rFonts w:eastAsia="Times New Roman" w:cs="Times New Roman"/>
          <w:szCs w:val="28"/>
        </w:rPr>
        <w:t xml:space="preserve">Biogāzes patēriņš </w:t>
      </w:r>
      <w:r w:rsidR="00F26661" w:rsidRPr="00F26661">
        <w:rPr>
          <w:rFonts w:eastAsia="Times New Roman" w:cs="Times New Roman"/>
          <w:szCs w:val="28"/>
        </w:rPr>
        <w:t xml:space="preserve">2012.gada </w:t>
      </w:r>
      <w:r w:rsidR="001155AC">
        <w:rPr>
          <w:rFonts w:eastAsia="Times New Roman" w:cs="Times New Roman"/>
          <w:szCs w:val="28"/>
        </w:rPr>
        <w:t xml:space="preserve">Latvijas </w:t>
      </w:r>
      <w:r w:rsidR="003131D2">
        <w:rPr>
          <w:rFonts w:eastAsia="Times New Roman" w:cs="Times New Roman"/>
          <w:szCs w:val="28"/>
        </w:rPr>
        <w:t>kop</w:t>
      </w:r>
      <w:r w:rsidR="00F74EFC">
        <w:rPr>
          <w:rFonts w:eastAsia="Times New Roman" w:cs="Times New Roman"/>
          <w:szCs w:val="28"/>
        </w:rPr>
        <w:t xml:space="preserve">ējā </w:t>
      </w:r>
      <w:r w:rsidR="00F26661" w:rsidRPr="00F26661">
        <w:rPr>
          <w:rFonts w:eastAsia="Times New Roman" w:cs="Times New Roman"/>
          <w:szCs w:val="28"/>
        </w:rPr>
        <w:t xml:space="preserve">primāro energoresursu patēriņā </w:t>
      </w:r>
      <w:r w:rsidR="00206FD6">
        <w:rPr>
          <w:rFonts w:eastAsia="Times New Roman" w:cs="Times New Roman"/>
          <w:szCs w:val="28"/>
        </w:rPr>
        <w:t xml:space="preserve">bija </w:t>
      </w:r>
      <w:r w:rsidR="007030B4">
        <w:rPr>
          <w:rFonts w:eastAsia="Times New Roman" w:cs="Times New Roman"/>
          <w:szCs w:val="28"/>
        </w:rPr>
        <w:t xml:space="preserve">114 </w:t>
      </w:r>
      <w:proofErr w:type="spellStart"/>
      <w:r w:rsidR="007030B4">
        <w:rPr>
          <w:rFonts w:eastAsia="Times New Roman" w:cs="Times New Roman"/>
          <w:szCs w:val="28"/>
        </w:rPr>
        <w:t>milj</w:t>
      </w:r>
      <w:proofErr w:type="spellEnd"/>
      <w:r w:rsidR="007030B4">
        <w:rPr>
          <w:rFonts w:eastAsia="Times New Roman" w:cs="Times New Roman"/>
          <w:szCs w:val="28"/>
        </w:rPr>
        <w:t>. m</w:t>
      </w:r>
      <w:r w:rsidR="007030B4" w:rsidRPr="007030B4">
        <w:rPr>
          <w:rFonts w:eastAsia="Times New Roman" w:cs="Times New Roman"/>
          <w:szCs w:val="28"/>
          <w:vertAlign w:val="superscript"/>
        </w:rPr>
        <w:t>3</w:t>
      </w:r>
      <w:r w:rsidR="007030B4">
        <w:rPr>
          <w:rFonts w:eastAsia="Times New Roman" w:cs="Times New Roman"/>
          <w:szCs w:val="28"/>
        </w:rPr>
        <w:t xml:space="preserve"> jeb </w:t>
      </w:r>
      <w:r w:rsidR="00F26661" w:rsidRPr="00F26661">
        <w:rPr>
          <w:rFonts w:eastAsia="Times New Roman" w:cs="Times New Roman"/>
          <w:szCs w:val="28"/>
        </w:rPr>
        <w:t>2,18</w:t>
      </w:r>
      <w:r w:rsidR="00511656">
        <w:rPr>
          <w:rFonts w:eastAsia="Times New Roman" w:cs="Times New Roman"/>
          <w:szCs w:val="28"/>
        </w:rPr>
        <w:t> </w:t>
      </w:r>
      <w:r w:rsidR="00F26661" w:rsidRPr="00F26661">
        <w:rPr>
          <w:rFonts w:eastAsia="Times New Roman" w:cs="Times New Roman"/>
          <w:szCs w:val="28"/>
        </w:rPr>
        <w:t>PJ</w:t>
      </w:r>
      <w:r>
        <w:rPr>
          <w:rFonts w:eastAsia="Times New Roman" w:cs="Times New Roman"/>
          <w:szCs w:val="28"/>
        </w:rPr>
        <w:t>.</w:t>
      </w:r>
      <w:r w:rsidR="00F26661" w:rsidRPr="00F26661">
        <w:rPr>
          <w:rFonts w:eastAsia="Times New Roman" w:cs="Times New Roman"/>
          <w:szCs w:val="28"/>
        </w:rPr>
        <w:t xml:space="preserve"> 2013.gadā </w:t>
      </w:r>
      <w:r w:rsidR="00F26661" w:rsidRPr="009E0CC9">
        <w:rPr>
          <w:rFonts w:eastAsia="Times New Roman" w:cs="Times New Roman"/>
          <w:szCs w:val="28"/>
        </w:rPr>
        <w:t xml:space="preserve">Latvijā darbojās 53 elektroenerģijas ražošanas iekārtas, kas sadedzina biogāzi, </w:t>
      </w:r>
      <w:r w:rsidR="00403726" w:rsidRPr="009E0CC9">
        <w:rPr>
          <w:rFonts w:eastAsia="Times New Roman" w:cs="Times New Roman"/>
          <w:szCs w:val="28"/>
        </w:rPr>
        <w:t>ar</w:t>
      </w:r>
      <w:r w:rsidR="00F26661" w:rsidRPr="009E0CC9">
        <w:rPr>
          <w:rFonts w:eastAsia="Times New Roman" w:cs="Times New Roman"/>
          <w:szCs w:val="28"/>
        </w:rPr>
        <w:t xml:space="preserve"> </w:t>
      </w:r>
      <w:r w:rsidR="00403726" w:rsidRPr="009E0CC9">
        <w:rPr>
          <w:rFonts w:eastAsia="Times New Roman" w:cs="Times New Roman"/>
          <w:szCs w:val="28"/>
        </w:rPr>
        <w:t>kopējo uzstādīto jaudu</w:t>
      </w:r>
      <w:r>
        <w:rPr>
          <w:rFonts w:eastAsia="Times New Roman" w:cs="Times New Roman"/>
          <w:szCs w:val="28"/>
        </w:rPr>
        <w:t xml:space="preserve"> –</w:t>
      </w:r>
      <w:r w:rsidR="00403726" w:rsidRPr="009E0CC9">
        <w:rPr>
          <w:rFonts w:eastAsia="Times New Roman" w:cs="Times New Roman"/>
          <w:szCs w:val="28"/>
        </w:rPr>
        <w:t xml:space="preserve"> </w:t>
      </w:r>
      <w:r w:rsidR="00F26661" w:rsidRPr="009E0CC9">
        <w:rPr>
          <w:rFonts w:eastAsia="Times New Roman" w:cs="Times New Roman"/>
          <w:szCs w:val="28"/>
        </w:rPr>
        <w:t>55,42 MW.</w:t>
      </w:r>
      <w:r w:rsidR="00206FD6">
        <w:rPr>
          <w:rFonts w:eastAsia="Times New Roman" w:cs="Times New Roman"/>
          <w:szCs w:val="28"/>
        </w:rPr>
        <w:t xml:space="preserve"> </w:t>
      </w:r>
    </w:p>
    <w:p w:rsidR="00AD723A" w:rsidRDefault="00F26661" w:rsidP="00F26661">
      <w:pPr>
        <w:ind w:firstLine="567"/>
        <w:jc w:val="both"/>
        <w:rPr>
          <w:rFonts w:eastAsia="Times New Roman" w:cs="Times New Roman"/>
          <w:szCs w:val="28"/>
          <w:lang w:eastAsia="lv-LV"/>
        </w:rPr>
      </w:pPr>
      <w:r w:rsidRPr="00F26661">
        <w:rPr>
          <w:rFonts w:eastAsia="Times New Roman" w:cs="Times New Roman"/>
          <w:szCs w:val="28"/>
          <w:lang w:eastAsia="lv-LV"/>
        </w:rPr>
        <w:t xml:space="preserve">Latvijā biogāze tiek izmantota </w:t>
      </w:r>
      <w:r w:rsidR="00E546CD">
        <w:rPr>
          <w:rFonts w:eastAsia="Times New Roman" w:cs="Times New Roman"/>
          <w:szCs w:val="28"/>
          <w:lang w:eastAsia="lv-LV"/>
        </w:rPr>
        <w:t xml:space="preserve">tikai </w:t>
      </w:r>
      <w:r w:rsidRPr="00F26661">
        <w:rPr>
          <w:rFonts w:eastAsia="Times New Roman" w:cs="Times New Roman"/>
          <w:szCs w:val="28"/>
          <w:lang w:eastAsia="lv-LV"/>
        </w:rPr>
        <w:t xml:space="preserve">koģenerācijas </w:t>
      </w:r>
      <w:r w:rsidR="00E546CD">
        <w:rPr>
          <w:rFonts w:eastAsia="Times New Roman" w:cs="Times New Roman"/>
          <w:szCs w:val="28"/>
          <w:lang w:eastAsia="lv-LV"/>
        </w:rPr>
        <w:t>stacijās.</w:t>
      </w:r>
      <w:r w:rsidRPr="00F26661">
        <w:rPr>
          <w:rFonts w:eastAsia="Times New Roman" w:cs="Times New Roman"/>
          <w:szCs w:val="28"/>
          <w:lang w:eastAsia="lv-LV"/>
        </w:rPr>
        <w:t xml:space="preserve"> Koģener</w:t>
      </w:r>
      <w:r w:rsidR="00964EF9">
        <w:rPr>
          <w:rFonts w:eastAsia="Times New Roman" w:cs="Times New Roman"/>
          <w:szCs w:val="28"/>
          <w:lang w:eastAsia="lv-LV"/>
        </w:rPr>
        <w:t xml:space="preserve">ācijas stacijā </w:t>
      </w:r>
      <w:r w:rsidR="00633138">
        <w:rPr>
          <w:rFonts w:eastAsia="Times New Roman" w:cs="Times New Roman"/>
          <w:szCs w:val="28"/>
          <w:lang w:eastAsia="lv-LV"/>
        </w:rPr>
        <w:t>izmanto</w:t>
      </w:r>
      <w:r w:rsidR="006E009B">
        <w:rPr>
          <w:rFonts w:eastAsia="Times New Roman" w:cs="Times New Roman"/>
          <w:szCs w:val="28"/>
          <w:lang w:eastAsia="lv-LV"/>
        </w:rPr>
        <w:t>jamām</w:t>
      </w:r>
      <w:r w:rsidRPr="00F26661">
        <w:rPr>
          <w:rFonts w:eastAsia="Times New Roman" w:cs="Times New Roman"/>
          <w:szCs w:val="28"/>
          <w:lang w:eastAsia="lv-LV"/>
        </w:rPr>
        <w:t xml:space="preserve"> </w:t>
      </w:r>
      <w:r w:rsidR="006E009B">
        <w:rPr>
          <w:rFonts w:eastAsia="Times New Roman" w:cs="Times New Roman"/>
          <w:szCs w:val="28"/>
          <w:lang w:eastAsia="lv-LV"/>
        </w:rPr>
        <w:t>iekārtām</w:t>
      </w:r>
      <w:r w:rsidRPr="00F26661">
        <w:rPr>
          <w:rFonts w:eastAsia="Times New Roman" w:cs="Times New Roman"/>
          <w:szCs w:val="28"/>
          <w:lang w:eastAsia="lv-LV"/>
        </w:rPr>
        <w:t xml:space="preserve"> biogāze netiek īpaši attīrīta un bagātināta, kā arī nav nepieciešama tās saspiešana. </w:t>
      </w:r>
    </w:p>
    <w:p w:rsidR="00F26661" w:rsidRPr="00F26661" w:rsidRDefault="00E716E1" w:rsidP="00F26661">
      <w:pPr>
        <w:ind w:firstLine="567"/>
        <w:jc w:val="both"/>
        <w:rPr>
          <w:rFonts w:eastAsia="Times New Roman" w:cs="Times New Roman"/>
          <w:szCs w:val="28"/>
          <w:lang w:eastAsia="lv-LV"/>
        </w:rPr>
      </w:pPr>
      <w:r>
        <w:rPr>
          <w:rFonts w:eastAsia="Times New Roman" w:cs="Times New Roman"/>
          <w:szCs w:val="28"/>
          <w:lang w:eastAsia="lv-LV"/>
        </w:rPr>
        <w:t>Attīrīta un saspiesta biogāze</w:t>
      </w:r>
      <w:r w:rsidR="00E546CD">
        <w:rPr>
          <w:rFonts w:eastAsia="Times New Roman" w:cs="Times New Roman"/>
          <w:szCs w:val="28"/>
          <w:lang w:eastAsia="lv-LV"/>
        </w:rPr>
        <w:t xml:space="preserve">, </w:t>
      </w:r>
      <w:r w:rsidR="00AD723A">
        <w:rPr>
          <w:rFonts w:eastAsia="Times New Roman" w:cs="Times New Roman"/>
          <w:szCs w:val="28"/>
          <w:lang w:eastAsia="lv-LV"/>
        </w:rPr>
        <w:t xml:space="preserve">kas pēc sastāva līdzinās dabasgāzei un kuras metāna saturs sasniedz 98%, </w:t>
      </w:r>
      <w:r w:rsidR="00E546CD">
        <w:rPr>
          <w:rFonts w:eastAsia="Times New Roman" w:cs="Times New Roman"/>
          <w:szCs w:val="28"/>
          <w:lang w:eastAsia="lv-LV"/>
        </w:rPr>
        <w:t xml:space="preserve">savukārt, tiek </w:t>
      </w:r>
      <w:r>
        <w:rPr>
          <w:rFonts w:eastAsia="Times New Roman" w:cs="Times New Roman"/>
          <w:szCs w:val="28"/>
          <w:lang w:eastAsia="lv-LV"/>
        </w:rPr>
        <w:t>izmantota kā autotransporta degviela.</w:t>
      </w:r>
    </w:p>
    <w:p w:rsidR="00C96ADE" w:rsidRDefault="00206FD6" w:rsidP="00F26661">
      <w:pPr>
        <w:ind w:firstLine="567"/>
        <w:jc w:val="both"/>
        <w:rPr>
          <w:rFonts w:eastAsia="Times New Roman" w:cs="Times New Roman"/>
          <w:szCs w:val="28"/>
          <w:lang w:eastAsia="lv-LV"/>
        </w:rPr>
      </w:pPr>
      <w:r>
        <w:rPr>
          <w:rFonts w:eastAsia="Times New Roman" w:cs="Times New Roman"/>
          <w:szCs w:val="28"/>
          <w:lang w:eastAsia="lv-LV"/>
        </w:rPr>
        <w:t>Latvijā attīrītu u</w:t>
      </w:r>
      <w:r w:rsidR="0011653A">
        <w:rPr>
          <w:rFonts w:eastAsia="Times New Roman" w:cs="Times New Roman"/>
          <w:szCs w:val="28"/>
          <w:lang w:eastAsia="lv-LV"/>
        </w:rPr>
        <w:t>n</w:t>
      </w:r>
      <w:r>
        <w:rPr>
          <w:rFonts w:eastAsia="Times New Roman" w:cs="Times New Roman"/>
          <w:szCs w:val="28"/>
          <w:lang w:eastAsia="lv-LV"/>
        </w:rPr>
        <w:t xml:space="preserve"> bagātinātu biogāzi pašlaik neražo. </w:t>
      </w:r>
    </w:p>
    <w:p w:rsidR="00F26661" w:rsidRDefault="00F26661" w:rsidP="00F26661">
      <w:pPr>
        <w:ind w:firstLine="567"/>
        <w:jc w:val="both"/>
        <w:rPr>
          <w:rFonts w:eastAsia="Times New Roman" w:cs="Times New Roman"/>
          <w:szCs w:val="28"/>
          <w:lang w:eastAsia="lv-LV"/>
        </w:rPr>
      </w:pPr>
      <w:r w:rsidRPr="00F26661">
        <w:rPr>
          <w:rFonts w:eastAsia="Times New Roman" w:cs="Times New Roman"/>
          <w:szCs w:val="28"/>
          <w:lang w:eastAsia="lv-LV"/>
        </w:rPr>
        <w:t xml:space="preserve">Lai biogāzi izmantotu kā </w:t>
      </w:r>
      <w:r w:rsidR="00A16BB9">
        <w:rPr>
          <w:rFonts w:eastAsia="Times New Roman" w:cs="Times New Roman"/>
          <w:szCs w:val="28"/>
          <w:lang w:eastAsia="lv-LV"/>
        </w:rPr>
        <w:t>autotransporta</w:t>
      </w:r>
      <w:r w:rsidRPr="00F26661">
        <w:rPr>
          <w:rFonts w:eastAsia="Times New Roman" w:cs="Times New Roman"/>
          <w:szCs w:val="28"/>
          <w:lang w:eastAsia="lv-LV"/>
        </w:rPr>
        <w:t xml:space="preserve"> degvielu, nepieciešama tās attīrīšana, piemēram, no sēra savienojumiem, kā arī bagātināšana</w:t>
      </w:r>
      <w:r w:rsidR="00E61A42">
        <w:rPr>
          <w:rFonts w:eastAsia="Times New Roman" w:cs="Times New Roman"/>
          <w:szCs w:val="28"/>
          <w:lang w:eastAsia="lv-LV"/>
        </w:rPr>
        <w:t>.</w:t>
      </w:r>
      <w:r w:rsidR="00AD723A">
        <w:rPr>
          <w:rFonts w:eastAsia="Times New Roman" w:cs="Times New Roman"/>
          <w:szCs w:val="28"/>
          <w:lang w:eastAsia="lv-LV"/>
        </w:rPr>
        <w:t xml:space="preserve"> </w:t>
      </w:r>
      <w:r w:rsidRPr="00F26661">
        <w:rPr>
          <w:rFonts w:eastAsia="Times New Roman" w:cs="Times New Roman"/>
          <w:szCs w:val="28"/>
          <w:lang w:eastAsia="lv-LV"/>
        </w:rPr>
        <w:t xml:space="preserve">Vēl </w:t>
      </w:r>
      <w:r w:rsidRPr="00F26661">
        <w:rPr>
          <w:rFonts w:eastAsia="Times New Roman" w:cs="Times New Roman"/>
          <w:szCs w:val="28"/>
          <w:lang w:eastAsia="lv-LV"/>
        </w:rPr>
        <w:lastRenderedPageBreak/>
        <w:t>nepieciešama biogāzes saspiešana līdz 250</w:t>
      </w:r>
      <w:r w:rsidR="00680ACC" w:rsidRPr="00F26661">
        <w:rPr>
          <w:rFonts w:eastAsia="Times New Roman" w:cs="Times New Roman"/>
          <w:szCs w:val="28"/>
          <w:lang w:eastAsia="lv-LV"/>
        </w:rPr>
        <w:t>–</w:t>
      </w:r>
      <w:r w:rsidRPr="00F26661">
        <w:rPr>
          <w:rFonts w:eastAsia="Times New Roman" w:cs="Times New Roman"/>
          <w:szCs w:val="28"/>
          <w:lang w:eastAsia="lv-LV"/>
        </w:rPr>
        <w:t>300</w:t>
      </w:r>
      <w:r w:rsidR="00E61A42">
        <w:rPr>
          <w:rFonts w:eastAsia="Times New Roman" w:cs="Times New Roman"/>
          <w:szCs w:val="28"/>
          <w:lang w:eastAsia="lv-LV"/>
        </w:rPr>
        <w:t xml:space="preserve"> bāriem</w:t>
      </w:r>
      <w:r w:rsidRPr="00F26661">
        <w:rPr>
          <w:rFonts w:eastAsia="Times New Roman" w:cs="Times New Roman"/>
          <w:szCs w:val="28"/>
          <w:lang w:eastAsia="lv-LV"/>
        </w:rPr>
        <w:t xml:space="preserve">. Šādu saspiešanu var nodrošināt speciāli vairāku pakāpju augstspiediena kompresori, kuru izmaksas ir lielas. Biogāzes </w:t>
      </w:r>
      <w:r w:rsidR="00A16BB9">
        <w:rPr>
          <w:rFonts w:eastAsia="Times New Roman" w:cs="Times New Roman"/>
          <w:szCs w:val="28"/>
          <w:lang w:eastAsia="lv-LV"/>
        </w:rPr>
        <w:t>sagatavošanai</w:t>
      </w:r>
      <w:r w:rsidR="00A16BB9" w:rsidRPr="00F26661">
        <w:rPr>
          <w:rFonts w:eastAsia="Times New Roman" w:cs="Times New Roman"/>
          <w:szCs w:val="28"/>
          <w:lang w:eastAsia="lv-LV"/>
        </w:rPr>
        <w:t xml:space="preserve"> </w:t>
      </w:r>
      <w:r w:rsidRPr="00F26661">
        <w:rPr>
          <w:rFonts w:eastAsia="Times New Roman" w:cs="Times New Roman"/>
          <w:szCs w:val="28"/>
          <w:lang w:eastAsia="lv-LV"/>
        </w:rPr>
        <w:t xml:space="preserve">nepieciešamais augstais spiediens ir viens no lielākajiem ierobežojošiem faktoriem tās izmantošanai par </w:t>
      </w:r>
      <w:r w:rsidR="00A16BB9">
        <w:rPr>
          <w:rFonts w:eastAsia="Times New Roman" w:cs="Times New Roman"/>
          <w:szCs w:val="28"/>
          <w:lang w:eastAsia="lv-LV"/>
        </w:rPr>
        <w:t>autotransporta</w:t>
      </w:r>
      <w:r w:rsidR="00A16BB9" w:rsidRPr="00F26661">
        <w:rPr>
          <w:rFonts w:eastAsia="Times New Roman" w:cs="Times New Roman"/>
          <w:szCs w:val="28"/>
          <w:lang w:eastAsia="lv-LV"/>
        </w:rPr>
        <w:t xml:space="preserve"> </w:t>
      </w:r>
      <w:r w:rsidRPr="00F26661">
        <w:rPr>
          <w:rFonts w:eastAsia="Times New Roman" w:cs="Times New Roman"/>
          <w:szCs w:val="28"/>
          <w:lang w:eastAsia="lv-LV"/>
        </w:rPr>
        <w:t xml:space="preserve">degvielu Latvijā. </w:t>
      </w:r>
    </w:p>
    <w:p w:rsidR="00AD1F13" w:rsidRPr="00834B2A" w:rsidRDefault="00AD1F13" w:rsidP="00AD1F13">
      <w:pPr>
        <w:ind w:firstLine="720"/>
        <w:jc w:val="both"/>
        <w:rPr>
          <w:rFonts w:eastAsia="Times New Roman" w:cs="Times New Roman"/>
          <w:szCs w:val="28"/>
        </w:rPr>
      </w:pPr>
      <w:r w:rsidRPr="00834B2A">
        <w:rPr>
          <w:rFonts w:eastAsia="Times New Roman" w:cs="Times New Roman"/>
          <w:szCs w:val="28"/>
        </w:rPr>
        <w:t xml:space="preserve">Biogāzi var izmantot arī kā papildus resursu dabasgāzei, iepludinot to dabasgāzes tīklā. Tomēr </w:t>
      </w:r>
      <w:r w:rsidR="00254989" w:rsidRPr="00834B2A">
        <w:rPr>
          <w:rFonts w:eastAsia="Times New Roman" w:cs="Times New Roman"/>
          <w:szCs w:val="28"/>
        </w:rPr>
        <w:t xml:space="preserve">arī </w:t>
      </w:r>
      <w:r w:rsidRPr="00834B2A">
        <w:rPr>
          <w:rFonts w:eastAsia="Times New Roman" w:cs="Times New Roman"/>
          <w:szCs w:val="28"/>
        </w:rPr>
        <w:t xml:space="preserve">pirms tam biogāze ir īpaši jāapstrādā, palielinot metāna saturu, un mazinot </w:t>
      </w:r>
      <w:r w:rsidR="00254989" w:rsidRPr="00834B2A">
        <w:rPr>
          <w:rFonts w:eastAsia="Times New Roman" w:cs="Times New Roman"/>
          <w:szCs w:val="28"/>
        </w:rPr>
        <w:t>CO</w:t>
      </w:r>
      <w:r w:rsidR="00254989" w:rsidRPr="00834B2A">
        <w:rPr>
          <w:rFonts w:eastAsia="Times New Roman" w:cs="Times New Roman"/>
          <w:szCs w:val="28"/>
          <w:vertAlign w:val="subscript"/>
        </w:rPr>
        <w:t>2</w:t>
      </w:r>
      <w:r w:rsidRPr="00834B2A">
        <w:rPr>
          <w:rFonts w:eastAsia="Times New Roman" w:cs="Times New Roman"/>
          <w:szCs w:val="28"/>
        </w:rPr>
        <w:t xml:space="preserve"> īpatsvaru. Šādi tiek</w:t>
      </w:r>
      <w:r w:rsidRPr="00834B2A">
        <w:rPr>
          <w:rFonts w:eastAsia="Times New Roman"/>
          <w:szCs w:val="28"/>
        </w:rPr>
        <w:t xml:space="preserve"> </w:t>
      </w:r>
      <w:r w:rsidRPr="00834B2A">
        <w:rPr>
          <w:rFonts w:eastAsia="Times New Roman" w:cs="Times New Roman"/>
          <w:szCs w:val="28"/>
        </w:rPr>
        <w:t>sasniegta biogāzes atbilstība dabasgāzes kvalitātei.</w:t>
      </w:r>
    </w:p>
    <w:p w:rsidR="00AD1F13" w:rsidRPr="00834B2A" w:rsidRDefault="00AD1F13" w:rsidP="00AD1F13">
      <w:pPr>
        <w:ind w:firstLine="720"/>
        <w:jc w:val="both"/>
        <w:rPr>
          <w:rFonts w:eastAsia="Times New Roman" w:cs="Times New Roman"/>
          <w:szCs w:val="28"/>
        </w:rPr>
      </w:pPr>
      <w:r w:rsidRPr="00834B2A">
        <w:rPr>
          <w:rFonts w:eastAsia="Times New Roman" w:cs="Times New Roman"/>
          <w:szCs w:val="28"/>
        </w:rPr>
        <w:t xml:space="preserve">Atsevišķās valstīs </w:t>
      </w:r>
      <w:r w:rsidR="00254989" w:rsidRPr="00834B2A">
        <w:rPr>
          <w:rFonts w:eastAsia="Times New Roman" w:cs="Times New Roman"/>
          <w:szCs w:val="28"/>
        </w:rPr>
        <w:t xml:space="preserve">ir </w:t>
      </w:r>
      <w:r w:rsidRPr="00834B2A">
        <w:rPr>
          <w:rFonts w:eastAsia="Times New Roman" w:cs="Times New Roman"/>
          <w:szCs w:val="28"/>
        </w:rPr>
        <w:t xml:space="preserve">noteikta </w:t>
      </w:r>
      <w:r w:rsidR="00254989" w:rsidRPr="00834B2A">
        <w:rPr>
          <w:rFonts w:eastAsia="Times New Roman" w:cs="Times New Roman"/>
          <w:szCs w:val="28"/>
        </w:rPr>
        <w:t>konkrētas</w:t>
      </w:r>
      <w:r w:rsidRPr="00834B2A">
        <w:rPr>
          <w:rFonts w:eastAsia="Times New Roman" w:cs="Times New Roman"/>
          <w:szCs w:val="28"/>
        </w:rPr>
        <w:t xml:space="preserve"> prasības biogāzes pievienošanai dabasgāzei.</w:t>
      </w:r>
      <w:r w:rsidRPr="00834B2A">
        <w:rPr>
          <w:rFonts w:eastAsia="Times New Roman"/>
          <w:szCs w:val="28"/>
        </w:rPr>
        <w:t xml:space="preserve"> T</w:t>
      </w:r>
      <w:r w:rsidRPr="00834B2A">
        <w:rPr>
          <w:rFonts w:eastAsia="Times New Roman" w:cs="Times New Roman"/>
          <w:szCs w:val="28"/>
        </w:rPr>
        <w:t>ikko iegūtas</w:t>
      </w:r>
      <w:r w:rsidRPr="00834B2A">
        <w:rPr>
          <w:rFonts w:eastAsia="Times New Roman"/>
          <w:szCs w:val="28"/>
        </w:rPr>
        <w:t>, neapstrādātas</w:t>
      </w:r>
      <w:r w:rsidRPr="00834B2A">
        <w:rPr>
          <w:rFonts w:eastAsia="Times New Roman" w:cs="Times New Roman"/>
          <w:szCs w:val="28"/>
        </w:rPr>
        <w:t xml:space="preserve"> biogāzes pievienošan</w:t>
      </w:r>
      <w:r w:rsidRPr="00834B2A">
        <w:rPr>
          <w:rFonts w:eastAsia="Times New Roman"/>
          <w:szCs w:val="28"/>
        </w:rPr>
        <w:t xml:space="preserve">a </w:t>
      </w:r>
      <w:r w:rsidRPr="00834B2A">
        <w:rPr>
          <w:rFonts w:eastAsia="Times New Roman" w:cs="Times New Roman"/>
          <w:szCs w:val="28"/>
        </w:rPr>
        <w:t xml:space="preserve">dabasgāzei </w:t>
      </w:r>
      <w:r w:rsidRPr="00834B2A">
        <w:rPr>
          <w:rFonts w:eastAsia="Times New Roman"/>
          <w:szCs w:val="28"/>
        </w:rPr>
        <w:t>pieļaujama tikai zināmā procentuālā apjomā</w:t>
      </w:r>
      <w:r w:rsidRPr="00834B2A">
        <w:rPr>
          <w:rFonts w:eastAsia="Times New Roman" w:cs="Times New Roman"/>
          <w:szCs w:val="28"/>
        </w:rPr>
        <w:t xml:space="preserve">. </w:t>
      </w:r>
      <w:r w:rsidRPr="00834B2A">
        <w:rPr>
          <w:rFonts w:eastAsia="Times New Roman"/>
          <w:szCs w:val="28"/>
        </w:rPr>
        <w:t>Šādas prasības raksturīgas valstīm, kur lielu</w:t>
      </w:r>
      <w:r w:rsidRPr="00834B2A">
        <w:rPr>
          <w:rFonts w:eastAsia="Times New Roman" w:cs="Times New Roman"/>
          <w:szCs w:val="28"/>
        </w:rPr>
        <w:t xml:space="preserve"> </w:t>
      </w:r>
      <w:r w:rsidRPr="00834B2A">
        <w:rPr>
          <w:rFonts w:eastAsia="Times New Roman"/>
          <w:szCs w:val="28"/>
        </w:rPr>
        <w:t>biogāzes resursu apjomu iegūst</w:t>
      </w:r>
      <w:r w:rsidRPr="00834B2A">
        <w:rPr>
          <w:rFonts w:eastAsia="Times New Roman" w:cs="Times New Roman"/>
          <w:szCs w:val="28"/>
        </w:rPr>
        <w:t xml:space="preserve"> no notekūdeņiem un mājsaimniecības atkritumiem (piemēram, Šveicē). Šveic</w:t>
      </w:r>
      <w:r w:rsidRPr="00834B2A">
        <w:rPr>
          <w:rFonts w:eastAsia="Times New Roman"/>
          <w:szCs w:val="28"/>
        </w:rPr>
        <w:t>es d</w:t>
      </w:r>
      <w:r w:rsidRPr="00834B2A">
        <w:rPr>
          <w:rFonts w:eastAsia="Times New Roman" w:cs="Times New Roman"/>
          <w:szCs w:val="28"/>
        </w:rPr>
        <w:t xml:space="preserve">abasgāzes tīklā var ievadīt līdz 5% </w:t>
      </w:r>
      <w:r w:rsidR="00254989" w:rsidRPr="00834B2A">
        <w:rPr>
          <w:rFonts w:eastAsia="Times New Roman" w:cs="Times New Roman"/>
          <w:szCs w:val="28"/>
        </w:rPr>
        <w:t xml:space="preserve">neattīrītas </w:t>
      </w:r>
      <w:r w:rsidRPr="00834B2A">
        <w:rPr>
          <w:rFonts w:eastAsia="Times New Roman"/>
          <w:szCs w:val="28"/>
        </w:rPr>
        <w:t>biogāzes.</w:t>
      </w:r>
    </w:p>
    <w:p w:rsidR="00F26661" w:rsidRPr="00834B2A" w:rsidRDefault="00964EF9" w:rsidP="00964EF9">
      <w:pPr>
        <w:pStyle w:val="Heading3"/>
        <w:rPr>
          <w:rFonts w:ascii="Times New Roman" w:eastAsia="Times New Roman" w:hAnsi="Times New Roman" w:cs="Times New Roman"/>
          <w:color w:val="auto"/>
          <w:szCs w:val="28"/>
        </w:rPr>
      </w:pPr>
      <w:bookmarkStart w:id="6" w:name="_Toc400714652"/>
      <w:r w:rsidRPr="00834B2A">
        <w:rPr>
          <w:rFonts w:ascii="Times New Roman" w:eastAsia="Times New Roman" w:hAnsi="Times New Roman" w:cs="Times New Roman"/>
          <w:color w:val="auto"/>
          <w:szCs w:val="28"/>
        </w:rPr>
        <w:t xml:space="preserve">1.2.3. </w:t>
      </w:r>
      <w:r w:rsidR="00F26661" w:rsidRPr="00834B2A">
        <w:rPr>
          <w:rFonts w:ascii="Times New Roman" w:eastAsia="Times New Roman" w:hAnsi="Times New Roman" w:cs="Times New Roman"/>
          <w:color w:val="auto"/>
          <w:szCs w:val="28"/>
        </w:rPr>
        <w:t>Salmi un lauksaimnieciskās ražošanas blakusprodukti</w:t>
      </w:r>
      <w:bookmarkEnd w:id="6"/>
    </w:p>
    <w:p w:rsidR="00F26661" w:rsidRPr="006E12C0" w:rsidRDefault="00206FD6" w:rsidP="006E12C0">
      <w:pPr>
        <w:ind w:firstLine="720"/>
        <w:jc w:val="both"/>
        <w:rPr>
          <w:rFonts w:eastAsia="Times New Roman" w:cs="Times New Roman"/>
          <w:szCs w:val="28"/>
        </w:rPr>
      </w:pPr>
      <w:r>
        <w:rPr>
          <w:rFonts w:eastAsia="Times New Roman" w:cs="Times New Roman"/>
          <w:szCs w:val="28"/>
        </w:rPr>
        <w:t>Salmi, kas rodas l</w:t>
      </w:r>
      <w:r w:rsidR="00F26661" w:rsidRPr="00F26661">
        <w:rPr>
          <w:rFonts w:eastAsia="Times New Roman" w:cs="Times New Roman"/>
          <w:szCs w:val="28"/>
        </w:rPr>
        <w:t>auksaimnieciskās darbības rezultātā</w:t>
      </w:r>
      <w:r>
        <w:rPr>
          <w:rFonts w:eastAsia="Times New Roman" w:cs="Times New Roman"/>
          <w:szCs w:val="28"/>
        </w:rPr>
        <w:t xml:space="preserve">, Latvijā nav nozīmīgs </w:t>
      </w:r>
      <w:r w:rsidR="00D05517">
        <w:rPr>
          <w:rFonts w:eastAsia="Times New Roman" w:cs="Times New Roman"/>
          <w:szCs w:val="28"/>
        </w:rPr>
        <w:t xml:space="preserve">kurināmā veids. </w:t>
      </w:r>
      <w:r w:rsidR="006E12C0" w:rsidRPr="00921D68">
        <w:rPr>
          <w:rFonts w:eastAsia="Times New Roman" w:cs="Times New Roman"/>
          <w:szCs w:val="28"/>
        </w:rPr>
        <w:t>2012.gadā</w:t>
      </w:r>
      <w:r w:rsidR="00F26661" w:rsidRPr="00D94600">
        <w:rPr>
          <w:rFonts w:eastAsia="Times New Roman" w:cs="Times New Roman"/>
          <w:szCs w:val="28"/>
        </w:rPr>
        <w:t xml:space="preserve"> darboj</w:t>
      </w:r>
      <w:r w:rsidR="00990056" w:rsidRPr="00D94600">
        <w:rPr>
          <w:rFonts w:eastAsia="Times New Roman" w:cs="Times New Roman"/>
          <w:szCs w:val="28"/>
        </w:rPr>
        <w:t>ā</w:t>
      </w:r>
      <w:r w:rsidR="00F26661" w:rsidRPr="00D94600">
        <w:rPr>
          <w:rFonts w:eastAsia="Times New Roman" w:cs="Times New Roman"/>
          <w:szCs w:val="28"/>
        </w:rPr>
        <w:t>s tikai viena katlumāja</w:t>
      </w:r>
      <w:r w:rsidR="0016584A" w:rsidRPr="00D94600">
        <w:rPr>
          <w:rFonts w:eastAsia="Times New Roman" w:cs="Times New Roman"/>
          <w:szCs w:val="28"/>
        </w:rPr>
        <w:t xml:space="preserve"> </w:t>
      </w:r>
      <w:r w:rsidR="00990056" w:rsidRPr="00D94600">
        <w:rPr>
          <w:rFonts w:eastAsia="Times New Roman" w:cs="Times New Roman"/>
          <w:szCs w:val="28"/>
        </w:rPr>
        <w:t>ar uzstādīto siltumenerģijas jaudu 1,7 M</w:t>
      </w:r>
      <w:r w:rsidR="00990056" w:rsidRPr="006C380C">
        <w:rPr>
          <w:rFonts w:eastAsia="Times New Roman" w:cs="Times New Roman"/>
          <w:szCs w:val="28"/>
        </w:rPr>
        <w:t>W</w:t>
      </w:r>
      <w:r w:rsidR="00F26661" w:rsidRPr="006C380C">
        <w:rPr>
          <w:rFonts w:eastAsia="Times New Roman" w:cs="Times New Roman"/>
          <w:szCs w:val="28"/>
        </w:rPr>
        <w:t>, kurā kā kurināmo izmanto</w:t>
      </w:r>
      <w:r w:rsidR="00ED101F" w:rsidRPr="006C380C">
        <w:rPr>
          <w:rFonts w:eastAsia="Times New Roman" w:cs="Times New Roman"/>
          <w:szCs w:val="28"/>
        </w:rPr>
        <w:t>ja</w:t>
      </w:r>
      <w:r w:rsidR="00F26661" w:rsidRPr="006C380C">
        <w:rPr>
          <w:rFonts w:eastAsia="Times New Roman" w:cs="Times New Roman"/>
          <w:szCs w:val="28"/>
        </w:rPr>
        <w:t xml:space="preserve"> salmus</w:t>
      </w:r>
      <w:r w:rsidR="00990056" w:rsidRPr="006C380C">
        <w:rPr>
          <w:rFonts w:eastAsia="Times New Roman" w:cs="Times New Roman"/>
          <w:szCs w:val="28"/>
        </w:rPr>
        <w:t xml:space="preserve">), savukārt 2013.gadā </w:t>
      </w:r>
      <w:r w:rsidR="00D94600">
        <w:rPr>
          <w:rFonts w:eastAsia="Times New Roman" w:cs="Times New Roman"/>
          <w:szCs w:val="28"/>
        </w:rPr>
        <w:t xml:space="preserve">– </w:t>
      </w:r>
      <w:r w:rsidR="00990056" w:rsidRPr="00D94600">
        <w:rPr>
          <w:rFonts w:eastAsia="Times New Roman" w:cs="Times New Roman"/>
          <w:szCs w:val="28"/>
        </w:rPr>
        <w:t>divas katlumājas</w:t>
      </w:r>
      <w:r w:rsidR="0016584A" w:rsidRPr="00D94600">
        <w:rPr>
          <w:rFonts w:eastAsia="Times New Roman" w:cs="Times New Roman"/>
          <w:szCs w:val="28"/>
        </w:rPr>
        <w:t xml:space="preserve"> </w:t>
      </w:r>
      <w:r w:rsidR="00D94600">
        <w:rPr>
          <w:rFonts w:eastAsia="Times New Roman" w:cs="Times New Roman"/>
          <w:szCs w:val="28"/>
        </w:rPr>
        <w:t xml:space="preserve">ar uzstādīto siltumenerģijas jaudu </w:t>
      </w:r>
      <w:r w:rsidR="0016584A" w:rsidRPr="00D94600">
        <w:rPr>
          <w:rFonts w:eastAsia="Times New Roman" w:cs="Times New Roman"/>
          <w:szCs w:val="28"/>
        </w:rPr>
        <w:t>2,7 MW</w:t>
      </w:r>
      <w:r w:rsidR="00F26661" w:rsidRPr="00D94600">
        <w:rPr>
          <w:rFonts w:eastAsia="Times New Roman" w:cs="Times New Roman"/>
          <w:szCs w:val="28"/>
        </w:rPr>
        <w:t>. Kopējais</w:t>
      </w:r>
      <w:r w:rsidR="00F26661" w:rsidRPr="00F26661">
        <w:rPr>
          <w:rFonts w:eastAsia="Times New Roman" w:cs="Times New Roman"/>
          <w:szCs w:val="28"/>
        </w:rPr>
        <w:t xml:space="preserve"> salmu pārpalikums Latvijā gadā </w:t>
      </w:r>
      <w:r w:rsidR="00251144">
        <w:rPr>
          <w:rFonts w:eastAsia="Times New Roman" w:cs="Times New Roman"/>
          <w:szCs w:val="28"/>
        </w:rPr>
        <w:t>tiek vērtēts</w:t>
      </w:r>
      <w:r w:rsidR="00F26661" w:rsidRPr="00F26661">
        <w:rPr>
          <w:rFonts w:eastAsia="Times New Roman" w:cs="Times New Roman"/>
          <w:szCs w:val="28"/>
        </w:rPr>
        <w:t xml:space="preserve"> robežās no 150 līdz 570 tūkstoši</w:t>
      </w:r>
      <w:r w:rsidR="004C583C">
        <w:rPr>
          <w:rFonts w:eastAsia="Times New Roman" w:cs="Times New Roman"/>
          <w:szCs w:val="28"/>
        </w:rPr>
        <w:t>em</w:t>
      </w:r>
      <w:r w:rsidR="00F26661" w:rsidRPr="00F26661">
        <w:rPr>
          <w:rFonts w:eastAsia="Times New Roman" w:cs="Times New Roman"/>
          <w:szCs w:val="28"/>
        </w:rPr>
        <w:t xml:space="preserve"> tonnu (</w:t>
      </w:r>
      <w:r w:rsidR="004C583C">
        <w:rPr>
          <w:rFonts w:eastAsia="Times New Roman" w:cs="Times New Roman"/>
          <w:szCs w:val="28"/>
        </w:rPr>
        <w:t>ar</w:t>
      </w:r>
      <w:r w:rsidR="004C583C" w:rsidRPr="00F26661">
        <w:rPr>
          <w:rFonts w:eastAsia="Times New Roman" w:cs="Times New Roman"/>
          <w:szCs w:val="28"/>
        </w:rPr>
        <w:t xml:space="preserve"> </w:t>
      </w:r>
      <w:r w:rsidR="00F26661" w:rsidRPr="00F26661">
        <w:rPr>
          <w:rFonts w:eastAsia="Times New Roman" w:cs="Times New Roman"/>
          <w:szCs w:val="28"/>
        </w:rPr>
        <w:t xml:space="preserve">ekonomiski </w:t>
      </w:r>
      <w:r w:rsidR="004C583C" w:rsidRPr="00F26661">
        <w:rPr>
          <w:rFonts w:eastAsia="Times New Roman" w:cs="Times New Roman"/>
          <w:szCs w:val="28"/>
        </w:rPr>
        <w:t>pieejam</w:t>
      </w:r>
      <w:r w:rsidR="004C583C">
        <w:rPr>
          <w:rFonts w:eastAsia="Times New Roman" w:cs="Times New Roman"/>
          <w:szCs w:val="28"/>
        </w:rPr>
        <w:t>o</w:t>
      </w:r>
      <w:r w:rsidR="004C583C" w:rsidRPr="00F26661">
        <w:rPr>
          <w:rFonts w:eastAsia="Times New Roman" w:cs="Times New Roman"/>
          <w:szCs w:val="28"/>
        </w:rPr>
        <w:t xml:space="preserve"> potenciāl</w:t>
      </w:r>
      <w:r w:rsidR="004C583C">
        <w:rPr>
          <w:rFonts w:eastAsia="Times New Roman" w:cs="Times New Roman"/>
          <w:szCs w:val="28"/>
        </w:rPr>
        <w:t>u</w:t>
      </w:r>
      <w:r w:rsidR="004C583C" w:rsidRPr="00F26661">
        <w:rPr>
          <w:rFonts w:eastAsia="Times New Roman" w:cs="Times New Roman"/>
          <w:szCs w:val="28"/>
        </w:rPr>
        <w:t xml:space="preserve"> </w:t>
      </w:r>
      <w:r w:rsidR="004C583C">
        <w:rPr>
          <w:rFonts w:eastAsia="Times New Roman" w:cs="Times New Roman"/>
          <w:szCs w:val="28"/>
        </w:rPr>
        <w:t>-</w:t>
      </w:r>
      <w:r w:rsidR="004C583C" w:rsidRPr="00F26661">
        <w:rPr>
          <w:rFonts w:eastAsia="Times New Roman" w:cs="Times New Roman"/>
          <w:szCs w:val="28"/>
        </w:rPr>
        <w:t xml:space="preserve"> </w:t>
      </w:r>
      <w:r w:rsidR="00F26661" w:rsidRPr="00F26661">
        <w:rPr>
          <w:rFonts w:eastAsia="Times New Roman" w:cs="Times New Roman"/>
          <w:szCs w:val="28"/>
        </w:rPr>
        <w:t>apmēram 2,2 PJ</w:t>
      </w:r>
      <w:r w:rsidR="00F26661" w:rsidRPr="00F26661">
        <w:rPr>
          <w:rFonts w:eastAsia="Times New Roman" w:cs="Times New Roman"/>
          <w:color w:val="000000"/>
          <w:position w:val="6"/>
          <w:szCs w:val="16"/>
          <w:vertAlign w:val="superscript"/>
        </w:rPr>
        <w:footnoteReference w:id="4"/>
      </w:r>
      <w:r w:rsidR="00F26661" w:rsidRPr="00F26661">
        <w:rPr>
          <w:rFonts w:eastAsia="Times New Roman" w:cs="Times New Roman"/>
          <w:szCs w:val="28"/>
        </w:rPr>
        <w:t>)</w:t>
      </w:r>
      <w:r w:rsidR="00D05517">
        <w:rPr>
          <w:rFonts w:eastAsia="Times New Roman" w:cs="Times New Roman"/>
          <w:szCs w:val="28"/>
        </w:rPr>
        <w:t xml:space="preserve">. </w:t>
      </w:r>
      <w:r w:rsidR="00577CCC">
        <w:rPr>
          <w:rFonts w:eastAsia="Times New Roman" w:cs="Times New Roman"/>
          <w:szCs w:val="28"/>
        </w:rPr>
        <w:t>Šo resursu pieejamībai</w:t>
      </w:r>
      <w:r w:rsidR="00577CCC" w:rsidRPr="00F26661">
        <w:rPr>
          <w:rFonts w:eastAsia="Times New Roman" w:cs="Times New Roman"/>
          <w:szCs w:val="28"/>
        </w:rPr>
        <w:t xml:space="preserve"> </w:t>
      </w:r>
      <w:r w:rsidR="00F26661" w:rsidRPr="00F26661">
        <w:rPr>
          <w:rFonts w:eastAsia="Times New Roman" w:cs="Times New Roman"/>
          <w:szCs w:val="28"/>
        </w:rPr>
        <w:t>ir izteikti reģionāls raksturs – vislielākais salmu pārpalikums Latvijā ir Zemgalē</w:t>
      </w:r>
      <w:r w:rsidR="00D05517">
        <w:rPr>
          <w:rFonts w:eastAsia="Times New Roman" w:cs="Times New Roman"/>
          <w:szCs w:val="28"/>
        </w:rPr>
        <w:t xml:space="preserve">, jo tur ražo visvairāk graudu. </w:t>
      </w:r>
      <w:r w:rsidR="00A45586">
        <w:rPr>
          <w:rFonts w:eastAsia="Times New Roman" w:cs="Times New Roman"/>
          <w:szCs w:val="28"/>
        </w:rPr>
        <w:t xml:space="preserve">Salmu un cita veida lauksaimnieciskās ražošanas blakusproduktu patēriņš </w:t>
      </w:r>
      <w:r w:rsidR="00F26661" w:rsidRPr="00F26661">
        <w:rPr>
          <w:rFonts w:eastAsia="Times New Roman" w:cs="Times New Roman"/>
          <w:szCs w:val="28"/>
        </w:rPr>
        <w:t xml:space="preserve">2012.gada Latvijas </w:t>
      </w:r>
      <w:r w:rsidR="00334DE8">
        <w:rPr>
          <w:rFonts w:eastAsia="Times New Roman" w:cs="Times New Roman"/>
          <w:szCs w:val="28"/>
        </w:rPr>
        <w:t xml:space="preserve">kopējā primāro energoresursu </w:t>
      </w:r>
      <w:r w:rsidR="00F26661" w:rsidRPr="00F26661">
        <w:rPr>
          <w:rFonts w:eastAsia="Times New Roman" w:cs="Times New Roman"/>
          <w:szCs w:val="28"/>
        </w:rPr>
        <w:t>patēriņā</w:t>
      </w:r>
      <w:r w:rsidR="00F26661" w:rsidRPr="00F26661">
        <w:rPr>
          <w:rFonts w:eastAsia="Times New Roman" w:cs="Times New Roman"/>
          <w:iCs/>
          <w:szCs w:val="24"/>
        </w:rPr>
        <w:t xml:space="preserve"> bija ļoti neliels</w:t>
      </w:r>
      <w:r w:rsidR="007C3AF1">
        <w:rPr>
          <w:rFonts w:eastAsia="Times New Roman" w:cs="Times New Roman"/>
          <w:iCs/>
          <w:szCs w:val="24"/>
        </w:rPr>
        <w:t xml:space="preserve"> 3 </w:t>
      </w:r>
      <w:proofErr w:type="spellStart"/>
      <w:r w:rsidR="007C3AF1">
        <w:rPr>
          <w:rFonts w:eastAsia="Times New Roman" w:cs="Times New Roman"/>
          <w:iCs/>
          <w:szCs w:val="24"/>
        </w:rPr>
        <w:t>tūkst</w:t>
      </w:r>
      <w:proofErr w:type="spellEnd"/>
      <w:r w:rsidR="007C3AF1">
        <w:rPr>
          <w:rFonts w:eastAsia="Times New Roman" w:cs="Times New Roman"/>
          <w:iCs/>
          <w:szCs w:val="24"/>
        </w:rPr>
        <w:t xml:space="preserve">. t jeb </w:t>
      </w:r>
      <w:r w:rsidR="00F26661" w:rsidRPr="00F26661">
        <w:rPr>
          <w:rFonts w:eastAsia="Times New Roman" w:cs="Times New Roman"/>
          <w:iCs/>
          <w:szCs w:val="24"/>
        </w:rPr>
        <w:t>0,0</w:t>
      </w:r>
      <w:r w:rsidR="006E12C0">
        <w:rPr>
          <w:rFonts w:eastAsia="Times New Roman" w:cs="Times New Roman"/>
          <w:iCs/>
          <w:szCs w:val="24"/>
        </w:rPr>
        <w:t>2</w:t>
      </w:r>
      <w:r w:rsidR="00F26661" w:rsidRPr="00F26661">
        <w:rPr>
          <w:rFonts w:eastAsia="Times New Roman" w:cs="Times New Roman"/>
          <w:iCs/>
          <w:szCs w:val="24"/>
        </w:rPr>
        <w:t xml:space="preserve"> PJ. </w:t>
      </w:r>
    </w:p>
    <w:p w:rsidR="00F26661" w:rsidRPr="00834B2A" w:rsidRDefault="0048773B" w:rsidP="0048773B">
      <w:pPr>
        <w:pStyle w:val="Heading2"/>
        <w:rPr>
          <w:rFonts w:ascii="Times New Roman" w:eastAsia="Times New Roman" w:hAnsi="Times New Roman" w:cs="Times New Roman"/>
          <w:color w:val="auto"/>
          <w:sz w:val="28"/>
          <w:szCs w:val="28"/>
        </w:rPr>
      </w:pPr>
      <w:bookmarkStart w:id="7" w:name="_Toc392432489"/>
      <w:bookmarkStart w:id="8" w:name="_Toc400714653"/>
      <w:r w:rsidRPr="00834B2A">
        <w:rPr>
          <w:rFonts w:ascii="Times New Roman" w:eastAsia="Times New Roman" w:hAnsi="Times New Roman" w:cs="Times New Roman"/>
          <w:color w:val="auto"/>
          <w:sz w:val="28"/>
          <w:szCs w:val="28"/>
        </w:rPr>
        <w:t>1</w:t>
      </w:r>
      <w:bookmarkEnd w:id="7"/>
      <w:r w:rsidR="00BE3DFA" w:rsidRPr="00834B2A">
        <w:rPr>
          <w:rFonts w:ascii="Times New Roman" w:eastAsia="Times New Roman" w:hAnsi="Times New Roman" w:cs="Times New Roman"/>
          <w:color w:val="auto"/>
          <w:sz w:val="28"/>
          <w:szCs w:val="28"/>
        </w:rPr>
        <w:t>.</w:t>
      </w:r>
      <w:r w:rsidRPr="00834B2A">
        <w:rPr>
          <w:rFonts w:ascii="Times New Roman" w:eastAsia="Times New Roman" w:hAnsi="Times New Roman" w:cs="Times New Roman"/>
          <w:color w:val="auto"/>
          <w:sz w:val="28"/>
          <w:szCs w:val="28"/>
        </w:rPr>
        <w:t xml:space="preserve">3. </w:t>
      </w:r>
      <w:r w:rsidR="00F26661" w:rsidRPr="00834B2A">
        <w:rPr>
          <w:rFonts w:ascii="Times New Roman" w:eastAsia="Times New Roman" w:hAnsi="Times New Roman" w:cs="Times New Roman"/>
          <w:color w:val="auto"/>
          <w:sz w:val="28"/>
          <w:szCs w:val="28"/>
        </w:rPr>
        <w:t>Naftas produkti</w:t>
      </w:r>
      <w:bookmarkEnd w:id="8"/>
    </w:p>
    <w:p w:rsidR="00F26661" w:rsidRPr="00F26661" w:rsidRDefault="00542EC2" w:rsidP="00F26661">
      <w:pPr>
        <w:ind w:firstLine="720"/>
        <w:jc w:val="both"/>
        <w:rPr>
          <w:rFonts w:eastAsia="Times New Roman" w:cs="Times New Roman"/>
          <w:sz w:val="24"/>
          <w:szCs w:val="24"/>
        </w:rPr>
      </w:pPr>
      <w:r>
        <w:rPr>
          <w:rFonts w:eastAsia="Times New Roman" w:cs="Times New Roman"/>
          <w:szCs w:val="28"/>
        </w:rPr>
        <w:t>N</w:t>
      </w:r>
      <w:r w:rsidR="00F26661" w:rsidRPr="00F26661">
        <w:rPr>
          <w:rFonts w:eastAsia="Times New Roman" w:cs="Times New Roman"/>
          <w:szCs w:val="28"/>
        </w:rPr>
        <w:t xml:space="preserve">aftas produktu kopējais patēriņš </w:t>
      </w:r>
      <w:r>
        <w:rPr>
          <w:rFonts w:eastAsia="Times New Roman" w:cs="Times New Roman"/>
          <w:szCs w:val="28"/>
        </w:rPr>
        <w:t xml:space="preserve">2012.gada </w:t>
      </w:r>
      <w:r w:rsidR="00F26661" w:rsidRPr="00F26661">
        <w:rPr>
          <w:rFonts w:eastAsia="Times New Roman" w:cs="Times New Roman"/>
          <w:szCs w:val="28"/>
        </w:rPr>
        <w:t>Latvij</w:t>
      </w:r>
      <w:r>
        <w:rPr>
          <w:rFonts w:eastAsia="Times New Roman" w:cs="Times New Roman"/>
          <w:szCs w:val="28"/>
        </w:rPr>
        <w:t>as kopējā primāro energoresursu patēriņā</w:t>
      </w:r>
      <w:r w:rsidR="00F26661" w:rsidRPr="00F26661">
        <w:rPr>
          <w:rFonts w:eastAsia="Times New Roman" w:cs="Times New Roman"/>
          <w:szCs w:val="28"/>
        </w:rPr>
        <w:t xml:space="preserve"> sasniedza 1362 </w:t>
      </w:r>
      <w:proofErr w:type="spellStart"/>
      <w:r w:rsidR="00F26661" w:rsidRPr="00F26661">
        <w:rPr>
          <w:rFonts w:eastAsia="Times New Roman" w:cs="Times New Roman"/>
          <w:szCs w:val="28"/>
        </w:rPr>
        <w:t>tūkst</w:t>
      </w:r>
      <w:proofErr w:type="spellEnd"/>
      <w:r w:rsidR="00F26661" w:rsidRPr="00F26661">
        <w:rPr>
          <w:rFonts w:eastAsia="Times New Roman" w:cs="Times New Roman"/>
          <w:szCs w:val="28"/>
        </w:rPr>
        <w:t>. tonnu jeb 58,39</w:t>
      </w:r>
      <w:r w:rsidR="00994F60">
        <w:rPr>
          <w:rFonts w:eastAsia="Times New Roman" w:cs="Times New Roman"/>
          <w:szCs w:val="28"/>
        </w:rPr>
        <w:t> </w:t>
      </w:r>
      <w:r w:rsidR="00F26661" w:rsidRPr="00F26661">
        <w:rPr>
          <w:rFonts w:eastAsia="Times New Roman" w:cs="Times New Roman"/>
          <w:szCs w:val="28"/>
        </w:rPr>
        <w:t>PJ</w:t>
      </w:r>
      <w:r w:rsidR="006B53A8">
        <w:rPr>
          <w:rFonts w:eastAsia="Times New Roman" w:cs="Times New Roman"/>
          <w:szCs w:val="28"/>
        </w:rPr>
        <w:t>. L</w:t>
      </w:r>
      <w:r w:rsidR="00F26661" w:rsidRPr="00F26661">
        <w:rPr>
          <w:rFonts w:eastAsia="Times New Roman" w:cs="Times New Roman"/>
          <w:szCs w:val="28"/>
        </w:rPr>
        <w:t xml:space="preserve">ielākā daļa </w:t>
      </w:r>
      <w:r w:rsidR="006B53A8">
        <w:rPr>
          <w:rFonts w:eastAsia="Times New Roman" w:cs="Times New Roman"/>
          <w:szCs w:val="28"/>
        </w:rPr>
        <w:t xml:space="preserve">naftas produktu </w:t>
      </w:r>
      <w:r w:rsidR="00F26661" w:rsidRPr="00F26661">
        <w:rPr>
          <w:rFonts w:eastAsia="Times New Roman" w:cs="Times New Roman"/>
          <w:szCs w:val="28"/>
        </w:rPr>
        <w:t>tika izlietot</w:t>
      </w:r>
      <w:r w:rsidR="006B53A8">
        <w:rPr>
          <w:rFonts w:eastAsia="Times New Roman" w:cs="Times New Roman"/>
          <w:szCs w:val="28"/>
        </w:rPr>
        <w:t>i</w:t>
      </w:r>
      <w:r w:rsidR="00F26661" w:rsidRPr="00F26661">
        <w:rPr>
          <w:rFonts w:eastAsia="Times New Roman" w:cs="Times New Roman"/>
          <w:szCs w:val="28"/>
        </w:rPr>
        <w:t xml:space="preserve"> transporta sektorā – 1011 </w:t>
      </w:r>
      <w:proofErr w:type="spellStart"/>
      <w:r w:rsidR="00F26661" w:rsidRPr="00F26661">
        <w:rPr>
          <w:rFonts w:eastAsia="Times New Roman" w:cs="Times New Roman"/>
          <w:szCs w:val="28"/>
        </w:rPr>
        <w:t>tūkst</w:t>
      </w:r>
      <w:proofErr w:type="spellEnd"/>
      <w:r w:rsidR="00F26661" w:rsidRPr="00F26661">
        <w:rPr>
          <w:rFonts w:eastAsia="Times New Roman" w:cs="Times New Roman"/>
          <w:szCs w:val="28"/>
        </w:rPr>
        <w:t xml:space="preserve">. tonnu (no tām 810 </w:t>
      </w:r>
      <w:proofErr w:type="spellStart"/>
      <w:r w:rsidR="00F26661" w:rsidRPr="00F26661">
        <w:rPr>
          <w:rFonts w:eastAsia="Times New Roman" w:cs="Times New Roman"/>
          <w:szCs w:val="28"/>
        </w:rPr>
        <w:t>tūkst</w:t>
      </w:r>
      <w:proofErr w:type="spellEnd"/>
      <w:r w:rsidR="00F26661" w:rsidRPr="00F26661">
        <w:rPr>
          <w:rFonts w:eastAsia="Times New Roman" w:cs="Times New Roman"/>
          <w:szCs w:val="28"/>
        </w:rPr>
        <w:t>. tonnu autotransportā</w:t>
      </w:r>
      <w:r w:rsidR="006B53A8">
        <w:rPr>
          <w:rFonts w:eastAsia="Times New Roman" w:cs="Times New Roman"/>
          <w:szCs w:val="28"/>
        </w:rPr>
        <w:t xml:space="preserve">, 115 </w:t>
      </w:r>
      <w:proofErr w:type="spellStart"/>
      <w:r w:rsidR="006B53A8">
        <w:rPr>
          <w:rFonts w:eastAsia="Times New Roman" w:cs="Times New Roman"/>
          <w:szCs w:val="28"/>
        </w:rPr>
        <w:t>tūkst</w:t>
      </w:r>
      <w:proofErr w:type="spellEnd"/>
      <w:r w:rsidR="006B53A8">
        <w:rPr>
          <w:rFonts w:eastAsia="Times New Roman" w:cs="Times New Roman"/>
          <w:szCs w:val="28"/>
        </w:rPr>
        <w:t>. tonnu starptautiskajā gaisa transportā</w:t>
      </w:r>
      <w:r w:rsidR="00F26661" w:rsidRPr="00F26661">
        <w:rPr>
          <w:rFonts w:eastAsia="Times New Roman" w:cs="Times New Roman"/>
          <w:szCs w:val="28"/>
        </w:rPr>
        <w:t>)</w:t>
      </w:r>
      <w:r w:rsidR="006B53A8">
        <w:rPr>
          <w:rFonts w:eastAsia="Times New Roman" w:cs="Times New Roman"/>
          <w:szCs w:val="28"/>
        </w:rPr>
        <w:t>,</w:t>
      </w:r>
      <w:r w:rsidR="00F26661" w:rsidRPr="00F26661">
        <w:rPr>
          <w:rFonts w:eastAsia="Times New Roman" w:cs="Times New Roman"/>
          <w:szCs w:val="28"/>
        </w:rPr>
        <w:t xml:space="preserve"> </w:t>
      </w:r>
      <w:r w:rsidR="006B53A8">
        <w:rPr>
          <w:rFonts w:eastAsia="Times New Roman" w:cs="Times New Roman"/>
          <w:szCs w:val="28"/>
        </w:rPr>
        <w:t xml:space="preserve">rūpniecības un būvniecības sektorā – </w:t>
      </w:r>
      <w:r w:rsidR="00F26661" w:rsidRPr="00F26661">
        <w:rPr>
          <w:rFonts w:eastAsia="Times New Roman" w:cs="Times New Roman"/>
          <w:szCs w:val="28"/>
        </w:rPr>
        <w:t xml:space="preserve">140 </w:t>
      </w:r>
      <w:proofErr w:type="spellStart"/>
      <w:r w:rsidR="00F26661" w:rsidRPr="00F26661">
        <w:rPr>
          <w:rFonts w:eastAsia="Times New Roman" w:cs="Times New Roman"/>
          <w:szCs w:val="28"/>
        </w:rPr>
        <w:t>tūkst</w:t>
      </w:r>
      <w:proofErr w:type="spellEnd"/>
      <w:r w:rsidR="00F26661" w:rsidRPr="00F26661">
        <w:rPr>
          <w:rFonts w:eastAsia="Times New Roman" w:cs="Times New Roman"/>
          <w:szCs w:val="28"/>
        </w:rPr>
        <w:t>. tonn</w:t>
      </w:r>
      <w:r w:rsidR="006B53A8">
        <w:rPr>
          <w:rFonts w:eastAsia="Times New Roman" w:cs="Times New Roman"/>
          <w:szCs w:val="28"/>
        </w:rPr>
        <w:t xml:space="preserve">u, lauksaimniecības, mežsaimniecības, medniecības un zivsaimniecības sektorā – 101 </w:t>
      </w:r>
      <w:proofErr w:type="spellStart"/>
      <w:r w:rsidR="006B53A8">
        <w:rPr>
          <w:rFonts w:eastAsia="Times New Roman" w:cs="Times New Roman"/>
          <w:szCs w:val="28"/>
        </w:rPr>
        <w:t>tūkst</w:t>
      </w:r>
      <w:proofErr w:type="spellEnd"/>
      <w:r w:rsidR="006B53A8">
        <w:rPr>
          <w:rFonts w:eastAsia="Times New Roman" w:cs="Times New Roman"/>
          <w:szCs w:val="28"/>
        </w:rPr>
        <w:t>. tonnu.</w:t>
      </w:r>
      <w:r w:rsidR="00F26661" w:rsidRPr="00F26661">
        <w:rPr>
          <w:rFonts w:eastAsia="Times New Roman" w:cs="Times New Roman"/>
          <w:szCs w:val="28"/>
        </w:rPr>
        <w:t xml:space="preserve"> </w:t>
      </w:r>
    </w:p>
    <w:p w:rsidR="00F93969" w:rsidRDefault="00F93969" w:rsidP="00F26661">
      <w:pPr>
        <w:ind w:firstLine="709"/>
        <w:jc w:val="both"/>
        <w:rPr>
          <w:rFonts w:eastAsia="Calibri" w:cs="Times New Roman"/>
          <w:szCs w:val="28"/>
          <w:highlight w:val="yellow"/>
        </w:rPr>
      </w:pPr>
    </w:p>
    <w:p w:rsidR="00F93969" w:rsidRDefault="00EC0D87" w:rsidP="00834B2A">
      <w:pPr>
        <w:ind w:firstLine="709"/>
        <w:jc w:val="center"/>
        <w:rPr>
          <w:rFonts w:eastAsia="Calibri" w:cs="Times New Roman"/>
          <w:szCs w:val="28"/>
        </w:rPr>
      </w:pPr>
      <w:r>
        <w:rPr>
          <w:noProof/>
          <w:lang w:eastAsia="lv-LV"/>
        </w:rPr>
        <w:lastRenderedPageBreak/>
        <w:drawing>
          <wp:inline distT="0" distB="0" distL="0" distR="0" wp14:anchorId="12567EA9" wp14:editId="1B45C561">
            <wp:extent cx="4235501" cy="2289658"/>
            <wp:effectExtent l="0" t="0" r="12700" b="15875"/>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F93969" w:rsidRPr="00834B2A" w:rsidRDefault="00F93969" w:rsidP="00EC0D87">
      <w:pPr>
        <w:ind w:firstLine="709"/>
        <w:rPr>
          <w:rFonts w:eastAsia="Calibri" w:cs="Times New Roman"/>
          <w:sz w:val="20"/>
          <w:szCs w:val="20"/>
        </w:rPr>
      </w:pPr>
      <w:r w:rsidRPr="00834B2A">
        <w:rPr>
          <w:rFonts w:eastAsia="Calibri" w:cs="Times New Roman"/>
          <w:sz w:val="20"/>
          <w:szCs w:val="20"/>
        </w:rPr>
        <w:t>Avots: CSP</w:t>
      </w:r>
    </w:p>
    <w:p w:rsidR="00F93969" w:rsidRPr="00834B2A" w:rsidRDefault="006F7F94" w:rsidP="00834B2A">
      <w:pPr>
        <w:rPr>
          <w:rFonts w:eastAsia="Calibri" w:cs="Times New Roman"/>
          <w:b/>
          <w:sz w:val="24"/>
          <w:szCs w:val="24"/>
        </w:rPr>
      </w:pPr>
      <w:r w:rsidRPr="00834B2A">
        <w:rPr>
          <w:rFonts w:eastAsia="Calibri" w:cs="Times New Roman"/>
          <w:b/>
          <w:sz w:val="24"/>
          <w:szCs w:val="24"/>
        </w:rPr>
        <w:t>6</w:t>
      </w:r>
      <w:r w:rsidR="00F93969" w:rsidRPr="00834B2A">
        <w:rPr>
          <w:rFonts w:eastAsia="Calibri" w:cs="Times New Roman"/>
          <w:b/>
          <w:sz w:val="24"/>
          <w:szCs w:val="24"/>
        </w:rPr>
        <w:t>.attēls. Naftas produktu patēriņš 2003. – 2013.g.</w:t>
      </w:r>
      <w:r w:rsidR="007A10D7" w:rsidRPr="00834B2A">
        <w:rPr>
          <w:rFonts w:eastAsia="Calibri" w:cs="Times New Roman"/>
          <w:b/>
          <w:sz w:val="24"/>
          <w:szCs w:val="24"/>
        </w:rPr>
        <w:t xml:space="preserve">, </w:t>
      </w:r>
      <w:proofErr w:type="spellStart"/>
      <w:r w:rsidR="00F93969" w:rsidRPr="00834B2A">
        <w:rPr>
          <w:rFonts w:eastAsia="Calibri" w:cs="Times New Roman"/>
          <w:b/>
          <w:sz w:val="24"/>
          <w:szCs w:val="24"/>
        </w:rPr>
        <w:t>tūkst</w:t>
      </w:r>
      <w:proofErr w:type="spellEnd"/>
      <w:r w:rsidR="00F93969" w:rsidRPr="00834B2A">
        <w:rPr>
          <w:rFonts w:eastAsia="Calibri" w:cs="Times New Roman"/>
          <w:b/>
          <w:sz w:val="24"/>
          <w:szCs w:val="24"/>
        </w:rPr>
        <w:t>. t</w:t>
      </w:r>
      <w:r w:rsidR="00EC0D87">
        <w:rPr>
          <w:rFonts w:eastAsia="Calibri" w:cs="Times New Roman"/>
          <w:b/>
          <w:sz w:val="24"/>
          <w:szCs w:val="24"/>
        </w:rPr>
        <w:t>.</w:t>
      </w:r>
    </w:p>
    <w:p w:rsidR="00F93969" w:rsidRDefault="00F93969" w:rsidP="00F26661">
      <w:pPr>
        <w:ind w:firstLine="709"/>
        <w:jc w:val="both"/>
        <w:rPr>
          <w:rFonts w:eastAsia="Calibri" w:cs="Times New Roman"/>
          <w:szCs w:val="28"/>
        </w:rPr>
      </w:pPr>
    </w:p>
    <w:p w:rsidR="00C25CCA" w:rsidRDefault="00F26661" w:rsidP="00F26661">
      <w:pPr>
        <w:ind w:firstLine="709"/>
        <w:jc w:val="both"/>
        <w:rPr>
          <w:rFonts w:eastAsia="Calibri" w:cs="Times New Roman"/>
          <w:szCs w:val="28"/>
        </w:rPr>
      </w:pPr>
      <w:r w:rsidRPr="00F26661">
        <w:rPr>
          <w:rFonts w:eastAsia="Calibri" w:cs="Times New Roman"/>
          <w:szCs w:val="28"/>
        </w:rPr>
        <w:t>Termināli naftas produktu tranzīta nodrošināšanai pa jūras ceļiem Latvijā ir labi attīstīti</w:t>
      </w:r>
      <w:r w:rsidR="00BD21A1">
        <w:rPr>
          <w:rFonts w:eastAsia="Calibri" w:cs="Times New Roman"/>
          <w:szCs w:val="28"/>
        </w:rPr>
        <w:t xml:space="preserve"> (Rīga, Ventspils)</w:t>
      </w:r>
      <w:r w:rsidR="0047211B">
        <w:rPr>
          <w:rFonts w:eastAsia="Calibri" w:cs="Times New Roman"/>
          <w:szCs w:val="28"/>
        </w:rPr>
        <w:t>,</w:t>
      </w:r>
      <w:r w:rsidRPr="00F26661">
        <w:rPr>
          <w:rFonts w:eastAsia="Calibri" w:cs="Times New Roman"/>
          <w:szCs w:val="28"/>
        </w:rPr>
        <w:t xml:space="preserve"> </w:t>
      </w:r>
      <w:r w:rsidR="0047211B">
        <w:rPr>
          <w:rFonts w:eastAsia="Calibri" w:cs="Times New Roman"/>
          <w:szCs w:val="28"/>
        </w:rPr>
        <w:t>kas</w:t>
      </w:r>
      <w:r w:rsidRPr="00F26661">
        <w:rPr>
          <w:rFonts w:eastAsia="Calibri" w:cs="Times New Roman"/>
          <w:szCs w:val="28"/>
        </w:rPr>
        <w:t xml:space="preserve"> ievērojami paplašina piegāžu daudzveidību un konkurenci. Naftas produktu piegādes kanāli ir pietiekami diversificēti, jo naftas produkti tiek piegādāti gan no Austrumu, gan Rietumu tirgiem. </w:t>
      </w:r>
    </w:p>
    <w:p w:rsidR="00F26661" w:rsidRPr="00F26661" w:rsidRDefault="00F26661" w:rsidP="00F26661">
      <w:pPr>
        <w:ind w:firstLine="709"/>
        <w:jc w:val="both"/>
        <w:rPr>
          <w:rFonts w:eastAsia="Calibri" w:cs="Times New Roman"/>
        </w:rPr>
      </w:pPr>
      <w:r w:rsidRPr="00F26661">
        <w:rPr>
          <w:rFonts w:eastAsia="Calibri" w:cs="Times New Roman"/>
          <w:szCs w:val="28"/>
        </w:rPr>
        <w:t xml:space="preserve">Latvijā darbojas starptautiskas mazumtirdzniecības naftas kompānijas, kuras naftas un naftas produktu iepirkumus var veikt </w:t>
      </w:r>
      <w:r w:rsidR="00A15876">
        <w:rPr>
          <w:rFonts w:eastAsia="Calibri" w:cs="Times New Roman"/>
          <w:szCs w:val="28"/>
        </w:rPr>
        <w:t>dažādos pasaules reģionos</w:t>
      </w:r>
      <w:r w:rsidRPr="00F26661">
        <w:rPr>
          <w:rFonts w:eastAsia="Calibri" w:cs="Times New Roman"/>
          <w:szCs w:val="28"/>
        </w:rPr>
        <w:t xml:space="preserve">. </w:t>
      </w:r>
    </w:p>
    <w:p w:rsidR="00F26661" w:rsidRPr="00F26661" w:rsidRDefault="00F26661" w:rsidP="00F26661">
      <w:pPr>
        <w:ind w:firstLine="720"/>
        <w:jc w:val="both"/>
        <w:rPr>
          <w:rFonts w:eastAsia="Times New Roman" w:cs="Times New Roman"/>
          <w:szCs w:val="28"/>
        </w:rPr>
      </w:pPr>
      <w:r w:rsidRPr="00F26661">
        <w:rPr>
          <w:rFonts w:eastAsia="Times New Roman" w:cs="Times New Roman"/>
          <w:szCs w:val="28"/>
        </w:rPr>
        <w:t xml:space="preserve">Autobenzīna un dīzeļdegvielas ievešana </w:t>
      </w:r>
      <w:proofErr w:type="spellStart"/>
      <w:r w:rsidRPr="00F26661">
        <w:rPr>
          <w:rFonts w:eastAsia="Times New Roman" w:cs="Times New Roman"/>
          <w:szCs w:val="28"/>
        </w:rPr>
        <w:t>vairum</w:t>
      </w:r>
      <w:r w:rsidR="00F903DE">
        <w:rPr>
          <w:rFonts w:eastAsia="Times New Roman" w:cs="Times New Roman"/>
          <w:szCs w:val="28"/>
        </w:rPr>
        <w:t>tirdniecības</w:t>
      </w:r>
      <w:proofErr w:type="spellEnd"/>
      <w:r w:rsidRPr="00F26661">
        <w:rPr>
          <w:rFonts w:eastAsia="Times New Roman" w:cs="Times New Roman"/>
          <w:szCs w:val="28"/>
        </w:rPr>
        <w:t xml:space="preserve"> un mazumtirdzniecības vajadzībām Latvijā iespējama no vismaz 10 naftas pārstrādes uzņēmumiem 1000–1500 km rādiusā. Naftas produktu cauruļvads no Samāras</w:t>
      </w:r>
      <w:r w:rsidR="00A15876">
        <w:rPr>
          <w:rFonts w:eastAsia="Times New Roman" w:cs="Times New Roman"/>
          <w:szCs w:val="28"/>
        </w:rPr>
        <w:t>,</w:t>
      </w:r>
      <w:r w:rsidRPr="00F26661">
        <w:rPr>
          <w:rFonts w:eastAsia="Times New Roman" w:cs="Times New Roman"/>
          <w:szCs w:val="28"/>
        </w:rPr>
        <w:t xml:space="preserve"> Krievijā</w:t>
      </w:r>
      <w:r w:rsidR="00A15876">
        <w:rPr>
          <w:rFonts w:eastAsia="Times New Roman" w:cs="Times New Roman"/>
          <w:szCs w:val="28"/>
        </w:rPr>
        <w:t>,</w:t>
      </w:r>
      <w:r w:rsidRPr="00F26661">
        <w:rPr>
          <w:rFonts w:eastAsia="Times New Roman" w:cs="Times New Roman"/>
          <w:szCs w:val="28"/>
        </w:rPr>
        <w:t xml:space="preserve"> un </w:t>
      </w:r>
      <w:proofErr w:type="spellStart"/>
      <w:r w:rsidRPr="00F26661">
        <w:rPr>
          <w:rFonts w:eastAsia="Times New Roman" w:cs="Times New Roman"/>
          <w:szCs w:val="28"/>
        </w:rPr>
        <w:t>Novopolockas</w:t>
      </w:r>
      <w:proofErr w:type="spellEnd"/>
      <w:r w:rsidR="00A15876">
        <w:rPr>
          <w:rFonts w:eastAsia="Times New Roman" w:cs="Times New Roman"/>
          <w:szCs w:val="28"/>
        </w:rPr>
        <w:t>,</w:t>
      </w:r>
      <w:r w:rsidRPr="00F26661">
        <w:rPr>
          <w:rFonts w:eastAsia="Times New Roman" w:cs="Times New Roman"/>
          <w:szCs w:val="28"/>
        </w:rPr>
        <w:t xml:space="preserve"> Baltkrievijā</w:t>
      </w:r>
      <w:r w:rsidR="00A15876">
        <w:rPr>
          <w:rFonts w:eastAsia="Times New Roman" w:cs="Times New Roman"/>
          <w:szCs w:val="28"/>
        </w:rPr>
        <w:t>,</w:t>
      </w:r>
      <w:r w:rsidRPr="00F26661">
        <w:rPr>
          <w:rFonts w:eastAsia="Times New Roman" w:cs="Times New Roman"/>
          <w:szCs w:val="28"/>
        </w:rPr>
        <w:t xml:space="preserve"> ļauj transportēt dīzeļdegvielu ar iespēju to piegādāt Ilūkstē un Ventspilī.</w:t>
      </w:r>
    </w:p>
    <w:p w:rsidR="003767C3" w:rsidRDefault="00A15876" w:rsidP="00F26661">
      <w:pPr>
        <w:ind w:firstLine="709"/>
        <w:jc w:val="both"/>
        <w:rPr>
          <w:rFonts w:eastAsia="Calibri" w:cs="Times New Roman"/>
          <w:szCs w:val="28"/>
        </w:rPr>
      </w:pPr>
      <w:r>
        <w:rPr>
          <w:rFonts w:eastAsia="Calibri" w:cs="Times New Roman"/>
          <w:szCs w:val="28"/>
        </w:rPr>
        <w:t xml:space="preserve">Naftas </w:t>
      </w:r>
      <w:r w:rsidR="003767C3">
        <w:rPr>
          <w:rFonts w:eastAsia="Calibri" w:cs="Times New Roman"/>
          <w:szCs w:val="28"/>
        </w:rPr>
        <w:t xml:space="preserve">rezerves ES dalībvalstīs tiek veidotas, pamatojoties uz </w:t>
      </w:r>
      <w:r w:rsidR="003767C3" w:rsidRPr="003767C3">
        <w:rPr>
          <w:rFonts w:eastAsia="Calibri" w:cs="Times New Roman"/>
          <w:szCs w:val="28"/>
        </w:rPr>
        <w:t>Padomes 2009.gada 14.septembra Direktīvas 2009/119/EK, ar ko dalībvalstīm uzliek pienākumu uzturēt jēlnaftas un/vai naftas produktu obligātas rezerves</w:t>
      </w:r>
      <w:r w:rsidR="003767C3">
        <w:rPr>
          <w:rFonts w:eastAsia="Calibri" w:cs="Times New Roman"/>
          <w:szCs w:val="28"/>
        </w:rPr>
        <w:t>, prasībām</w:t>
      </w:r>
      <w:r w:rsidR="003767C3" w:rsidRPr="003767C3">
        <w:rPr>
          <w:rFonts w:eastAsia="Calibri" w:cs="Times New Roman"/>
          <w:szCs w:val="28"/>
        </w:rPr>
        <w:t>.</w:t>
      </w:r>
      <w:r w:rsidR="003767C3" w:rsidRPr="00B33FED" w:rsidDel="003767C3">
        <w:rPr>
          <w:rFonts w:eastAsia="Calibri" w:cs="Times New Roman"/>
          <w:szCs w:val="28"/>
          <w:highlight w:val="yellow"/>
        </w:rPr>
        <w:t xml:space="preserve"> </w:t>
      </w:r>
      <w:r w:rsidR="003767C3">
        <w:rPr>
          <w:rFonts w:eastAsia="Calibri" w:cs="Times New Roman"/>
          <w:szCs w:val="28"/>
        </w:rPr>
        <w:t>Savukārt, šo rezervju veidošanas un uzturēšanas kārtību Latvijā nosaka Ministru kabineta 2011.gada 12.aprīļa noteikumi Nr.286 „</w:t>
      </w:r>
      <w:r w:rsidR="003767C3" w:rsidRPr="003767C3">
        <w:rPr>
          <w:rFonts w:eastAsia="Calibri" w:cs="Times New Roman"/>
          <w:szCs w:val="28"/>
        </w:rPr>
        <w:t>Kārtība, kādā komersanti nodrošina un sniedz drošības rezervju pakalpojumu valsts naftas produktu drošības rezervju izveidei noteiktā apjomā</w:t>
      </w:r>
      <w:r w:rsidR="003767C3">
        <w:rPr>
          <w:rFonts w:eastAsia="Calibri" w:cs="Times New Roman"/>
          <w:szCs w:val="28"/>
        </w:rPr>
        <w:t xml:space="preserve">”. </w:t>
      </w:r>
    </w:p>
    <w:p w:rsidR="00EE7EFD" w:rsidRDefault="00A15876" w:rsidP="00F26661">
      <w:pPr>
        <w:ind w:firstLine="709"/>
        <w:jc w:val="both"/>
        <w:rPr>
          <w:rFonts w:eastAsia="Calibri" w:cs="Times New Roman"/>
          <w:szCs w:val="28"/>
        </w:rPr>
      </w:pPr>
      <w:r>
        <w:rPr>
          <w:rFonts w:eastAsia="Calibri" w:cs="Times New Roman"/>
          <w:szCs w:val="28"/>
        </w:rPr>
        <w:t>Latvijas n</w:t>
      </w:r>
      <w:r w:rsidRPr="00F26661">
        <w:rPr>
          <w:rFonts w:eastAsia="Calibri" w:cs="Times New Roman"/>
          <w:szCs w:val="28"/>
        </w:rPr>
        <w:t xml:space="preserve">aftas </w:t>
      </w:r>
      <w:r w:rsidR="00F26661" w:rsidRPr="00F26661">
        <w:rPr>
          <w:rFonts w:eastAsia="Calibri" w:cs="Times New Roman"/>
          <w:szCs w:val="28"/>
        </w:rPr>
        <w:t xml:space="preserve">produktu drošības rezervju izveides sistēma paredz naftas produktu drošības rezervju izveidi 90 patēriņa </w:t>
      </w:r>
      <w:r w:rsidR="0031537A">
        <w:rPr>
          <w:rFonts w:eastAsia="Calibri" w:cs="Times New Roman"/>
          <w:szCs w:val="28"/>
        </w:rPr>
        <w:t>dienām</w:t>
      </w:r>
      <w:r w:rsidR="007C63B9">
        <w:rPr>
          <w:rFonts w:eastAsia="Calibri" w:cs="Times New Roman"/>
          <w:szCs w:val="28"/>
        </w:rPr>
        <w:t>.</w:t>
      </w:r>
      <w:r w:rsidR="00F26661" w:rsidRPr="00F26661">
        <w:rPr>
          <w:rFonts w:eastAsia="Calibri" w:cs="Times New Roman"/>
          <w:szCs w:val="28"/>
        </w:rPr>
        <w:t xml:space="preserve"> </w:t>
      </w:r>
      <w:r w:rsidR="007C63B9">
        <w:rPr>
          <w:rFonts w:eastAsia="Calibri" w:cs="Times New Roman"/>
          <w:szCs w:val="28"/>
        </w:rPr>
        <w:t>U</w:t>
      </w:r>
      <w:r w:rsidR="00F26661" w:rsidRPr="00F26661">
        <w:rPr>
          <w:rFonts w:eastAsia="Calibri" w:cs="Times New Roman"/>
          <w:szCs w:val="28"/>
        </w:rPr>
        <w:t>zglabājamo naftas produktu  – dīzeļdegvielas, mazuta, benzīna, drošības rezervju apjoms atbilst 90 patēriņa dienām no iepriekšējā kalendārā gada katrai naftas produktu kategorijai.</w:t>
      </w:r>
      <w:r w:rsidR="00851D2E">
        <w:rPr>
          <w:rFonts w:eastAsia="Calibri" w:cs="Times New Roman"/>
          <w:szCs w:val="28"/>
        </w:rPr>
        <w:t xml:space="preserve"> </w:t>
      </w:r>
    </w:p>
    <w:p w:rsidR="00F26661" w:rsidRDefault="00851D2E" w:rsidP="00F26661">
      <w:pPr>
        <w:ind w:firstLine="709"/>
        <w:jc w:val="both"/>
        <w:rPr>
          <w:rFonts w:eastAsia="Calibri" w:cs="Times New Roman"/>
          <w:szCs w:val="28"/>
        </w:rPr>
      </w:pPr>
      <w:r w:rsidRPr="0026080B">
        <w:rPr>
          <w:rFonts w:eastAsia="Calibri" w:cs="Times New Roman"/>
          <w:szCs w:val="28"/>
        </w:rPr>
        <w:t xml:space="preserve">Sākot ar 2013.gada 1.janvāri </w:t>
      </w:r>
      <w:r w:rsidR="00896AC4" w:rsidRPr="0026080B">
        <w:rPr>
          <w:rFonts w:eastAsia="Calibri" w:cs="Times New Roman"/>
          <w:szCs w:val="28"/>
        </w:rPr>
        <w:t xml:space="preserve">ir mainīta naftas produktu drošības rezervju aprēķinu metode un </w:t>
      </w:r>
      <w:r w:rsidR="007C63B9">
        <w:rPr>
          <w:rFonts w:eastAsia="Calibri" w:cs="Times New Roman"/>
          <w:szCs w:val="28"/>
        </w:rPr>
        <w:t>ES</w:t>
      </w:r>
      <w:r w:rsidR="00896AC4" w:rsidRPr="0026080B">
        <w:rPr>
          <w:rFonts w:eastAsia="Calibri" w:cs="Times New Roman"/>
          <w:szCs w:val="28"/>
        </w:rPr>
        <w:t xml:space="preserve"> dalībvalstij Kopienas teritorijā ir jānodrošina naftas krājumu apjoms, kurš ir lielāks no diviem piedāvātajiem Komisijas aprēķinu variantiem</w:t>
      </w:r>
      <w:r w:rsidR="002B04FC">
        <w:rPr>
          <w:rFonts w:eastAsia="Calibri" w:cs="Times New Roman"/>
          <w:szCs w:val="28"/>
        </w:rPr>
        <w:t>:</w:t>
      </w:r>
      <w:r w:rsidR="00896AC4" w:rsidRPr="0026080B">
        <w:rPr>
          <w:rFonts w:eastAsia="Calibri" w:cs="Times New Roman"/>
          <w:szCs w:val="28"/>
        </w:rPr>
        <w:t xml:space="preserve"> vai nu 90 dienām tīrā importa dienas vidējam daudzumam vai 61 dienām dienas vidējām iekšzemes patēriņam. Tā kā Latvija ir naftas produktu </w:t>
      </w:r>
      <w:r w:rsidR="00896AC4" w:rsidRPr="0026080B">
        <w:rPr>
          <w:rFonts w:eastAsia="Calibri" w:cs="Times New Roman"/>
          <w:szCs w:val="28"/>
        </w:rPr>
        <w:lastRenderedPageBreak/>
        <w:t>importētāja valsts, tad naftas produktu drošības rezerves tiek veidotas 90 dienām tīrā importa dienas vidējam daudzumam.</w:t>
      </w:r>
    </w:p>
    <w:p w:rsidR="00460282" w:rsidRDefault="00EC0D87" w:rsidP="00834B2A">
      <w:pPr>
        <w:ind w:firstLine="709"/>
        <w:jc w:val="center"/>
        <w:rPr>
          <w:rFonts w:eastAsia="Times New Roman" w:cs="Times New Roman"/>
          <w:sz w:val="18"/>
          <w:szCs w:val="18"/>
          <w:highlight w:val="cyan"/>
        </w:rPr>
      </w:pPr>
      <w:r>
        <w:rPr>
          <w:noProof/>
          <w:lang w:eastAsia="lv-LV"/>
        </w:rPr>
        <w:drawing>
          <wp:inline distT="0" distB="0" distL="0" distR="0" wp14:anchorId="66D8B734" wp14:editId="22F929D9">
            <wp:extent cx="3895725" cy="2328863"/>
            <wp:effectExtent l="0" t="0" r="9525" b="14605"/>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86105B" w:rsidRPr="00834B2A" w:rsidRDefault="0086105B" w:rsidP="00834B2A">
      <w:pPr>
        <w:rPr>
          <w:rFonts w:eastAsia="Times New Roman" w:cs="Times New Roman"/>
          <w:b/>
          <w:sz w:val="24"/>
          <w:szCs w:val="24"/>
        </w:rPr>
      </w:pPr>
      <w:r w:rsidRPr="00834B2A">
        <w:rPr>
          <w:rFonts w:eastAsia="Times New Roman" w:cs="Times New Roman"/>
          <w:b/>
          <w:sz w:val="24"/>
          <w:szCs w:val="24"/>
        </w:rPr>
        <w:t>7.attēls. Naftas produktu drošības rezervju apjoms un līgumos samaksātās summas</w:t>
      </w:r>
      <w:r w:rsidR="00EC0D87">
        <w:rPr>
          <w:rFonts w:eastAsia="Times New Roman" w:cs="Times New Roman"/>
          <w:b/>
          <w:sz w:val="24"/>
          <w:szCs w:val="24"/>
        </w:rPr>
        <w:t>.</w:t>
      </w:r>
    </w:p>
    <w:p w:rsidR="008B26C7" w:rsidRDefault="008B26C7" w:rsidP="0011653A">
      <w:pPr>
        <w:suppressAutoHyphens/>
        <w:ind w:firstLine="709"/>
        <w:jc w:val="both"/>
        <w:rPr>
          <w:szCs w:val="28"/>
          <w:highlight w:val="yellow"/>
        </w:rPr>
      </w:pPr>
    </w:p>
    <w:p w:rsidR="0011653A" w:rsidRPr="00992287" w:rsidRDefault="0011653A" w:rsidP="0011653A">
      <w:pPr>
        <w:suppressAutoHyphens/>
        <w:ind w:firstLine="709"/>
        <w:jc w:val="both"/>
        <w:rPr>
          <w:szCs w:val="28"/>
        </w:rPr>
      </w:pPr>
      <w:r w:rsidRPr="005945B4">
        <w:rPr>
          <w:szCs w:val="28"/>
        </w:rPr>
        <w:t>Šobrīd ir spēkā Ministru kabineta 2011.gada 19.aprīļa noteikumi Nr.312 „Elektroenerģijas lietotāju apgādes un kurināmā pārdošanas kārtība izsludinātas enerģētiskās krīzes laikā un valsts apdraudējuma gadījumā”. Noteikumi nosaka kārtību, kādā enerģijas lietotāji tiek apgādāti ar enerģiju izsludinātas valsts vai vietējās enerģētiskās krīzes laikā, un kārtību, kādā energoapgādes komersanti, kā arī komersanti, kuri nodrošina un sniedz drošības rezervju pakalpojumu, un komersanti, kuriem normatīvajos aktos noteiktajā kārtībā ir izsniegtas licen</w:t>
      </w:r>
      <w:r w:rsidR="00405B17" w:rsidRPr="005945B4">
        <w:rPr>
          <w:szCs w:val="28"/>
        </w:rPr>
        <w:t>ces uzņēmējdarbībai ar degvielu</w:t>
      </w:r>
      <w:r w:rsidRPr="005945B4">
        <w:rPr>
          <w:szCs w:val="28"/>
        </w:rPr>
        <w:t>, pēc valsts vai pašvaldības enerģētiskās krīzes centra pieprasījuma pārdod tiem piederošo kurināmo.</w:t>
      </w:r>
    </w:p>
    <w:p w:rsidR="00F26661" w:rsidRPr="00752174" w:rsidRDefault="0048773B" w:rsidP="0048773B">
      <w:pPr>
        <w:pStyle w:val="Heading2"/>
        <w:rPr>
          <w:rFonts w:ascii="Times New Roman" w:eastAsia="Times New Roman" w:hAnsi="Times New Roman" w:cs="Times New Roman"/>
          <w:color w:val="auto"/>
          <w:sz w:val="28"/>
          <w:szCs w:val="28"/>
        </w:rPr>
      </w:pPr>
      <w:bookmarkStart w:id="9" w:name="_Toc400714654"/>
      <w:r w:rsidRPr="00752174">
        <w:rPr>
          <w:rFonts w:ascii="Times New Roman" w:eastAsia="Times New Roman" w:hAnsi="Times New Roman" w:cs="Times New Roman"/>
          <w:color w:val="auto"/>
          <w:sz w:val="28"/>
          <w:szCs w:val="28"/>
        </w:rPr>
        <w:t xml:space="preserve">1.4. </w:t>
      </w:r>
      <w:r w:rsidR="00F26661" w:rsidRPr="00752174">
        <w:rPr>
          <w:rFonts w:ascii="Times New Roman" w:eastAsia="Times New Roman" w:hAnsi="Times New Roman" w:cs="Times New Roman"/>
          <w:color w:val="auto"/>
          <w:sz w:val="28"/>
          <w:szCs w:val="28"/>
        </w:rPr>
        <w:t>Dabasgāze</w:t>
      </w:r>
      <w:bookmarkEnd w:id="9"/>
    </w:p>
    <w:p w:rsidR="00DC1BDA" w:rsidRDefault="00DC1BDA" w:rsidP="00F26661">
      <w:pPr>
        <w:ind w:firstLine="720"/>
        <w:jc w:val="both"/>
        <w:rPr>
          <w:rFonts w:eastAsia="Times New Roman" w:cs="Times New Roman"/>
          <w:szCs w:val="28"/>
        </w:rPr>
      </w:pPr>
      <w:r>
        <w:rPr>
          <w:rFonts w:eastAsia="Times New Roman" w:cs="Times New Roman"/>
          <w:szCs w:val="28"/>
        </w:rPr>
        <w:t xml:space="preserve">Dabasgāzes patēriņš 2012.gada Latvijas kopējā primāro energoresursu patēriņā bija 1508 </w:t>
      </w:r>
      <w:proofErr w:type="spellStart"/>
      <w:r>
        <w:rPr>
          <w:rFonts w:eastAsia="Times New Roman" w:cs="Times New Roman"/>
          <w:szCs w:val="28"/>
        </w:rPr>
        <w:t>milj</w:t>
      </w:r>
      <w:proofErr w:type="spellEnd"/>
      <w:r>
        <w:rPr>
          <w:rFonts w:eastAsia="Times New Roman" w:cs="Times New Roman"/>
          <w:szCs w:val="28"/>
        </w:rPr>
        <w:t>. m</w:t>
      </w:r>
      <w:r w:rsidRPr="00DC1BDA">
        <w:rPr>
          <w:rFonts w:eastAsia="Times New Roman" w:cs="Times New Roman"/>
          <w:szCs w:val="28"/>
          <w:vertAlign w:val="superscript"/>
        </w:rPr>
        <w:t>3</w:t>
      </w:r>
      <w:r>
        <w:rPr>
          <w:rFonts w:eastAsia="Times New Roman" w:cs="Times New Roman"/>
          <w:szCs w:val="28"/>
        </w:rPr>
        <w:t xml:space="preserve"> jeb </w:t>
      </w:r>
      <w:r w:rsidR="00A97973">
        <w:rPr>
          <w:rFonts w:eastAsia="Times New Roman" w:cs="Times New Roman"/>
          <w:szCs w:val="28"/>
        </w:rPr>
        <w:t>50,81 PJ.</w:t>
      </w:r>
    </w:p>
    <w:p w:rsidR="00921695" w:rsidRPr="000822C1" w:rsidRDefault="000822C1" w:rsidP="00F26661">
      <w:pPr>
        <w:ind w:firstLine="720"/>
        <w:jc w:val="both"/>
        <w:rPr>
          <w:rFonts w:eastAsia="Times New Roman" w:cs="Times New Roman"/>
          <w:szCs w:val="28"/>
        </w:rPr>
      </w:pPr>
      <w:r>
        <w:rPr>
          <w:rFonts w:eastAsia="Times New Roman" w:cs="Times New Roman"/>
          <w:szCs w:val="28"/>
        </w:rPr>
        <w:t xml:space="preserve">Saskaņā ar AS „Latvijas Gāze” datiem </w:t>
      </w:r>
      <w:r w:rsidR="00F26661" w:rsidRPr="00752174">
        <w:rPr>
          <w:rFonts w:eastAsia="Times New Roman" w:cs="Times New Roman"/>
          <w:szCs w:val="28"/>
        </w:rPr>
        <w:t>2012.</w:t>
      </w:r>
      <w:r w:rsidR="00F26661" w:rsidRPr="000822C1">
        <w:rPr>
          <w:rFonts w:eastAsia="Times New Roman" w:cs="Times New Roman"/>
          <w:szCs w:val="28"/>
        </w:rPr>
        <w:t xml:space="preserve">gadā Latvijā dabasgāzes lietotājiem tika pārdoti 1464 </w:t>
      </w:r>
      <w:proofErr w:type="spellStart"/>
      <w:r w:rsidR="00F26661" w:rsidRPr="000822C1">
        <w:rPr>
          <w:rFonts w:eastAsia="Times New Roman" w:cs="Times New Roman"/>
          <w:szCs w:val="28"/>
        </w:rPr>
        <w:t>milj</w:t>
      </w:r>
      <w:proofErr w:type="spellEnd"/>
      <w:r w:rsidR="00F26661" w:rsidRPr="000822C1">
        <w:rPr>
          <w:rFonts w:eastAsia="Times New Roman" w:cs="Times New Roman"/>
          <w:szCs w:val="28"/>
        </w:rPr>
        <w:t>. m</w:t>
      </w:r>
      <w:r w:rsidR="00F26661" w:rsidRPr="000822C1">
        <w:rPr>
          <w:rFonts w:eastAsia="Times New Roman" w:cs="Times New Roman"/>
          <w:szCs w:val="28"/>
          <w:vertAlign w:val="superscript"/>
        </w:rPr>
        <w:t>3</w:t>
      </w:r>
      <w:r>
        <w:rPr>
          <w:rFonts w:eastAsia="Times New Roman" w:cs="Times New Roman"/>
          <w:szCs w:val="28"/>
        </w:rPr>
        <w:t xml:space="preserve"> dabasgāzes</w:t>
      </w:r>
      <w:r w:rsidR="00F26661" w:rsidRPr="000822C1">
        <w:rPr>
          <w:rFonts w:eastAsia="Times New Roman" w:cs="Times New Roman"/>
          <w:szCs w:val="28"/>
        </w:rPr>
        <w:t>, kas ir par 6</w:t>
      </w:r>
      <w:r>
        <w:rPr>
          <w:rFonts w:eastAsia="Times New Roman" w:cs="Times New Roman"/>
          <w:szCs w:val="28"/>
        </w:rPr>
        <w:t>,2</w:t>
      </w:r>
      <w:r w:rsidR="00F26661" w:rsidRPr="000822C1">
        <w:rPr>
          <w:rFonts w:eastAsia="Times New Roman" w:cs="Times New Roman"/>
          <w:szCs w:val="28"/>
        </w:rPr>
        <w:t xml:space="preserve">% mazāk nekā 2011.gadā. Šo samazinājumu noteica gāzes patēriņa kritums elektroenerģijas ražošanai, kuru izsauca augstās </w:t>
      </w:r>
      <w:r w:rsidR="00921695" w:rsidRPr="000822C1">
        <w:rPr>
          <w:rFonts w:eastAsia="Times New Roman" w:cs="Times New Roman"/>
          <w:szCs w:val="28"/>
        </w:rPr>
        <w:t>dabas</w:t>
      </w:r>
      <w:r w:rsidR="00F26661" w:rsidRPr="000822C1">
        <w:rPr>
          <w:rFonts w:eastAsia="Times New Roman" w:cs="Times New Roman"/>
          <w:szCs w:val="28"/>
        </w:rPr>
        <w:t>gāzes cenas, kas tiek aprēķinātas, balstoties uz mazuta un gazolīna kotācijām biržā.</w:t>
      </w:r>
      <w:r w:rsidR="00517BC5" w:rsidRPr="000822C1">
        <w:rPr>
          <w:rFonts w:eastAsia="Times New Roman" w:cs="Times New Roman"/>
          <w:szCs w:val="28"/>
        </w:rPr>
        <w:t xml:space="preserve"> </w:t>
      </w:r>
    </w:p>
    <w:p w:rsidR="00F26661" w:rsidRDefault="00F26661" w:rsidP="00772210">
      <w:pPr>
        <w:ind w:firstLine="720"/>
        <w:jc w:val="both"/>
        <w:rPr>
          <w:rFonts w:eastAsia="Times New Roman" w:cs="Times New Roman"/>
          <w:szCs w:val="28"/>
        </w:rPr>
      </w:pPr>
      <w:r w:rsidRPr="004026AA">
        <w:rPr>
          <w:rFonts w:eastAsia="Times New Roman" w:cs="Times New Roman"/>
          <w:szCs w:val="28"/>
        </w:rPr>
        <w:t xml:space="preserve">Lielākā daļa </w:t>
      </w:r>
      <w:r w:rsidR="004026AA">
        <w:rPr>
          <w:rFonts w:eastAsia="Times New Roman" w:cs="Times New Roman"/>
          <w:szCs w:val="28"/>
        </w:rPr>
        <w:t xml:space="preserve">jeb 64,2% (940 </w:t>
      </w:r>
      <w:proofErr w:type="spellStart"/>
      <w:r w:rsidR="004026AA">
        <w:rPr>
          <w:rFonts w:eastAsia="Times New Roman" w:cs="Times New Roman"/>
          <w:szCs w:val="28"/>
        </w:rPr>
        <w:t>milj</w:t>
      </w:r>
      <w:proofErr w:type="spellEnd"/>
      <w:r w:rsidR="004026AA">
        <w:rPr>
          <w:rFonts w:eastAsia="Times New Roman" w:cs="Times New Roman"/>
          <w:szCs w:val="28"/>
        </w:rPr>
        <w:t>. m</w:t>
      </w:r>
      <w:r w:rsidR="004026AA" w:rsidRPr="004026AA">
        <w:rPr>
          <w:rFonts w:eastAsia="Times New Roman" w:cs="Times New Roman"/>
          <w:szCs w:val="28"/>
          <w:vertAlign w:val="superscript"/>
        </w:rPr>
        <w:t>3</w:t>
      </w:r>
      <w:r w:rsidR="004026AA">
        <w:rPr>
          <w:rFonts w:eastAsia="Times New Roman" w:cs="Times New Roman"/>
          <w:szCs w:val="28"/>
        </w:rPr>
        <w:t xml:space="preserve">) </w:t>
      </w:r>
      <w:r w:rsidRPr="004026AA">
        <w:rPr>
          <w:rFonts w:eastAsia="Times New Roman" w:cs="Times New Roman"/>
          <w:szCs w:val="28"/>
        </w:rPr>
        <w:t xml:space="preserve">no </w:t>
      </w:r>
      <w:r w:rsidR="00A97973">
        <w:rPr>
          <w:rFonts w:eastAsia="Times New Roman" w:cs="Times New Roman"/>
          <w:szCs w:val="28"/>
        </w:rPr>
        <w:t xml:space="preserve">Latvijas dabasgāzes lietotājiem pārdotās </w:t>
      </w:r>
      <w:r w:rsidRPr="00A97973">
        <w:rPr>
          <w:rFonts w:eastAsia="Times New Roman" w:cs="Times New Roman"/>
          <w:szCs w:val="28"/>
        </w:rPr>
        <w:t>dabasgāzes</w:t>
      </w:r>
      <w:r w:rsidR="004026AA">
        <w:rPr>
          <w:rFonts w:eastAsia="Times New Roman" w:cs="Times New Roman"/>
          <w:szCs w:val="28"/>
        </w:rPr>
        <w:t xml:space="preserve"> </w:t>
      </w:r>
      <w:r w:rsidR="000C1B26">
        <w:rPr>
          <w:rFonts w:eastAsia="Times New Roman" w:cs="Times New Roman"/>
          <w:szCs w:val="28"/>
        </w:rPr>
        <w:t>tika pārdota</w:t>
      </w:r>
      <w:r w:rsidR="004026AA">
        <w:rPr>
          <w:rFonts w:eastAsia="Times New Roman" w:cs="Times New Roman"/>
          <w:szCs w:val="28"/>
        </w:rPr>
        <w:t xml:space="preserve"> enerģētikas (pārveidošanas) sektor</w:t>
      </w:r>
      <w:r w:rsidR="0093338C">
        <w:rPr>
          <w:rFonts w:eastAsia="Times New Roman" w:cs="Times New Roman"/>
          <w:szCs w:val="28"/>
        </w:rPr>
        <w:t>am</w:t>
      </w:r>
      <w:r w:rsidR="004026AA">
        <w:rPr>
          <w:rFonts w:eastAsia="Times New Roman" w:cs="Times New Roman"/>
          <w:szCs w:val="28"/>
        </w:rPr>
        <w:t xml:space="preserve"> elektroenerģijas un siltumenerģijas ražošanai.</w:t>
      </w:r>
      <w:r w:rsidR="00E61D5E">
        <w:rPr>
          <w:rFonts w:eastAsia="Times New Roman" w:cs="Times New Roman"/>
          <w:szCs w:val="28"/>
        </w:rPr>
        <w:t xml:space="preserve"> Rūpniecīb</w:t>
      </w:r>
      <w:r w:rsidR="00772210">
        <w:rPr>
          <w:rFonts w:eastAsia="Times New Roman" w:cs="Times New Roman"/>
          <w:szCs w:val="28"/>
        </w:rPr>
        <w:t xml:space="preserve">as lietotājiem tika pārdoti 14,3% jeb 210 </w:t>
      </w:r>
      <w:proofErr w:type="spellStart"/>
      <w:r w:rsidR="00772210">
        <w:rPr>
          <w:rFonts w:eastAsia="Times New Roman" w:cs="Times New Roman"/>
          <w:szCs w:val="28"/>
        </w:rPr>
        <w:t>milj</w:t>
      </w:r>
      <w:proofErr w:type="spellEnd"/>
      <w:r w:rsidR="00772210">
        <w:rPr>
          <w:rFonts w:eastAsia="Times New Roman" w:cs="Times New Roman"/>
          <w:szCs w:val="28"/>
        </w:rPr>
        <w:t>. m</w:t>
      </w:r>
      <w:r w:rsidR="00772210" w:rsidRPr="00A93FCF">
        <w:rPr>
          <w:rFonts w:eastAsia="Times New Roman" w:cs="Times New Roman"/>
          <w:szCs w:val="28"/>
          <w:vertAlign w:val="superscript"/>
        </w:rPr>
        <w:t>3</w:t>
      </w:r>
      <w:r w:rsidR="00772210">
        <w:rPr>
          <w:rFonts w:eastAsia="Times New Roman" w:cs="Times New Roman"/>
          <w:szCs w:val="28"/>
        </w:rPr>
        <w:t xml:space="preserve"> dabasgāzes.</w:t>
      </w:r>
      <w:r w:rsidR="00E61D5E">
        <w:rPr>
          <w:rFonts w:eastAsia="Times New Roman" w:cs="Times New Roman"/>
          <w:szCs w:val="28"/>
        </w:rPr>
        <w:t xml:space="preserve"> </w:t>
      </w:r>
      <w:r w:rsidRPr="004026AA">
        <w:rPr>
          <w:rFonts w:eastAsia="Times New Roman" w:cs="Times New Roman"/>
          <w:szCs w:val="28"/>
        </w:rPr>
        <w:t xml:space="preserve">Mājsaimniecību </w:t>
      </w:r>
      <w:r w:rsidR="0093338C">
        <w:rPr>
          <w:rFonts w:eastAsia="Times New Roman" w:cs="Times New Roman"/>
          <w:szCs w:val="28"/>
        </w:rPr>
        <w:t xml:space="preserve">lietotājiem tika pārdoti 9,1% jeb 133 </w:t>
      </w:r>
      <w:proofErr w:type="spellStart"/>
      <w:r w:rsidR="0093338C">
        <w:rPr>
          <w:rFonts w:eastAsia="Times New Roman" w:cs="Times New Roman"/>
          <w:szCs w:val="28"/>
        </w:rPr>
        <w:t>milj</w:t>
      </w:r>
      <w:proofErr w:type="spellEnd"/>
      <w:r w:rsidR="0093338C">
        <w:rPr>
          <w:rFonts w:eastAsia="Times New Roman" w:cs="Times New Roman"/>
          <w:szCs w:val="28"/>
        </w:rPr>
        <w:t>. m</w:t>
      </w:r>
      <w:r w:rsidR="0093338C" w:rsidRPr="0093338C">
        <w:rPr>
          <w:rFonts w:eastAsia="Times New Roman" w:cs="Times New Roman"/>
          <w:szCs w:val="28"/>
          <w:vertAlign w:val="superscript"/>
        </w:rPr>
        <w:t>3</w:t>
      </w:r>
      <w:r w:rsidR="0093338C">
        <w:rPr>
          <w:rFonts w:eastAsia="Times New Roman" w:cs="Times New Roman"/>
          <w:szCs w:val="28"/>
        </w:rPr>
        <w:t xml:space="preserve"> dabasgāzes.</w:t>
      </w:r>
    </w:p>
    <w:p w:rsidR="00C51ABE" w:rsidRDefault="000822C1" w:rsidP="00F26661">
      <w:pPr>
        <w:ind w:firstLine="720"/>
        <w:jc w:val="both"/>
        <w:rPr>
          <w:rFonts w:eastAsia="Times New Roman" w:cs="Times New Roman"/>
          <w:szCs w:val="28"/>
        </w:rPr>
      </w:pPr>
      <w:r w:rsidRPr="006F5253">
        <w:rPr>
          <w:rFonts w:eastAsia="Times New Roman" w:cs="Times New Roman"/>
          <w:szCs w:val="28"/>
        </w:rPr>
        <w:t xml:space="preserve">Latvijā dabasgāzes pieprasījums ziemas un vasaras sezonās ir izteikti atšķirīgs, un patēriņa apjoms ziemas mēnešos var būt pat vairāk nekā 4 reizes </w:t>
      </w:r>
      <w:r w:rsidRPr="006F5253">
        <w:rPr>
          <w:rFonts w:eastAsia="Times New Roman" w:cs="Times New Roman"/>
          <w:szCs w:val="28"/>
        </w:rPr>
        <w:lastRenderedPageBreak/>
        <w:t xml:space="preserve">lielāks nekā vasarā. Dabasgāzes pieejamība lietotājiem Latvijā tiek nodrošināta 100% </w:t>
      </w:r>
      <w:proofErr w:type="spellStart"/>
      <w:r w:rsidRPr="006F5253">
        <w:rPr>
          <w:rFonts w:eastAsia="Times New Roman" w:cs="Times New Roman"/>
          <w:szCs w:val="28"/>
        </w:rPr>
        <w:t>apmērā.</w:t>
      </w:r>
      <w:r w:rsidR="00F26661" w:rsidRPr="00F26661">
        <w:rPr>
          <w:rFonts w:eastAsia="Times New Roman" w:cs="Times New Roman"/>
          <w:szCs w:val="28"/>
        </w:rPr>
        <w:t>Vienīgais</w:t>
      </w:r>
      <w:proofErr w:type="spellEnd"/>
      <w:r w:rsidR="00F26661" w:rsidRPr="00F26661">
        <w:rPr>
          <w:rFonts w:eastAsia="Times New Roman" w:cs="Times New Roman"/>
          <w:szCs w:val="28"/>
        </w:rPr>
        <w:t xml:space="preserve"> dabasgāzes piegādes ceļš Latvijas patērētājiem ir maģistrālie gāzesvadu tīkli, kuri atzarojas no Jamalas </w:t>
      </w:r>
      <w:r w:rsidR="00F26661" w:rsidRPr="00F26661">
        <w:rPr>
          <w:rFonts w:eastAsia="Times New Roman" w:cs="Times New Roman"/>
          <w:b/>
          <w:bCs/>
          <w:szCs w:val="28"/>
        </w:rPr>
        <w:t xml:space="preserve">– </w:t>
      </w:r>
      <w:r w:rsidR="00F26661" w:rsidRPr="00F26661">
        <w:rPr>
          <w:rFonts w:eastAsia="Times New Roman" w:cs="Times New Roman"/>
          <w:szCs w:val="28"/>
        </w:rPr>
        <w:t xml:space="preserve">Eiropa gāzes vada Tveras apgabalā, Krievijā, uz Sanktpēterburgu, Pleskavu un tālāk uz Igauniju, Latviju. </w:t>
      </w:r>
    </w:p>
    <w:p w:rsidR="00F26661" w:rsidRPr="00F26661" w:rsidRDefault="00F26661" w:rsidP="00F26661">
      <w:pPr>
        <w:ind w:firstLine="720"/>
        <w:jc w:val="both"/>
        <w:rPr>
          <w:rFonts w:eastAsia="Times New Roman" w:cs="Times New Roman"/>
          <w:szCs w:val="28"/>
        </w:rPr>
      </w:pPr>
      <w:r w:rsidRPr="00F26661">
        <w:rPr>
          <w:rFonts w:eastAsia="Times New Roman" w:cs="Times New Roman"/>
          <w:szCs w:val="28"/>
        </w:rPr>
        <w:t>Baltijas valstu maģistrālie</w:t>
      </w:r>
      <w:r w:rsidR="00C51ABE">
        <w:rPr>
          <w:rFonts w:eastAsia="Times New Roman" w:cs="Times New Roman"/>
          <w:szCs w:val="28"/>
        </w:rPr>
        <w:t xml:space="preserve"> dabas</w:t>
      </w:r>
      <w:r w:rsidRPr="00F26661">
        <w:rPr>
          <w:rFonts w:eastAsia="Times New Roman" w:cs="Times New Roman"/>
          <w:szCs w:val="28"/>
        </w:rPr>
        <w:t>gāzes tīkli ir labi attīstīti un to spēju nodrošināt stabilas piegādes paaugstina Inčukalna pazemes gāzes krātuve (turpmāk – IPGK).</w:t>
      </w:r>
    </w:p>
    <w:p w:rsidR="00F26661" w:rsidRPr="00834B2A" w:rsidRDefault="0048773B" w:rsidP="0048773B">
      <w:pPr>
        <w:pStyle w:val="Heading2"/>
        <w:rPr>
          <w:rFonts w:ascii="Times New Roman" w:eastAsia="Calibri" w:hAnsi="Times New Roman" w:cs="Times New Roman"/>
          <w:color w:val="auto"/>
          <w:sz w:val="28"/>
          <w:szCs w:val="28"/>
        </w:rPr>
      </w:pPr>
      <w:bookmarkStart w:id="10" w:name="_Toc400714655"/>
      <w:r w:rsidRPr="00834B2A">
        <w:rPr>
          <w:rFonts w:ascii="Times New Roman" w:eastAsia="Calibri" w:hAnsi="Times New Roman" w:cs="Times New Roman"/>
          <w:color w:val="auto"/>
          <w:sz w:val="28"/>
          <w:szCs w:val="28"/>
        </w:rPr>
        <w:t xml:space="preserve">1.5. </w:t>
      </w:r>
      <w:r w:rsidR="00F26661" w:rsidRPr="00834B2A">
        <w:rPr>
          <w:rFonts w:ascii="Times New Roman" w:eastAsia="Calibri" w:hAnsi="Times New Roman" w:cs="Times New Roman"/>
          <w:color w:val="auto"/>
          <w:sz w:val="28"/>
          <w:szCs w:val="28"/>
        </w:rPr>
        <w:t>Kūdra</w:t>
      </w:r>
      <w:bookmarkEnd w:id="10"/>
    </w:p>
    <w:p w:rsidR="00F26661" w:rsidRPr="00F26661" w:rsidRDefault="00F26661" w:rsidP="0064090A">
      <w:pPr>
        <w:ind w:firstLine="720"/>
        <w:jc w:val="both"/>
        <w:rPr>
          <w:rFonts w:eastAsia="Calibri" w:cs="Times New Roman"/>
          <w:noProof/>
          <w:szCs w:val="28"/>
          <w:lang w:eastAsia="lv-LV"/>
        </w:rPr>
      </w:pPr>
      <w:r w:rsidRPr="00F26661">
        <w:rPr>
          <w:rFonts w:eastAsia="Calibri" w:cs="Times New Roman"/>
          <w:szCs w:val="28"/>
          <w:lang w:eastAsia="lv-LV"/>
        </w:rPr>
        <w:t>Kū</w:t>
      </w:r>
      <w:r w:rsidR="0011653A">
        <w:rPr>
          <w:rFonts w:eastAsia="Calibri" w:cs="Times New Roman"/>
          <w:szCs w:val="28"/>
          <w:lang w:eastAsia="lv-LV"/>
        </w:rPr>
        <w:t>dra ir organisks materiāls, kas</w:t>
      </w:r>
      <w:r w:rsidRPr="00F26661">
        <w:rPr>
          <w:rFonts w:eastAsia="Calibri" w:cs="Times New Roman"/>
          <w:szCs w:val="28"/>
          <w:lang w:eastAsia="lv-LV"/>
        </w:rPr>
        <w:t xml:space="preserve"> rodas no augu veģetācija</w:t>
      </w:r>
      <w:r w:rsidR="0011653A">
        <w:rPr>
          <w:rFonts w:eastAsia="Calibri" w:cs="Times New Roman"/>
          <w:szCs w:val="28"/>
          <w:lang w:eastAsia="lv-LV"/>
        </w:rPr>
        <w:t>s nepilnīgas sadalīšanās un kas</w:t>
      </w:r>
      <w:r w:rsidRPr="00F26661">
        <w:rPr>
          <w:rFonts w:eastAsia="Calibri" w:cs="Times New Roman"/>
          <w:szCs w:val="28"/>
          <w:lang w:eastAsia="lv-LV"/>
        </w:rPr>
        <w:t xml:space="preserve"> ir uzkrājies </w:t>
      </w:r>
      <w:r w:rsidR="00511C48" w:rsidRPr="00F26661">
        <w:rPr>
          <w:rFonts w:eastAsia="Calibri" w:cs="Times New Roman"/>
          <w:szCs w:val="28"/>
          <w:lang w:eastAsia="lv-LV"/>
        </w:rPr>
        <w:t>dažād</w:t>
      </w:r>
      <w:r w:rsidR="00511C48">
        <w:rPr>
          <w:rFonts w:eastAsia="Calibri" w:cs="Times New Roman"/>
          <w:szCs w:val="28"/>
          <w:lang w:eastAsia="lv-LV"/>
        </w:rPr>
        <w:t>os</w:t>
      </w:r>
      <w:r w:rsidR="00511C48" w:rsidRPr="00F26661">
        <w:rPr>
          <w:rFonts w:eastAsia="Calibri" w:cs="Times New Roman"/>
          <w:szCs w:val="28"/>
          <w:lang w:eastAsia="lv-LV"/>
        </w:rPr>
        <w:t xml:space="preserve"> </w:t>
      </w:r>
      <w:r w:rsidRPr="00F26661">
        <w:rPr>
          <w:rFonts w:eastAsia="Calibri" w:cs="Times New Roman"/>
          <w:szCs w:val="28"/>
          <w:lang w:eastAsia="lv-LV"/>
        </w:rPr>
        <w:t xml:space="preserve">pasaules </w:t>
      </w:r>
      <w:r w:rsidR="00511C48">
        <w:rPr>
          <w:rFonts w:eastAsia="Calibri" w:cs="Times New Roman"/>
          <w:szCs w:val="28"/>
          <w:lang w:eastAsia="lv-LV"/>
        </w:rPr>
        <w:t>reģionos</w:t>
      </w:r>
      <w:r w:rsidRPr="00F26661">
        <w:rPr>
          <w:rFonts w:eastAsia="Calibri" w:cs="Times New Roman"/>
          <w:szCs w:val="28"/>
          <w:lang w:eastAsia="lv-LV"/>
        </w:rPr>
        <w:t xml:space="preserve">, kur ir traucēta vai kavēta </w:t>
      </w:r>
      <w:r w:rsidR="00354B5F" w:rsidRPr="00F26661">
        <w:rPr>
          <w:rFonts w:eastAsia="Calibri" w:cs="Times New Roman"/>
          <w:szCs w:val="28"/>
          <w:lang w:eastAsia="lv-LV"/>
        </w:rPr>
        <w:t>dabīg</w:t>
      </w:r>
      <w:r w:rsidR="00354B5F">
        <w:rPr>
          <w:rFonts w:eastAsia="Calibri" w:cs="Times New Roman"/>
          <w:szCs w:val="28"/>
          <w:lang w:eastAsia="lv-LV"/>
        </w:rPr>
        <w:t>a</w:t>
      </w:r>
      <w:r w:rsidR="00354B5F" w:rsidRPr="00F26661">
        <w:rPr>
          <w:rFonts w:eastAsia="Calibri" w:cs="Times New Roman"/>
          <w:szCs w:val="28"/>
          <w:lang w:eastAsia="lv-LV"/>
        </w:rPr>
        <w:t xml:space="preserve"> </w:t>
      </w:r>
      <w:r w:rsidRPr="00F26661">
        <w:rPr>
          <w:rFonts w:eastAsia="Calibri" w:cs="Times New Roman"/>
          <w:szCs w:val="28"/>
          <w:lang w:eastAsia="lv-LV"/>
        </w:rPr>
        <w:t>ūdens novadīšana.</w:t>
      </w:r>
      <w:r w:rsidRPr="00F26661">
        <w:rPr>
          <w:rFonts w:eastAsia="Calibri" w:cs="Times New Roman"/>
          <w:noProof/>
          <w:szCs w:val="28"/>
          <w:lang w:eastAsia="lv-LV"/>
        </w:rPr>
        <w:t xml:space="preserve"> </w:t>
      </w:r>
    </w:p>
    <w:p w:rsidR="00F26661" w:rsidRPr="00F26661" w:rsidRDefault="00F26661" w:rsidP="0064090A">
      <w:pPr>
        <w:ind w:firstLine="720"/>
        <w:jc w:val="both"/>
        <w:rPr>
          <w:rFonts w:eastAsia="Times New Roman" w:cs="Times New Roman"/>
          <w:szCs w:val="28"/>
          <w:lang w:eastAsia="lv-LV"/>
        </w:rPr>
      </w:pPr>
      <w:r w:rsidRPr="00F26661">
        <w:rPr>
          <w:rFonts w:eastAsia="Calibri" w:cs="Times New Roman"/>
          <w:szCs w:val="28"/>
        </w:rPr>
        <w:t xml:space="preserve">Pēc pieejamām definīcijām fosilajam kurināmajam, neviena no tām uz kūdru neattiecas, jo ar terminu „fosilais kurināmais” tiek apzīmētas organiska materiāla iegulas, kas veidojušās no </w:t>
      </w:r>
      <w:r w:rsidR="002F579D">
        <w:rPr>
          <w:rFonts w:eastAsia="Calibri" w:cs="Times New Roman"/>
          <w:szCs w:val="28"/>
        </w:rPr>
        <w:t xml:space="preserve">augu un </w:t>
      </w:r>
      <w:r w:rsidR="002F579D" w:rsidRPr="00F26661">
        <w:rPr>
          <w:rFonts w:eastAsia="Calibri" w:cs="Times New Roman"/>
          <w:szCs w:val="28"/>
        </w:rPr>
        <w:t>dzīvniek</w:t>
      </w:r>
      <w:r w:rsidR="00DB2BF7">
        <w:rPr>
          <w:rFonts w:eastAsia="Calibri" w:cs="Times New Roman"/>
          <w:szCs w:val="28"/>
        </w:rPr>
        <w:t>u</w:t>
      </w:r>
      <w:r w:rsidR="002F579D">
        <w:rPr>
          <w:rFonts w:eastAsia="Calibri" w:cs="Times New Roman"/>
          <w:szCs w:val="28"/>
        </w:rPr>
        <w:t xml:space="preserve"> paliekām</w:t>
      </w:r>
      <w:r w:rsidRPr="00F26661">
        <w:rPr>
          <w:rFonts w:eastAsia="Calibri" w:cs="Times New Roman"/>
          <w:szCs w:val="28"/>
        </w:rPr>
        <w:t>, kas zemes garozā</w:t>
      </w:r>
      <w:r w:rsidR="00F162B0">
        <w:rPr>
          <w:rFonts w:eastAsia="Calibri" w:cs="Times New Roman"/>
          <w:szCs w:val="28"/>
        </w:rPr>
        <w:t>,</w:t>
      </w:r>
      <w:r w:rsidRPr="00F26661">
        <w:rPr>
          <w:rFonts w:eastAsia="Calibri" w:cs="Times New Roman"/>
          <w:szCs w:val="28"/>
        </w:rPr>
        <w:t xml:space="preserve"> liela spiediena un temperatūras ietekmē</w:t>
      </w:r>
      <w:r w:rsidR="00F162B0">
        <w:rPr>
          <w:rFonts w:eastAsia="Calibri" w:cs="Times New Roman"/>
          <w:szCs w:val="28"/>
        </w:rPr>
        <w:t>,</w:t>
      </w:r>
      <w:r w:rsidRPr="00F26661">
        <w:rPr>
          <w:rFonts w:eastAsia="Calibri" w:cs="Times New Roman"/>
          <w:szCs w:val="28"/>
        </w:rPr>
        <w:t xml:space="preserve"> miljoniem gadu laikā (dažreiz pat vairāk kā 650 miljonos gadu) </w:t>
      </w:r>
      <w:r w:rsidR="00F162B0" w:rsidRPr="00F26661">
        <w:rPr>
          <w:rFonts w:eastAsia="Calibri" w:cs="Times New Roman"/>
          <w:szCs w:val="28"/>
        </w:rPr>
        <w:t>pārveidojuš</w:t>
      </w:r>
      <w:r w:rsidR="00F162B0">
        <w:rPr>
          <w:rFonts w:eastAsia="Calibri" w:cs="Times New Roman"/>
          <w:szCs w:val="28"/>
        </w:rPr>
        <w:t>ās</w:t>
      </w:r>
      <w:r w:rsidR="00F162B0" w:rsidRPr="00F26661">
        <w:rPr>
          <w:rFonts w:eastAsia="Calibri" w:cs="Times New Roman"/>
          <w:szCs w:val="28"/>
        </w:rPr>
        <w:t xml:space="preserve"> </w:t>
      </w:r>
      <w:r w:rsidRPr="00F26661">
        <w:rPr>
          <w:rFonts w:eastAsia="Calibri" w:cs="Times New Roman"/>
          <w:szCs w:val="28"/>
        </w:rPr>
        <w:t xml:space="preserve">par naftu, dabasgāzi vai oglēm. </w:t>
      </w:r>
      <w:r w:rsidR="001A4A65">
        <w:rPr>
          <w:rFonts w:eastAsia="Calibri" w:cs="Times New Roman"/>
          <w:szCs w:val="28"/>
        </w:rPr>
        <w:t xml:space="preserve">Savukārt, </w:t>
      </w:r>
      <w:r w:rsidRPr="00F26661">
        <w:rPr>
          <w:rFonts w:eastAsia="Calibri" w:cs="Times New Roman"/>
          <w:szCs w:val="28"/>
        </w:rPr>
        <w:t xml:space="preserve"> kūdrai</w:t>
      </w:r>
      <w:r w:rsidR="001A4A65">
        <w:rPr>
          <w:rFonts w:eastAsia="Calibri" w:cs="Times New Roman"/>
          <w:szCs w:val="28"/>
        </w:rPr>
        <w:t>, lai tā veidotos,</w:t>
      </w:r>
      <w:r w:rsidRPr="00F26661">
        <w:rPr>
          <w:rFonts w:eastAsia="Calibri" w:cs="Times New Roman"/>
          <w:szCs w:val="28"/>
        </w:rPr>
        <w:t xml:space="preserve"> nav </w:t>
      </w:r>
      <w:r w:rsidR="001A4A65">
        <w:rPr>
          <w:rFonts w:eastAsia="Calibri" w:cs="Times New Roman"/>
          <w:szCs w:val="28"/>
        </w:rPr>
        <w:t>nepieciešams</w:t>
      </w:r>
      <w:r w:rsidR="001A4A65" w:rsidRPr="00F26661">
        <w:rPr>
          <w:rFonts w:eastAsia="Calibri" w:cs="Times New Roman"/>
          <w:szCs w:val="28"/>
        </w:rPr>
        <w:t xml:space="preserve"> </w:t>
      </w:r>
      <w:r w:rsidRPr="00F26661">
        <w:rPr>
          <w:rFonts w:eastAsia="Calibri" w:cs="Times New Roman"/>
          <w:szCs w:val="28"/>
        </w:rPr>
        <w:t>ne</w:t>
      </w:r>
      <w:r w:rsidR="00182104">
        <w:rPr>
          <w:rFonts w:eastAsia="Calibri" w:cs="Times New Roman"/>
          <w:szCs w:val="28"/>
        </w:rPr>
        <w:t>dz</w:t>
      </w:r>
      <w:r w:rsidRPr="00F26661">
        <w:rPr>
          <w:rFonts w:eastAsia="Calibri" w:cs="Times New Roman"/>
          <w:szCs w:val="28"/>
        </w:rPr>
        <w:t xml:space="preserve"> liels spiediens, ne augsta temperatūra, turklāt neviens no Latvijas purviem nav vecāks par 10 000 gadu.</w:t>
      </w:r>
      <w:r w:rsidR="00323C2C">
        <w:rPr>
          <w:rFonts w:eastAsia="Calibri" w:cs="Times New Roman"/>
          <w:szCs w:val="28"/>
        </w:rPr>
        <w:t xml:space="preserve"> Tāpat kūdra netiek uzskatīta arī pa</w:t>
      </w:r>
      <w:r w:rsidR="001A4A65">
        <w:rPr>
          <w:rFonts w:eastAsia="Calibri" w:cs="Times New Roman"/>
          <w:szCs w:val="28"/>
        </w:rPr>
        <w:t>r AER</w:t>
      </w:r>
      <w:r w:rsidR="00323C2C">
        <w:rPr>
          <w:rFonts w:eastAsia="Calibri" w:cs="Times New Roman"/>
          <w:szCs w:val="28"/>
        </w:rPr>
        <w:t>.</w:t>
      </w:r>
    </w:p>
    <w:p w:rsidR="00130A68" w:rsidRDefault="00517BC5" w:rsidP="00834B2A">
      <w:pPr>
        <w:ind w:firstLine="709"/>
        <w:jc w:val="both"/>
        <w:rPr>
          <w:b/>
          <w:bCs/>
        </w:rPr>
      </w:pPr>
      <w:bookmarkStart w:id="11" w:name="_Toc392432493"/>
      <w:bookmarkStart w:id="12" w:name="_Toc125198820"/>
      <w:r w:rsidRPr="00517BC5">
        <w:t xml:space="preserve">Enerģētiskās kūdras ieguvi jau sagatavotās kūdras atradnēs, kuru izstrādei ir spēkā esošas licences, var uzsākt aptuveni 4000 ha platībā, iegūstot vismaz 700 </w:t>
      </w:r>
      <w:proofErr w:type="spellStart"/>
      <w:r w:rsidRPr="00517BC5">
        <w:t>tūkst</w:t>
      </w:r>
      <w:proofErr w:type="spellEnd"/>
      <w:r w:rsidRPr="00517BC5">
        <w:t>. t</w:t>
      </w:r>
      <w:r w:rsidR="00334DE8">
        <w:t>onnu</w:t>
      </w:r>
      <w:r w:rsidRPr="00517BC5">
        <w:t xml:space="preserve"> enerģētiskās kūdras </w:t>
      </w:r>
      <w:r w:rsidR="00130A68" w:rsidRPr="00517BC5">
        <w:t>gad</w:t>
      </w:r>
      <w:r w:rsidR="00130A68">
        <w:t>ā</w:t>
      </w:r>
      <w:r w:rsidRPr="00517BC5">
        <w:t>.</w:t>
      </w:r>
      <w:r>
        <w:rPr>
          <w:rStyle w:val="FootnoteReference"/>
          <w:rFonts w:eastAsia="Calibri" w:cs="Times New Roman"/>
          <w:iCs/>
        </w:rPr>
        <w:footnoteReference w:id="5"/>
      </w:r>
      <w:r w:rsidRPr="00517BC5">
        <w:t xml:space="preserve"> </w:t>
      </w:r>
    </w:p>
    <w:p w:rsidR="0010433F" w:rsidRDefault="0010433F" w:rsidP="00834B2A">
      <w:pPr>
        <w:ind w:firstLine="709"/>
        <w:jc w:val="both"/>
      </w:pPr>
      <w:r>
        <w:t xml:space="preserve">Kūdras patēriņš </w:t>
      </w:r>
      <w:r w:rsidR="00E460E5">
        <w:t xml:space="preserve">2012.gada Latvijas kopējā primāro energoresursu patēriņā bija 3 </w:t>
      </w:r>
      <w:proofErr w:type="spellStart"/>
      <w:r w:rsidR="00E460E5">
        <w:t>tūkst</w:t>
      </w:r>
      <w:proofErr w:type="spellEnd"/>
      <w:r w:rsidR="00E460E5">
        <w:t>. tonnu jeb 0,03 PJ.</w:t>
      </w:r>
    </w:p>
    <w:p w:rsidR="004C679C" w:rsidRDefault="004C679C" w:rsidP="00834B2A">
      <w:pPr>
        <w:ind w:firstLine="709"/>
        <w:jc w:val="both"/>
        <w:rPr>
          <w:b/>
          <w:bCs/>
        </w:rPr>
      </w:pPr>
      <w:r w:rsidRPr="004C679C">
        <w:t xml:space="preserve">Latvijā </w:t>
      </w:r>
      <w:r w:rsidRPr="00942E8E">
        <w:t>šobrīd</w:t>
      </w:r>
      <w:r w:rsidRPr="004C679C">
        <w:t xml:space="preserve"> darbojas vismaz 324 ūdenssildāmie katli, kuros</w:t>
      </w:r>
      <w:r w:rsidR="004431B5">
        <w:t xml:space="preserve"> iespējams </w:t>
      </w:r>
      <w:proofErr w:type="spellStart"/>
      <w:r w:rsidR="004431B5">
        <w:t>līdzsadedzināt</w:t>
      </w:r>
      <w:proofErr w:type="spellEnd"/>
      <w:r w:rsidR="004431B5">
        <w:t xml:space="preserve"> kūdru</w:t>
      </w:r>
      <w:r w:rsidRPr="004C679C">
        <w:t>.</w:t>
      </w:r>
      <w:bookmarkEnd w:id="11"/>
    </w:p>
    <w:p w:rsidR="00B47F0C" w:rsidRDefault="00D410EE" w:rsidP="00834B2A">
      <w:pPr>
        <w:ind w:firstLine="720"/>
        <w:jc w:val="both"/>
      </w:pPr>
      <w:r>
        <w:t>S</w:t>
      </w:r>
      <w:r w:rsidRPr="00D410EE">
        <w:t xml:space="preserve">iltumenerģijas ražošanai var izmantot </w:t>
      </w:r>
      <w:r w:rsidR="00BE0B2E">
        <w:t xml:space="preserve">ap </w:t>
      </w:r>
      <w:r w:rsidRPr="00D410EE">
        <w:t>462 tūkstošus t</w:t>
      </w:r>
      <w:r w:rsidR="00942E8E">
        <w:t>onnu</w:t>
      </w:r>
      <w:r w:rsidRPr="00D410EE">
        <w:t xml:space="preserve"> kūdras gadā</w:t>
      </w:r>
      <w:r w:rsidR="00BE0B2E">
        <w:t>.</w:t>
      </w:r>
    </w:p>
    <w:p w:rsidR="00F26661" w:rsidRPr="00834B2A" w:rsidRDefault="0048773B" w:rsidP="004C679C">
      <w:pPr>
        <w:pStyle w:val="Heading2"/>
        <w:rPr>
          <w:rFonts w:ascii="Times New Roman" w:eastAsia="Times New Roman" w:hAnsi="Times New Roman" w:cs="Times New Roman"/>
          <w:color w:val="auto"/>
          <w:sz w:val="28"/>
          <w:szCs w:val="28"/>
        </w:rPr>
      </w:pPr>
      <w:bookmarkStart w:id="13" w:name="_Toc400714656"/>
      <w:r w:rsidRPr="00834B2A">
        <w:rPr>
          <w:rFonts w:ascii="Times New Roman" w:eastAsia="Times New Roman" w:hAnsi="Times New Roman" w:cs="Times New Roman"/>
          <w:color w:val="auto"/>
          <w:sz w:val="28"/>
          <w:szCs w:val="28"/>
        </w:rPr>
        <w:t xml:space="preserve">1.6. </w:t>
      </w:r>
      <w:r w:rsidR="00F945BE">
        <w:rPr>
          <w:rFonts w:ascii="Times New Roman" w:eastAsia="Times New Roman" w:hAnsi="Times New Roman" w:cs="Times New Roman"/>
          <w:color w:val="auto"/>
          <w:sz w:val="28"/>
          <w:szCs w:val="28"/>
        </w:rPr>
        <w:t>C</w:t>
      </w:r>
      <w:r w:rsidR="00F26661" w:rsidRPr="00834B2A">
        <w:rPr>
          <w:rFonts w:ascii="Times New Roman" w:eastAsia="Times New Roman" w:hAnsi="Times New Roman" w:cs="Times New Roman"/>
          <w:color w:val="auto"/>
          <w:sz w:val="28"/>
          <w:szCs w:val="28"/>
        </w:rPr>
        <w:t>ietais kurināmais</w:t>
      </w:r>
      <w:bookmarkEnd w:id="13"/>
      <w:r w:rsidR="00F26661" w:rsidRPr="00834B2A">
        <w:rPr>
          <w:rFonts w:ascii="Times New Roman" w:eastAsia="Times New Roman" w:hAnsi="Times New Roman" w:cs="Times New Roman"/>
          <w:color w:val="auto"/>
          <w:sz w:val="28"/>
          <w:szCs w:val="28"/>
        </w:rPr>
        <w:t xml:space="preserve"> </w:t>
      </w:r>
    </w:p>
    <w:p w:rsidR="00F26661" w:rsidRPr="00F26661" w:rsidRDefault="00F26661" w:rsidP="00F26661">
      <w:pPr>
        <w:ind w:firstLine="567"/>
        <w:jc w:val="both"/>
        <w:rPr>
          <w:rFonts w:eastAsia="Times New Roman" w:cs="Times New Roman"/>
          <w:szCs w:val="28"/>
        </w:rPr>
      </w:pPr>
      <w:r w:rsidRPr="00F26661">
        <w:rPr>
          <w:rFonts w:eastAsia="Times New Roman" w:cs="Times New Roman"/>
          <w:szCs w:val="28"/>
        </w:rPr>
        <w:t xml:space="preserve">Akmeņogles ir izplatīts, pasaules tirgū plaši pieejams primāro energoresursu veids, labi un elastīgi transportējams un uzkrājams. </w:t>
      </w:r>
      <w:r w:rsidR="00BA1FBC">
        <w:rPr>
          <w:rFonts w:eastAsia="Times New Roman" w:cs="Times New Roman"/>
          <w:szCs w:val="28"/>
        </w:rPr>
        <w:t xml:space="preserve">Akmeņogļu </w:t>
      </w:r>
      <w:r w:rsidRPr="00F26661">
        <w:rPr>
          <w:rFonts w:eastAsia="Times New Roman" w:cs="Times New Roman"/>
          <w:szCs w:val="28"/>
        </w:rPr>
        <w:t>priekšrocība ir iespēja to sadedzināt kopā ar biomasu, kūdru un citiem cietā kurināmā veidiem, samazinot ietekmi uz vidi un paplašinot AER un vietējo energoresursu izmantošanu elektroenerģijas ģenerācijā.</w:t>
      </w:r>
    </w:p>
    <w:p w:rsidR="00F26661" w:rsidRPr="00F26661" w:rsidRDefault="0060606C" w:rsidP="00F26661">
      <w:pPr>
        <w:ind w:firstLine="567"/>
        <w:jc w:val="both"/>
        <w:rPr>
          <w:rFonts w:eastAsia="Times New Roman" w:cs="Times New Roman"/>
          <w:szCs w:val="28"/>
        </w:rPr>
      </w:pPr>
      <w:r>
        <w:rPr>
          <w:rFonts w:eastAsia="Times New Roman" w:cs="Times New Roman"/>
          <w:szCs w:val="28"/>
        </w:rPr>
        <w:t>C</w:t>
      </w:r>
      <w:r w:rsidR="00F26661" w:rsidRPr="00F26661">
        <w:rPr>
          <w:rFonts w:eastAsia="Times New Roman" w:cs="Times New Roman"/>
          <w:szCs w:val="28"/>
        </w:rPr>
        <w:t xml:space="preserve">ietā kurināmā </w:t>
      </w:r>
      <w:r>
        <w:rPr>
          <w:rFonts w:eastAsia="Times New Roman" w:cs="Times New Roman"/>
          <w:szCs w:val="28"/>
        </w:rPr>
        <w:t>(ogles un kokss)</w:t>
      </w:r>
      <w:r w:rsidR="00F26661" w:rsidRPr="00F26661">
        <w:rPr>
          <w:rFonts w:eastAsia="Times New Roman" w:cs="Times New Roman"/>
          <w:szCs w:val="28"/>
        </w:rPr>
        <w:t xml:space="preserve"> patēriņš </w:t>
      </w:r>
      <w:r>
        <w:rPr>
          <w:rFonts w:eastAsia="Times New Roman" w:cs="Times New Roman"/>
          <w:szCs w:val="28"/>
        </w:rPr>
        <w:t xml:space="preserve">2012.gada </w:t>
      </w:r>
      <w:r w:rsidR="00F26661" w:rsidRPr="00F26661">
        <w:rPr>
          <w:rFonts w:eastAsia="Times New Roman" w:cs="Times New Roman"/>
          <w:szCs w:val="28"/>
        </w:rPr>
        <w:t>Latvij</w:t>
      </w:r>
      <w:r>
        <w:rPr>
          <w:rFonts w:eastAsia="Times New Roman" w:cs="Times New Roman"/>
          <w:szCs w:val="28"/>
        </w:rPr>
        <w:t>as</w:t>
      </w:r>
      <w:r w:rsidR="00F26661" w:rsidRPr="00F26661">
        <w:rPr>
          <w:rFonts w:eastAsia="Times New Roman" w:cs="Times New Roman"/>
          <w:szCs w:val="28"/>
        </w:rPr>
        <w:t xml:space="preserve"> </w:t>
      </w:r>
      <w:r w:rsidR="00084515">
        <w:rPr>
          <w:rFonts w:eastAsia="Times New Roman" w:cs="Times New Roman"/>
          <w:szCs w:val="28"/>
        </w:rPr>
        <w:t xml:space="preserve">kopējā </w:t>
      </w:r>
      <w:proofErr w:type="spellStart"/>
      <w:r w:rsidR="00084515">
        <w:rPr>
          <w:rFonts w:eastAsia="Times New Roman" w:cs="Times New Roman"/>
          <w:szCs w:val="28"/>
        </w:rPr>
        <w:t>primārto</w:t>
      </w:r>
      <w:proofErr w:type="spellEnd"/>
      <w:r w:rsidR="00084515">
        <w:rPr>
          <w:rFonts w:eastAsia="Times New Roman" w:cs="Times New Roman"/>
          <w:szCs w:val="28"/>
        </w:rPr>
        <w:t xml:space="preserve"> energoresursu patēriņā bija 145</w:t>
      </w:r>
      <w:r w:rsidR="00F26661" w:rsidRPr="00F26661">
        <w:rPr>
          <w:rFonts w:eastAsia="Times New Roman" w:cs="Times New Roman"/>
          <w:szCs w:val="28"/>
        </w:rPr>
        <w:t xml:space="preserve"> </w:t>
      </w:r>
      <w:proofErr w:type="spellStart"/>
      <w:r w:rsidR="00F26661" w:rsidRPr="00F26661">
        <w:rPr>
          <w:rFonts w:eastAsia="Times New Roman" w:cs="Times New Roman"/>
          <w:szCs w:val="28"/>
        </w:rPr>
        <w:t>tūkst</w:t>
      </w:r>
      <w:proofErr w:type="spellEnd"/>
      <w:r w:rsidR="00F26661" w:rsidRPr="00F26661">
        <w:rPr>
          <w:rFonts w:eastAsia="Times New Roman" w:cs="Times New Roman"/>
          <w:szCs w:val="28"/>
        </w:rPr>
        <w:t>. tonnu</w:t>
      </w:r>
      <w:r w:rsidR="00084515">
        <w:rPr>
          <w:rFonts w:eastAsia="Times New Roman" w:cs="Times New Roman"/>
          <w:szCs w:val="28"/>
        </w:rPr>
        <w:t xml:space="preserve"> jeb 3,81 PJ.</w:t>
      </w:r>
      <w:r w:rsidR="008B26C7" w:rsidRPr="00F26661" w:rsidDel="008B26C7">
        <w:rPr>
          <w:rFonts w:eastAsia="Times New Roman" w:cs="Times New Roman"/>
          <w:szCs w:val="28"/>
        </w:rPr>
        <w:t xml:space="preserve"> </w:t>
      </w:r>
    </w:p>
    <w:p w:rsidR="00F955B4" w:rsidRDefault="00F26661" w:rsidP="005945B4">
      <w:pPr>
        <w:ind w:firstLine="567"/>
        <w:jc w:val="both"/>
        <w:rPr>
          <w:rFonts w:eastAsia="Calibri" w:cs="Times New Roman"/>
          <w:szCs w:val="28"/>
        </w:rPr>
      </w:pPr>
      <w:r w:rsidRPr="00F26661">
        <w:rPr>
          <w:rFonts w:eastAsia="Calibri" w:cs="Times New Roman"/>
          <w:szCs w:val="28"/>
        </w:rPr>
        <w:lastRenderedPageBreak/>
        <w:t xml:space="preserve">2008.gadā, balstoties uz pārvades sistēmas operatora prognozēm par nākotnē gaidāmo elektroenerģijas jaudas deficītu un enerģētikas ekspertu vērtējumu par piemērotākajiem risinājumiem, tika nolemts atbalstīt 400 MW cietā kurināmā – akmeņogļu un biomasas, stacijas būvniecību Kurzemē. </w:t>
      </w:r>
    </w:p>
    <w:p w:rsidR="00F26661" w:rsidRPr="00F26661" w:rsidRDefault="00F955B4" w:rsidP="00F26661">
      <w:pPr>
        <w:ind w:firstLine="720"/>
        <w:jc w:val="both"/>
        <w:rPr>
          <w:rFonts w:eastAsia="Calibri" w:cs="Times New Roman"/>
          <w:szCs w:val="28"/>
        </w:rPr>
      </w:pPr>
      <w:r>
        <w:rPr>
          <w:rFonts w:eastAsia="Calibri" w:cs="Times New Roman"/>
          <w:szCs w:val="28"/>
        </w:rPr>
        <w:t>Tomēr, padziļinoties Baltijas reģiona</w:t>
      </w:r>
      <w:r w:rsidRPr="00F26661">
        <w:rPr>
          <w:rFonts w:eastAsia="Calibri" w:cs="Times New Roman"/>
          <w:szCs w:val="28"/>
        </w:rPr>
        <w:t xml:space="preserve"> </w:t>
      </w:r>
      <w:r w:rsidR="00F26661" w:rsidRPr="00F26661">
        <w:rPr>
          <w:rFonts w:eastAsia="Calibri" w:cs="Times New Roman"/>
          <w:szCs w:val="28"/>
        </w:rPr>
        <w:t xml:space="preserve">enerģētikas infrastruktūras </w:t>
      </w:r>
      <w:r w:rsidRPr="00F26661">
        <w:rPr>
          <w:rFonts w:eastAsia="Calibri" w:cs="Times New Roman"/>
          <w:szCs w:val="28"/>
        </w:rPr>
        <w:t>integrācija</w:t>
      </w:r>
      <w:r>
        <w:rPr>
          <w:rFonts w:eastAsia="Calibri" w:cs="Times New Roman"/>
          <w:szCs w:val="28"/>
        </w:rPr>
        <w:t xml:space="preserve">s </w:t>
      </w:r>
      <w:r w:rsidRPr="00F26661">
        <w:rPr>
          <w:rFonts w:eastAsia="Calibri" w:cs="Times New Roman"/>
          <w:szCs w:val="28"/>
        </w:rPr>
        <w:t xml:space="preserve"> </w:t>
      </w:r>
      <w:r>
        <w:rPr>
          <w:rFonts w:eastAsia="Calibri" w:cs="Times New Roman"/>
          <w:szCs w:val="28"/>
        </w:rPr>
        <w:t xml:space="preserve">pakāpei, par </w:t>
      </w:r>
      <w:r w:rsidR="00F26661" w:rsidRPr="00F26661">
        <w:rPr>
          <w:rFonts w:eastAsia="Calibri" w:cs="Times New Roman"/>
          <w:szCs w:val="28"/>
        </w:rPr>
        <w:t xml:space="preserve">ekonomiski </w:t>
      </w:r>
      <w:r w:rsidRPr="00F26661">
        <w:rPr>
          <w:rFonts w:eastAsia="Calibri" w:cs="Times New Roman"/>
          <w:szCs w:val="28"/>
        </w:rPr>
        <w:t>izdevīgāk</w:t>
      </w:r>
      <w:r>
        <w:rPr>
          <w:rFonts w:eastAsia="Calibri" w:cs="Times New Roman"/>
          <w:szCs w:val="28"/>
        </w:rPr>
        <w:t>u</w:t>
      </w:r>
      <w:r w:rsidRPr="00F26661">
        <w:rPr>
          <w:rFonts w:eastAsia="Calibri" w:cs="Times New Roman"/>
          <w:szCs w:val="28"/>
        </w:rPr>
        <w:t xml:space="preserve"> risinājum</w:t>
      </w:r>
      <w:r>
        <w:rPr>
          <w:rFonts w:eastAsia="Calibri" w:cs="Times New Roman"/>
          <w:szCs w:val="28"/>
        </w:rPr>
        <w:t>u</w:t>
      </w:r>
      <w:r w:rsidRPr="00F26661">
        <w:rPr>
          <w:rFonts w:eastAsia="Calibri" w:cs="Times New Roman"/>
          <w:szCs w:val="28"/>
        </w:rPr>
        <w:t xml:space="preserve"> </w:t>
      </w:r>
      <w:r>
        <w:rPr>
          <w:rFonts w:eastAsia="Calibri" w:cs="Times New Roman"/>
          <w:szCs w:val="28"/>
        </w:rPr>
        <w:t>tika atzīti</w:t>
      </w:r>
      <w:r w:rsidRPr="00F26661">
        <w:rPr>
          <w:rFonts w:eastAsia="Calibri" w:cs="Times New Roman"/>
          <w:szCs w:val="28"/>
        </w:rPr>
        <w:t xml:space="preserve"> </w:t>
      </w:r>
      <w:r w:rsidR="00F26661" w:rsidRPr="00F26661">
        <w:rPr>
          <w:rFonts w:eastAsia="Calibri" w:cs="Times New Roman"/>
          <w:szCs w:val="28"/>
        </w:rPr>
        <w:t xml:space="preserve">reģionāla mēroga </w:t>
      </w:r>
      <w:r>
        <w:rPr>
          <w:rFonts w:eastAsia="Calibri" w:cs="Times New Roman"/>
          <w:szCs w:val="28"/>
        </w:rPr>
        <w:t xml:space="preserve">bāzes jaudu izveides </w:t>
      </w:r>
      <w:r w:rsidR="00F26661" w:rsidRPr="00F26661">
        <w:rPr>
          <w:rFonts w:eastAsia="Calibri" w:cs="Times New Roman"/>
          <w:szCs w:val="28"/>
        </w:rPr>
        <w:t xml:space="preserve">projekti, </w:t>
      </w:r>
      <w:r w:rsidR="00EA12F2">
        <w:rPr>
          <w:rFonts w:eastAsia="Calibri" w:cs="Times New Roman"/>
          <w:szCs w:val="28"/>
        </w:rPr>
        <w:t xml:space="preserve">kas ir </w:t>
      </w:r>
      <w:r w:rsidR="00F26661" w:rsidRPr="00F26661">
        <w:rPr>
          <w:rFonts w:eastAsia="Calibri" w:cs="Times New Roman"/>
          <w:szCs w:val="28"/>
        </w:rPr>
        <w:t xml:space="preserve">izmaksu ziņā efektīvi </w:t>
      </w:r>
      <w:r w:rsidR="00EA12F2">
        <w:rPr>
          <w:rFonts w:eastAsia="Calibri" w:cs="Times New Roman"/>
          <w:szCs w:val="28"/>
        </w:rPr>
        <w:t xml:space="preserve">un </w:t>
      </w:r>
      <w:r w:rsidR="00F26661" w:rsidRPr="00F26661">
        <w:rPr>
          <w:rFonts w:eastAsia="Calibri" w:cs="Times New Roman"/>
          <w:szCs w:val="28"/>
        </w:rPr>
        <w:t>veicin</w:t>
      </w:r>
      <w:r w:rsidR="00EA12F2">
        <w:rPr>
          <w:rFonts w:eastAsia="Calibri" w:cs="Times New Roman"/>
          <w:szCs w:val="28"/>
        </w:rPr>
        <w:t xml:space="preserve">a </w:t>
      </w:r>
      <w:r w:rsidR="00F26661" w:rsidRPr="00F26661">
        <w:rPr>
          <w:rFonts w:eastAsia="Calibri" w:cs="Times New Roman"/>
          <w:szCs w:val="28"/>
        </w:rPr>
        <w:t xml:space="preserve">gan katras valsts, gan visa reģiona </w:t>
      </w:r>
      <w:r>
        <w:rPr>
          <w:rFonts w:eastAsia="Calibri" w:cs="Times New Roman"/>
          <w:szCs w:val="28"/>
        </w:rPr>
        <w:t>enerģētikas</w:t>
      </w:r>
      <w:r w:rsidR="00F26661" w:rsidRPr="00F26661">
        <w:rPr>
          <w:rFonts w:eastAsia="Calibri" w:cs="Times New Roman"/>
          <w:szCs w:val="28"/>
        </w:rPr>
        <w:t xml:space="preserve"> attīstību</w:t>
      </w:r>
      <w:r w:rsidR="00EA12F2">
        <w:rPr>
          <w:rFonts w:eastAsia="Calibri" w:cs="Times New Roman"/>
          <w:szCs w:val="28"/>
        </w:rPr>
        <w:t xml:space="preserve">. </w:t>
      </w:r>
    </w:p>
    <w:p w:rsidR="00C62315" w:rsidRPr="00F26661" w:rsidRDefault="00C62315" w:rsidP="00F26661">
      <w:pPr>
        <w:jc w:val="both"/>
        <w:rPr>
          <w:rFonts w:eastAsia="Calibri" w:cs="Times New Roman"/>
          <w:b/>
          <w:iCs/>
        </w:rPr>
      </w:pPr>
    </w:p>
    <w:p w:rsidR="007E7903" w:rsidRPr="00834B2A" w:rsidRDefault="007E7903" w:rsidP="00562BCC">
      <w:pPr>
        <w:pStyle w:val="Heading1"/>
        <w:numPr>
          <w:ilvl w:val="0"/>
          <w:numId w:val="6"/>
        </w:numPr>
      </w:pPr>
      <w:bookmarkStart w:id="14" w:name="_Toc400714657"/>
      <w:bookmarkEnd w:id="12"/>
      <w:r w:rsidRPr="00834B2A">
        <w:t>Elektroenerģijas tirgus</w:t>
      </w:r>
      <w:bookmarkEnd w:id="14"/>
    </w:p>
    <w:p w:rsidR="00CA2AE4" w:rsidRPr="00834B2A" w:rsidRDefault="00CA2AE4" w:rsidP="00562BCC">
      <w:pPr>
        <w:pStyle w:val="Heading2"/>
        <w:numPr>
          <w:ilvl w:val="1"/>
          <w:numId w:val="6"/>
        </w:numPr>
        <w:rPr>
          <w:rFonts w:ascii="Times New Roman" w:eastAsia="Times New Roman" w:hAnsi="Times New Roman" w:cs="Times New Roman"/>
          <w:color w:val="auto"/>
          <w:sz w:val="28"/>
          <w:szCs w:val="28"/>
          <w:lang w:eastAsia="lv-LV"/>
        </w:rPr>
      </w:pPr>
      <w:bookmarkStart w:id="15" w:name="_Toc400714658"/>
      <w:r w:rsidRPr="00834B2A">
        <w:rPr>
          <w:rFonts w:ascii="Times New Roman" w:eastAsia="Times New Roman" w:hAnsi="Times New Roman" w:cs="Times New Roman"/>
          <w:color w:val="auto"/>
          <w:sz w:val="28"/>
          <w:szCs w:val="28"/>
          <w:lang w:eastAsia="lv-LV"/>
        </w:rPr>
        <w:t>Tiesiskais ietvars</w:t>
      </w:r>
      <w:bookmarkEnd w:id="15"/>
    </w:p>
    <w:p w:rsidR="006F6B54" w:rsidRPr="006F6B54" w:rsidRDefault="00E23E41" w:rsidP="006F6B54">
      <w:pPr>
        <w:pStyle w:val="NormalWeb"/>
        <w:spacing w:before="0" w:beforeAutospacing="0" w:after="0" w:afterAutospacing="0"/>
        <w:jc w:val="both"/>
        <w:rPr>
          <w:sz w:val="28"/>
          <w:szCs w:val="28"/>
        </w:rPr>
      </w:pPr>
      <w:r>
        <w:rPr>
          <w:szCs w:val="28"/>
        </w:rPr>
        <w:tab/>
      </w:r>
      <w:r w:rsidR="00A4711B" w:rsidRPr="006F6B54">
        <w:rPr>
          <w:color w:val="000000"/>
          <w:sz w:val="28"/>
          <w:szCs w:val="28"/>
        </w:rPr>
        <w:t xml:space="preserve">Viens no galvenajiem </w:t>
      </w:r>
      <w:r w:rsidR="00C60669" w:rsidRPr="006F6B54">
        <w:rPr>
          <w:color w:val="000000"/>
          <w:sz w:val="28"/>
          <w:szCs w:val="28"/>
        </w:rPr>
        <w:t xml:space="preserve">ES enerģētikas </w:t>
      </w:r>
      <w:r w:rsidR="00A4711B" w:rsidRPr="006F6B54">
        <w:rPr>
          <w:color w:val="000000"/>
          <w:sz w:val="28"/>
          <w:szCs w:val="28"/>
        </w:rPr>
        <w:t xml:space="preserve">politikas </w:t>
      </w:r>
      <w:r w:rsidR="00C60669" w:rsidRPr="006F6B54">
        <w:rPr>
          <w:color w:val="000000"/>
          <w:sz w:val="28"/>
          <w:szCs w:val="28"/>
        </w:rPr>
        <w:t xml:space="preserve">mērķiem </w:t>
      </w:r>
      <w:r w:rsidR="00A4711B" w:rsidRPr="006F6B54">
        <w:rPr>
          <w:color w:val="000000"/>
          <w:sz w:val="28"/>
          <w:szCs w:val="28"/>
        </w:rPr>
        <w:t xml:space="preserve">ir </w:t>
      </w:r>
      <w:r w:rsidR="00C60669" w:rsidRPr="006F6B54">
        <w:rPr>
          <w:color w:val="000000"/>
          <w:sz w:val="28"/>
          <w:szCs w:val="28"/>
        </w:rPr>
        <w:t>labi funkcionējoša iekšējā elektroenerģijas tirgus izveid</w:t>
      </w:r>
      <w:r w:rsidR="00A4711B" w:rsidRPr="006F6B54">
        <w:rPr>
          <w:color w:val="000000"/>
          <w:sz w:val="28"/>
          <w:szCs w:val="28"/>
        </w:rPr>
        <w:t>e</w:t>
      </w:r>
      <w:r w:rsidR="00C60669" w:rsidRPr="006F6B54">
        <w:rPr>
          <w:color w:val="000000"/>
          <w:sz w:val="28"/>
          <w:szCs w:val="28"/>
        </w:rPr>
        <w:t xml:space="preserve">, nodrošinot integrētu elektroenerģijas tīklu un pietiekamu energosistēmu </w:t>
      </w:r>
      <w:proofErr w:type="spellStart"/>
      <w:r w:rsidR="00C60669" w:rsidRPr="006F6B54">
        <w:rPr>
          <w:color w:val="000000"/>
          <w:sz w:val="28"/>
          <w:szCs w:val="28"/>
        </w:rPr>
        <w:t>starpsavienojumus</w:t>
      </w:r>
      <w:proofErr w:type="spellEnd"/>
      <w:r w:rsidR="00C60669" w:rsidRPr="006F6B54">
        <w:rPr>
          <w:color w:val="000000"/>
          <w:sz w:val="28"/>
          <w:szCs w:val="28"/>
        </w:rPr>
        <w:t xml:space="preserve"> nodrošinājumu.</w:t>
      </w:r>
    </w:p>
    <w:p w:rsidR="004C0CB9" w:rsidRPr="006F6B54" w:rsidRDefault="000C4376" w:rsidP="0017210A">
      <w:pPr>
        <w:pStyle w:val="NormalWeb"/>
        <w:spacing w:before="0" w:beforeAutospacing="0" w:after="0" w:afterAutospacing="0"/>
        <w:ind w:firstLine="720"/>
        <w:jc w:val="both"/>
        <w:rPr>
          <w:sz w:val="28"/>
          <w:szCs w:val="28"/>
        </w:rPr>
      </w:pPr>
      <w:r w:rsidRPr="006F6B54">
        <w:rPr>
          <w:sz w:val="28"/>
          <w:szCs w:val="28"/>
        </w:rPr>
        <w:t xml:space="preserve">Lai ieviestu </w:t>
      </w:r>
      <w:r w:rsidR="006F6B54" w:rsidRPr="006F6B54">
        <w:rPr>
          <w:sz w:val="28"/>
          <w:szCs w:val="28"/>
        </w:rPr>
        <w:t xml:space="preserve">Eiropas Parlamenta un Padomes  2009.gada 13.jūlija Direktīvas 2009/72/EK par kopīgiem noteikumiem attiecībā uz elektroenerģijas iekšējo tirgu un par Direktīvas 2003/54/EK atcelšanu (turpmāk – Direktīva 2009/72/EK) prasības, </w:t>
      </w:r>
      <w:r w:rsidR="004C0CB9" w:rsidRPr="006F6B54">
        <w:rPr>
          <w:sz w:val="28"/>
          <w:szCs w:val="28"/>
        </w:rPr>
        <w:t>Latvij</w:t>
      </w:r>
      <w:r w:rsidR="0017210A">
        <w:rPr>
          <w:sz w:val="28"/>
          <w:szCs w:val="28"/>
        </w:rPr>
        <w:t xml:space="preserve">ā </w:t>
      </w:r>
      <w:r w:rsidR="004C0CB9" w:rsidRPr="006F6B54">
        <w:rPr>
          <w:sz w:val="28"/>
          <w:szCs w:val="28"/>
        </w:rPr>
        <w:t>tika izveidots neatkarīgs sistēmas operators (</w:t>
      </w:r>
      <w:r w:rsidR="0017210A">
        <w:rPr>
          <w:sz w:val="28"/>
          <w:szCs w:val="28"/>
        </w:rPr>
        <w:t xml:space="preserve">turpmāk – PSO; </w:t>
      </w:r>
      <w:r w:rsidR="004C0CB9" w:rsidRPr="006F6B54">
        <w:rPr>
          <w:sz w:val="28"/>
          <w:szCs w:val="28"/>
        </w:rPr>
        <w:t>AS „Augstsprieguma tīkls”) un pārvades sistēmas īpašnieks</w:t>
      </w:r>
      <w:r w:rsidRPr="006F6B54">
        <w:rPr>
          <w:sz w:val="28"/>
          <w:szCs w:val="28"/>
        </w:rPr>
        <w:t xml:space="preserve"> – jaundibināta </w:t>
      </w:r>
      <w:r w:rsidR="004C0CB9" w:rsidRPr="006F6B54">
        <w:rPr>
          <w:sz w:val="28"/>
          <w:szCs w:val="28"/>
        </w:rPr>
        <w:t xml:space="preserve">AS </w:t>
      </w:r>
      <w:r w:rsidR="0039435A">
        <w:rPr>
          <w:sz w:val="28"/>
          <w:szCs w:val="28"/>
        </w:rPr>
        <w:t>„</w:t>
      </w:r>
      <w:r w:rsidR="004C0CB9" w:rsidRPr="006F6B54">
        <w:rPr>
          <w:sz w:val="28"/>
          <w:szCs w:val="28"/>
        </w:rPr>
        <w:t>Latvenergo</w:t>
      </w:r>
      <w:r w:rsidR="0039435A">
        <w:rPr>
          <w:sz w:val="28"/>
          <w:szCs w:val="28"/>
        </w:rPr>
        <w:t>”</w:t>
      </w:r>
      <w:r w:rsidR="004C0CB9" w:rsidRPr="006F6B54">
        <w:rPr>
          <w:sz w:val="28"/>
          <w:szCs w:val="28"/>
        </w:rPr>
        <w:t xml:space="preserve"> </w:t>
      </w:r>
      <w:r w:rsidR="00B35B83" w:rsidRPr="006F6B54">
        <w:rPr>
          <w:sz w:val="28"/>
          <w:szCs w:val="28"/>
        </w:rPr>
        <w:t>meitas sabiedrība</w:t>
      </w:r>
      <w:r w:rsidR="004C0CB9" w:rsidRPr="006F6B54">
        <w:rPr>
          <w:sz w:val="28"/>
          <w:szCs w:val="28"/>
        </w:rPr>
        <w:t xml:space="preserve"> AS „Latvijas elektriskie tīkli”. </w:t>
      </w:r>
    </w:p>
    <w:p w:rsidR="004C0CB9" w:rsidRPr="006F6B54" w:rsidRDefault="004C0CB9" w:rsidP="006F6B54">
      <w:pPr>
        <w:pStyle w:val="NormalWeb"/>
        <w:spacing w:before="0" w:beforeAutospacing="0" w:after="0" w:afterAutospacing="0"/>
        <w:ind w:firstLine="720"/>
        <w:jc w:val="both"/>
        <w:rPr>
          <w:sz w:val="28"/>
          <w:szCs w:val="28"/>
        </w:rPr>
      </w:pPr>
      <w:r w:rsidRPr="006F6B54">
        <w:rPr>
          <w:sz w:val="28"/>
          <w:szCs w:val="28"/>
        </w:rPr>
        <w:t xml:space="preserve">AS </w:t>
      </w:r>
      <w:r w:rsidR="0039435A">
        <w:rPr>
          <w:sz w:val="28"/>
          <w:szCs w:val="28"/>
        </w:rPr>
        <w:t>„</w:t>
      </w:r>
      <w:r w:rsidRPr="006F6B54">
        <w:rPr>
          <w:sz w:val="28"/>
          <w:szCs w:val="28"/>
        </w:rPr>
        <w:t>Latvijas elektriskie tīkli</w:t>
      </w:r>
      <w:r w:rsidR="0039435A">
        <w:rPr>
          <w:sz w:val="28"/>
          <w:szCs w:val="28"/>
        </w:rPr>
        <w:t>”</w:t>
      </w:r>
      <w:r w:rsidRPr="006F6B54">
        <w:rPr>
          <w:sz w:val="28"/>
          <w:szCs w:val="28"/>
        </w:rPr>
        <w:t xml:space="preserve"> īpašumā ir pārvades tīkls, </w:t>
      </w:r>
      <w:proofErr w:type="spellStart"/>
      <w:r w:rsidRPr="006F6B54">
        <w:rPr>
          <w:sz w:val="28"/>
          <w:szCs w:val="28"/>
        </w:rPr>
        <w:t>t.i</w:t>
      </w:r>
      <w:proofErr w:type="spellEnd"/>
      <w:r w:rsidRPr="006F6B54">
        <w:rPr>
          <w:sz w:val="28"/>
          <w:szCs w:val="28"/>
        </w:rPr>
        <w:t>. 330kV un 110kV elektrolīnijas</w:t>
      </w:r>
      <w:r w:rsidR="00F136C0">
        <w:rPr>
          <w:sz w:val="28"/>
          <w:szCs w:val="28"/>
        </w:rPr>
        <w:t xml:space="preserve">, </w:t>
      </w:r>
      <w:r w:rsidRPr="006F6B54">
        <w:rPr>
          <w:sz w:val="28"/>
          <w:szCs w:val="28"/>
        </w:rPr>
        <w:t>apakšstacijas</w:t>
      </w:r>
      <w:r w:rsidR="00F136C0">
        <w:rPr>
          <w:sz w:val="28"/>
          <w:szCs w:val="28"/>
        </w:rPr>
        <w:t xml:space="preserve"> un</w:t>
      </w:r>
      <w:r w:rsidRPr="006F6B54">
        <w:rPr>
          <w:sz w:val="28"/>
          <w:szCs w:val="28"/>
        </w:rPr>
        <w:t xml:space="preserve"> sadales punkti. </w:t>
      </w:r>
    </w:p>
    <w:p w:rsidR="004C0CB9" w:rsidRPr="006F6B54" w:rsidRDefault="004C0CB9" w:rsidP="006F6B54">
      <w:pPr>
        <w:pStyle w:val="NormalWeb"/>
        <w:spacing w:before="0" w:beforeAutospacing="0" w:after="0" w:afterAutospacing="0"/>
        <w:ind w:firstLine="720"/>
        <w:jc w:val="both"/>
        <w:rPr>
          <w:sz w:val="28"/>
          <w:szCs w:val="28"/>
        </w:rPr>
      </w:pPr>
      <w:r w:rsidRPr="006F6B54">
        <w:rPr>
          <w:sz w:val="28"/>
          <w:szCs w:val="28"/>
        </w:rPr>
        <w:t xml:space="preserve">AS </w:t>
      </w:r>
      <w:r w:rsidR="0039435A">
        <w:rPr>
          <w:sz w:val="28"/>
          <w:szCs w:val="28"/>
        </w:rPr>
        <w:t>„</w:t>
      </w:r>
      <w:r w:rsidRPr="006F6B54">
        <w:rPr>
          <w:sz w:val="28"/>
          <w:szCs w:val="28"/>
        </w:rPr>
        <w:t>Latvijas elektriskie tīkli</w:t>
      </w:r>
      <w:r w:rsidR="0039435A">
        <w:rPr>
          <w:sz w:val="28"/>
          <w:szCs w:val="28"/>
        </w:rPr>
        <w:t>”</w:t>
      </w:r>
      <w:r w:rsidRPr="006F6B54">
        <w:rPr>
          <w:sz w:val="28"/>
          <w:szCs w:val="28"/>
        </w:rPr>
        <w:t xml:space="preserve"> iznomā pārvades aktīvus, kā arī pārvalda un apkalpo visas Latvijas teritorijā esošās 330kV un 110kV elektrolīnijas, nodrošin</w:t>
      </w:r>
      <w:r w:rsidR="00951097" w:rsidRPr="006F6B54">
        <w:rPr>
          <w:sz w:val="28"/>
          <w:szCs w:val="28"/>
        </w:rPr>
        <w:t>a</w:t>
      </w:r>
      <w:r w:rsidRPr="006F6B54">
        <w:rPr>
          <w:sz w:val="28"/>
          <w:szCs w:val="28"/>
        </w:rPr>
        <w:t xml:space="preserve"> 330kV un 110kV apakšstaciju un sadales punktu uzstādīto iekārtu ekspluatāciju, apkopi, remontu, parametru testēšanu, mērīšanu un atbilstības novērtēšanu, </w:t>
      </w:r>
      <w:proofErr w:type="spellStart"/>
      <w:r w:rsidRPr="006F6B54">
        <w:rPr>
          <w:sz w:val="28"/>
          <w:szCs w:val="28"/>
        </w:rPr>
        <w:t>elektroaizsardzības</w:t>
      </w:r>
      <w:proofErr w:type="spellEnd"/>
      <w:r w:rsidRPr="006F6B54">
        <w:rPr>
          <w:sz w:val="28"/>
          <w:szCs w:val="28"/>
        </w:rPr>
        <w:t xml:space="preserve"> līdzekļu dielektriskās pārbaudes</w:t>
      </w:r>
      <w:r w:rsidR="00675121" w:rsidRPr="006F6B54">
        <w:rPr>
          <w:sz w:val="28"/>
          <w:szCs w:val="28"/>
        </w:rPr>
        <w:t xml:space="preserve">. Papildus, </w:t>
      </w:r>
      <w:r w:rsidRPr="006F6B54">
        <w:rPr>
          <w:sz w:val="28"/>
          <w:szCs w:val="28"/>
        </w:rPr>
        <w:t xml:space="preserve">pēc AS </w:t>
      </w:r>
      <w:r w:rsidR="00607E84">
        <w:rPr>
          <w:sz w:val="28"/>
          <w:szCs w:val="28"/>
        </w:rPr>
        <w:t>„</w:t>
      </w:r>
      <w:r w:rsidRPr="006F6B54">
        <w:rPr>
          <w:sz w:val="28"/>
          <w:szCs w:val="28"/>
        </w:rPr>
        <w:t>Augstsprieguma tīkls</w:t>
      </w:r>
      <w:r w:rsidR="00607E84">
        <w:rPr>
          <w:sz w:val="28"/>
          <w:szCs w:val="28"/>
        </w:rPr>
        <w:t>”</w:t>
      </w:r>
      <w:r w:rsidRPr="006F6B54">
        <w:rPr>
          <w:sz w:val="28"/>
          <w:szCs w:val="28"/>
        </w:rPr>
        <w:t xml:space="preserve"> pasūtījuma un saskaņā ar AS </w:t>
      </w:r>
      <w:r w:rsidR="00607E84">
        <w:rPr>
          <w:sz w:val="28"/>
          <w:szCs w:val="28"/>
        </w:rPr>
        <w:t>„</w:t>
      </w:r>
      <w:r w:rsidRPr="006F6B54">
        <w:rPr>
          <w:sz w:val="28"/>
          <w:szCs w:val="28"/>
        </w:rPr>
        <w:t>Augstsprieguma tīkls</w:t>
      </w:r>
      <w:r w:rsidR="00607E84">
        <w:rPr>
          <w:sz w:val="28"/>
          <w:szCs w:val="28"/>
        </w:rPr>
        <w:t>”</w:t>
      </w:r>
      <w:r w:rsidRPr="006F6B54">
        <w:rPr>
          <w:sz w:val="28"/>
          <w:szCs w:val="28"/>
        </w:rPr>
        <w:t xml:space="preserve"> prasībām, veic pārvades tīkla rekonstrukcijas un jaunbūves.</w:t>
      </w:r>
    </w:p>
    <w:p w:rsidR="00951097" w:rsidRPr="006F6B54" w:rsidRDefault="00951097" w:rsidP="006F6B54">
      <w:pPr>
        <w:pStyle w:val="NormalWeb"/>
        <w:spacing w:before="0" w:beforeAutospacing="0" w:after="0" w:afterAutospacing="0"/>
        <w:ind w:firstLine="720"/>
        <w:jc w:val="both"/>
        <w:rPr>
          <w:sz w:val="28"/>
          <w:szCs w:val="28"/>
        </w:rPr>
      </w:pPr>
      <w:r w:rsidRPr="006F6B54">
        <w:rPr>
          <w:sz w:val="28"/>
          <w:szCs w:val="28"/>
        </w:rPr>
        <w:t xml:space="preserve">AS „Augstsprieguma tīkls” kā vienīgais neatkarīgais </w:t>
      </w:r>
      <w:r w:rsidR="00C23095" w:rsidRPr="006F6B54">
        <w:rPr>
          <w:sz w:val="28"/>
          <w:szCs w:val="28"/>
        </w:rPr>
        <w:t>PSO</w:t>
      </w:r>
      <w:r w:rsidRPr="006F6B54">
        <w:rPr>
          <w:sz w:val="28"/>
          <w:szCs w:val="28"/>
        </w:rPr>
        <w:t xml:space="preserve"> Latvijā tika sertificēt</w:t>
      </w:r>
      <w:r w:rsidR="00607E84">
        <w:rPr>
          <w:sz w:val="28"/>
          <w:szCs w:val="28"/>
        </w:rPr>
        <w:t>s</w:t>
      </w:r>
      <w:r w:rsidRPr="006F6B54">
        <w:rPr>
          <w:sz w:val="28"/>
          <w:szCs w:val="28"/>
        </w:rPr>
        <w:t xml:space="preserve"> 2013.gadā ar nosacījumiem, kas izpildāmi līdz 2015.gada 30.janvārim.</w:t>
      </w:r>
      <w:r w:rsidR="00E3771F">
        <w:rPr>
          <w:rStyle w:val="FootnoteReference"/>
        </w:rPr>
        <w:footnoteReference w:id="6"/>
      </w:r>
      <w:r w:rsidRPr="006F6B54">
        <w:rPr>
          <w:sz w:val="28"/>
          <w:szCs w:val="28"/>
        </w:rPr>
        <w:t xml:space="preserve"> Latvija </w:t>
      </w:r>
      <w:r w:rsidR="00CF3779">
        <w:rPr>
          <w:sz w:val="28"/>
          <w:szCs w:val="28"/>
        </w:rPr>
        <w:t>tādējādi kļuva par pirmo</w:t>
      </w:r>
      <w:r w:rsidRPr="006F6B54">
        <w:rPr>
          <w:sz w:val="28"/>
          <w:szCs w:val="28"/>
        </w:rPr>
        <w:t xml:space="preserve"> no Baltijas valstīm, </w:t>
      </w:r>
      <w:r w:rsidR="00CF3779" w:rsidRPr="006F6B54">
        <w:rPr>
          <w:sz w:val="28"/>
          <w:szCs w:val="28"/>
        </w:rPr>
        <w:t>k</w:t>
      </w:r>
      <w:r w:rsidR="00CF3779">
        <w:rPr>
          <w:sz w:val="28"/>
          <w:szCs w:val="28"/>
        </w:rPr>
        <w:t>urā</w:t>
      </w:r>
      <w:r w:rsidR="00CF3779" w:rsidRPr="006F6B54">
        <w:rPr>
          <w:sz w:val="28"/>
          <w:szCs w:val="28"/>
        </w:rPr>
        <w:t xml:space="preserve"> noslē</w:t>
      </w:r>
      <w:r w:rsidR="00CF3779">
        <w:rPr>
          <w:sz w:val="28"/>
          <w:szCs w:val="28"/>
        </w:rPr>
        <w:t>dzies</w:t>
      </w:r>
      <w:r w:rsidR="00CF3779" w:rsidRPr="006F6B54">
        <w:rPr>
          <w:sz w:val="28"/>
          <w:szCs w:val="28"/>
        </w:rPr>
        <w:t xml:space="preserve"> </w:t>
      </w:r>
      <w:r w:rsidRPr="006F6B54">
        <w:rPr>
          <w:sz w:val="28"/>
          <w:szCs w:val="28"/>
        </w:rPr>
        <w:t xml:space="preserve">PSO sertificēšanas </w:t>
      </w:r>
      <w:r w:rsidR="00CF3779" w:rsidRPr="006F6B54">
        <w:rPr>
          <w:sz w:val="28"/>
          <w:szCs w:val="28"/>
        </w:rPr>
        <w:t>proces</w:t>
      </w:r>
      <w:r w:rsidR="00CF3779">
        <w:rPr>
          <w:sz w:val="28"/>
          <w:szCs w:val="28"/>
        </w:rPr>
        <w:t>s</w:t>
      </w:r>
      <w:r w:rsidRPr="006F6B54">
        <w:rPr>
          <w:sz w:val="28"/>
          <w:szCs w:val="28"/>
        </w:rPr>
        <w:t>.</w:t>
      </w:r>
    </w:p>
    <w:p w:rsidR="004C0CB9" w:rsidRPr="006F6B54" w:rsidRDefault="00951097" w:rsidP="006F6B54">
      <w:pPr>
        <w:ind w:firstLine="720"/>
        <w:jc w:val="both"/>
        <w:rPr>
          <w:szCs w:val="28"/>
        </w:rPr>
      </w:pPr>
      <w:r w:rsidRPr="006F6B54">
        <w:rPr>
          <w:szCs w:val="28"/>
        </w:rPr>
        <w:t>2014.gada 9.jūlijā Sabiedrisko pakalpojumu regulēšanas komisija</w:t>
      </w:r>
      <w:r w:rsidR="008B717B">
        <w:rPr>
          <w:szCs w:val="28"/>
        </w:rPr>
        <w:t>s</w:t>
      </w:r>
      <w:r w:rsidRPr="006F6B54">
        <w:rPr>
          <w:szCs w:val="28"/>
        </w:rPr>
        <w:t xml:space="preserve"> (turpmāk–SPRK) </w:t>
      </w:r>
      <w:r w:rsidR="008B717B">
        <w:rPr>
          <w:szCs w:val="28"/>
        </w:rPr>
        <w:t>padomes sēdē</w:t>
      </w:r>
      <w:r w:rsidR="008B717B" w:rsidRPr="008B717B">
        <w:rPr>
          <w:szCs w:val="28"/>
        </w:rPr>
        <w:t xml:space="preserve"> Nr.23</w:t>
      </w:r>
      <w:r w:rsidR="008B717B">
        <w:rPr>
          <w:szCs w:val="28"/>
        </w:rPr>
        <w:t xml:space="preserve"> tika pieņemts lēmums</w:t>
      </w:r>
      <w:r w:rsidRPr="006F6B54">
        <w:rPr>
          <w:szCs w:val="28"/>
        </w:rPr>
        <w:t>, ka AS</w:t>
      </w:r>
      <w:r w:rsidR="00607E84">
        <w:rPr>
          <w:szCs w:val="28"/>
        </w:rPr>
        <w:t> „</w:t>
      </w:r>
      <w:r w:rsidRPr="006F6B54">
        <w:rPr>
          <w:szCs w:val="28"/>
        </w:rPr>
        <w:t>Augstsprieguma tīkls</w:t>
      </w:r>
      <w:r w:rsidR="00607E84">
        <w:rPr>
          <w:szCs w:val="28"/>
        </w:rPr>
        <w:t>”</w:t>
      </w:r>
      <w:r w:rsidRPr="006F6B54">
        <w:rPr>
          <w:szCs w:val="28"/>
        </w:rPr>
        <w:t xml:space="preserve"> atbilst sertificēšanas prasībām, un </w:t>
      </w:r>
      <w:r w:rsidRPr="006F6B54">
        <w:rPr>
          <w:szCs w:val="28"/>
        </w:rPr>
        <w:lastRenderedPageBreak/>
        <w:t>AS</w:t>
      </w:r>
      <w:r w:rsidR="00607E84">
        <w:rPr>
          <w:szCs w:val="28"/>
        </w:rPr>
        <w:t> „</w:t>
      </w:r>
      <w:r w:rsidRPr="006F6B54">
        <w:rPr>
          <w:szCs w:val="28"/>
        </w:rPr>
        <w:t>Augstsprieguma tīkls</w:t>
      </w:r>
      <w:r w:rsidR="00607E84">
        <w:rPr>
          <w:szCs w:val="28"/>
        </w:rPr>
        <w:t>”</w:t>
      </w:r>
      <w:r w:rsidRPr="006F6B54">
        <w:rPr>
          <w:szCs w:val="28"/>
        </w:rPr>
        <w:t xml:space="preserve"> un </w:t>
      </w:r>
      <w:r w:rsidRPr="008B717B">
        <w:rPr>
          <w:szCs w:val="28"/>
        </w:rPr>
        <w:t xml:space="preserve">AS </w:t>
      </w:r>
      <w:r w:rsidR="00607E84">
        <w:rPr>
          <w:szCs w:val="28"/>
        </w:rPr>
        <w:t>„</w:t>
      </w:r>
      <w:r w:rsidRPr="008B717B">
        <w:rPr>
          <w:szCs w:val="28"/>
        </w:rPr>
        <w:t>Latvijas elektriskie tīkli</w:t>
      </w:r>
      <w:r w:rsidR="00607E84">
        <w:rPr>
          <w:szCs w:val="28"/>
        </w:rPr>
        <w:t>”</w:t>
      </w:r>
      <w:r w:rsidRPr="008B717B">
        <w:rPr>
          <w:szCs w:val="28"/>
        </w:rPr>
        <w:t xml:space="preserve"> veikuši nepieciešamos pasākumus savas neatkarības nodrošināšanai.</w:t>
      </w:r>
    </w:p>
    <w:p w:rsidR="00CF774B" w:rsidRPr="00834B2A" w:rsidRDefault="00A4645D">
      <w:pPr>
        <w:pStyle w:val="Heading2"/>
        <w:rPr>
          <w:rFonts w:ascii="Times New Roman" w:hAnsi="Times New Roman" w:cs="Times New Roman"/>
          <w:color w:val="auto"/>
          <w:sz w:val="28"/>
          <w:szCs w:val="28"/>
        </w:rPr>
      </w:pPr>
      <w:bookmarkStart w:id="16" w:name="_Toc400714659"/>
      <w:r w:rsidRPr="00834B2A">
        <w:rPr>
          <w:rFonts w:ascii="Times New Roman" w:hAnsi="Times New Roman" w:cs="Times New Roman"/>
          <w:color w:val="auto"/>
          <w:sz w:val="28"/>
          <w:szCs w:val="28"/>
        </w:rPr>
        <w:t>2.2. Elektroenerģijas tirgus atvēršanas process</w:t>
      </w:r>
      <w:bookmarkEnd w:id="16"/>
    </w:p>
    <w:p w:rsidR="00BB2362" w:rsidRPr="00BB2362" w:rsidRDefault="00BB2362" w:rsidP="00491BBC">
      <w:pPr>
        <w:autoSpaceDE w:val="0"/>
        <w:autoSpaceDN w:val="0"/>
        <w:adjustRightInd w:val="0"/>
        <w:ind w:firstLine="720"/>
        <w:jc w:val="both"/>
        <w:rPr>
          <w:rFonts w:cs="Times New Roman"/>
          <w:color w:val="000000"/>
          <w:szCs w:val="28"/>
        </w:rPr>
      </w:pPr>
      <w:r w:rsidRPr="00BB2362">
        <w:rPr>
          <w:rFonts w:cs="Times New Roman"/>
          <w:color w:val="000000"/>
          <w:szCs w:val="28"/>
        </w:rPr>
        <w:t xml:space="preserve">Latvijā elektroenerģijas tirgus atvēršana </w:t>
      </w:r>
      <w:r>
        <w:rPr>
          <w:rFonts w:cs="Times New Roman"/>
          <w:color w:val="000000"/>
          <w:szCs w:val="28"/>
        </w:rPr>
        <w:t>sākās 2007.gadā</w:t>
      </w:r>
      <w:r w:rsidR="00491BBC">
        <w:rPr>
          <w:rFonts w:cs="Times New Roman"/>
          <w:color w:val="000000"/>
          <w:szCs w:val="28"/>
        </w:rPr>
        <w:t>, un to</w:t>
      </w:r>
      <w:r>
        <w:rPr>
          <w:rFonts w:cs="Times New Roman"/>
          <w:color w:val="000000"/>
          <w:szCs w:val="28"/>
        </w:rPr>
        <w:t xml:space="preserve"> var </w:t>
      </w:r>
      <w:r w:rsidR="00DE40D9">
        <w:rPr>
          <w:rFonts w:cs="Times New Roman"/>
          <w:color w:val="000000"/>
          <w:szCs w:val="28"/>
        </w:rPr>
        <w:t>ie</w:t>
      </w:r>
      <w:r>
        <w:rPr>
          <w:rFonts w:cs="Times New Roman"/>
          <w:color w:val="000000"/>
          <w:szCs w:val="28"/>
        </w:rPr>
        <w:t xml:space="preserve">dalīt </w:t>
      </w:r>
      <w:r w:rsidR="00DE40D9">
        <w:rPr>
          <w:rFonts w:cs="Times New Roman"/>
          <w:color w:val="000000"/>
          <w:szCs w:val="28"/>
        </w:rPr>
        <w:t>četros</w:t>
      </w:r>
      <w:r>
        <w:rPr>
          <w:rFonts w:cs="Times New Roman"/>
          <w:color w:val="000000"/>
          <w:szCs w:val="28"/>
        </w:rPr>
        <w:t xml:space="preserve"> posmos: </w:t>
      </w:r>
    </w:p>
    <w:p w:rsidR="00BB2362" w:rsidRPr="007C3E93" w:rsidRDefault="00BB2362" w:rsidP="00EC0D87">
      <w:pPr>
        <w:pStyle w:val="ListParagraph"/>
        <w:numPr>
          <w:ilvl w:val="0"/>
          <w:numId w:val="28"/>
        </w:numPr>
        <w:autoSpaceDE w:val="0"/>
        <w:autoSpaceDN w:val="0"/>
        <w:adjustRightInd w:val="0"/>
        <w:ind w:left="709"/>
        <w:jc w:val="both"/>
        <w:rPr>
          <w:rFonts w:cs="Times New Roman"/>
          <w:color w:val="000000"/>
          <w:szCs w:val="28"/>
        </w:rPr>
      </w:pPr>
      <w:r w:rsidRPr="007C3E93">
        <w:rPr>
          <w:rFonts w:cs="Times New Roman"/>
          <w:b/>
          <w:color w:val="000000"/>
          <w:szCs w:val="28"/>
        </w:rPr>
        <w:t xml:space="preserve">1.posms: </w:t>
      </w:r>
      <w:r w:rsidRPr="007C3E93">
        <w:rPr>
          <w:rFonts w:cs="Times New Roman"/>
          <w:color w:val="000000"/>
          <w:szCs w:val="28"/>
        </w:rPr>
        <w:t>2007.gada 1.jūlijā, atbilstoši tobrīd spēkā esošās Eiropas Parlamenta un Padomes Direktīvas 2003/54/EK par elektroenerģijas tirgus kopīgiem noteikumiem prasībām, spēkā stājās Elektroenerģijas tirgus likuma norma, paredzot, ka visiem elektroenerģijas galalietotājiem, kam ir pieslēgums pārvades sistēmai</w:t>
      </w:r>
      <w:r w:rsidR="002B0659" w:rsidRPr="007C3E93">
        <w:rPr>
          <w:rFonts w:cs="Times New Roman"/>
          <w:color w:val="000000"/>
          <w:szCs w:val="28"/>
        </w:rPr>
        <w:t xml:space="preserve"> (turpmāk–PS)</w:t>
      </w:r>
      <w:r w:rsidRPr="007C3E93">
        <w:rPr>
          <w:rFonts w:cs="Times New Roman"/>
          <w:color w:val="000000"/>
          <w:szCs w:val="28"/>
        </w:rPr>
        <w:t xml:space="preserve">, ir tiesības bez ierobežojumiem mainīt elektroenerģijas tirgotāju. Saskaņā ar 2007.gadā spēkā esošajiem Elektroenerģijas tirdzniecības un lietošanas noteikumiem (Ministru kabineta 26.06.2007. noteikumi Nr.452 „Elektroenerģijas tirdzniecības un lietošanas noteikumi”) tiesības saņemt elektroenerģiju par regulētu cenu bija mājsaimniecībām un komersantiem, kuru gada apgrozījumus vai bilances kopsumma nepārsniedz 7 </w:t>
      </w:r>
      <w:proofErr w:type="spellStart"/>
      <w:r w:rsidRPr="007C3E93">
        <w:rPr>
          <w:rFonts w:cs="Times New Roman"/>
          <w:color w:val="000000"/>
          <w:szCs w:val="28"/>
        </w:rPr>
        <w:t>milj</w:t>
      </w:r>
      <w:proofErr w:type="spellEnd"/>
      <w:r w:rsidRPr="007C3E93">
        <w:rPr>
          <w:rFonts w:cs="Times New Roman"/>
          <w:color w:val="000000"/>
          <w:szCs w:val="28"/>
        </w:rPr>
        <w:t xml:space="preserve">. LVL un kuru algoto darbinieku skaits bija mazāks par 50 darbiniekiem. Pie šādiem nosacījumiem elektroenerģiju tirgū pirka aptuveni 1700 elektroenerģijas lietotāju (energoietilpīgie un lielie komersanti), kas veidoja aptuveni 35% no Latvijas gada elektroenerģijas patēriņa. Pirmie faktiskie darījumi elektroenerģijas tirgū saskaņā ar šiem nosacījumiem notika 2008.gadā. </w:t>
      </w:r>
    </w:p>
    <w:p w:rsidR="00721B29" w:rsidRPr="007C3E93" w:rsidRDefault="00BB2362" w:rsidP="00EC0D87">
      <w:pPr>
        <w:pStyle w:val="ListParagraph"/>
        <w:numPr>
          <w:ilvl w:val="0"/>
          <w:numId w:val="28"/>
        </w:numPr>
        <w:autoSpaceDE w:val="0"/>
        <w:autoSpaceDN w:val="0"/>
        <w:adjustRightInd w:val="0"/>
        <w:ind w:left="709"/>
        <w:jc w:val="both"/>
        <w:rPr>
          <w:rFonts w:cs="Times New Roman"/>
          <w:color w:val="000000"/>
          <w:szCs w:val="28"/>
        </w:rPr>
      </w:pPr>
      <w:r w:rsidRPr="007C3E93">
        <w:rPr>
          <w:rFonts w:cs="Times New Roman"/>
          <w:b/>
          <w:bCs/>
          <w:color w:val="000000"/>
          <w:szCs w:val="28"/>
        </w:rPr>
        <w:t xml:space="preserve">2.posms: </w:t>
      </w:r>
      <w:r w:rsidRPr="007C3E93">
        <w:rPr>
          <w:rFonts w:cs="Times New Roman"/>
          <w:color w:val="000000"/>
          <w:szCs w:val="28"/>
        </w:rPr>
        <w:t>Pakāpeniski samazinot saistīto elektroenerģijas lietotāju loku, saskaņā ar Ministru kabineta 29.11.2011. noteikumiem Nr.914 „Elektroenerģijas tirdzniecības un lietošanas noteikumi” kopš 01.04.2012. tirgū tika iesaistīti lietotāji, kuru pie</w:t>
      </w:r>
      <w:r w:rsidR="00EC1CAD" w:rsidRPr="007C3E93">
        <w:rPr>
          <w:rFonts w:cs="Times New Roman"/>
          <w:color w:val="000000"/>
          <w:szCs w:val="28"/>
        </w:rPr>
        <w:t>slēguma spriegums pārsniedz 400</w:t>
      </w:r>
      <w:r w:rsidRPr="007C3E93">
        <w:rPr>
          <w:rFonts w:cs="Times New Roman"/>
          <w:color w:val="000000"/>
          <w:szCs w:val="28"/>
        </w:rPr>
        <w:t xml:space="preserve">V un </w:t>
      </w:r>
      <w:proofErr w:type="spellStart"/>
      <w:r w:rsidRPr="007C3E93">
        <w:rPr>
          <w:rFonts w:cs="Times New Roman"/>
          <w:color w:val="000000"/>
          <w:szCs w:val="28"/>
        </w:rPr>
        <w:t>ievadaizsardzības</w:t>
      </w:r>
      <w:proofErr w:type="spellEnd"/>
      <w:r w:rsidRPr="007C3E93">
        <w:rPr>
          <w:rFonts w:cs="Times New Roman"/>
          <w:color w:val="000000"/>
          <w:szCs w:val="28"/>
        </w:rPr>
        <w:t xml:space="preserve"> aparāt</w:t>
      </w:r>
      <w:r w:rsidR="00EC1CAD" w:rsidRPr="007C3E93">
        <w:rPr>
          <w:rFonts w:cs="Times New Roman"/>
          <w:color w:val="000000"/>
          <w:szCs w:val="28"/>
        </w:rPr>
        <w:t>a nominālā strāva pārsniedz 100</w:t>
      </w:r>
      <w:r w:rsidRPr="007C3E93">
        <w:rPr>
          <w:rFonts w:cs="Times New Roman"/>
          <w:color w:val="000000"/>
          <w:szCs w:val="28"/>
        </w:rPr>
        <w:t>A, proti, aptuveni 4800 vidēji lieli elektroenerģijas pa</w:t>
      </w:r>
      <w:r w:rsidR="00EC1CAD" w:rsidRPr="007C3E93">
        <w:rPr>
          <w:rFonts w:cs="Times New Roman"/>
          <w:color w:val="000000"/>
          <w:szCs w:val="28"/>
        </w:rPr>
        <w:t>tērētāji ar vidējo patēriņu 200</w:t>
      </w:r>
      <w:r w:rsidR="00440EA1">
        <w:rPr>
          <w:rFonts w:cs="Times New Roman"/>
          <w:color w:val="000000"/>
          <w:szCs w:val="28"/>
        </w:rPr>
        <w:t> </w:t>
      </w:r>
      <w:proofErr w:type="spellStart"/>
      <w:r w:rsidRPr="007C3E93">
        <w:rPr>
          <w:rFonts w:cs="Times New Roman"/>
          <w:color w:val="000000"/>
          <w:szCs w:val="28"/>
        </w:rPr>
        <w:t>MWh</w:t>
      </w:r>
      <w:proofErr w:type="spellEnd"/>
      <w:r w:rsidRPr="007C3E93">
        <w:rPr>
          <w:rFonts w:cs="Times New Roman"/>
          <w:color w:val="000000"/>
          <w:szCs w:val="28"/>
        </w:rPr>
        <w:t xml:space="preserve">/gadā, kas Latvijas elektroenerģijas tirgus brīvo daļu palielināja līdz aptuveni 66%. </w:t>
      </w:r>
    </w:p>
    <w:p w:rsidR="00721B29" w:rsidRPr="007C3E93" w:rsidRDefault="00BB2362" w:rsidP="00EC0D87">
      <w:pPr>
        <w:pStyle w:val="ListParagraph"/>
        <w:numPr>
          <w:ilvl w:val="0"/>
          <w:numId w:val="28"/>
        </w:numPr>
        <w:autoSpaceDE w:val="0"/>
        <w:autoSpaceDN w:val="0"/>
        <w:adjustRightInd w:val="0"/>
        <w:ind w:left="709"/>
        <w:jc w:val="both"/>
        <w:rPr>
          <w:rFonts w:cs="Times New Roman"/>
          <w:color w:val="000000"/>
          <w:szCs w:val="28"/>
        </w:rPr>
      </w:pPr>
      <w:r w:rsidRPr="007C3E93">
        <w:rPr>
          <w:rFonts w:cs="Times New Roman"/>
          <w:b/>
          <w:bCs/>
          <w:color w:val="000000"/>
          <w:szCs w:val="28"/>
        </w:rPr>
        <w:t>3.posms</w:t>
      </w:r>
      <w:r w:rsidR="00721B29" w:rsidRPr="007C3E93">
        <w:rPr>
          <w:rFonts w:cs="Times New Roman"/>
          <w:b/>
          <w:bCs/>
          <w:color w:val="000000"/>
          <w:szCs w:val="28"/>
        </w:rPr>
        <w:t>:</w:t>
      </w:r>
      <w:r w:rsidR="00721B29" w:rsidRPr="007C3E93">
        <w:rPr>
          <w:rFonts w:cs="Times New Roman"/>
          <w:bCs/>
          <w:color w:val="000000"/>
          <w:szCs w:val="28"/>
        </w:rPr>
        <w:t xml:space="preserve"> </w:t>
      </w:r>
      <w:r w:rsidRPr="007C3E93">
        <w:rPr>
          <w:rFonts w:cs="Times New Roman"/>
          <w:color w:val="000000"/>
          <w:szCs w:val="28"/>
        </w:rPr>
        <w:t>Elektroenerģijas tirdzniecības un lietošanas noteikumu 31.08.2012. grozījumi paredz</w:t>
      </w:r>
      <w:r w:rsidR="00DE587E" w:rsidRPr="007C3E93">
        <w:rPr>
          <w:rFonts w:cs="Times New Roman"/>
          <w:color w:val="000000"/>
          <w:szCs w:val="28"/>
        </w:rPr>
        <w:t>ēja</w:t>
      </w:r>
      <w:r w:rsidRPr="007C3E93">
        <w:rPr>
          <w:rFonts w:cs="Times New Roman"/>
          <w:color w:val="000000"/>
          <w:szCs w:val="28"/>
        </w:rPr>
        <w:t>, ka tiesības saņemt universālo pakalpojumu ir tikai tiem lietotājiem, kas elektroenerģiju patērē mājsaimniecības vajadzībām. Pārējie lietotāji no 01.11.2012. tiesības</w:t>
      </w:r>
      <w:r w:rsidR="00DE587E" w:rsidRPr="007C3E93">
        <w:rPr>
          <w:rFonts w:cs="Times New Roman"/>
          <w:color w:val="000000"/>
          <w:szCs w:val="28"/>
        </w:rPr>
        <w:t xml:space="preserve"> to</w:t>
      </w:r>
      <w:r w:rsidRPr="007C3E93">
        <w:rPr>
          <w:rFonts w:cs="Times New Roman"/>
          <w:color w:val="000000"/>
          <w:szCs w:val="28"/>
        </w:rPr>
        <w:t xml:space="preserve"> saņemt</w:t>
      </w:r>
      <w:r w:rsidR="00DE587E" w:rsidRPr="007C3E93">
        <w:rPr>
          <w:rFonts w:cs="Times New Roman"/>
          <w:color w:val="000000"/>
          <w:szCs w:val="28"/>
        </w:rPr>
        <w:t xml:space="preserve"> zaudēja.</w:t>
      </w:r>
      <w:r w:rsidRPr="007C3E93">
        <w:rPr>
          <w:rFonts w:cs="Times New Roman"/>
          <w:color w:val="000000"/>
          <w:szCs w:val="28"/>
        </w:rPr>
        <w:t xml:space="preserve"> Ar šādu universāla pakalpojuma regulējumu elektroenerģijas tirgū tika iesaistīti vēl aptuveni 20 000 lietotāju, kas ir 2,3% no lietotājiem un patērē ap 9% no Latvijā kopā patērētās elektroenerģijas</w:t>
      </w:r>
      <w:r w:rsidR="00631174" w:rsidRPr="007C3E93">
        <w:rPr>
          <w:rFonts w:cs="Times New Roman"/>
          <w:color w:val="000000"/>
          <w:szCs w:val="28"/>
        </w:rPr>
        <w:t>. L</w:t>
      </w:r>
      <w:r w:rsidRPr="007C3E93">
        <w:rPr>
          <w:rFonts w:cs="Times New Roman"/>
          <w:color w:val="000000"/>
          <w:szCs w:val="28"/>
        </w:rPr>
        <w:t xml:space="preserve">īdz ar to Latvijas atvērtā elektroenerģijas tirgus daļa sasniedza aptuveni 75% no kopējā patēriņa. </w:t>
      </w:r>
    </w:p>
    <w:p w:rsidR="00BB2362" w:rsidRPr="007C3E93" w:rsidRDefault="00BB2362" w:rsidP="00EC0D87">
      <w:pPr>
        <w:pStyle w:val="ListParagraph"/>
        <w:numPr>
          <w:ilvl w:val="0"/>
          <w:numId w:val="28"/>
        </w:numPr>
        <w:ind w:left="709"/>
        <w:jc w:val="both"/>
        <w:rPr>
          <w:rFonts w:cs="Times New Roman"/>
          <w:color w:val="2A2A2A"/>
          <w:szCs w:val="28"/>
        </w:rPr>
      </w:pPr>
      <w:r w:rsidRPr="00282027">
        <w:rPr>
          <w:rFonts w:cs="Times New Roman"/>
          <w:b/>
          <w:szCs w:val="28"/>
        </w:rPr>
        <w:t>4.posms</w:t>
      </w:r>
      <w:r w:rsidR="00721B29" w:rsidRPr="00282027">
        <w:rPr>
          <w:rFonts w:cs="Times New Roman"/>
          <w:b/>
          <w:szCs w:val="28"/>
        </w:rPr>
        <w:t>:</w:t>
      </w:r>
      <w:r w:rsidRPr="007C3E93">
        <w:rPr>
          <w:rFonts w:cs="Times New Roman"/>
          <w:szCs w:val="28"/>
        </w:rPr>
        <w:t xml:space="preserve"> </w:t>
      </w:r>
      <w:r w:rsidRPr="007C3E93">
        <w:rPr>
          <w:szCs w:val="28"/>
        </w:rPr>
        <w:t xml:space="preserve">Likums  „Grozījumi Elektroenerģijas  tirgus likumā”, kuru Saeima pieņēma 2013.gada 6.novembrī, noteica, ka  2014.gada 1.aprīlī </w:t>
      </w:r>
      <w:r w:rsidRPr="007C3E93">
        <w:rPr>
          <w:szCs w:val="28"/>
        </w:rPr>
        <w:lastRenderedPageBreak/>
        <w:t xml:space="preserve">par elektroenerģijas tirgus dalībniekiem kļūs Latvijas mājsaimniecības lietotāji. </w:t>
      </w:r>
      <w:r w:rsidR="005B3272" w:rsidRPr="007C3E93">
        <w:rPr>
          <w:szCs w:val="28"/>
        </w:rPr>
        <w:t xml:space="preserve">Savukārt, </w:t>
      </w:r>
      <w:r w:rsidRPr="007C3E93">
        <w:rPr>
          <w:szCs w:val="28"/>
        </w:rPr>
        <w:t>2014.gada 20.marta Saeimas sēdē tika apstiprināts likumprojekts „Grozījumi Elektroenerģijas tirgus likumā”, kas paredz pārcelt elektroenerģijas tirgus atvēršanu mājsaimniecības lietotājiem no 2014.gada 1.aprīļa uz 2015.gada 1.janvāri, saglabājot mājsaimniecības lietotājiem spēkā esošos elektroenerģijas tirdzniecības tarifus.</w:t>
      </w:r>
      <w:r w:rsidR="00721B29" w:rsidRPr="007C3E93">
        <w:rPr>
          <w:szCs w:val="28"/>
        </w:rPr>
        <w:t xml:space="preserve"> </w:t>
      </w:r>
    </w:p>
    <w:p w:rsidR="007C3E93" w:rsidRDefault="007C3E93" w:rsidP="00DE6F0D">
      <w:pPr>
        <w:ind w:firstLine="720"/>
        <w:jc w:val="both"/>
        <w:rPr>
          <w:rFonts w:cs="Times New Roman"/>
          <w:bCs/>
          <w:szCs w:val="28"/>
        </w:rPr>
      </w:pPr>
    </w:p>
    <w:p w:rsidR="00BB2362" w:rsidRPr="00721B29" w:rsidRDefault="00BB2362" w:rsidP="00DE6F0D">
      <w:pPr>
        <w:ind w:firstLine="720"/>
        <w:jc w:val="both"/>
        <w:rPr>
          <w:rFonts w:cs="Times New Roman"/>
          <w:bCs/>
          <w:szCs w:val="28"/>
        </w:rPr>
      </w:pPr>
      <w:r w:rsidRPr="00721B29">
        <w:rPr>
          <w:rFonts w:cs="Times New Roman"/>
          <w:bCs/>
          <w:szCs w:val="28"/>
        </w:rPr>
        <w:t xml:space="preserve">Elektroenerģijas kopējā apjoma un lietotāju struktūra pa tirgus atvēršanas posmiem ir parādīta </w:t>
      </w:r>
      <w:r w:rsidR="00E047DF">
        <w:rPr>
          <w:rFonts w:cs="Times New Roman"/>
          <w:bCs/>
          <w:szCs w:val="28"/>
        </w:rPr>
        <w:t>8</w:t>
      </w:r>
      <w:r w:rsidRPr="00721B29">
        <w:rPr>
          <w:rFonts w:cs="Times New Roman"/>
          <w:bCs/>
          <w:szCs w:val="28"/>
        </w:rPr>
        <w:t>.attēlā</w:t>
      </w:r>
      <w:r w:rsidR="00237B79">
        <w:rPr>
          <w:rFonts w:cs="Times New Roman"/>
          <w:bCs/>
          <w:szCs w:val="28"/>
        </w:rPr>
        <w:t>.</w:t>
      </w:r>
    </w:p>
    <w:p w:rsidR="00BB2362" w:rsidRPr="00721B29" w:rsidRDefault="00BB2362" w:rsidP="00721B29">
      <w:pPr>
        <w:ind w:left="360"/>
        <w:jc w:val="both"/>
        <w:rPr>
          <w:rFonts w:cs="Times New Roman"/>
          <w:szCs w:val="28"/>
        </w:rPr>
      </w:pPr>
    </w:p>
    <w:p w:rsidR="00BB2362" w:rsidRPr="00721B29" w:rsidRDefault="00422D8F" w:rsidP="00EC0D87">
      <w:pPr>
        <w:tabs>
          <w:tab w:val="right" w:pos="851"/>
        </w:tabs>
        <w:jc w:val="center"/>
        <w:rPr>
          <w:szCs w:val="28"/>
        </w:rPr>
      </w:pPr>
      <w:r>
        <w:rPr>
          <w:noProof/>
          <w:lang w:eastAsia="lv-LV"/>
        </w:rPr>
        <w:drawing>
          <wp:inline distT="0" distB="0" distL="0" distR="0" wp14:anchorId="7803294F" wp14:editId="2C54ADF7">
            <wp:extent cx="4572000" cy="2743200"/>
            <wp:effectExtent l="0" t="0" r="0" b="0"/>
            <wp:docPr id="1123" name="Chart 11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BB2362" w:rsidRPr="00834B2A" w:rsidRDefault="000575F2" w:rsidP="00834B2A">
      <w:pPr>
        <w:tabs>
          <w:tab w:val="right" w:pos="851"/>
        </w:tabs>
        <w:rPr>
          <w:b/>
          <w:sz w:val="24"/>
          <w:szCs w:val="24"/>
        </w:rPr>
      </w:pPr>
      <w:r w:rsidRPr="00834B2A">
        <w:rPr>
          <w:b/>
          <w:sz w:val="24"/>
          <w:szCs w:val="24"/>
        </w:rPr>
        <w:t>8</w:t>
      </w:r>
      <w:r w:rsidR="00BB2362" w:rsidRPr="00834B2A">
        <w:rPr>
          <w:b/>
          <w:sz w:val="24"/>
          <w:szCs w:val="24"/>
        </w:rPr>
        <w:t xml:space="preserve">. attēls. </w:t>
      </w:r>
      <w:r w:rsidR="00BB2362" w:rsidRPr="00834B2A">
        <w:rPr>
          <w:rFonts w:cs="Times New Roman"/>
          <w:b/>
          <w:bCs/>
          <w:sz w:val="24"/>
          <w:szCs w:val="24"/>
        </w:rPr>
        <w:t>Elektroenerģijas kopējā apjoma un lietotāju struktūra</w:t>
      </w:r>
    </w:p>
    <w:p w:rsidR="00CA2AE4" w:rsidRPr="00834B2A" w:rsidRDefault="00D37E79" w:rsidP="00DC3D06">
      <w:pPr>
        <w:pStyle w:val="Heading2"/>
        <w:rPr>
          <w:rFonts w:ascii="Times New Roman" w:hAnsi="Times New Roman" w:cs="Times New Roman"/>
          <w:color w:val="auto"/>
          <w:sz w:val="28"/>
          <w:szCs w:val="28"/>
        </w:rPr>
      </w:pPr>
      <w:bookmarkStart w:id="17" w:name="_Toc400714660"/>
      <w:r w:rsidRPr="00834B2A">
        <w:rPr>
          <w:rFonts w:ascii="Times New Roman" w:hAnsi="Times New Roman" w:cs="Times New Roman"/>
          <w:color w:val="auto"/>
          <w:sz w:val="28"/>
          <w:szCs w:val="28"/>
        </w:rPr>
        <w:t>2.</w:t>
      </w:r>
      <w:r w:rsidR="00BF4538" w:rsidRPr="00834B2A">
        <w:rPr>
          <w:rFonts w:ascii="Times New Roman" w:hAnsi="Times New Roman" w:cs="Times New Roman"/>
          <w:color w:val="auto"/>
          <w:sz w:val="28"/>
          <w:szCs w:val="28"/>
        </w:rPr>
        <w:t xml:space="preserve">3. </w:t>
      </w:r>
      <w:r w:rsidR="00CA2AE4" w:rsidRPr="00834B2A">
        <w:rPr>
          <w:rFonts w:ascii="Times New Roman" w:hAnsi="Times New Roman" w:cs="Times New Roman"/>
          <w:color w:val="auto"/>
          <w:sz w:val="28"/>
          <w:szCs w:val="28"/>
        </w:rPr>
        <w:t>Elektroenerģijas birža</w:t>
      </w:r>
      <w:bookmarkEnd w:id="17"/>
      <w:r w:rsidR="00CA2AE4" w:rsidRPr="00834B2A">
        <w:rPr>
          <w:rFonts w:ascii="Times New Roman" w:hAnsi="Times New Roman" w:cs="Times New Roman"/>
          <w:color w:val="auto"/>
          <w:sz w:val="28"/>
          <w:szCs w:val="28"/>
        </w:rPr>
        <w:t xml:space="preserve"> </w:t>
      </w:r>
    </w:p>
    <w:p w:rsidR="0029311E" w:rsidRDefault="00CA2AE4" w:rsidP="0029311E">
      <w:pPr>
        <w:shd w:val="clear" w:color="auto" w:fill="FFFFFF" w:themeFill="background1"/>
        <w:ind w:firstLine="567"/>
        <w:jc w:val="both"/>
        <w:rPr>
          <w:szCs w:val="28"/>
        </w:rPr>
      </w:pPr>
      <w:r w:rsidRPr="0063735A">
        <w:rPr>
          <w:szCs w:val="28"/>
        </w:rPr>
        <w:t xml:space="preserve">Lai attīstītu pārrobežu tirdzniecību, kā arī stimulētu konkurenci Baltijas elektroenerģijas tirgū, Baltijā tika atvērti elektroenerģijas biržas platformas </w:t>
      </w:r>
      <w:r w:rsidR="001B654F">
        <w:rPr>
          <w:szCs w:val="28"/>
        </w:rPr>
        <w:t xml:space="preserve"> </w:t>
      </w:r>
      <w:proofErr w:type="spellStart"/>
      <w:r w:rsidR="003D6507" w:rsidRPr="003D6507">
        <w:rPr>
          <w:i/>
          <w:szCs w:val="28"/>
        </w:rPr>
        <w:t>Nord</w:t>
      </w:r>
      <w:proofErr w:type="spellEnd"/>
      <w:r w:rsidR="003D6507" w:rsidRPr="003D6507">
        <w:rPr>
          <w:i/>
          <w:szCs w:val="28"/>
        </w:rPr>
        <w:t xml:space="preserve"> </w:t>
      </w:r>
      <w:proofErr w:type="spellStart"/>
      <w:r w:rsidR="003D6507" w:rsidRPr="003D6507">
        <w:rPr>
          <w:i/>
          <w:szCs w:val="28"/>
        </w:rPr>
        <w:t>Pool</w:t>
      </w:r>
      <w:proofErr w:type="spellEnd"/>
      <w:r w:rsidR="003D6507" w:rsidRPr="003D6507">
        <w:rPr>
          <w:i/>
          <w:szCs w:val="28"/>
        </w:rPr>
        <w:t xml:space="preserve"> </w:t>
      </w:r>
      <w:proofErr w:type="spellStart"/>
      <w:r w:rsidR="003D6507" w:rsidRPr="003D6507">
        <w:rPr>
          <w:i/>
          <w:szCs w:val="28"/>
        </w:rPr>
        <w:t>Spot</w:t>
      </w:r>
      <w:proofErr w:type="spellEnd"/>
      <w:r w:rsidR="003D6507">
        <w:rPr>
          <w:szCs w:val="28"/>
        </w:rPr>
        <w:t xml:space="preserve"> (turpmāk – </w:t>
      </w:r>
      <w:r w:rsidRPr="0063735A">
        <w:rPr>
          <w:szCs w:val="28"/>
        </w:rPr>
        <w:t>NPS</w:t>
      </w:r>
      <w:r w:rsidR="003D6507">
        <w:rPr>
          <w:szCs w:val="28"/>
        </w:rPr>
        <w:t>)</w:t>
      </w:r>
      <w:r w:rsidRPr="0063735A">
        <w:rPr>
          <w:i/>
          <w:szCs w:val="28"/>
        </w:rPr>
        <w:t xml:space="preserve"> </w:t>
      </w:r>
      <w:r w:rsidRPr="0063735A">
        <w:rPr>
          <w:szCs w:val="28"/>
        </w:rPr>
        <w:t xml:space="preserve"> tirdzniecības apgabali. </w:t>
      </w:r>
    </w:p>
    <w:p w:rsidR="00D66988" w:rsidRDefault="00CA2AE4" w:rsidP="0029311E">
      <w:pPr>
        <w:shd w:val="clear" w:color="auto" w:fill="FFFFFF" w:themeFill="background1"/>
        <w:ind w:firstLine="567"/>
        <w:jc w:val="both"/>
        <w:rPr>
          <w:bCs/>
          <w:szCs w:val="28"/>
        </w:rPr>
      </w:pPr>
      <w:r w:rsidRPr="0063735A">
        <w:rPr>
          <w:szCs w:val="28"/>
        </w:rPr>
        <w:t xml:space="preserve">Latvijas tirdzniecības apgabals uzsāka darbību 2013.gada 3.jūnijā, savukārt, </w:t>
      </w:r>
      <w:r w:rsidRPr="0063735A">
        <w:rPr>
          <w:bCs/>
          <w:szCs w:val="28"/>
        </w:rPr>
        <w:t xml:space="preserve">Lietuva </w:t>
      </w:r>
      <w:r w:rsidRPr="0063735A">
        <w:rPr>
          <w:szCs w:val="28"/>
        </w:rPr>
        <w:t>NPS</w:t>
      </w:r>
      <w:r w:rsidRPr="0063735A">
        <w:rPr>
          <w:bCs/>
          <w:szCs w:val="28"/>
        </w:rPr>
        <w:t xml:space="preserve"> elektroenerģijas biržai pievienojās 2012.g</w:t>
      </w:r>
      <w:r w:rsidR="00237B79">
        <w:rPr>
          <w:bCs/>
          <w:szCs w:val="28"/>
        </w:rPr>
        <w:t>ada</w:t>
      </w:r>
      <w:r w:rsidR="00237B79" w:rsidRPr="0063735A">
        <w:rPr>
          <w:bCs/>
          <w:szCs w:val="28"/>
        </w:rPr>
        <w:t xml:space="preserve"> </w:t>
      </w:r>
      <w:r w:rsidRPr="0063735A">
        <w:rPr>
          <w:bCs/>
          <w:szCs w:val="28"/>
        </w:rPr>
        <w:t>jūnijā, bet Igaunija – 2010.g</w:t>
      </w:r>
      <w:r w:rsidR="00237B79">
        <w:rPr>
          <w:bCs/>
          <w:szCs w:val="28"/>
        </w:rPr>
        <w:t>adā</w:t>
      </w:r>
      <w:r w:rsidRPr="0063735A">
        <w:rPr>
          <w:bCs/>
          <w:szCs w:val="28"/>
        </w:rPr>
        <w:t>.</w:t>
      </w:r>
    </w:p>
    <w:p w:rsidR="006403F6" w:rsidRDefault="00547D0D" w:rsidP="00D66988">
      <w:pPr>
        <w:shd w:val="clear" w:color="auto" w:fill="FFFFFF" w:themeFill="background1"/>
        <w:ind w:firstLine="567"/>
        <w:jc w:val="both"/>
        <w:rPr>
          <w:szCs w:val="28"/>
        </w:rPr>
      </w:pPr>
      <w:r w:rsidRPr="0026080B">
        <w:rPr>
          <w:szCs w:val="28"/>
        </w:rPr>
        <w:t xml:space="preserve">Kopš </w:t>
      </w:r>
      <w:r w:rsidR="006E7337">
        <w:rPr>
          <w:szCs w:val="28"/>
        </w:rPr>
        <w:t>NPS</w:t>
      </w:r>
      <w:r w:rsidRPr="0026080B">
        <w:rPr>
          <w:szCs w:val="28"/>
        </w:rPr>
        <w:t xml:space="preserve"> Igaunijas, Latvijas un Lietuvas tirdzniecības apgabalu atvēršanas – īpaši atverot Igaunijas tirdzniecības apgabalu 2010.gadā, parādījās vienota elektroenerģijas tirgus cenas reference Baltijas un Somijas reģionā, kas līdz tam bija: Igaunijas gadījumā - uz Somijas tirdzniecības apgabala referenci un divpusējo pārrobežu tirdzniecības darījumu cenu referencēm balstīta; Latvijas un Lietuvas gadījumā – Latvijas un Igaunijas robežcenas (ELE) un divpusējo pārrobežu tirdzniecības darījumu cenu referencēm balstīta.</w:t>
      </w:r>
    </w:p>
    <w:p w:rsidR="00521980" w:rsidRDefault="00CA2AE4" w:rsidP="00547D0D">
      <w:pPr>
        <w:shd w:val="clear" w:color="auto" w:fill="FFFFFF" w:themeFill="background1"/>
        <w:ind w:firstLine="567"/>
        <w:jc w:val="both"/>
        <w:rPr>
          <w:bCs/>
          <w:szCs w:val="28"/>
        </w:rPr>
      </w:pPr>
      <w:r w:rsidRPr="0063735A">
        <w:rPr>
          <w:bCs/>
          <w:szCs w:val="28"/>
        </w:rPr>
        <w:t xml:space="preserve">Visās trīs Baltijas valstu tirdzniecības apgabalos ieviests gan nākamās dienas tirgus </w:t>
      </w:r>
      <w:proofErr w:type="spellStart"/>
      <w:r w:rsidRPr="0063735A">
        <w:rPr>
          <w:bCs/>
          <w:i/>
          <w:szCs w:val="28"/>
        </w:rPr>
        <w:t>Elspot</w:t>
      </w:r>
      <w:proofErr w:type="spellEnd"/>
      <w:r w:rsidRPr="0063735A">
        <w:rPr>
          <w:bCs/>
          <w:szCs w:val="28"/>
        </w:rPr>
        <w:t xml:space="preserve">, gan tās pašas dienas tirgus </w:t>
      </w:r>
      <w:r w:rsidRPr="0063735A">
        <w:rPr>
          <w:bCs/>
          <w:i/>
          <w:szCs w:val="28"/>
        </w:rPr>
        <w:t>Elbas</w:t>
      </w:r>
      <w:r w:rsidRPr="0063735A">
        <w:rPr>
          <w:bCs/>
          <w:szCs w:val="28"/>
        </w:rPr>
        <w:t xml:space="preserve">. </w:t>
      </w:r>
    </w:p>
    <w:p w:rsidR="00E27270" w:rsidRDefault="00CA2AE4" w:rsidP="00CA2AE4">
      <w:pPr>
        <w:shd w:val="clear" w:color="auto" w:fill="FFFFFF" w:themeFill="background1"/>
        <w:ind w:firstLine="567"/>
        <w:jc w:val="both"/>
      </w:pPr>
      <w:proofErr w:type="spellStart"/>
      <w:r w:rsidRPr="0063735A">
        <w:rPr>
          <w:i/>
        </w:rPr>
        <w:lastRenderedPageBreak/>
        <w:t>Elspot</w:t>
      </w:r>
      <w:proofErr w:type="spellEnd"/>
      <w:r w:rsidRPr="0063735A">
        <w:t xml:space="preserve"> ir elektroenerģijas tirgus, kura pamatā ir izsoles par elektroenerģijas piegādi nākamajā dienā. Šis tirgus visā Baltijas valstīs tika atvērts vienlaikus ar attiecīgo tirdzniecības apgabalu (Igaunijas, Latvijas, Lietuvas) atvēršanu.</w:t>
      </w:r>
      <w:r>
        <w:t xml:space="preserve"> </w:t>
      </w:r>
    </w:p>
    <w:p w:rsidR="00FB4340" w:rsidRDefault="00CA2AE4" w:rsidP="00CA2AE4">
      <w:pPr>
        <w:shd w:val="clear" w:color="auto" w:fill="FFFFFF" w:themeFill="background1"/>
        <w:ind w:firstLine="567"/>
        <w:jc w:val="both"/>
      </w:pPr>
      <w:r w:rsidRPr="0063735A">
        <w:rPr>
          <w:bCs/>
          <w:i/>
          <w:szCs w:val="28"/>
        </w:rPr>
        <w:t>Elbas</w:t>
      </w:r>
      <w:r w:rsidRPr="0063735A">
        <w:rPr>
          <w:bCs/>
          <w:szCs w:val="28"/>
        </w:rPr>
        <w:t xml:space="preserve"> jeb </w:t>
      </w:r>
      <w:r w:rsidRPr="0063735A">
        <w:t xml:space="preserve">starpvalstu tās pašas dienas elektroenerģijas tirgus </w:t>
      </w:r>
      <w:r w:rsidRPr="0063735A">
        <w:rPr>
          <w:bCs/>
          <w:szCs w:val="28"/>
        </w:rPr>
        <w:t xml:space="preserve">Latvijā un Lietuvā tika atvērts 2013.gada 10.decembrī, un tas dod iespēju </w:t>
      </w:r>
      <w:r w:rsidRPr="0063735A">
        <w:t>veikt nākamās dienas elektroenerģijas tirgus (</w:t>
      </w:r>
      <w:proofErr w:type="spellStart"/>
      <w:r w:rsidRPr="0063735A">
        <w:rPr>
          <w:i/>
        </w:rPr>
        <w:t>Elspot</w:t>
      </w:r>
      <w:proofErr w:type="spellEnd"/>
      <w:r w:rsidRPr="0063735A">
        <w:t>) darījumu izmaiņas.</w:t>
      </w:r>
    </w:p>
    <w:p w:rsidR="00CA2AE4" w:rsidRPr="0063735A" w:rsidRDefault="00BB2362" w:rsidP="00CA2AE4">
      <w:pPr>
        <w:shd w:val="clear" w:color="auto" w:fill="FFFFFF" w:themeFill="background1"/>
        <w:ind w:firstLine="567"/>
        <w:jc w:val="both"/>
      </w:pPr>
      <w:r>
        <w:t xml:space="preserve"> </w:t>
      </w:r>
      <w:r w:rsidR="00CA2AE4" w:rsidRPr="0063735A">
        <w:t xml:space="preserve">Galvenais ieguvums no </w:t>
      </w:r>
      <w:r w:rsidR="00CA2AE4" w:rsidRPr="0063735A">
        <w:rPr>
          <w:i/>
        </w:rPr>
        <w:t>Elbas</w:t>
      </w:r>
      <w:r w:rsidR="00CA2AE4" w:rsidRPr="0063735A">
        <w:t xml:space="preserve"> tirgus ir iespēja </w:t>
      </w:r>
      <w:proofErr w:type="spellStart"/>
      <w:r w:rsidR="00CA2AE4" w:rsidRPr="0063735A">
        <w:t>vairumtirgus</w:t>
      </w:r>
      <w:proofErr w:type="spellEnd"/>
      <w:r w:rsidR="00CA2AE4" w:rsidRPr="0063735A">
        <w:t xml:space="preserve"> dalībniekiem precīzāk sabalansēt savu tirdzniecības portfeli pēc tam, kad </w:t>
      </w:r>
      <w:proofErr w:type="spellStart"/>
      <w:r w:rsidR="00CA2AE4" w:rsidRPr="0063735A">
        <w:rPr>
          <w:bCs/>
          <w:i/>
          <w:szCs w:val="28"/>
        </w:rPr>
        <w:t>Elspot</w:t>
      </w:r>
      <w:proofErr w:type="spellEnd"/>
      <w:r w:rsidR="00CA2AE4" w:rsidRPr="0063735A">
        <w:t xml:space="preserve"> tirgus ir slēgts. Savukārt</w:t>
      </w:r>
      <w:r w:rsidR="00FB4340">
        <w:t xml:space="preserve">, </w:t>
      </w:r>
      <w:r w:rsidR="00CA2AE4" w:rsidRPr="0063735A">
        <w:t>PSO ieguvums ir precīzāk sabalansēta ģenerācija ar patēriņu energosistēmā kopumā.</w:t>
      </w:r>
      <w:r>
        <w:t xml:space="preserve"> </w:t>
      </w:r>
      <w:r w:rsidR="00CA2AE4" w:rsidRPr="0063735A">
        <w:rPr>
          <w:i/>
        </w:rPr>
        <w:t>Elbas</w:t>
      </w:r>
      <w:r w:rsidR="00CA2AE4" w:rsidRPr="0063735A">
        <w:t xml:space="preserve"> tiek tirgoti salīdzinoši nelieli elektroenerģijas apjomi. Piemēram, Ziemeļvalstīs </w:t>
      </w:r>
      <w:r w:rsidR="00CA2AE4" w:rsidRPr="0063735A">
        <w:rPr>
          <w:i/>
        </w:rPr>
        <w:t>Elbas</w:t>
      </w:r>
      <w:r w:rsidR="00CA2AE4" w:rsidRPr="0063735A">
        <w:t xml:space="preserve"> tirgū tiek tirgots tikai aptuveni 1% no patērētās elektroenerģijas, bet </w:t>
      </w:r>
      <w:proofErr w:type="spellStart"/>
      <w:r w:rsidR="00CA2AE4" w:rsidRPr="0063735A">
        <w:rPr>
          <w:i/>
        </w:rPr>
        <w:t>Elspot</w:t>
      </w:r>
      <w:proofErr w:type="spellEnd"/>
      <w:r w:rsidR="00CA2AE4" w:rsidRPr="0063735A">
        <w:rPr>
          <w:i/>
        </w:rPr>
        <w:t xml:space="preserve"> </w:t>
      </w:r>
      <w:r w:rsidR="00CA2AE4" w:rsidRPr="0063735A">
        <w:t>tradicionāli nosedz vairāk kā 95% tirgus.</w:t>
      </w:r>
    </w:p>
    <w:p w:rsidR="00E27270" w:rsidRDefault="008D4CFF" w:rsidP="008D2ECD">
      <w:pPr>
        <w:suppressAutoHyphens/>
        <w:ind w:firstLine="709"/>
        <w:jc w:val="both"/>
        <w:rPr>
          <w:szCs w:val="28"/>
        </w:rPr>
      </w:pPr>
      <w:r w:rsidRPr="0026080B">
        <w:rPr>
          <w:szCs w:val="28"/>
        </w:rPr>
        <w:t>Ja Ziemeļvalstu NPS tirdzniecības apgabalos kā references cena tiek izmantota tā dēvētā sistēmas cena (</w:t>
      </w:r>
      <w:proofErr w:type="spellStart"/>
      <w:r w:rsidRPr="0026080B">
        <w:rPr>
          <w:i/>
          <w:szCs w:val="28"/>
        </w:rPr>
        <w:t>system</w:t>
      </w:r>
      <w:proofErr w:type="spellEnd"/>
      <w:r w:rsidRPr="0026080B">
        <w:rPr>
          <w:i/>
          <w:szCs w:val="28"/>
        </w:rPr>
        <w:t xml:space="preserve"> </w:t>
      </w:r>
      <w:proofErr w:type="spellStart"/>
      <w:r w:rsidRPr="0026080B">
        <w:rPr>
          <w:i/>
          <w:szCs w:val="28"/>
        </w:rPr>
        <w:t>price</w:t>
      </w:r>
      <w:proofErr w:type="spellEnd"/>
      <w:r w:rsidRPr="0026080B">
        <w:rPr>
          <w:szCs w:val="28"/>
        </w:rPr>
        <w:t xml:space="preserve">), kas tiek aprēķināta, tikai izmantojot Ziemeļvalstu tirdzniecības apgabalu elektroenerģijas tirdzniecības cenas vidējo svērto vērtību, </w:t>
      </w:r>
      <w:r w:rsidR="00317BA5" w:rsidRPr="0026080B">
        <w:rPr>
          <w:szCs w:val="28"/>
        </w:rPr>
        <w:t xml:space="preserve">tad Baltijas tirdzniecības apgabalos vienota reģionālā references cena netiek </w:t>
      </w:r>
      <w:r w:rsidR="002D443C">
        <w:rPr>
          <w:szCs w:val="28"/>
        </w:rPr>
        <w:t>noteikta</w:t>
      </w:r>
      <w:r w:rsidR="00317BA5" w:rsidRPr="0026080B">
        <w:rPr>
          <w:szCs w:val="28"/>
        </w:rPr>
        <w:t>.</w:t>
      </w:r>
    </w:p>
    <w:p w:rsidR="008D2ECD" w:rsidRPr="0026080B" w:rsidRDefault="00317BA5" w:rsidP="008D2ECD">
      <w:pPr>
        <w:suppressAutoHyphens/>
        <w:ind w:firstLine="709"/>
        <w:jc w:val="both"/>
        <w:rPr>
          <w:szCs w:val="28"/>
        </w:rPr>
      </w:pPr>
      <w:r w:rsidRPr="0026080B">
        <w:rPr>
          <w:szCs w:val="28"/>
        </w:rPr>
        <w:t>Izteiktas cenu atšķirības vērojamas Latvijas – Lietuvas tirdzniecības apgabalos un Igaunijas – Somijas tirdzniecības apgabalos. Cenu atšķirības veidoša</w:t>
      </w:r>
      <w:r w:rsidR="00654AC6" w:rsidRPr="0026080B">
        <w:rPr>
          <w:szCs w:val="28"/>
        </w:rPr>
        <w:t>nās pamatā ir vairāki faktori. K</w:t>
      </w:r>
      <w:r w:rsidRPr="0026080B">
        <w:rPr>
          <w:szCs w:val="28"/>
        </w:rPr>
        <w:t>ā galven</w:t>
      </w:r>
      <w:r w:rsidR="00654AC6" w:rsidRPr="0026080B">
        <w:rPr>
          <w:szCs w:val="28"/>
        </w:rPr>
        <w:t>ie</w:t>
      </w:r>
      <w:r w:rsidR="00237B79">
        <w:rPr>
          <w:szCs w:val="28"/>
        </w:rPr>
        <w:t xml:space="preserve"> no tiem</w:t>
      </w:r>
      <w:r w:rsidRPr="0026080B">
        <w:rPr>
          <w:szCs w:val="28"/>
        </w:rPr>
        <w:t xml:space="preserve"> </w:t>
      </w:r>
      <w:r w:rsidR="00654AC6" w:rsidRPr="0026080B">
        <w:rPr>
          <w:szCs w:val="28"/>
        </w:rPr>
        <w:t>jāmin:</w:t>
      </w:r>
      <w:r w:rsidRPr="0026080B">
        <w:rPr>
          <w:szCs w:val="28"/>
        </w:rPr>
        <w:t xml:space="preserve"> nepietiekama </w:t>
      </w:r>
      <w:r w:rsidR="003347A1" w:rsidRPr="0026080B">
        <w:rPr>
          <w:szCs w:val="28"/>
        </w:rPr>
        <w:t>jaudu</w:t>
      </w:r>
      <w:r w:rsidRPr="0026080B">
        <w:rPr>
          <w:szCs w:val="28"/>
        </w:rPr>
        <w:t xml:space="preserve"> pārvades spēja Igaunijas – Latvijas šķērsgriezumā, un tirgū konkurētspējīgas ģenerācijas nepietiekamība Latvijā un Lietuvā. Latvijas un </w:t>
      </w:r>
      <w:r w:rsidR="00AC29AF" w:rsidRPr="0026080B">
        <w:rPr>
          <w:szCs w:val="28"/>
        </w:rPr>
        <w:t>Lietuvas</w:t>
      </w:r>
      <w:r w:rsidRPr="0026080B">
        <w:rPr>
          <w:szCs w:val="28"/>
        </w:rPr>
        <w:t xml:space="preserve"> kā elektroenerģijas deficīta reģionu cenām ir tendence izlīdzināties, jo pārvades </w:t>
      </w:r>
      <w:r w:rsidR="002D3890" w:rsidRPr="0026080B">
        <w:rPr>
          <w:szCs w:val="28"/>
        </w:rPr>
        <w:t>jauda</w:t>
      </w:r>
      <w:r w:rsidRPr="0026080B">
        <w:rPr>
          <w:szCs w:val="28"/>
        </w:rPr>
        <w:t xml:space="preserve"> starp abām valstīm ir pietiekams.</w:t>
      </w:r>
      <w:r w:rsidR="008D4CFF" w:rsidRPr="0026080B">
        <w:rPr>
          <w:szCs w:val="28"/>
        </w:rPr>
        <w:t xml:space="preserve">  </w:t>
      </w:r>
    </w:p>
    <w:p w:rsidR="001A3551" w:rsidRPr="0026080B" w:rsidRDefault="001A3551" w:rsidP="001A3551">
      <w:pPr>
        <w:suppressAutoHyphens/>
        <w:ind w:firstLine="709"/>
        <w:jc w:val="both"/>
        <w:rPr>
          <w:szCs w:val="28"/>
        </w:rPr>
      </w:pPr>
      <w:r w:rsidRPr="0026080B">
        <w:rPr>
          <w:szCs w:val="28"/>
        </w:rPr>
        <w:t xml:space="preserve">NPS Latvijas cenu apgabala pirmajā darbības gadā visaugstākā vidējā mēneša elektroenerģijas cena fiksēta 2013.gada oktobrī, kad </w:t>
      </w:r>
      <w:r w:rsidR="001B35D2">
        <w:rPr>
          <w:szCs w:val="28"/>
        </w:rPr>
        <w:t>tā</w:t>
      </w:r>
      <w:r w:rsidRPr="0026080B">
        <w:rPr>
          <w:szCs w:val="28"/>
        </w:rPr>
        <w:t xml:space="preserve"> sasniedza 64,</w:t>
      </w:r>
      <w:r w:rsidR="00B0587C">
        <w:rPr>
          <w:szCs w:val="28"/>
        </w:rPr>
        <w:t>18</w:t>
      </w:r>
      <w:r w:rsidR="00B0587C" w:rsidRPr="0026080B">
        <w:rPr>
          <w:szCs w:val="28"/>
        </w:rPr>
        <w:t xml:space="preserve"> </w:t>
      </w:r>
      <w:r w:rsidR="00185B51" w:rsidRPr="0026080B">
        <w:rPr>
          <w:szCs w:val="28"/>
        </w:rPr>
        <w:t>EUR</w:t>
      </w:r>
      <w:r w:rsidRPr="0026080B">
        <w:rPr>
          <w:szCs w:val="28"/>
        </w:rPr>
        <w:t>/MW. Šādu cenas kāpumu izraisīja finansiāli konkurētspējīgu enerģijas ražošanas jaudu trūkums Latvijā un Lietuvā - zems ūdens līmenis hidroelektrostacijās un silto laika apstākļu rezultātā samazinātas iespējas elektroenerģijas ražošanai efektīvā koģenerācijā. Vienlaikus pārvades jaudu ierobežojumi liedza piegādāt ievērojamu apjomu lētākas elektroenerģijas no kaimiņu reģioniem (citām ES valstīm – Igaunijas un Somijas,</w:t>
      </w:r>
      <w:r w:rsidR="00857040" w:rsidRPr="0026080B">
        <w:rPr>
          <w:szCs w:val="28"/>
        </w:rPr>
        <w:t xml:space="preserve"> un</w:t>
      </w:r>
      <w:r w:rsidRPr="0026080B">
        <w:rPr>
          <w:szCs w:val="28"/>
        </w:rPr>
        <w:t xml:space="preserve"> trešajām valstīm - Baltkrievijas un Krievijas).</w:t>
      </w:r>
    </w:p>
    <w:p w:rsidR="001A3551" w:rsidRPr="0026080B" w:rsidRDefault="001A3551" w:rsidP="001A3551">
      <w:pPr>
        <w:suppressAutoHyphens/>
        <w:ind w:firstLine="709"/>
        <w:jc w:val="both"/>
        <w:rPr>
          <w:szCs w:val="28"/>
        </w:rPr>
      </w:pPr>
      <w:r w:rsidRPr="0026080B">
        <w:rPr>
          <w:szCs w:val="28"/>
        </w:rPr>
        <w:t xml:space="preserve">Savukārt, zemākā vidējā elektroenerģijas </w:t>
      </w:r>
      <w:r w:rsidRPr="00B0587C">
        <w:rPr>
          <w:szCs w:val="28"/>
        </w:rPr>
        <w:t xml:space="preserve">cena fiksēta 2013.gada decembrī, kad tā sasniedza </w:t>
      </w:r>
      <w:r w:rsidR="00B0587C" w:rsidRPr="00B0587C">
        <w:rPr>
          <w:szCs w:val="28"/>
        </w:rPr>
        <w:t>37,48</w:t>
      </w:r>
      <w:r w:rsidRPr="00B0587C">
        <w:rPr>
          <w:szCs w:val="28"/>
        </w:rPr>
        <w:t xml:space="preserve"> </w:t>
      </w:r>
      <w:r w:rsidR="00185B51" w:rsidRPr="00B0587C">
        <w:rPr>
          <w:szCs w:val="28"/>
        </w:rPr>
        <w:t>EUR</w:t>
      </w:r>
      <w:r w:rsidRPr="00B0587C">
        <w:rPr>
          <w:szCs w:val="28"/>
        </w:rPr>
        <w:t>/MW. To noteica zemais elektroenerģijas patēriņš siltās ziemas dēļ un lielākas pieejamās pārvades</w:t>
      </w:r>
      <w:r w:rsidRPr="0026080B">
        <w:rPr>
          <w:szCs w:val="28"/>
        </w:rPr>
        <w:t xml:space="preserve"> jaudas, kas ļāva piegādāt vairāk elektroenerģiju no </w:t>
      </w:r>
      <w:r w:rsidR="00E156E3" w:rsidRPr="0026080B">
        <w:rPr>
          <w:szCs w:val="28"/>
        </w:rPr>
        <w:t>Igaunijas un Somijas</w:t>
      </w:r>
      <w:r w:rsidRPr="0026080B">
        <w:rPr>
          <w:szCs w:val="28"/>
        </w:rPr>
        <w:t>.</w:t>
      </w:r>
    </w:p>
    <w:p w:rsidR="0099038B" w:rsidRPr="0026080B" w:rsidRDefault="0099038B" w:rsidP="001A3551">
      <w:pPr>
        <w:suppressAutoHyphens/>
        <w:ind w:firstLine="709"/>
        <w:jc w:val="both"/>
        <w:rPr>
          <w:szCs w:val="28"/>
        </w:rPr>
      </w:pPr>
      <w:r w:rsidRPr="0026080B">
        <w:rPr>
          <w:szCs w:val="28"/>
        </w:rPr>
        <w:t>Laika periodā no 2013.g</w:t>
      </w:r>
      <w:r w:rsidR="00CA65B9">
        <w:rPr>
          <w:szCs w:val="28"/>
        </w:rPr>
        <w:t>ada</w:t>
      </w:r>
      <w:r w:rsidRPr="0026080B">
        <w:rPr>
          <w:szCs w:val="28"/>
        </w:rPr>
        <w:t xml:space="preserve"> jūnija līdz 2014.gada jūnijam, elektroenerģijas cenas Latvijā un Lietuvā ir bijušas atšķirīgas tikai 4 stundas, kas ir mazāk nekā 0,05% no visa gada stundām. Diemžēl situācija Igaunijas</w:t>
      </w:r>
      <w:r w:rsidR="008E1045" w:rsidRPr="0026080B">
        <w:rPr>
          <w:szCs w:val="28"/>
        </w:rPr>
        <w:t xml:space="preserve"> – </w:t>
      </w:r>
      <w:r w:rsidRPr="0026080B">
        <w:rPr>
          <w:szCs w:val="28"/>
        </w:rPr>
        <w:lastRenderedPageBreak/>
        <w:t>Latvijas šķērsgriezumā ir bijusi krasi atšķirīga. No 2013.gada 3.jūnija cenu atšķirība starp šīm valstīm ir fiksēta 4693 stundās, kas ir 54% no visa gada stundām.</w:t>
      </w:r>
    </w:p>
    <w:p w:rsidR="00217FF6" w:rsidRPr="00611196" w:rsidRDefault="00217FF6" w:rsidP="00217FF6">
      <w:pPr>
        <w:pStyle w:val="NormalWeb"/>
        <w:spacing w:before="0" w:beforeAutospacing="0" w:after="0" w:afterAutospacing="0"/>
        <w:ind w:firstLine="709"/>
        <w:jc w:val="both"/>
        <w:rPr>
          <w:sz w:val="28"/>
          <w:szCs w:val="28"/>
        </w:rPr>
      </w:pPr>
      <w:r w:rsidRPr="00611196">
        <w:rPr>
          <w:sz w:val="28"/>
          <w:szCs w:val="28"/>
        </w:rPr>
        <w:t xml:space="preserve">No 2014.gada 26.jūnija, AS </w:t>
      </w:r>
      <w:r w:rsidR="003C0410">
        <w:rPr>
          <w:sz w:val="28"/>
          <w:szCs w:val="28"/>
        </w:rPr>
        <w:t>„</w:t>
      </w:r>
      <w:r w:rsidRPr="00611196">
        <w:rPr>
          <w:sz w:val="28"/>
          <w:szCs w:val="28"/>
        </w:rPr>
        <w:t>Latvenergo</w:t>
      </w:r>
      <w:r w:rsidR="003C0410">
        <w:rPr>
          <w:sz w:val="28"/>
          <w:szCs w:val="28"/>
        </w:rPr>
        <w:t>”</w:t>
      </w:r>
      <w:r w:rsidRPr="00611196">
        <w:rPr>
          <w:sz w:val="28"/>
          <w:szCs w:val="28"/>
        </w:rPr>
        <w:t xml:space="preserve"> visu saražoto elektroenerģiju realizē NPS. To paredz 2014.gada 19.jūnijā noslēgtais līgums starp AS</w:t>
      </w:r>
      <w:r w:rsidR="003C0410">
        <w:rPr>
          <w:sz w:val="28"/>
          <w:szCs w:val="28"/>
        </w:rPr>
        <w:t> „</w:t>
      </w:r>
      <w:r w:rsidRPr="00611196">
        <w:rPr>
          <w:sz w:val="28"/>
          <w:szCs w:val="28"/>
        </w:rPr>
        <w:t>Latvenergo</w:t>
      </w:r>
      <w:r w:rsidR="003C0410">
        <w:rPr>
          <w:sz w:val="28"/>
          <w:szCs w:val="28"/>
        </w:rPr>
        <w:t>”</w:t>
      </w:r>
      <w:r w:rsidRPr="00611196">
        <w:rPr>
          <w:sz w:val="28"/>
          <w:szCs w:val="28"/>
        </w:rPr>
        <w:t xml:space="preserve"> un NPS. Izmaiņas paredz, ka elektroenerģijas biržā Latvijā vairākas reizes palielināsies elektroenerģijas piedāvājums un apgrozījums. </w:t>
      </w:r>
    </w:p>
    <w:p w:rsidR="00217FF6" w:rsidRDefault="00217FF6" w:rsidP="00217FF6">
      <w:pPr>
        <w:pStyle w:val="NormalWeb"/>
        <w:spacing w:before="0" w:beforeAutospacing="0" w:after="0" w:afterAutospacing="0"/>
        <w:ind w:firstLine="567"/>
        <w:jc w:val="both"/>
        <w:rPr>
          <w:sz w:val="28"/>
          <w:szCs w:val="28"/>
        </w:rPr>
      </w:pPr>
      <w:r w:rsidRPr="00611196">
        <w:rPr>
          <w:sz w:val="28"/>
          <w:szCs w:val="28"/>
        </w:rPr>
        <w:t xml:space="preserve">Šāda </w:t>
      </w:r>
      <w:r w:rsidR="00F51852" w:rsidRPr="00611196">
        <w:rPr>
          <w:sz w:val="28"/>
          <w:szCs w:val="28"/>
        </w:rPr>
        <w:t>i</w:t>
      </w:r>
      <w:r w:rsidRPr="00611196">
        <w:rPr>
          <w:sz w:val="28"/>
          <w:szCs w:val="28"/>
        </w:rPr>
        <w:t>zmaiņas kļuva iespējamas līdz ar veiktajiem grozījumiem Ministru kabineta noteikumos</w:t>
      </w:r>
      <w:r w:rsidR="00AF5B84" w:rsidRPr="00611196">
        <w:rPr>
          <w:sz w:val="28"/>
          <w:szCs w:val="28"/>
        </w:rPr>
        <w:t xml:space="preserve"> Nr.382</w:t>
      </w:r>
      <w:r w:rsidRPr="00611196">
        <w:rPr>
          <w:sz w:val="28"/>
          <w:szCs w:val="28"/>
        </w:rPr>
        <w:t xml:space="preserve"> </w:t>
      </w:r>
      <w:r w:rsidR="00E46E65" w:rsidRPr="00611196">
        <w:rPr>
          <w:sz w:val="28"/>
          <w:szCs w:val="28"/>
        </w:rPr>
        <w:t>”E</w:t>
      </w:r>
      <w:r w:rsidRPr="00611196">
        <w:rPr>
          <w:sz w:val="28"/>
          <w:szCs w:val="28"/>
        </w:rPr>
        <w:t>lektroenerģijas nodokļa atbrīvojumu piemērošanas kārtīb</w:t>
      </w:r>
      <w:r w:rsidR="00E46E65" w:rsidRPr="00611196">
        <w:rPr>
          <w:sz w:val="28"/>
          <w:szCs w:val="28"/>
        </w:rPr>
        <w:t>a”</w:t>
      </w:r>
      <w:r w:rsidRPr="00611196">
        <w:rPr>
          <w:sz w:val="28"/>
          <w:szCs w:val="28"/>
        </w:rPr>
        <w:t>, kas ļauj AS "Latvenergo" kā komersantam pārdot videi draudzīgā veidā saražoto elektroenerģiju biržā un nezaudēt elektroenerģijas izcelsmes apliecinājuma vērtību. Tas ir arī nozīmīgs solis elektroenerģijas tirgus pilnveidošanā ne tikai Latvijā, bet visā Baltijā, jo ar grozījumiem tiek sekmēta tirgus caurskatāmība.</w:t>
      </w:r>
      <w:r w:rsidRPr="00217FF6">
        <w:rPr>
          <w:sz w:val="28"/>
          <w:szCs w:val="28"/>
        </w:rPr>
        <w:t xml:space="preserve"> </w:t>
      </w:r>
    </w:p>
    <w:p w:rsidR="000F36A1" w:rsidRPr="00A24C21" w:rsidRDefault="00A24C21" w:rsidP="00217FF6">
      <w:pPr>
        <w:pStyle w:val="NormalWeb"/>
        <w:spacing w:before="0" w:beforeAutospacing="0" w:after="0" w:afterAutospacing="0"/>
        <w:ind w:firstLine="567"/>
        <w:jc w:val="both"/>
        <w:rPr>
          <w:sz w:val="28"/>
          <w:szCs w:val="28"/>
        </w:rPr>
      </w:pPr>
      <w:r>
        <w:rPr>
          <w:sz w:val="28"/>
          <w:szCs w:val="28"/>
        </w:rPr>
        <w:t>Tomēr,</w:t>
      </w:r>
      <w:r w:rsidR="000F36A1" w:rsidRPr="00A24C21">
        <w:rPr>
          <w:sz w:val="28"/>
          <w:szCs w:val="28"/>
        </w:rPr>
        <w:t xml:space="preserve"> saskaņā ar Elektroenerģijas nodokļa likum</w:t>
      </w:r>
      <w:r w:rsidR="00A35316" w:rsidRPr="00A24C21">
        <w:rPr>
          <w:sz w:val="28"/>
          <w:szCs w:val="28"/>
        </w:rPr>
        <w:t>u, par visu elektroenerģiju, kas iegādāta biržā NPS, ir maksājams elektroenerģijas nodoklis. Šā nodokļa apmēru – 1,01 EUR/</w:t>
      </w:r>
      <w:proofErr w:type="spellStart"/>
      <w:r w:rsidR="00A35316" w:rsidRPr="00A24C21">
        <w:rPr>
          <w:sz w:val="28"/>
          <w:szCs w:val="28"/>
        </w:rPr>
        <w:t>MWh</w:t>
      </w:r>
      <w:proofErr w:type="spellEnd"/>
      <w:r>
        <w:rPr>
          <w:sz w:val="28"/>
          <w:szCs w:val="28"/>
        </w:rPr>
        <w:t>,</w:t>
      </w:r>
      <w:r w:rsidR="00A35316" w:rsidRPr="00A24C21">
        <w:rPr>
          <w:sz w:val="28"/>
          <w:szCs w:val="28"/>
        </w:rPr>
        <w:t xml:space="preserve"> paredz Elektroenerģijas nodokļa likuma 105.panta regulējums. </w:t>
      </w:r>
    </w:p>
    <w:p w:rsidR="00CA2AE4" w:rsidRPr="0063735A" w:rsidRDefault="00217FF6" w:rsidP="00CA2AE4">
      <w:pPr>
        <w:shd w:val="clear" w:color="auto" w:fill="FFFFFF" w:themeFill="background1"/>
        <w:ind w:firstLine="567"/>
        <w:jc w:val="both"/>
      </w:pPr>
      <w:r>
        <w:rPr>
          <w:bCs/>
          <w:szCs w:val="28"/>
        </w:rPr>
        <w:t xml:space="preserve">Tāpat </w:t>
      </w:r>
      <w:r w:rsidR="00CA2AE4" w:rsidRPr="0063735A">
        <w:rPr>
          <w:bCs/>
          <w:szCs w:val="28"/>
        </w:rPr>
        <w:t xml:space="preserve">2014.gadā tiks uzsākta arī </w:t>
      </w:r>
      <w:r w:rsidR="00CA2AE4" w:rsidRPr="0063735A">
        <w:rPr>
          <w:bCs/>
          <w:i/>
          <w:szCs w:val="28"/>
        </w:rPr>
        <w:t xml:space="preserve">Nasdaq OMX </w:t>
      </w:r>
      <w:proofErr w:type="spellStart"/>
      <w:r w:rsidR="00CA2AE4" w:rsidRPr="0063735A">
        <w:rPr>
          <w:bCs/>
          <w:i/>
          <w:szCs w:val="28"/>
        </w:rPr>
        <w:t>Commodities</w:t>
      </w:r>
      <w:proofErr w:type="spellEnd"/>
      <w:r w:rsidR="00CA2AE4" w:rsidRPr="0063735A">
        <w:rPr>
          <w:bCs/>
          <w:szCs w:val="28"/>
        </w:rPr>
        <w:t xml:space="preserve"> biržas kontraktu tirdzniecība Latvijā un Lietuvā. </w:t>
      </w:r>
      <w:r w:rsidR="00CA2AE4" w:rsidRPr="0063735A">
        <w:t xml:space="preserve">Ziemeļvalstīs jau desmit gadus darbojas finanšu instrumentu tirgus, ko organizē </w:t>
      </w:r>
      <w:r w:rsidR="00CA2AE4" w:rsidRPr="0063735A">
        <w:rPr>
          <w:i/>
        </w:rPr>
        <w:t xml:space="preserve">Nasdaq OMX </w:t>
      </w:r>
      <w:proofErr w:type="spellStart"/>
      <w:r w:rsidR="00CA2AE4" w:rsidRPr="0063735A">
        <w:rPr>
          <w:i/>
        </w:rPr>
        <w:t>Commodities</w:t>
      </w:r>
      <w:proofErr w:type="spellEnd"/>
      <w:r w:rsidR="00CA2AE4" w:rsidRPr="0063735A">
        <w:t xml:space="preserve"> birža, tomēr Latvijai un Lietuvai, kuras aptuveni sešus no 12 mēnešiem gadā pārvades jaudu ierobežojumi norobežo no Igaunijas un Ziemeļvalstu tirgus, finanšu instrumentu ieviešana varētu dot mazāku efektu, nekā valstīm, kur jaudu pārvades ierobežojumi neeksistē. Līdz Igaunijas </w:t>
      </w:r>
      <w:r w:rsidR="00CA2AE4" w:rsidRPr="0063735A">
        <w:rPr>
          <w:rFonts w:cs="Times New Roman"/>
          <w:szCs w:val="28"/>
        </w:rPr>
        <w:t>–</w:t>
      </w:r>
      <w:r w:rsidR="00CA2AE4" w:rsidRPr="0063735A">
        <w:t xml:space="preserve"> Latvijas trešā </w:t>
      </w:r>
      <w:proofErr w:type="spellStart"/>
      <w:r w:rsidR="00CA2AE4" w:rsidRPr="0063735A">
        <w:t>starpsavienojuma</w:t>
      </w:r>
      <w:proofErr w:type="spellEnd"/>
      <w:r w:rsidR="00CA2AE4" w:rsidRPr="0063735A">
        <w:t xml:space="preserve"> izveidei 2020.gadā </w:t>
      </w:r>
      <w:r w:rsidR="00CA2AE4" w:rsidRPr="0063735A">
        <w:rPr>
          <w:i/>
        </w:rPr>
        <w:t xml:space="preserve">Nasdaq OMX </w:t>
      </w:r>
      <w:proofErr w:type="spellStart"/>
      <w:r w:rsidR="00CA2AE4" w:rsidRPr="0063735A">
        <w:rPr>
          <w:i/>
        </w:rPr>
        <w:t>Commodities</w:t>
      </w:r>
      <w:proofErr w:type="spellEnd"/>
      <w:r w:rsidR="00CA2AE4" w:rsidRPr="0063735A">
        <w:t xml:space="preserve"> finanšu instrumentu tirgū šajās valstīs ir prognozējama ierobežota likviditāte.</w:t>
      </w:r>
    </w:p>
    <w:p w:rsidR="0072332C" w:rsidRPr="00834B2A" w:rsidRDefault="00D37E79" w:rsidP="00DC3D06">
      <w:pPr>
        <w:pStyle w:val="Heading2"/>
        <w:rPr>
          <w:rFonts w:ascii="Times New Roman" w:eastAsia="Times New Roman" w:hAnsi="Times New Roman" w:cs="Times New Roman"/>
          <w:color w:val="auto"/>
          <w:sz w:val="28"/>
          <w:szCs w:val="28"/>
          <w:lang w:eastAsia="lv-LV"/>
        </w:rPr>
      </w:pPr>
      <w:bookmarkStart w:id="18" w:name="_Toc400714661"/>
      <w:r w:rsidRPr="00834B2A">
        <w:rPr>
          <w:rFonts w:ascii="Times New Roman" w:eastAsia="Times New Roman" w:hAnsi="Times New Roman" w:cs="Times New Roman"/>
          <w:color w:val="auto"/>
          <w:sz w:val="28"/>
          <w:szCs w:val="28"/>
          <w:lang w:eastAsia="lv-LV"/>
        </w:rPr>
        <w:t>2.</w:t>
      </w:r>
      <w:r w:rsidR="00005272" w:rsidRPr="00834B2A">
        <w:rPr>
          <w:rFonts w:ascii="Times New Roman" w:eastAsia="Times New Roman" w:hAnsi="Times New Roman" w:cs="Times New Roman"/>
          <w:color w:val="auto"/>
          <w:sz w:val="28"/>
          <w:szCs w:val="28"/>
          <w:lang w:eastAsia="lv-LV"/>
        </w:rPr>
        <w:t xml:space="preserve">4. </w:t>
      </w:r>
      <w:r w:rsidR="00BB2362" w:rsidRPr="00834B2A">
        <w:rPr>
          <w:rFonts w:ascii="Times New Roman" w:eastAsia="Times New Roman" w:hAnsi="Times New Roman" w:cs="Times New Roman"/>
          <w:color w:val="auto"/>
          <w:sz w:val="28"/>
          <w:szCs w:val="28"/>
          <w:lang w:eastAsia="lv-LV"/>
        </w:rPr>
        <w:t>Elektroenerģijas tirdzniecība</w:t>
      </w:r>
      <w:bookmarkEnd w:id="18"/>
    </w:p>
    <w:p w:rsidR="00614BD1" w:rsidRDefault="00614BD1" w:rsidP="00614BD1">
      <w:pPr>
        <w:ind w:firstLine="720"/>
        <w:jc w:val="both"/>
        <w:rPr>
          <w:rFonts w:eastAsia="Times New Roman" w:cs="Times New Roman"/>
          <w:szCs w:val="28"/>
          <w:lang w:eastAsia="lv-LV"/>
        </w:rPr>
      </w:pPr>
      <w:r w:rsidRPr="00614BD1">
        <w:rPr>
          <w:rFonts w:eastAsia="Times New Roman" w:cs="Times New Roman"/>
          <w:szCs w:val="28"/>
          <w:lang w:eastAsia="lv-LV"/>
        </w:rPr>
        <w:t xml:space="preserve">Elektroenerģijas ražošanas un vairumtirdzniecības tirgus ietver gan  elektroenerģijas ražošanu valstī, gan arī tās importu caur starpvalstu savienojumiem ar mērķi elektroenerģiju tālāk realizēt tirgū, un elektroenerģijas vairumtirdzniecību. </w:t>
      </w:r>
    </w:p>
    <w:p w:rsidR="00614BD1" w:rsidRPr="00614BD1" w:rsidRDefault="00614BD1" w:rsidP="00614BD1">
      <w:pPr>
        <w:ind w:firstLine="720"/>
        <w:jc w:val="both"/>
        <w:rPr>
          <w:rFonts w:eastAsia="Times New Roman" w:cs="Times New Roman"/>
          <w:szCs w:val="28"/>
          <w:lang w:eastAsia="lv-LV"/>
        </w:rPr>
      </w:pPr>
      <w:r w:rsidRPr="00614BD1">
        <w:rPr>
          <w:rFonts w:eastAsia="Times New Roman" w:cs="Times New Roman"/>
          <w:szCs w:val="28"/>
          <w:lang w:eastAsia="lv-LV"/>
        </w:rPr>
        <w:t xml:space="preserve">Elektroenerģijas </w:t>
      </w:r>
      <w:r w:rsidR="00D51EB4">
        <w:rPr>
          <w:rFonts w:eastAsia="Times New Roman" w:cs="Times New Roman"/>
          <w:szCs w:val="28"/>
          <w:lang w:eastAsia="lv-LV"/>
        </w:rPr>
        <w:t>m</w:t>
      </w:r>
      <w:r w:rsidRPr="00614BD1">
        <w:rPr>
          <w:rFonts w:eastAsia="Times New Roman" w:cs="Times New Roman"/>
          <w:szCs w:val="28"/>
          <w:lang w:eastAsia="lv-LV"/>
        </w:rPr>
        <w:t xml:space="preserve">azumtirdzniecības tirgus Latvijā šobrīd ir sadalīts divos dažādos segmentos: regulētajā tirgū (mājsaimniecībām) un neregulētajā tirgū (komercsabiedrībām). </w:t>
      </w:r>
    </w:p>
    <w:p w:rsidR="0072332C" w:rsidRPr="00226B66" w:rsidRDefault="0072332C" w:rsidP="0072332C">
      <w:pPr>
        <w:ind w:firstLine="720"/>
        <w:jc w:val="both"/>
        <w:rPr>
          <w:rFonts w:eastAsia="Times New Roman" w:cs="Times New Roman"/>
          <w:szCs w:val="28"/>
          <w:lang w:eastAsia="lv-LV"/>
        </w:rPr>
      </w:pPr>
      <w:r w:rsidRPr="0063735A">
        <w:rPr>
          <w:rFonts w:eastAsia="Times New Roman" w:cs="Times New Roman"/>
          <w:bCs/>
          <w:szCs w:val="28"/>
          <w:lang w:eastAsia="lv-LV"/>
        </w:rPr>
        <w:t>Elektroenerģijas kopējās cena</w:t>
      </w:r>
      <w:r>
        <w:rPr>
          <w:rFonts w:eastAsia="Times New Roman" w:cs="Times New Roman"/>
          <w:bCs/>
          <w:szCs w:val="28"/>
          <w:lang w:eastAsia="lv-LV"/>
        </w:rPr>
        <w:t xml:space="preserve"> veidojas no elektroenerģijas vairumcenas, tīkla pakalpojumiem, obligātā iepirkuma komponentes</w:t>
      </w:r>
      <w:r w:rsidR="00D51EB4">
        <w:rPr>
          <w:rFonts w:eastAsia="Times New Roman" w:cs="Times New Roman"/>
          <w:bCs/>
          <w:szCs w:val="28"/>
          <w:lang w:eastAsia="lv-LV"/>
        </w:rPr>
        <w:t xml:space="preserve"> (turpmāk–OIK)</w:t>
      </w:r>
      <w:r>
        <w:rPr>
          <w:rFonts w:eastAsia="Times New Roman" w:cs="Times New Roman"/>
          <w:bCs/>
          <w:szCs w:val="28"/>
          <w:lang w:eastAsia="lv-LV"/>
        </w:rPr>
        <w:t xml:space="preserve">, uzņēmuma peļņas un pievienotās vērtības nodokļa (turpmāk–PVN).  </w:t>
      </w:r>
    </w:p>
    <w:p w:rsidR="00D51EB4" w:rsidRDefault="006103BB" w:rsidP="00D51EB4">
      <w:pPr>
        <w:ind w:firstLine="720"/>
        <w:jc w:val="both"/>
        <w:rPr>
          <w:rFonts w:eastAsia="Times New Roman" w:cs="Times New Roman"/>
          <w:szCs w:val="28"/>
          <w:lang w:eastAsia="lv-LV"/>
        </w:rPr>
      </w:pPr>
      <w:r>
        <w:rPr>
          <w:szCs w:val="28"/>
        </w:rPr>
        <w:t>2014. gada 1.oktobrī SPRK Elektroenerģijas tirgotāju reģistrā bija reģistrēti 59 elektroenerģijas tirgotāji</w:t>
      </w:r>
      <w:r>
        <w:rPr>
          <w:rFonts w:eastAsia="Times New Roman" w:cs="Times New Roman"/>
          <w:szCs w:val="28"/>
          <w:lang w:eastAsia="lv-LV"/>
        </w:rPr>
        <w:t xml:space="preserve">, ar tiesībām darboties gan </w:t>
      </w:r>
      <w:proofErr w:type="spellStart"/>
      <w:r>
        <w:rPr>
          <w:rFonts w:eastAsia="Times New Roman" w:cs="Times New Roman"/>
          <w:szCs w:val="28"/>
          <w:lang w:eastAsia="lv-LV"/>
        </w:rPr>
        <w:lastRenderedPageBreak/>
        <w:t>vairumtirdniecības</w:t>
      </w:r>
      <w:proofErr w:type="spellEnd"/>
      <w:r>
        <w:rPr>
          <w:rFonts w:eastAsia="Times New Roman" w:cs="Times New Roman"/>
          <w:szCs w:val="28"/>
          <w:lang w:eastAsia="lv-LV"/>
        </w:rPr>
        <w:t>, gan mazumtirdzniecības tirgos.</w:t>
      </w:r>
      <w:r>
        <w:rPr>
          <w:szCs w:val="28"/>
        </w:rPr>
        <w:t xml:space="preserve"> </w:t>
      </w:r>
      <w:r>
        <w:rPr>
          <w:rFonts w:cs="Times New Roman"/>
          <w:bCs/>
          <w:szCs w:val="28"/>
        </w:rPr>
        <w:t>Elektroenerģijas tirgus darbības princips un iesaistītie dalībnieki attēloti 9.attēlā.</w:t>
      </w:r>
      <w:r w:rsidR="00D51EB4">
        <w:rPr>
          <w:rFonts w:eastAsia="Times New Roman" w:cs="Times New Roman"/>
          <w:szCs w:val="28"/>
          <w:lang w:eastAsia="lv-LV"/>
        </w:rPr>
        <w:t xml:space="preserve"> </w:t>
      </w:r>
    </w:p>
    <w:p w:rsidR="00D51EB4" w:rsidRDefault="00D51EB4" w:rsidP="00D51EB4">
      <w:pPr>
        <w:ind w:firstLine="720"/>
        <w:jc w:val="both"/>
        <w:rPr>
          <w:rFonts w:eastAsia="Times New Roman" w:cs="Times New Roman"/>
          <w:szCs w:val="28"/>
          <w:lang w:eastAsia="lv-LV"/>
        </w:rPr>
      </w:pPr>
      <w:r>
        <w:rPr>
          <w:rFonts w:eastAsia="Times New Roman" w:cs="Times New Roman"/>
          <w:szCs w:val="28"/>
          <w:lang w:eastAsia="lv-LV"/>
        </w:rPr>
        <w:t>No tiem, saskaņā ar AS „Sadales tīkls” datiem, tikai vienpadsmit tirgotāji</w:t>
      </w:r>
      <w:r>
        <w:rPr>
          <w:rStyle w:val="FootnoteReference"/>
          <w:rFonts w:eastAsia="Times New Roman" w:cs="Times New Roman"/>
          <w:lang w:eastAsia="lv-LV"/>
        </w:rPr>
        <w:footnoteReference w:id="7"/>
      </w:r>
      <w:r>
        <w:rPr>
          <w:rFonts w:eastAsia="Times New Roman" w:cs="Times New Roman"/>
          <w:szCs w:val="28"/>
          <w:lang w:eastAsia="lv-LV"/>
        </w:rPr>
        <w:t xml:space="preserve"> līdz šim bijuši aktīvi tirgū. Elektroenerģijas tirgotājiem, kas vēlas darboties </w:t>
      </w:r>
      <w:proofErr w:type="spellStart"/>
      <w:r>
        <w:rPr>
          <w:rFonts w:eastAsia="Times New Roman" w:cs="Times New Roman"/>
          <w:szCs w:val="28"/>
          <w:lang w:eastAsia="lv-LV"/>
        </w:rPr>
        <w:t>vairum</w:t>
      </w:r>
      <w:r w:rsidR="00CA65B9">
        <w:rPr>
          <w:rFonts w:eastAsia="Times New Roman" w:cs="Times New Roman"/>
          <w:szCs w:val="28"/>
          <w:lang w:eastAsia="lv-LV"/>
        </w:rPr>
        <w:t>tirdniecības</w:t>
      </w:r>
      <w:proofErr w:type="spellEnd"/>
      <w:r>
        <w:rPr>
          <w:rFonts w:eastAsia="Times New Roman" w:cs="Times New Roman"/>
          <w:szCs w:val="28"/>
          <w:lang w:eastAsia="lv-LV"/>
        </w:rPr>
        <w:t xml:space="preserve">  vai mazumtirdzniecības tirgū, vai arī abos, netiek piemērota atšķirīgas reģistrācijas procedūra, un tikai no pašu tirgotāju vēlmēm ir atkarīga viņu aktivitāšu tirgus segmentu izvēle.</w:t>
      </w:r>
    </w:p>
    <w:p w:rsidR="006103BB" w:rsidRDefault="006103BB" w:rsidP="006103BB">
      <w:pPr>
        <w:suppressAutoHyphens/>
        <w:jc w:val="both"/>
        <w:rPr>
          <w:rFonts w:cs="Times New Roman"/>
          <w:bCs/>
          <w:szCs w:val="28"/>
        </w:rPr>
      </w:pPr>
    </w:p>
    <w:p w:rsidR="006103BB" w:rsidRDefault="006103BB" w:rsidP="006103BB">
      <w:pPr>
        <w:suppressAutoHyphens/>
        <w:jc w:val="both"/>
        <w:rPr>
          <w:szCs w:val="28"/>
        </w:rPr>
      </w:pPr>
      <w:r w:rsidRPr="007F0097">
        <w:rPr>
          <w:rFonts w:cs="Times New Roman"/>
          <w:bCs/>
          <w:noProof/>
          <w:szCs w:val="28"/>
          <w:lang w:eastAsia="lv-LV"/>
        </w:rPr>
        <w:drawing>
          <wp:inline distT="0" distB="0" distL="0" distR="0" wp14:anchorId="0258F565" wp14:editId="29CAD96B">
            <wp:extent cx="5517185" cy="3943350"/>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BEBA8EAE-BF5A-486C-A8C5-ECC9F3942E4B}">
                          <a14:imgProps xmlns:a14="http://schemas.microsoft.com/office/drawing/2010/main">
                            <a14:imgLayer r:embed="rId19">
                              <a14:imgEffect>
                                <a14:sharpenSoften amount="12000"/>
                              </a14:imgEffect>
                              <a14:imgEffect>
                                <a14:brightnessContrast contrast="-22000"/>
                              </a14:imgEffect>
                            </a14:imgLayer>
                          </a14:imgProps>
                        </a:ext>
                        <a:ext uri="{28A0092B-C50C-407E-A947-70E740481C1C}">
                          <a14:useLocalDpi xmlns:a14="http://schemas.microsoft.com/office/drawing/2010/main" val="0"/>
                        </a:ext>
                      </a:extLst>
                    </a:blip>
                    <a:srcRect/>
                    <a:stretch>
                      <a:fillRect/>
                    </a:stretch>
                  </pic:blipFill>
                  <pic:spPr bwMode="auto">
                    <a:xfrm>
                      <a:off x="0" y="0"/>
                      <a:ext cx="5524528" cy="3948598"/>
                    </a:xfrm>
                    <a:prstGeom prst="rect">
                      <a:avLst/>
                    </a:prstGeom>
                    <a:noFill/>
                  </pic:spPr>
                </pic:pic>
              </a:graphicData>
            </a:graphic>
          </wp:inline>
        </w:drawing>
      </w:r>
    </w:p>
    <w:p w:rsidR="006103BB" w:rsidRDefault="006103BB" w:rsidP="006103BB">
      <w:pPr>
        <w:rPr>
          <w:rFonts w:eastAsia="Times New Roman" w:cs="Times New Roman"/>
          <w:szCs w:val="28"/>
          <w:lang w:eastAsia="lv-LV"/>
        </w:rPr>
      </w:pPr>
      <w:r>
        <w:rPr>
          <w:rFonts w:eastAsia="Times New Roman" w:cs="Times New Roman"/>
          <w:b/>
          <w:sz w:val="24"/>
          <w:szCs w:val="24"/>
        </w:rPr>
        <w:t>9</w:t>
      </w:r>
      <w:r w:rsidRPr="00950919">
        <w:rPr>
          <w:rFonts w:eastAsia="Times New Roman" w:cs="Times New Roman"/>
          <w:b/>
          <w:sz w:val="24"/>
          <w:szCs w:val="24"/>
        </w:rPr>
        <w:t xml:space="preserve">.attēls. </w:t>
      </w:r>
      <w:r>
        <w:rPr>
          <w:rFonts w:eastAsia="Times New Roman" w:cs="Times New Roman"/>
          <w:b/>
          <w:sz w:val="24"/>
          <w:szCs w:val="24"/>
        </w:rPr>
        <w:t>Elektroenerģijas tirgus darbības princips un dalībnieki</w:t>
      </w:r>
    </w:p>
    <w:p w:rsidR="00EC0D87" w:rsidRDefault="00EC0D87" w:rsidP="00D51EB4">
      <w:pPr>
        <w:ind w:firstLine="720"/>
        <w:jc w:val="both"/>
        <w:rPr>
          <w:rFonts w:eastAsia="Times New Roman" w:cs="Times New Roman"/>
          <w:szCs w:val="28"/>
          <w:lang w:eastAsia="lv-LV"/>
        </w:rPr>
      </w:pPr>
    </w:p>
    <w:p w:rsidR="00D51EB4" w:rsidRPr="00F36E9F" w:rsidRDefault="00D51EB4" w:rsidP="00D51EB4">
      <w:pPr>
        <w:ind w:firstLine="720"/>
        <w:jc w:val="both"/>
        <w:rPr>
          <w:rFonts w:eastAsia="Times New Roman" w:cs="Times New Roman"/>
          <w:szCs w:val="28"/>
          <w:lang w:eastAsia="lv-LV"/>
        </w:rPr>
      </w:pPr>
      <w:r>
        <w:rPr>
          <w:rFonts w:eastAsia="Times New Roman" w:cs="Times New Roman"/>
          <w:szCs w:val="28"/>
          <w:lang w:eastAsia="lv-LV"/>
        </w:rPr>
        <w:t>B</w:t>
      </w:r>
      <w:r w:rsidRPr="0063735A">
        <w:rPr>
          <w:rFonts w:eastAsia="Times New Roman" w:cs="Times New Roman"/>
          <w:szCs w:val="28"/>
          <w:lang w:eastAsia="lv-LV"/>
        </w:rPr>
        <w:t xml:space="preserve">rīvajā tirgū elektroenerģiju </w:t>
      </w:r>
      <w:r>
        <w:rPr>
          <w:rFonts w:eastAsia="Times New Roman" w:cs="Times New Roman"/>
          <w:szCs w:val="28"/>
          <w:lang w:eastAsia="lv-LV"/>
        </w:rPr>
        <w:t xml:space="preserve">uzņēmumiem un arī mājsaimniecībām elektroenerģiju </w:t>
      </w:r>
      <w:r w:rsidRPr="0063735A">
        <w:rPr>
          <w:rFonts w:eastAsia="Times New Roman" w:cs="Times New Roman"/>
          <w:szCs w:val="28"/>
          <w:lang w:eastAsia="lv-LV"/>
        </w:rPr>
        <w:t>var piedāvāt tirgotāji, kuri ir reģistrējušies un noslēguši sadales sistēmas pakalpojumu līgumus ar sistēmu operatoriem, un elektroenerģijas cenu šajā tirgū nosaka patērētājam un tirgotājam savstarpēji vienojoties.</w:t>
      </w:r>
    </w:p>
    <w:p w:rsidR="00D51EB4" w:rsidRDefault="00D51EB4" w:rsidP="00D51EB4">
      <w:pPr>
        <w:ind w:firstLine="720"/>
        <w:jc w:val="both"/>
      </w:pPr>
      <w:r w:rsidRPr="00614BD1">
        <w:rPr>
          <w:rFonts w:cs="Times New Roman"/>
          <w:color w:val="000000"/>
          <w:szCs w:val="28"/>
        </w:rPr>
        <w:t>Mājsaimniecību lietotājiem (aptuveni 75% no visiem elektroenerģijas lietotājiem Latvijā</w:t>
      </w:r>
      <w:r>
        <w:rPr>
          <w:rFonts w:cs="Times New Roman"/>
          <w:color w:val="000000"/>
          <w:szCs w:val="28"/>
        </w:rPr>
        <w:t xml:space="preserve">; </w:t>
      </w:r>
      <w:r w:rsidRPr="00BB2362">
        <w:rPr>
          <w:rFonts w:cs="Times New Roman"/>
          <w:color w:val="2A2A2A"/>
          <w:szCs w:val="28"/>
        </w:rPr>
        <w:t>847 300</w:t>
      </w:r>
      <w:r>
        <w:t xml:space="preserve"> elektroenerģijas lietotāji</w:t>
      </w:r>
      <w:r w:rsidRPr="00614BD1">
        <w:rPr>
          <w:rFonts w:cs="Times New Roman"/>
          <w:color w:val="000000"/>
          <w:szCs w:val="28"/>
        </w:rPr>
        <w:t xml:space="preserve">) elektroenerģijas tarifs ir noteikts, SPRK apstiprinot AS „Latvenergo” iesniegto tarifu projektu. Elektroenerģijas cena mājsaimniecību segmentā ir fiksēta, līdzīgi kā pārvades un </w:t>
      </w:r>
      <w:r w:rsidRPr="00614BD1">
        <w:rPr>
          <w:rFonts w:cs="Times New Roman"/>
          <w:color w:val="000000"/>
          <w:szCs w:val="28"/>
        </w:rPr>
        <w:lastRenderedPageBreak/>
        <w:t xml:space="preserve">sadales tarifi. </w:t>
      </w:r>
      <w:r>
        <w:t xml:space="preserve">Šobrīd spēkā esošo diferencēto elektroenerģijas tarifu mājsaimniecību lietotājiem SPRK apstiprināja </w:t>
      </w:r>
      <w:r w:rsidRPr="0026080B">
        <w:t>2011.gada 15.februārī</w:t>
      </w:r>
      <w:r>
        <w:t>.</w:t>
      </w:r>
    </w:p>
    <w:p w:rsidR="007C6274" w:rsidRDefault="007C6274" w:rsidP="007C6274">
      <w:pPr>
        <w:ind w:firstLine="720"/>
        <w:jc w:val="both"/>
        <w:rPr>
          <w:rFonts w:eastAsia="Times New Roman" w:cs="Times New Roman"/>
          <w:bCs/>
          <w:szCs w:val="28"/>
          <w:lang w:eastAsia="lv-LV"/>
        </w:rPr>
      </w:pPr>
      <w:r w:rsidRPr="00D454AE">
        <w:rPr>
          <w:rFonts w:eastAsia="Times New Roman" w:cs="Times New Roman"/>
          <w:bCs/>
          <w:szCs w:val="28"/>
          <w:lang w:eastAsia="lv-LV"/>
        </w:rPr>
        <w:t>Saskaņā ar "</w:t>
      </w:r>
      <w:proofErr w:type="spellStart"/>
      <w:r w:rsidRPr="00D454AE">
        <w:rPr>
          <w:rFonts w:eastAsia="Times New Roman" w:cs="Times New Roman"/>
          <w:bCs/>
          <w:szCs w:val="28"/>
          <w:lang w:eastAsia="lv-LV"/>
        </w:rPr>
        <w:t>Eurostat</w:t>
      </w:r>
      <w:proofErr w:type="spellEnd"/>
      <w:r w:rsidRPr="00D454AE">
        <w:rPr>
          <w:rFonts w:eastAsia="Times New Roman" w:cs="Times New Roman"/>
          <w:bCs/>
          <w:szCs w:val="28"/>
          <w:lang w:eastAsia="lv-LV"/>
        </w:rPr>
        <w:t>" datiem, elektroenerģijas cena mājsaimniecībām Latvijā 2013.gada pirmajā pusgadā bija sestā zemākā ES, bet 2013.gada otrajā pusgadā – piektā zemākā starp ES valstīm. Elektroenerģijas cena (ar visiem nodokļiem) mājsaimniecībām (ar gada patēriņu 2500-5000 kWh) 2013.gada pirmajā pusgadā Latvijā bija 137,8 eiro/</w:t>
      </w:r>
      <w:proofErr w:type="spellStart"/>
      <w:r w:rsidRPr="00D454AE">
        <w:rPr>
          <w:rFonts w:eastAsia="Times New Roman" w:cs="Times New Roman"/>
          <w:bCs/>
          <w:szCs w:val="28"/>
          <w:lang w:eastAsia="lv-LV"/>
        </w:rPr>
        <w:t>MWh</w:t>
      </w:r>
      <w:proofErr w:type="spellEnd"/>
      <w:r w:rsidRPr="00D454AE">
        <w:rPr>
          <w:rFonts w:eastAsia="Times New Roman" w:cs="Times New Roman"/>
          <w:bCs/>
          <w:szCs w:val="28"/>
          <w:lang w:eastAsia="lv-LV"/>
        </w:rPr>
        <w:t>, bet otrajā pusgadā – 135,8 eiro/</w:t>
      </w:r>
      <w:proofErr w:type="spellStart"/>
      <w:r w:rsidRPr="00D454AE">
        <w:rPr>
          <w:rFonts w:eastAsia="Times New Roman" w:cs="Times New Roman"/>
          <w:bCs/>
          <w:szCs w:val="28"/>
          <w:lang w:eastAsia="lv-LV"/>
        </w:rPr>
        <w:t>MWh</w:t>
      </w:r>
      <w:proofErr w:type="spellEnd"/>
      <w:r w:rsidRPr="00D454AE">
        <w:rPr>
          <w:rFonts w:eastAsia="Times New Roman" w:cs="Times New Roman"/>
          <w:bCs/>
          <w:szCs w:val="28"/>
          <w:lang w:eastAsia="lv-LV"/>
        </w:rPr>
        <w:t xml:space="preserve">. </w:t>
      </w:r>
      <w:r>
        <w:rPr>
          <w:rFonts w:eastAsia="Times New Roman" w:cs="Times New Roman"/>
          <w:bCs/>
          <w:szCs w:val="28"/>
          <w:lang w:eastAsia="lv-LV"/>
        </w:rPr>
        <w:t xml:space="preserve">Attiecīgi </w:t>
      </w:r>
      <w:r w:rsidRPr="00D454AE">
        <w:rPr>
          <w:rFonts w:eastAsia="Times New Roman" w:cs="Times New Roman"/>
          <w:bCs/>
          <w:szCs w:val="28"/>
          <w:lang w:eastAsia="lv-LV"/>
        </w:rPr>
        <w:t>Igaunijā 2013.gada pirmajā pusgadā – 135,1 eiro/</w:t>
      </w:r>
      <w:proofErr w:type="spellStart"/>
      <w:r w:rsidRPr="00D454AE">
        <w:rPr>
          <w:rFonts w:eastAsia="Times New Roman" w:cs="Times New Roman"/>
          <w:bCs/>
          <w:szCs w:val="28"/>
          <w:lang w:eastAsia="lv-LV"/>
        </w:rPr>
        <w:t>MWh</w:t>
      </w:r>
      <w:proofErr w:type="spellEnd"/>
      <w:r w:rsidRPr="00D454AE">
        <w:rPr>
          <w:rFonts w:eastAsia="Times New Roman" w:cs="Times New Roman"/>
          <w:bCs/>
          <w:szCs w:val="28"/>
          <w:lang w:eastAsia="lv-LV"/>
        </w:rPr>
        <w:t>, bet otrajā pusgadā – 136,7 eiro/</w:t>
      </w:r>
      <w:proofErr w:type="spellStart"/>
      <w:r w:rsidRPr="00D454AE">
        <w:rPr>
          <w:rFonts w:eastAsia="Times New Roman" w:cs="Times New Roman"/>
          <w:bCs/>
          <w:szCs w:val="28"/>
          <w:lang w:eastAsia="lv-LV"/>
        </w:rPr>
        <w:t>MWh</w:t>
      </w:r>
      <w:proofErr w:type="spellEnd"/>
      <w:r>
        <w:rPr>
          <w:rFonts w:eastAsia="Times New Roman" w:cs="Times New Roman"/>
          <w:bCs/>
          <w:szCs w:val="28"/>
          <w:lang w:eastAsia="lv-LV"/>
        </w:rPr>
        <w:t>. S</w:t>
      </w:r>
      <w:r w:rsidRPr="00D454AE">
        <w:rPr>
          <w:rFonts w:eastAsia="Times New Roman" w:cs="Times New Roman"/>
          <w:bCs/>
          <w:szCs w:val="28"/>
          <w:lang w:eastAsia="lv-LV"/>
        </w:rPr>
        <w:t>avukārt, Lietuvā pirmajā pusgadā –137,0 eiro/</w:t>
      </w:r>
      <w:proofErr w:type="spellStart"/>
      <w:r w:rsidRPr="00D454AE">
        <w:rPr>
          <w:rFonts w:eastAsia="Times New Roman" w:cs="Times New Roman"/>
          <w:bCs/>
          <w:szCs w:val="28"/>
          <w:lang w:eastAsia="lv-LV"/>
        </w:rPr>
        <w:t>MWh</w:t>
      </w:r>
      <w:proofErr w:type="spellEnd"/>
      <w:r w:rsidRPr="00D454AE">
        <w:rPr>
          <w:rFonts w:eastAsia="Times New Roman" w:cs="Times New Roman"/>
          <w:bCs/>
          <w:szCs w:val="28"/>
          <w:lang w:eastAsia="lv-LV"/>
        </w:rPr>
        <w:t>, bet otrajā pusgadā – 139,1 eiro/</w:t>
      </w:r>
      <w:proofErr w:type="spellStart"/>
      <w:r w:rsidRPr="00D454AE">
        <w:rPr>
          <w:rFonts w:eastAsia="Times New Roman" w:cs="Times New Roman"/>
          <w:bCs/>
          <w:szCs w:val="28"/>
          <w:lang w:eastAsia="lv-LV"/>
        </w:rPr>
        <w:t>MWh</w:t>
      </w:r>
      <w:proofErr w:type="spellEnd"/>
      <w:r w:rsidRPr="00D454AE">
        <w:rPr>
          <w:rFonts w:eastAsia="Times New Roman" w:cs="Times New Roman"/>
          <w:bCs/>
          <w:szCs w:val="28"/>
          <w:lang w:eastAsia="lv-LV"/>
        </w:rPr>
        <w:t>.</w:t>
      </w:r>
    </w:p>
    <w:p w:rsidR="00EC0D87" w:rsidRDefault="00EC0D87" w:rsidP="007C6274">
      <w:pPr>
        <w:ind w:firstLine="720"/>
        <w:jc w:val="both"/>
        <w:rPr>
          <w:rFonts w:eastAsia="Times New Roman" w:cs="Times New Roman"/>
          <w:bCs/>
          <w:szCs w:val="28"/>
          <w:lang w:eastAsia="lv-LV"/>
        </w:rPr>
      </w:pPr>
    </w:p>
    <w:p w:rsidR="007C6274" w:rsidRDefault="00EC0D87" w:rsidP="00EC0D87">
      <w:pPr>
        <w:jc w:val="center"/>
        <w:rPr>
          <w:rFonts w:eastAsia="Times New Roman" w:cs="Times New Roman"/>
          <w:bCs/>
          <w:szCs w:val="28"/>
          <w:lang w:eastAsia="lv-LV"/>
        </w:rPr>
      </w:pPr>
      <w:r>
        <w:rPr>
          <w:noProof/>
          <w:lang w:eastAsia="lv-LV"/>
        </w:rPr>
        <w:drawing>
          <wp:inline distT="0" distB="0" distL="0" distR="0" wp14:anchorId="76F298E7" wp14:editId="53E0BBE5">
            <wp:extent cx="5274310" cy="2694940"/>
            <wp:effectExtent l="0" t="0" r="2540" b="1016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9D0E9A" w:rsidRPr="001073BE" w:rsidRDefault="009D0E9A" w:rsidP="00EC0D87">
      <w:pPr>
        <w:rPr>
          <w:i/>
          <w:sz w:val="20"/>
          <w:szCs w:val="20"/>
        </w:rPr>
      </w:pPr>
      <w:r w:rsidRPr="001073BE">
        <w:rPr>
          <w:i/>
          <w:sz w:val="20"/>
          <w:szCs w:val="20"/>
        </w:rPr>
        <w:t xml:space="preserve">Avots: </w:t>
      </w:r>
      <w:proofErr w:type="spellStart"/>
      <w:r w:rsidRPr="001073BE">
        <w:rPr>
          <w:i/>
          <w:sz w:val="20"/>
          <w:szCs w:val="20"/>
        </w:rPr>
        <w:t>Eurostat</w:t>
      </w:r>
      <w:proofErr w:type="spellEnd"/>
    </w:p>
    <w:p w:rsidR="009D0E9A" w:rsidRPr="00834B2A" w:rsidRDefault="006103BB" w:rsidP="00834B2A">
      <w:pPr>
        <w:tabs>
          <w:tab w:val="right" w:pos="851"/>
        </w:tabs>
        <w:rPr>
          <w:rFonts w:cs="Times New Roman"/>
          <w:b/>
          <w:bCs/>
          <w:sz w:val="24"/>
          <w:szCs w:val="24"/>
        </w:rPr>
      </w:pPr>
      <w:r>
        <w:rPr>
          <w:b/>
          <w:sz w:val="24"/>
          <w:szCs w:val="24"/>
        </w:rPr>
        <w:t>10</w:t>
      </w:r>
      <w:r w:rsidR="009D0E9A" w:rsidRPr="00834B2A">
        <w:rPr>
          <w:b/>
          <w:sz w:val="24"/>
          <w:szCs w:val="24"/>
        </w:rPr>
        <w:t>.attēls.</w:t>
      </w:r>
      <w:r w:rsidR="009D0E9A" w:rsidRPr="00834B2A">
        <w:rPr>
          <w:b/>
          <w:i/>
          <w:sz w:val="24"/>
          <w:szCs w:val="24"/>
        </w:rPr>
        <w:t xml:space="preserve"> </w:t>
      </w:r>
      <w:r w:rsidR="009D0E9A" w:rsidRPr="00834B2A">
        <w:rPr>
          <w:b/>
          <w:sz w:val="24"/>
          <w:szCs w:val="24"/>
        </w:rPr>
        <w:t xml:space="preserve">Elektroenerģijas cena (ar visiem nodokļiem) </w:t>
      </w:r>
      <w:r w:rsidR="009D0E9A" w:rsidRPr="00834B2A">
        <w:rPr>
          <w:b/>
          <w:sz w:val="24"/>
          <w:szCs w:val="24"/>
          <w:u w:val="single"/>
        </w:rPr>
        <w:t>mājsaimniecībām</w:t>
      </w:r>
      <w:r w:rsidR="009D0E9A" w:rsidRPr="00834B2A">
        <w:rPr>
          <w:b/>
          <w:sz w:val="24"/>
          <w:szCs w:val="24"/>
        </w:rPr>
        <w:t xml:space="preserve">, </w:t>
      </w:r>
      <w:r w:rsidR="009D0E9A" w:rsidRPr="00834B2A">
        <w:rPr>
          <w:rFonts w:cs="Times New Roman"/>
          <w:b/>
          <w:bCs/>
          <w:sz w:val="24"/>
          <w:szCs w:val="24"/>
        </w:rPr>
        <w:t xml:space="preserve">(ar gada patēriņu </w:t>
      </w:r>
      <w:r w:rsidR="009D0E9A" w:rsidRPr="00834B2A">
        <w:rPr>
          <w:b/>
          <w:sz w:val="24"/>
          <w:szCs w:val="24"/>
        </w:rPr>
        <w:t>2500-5000 kWh) 2013.gada 2.pusgadā, eiro/</w:t>
      </w:r>
      <w:proofErr w:type="spellStart"/>
      <w:r w:rsidR="009D0E9A" w:rsidRPr="00834B2A">
        <w:rPr>
          <w:b/>
          <w:sz w:val="24"/>
          <w:szCs w:val="24"/>
        </w:rPr>
        <w:t>MWh</w:t>
      </w:r>
      <w:proofErr w:type="spellEnd"/>
      <w:r w:rsidR="00EC0D87">
        <w:rPr>
          <w:b/>
          <w:sz w:val="24"/>
          <w:szCs w:val="24"/>
        </w:rPr>
        <w:t>.</w:t>
      </w:r>
    </w:p>
    <w:p w:rsidR="009D0E9A" w:rsidRPr="00CC3249" w:rsidRDefault="009D0E9A" w:rsidP="0026080B">
      <w:pPr>
        <w:ind w:firstLine="720"/>
        <w:jc w:val="both"/>
        <w:rPr>
          <w:rFonts w:eastAsia="Times New Roman" w:cs="Times New Roman"/>
          <w:bCs/>
          <w:szCs w:val="28"/>
          <w:lang w:eastAsia="lv-LV"/>
        </w:rPr>
      </w:pPr>
    </w:p>
    <w:p w:rsidR="006C4DEE" w:rsidRPr="00EA7FC5" w:rsidRDefault="006C4DEE" w:rsidP="006C4DEE">
      <w:pPr>
        <w:ind w:firstLine="709"/>
        <w:contextualSpacing/>
        <w:jc w:val="both"/>
        <w:rPr>
          <w:rFonts w:cs="Times New Roman"/>
          <w:color w:val="000000"/>
          <w:szCs w:val="28"/>
        </w:rPr>
      </w:pPr>
      <w:r>
        <w:rPr>
          <w:rFonts w:cs="Times New Roman"/>
          <w:color w:val="000000"/>
          <w:szCs w:val="28"/>
        </w:rPr>
        <w:t>Elektroenerģijas tirgus atvēršana mājsaimniecībām ir politiski jutīgs jautājums, jo arī Latvijā prognozējams kopējās cenas</w:t>
      </w:r>
      <w:r>
        <w:rPr>
          <w:rStyle w:val="FootnoteReference"/>
          <w:rFonts w:cs="Times New Roman"/>
        </w:rPr>
        <w:footnoteReference w:id="8"/>
      </w:r>
      <w:r>
        <w:rPr>
          <w:rFonts w:cs="Times New Roman"/>
          <w:color w:val="000000"/>
          <w:szCs w:val="28"/>
        </w:rPr>
        <w:t xml:space="preserve"> kāpums tieši mājsaimniecības segmentā. Mājsaimniecībām šobrīd ir iespēja nopirkt elektroenerģiju par tarifu, kuru SPRK apstiprināja </w:t>
      </w:r>
      <w:r w:rsidRPr="00CB1B52">
        <w:t>2011.gada 15.februārī.</w:t>
      </w:r>
      <w:r>
        <w:t xml:space="preserve"> Elektroenerģijas lietotāju ar </w:t>
      </w:r>
      <w:proofErr w:type="spellStart"/>
      <w:r>
        <w:t>ievadaizsardzības</w:t>
      </w:r>
      <w:proofErr w:type="spellEnd"/>
      <w:r>
        <w:t xml:space="preserve"> aparāta strāvas lielumu līdz 40 A iekaitot objekta patēriņam no 0-1200 kWh 12 mēnešu periodā no 1.aprīļa līdz nākamā gada 31.martam tiek piemērots Starta tarifs – 0,1164 EUR/kWh</w:t>
      </w:r>
      <w:r w:rsidR="00B13593">
        <w:t xml:space="preserve"> (</w:t>
      </w:r>
      <w:proofErr w:type="spellStart"/>
      <w:r w:rsidR="00B13593">
        <w:t>skat</w:t>
      </w:r>
      <w:proofErr w:type="spellEnd"/>
      <w:r w:rsidR="00B13593">
        <w:t>. 1</w:t>
      </w:r>
      <w:r w:rsidR="006103BB">
        <w:t>1</w:t>
      </w:r>
      <w:r w:rsidR="00B13593">
        <w:t>.attēlu), kurš ietver elektroenerģijas tirdzniecību par cenu 0,0131 EUR par vienu kilovatstundu</w:t>
      </w:r>
      <w:r>
        <w:t xml:space="preserve">. Attiecīgi Pamata tarifs – 0,1515 EUR/kWh tiek piemērots objekta patēriņam sākot no 1201 </w:t>
      </w:r>
      <w:proofErr w:type="spellStart"/>
      <w:r>
        <w:t>kwh</w:t>
      </w:r>
      <w:proofErr w:type="spellEnd"/>
      <w:r>
        <w:t xml:space="preserve"> tajā pašā periodā. </w:t>
      </w:r>
    </w:p>
    <w:p w:rsidR="0096520A" w:rsidRDefault="00EC0D87" w:rsidP="00834B2A">
      <w:pPr>
        <w:tabs>
          <w:tab w:val="right" w:pos="851"/>
        </w:tabs>
        <w:jc w:val="center"/>
        <w:rPr>
          <w:sz w:val="20"/>
          <w:szCs w:val="20"/>
        </w:rPr>
      </w:pPr>
      <w:r w:rsidRPr="00CB1B52">
        <w:rPr>
          <w:noProof/>
          <w:lang w:eastAsia="lv-LV"/>
        </w:rPr>
        <w:lastRenderedPageBreak/>
        <w:drawing>
          <wp:inline distT="0" distB="0" distL="0" distR="0" wp14:anchorId="6D647905" wp14:editId="4283AD27">
            <wp:extent cx="4905375" cy="2762250"/>
            <wp:effectExtent l="0" t="0" r="9525" b="1905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5857B7" w:rsidRPr="00834B2A" w:rsidRDefault="00B13593" w:rsidP="00834B2A">
      <w:pPr>
        <w:tabs>
          <w:tab w:val="right" w:pos="851"/>
        </w:tabs>
        <w:rPr>
          <w:b/>
          <w:sz w:val="24"/>
          <w:szCs w:val="24"/>
        </w:rPr>
      </w:pPr>
      <w:r>
        <w:rPr>
          <w:b/>
          <w:sz w:val="24"/>
          <w:szCs w:val="24"/>
        </w:rPr>
        <w:t>1</w:t>
      </w:r>
      <w:r w:rsidR="006103BB">
        <w:rPr>
          <w:b/>
          <w:sz w:val="24"/>
          <w:szCs w:val="24"/>
        </w:rPr>
        <w:t>1</w:t>
      </w:r>
      <w:r w:rsidR="005857B7" w:rsidRPr="00834B2A">
        <w:rPr>
          <w:b/>
          <w:sz w:val="24"/>
          <w:szCs w:val="24"/>
        </w:rPr>
        <w:t>.attēls. Elektroenerģijas tarifa struktūra mājsaimniecību elektroenerģijas lietotājiem</w:t>
      </w:r>
      <w:r w:rsidR="00EC0D87">
        <w:rPr>
          <w:b/>
          <w:sz w:val="24"/>
          <w:szCs w:val="24"/>
        </w:rPr>
        <w:t>.</w:t>
      </w:r>
    </w:p>
    <w:p w:rsidR="006103BB" w:rsidRDefault="006103BB" w:rsidP="00B8437F">
      <w:pPr>
        <w:ind w:firstLine="720"/>
        <w:jc w:val="both"/>
      </w:pPr>
    </w:p>
    <w:p w:rsidR="00B8437F" w:rsidRDefault="00B8437F" w:rsidP="00B8437F">
      <w:pPr>
        <w:ind w:firstLine="720"/>
        <w:jc w:val="both"/>
      </w:pPr>
      <w:r>
        <w:t xml:space="preserve">Lai palīdzētu tām iedzīvotāju grupām, kam ir apgrūtināti materiālie apstākļi, AS „Latvenergo” jau vairākus gadus īsteno plašu korporatīvās sociālās atbildības kampaņu, piešķirot norēķinu kartes sociāli mazaizsargātajiem iedzīvotājiem. Iepriekš atbalsts jau </w:t>
      </w:r>
      <w:r w:rsidR="00734F25">
        <w:t xml:space="preserve">tika </w:t>
      </w:r>
      <w:r>
        <w:t xml:space="preserve">sniegts trūcīgajiem un maznodrošinātajiem iedzīvotājiem, savukārt </w:t>
      </w:r>
      <w:r w:rsidR="00EC55AD">
        <w:t>2014.</w:t>
      </w:r>
      <w:r>
        <w:t xml:space="preserve">gada mērķa auditorija </w:t>
      </w:r>
      <w:r w:rsidR="00734F25">
        <w:t xml:space="preserve">bija </w:t>
      </w:r>
      <w:r>
        <w:t xml:space="preserve">sociāli mazaizsargātas ģimenes ar bērniem </w:t>
      </w:r>
      <w:r w:rsidR="006C3D3D">
        <w:t>–</w:t>
      </w:r>
      <w:r>
        <w:t xml:space="preserve"> ko</w:t>
      </w:r>
      <w:r w:rsidR="00990A44">
        <w:t>pā 40 000 norēķinu kartes 53,</w:t>
      </w:r>
      <w:r>
        <w:t>70</w:t>
      </w:r>
      <w:r w:rsidR="007553EE">
        <w:t xml:space="preserve"> </w:t>
      </w:r>
      <w:r w:rsidR="00660D76">
        <w:t xml:space="preserve">latu </w:t>
      </w:r>
      <w:r w:rsidR="007553EE">
        <w:t>(</w:t>
      </w:r>
      <w:r w:rsidR="00E1753E">
        <w:t>76,41</w:t>
      </w:r>
      <w:r w:rsidR="00660D76">
        <w:t xml:space="preserve"> eiro</w:t>
      </w:r>
      <w:r w:rsidR="00E1753E">
        <w:t>)</w:t>
      </w:r>
      <w:r>
        <w:t xml:space="preserve"> vērtībā.</w:t>
      </w:r>
    </w:p>
    <w:p w:rsidR="001D523A" w:rsidRDefault="0030422D" w:rsidP="001D523A">
      <w:pPr>
        <w:suppressAutoHyphens/>
        <w:ind w:firstLine="709"/>
        <w:jc w:val="both"/>
        <w:rPr>
          <w:szCs w:val="28"/>
        </w:rPr>
      </w:pPr>
      <w:r>
        <w:rPr>
          <w:szCs w:val="28"/>
        </w:rPr>
        <w:t xml:space="preserve">Lai risinātu jautājumu par atbalstu mājsaimniecībām ar nosacīti mazākiem </w:t>
      </w:r>
      <w:r w:rsidR="00042819">
        <w:rPr>
          <w:szCs w:val="28"/>
        </w:rPr>
        <w:t>ienākumiem</w:t>
      </w:r>
      <w:r w:rsidR="00B8437F" w:rsidRPr="00A12010">
        <w:rPr>
          <w:szCs w:val="28"/>
        </w:rPr>
        <w:t xml:space="preserve"> laika periodam līdz 2016.</w:t>
      </w:r>
      <w:r w:rsidR="00734F25">
        <w:rPr>
          <w:szCs w:val="28"/>
        </w:rPr>
        <w:t>g</w:t>
      </w:r>
      <w:r w:rsidR="00734F25" w:rsidRPr="00A12010">
        <w:rPr>
          <w:szCs w:val="28"/>
        </w:rPr>
        <w:t>adam</w:t>
      </w:r>
      <w:r w:rsidR="00734F25">
        <w:rPr>
          <w:szCs w:val="28"/>
        </w:rPr>
        <w:t>,</w:t>
      </w:r>
      <w:r w:rsidR="00B8437F" w:rsidRPr="00A12010">
        <w:rPr>
          <w:szCs w:val="28"/>
        </w:rPr>
        <w:t xml:space="preserve"> ir paredzēti 14,09 </w:t>
      </w:r>
      <w:proofErr w:type="spellStart"/>
      <w:r w:rsidR="00B8437F" w:rsidRPr="00A12010">
        <w:rPr>
          <w:szCs w:val="28"/>
        </w:rPr>
        <w:t>milj</w:t>
      </w:r>
      <w:proofErr w:type="spellEnd"/>
      <w:r w:rsidR="00B8437F" w:rsidRPr="00A12010">
        <w:rPr>
          <w:szCs w:val="28"/>
        </w:rPr>
        <w:t>. EUR</w:t>
      </w:r>
      <w:r w:rsidR="00734F25">
        <w:rPr>
          <w:szCs w:val="28"/>
        </w:rPr>
        <w:t>.</w:t>
      </w:r>
      <w:r w:rsidR="00B8437F" w:rsidRPr="00A12010">
        <w:rPr>
          <w:szCs w:val="28"/>
        </w:rPr>
        <w:t xml:space="preserve"> </w:t>
      </w:r>
      <w:r w:rsidR="00734F25">
        <w:rPr>
          <w:szCs w:val="28"/>
        </w:rPr>
        <w:t>N</w:t>
      </w:r>
      <w:r w:rsidR="00734F25" w:rsidRPr="00A12010">
        <w:rPr>
          <w:szCs w:val="28"/>
        </w:rPr>
        <w:t xml:space="preserve">o </w:t>
      </w:r>
      <w:r w:rsidR="00734F25">
        <w:rPr>
          <w:szCs w:val="28"/>
        </w:rPr>
        <w:t>tiem</w:t>
      </w:r>
      <w:r w:rsidR="00734F25" w:rsidRPr="00A12010">
        <w:rPr>
          <w:szCs w:val="28"/>
        </w:rPr>
        <w:t xml:space="preserve"> </w:t>
      </w:r>
      <w:r w:rsidR="00B8437F" w:rsidRPr="00A12010">
        <w:rPr>
          <w:szCs w:val="28"/>
        </w:rPr>
        <w:t xml:space="preserve">3,84 </w:t>
      </w:r>
      <w:proofErr w:type="spellStart"/>
      <w:r w:rsidR="00B8437F" w:rsidRPr="00A12010">
        <w:rPr>
          <w:szCs w:val="28"/>
        </w:rPr>
        <w:t>milj</w:t>
      </w:r>
      <w:proofErr w:type="spellEnd"/>
      <w:r w:rsidR="00B8437F" w:rsidRPr="00A12010">
        <w:rPr>
          <w:szCs w:val="28"/>
        </w:rPr>
        <w:t xml:space="preserve">. EUR (summa apstiprināta likumā „Par valsts budžetu 2014.gadam”) </w:t>
      </w:r>
      <w:r w:rsidR="00734F25">
        <w:rPr>
          <w:szCs w:val="28"/>
        </w:rPr>
        <w:t xml:space="preserve"> - </w:t>
      </w:r>
      <w:r w:rsidR="00B8437F" w:rsidRPr="00A12010">
        <w:rPr>
          <w:szCs w:val="28"/>
        </w:rPr>
        <w:t xml:space="preserve">2014.gadam,  5,12 </w:t>
      </w:r>
      <w:proofErr w:type="spellStart"/>
      <w:r w:rsidR="00B8437F" w:rsidRPr="00A12010">
        <w:rPr>
          <w:szCs w:val="28"/>
        </w:rPr>
        <w:t>milj</w:t>
      </w:r>
      <w:proofErr w:type="spellEnd"/>
      <w:r w:rsidR="00B8437F" w:rsidRPr="00A12010">
        <w:rPr>
          <w:szCs w:val="28"/>
        </w:rPr>
        <w:t>. EUR</w:t>
      </w:r>
      <w:r w:rsidR="00734F25">
        <w:rPr>
          <w:szCs w:val="28"/>
        </w:rPr>
        <w:t xml:space="preserve"> - </w:t>
      </w:r>
      <w:r w:rsidR="00B8437F" w:rsidRPr="00A12010">
        <w:rPr>
          <w:szCs w:val="28"/>
        </w:rPr>
        <w:t xml:space="preserve"> 2015.gadam un 5,12 </w:t>
      </w:r>
      <w:proofErr w:type="spellStart"/>
      <w:r w:rsidR="00B8437F" w:rsidRPr="00A12010">
        <w:rPr>
          <w:szCs w:val="28"/>
        </w:rPr>
        <w:t>milj</w:t>
      </w:r>
      <w:proofErr w:type="spellEnd"/>
      <w:r w:rsidR="00B8437F" w:rsidRPr="00A12010">
        <w:rPr>
          <w:szCs w:val="28"/>
        </w:rPr>
        <w:t>. EUR</w:t>
      </w:r>
      <w:r w:rsidR="00734F25">
        <w:rPr>
          <w:szCs w:val="28"/>
        </w:rPr>
        <w:t xml:space="preserve"> - </w:t>
      </w:r>
      <w:r w:rsidR="00B8437F" w:rsidRPr="00A12010">
        <w:rPr>
          <w:szCs w:val="28"/>
        </w:rPr>
        <w:t xml:space="preserve"> 2016.gadam. Nepieciešamības gadījumā šis atbalsts </w:t>
      </w:r>
      <w:r w:rsidR="00734F25">
        <w:rPr>
          <w:szCs w:val="28"/>
        </w:rPr>
        <w:t>var tikt turpināts</w:t>
      </w:r>
      <w:r w:rsidR="00734F25" w:rsidRPr="00A12010">
        <w:rPr>
          <w:szCs w:val="28"/>
        </w:rPr>
        <w:t xml:space="preserve"> </w:t>
      </w:r>
      <w:r w:rsidR="00B8437F" w:rsidRPr="00A12010">
        <w:rPr>
          <w:szCs w:val="28"/>
        </w:rPr>
        <w:t xml:space="preserve">arī pēc 2016.gada. </w:t>
      </w:r>
    </w:p>
    <w:p w:rsidR="00CE47F4" w:rsidRPr="00834B2A" w:rsidRDefault="00D37E79" w:rsidP="00DC3D06">
      <w:pPr>
        <w:pStyle w:val="Heading2"/>
        <w:rPr>
          <w:rFonts w:ascii="Times New Roman" w:hAnsi="Times New Roman" w:cs="Times New Roman"/>
          <w:color w:val="auto"/>
          <w:sz w:val="28"/>
          <w:szCs w:val="28"/>
          <w:lang w:eastAsia="lv-LV"/>
        </w:rPr>
      </w:pPr>
      <w:bookmarkStart w:id="19" w:name="_Toc400714662"/>
      <w:r w:rsidRPr="00834B2A">
        <w:rPr>
          <w:rFonts w:ascii="Times New Roman" w:hAnsi="Times New Roman" w:cs="Times New Roman"/>
          <w:color w:val="auto"/>
          <w:sz w:val="28"/>
          <w:szCs w:val="28"/>
          <w:lang w:eastAsia="lv-LV"/>
        </w:rPr>
        <w:t>2.</w:t>
      </w:r>
      <w:r w:rsidR="00005272" w:rsidRPr="00834B2A">
        <w:rPr>
          <w:rFonts w:ascii="Times New Roman" w:hAnsi="Times New Roman" w:cs="Times New Roman"/>
          <w:color w:val="auto"/>
          <w:sz w:val="28"/>
          <w:szCs w:val="28"/>
          <w:lang w:eastAsia="lv-LV"/>
        </w:rPr>
        <w:t xml:space="preserve">5. </w:t>
      </w:r>
      <w:r w:rsidR="00CE47F4" w:rsidRPr="00834B2A">
        <w:rPr>
          <w:rFonts w:ascii="Times New Roman" w:hAnsi="Times New Roman" w:cs="Times New Roman"/>
          <w:color w:val="auto"/>
          <w:sz w:val="28"/>
          <w:szCs w:val="28"/>
          <w:lang w:eastAsia="lv-LV"/>
        </w:rPr>
        <w:t>Elektroenerģijas patēriņš</w:t>
      </w:r>
      <w:bookmarkEnd w:id="19"/>
      <w:r w:rsidR="00CE47F4" w:rsidRPr="00834B2A">
        <w:rPr>
          <w:rFonts w:ascii="Times New Roman" w:hAnsi="Times New Roman" w:cs="Times New Roman"/>
          <w:color w:val="auto"/>
          <w:sz w:val="28"/>
          <w:szCs w:val="28"/>
          <w:lang w:eastAsia="lv-LV"/>
        </w:rPr>
        <w:t xml:space="preserve"> </w:t>
      </w:r>
    </w:p>
    <w:p w:rsidR="0058122D" w:rsidRDefault="00CD3B14" w:rsidP="00C96DF9">
      <w:pPr>
        <w:ind w:firstLine="720"/>
        <w:jc w:val="both"/>
        <w:rPr>
          <w:szCs w:val="28"/>
        </w:rPr>
      </w:pPr>
      <w:r w:rsidRPr="0063735A">
        <w:rPr>
          <w:rFonts w:cs="Times New Roman"/>
          <w:szCs w:val="28"/>
        </w:rPr>
        <w:t xml:space="preserve">Latvijas bruto elektroenerģijas patēriņš 2012.gadā bija 7859 </w:t>
      </w:r>
      <w:proofErr w:type="spellStart"/>
      <w:r w:rsidRPr="0063735A">
        <w:rPr>
          <w:rFonts w:cs="Times New Roman"/>
          <w:szCs w:val="28"/>
        </w:rPr>
        <w:t>GWh</w:t>
      </w:r>
      <w:proofErr w:type="spellEnd"/>
      <w:r w:rsidRPr="0063735A">
        <w:rPr>
          <w:rFonts w:cs="Times New Roman"/>
          <w:szCs w:val="28"/>
        </w:rPr>
        <w:t>, kas ir par 7,1% vairāk, nekā iepriekšējā gadā.</w:t>
      </w:r>
      <w:r w:rsidRPr="00CD3B14">
        <w:rPr>
          <w:szCs w:val="28"/>
        </w:rPr>
        <w:t xml:space="preserve"> </w:t>
      </w:r>
      <w:r>
        <w:rPr>
          <w:szCs w:val="28"/>
        </w:rPr>
        <w:t>E</w:t>
      </w:r>
      <w:r w:rsidRPr="0063735A">
        <w:rPr>
          <w:szCs w:val="28"/>
        </w:rPr>
        <w:t>lektroenerģijas patēriņa struktūr</w:t>
      </w:r>
      <w:r>
        <w:rPr>
          <w:szCs w:val="28"/>
        </w:rPr>
        <w:t xml:space="preserve">ā izceļami trīs </w:t>
      </w:r>
      <w:r w:rsidRPr="0063735A">
        <w:rPr>
          <w:szCs w:val="28"/>
        </w:rPr>
        <w:t>dominējošie patēriņa sektori</w:t>
      </w:r>
      <w:r>
        <w:rPr>
          <w:szCs w:val="28"/>
        </w:rPr>
        <w:t xml:space="preserve"> </w:t>
      </w:r>
      <w:r w:rsidR="008E52EB">
        <w:rPr>
          <w:rFonts w:cs="Times New Roman"/>
          <w:szCs w:val="28"/>
        </w:rPr>
        <w:t>˗</w:t>
      </w:r>
      <w:r w:rsidR="00B308C5">
        <w:rPr>
          <w:szCs w:val="28"/>
        </w:rPr>
        <w:t xml:space="preserve"> komerciālie un sabiedriskie pakalpojumi</w:t>
      </w:r>
      <w:r>
        <w:rPr>
          <w:szCs w:val="28"/>
        </w:rPr>
        <w:t xml:space="preserve"> (35,7%),</w:t>
      </w:r>
      <w:r w:rsidRPr="0015290D">
        <w:rPr>
          <w:szCs w:val="28"/>
        </w:rPr>
        <w:t xml:space="preserve"> </w:t>
      </w:r>
      <w:r w:rsidR="00B308C5">
        <w:rPr>
          <w:szCs w:val="28"/>
        </w:rPr>
        <w:t xml:space="preserve">rūpniecība un būvniecība </w:t>
      </w:r>
      <w:r w:rsidRPr="0015290D">
        <w:rPr>
          <w:szCs w:val="28"/>
        </w:rPr>
        <w:t>(25,4%) un mājsaimniecību sektors (22,6%) (</w:t>
      </w:r>
      <w:proofErr w:type="spellStart"/>
      <w:r w:rsidRPr="0015290D">
        <w:rPr>
          <w:szCs w:val="28"/>
        </w:rPr>
        <w:t>skat</w:t>
      </w:r>
      <w:proofErr w:type="spellEnd"/>
      <w:r w:rsidR="00AD29D9">
        <w:rPr>
          <w:szCs w:val="28"/>
        </w:rPr>
        <w:t>.</w:t>
      </w:r>
      <w:r w:rsidRPr="0015290D">
        <w:rPr>
          <w:szCs w:val="28"/>
        </w:rPr>
        <w:t xml:space="preserve"> </w:t>
      </w:r>
      <w:r w:rsidR="00BA3FA3">
        <w:rPr>
          <w:szCs w:val="28"/>
        </w:rPr>
        <w:t>1</w:t>
      </w:r>
      <w:r w:rsidR="006103BB">
        <w:rPr>
          <w:szCs w:val="28"/>
        </w:rPr>
        <w:t>2</w:t>
      </w:r>
      <w:r w:rsidRPr="0015290D">
        <w:rPr>
          <w:szCs w:val="28"/>
        </w:rPr>
        <w:t>.attēlu).</w:t>
      </w:r>
      <w:r w:rsidRPr="0063735A">
        <w:rPr>
          <w:szCs w:val="28"/>
        </w:rPr>
        <w:t xml:space="preserve"> </w:t>
      </w:r>
      <w:r w:rsidR="0058122D">
        <w:rPr>
          <w:szCs w:val="28"/>
        </w:rPr>
        <w:t>M</w:t>
      </w:r>
      <w:r w:rsidR="0058122D" w:rsidRPr="0063735A">
        <w:rPr>
          <w:szCs w:val="28"/>
        </w:rPr>
        <w:t>azāks</w:t>
      </w:r>
      <w:r w:rsidR="00C96DF9">
        <w:rPr>
          <w:szCs w:val="28"/>
        </w:rPr>
        <w:t xml:space="preserve"> elektroenerģijas patēriņš </w:t>
      </w:r>
      <w:r w:rsidR="0058122D" w:rsidRPr="0063735A">
        <w:rPr>
          <w:szCs w:val="28"/>
        </w:rPr>
        <w:t>ir transporta un lauksaimniecības, mežsaimniecības, medniecības un z</w:t>
      </w:r>
      <w:r w:rsidR="00C96DF9">
        <w:rPr>
          <w:szCs w:val="28"/>
        </w:rPr>
        <w:t>ivsaimniecības</w:t>
      </w:r>
      <w:r w:rsidR="0058122D" w:rsidRPr="0063735A">
        <w:rPr>
          <w:szCs w:val="28"/>
        </w:rPr>
        <w:t xml:space="preserve"> sektor</w:t>
      </w:r>
      <w:r w:rsidR="00C96DF9">
        <w:rPr>
          <w:szCs w:val="28"/>
        </w:rPr>
        <w:t>os</w:t>
      </w:r>
      <w:r w:rsidR="0058122D" w:rsidRPr="0063735A">
        <w:rPr>
          <w:szCs w:val="28"/>
        </w:rPr>
        <w:t>.</w:t>
      </w:r>
    </w:p>
    <w:p w:rsidR="00CE47F4" w:rsidRPr="0063735A" w:rsidRDefault="00A451C6" w:rsidP="00DE5C88">
      <w:pPr>
        <w:jc w:val="center"/>
        <w:rPr>
          <w:rFonts w:eastAsia="Times New Roman" w:cs="Times New Roman"/>
          <w:b/>
          <w:szCs w:val="28"/>
        </w:rPr>
      </w:pPr>
      <w:r w:rsidRPr="005945B4">
        <w:rPr>
          <w:rFonts w:eastAsia="Times New Roman" w:cs="Times New Roman"/>
          <w:noProof/>
          <w:sz w:val="24"/>
          <w:szCs w:val="24"/>
          <w:lang w:eastAsia="lv-LV"/>
        </w:rPr>
        <w:lastRenderedPageBreak/>
        <w:drawing>
          <wp:inline distT="0" distB="0" distL="0" distR="0" wp14:anchorId="6C3F51A1" wp14:editId="542B7A35">
            <wp:extent cx="4133850" cy="3038463"/>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em.gov.lv/images/modules/items/Elektroen_pat_strukt_2012.jpg"/>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4140052" cy="3043022"/>
                    </a:xfrm>
                    <a:prstGeom prst="rect">
                      <a:avLst/>
                    </a:prstGeom>
                    <a:noFill/>
                    <a:ln>
                      <a:noFill/>
                    </a:ln>
                  </pic:spPr>
                </pic:pic>
              </a:graphicData>
            </a:graphic>
          </wp:inline>
        </w:drawing>
      </w:r>
    </w:p>
    <w:p w:rsidR="00CE47F4" w:rsidRPr="00F945BE" w:rsidRDefault="00BA3FA3" w:rsidP="00F945BE">
      <w:pPr>
        <w:rPr>
          <w:rFonts w:eastAsia="Times New Roman" w:cs="Times New Roman"/>
          <w:b/>
          <w:sz w:val="24"/>
          <w:szCs w:val="24"/>
        </w:rPr>
      </w:pPr>
      <w:r w:rsidRPr="00F945BE">
        <w:rPr>
          <w:rFonts w:eastAsia="Times New Roman" w:cs="Times New Roman"/>
          <w:b/>
          <w:sz w:val="24"/>
          <w:szCs w:val="24"/>
        </w:rPr>
        <w:t>1</w:t>
      </w:r>
      <w:r w:rsidR="006103BB">
        <w:rPr>
          <w:rFonts w:eastAsia="Times New Roman" w:cs="Times New Roman"/>
          <w:b/>
          <w:sz w:val="24"/>
          <w:szCs w:val="24"/>
        </w:rPr>
        <w:t>2</w:t>
      </w:r>
      <w:r w:rsidR="00116FF5" w:rsidRPr="00F945BE">
        <w:rPr>
          <w:rFonts w:eastAsia="Times New Roman" w:cs="Times New Roman"/>
          <w:b/>
          <w:sz w:val="24"/>
          <w:szCs w:val="24"/>
        </w:rPr>
        <w:t>.</w:t>
      </w:r>
      <w:r w:rsidR="00CE47F4" w:rsidRPr="00F945BE">
        <w:rPr>
          <w:rFonts w:eastAsia="Times New Roman" w:cs="Times New Roman"/>
          <w:b/>
          <w:sz w:val="24"/>
          <w:szCs w:val="24"/>
        </w:rPr>
        <w:t>attēls. Elektroenerģijas patēriņa struktūra Latvijā 2012.gadā</w:t>
      </w:r>
      <w:r w:rsidR="00FE039F" w:rsidRPr="00F945BE">
        <w:rPr>
          <w:rFonts w:eastAsia="Times New Roman" w:cs="Times New Roman"/>
          <w:b/>
          <w:sz w:val="24"/>
          <w:szCs w:val="24"/>
        </w:rPr>
        <w:t xml:space="preserve"> </w:t>
      </w:r>
      <w:proofErr w:type="spellStart"/>
      <w:r w:rsidR="00CE47F4" w:rsidRPr="00F945BE">
        <w:rPr>
          <w:rFonts w:eastAsia="Times New Roman" w:cs="Times New Roman"/>
          <w:b/>
          <w:sz w:val="24"/>
          <w:szCs w:val="24"/>
        </w:rPr>
        <w:t>GWh</w:t>
      </w:r>
      <w:proofErr w:type="spellEnd"/>
      <w:r w:rsidR="00CE47F4" w:rsidRPr="00F945BE">
        <w:rPr>
          <w:rFonts w:eastAsia="Times New Roman" w:cs="Times New Roman"/>
          <w:b/>
          <w:sz w:val="24"/>
          <w:szCs w:val="24"/>
        </w:rPr>
        <w:t>, PJ, %</w:t>
      </w:r>
      <w:r w:rsidR="0080306F">
        <w:rPr>
          <w:rFonts w:eastAsia="Times New Roman" w:cs="Times New Roman"/>
          <w:b/>
          <w:sz w:val="24"/>
          <w:szCs w:val="24"/>
        </w:rPr>
        <w:t>.</w:t>
      </w:r>
    </w:p>
    <w:p w:rsidR="006103BB" w:rsidRDefault="006103BB" w:rsidP="0058122D">
      <w:pPr>
        <w:ind w:firstLine="720"/>
        <w:jc w:val="both"/>
      </w:pPr>
    </w:p>
    <w:p w:rsidR="0080306F" w:rsidRDefault="0058122D" w:rsidP="0058122D">
      <w:pPr>
        <w:ind w:firstLine="720"/>
        <w:jc w:val="both"/>
      </w:pPr>
      <w:r w:rsidRPr="00633715">
        <w:t>Elektroenerģijas galapatēriņa dinamika Latvijā laika posmā no 2003.līdz 2012.gadam</w:t>
      </w:r>
      <w:r w:rsidR="006B13B5">
        <w:t xml:space="preserve"> (</w:t>
      </w:r>
      <w:proofErr w:type="spellStart"/>
      <w:r w:rsidR="006B13B5">
        <w:t>sk</w:t>
      </w:r>
      <w:r w:rsidR="00AD29D9">
        <w:t>at</w:t>
      </w:r>
      <w:proofErr w:type="spellEnd"/>
      <w:r w:rsidR="006B13B5">
        <w:t>. 1.tabulu)</w:t>
      </w:r>
      <w:r w:rsidRPr="00633715">
        <w:t xml:space="preserve"> rāda, ka tikai komerciālo un sabiedrisko pakalpojumu sektoram bij</w:t>
      </w:r>
      <w:r>
        <w:t>a</w:t>
      </w:r>
      <w:r w:rsidRPr="00633715">
        <w:t xml:space="preserve"> raksturīga pieaugoša tendence visā minētajā periodā</w:t>
      </w:r>
      <w:r>
        <w:t xml:space="preserve">. </w:t>
      </w:r>
      <w:r w:rsidRPr="00633715">
        <w:t>Savukārt, citos sektoros dinamika bijusi mainīgāka. Tā rūpniecībā un būvniecībā elektroenerģijas galapatēriņš līdz 2007.gadam bijis izteikti pieaugošs no 1605</w:t>
      </w:r>
      <w:r w:rsidR="007875D9">
        <w:t> </w:t>
      </w:r>
      <w:proofErr w:type="spellStart"/>
      <w:r w:rsidRPr="00633715">
        <w:t>GWh</w:t>
      </w:r>
      <w:proofErr w:type="spellEnd"/>
      <w:r w:rsidRPr="00633715">
        <w:t xml:space="preserve"> 2004.gadā līdz 1816</w:t>
      </w:r>
      <w:r w:rsidR="007875D9">
        <w:t> </w:t>
      </w:r>
      <w:proofErr w:type="spellStart"/>
      <w:r w:rsidRPr="00633715">
        <w:t>GWh</w:t>
      </w:r>
      <w:proofErr w:type="spellEnd"/>
      <w:r w:rsidRPr="00633715">
        <w:t xml:space="preserve"> 2007.gadā, savukārt, 2008.–2010.gadā elektroenerģijas patēriņš šajā sektorā krities, zemāko atzīmi – 1506</w:t>
      </w:r>
      <w:r w:rsidR="007875D9">
        <w:t> </w:t>
      </w:r>
      <w:proofErr w:type="spellStart"/>
      <w:r w:rsidRPr="00633715">
        <w:t>GWh</w:t>
      </w:r>
      <w:proofErr w:type="spellEnd"/>
      <w:r w:rsidRPr="00633715">
        <w:t>, sasniedzot 2009.gadā. Kopš 2011.gada šajā sektorā atkal vērojama pozitīva dinamika</w:t>
      </w:r>
      <w:r w:rsidR="00AD29D9">
        <w:t xml:space="preserve"> un</w:t>
      </w:r>
      <w:r w:rsidR="00AD29D9" w:rsidRPr="00633715">
        <w:t xml:space="preserve"> </w:t>
      </w:r>
      <w:r w:rsidRPr="00633715">
        <w:t>2012.gadā sasniedzot perioda patēriņa maksimumu  – 1993</w:t>
      </w:r>
      <w:r w:rsidR="007875D9">
        <w:t> </w:t>
      </w:r>
      <w:proofErr w:type="spellStart"/>
      <w:r w:rsidRPr="00633715">
        <w:t>GWh</w:t>
      </w:r>
      <w:proofErr w:type="spellEnd"/>
      <w:r w:rsidRPr="00633715">
        <w:t>.</w:t>
      </w:r>
    </w:p>
    <w:p w:rsidR="0058122D" w:rsidRDefault="0058122D" w:rsidP="0058122D">
      <w:pPr>
        <w:ind w:firstLine="720"/>
        <w:jc w:val="both"/>
      </w:pPr>
      <w:r w:rsidRPr="00633715">
        <w:t xml:space="preserve"> </w:t>
      </w:r>
    </w:p>
    <w:p w:rsidR="00603022" w:rsidRPr="00834B2A" w:rsidRDefault="00603022" w:rsidP="00834B2A">
      <w:pPr>
        <w:jc w:val="right"/>
        <w:rPr>
          <w:szCs w:val="28"/>
        </w:rPr>
      </w:pPr>
      <w:r w:rsidRPr="00834B2A">
        <w:rPr>
          <w:szCs w:val="28"/>
        </w:rPr>
        <w:t xml:space="preserve">1.tabula. </w:t>
      </w:r>
    </w:p>
    <w:p w:rsidR="00603022" w:rsidRDefault="00603022" w:rsidP="00834B2A">
      <w:pPr>
        <w:jc w:val="center"/>
        <w:rPr>
          <w:b/>
          <w:szCs w:val="28"/>
        </w:rPr>
      </w:pPr>
      <w:r w:rsidRPr="00407D04">
        <w:rPr>
          <w:b/>
          <w:szCs w:val="28"/>
        </w:rPr>
        <w:t xml:space="preserve">Elektroenerģijas galapatēriņš Latvijā </w:t>
      </w:r>
      <w:r w:rsidR="00A13667" w:rsidRPr="00407D04">
        <w:rPr>
          <w:b/>
          <w:szCs w:val="28"/>
        </w:rPr>
        <w:t xml:space="preserve"> </w:t>
      </w:r>
      <w:r w:rsidRPr="00407D04">
        <w:rPr>
          <w:b/>
          <w:szCs w:val="28"/>
        </w:rPr>
        <w:t>(2003.- 2012.g.,</w:t>
      </w:r>
      <w:r w:rsidR="007875D9">
        <w:rPr>
          <w:b/>
          <w:szCs w:val="28"/>
        </w:rPr>
        <w:t xml:space="preserve"> </w:t>
      </w:r>
      <w:proofErr w:type="spellStart"/>
      <w:r w:rsidRPr="00407D04">
        <w:rPr>
          <w:b/>
          <w:szCs w:val="28"/>
        </w:rPr>
        <w:t>GWh</w:t>
      </w:r>
      <w:proofErr w:type="spellEnd"/>
      <w:r w:rsidRPr="00407D04">
        <w:rPr>
          <w:b/>
          <w:szCs w:val="28"/>
        </w:rPr>
        <w:t>)</w:t>
      </w:r>
      <w:r w:rsidR="00BF494C">
        <w:rPr>
          <w:rStyle w:val="FootnoteReference"/>
          <w:b/>
        </w:rPr>
        <w:footnoteReference w:id="9"/>
      </w:r>
    </w:p>
    <w:p w:rsidR="00603022" w:rsidRDefault="00603022" w:rsidP="00BA3FA3">
      <w:pPr>
        <w:jc w:val="center"/>
        <w:rPr>
          <w:sz w:val="20"/>
          <w:szCs w:val="20"/>
        </w:rPr>
      </w:pPr>
    </w:p>
    <w:tbl>
      <w:tblPr>
        <w:tblStyle w:val="TableGrid"/>
        <w:tblW w:w="0" w:type="auto"/>
        <w:tblLook w:val="04A0" w:firstRow="1" w:lastRow="0" w:firstColumn="1" w:lastColumn="0" w:noHBand="0" w:noVBand="1"/>
      </w:tblPr>
      <w:tblGrid>
        <w:gridCol w:w="2727"/>
        <w:gridCol w:w="656"/>
        <w:gridCol w:w="656"/>
        <w:gridCol w:w="656"/>
        <w:gridCol w:w="656"/>
        <w:gridCol w:w="656"/>
        <w:gridCol w:w="656"/>
        <w:gridCol w:w="656"/>
        <w:gridCol w:w="656"/>
        <w:gridCol w:w="656"/>
        <w:gridCol w:w="656"/>
      </w:tblGrid>
      <w:tr w:rsidR="003149EF" w:rsidRPr="00707ECC" w:rsidTr="00707ECC">
        <w:tc>
          <w:tcPr>
            <w:tcW w:w="0" w:type="auto"/>
            <w:vMerge w:val="restart"/>
          </w:tcPr>
          <w:p w:rsidR="003149EF" w:rsidRPr="00707ECC" w:rsidRDefault="003149EF" w:rsidP="00603022">
            <w:pPr>
              <w:jc w:val="both"/>
              <w:rPr>
                <w:sz w:val="22"/>
              </w:rPr>
            </w:pPr>
          </w:p>
        </w:tc>
        <w:tc>
          <w:tcPr>
            <w:tcW w:w="0" w:type="auto"/>
          </w:tcPr>
          <w:p w:rsidR="003149EF" w:rsidRPr="00707ECC" w:rsidRDefault="003149EF" w:rsidP="00BE1A74">
            <w:pPr>
              <w:jc w:val="center"/>
              <w:rPr>
                <w:b/>
                <w:sz w:val="22"/>
              </w:rPr>
            </w:pPr>
            <w:r w:rsidRPr="00707ECC">
              <w:rPr>
                <w:b/>
                <w:sz w:val="22"/>
              </w:rPr>
              <w:t>2003</w:t>
            </w:r>
          </w:p>
        </w:tc>
        <w:tc>
          <w:tcPr>
            <w:tcW w:w="0" w:type="auto"/>
          </w:tcPr>
          <w:p w:rsidR="003149EF" w:rsidRPr="00707ECC" w:rsidRDefault="003149EF" w:rsidP="00BE1A74">
            <w:pPr>
              <w:jc w:val="center"/>
              <w:rPr>
                <w:b/>
                <w:sz w:val="22"/>
              </w:rPr>
            </w:pPr>
            <w:r w:rsidRPr="00707ECC">
              <w:rPr>
                <w:b/>
                <w:sz w:val="22"/>
              </w:rPr>
              <w:t>2004</w:t>
            </w:r>
          </w:p>
        </w:tc>
        <w:tc>
          <w:tcPr>
            <w:tcW w:w="0" w:type="auto"/>
          </w:tcPr>
          <w:p w:rsidR="003149EF" w:rsidRPr="00707ECC" w:rsidRDefault="003149EF" w:rsidP="00BE1A74">
            <w:pPr>
              <w:jc w:val="center"/>
              <w:rPr>
                <w:b/>
                <w:sz w:val="22"/>
              </w:rPr>
            </w:pPr>
            <w:r w:rsidRPr="00707ECC">
              <w:rPr>
                <w:b/>
                <w:sz w:val="22"/>
              </w:rPr>
              <w:t>2005</w:t>
            </w:r>
          </w:p>
        </w:tc>
        <w:tc>
          <w:tcPr>
            <w:tcW w:w="0" w:type="auto"/>
          </w:tcPr>
          <w:p w:rsidR="003149EF" w:rsidRPr="00707ECC" w:rsidRDefault="003149EF" w:rsidP="00BE1A74">
            <w:pPr>
              <w:jc w:val="center"/>
              <w:rPr>
                <w:b/>
                <w:sz w:val="22"/>
              </w:rPr>
            </w:pPr>
            <w:r w:rsidRPr="00707ECC">
              <w:rPr>
                <w:b/>
                <w:sz w:val="22"/>
              </w:rPr>
              <w:t>2006</w:t>
            </w:r>
          </w:p>
        </w:tc>
        <w:tc>
          <w:tcPr>
            <w:tcW w:w="0" w:type="auto"/>
          </w:tcPr>
          <w:p w:rsidR="003149EF" w:rsidRPr="00707ECC" w:rsidRDefault="003149EF" w:rsidP="00BE1A74">
            <w:pPr>
              <w:jc w:val="center"/>
              <w:rPr>
                <w:b/>
                <w:sz w:val="22"/>
              </w:rPr>
            </w:pPr>
            <w:r w:rsidRPr="00707ECC">
              <w:rPr>
                <w:b/>
                <w:sz w:val="22"/>
              </w:rPr>
              <w:t>2007</w:t>
            </w:r>
          </w:p>
        </w:tc>
        <w:tc>
          <w:tcPr>
            <w:tcW w:w="0" w:type="auto"/>
          </w:tcPr>
          <w:p w:rsidR="003149EF" w:rsidRPr="00707ECC" w:rsidRDefault="003149EF" w:rsidP="00BE1A74">
            <w:pPr>
              <w:jc w:val="center"/>
              <w:rPr>
                <w:b/>
                <w:sz w:val="22"/>
              </w:rPr>
            </w:pPr>
            <w:r w:rsidRPr="00707ECC">
              <w:rPr>
                <w:b/>
                <w:sz w:val="22"/>
              </w:rPr>
              <w:t>2008</w:t>
            </w:r>
          </w:p>
        </w:tc>
        <w:tc>
          <w:tcPr>
            <w:tcW w:w="0" w:type="auto"/>
          </w:tcPr>
          <w:p w:rsidR="003149EF" w:rsidRPr="00707ECC" w:rsidRDefault="003149EF" w:rsidP="00BE1A74">
            <w:pPr>
              <w:jc w:val="center"/>
              <w:rPr>
                <w:b/>
                <w:sz w:val="22"/>
              </w:rPr>
            </w:pPr>
            <w:r w:rsidRPr="00707ECC">
              <w:rPr>
                <w:b/>
                <w:sz w:val="22"/>
              </w:rPr>
              <w:t>2009</w:t>
            </w:r>
          </w:p>
        </w:tc>
        <w:tc>
          <w:tcPr>
            <w:tcW w:w="0" w:type="auto"/>
          </w:tcPr>
          <w:p w:rsidR="003149EF" w:rsidRPr="00707ECC" w:rsidRDefault="003149EF" w:rsidP="00BE1A74">
            <w:pPr>
              <w:jc w:val="center"/>
              <w:rPr>
                <w:b/>
                <w:sz w:val="22"/>
              </w:rPr>
            </w:pPr>
            <w:r w:rsidRPr="00707ECC">
              <w:rPr>
                <w:b/>
                <w:sz w:val="22"/>
              </w:rPr>
              <w:t>2010</w:t>
            </w:r>
          </w:p>
        </w:tc>
        <w:tc>
          <w:tcPr>
            <w:tcW w:w="0" w:type="auto"/>
          </w:tcPr>
          <w:p w:rsidR="003149EF" w:rsidRPr="00707ECC" w:rsidRDefault="003149EF" w:rsidP="00BE1A74">
            <w:pPr>
              <w:jc w:val="center"/>
              <w:rPr>
                <w:b/>
                <w:sz w:val="22"/>
              </w:rPr>
            </w:pPr>
            <w:r w:rsidRPr="00707ECC">
              <w:rPr>
                <w:b/>
                <w:sz w:val="22"/>
              </w:rPr>
              <w:t>2011</w:t>
            </w:r>
          </w:p>
        </w:tc>
        <w:tc>
          <w:tcPr>
            <w:tcW w:w="0" w:type="auto"/>
          </w:tcPr>
          <w:p w:rsidR="003149EF" w:rsidRPr="00707ECC" w:rsidRDefault="003149EF" w:rsidP="00BE1A74">
            <w:pPr>
              <w:jc w:val="center"/>
              <w:rPr>
                <w:b/>
                <w:sz w:val="22"/>
              </w:rPr>
            </w:pPr>
            <w:r w:rsidRPr="00707ECC">
              <w:rPr>
                <w:b/>
                <w:sz w:val="22"/>
              </w:rPr>
              <w:t>2012</w:t>
            </w:r>
          </w:p>
        </w:tc>
      </w:tr>
      <w:tr w:rsidR="003149EF" w:rsidRPr="00707ECC" w:rsidTr="00707ECC">
        <w:tc>
          <w:tcPr>
            <w:tcW w:w="0" w:type="auto"/>
            <w:vMerge/>
          </w:tcPr>
          <w:p w:rsidR="003149EF" w:rsidRPr="00707ECC" w:rsidRDefault="003149EF" w:rsidP="00603022">
            <w:pPr>
              <w:jc w:val="both"/>
              <w:rPr>
                <w:sz w:val="22"/>
              </w:rPr>
            </w:pPr>
          </w:p>
        </w:tc>
        <w:tc>
          <w:tcPr>
            <w:tcW w:w="0" w:type="auto"/>
            <w:gridSpan w:val="10"/>
          </w:tcPr>
          <w:p w:rsidR="003149EF" w:rsidRPr="00707ECC" w:rsidRDefault="003149EF" w:rsidP="00BE1A74">
            <w:pPr>
              <w:jc w:val="center"/>
              <w:rPr>
                <w:b/>
                <w:sz w:val="22"/>
              </w:rPr>
            </w:pPr>
            <w:proofErr w:type="spellStart"/>
            <w:r w:rsidRPr="00707ECC">
              <w:rPr>
                <w:b/>
                <w:sz w:val="22"/>
              </w:rPr>
              <w:t>GWh</w:t>
            </w:r>
            <w:proofErr w:type="spellEnd"/>
          </w:p>
        </w:tc>
      </w:tr>
      <w:tr w:rsidR="00BE1A74" w:rsidRPr="00707ECC" w:rsidTr="00BA3FA3">
        <w:tc>
          <w:tcPr>
            <w:tcW w:w="0" w:type="auto"/>
          </w:tcPr>
          <w:p w:rsidR="00981AD9" w:rsidRPr="00707ECC" w:rsidRDefault="008A65D2" w:rsidP="00603022">
            <w:pPr>
              <w:jc w:val="both"/>
              <w:rPr>
                <w:b/>
                <w:sz w:val="22"/>
              </w:rPr>
            </w:pPr>
            <w:r w:rsidRPr="00707ECC">
              <w:rPr>
                <w:b/>
                <w:sz w:val="22"/>
              </w:rPr>
              <w:t>Elektroenerģijas galapatēriņš</w:t>
            </w:r>
          </w:p>
        </w:tc>
        <w:tc>
          <w:tcPr>
            <w:tcW w:w="0" w:type="auto"/>
            <w:vAlign w:val="center"/>
          </w:tcPr>
          <w:p w:rsidR="00981AD9" w:rsidRPr="00707ECC" w:rsidRDefault="00BE1A74" w:rsidP="00BA3FA3">
            <w:pPr>
              <w:jc w:val="center"/>
              <w:rPr>
                <w:b/>
                <w:sz w:val="22"/>
              </w:rPr>
            </w:pPr>
            <w:r w:rsidRPr="00707ECC">
              <w:rPr>
                <w:b/>
                <w:sz w:val="22"/>
              </w:rPr>
              <w:t>5201</w:t>
            </w:r>
          </w:p>
        </w:tc>
        <w:tc>
          <w:tcPr>
            <w:tcW w:w="0" w:type="auto"/>
            <w:vAlign w:val="center"/>
          </w:tcPr>
          <w:p w:rsidR="00981AD9" w:rsidRPr="00707ECC" w:rsidRDefault="00BE1A74" w:rsidP="00BA3FA3">
            <w:pPr>
              <w:jc w:val="center"/>
              <w:rPr>
                <w:b/>
                <w:sz w:val="22"/>
              </w:rPr>
            </w:pPr>
            <w:r w:rsidRPr="00707ECC">
              <w:rPr>
                <w:b/>
                <w:sz w:val="22"/>
              </w:rPr>
              <w:t>5404</w:t>
            </w:r>
          </w:p>
        </w:tc>
        <w:tc>
          <w:tcPr>
            <w:tcW w:w="0" w:type="auto"/>
            <w:vAlign w:val="center"/>
          </w:tcPr>
          <w:p w:rsidR="00981AD9" w:rsidRPr="00707ECC" w:rsidRDefault="00BE1A74" w:rsidP="00BA3FA3">
            <w:pPr>
              <w:jc w:val="center"/>
              <w:rPr>
                <w:b/>
                <w:sz w:val="22"/>
              </w:rPr>
            </w:pPr>
            <w:r w:rsidRPr="00707ECC">
              <w:rPr>
                <w:b/>
                <w:sz w:val="22"/>
              </w:rPr>
              <w:t>5729</w:t>
            </w:r>
          </w:p>
        </w:tc>
        <w:tc>
          <w:tcPr>
            <w:tcW w:w="0" w:type="auto"/>
            <w:vAlign w:val="center"/>
          </w:tcPr>
          <w:p w:rsidR="00981AD9" w:rsidRPr="00707ECC" w:rsidRDefault="00BE1A74" w:rsidP="00BA3FA3">
            <w:pPr>
              <w:jc w:val="center"/>
              <w:rPr>
                <w:b/>
                <w:sz w:val="22"/>
              </w:rPr>
            </w:pPr>
            <w:r w:rsidRPr="00707ECC">
              <w:rPr>
                <w:b/>
                <w:sz w:val="22"/>
              </w:rPr>
              <w:t>6143</w:t>
            </w:r>
          </w:p>
        </w:tc>
        <w:tc>
          <w:tcPr>
            <w:tcW w:w="0" w:type="auto"/>
            <w:vAlign w:val="center"/>
          </w:tcPr>
          <w:p w:rsidR="00981AD9" w:rsidRPr="00707ECC" w:rsidRDefault="00BE1A74" w:rsidP="00BA3FA3">
            <w:pPr>
              <w:jc w:val="center"/>
              <w:rPr>
                <w:b/>
                <w:sz w:val="22"/>
              </w:rPr>
            </w:pPr>
            <w:r w:rsidRPr="00707ECC">
              <w:rPr>
                <w:b/>
                <w:sz w:val="22"/>
              </w:rPr>
              <w:t>6606</w:t>
            </w:r>
          </w:p>
        </w:tc>
        <w:tc>
          <w:tcPr>
            <w:tcW w:w="0" w:type="auto"/>
            <w:vAlign w:val="center"/>
          </w:tcPr>
          <w:p w:rsidR="00981AD9" w:rsidRPr="00707ECC" w:rsidRDefault="00BE1A74" w:rsidP="00BA3FA3">
            <w:pPr>
              <w:jc w:val="center"/>
              <w:rPr>
                <w:b/>
                <w:sz w:val="22"/>
              </w:rPr>
            </w:pPr>
            <w:r w:rsidRPr="00707ECC">
              <w:rPr>
                <w:b/>
                <w:sz w:val="22"/>
              </w:rPr>
              <w:t>6628</w:t>
            </w:r>
          </w:p>
        </w:tc>
        <w:tc>
          <w:tcPr>
            <w:tcW w:w="0" w:type="auto"/>
            <w:vAlign w:val="center"/>
          </w:tcPr>
          <w:p w:rsidR="00981AD9" w:rsidRPr="00707ECC" w:rsidRDefault="00BE1A74" w:rsidP="00BA3FA3">
            <w:pPr>
              <w:jc w:val="center"/>
              <w:rPr>
                <w:b/>
                <w:sz w:val="22"/>
              </w:rPr>
            </w:pPr>
            <w:r w:rsidRPr="00707ECC">
              <w:rPr>
                <w:b/>
                <w:sz w:val="22"/>
              </w:rPr>
              <w:t>6103</w:t>
            </w:r>
          </w:p>
        </w:tc>
        <w:tc>
          <w:tcPr>
            <w:tcW w:w="0" w:type="auto"/>
            <w:vAlign w:val="center"/>
          </w:tcPr>
          <w:p w:rsidR="00981AD9" w:rsidRPr="00707ECC" w:rsidRDefault="00BE1A74" w:rsidP="00BA3FA3">
            <w:pPr>
              <w:jc w:val="center"/>
              <w:rPr>
                <w:b/>
                <w:sz w:val="22"/>
              </w:rPr>
            </w:pPr>
            <w:r w:rsidRPr="00707ECC">
              <w:rPr>
                <w:b/>
                <w:sz w:val="22"/>
              </w:rPr>
              <w:t>6215</w:t>
            </w:r>
          </w:p>
        </w:tc>
        <w:tc>
          <w:tcPr>
            <w:tcW w:w="0" w:type="auto"/>
            <w:vAlign w:val="center"/>
          </w:tcPr>
          <w:p w:rsidR="00981AD9" w:rsidRPr="00707ECC" w:rsidRDefault="00BE1A74" w:rsidP="00BA3FA3">
            <w:pPr>
              <w:jc w:val="center"/>
              <w:rPr>
                <w:b/>
                <w:sz w:val="22"/>
              </w:rPr>
            </w:pPr>
            <w:r w:rsidRPr="00707ECC">
              <w:rPr>
                <w:b/>
                <w:sz w:val="22"/>
              </w:rPr>
              <w:t>6191</w:t>
            </w:r>
          </w:p>
        </w:tc>
        <w:tc>
          <w:tcPr>
            <w:tcW w:w="0" w:type="auto"/>
            <w:vAlign w:val="center"/>
          </w:tcPr>
          <w:p w:rsidR="00981AD9" w:rsidRPr="00707ECC" w:rsidRDefault="00BE1A74" w:rsidP="00BA3FA3">
            <w:pPr>
              <w:jc w:val="center"/>
              <w:rPr>
                <w:b/>
                <w:sz w:val="22"/>
              </w:rPr>
            </w:pPr>
            <w:r w:rsidRPr="00707ECC">
              <w:rPr>
                <w:b/>
                <w:sz w:val="22"/>
              </w:rPr>
              <w:t>6848</w:t>
            </w:r>
          </w:p>
        </w:tc>
      </w:tr>
      <w:tr w:rsidR="00BE1A74" w:rsidRPr="00707ECC" w:rsidTr="00707ECC">
        <w:tc>
          <w:tcPr>
            <w:tcW w:w="0" w:type="auto"/>
          </w:tcPr>
          <w:p w:rsidR="00981AD9" w:rsidRPr="00707ECC" w:rsidRDefault="008A65D2" w:rsidP="00BE1A74">
            <w:pPr>
              <w:jc w:val="right"/>
              <w:rPr>
                <w:sz w:val="22"/>
              </w:rPr>
            </w:pPr>
            <w:r w:rsidRPr="00707ECC">
              <w:rPr>
                <w:sz w:val="22"/>
              </w:rPr>
              <w:t>Rūpniecība un būvniecība</w:t>
            </w:r>
          </w:p>
        </w:tc>
        <w:tc>
          <w:tcPr>
            <w:tcW w:w="0" w:type="auto"/>
          </w:tcPr>
          <w:p w:rsidR="00981AD9" w:rsidRPr="00707ECC" w:rsidRDefault="00BE1A74" w:rsidP="00603022">
            <w:pPr>
              <w:jc w:val="both"/>
              <w:rPr>
                <w:sz w:val="22"/>
              </w:rPr>
            </w:pPr>
            <w:r w:rsidRPr="00707ECC">
              <w:rPr>
                <w:sz w:val="22"/>
              </w:rPr>
              <w:t>1605</w:t>
            </w:r>
          </w:p>
        </w:tc>
        <w:tc>
          <w:tcPr>
            <w:tcW w:w="0" w:type="auto"/>
          </w:tcPr>
          <w:p w:rsidR="00981AD9" w:rsidRPr="00707ECC" w:rsidRDefault="00BE1A74" w:rsidP="00603022">
            <w:pPr>
              <w:jc w:val="both"/>
              <w:rPr>
                <w:sz w:val="22"/>
              </w:rPr>
            </w:pPr>
            <w:r w:rsidRPr="00707ECC">
              <w:rPr>
                <w:sz w:val="22"/>
              </w:rPr>
              <w:t>1634</w:t>
            </w:r>
          </w:p>
        </w:tc>
        <w:tc>
          <w:tcPr>
            <w:tcW w:w="0" w:type="auto"/>
          </w:tcPr>
          <w:p w:rsidR="00981AD9" w:rsidRPr="00707ECC" w:rsidRDefault="00BE1A74" w:rsidP="00603022">
            <w:pPr>
              <w:jc w:val="both"/>
              <w:rPr>
                <w:sz w:val="22"/>
              </w:rPr>
            </w:pPr>
            <w:r w:rsidRPr="00707ECC">
              <w:rPr>
                <w:sz w:val="22"/>
              </w:rPr>
              <w:t>1700</w:t>
            </w:r>
          </w:p>
        </w:tc>
        <w:tc>
          <w:tcPr>
            <w:tcW w:w="0" w:type="auto"/>
          </w:tcPr>
          <w:p w:rsidR="00981AD9" w:rsidRPr="00707ECC" w:rsidRDefault="00BE1A74" w:rsidP="00603022">
            <w:pPr>
              <w:jc w:val="both"/>
              <w:rPr>
                <w:sz w:val="22"/>
              </w:rPr>
            </w:pPr>
            <w:r w:rsidRPr="00707ECC">
              <w:rPr>
                <w:sz w:val="22"/>
              </w:rPr>
              <w:t>1759</w:t>
            </w:r>
          </w:p>
        </w:tc>
        <w:tc>
          <w:tcPr>
            <w:tcW w:w="0" w:type="auto"/>
          </w:tcPr>
          <w:p w:rsidR="00981AD9" w:rsidRPr="00707ECC" w:rsidRDefault="00BE1A74" w:rsidP="00603022">
            <w:pPr>
              <w:jc w:val="both"/>
              <w:rPr>
                <w:sz w:val="22"/>
              </w:rPr>
            </w:pPr>
            <w:r w:rsidRPr="00707ECC">
              <w:rPr>
                <w:sz w:val="22"/>
              </w:rPr>
              <w:t>1816</w:t>
            </w:r>
          </w:p>
        </w:tc>
        <w:tc>
          <w:tcPr>
            <w:tcW w:w="0" w:type="auto"/>
          </w:tcPr>
          <w:p w:rsidR="00981AD9" w:rsidRPr="00707ECC" w:rsidRDefault="00BE1A74" w:rsidP="00603022">
            <w:pPr>
              <w:jc w:val="both"/>
              <w:rPr>
                <w:sz w:val="22"/>
              </w:rPr>
            </w:pPr>
            <w:r w:rsidRPr="00707ECC">
              <w:rPr>
                <w:sz w:val="22"/>
              </w:rPr>
              <w:t>1685</w:t>
            </w:r>
          </w:p>
        </w:tc>
        <w:tc>
          <w:tcPr>
            <w:tcW w:w="0" w:type="auto"/>
          </w:tcPr>
          <w:p w:rsidR="00981AD9" w:rsidRPr="00707ECC" w:rsidRDefault="00BE1A74" w:rsidP="00603022">
            <w:pPr>
              <w:jc w:val="both"/>
              <w:rPr>
                <w:sz w:val="22"/>
              </w:rPr>
            </w:pPr>
            <w:r w:rsidRPr="00707ECC">
              <w:rPr>
                <w:sz w:val="22"/>
              </w:rPr>
              <w:t>1506</w:t>
            </w:r>
          </w:p>
        </w:tc>
        <w:tc>
          <w:tcPr>
            <w:tcW w:w="0" w:type="auto"/>
          </w:tcPr>
          <w:p w:rsidR="00981AD9" w:rsidRPr="00707ECC" w:rsidRDefault="00BE1A74" w:rsidP="00603022">
            <w:pPr>
              <w:jc w:val="both"/>
              <w:rPr>
                <w:sz w:val="22"/>
              </w:rPr>
            </w:pPr>
            <w:r w:rsidRPr="00707ECC">
              <w:rPr>
                <w:sz w:val="22"/>
              </w:rPr>
              <w:t>1590</w:t>
            </w:r>
          </w:p>
        </w:tc>
        <w:tc>
          <w:tcPr>
            <w:tcW w:w="0" w:type="auto"/>
          </w:tcPr>
          <w:p w:rsidR="00981AD9" w:rsidRPr="00707ECC" w:rsidRDefault="00BE1A74" w:rsidP="00603022">
            <w:pPr>
              <w:jc w:val="both"/>
              <w:rPr>
                <w:sz w:val="22"/>
              </w:rPr>
            </w:pPr>
            <w:r w:rsidRPr="00707ECC">
              <w:rPr>
                <w:sz w:val="22"/>
              </w:rPr>
              <w:t>1670</w:t>
            </w:r>
          </w:p>
        </w:tc>
        <w:tc>
          <w:tcPr>
            <w:tcW w:w="0" w:type="auto"/>
          </w:tcPr>
          <w:p w:rsidR="00981AD9" w:rsidRPr="00707ECC" w:rsidRDefault="00BE1A74" w:rsidP="00603022">
            <w:pPr>
              <w:jc w:val="both"/>
              <w:rPr>
                <w:sz w:val="22"/>
              </w:rPr>
            </w:pPr>
            <w:r w:rsidRPr="00707ECC">
              <w:rPr>
                <w:sz w:val="22"/>
              </w:rPr>
              <w:t>1993</w:t>
            </w:r>
          </w:p>
        </w:tc>
      </w:tr>
      <w:tr w:rsidR="00BE1A74" w:rsidRPr="00707ECC" w:rsidTr="00707ECC">
        <w:tc>
          <w:tcPr>
            <w:tcW w:w="0" w:type="auto"/>
          </w:tcPr>
          <w:p w:rsidR="00981AD9" w:rsidRPr="00707ECC" w:rsidRDefault="008A65D2" w:rsidP="00BE1A74">
            <w:pPr>
              <w:jc w:val="right"/>
              <w:rPr>
                <w:sz w:val="22"/>
              </w:rPr>
            </w:pPr>
            <w:r w:rsidRPr="00707ECC">
              <w:rPr>
                <w:sz w:val="22"/>
              </w:rPr>
              <w:t>Transports</w:t>
            </w:r>
          </w:p>
        </w:tc>
        <w:tc>
          <w:tcPr>
            <w:tcW w:w="0" w:type="auto"/>
          </w:tcPr>
          <w:p w:rsidR="00981AD9" w:rsidRPr="00707ECC" w:rsidRDefault="00BE1A74" w:rsidP="00603022">
            <w:pPr>
              <w:jc w:val="both"/>
              <w:rPr>
                <w:sz w:val="22"/>
              </w:rPr>
            </w:pPr>
            <w:r w:rsidRPr="00707ECC">
              <w:rPr>
                <w:sz w:val="22"/>
              </w:rPr>
              <w:t>136</w:t>
            </w:r>
          </w:p>
        </w:tc>
        <w:tc>
          <w:tcPr>
            <w:tcW w:w="0" w:type="auto"/>
          </w:tcPr>
          <w:p w:rsidR="00981AD9" w:rsidRPr="00707ECC" w:rsidRDefault="00BE1A74" w:rsidP="00603022">
            <w:pPr>
              <w:jc w:val="both"/>
              <w:rPr>
                <w:sz w:val="22"/>
              </w:rPr>
            </w:pPr>
            <w:r w:rsidRPr="00707ECC">
              <w:rPr>
                <w:sz w:val="22"/>
              </w:rPr>
              <w:t>139</w:t>
            </w:r>
          </w:p>
        </w:tc>
        <w:tc>
          <w:tcPr>
            <w:tcW w:w="0" w:type="auto"/>
          </w:tcPr>
          <w:p w:rsidR="00981AD9" w:rsidRPr="00707ECC" w:rsidRDefault="00BE1A74" w:rsidP="00603022">
            <w:pPr>
              <w:jc w:val="both"/>
              <w:rPr>
                <w:sz w:val="22"/>
              </w:rPr>
            </w:pPr>
            <w:r w:rsidRPr="00707ECC">
              <w:rPr>
                <w:sz w:val="22"/>
              </w:rPr>
              <w:t>148</w:t>
            </w:r>
          </w:p>
        </w:tc>
        <w:tc>
          <w:tcPr>
            <w:tcW w:w="0" w:type="auto"/>
          </w:tcPr>
          <w:p w:rsidR="00981AD9" w:rsidRPr="00707ECC" w:rsidRDefault="00BE1A74" w:rsidP="00603022">
            <w:pPr>
              <w:jc w:val="both"/>
              <w:rPr>
                <w:sz w:val="22"/>
              </w:rPr>
            </w:pPr>
            <w:r w:rsidRPr="00707ECC">
              <w:rPr>
                <w:sz w:val="22"/>
              </w:rPr>
              <w:t>150</w:t>
            </w:r>
          </w:p>
        </w:tc>
        <w:tc>
          <w:tcPr>
            <w:tcW w:w="0" w:type="auto"/>
          </w:tcPr>
          <w:p w:rsidR="00981AD9" w:rsidRPr="00707ECC" w:rsidRDefault="00BE1A74" w:rsidP="00603022">
            <w:pPr>
              <w:jc w:val="both"/>
              <w:rPr>
                <w:sz w:val="22"/>
              </w:rPr>
            </w:pPr>
            <w:r w:rsidRPr="00707ECC">
              <w:rPr>
                <w:sz w:val="22"/>
              </w:rPr>
              <w:t>140</w:t>
            </w:r>
          </w:p>
        </w:tc>
        <w:tc>
          <w:tcPr>
            <w:tcW w:w="0" w:type="auto"/>
          </w:tcPr>
          <w:p w:rsidR="00BE1A74" w:rsidRPr="00707ECC" w:rsidRDefault="00BE1A74" w:rsidP="00603022">
            <w:pPr>
              <w:jc w:val="both"/>
              <w:rPr>
                <w:sz w:val="22"/>
              </w:rPr>
            </w:pPr>
            <w:r w:rsidRPr="00707ECC">
              <w:rPr>
                <w:sz w:val="22"/>
              </w:rPr>
              <w:t>138</w:t>
            </w:r>
          </w:p>
        </w:tc>
        <w:tc>
          <w:tcPr>
            <w:tcW w:w="0" w:type="auto"/>
          </w:tcPr>
          <w:p w:rsidR="00981AD9" w:rsidRPr="00707ECC" w:rsidRDefault="00BE1A74" w:rsidP="00603022">
            <w:pPr>
              <w:jc w:val="both"/>
              <w:rPr>
                <w:sz w:val="22"/>
              </w:rPr>
            </w:pPr>
            <w:r w:rsidRPr="00707ECC">
              <w:rPr>
                <w:sz w:val="22"/>
              </w:rPr>
              <w:t>121</w:t>
            </w:r>
          </w:p>
        </w:tc>
        <w:tc>
          <w:tcPr>
            <w:tcW w:w="0" w:type="auto"/>
          </w:tcPr>
          <w:p w:rsidR="00981AD9" w:rsidRPr="00707ECC" w:rsidRDefault="00BE1A74" w:rsidP="00603022">
            <w:pPr>
              <w:jc w:val="both"/>
              <w:rPr>
                <w:sz w:val="22"/>
              </w:rPr>
            </w:pPr>
            <w:r w:rsidRPr="00707ECC">
              <w:rPr>
                <w:sz w:val="22"/>
              </w:rPr>
              <w:t>126</w:t>
            </w:r>
          </w:p>
        </w:tc>
        <w:tc>
          <w:tcPr>
            <w:tcW w:w="0" w:type="auto"/>
          </w:tcPr>
          <w:p w:rsidR="00981AD9" w:rsidRPr="00707ECC" w:rsidRDefault="00BE1A74" w:rsidP="00603022">
            <w:pPr>
              <w:jc w:val="both"/>
              <w:rPr>
                <w:sz w:val="22"/>
              </w:rPr>
            </w:pPr>
            <w:r w:rsidRPr="00707ECC">
              <w:rPr>
                <w:sz w:val="22"/>
              </w:rPr>
              <w:t>124</w:t>
            </w:r>
          </w:p>
        </w:tc>
        <w:tc>
          <w:tcPr>
            <w:tcW w:w="0" w:type="auto"/>
          </w:tcPr>
          <w:p w:rsidR="00981AD9" w:rsidRPr="00707ECC" w:rsidRDefault="00BE1A74" w:rsidP="00603022">
            <w:pPr>
              <w:jc w:val="both"/>
              <w:rPr>
                <w:sz w:val="22"/>
              </w:rPr>
            </w:pPr>
            <w:r w:rsidRPr="00707ECC">
              <w:rPr>
                <w:sz w:val="22"/>
              </w:rPr>
              <w:t>129</w:t>
            </w:r>
          </w:p>
        </w:tc>
      </w:tr>
      <w:tr w:rsidR="00BE1A74" w:rsidRPr="00707ECC" w:rsidTr="00707ECC">
        <w:tc>
          <w:tcPr>
            <w:tcW w:w="0" w:type="auto"/>
          </w:tcPr>
          <w:p w:rsidR="00981AD9" w:rsidRPr="00707ECC" w:rsidRDefault="008A65D2" w:rsidP="00BE1A74">
            <w:pPr>
              <w:jc w:val="right"/>
              <w:rPr>
                <w:sz w:val="22"/>
              </w:rPr>
            </w:pPr>
            <w:r w:rsidRPr="00707ECC">
              <w:rPr>
                <w:sz w:val="22"/>
              </w:rPr>
              <w:t>Mājsaimniecības</w:t>
            </w:r>
          </w:p>
        </w:tc>
        <w:tc>
          <w:tcPr>
            <w:tcW w:w="0" w:type="auto"/>
          </w:tcPr>
          <w:p w:rsidR="00981AD9" w:rsidRPr="00707ECC" w:rsidRDefault="00BE1A74" w:rsidP="00603022">
            <w:pPr>
              <w:jc w:val="both"/>
              <w:rPr>
                <w:sz w:val="22"/>
              </w:rPr>
            </w:pPr>
            <w:r w:rsidRPr="00707ECC">
              <w:rPr>
                <w:sz w:val="22"/>
              </w:rPr>
              <w:t>1421</w:t>
            </w:r>
          </w:p>
        </w:tc>
        <w:tc>
          <w:tcPr>
            <w:tcW w:w="0" w:type="auto"/>
          </w:tcPr>
          <w:p w:rsidR="00981AD9" w:rsidRPr="00707ECC" w:rsidRDefault="00BE1A74" w:rsidP="00603022">
            <w:pPr>
              <w:jc w:val="both"/>
              <w:rPr>
                <w:sz w:val="22"/>
              </w:rPr>
            </w:pPr>
            <w:r w:rsidRPr="00707ECC">
              <w:rPr>
                <w:sz w:val="22"/>
              </w:rPr>
              <w:t>1467</w:t>
            </w:r>
          </w:p>
        </w:tc>
        <w:tc>
          <w:tcPr>
            <w:tcW w:w="0" w:type="auto"/>
          </w:tcPr>
          <w:p w:rsidR="00981AD9" w:rsidRPr="00707ECC" w:rsidRDefault="00BE1A74" w:rsidP="00603022">
            <w:pPr>
              <w:jc w:val="both"/>
              <w:rPr>
                <w:sz w:val="22"/>
              </w:rPr>
            </w:pPr>
            <w:r w:rsidRPr="00707ECC">
              <w:rPr>
                <w:sz w:val="22"/>
              </w:rPr>
              <w:t>1572</w:t>
            </w:r>
          </w:p>
        </w:tc>
        <w:tc>
          <w:tcPr>
            <w:tcW w:w="0" w:type="auto"/>
          </w:tcPr>
          <w:p w:rsidR="00981AD9" w:rsidRPr="00707ECC" w:rsidRDefault="00BE1A74" w:rsidP="00603022">
            <w:pPr>
              <w:jc w:val="both"/>
              <w:rPr>
                <w:sz w:val="22"/>
              </w:rPr>
            </w:pPr>
            <w:r w:rsidRPr="00707ECC">
              <w:rPr>
                <w:sz w:val="22"/>
              </w:rPr>
              <w:t>1728</w:t>
            </w:r>
          </w:p>
        </w:tc>
        <w:tc>
          <w:tcPr>
            <w:tcW w:w="0" w:type="auto"/>
          </w:tcPr>
          <w:p w:rsidR="00981AD9" w:rsidRPr="00707ECC" w:rsidRDefault="00BE1A74" w:rsidP="00603022">
            <w:pPr>
              <w:jc w:val="both"/>
              <w:rPr>
                <w:sz w:val="22"/>
              </w:rPr>
            </w:pPr>
            <w:r w:rsidRPr="00707ECC">
              <w:rPr>
                <w:sz w:val="22"/>
              </w:rPr>
              <w:t>1794</w:t>
            </w:r>
          </w:p>
        </w:tc>
        <w:tc>
          <w:tcPr>
            <w:tcW w:w="0" w:type="auto"/>
          </w:tcPr>
          <w:p w:rsidR="00981AD9" w:rsidRPr="00707ECC" w:rsidRDefault="00BE1A74" w:rsidP="00603022">
            <w:pPr>
              <w:jc w:val="both"/>
              <w:rPr>
                <w:sz w:val="22"/>
              </w:rPr>
            </w:pPr>
            <w:r w:rsidRPr="00707ECC">
              <w:rPr>
                <w:sz w:val="22"/>
              </w:rPr>
              <w:t>2031</w:t>
            </w:r>
          </w:p>
        </w:tc>
        <w:tc>
          <w:tcPr>
            <w:tcW w:w="0" w:type="auto"/>
          </w:tcPr>
          <w:p w:rsidR="00981AD9" w:rsidRPr="00707ECC" w:rsidRDefault="00BE1A74" w:rsidP="00603022">
            <w:pPr>
              <w:jc w:val="both"/>
              <w:rPr>
                <w:sz w:val="22"/>
              </w:rPr>
            </w:pPr>
            <w:r w:rsidRPr="00707ECC">
              <w:rPr>
                <w:sz w:val="22"/>
              </w:rPr>
              <w:t>2000</w:t>
            </w:r>
          </w:p>
        </w:tc>
        <w:tc>
          <w:tcPr>
            <w:tcW w:w="0" w:type="auto"/>
          </w:tcPr>
          <w:p w:rsidR="00981AD9" w:rsidRPr="00707ECC" w:rsidRDefault="00BE1A74" w:rsidP="00603022">
            <w:pPr>
              <w:jc w:val="both"/>
              <w:rPr>
                <w:sz w:val="22"/>
              </w:rPr>
            </w:pPr>
            <w:r w:rsidRPr="00707ECC">
              <w:rPr>
                <w:sz w:val="22"/>
              </w:rPr>
              <w:t>1938</w:t>
            </w:r>
          </w:p>
        </w:tc>
        <w:tc>
          <w:tcPr>
            <w:tcW w:w="0" w:type="auto"/>
          </w:tcPr>
          <w:p w:rsidR="00981AD9" w:rsidRPr="00707ECC" w:rsidRDefault="00BE1A74" w:rsidP="00603022">
            <w:pPr>
              <w:jc w:val="both"/>
              <w:rPr>
                <w:sz w:val="22"/>
              </w:rPr>
            </w:pPr>
            <w:r w:rsidRPr="00707ECC">
              <w:rPr>
                <w:sz w:val="22"/>
              </w:rPr>
              <w:t>1772</w:t>
            </w:r>
          </w:p>
        </w:tc>
        <w:tc>
          <w:tcPr>
            <w:tcW w:w="0" w:type="auto"/>
          </w:tcPr>
          <w:p w:rsidR="00981AD9" w:rsidRPr="00707ECC" w:rsidRDefault="00BE1A74" w:rsidP="00603022">
            <w:pPr>
              <w:jc w:val="both"/>
              <w:rPr>
                <w:sz w:val="22"/>
              </w:rPr>
            </w:pPr>
            <w:r w:rsidRPr="00707ECC">
              <w:rPr>
                <w:sz w:val="22"/>
              </w:rPr>
              <w:t>1776</w:t>
            </w:r>
          </w:p>
        </w:tc>
      </w:tr>
      <w:tr w:rsidR="00BE1A74" w:rsidRPr="00707ECC" w:rsidTr="00BA3FA3">
        <w:tc>
          <w:tcPr>
            <w:tcW w:w="0" w:type="auto"/>
          </w:tcPr>
          <w:p w:rsidR="00981AD9" w:rsidRPr="00707ECC" w:rsidRDefault="00BE1A74" w:rsidP="00BE1A74">
            <w:pPr>
              <w:jc w:val="right"/>
              <w:rPr>
                <w:sz w:val="22"/>
              </w:rPr>
            </w:pPr>
            <w:r w:rsidRPr="00707ECC">
              <w:rPr>
                <w:sz w:val="22"/>
              </w:rPr>
              <w:t>Komerciālie un sabiedriskie pakalpojumi</w:t>
            </w:r>
          </w:p>
        </w:tc>
        <w:tc>
          <w:tcPr>
            <w:tcW w:w="0" w:type="auto"/>
            <w:vAlign w:val="center"/>
          </w:tcPr>
          <w:p w:rsidR="00981AD9" w:rsidRPr="00707ECC" w:rsidRDefault="00BE1A74" w:rsidP="00BA3FA3">
            <w:pPr>
              <w:jc w:val="center"/>
              <w:rPr>
                <w:sz w:val="22"/>
              </w:rPr>
            </w:pPr>
            <w:r w:rsidRPr="00707ECC">
              <w:rPr>
                <w:sz w:val="22"/>
              </w:rPr>
              <w:t>1877</w:t>
            </w:r>
          </w:p>
        </w:tc>
        <w:tc>
          <w:tcPr>
            <w:tcW w:w="0" w:type="auto"/>
            <w:vAlign w:val="center"/>
          </w:tcPr>
          <w:p w:rsidR="00981AD9" w:rsidRPr="00707ECC" w:rsidRDefault="00BE1A74" w:rsidP="00BA3FA3">
            <w:pPr>
              <w:jc w:val="center"/>
              <w:rPr>
                <w:sz w:val="22"/>
              </w:rPr>
            </w:pPr>
            <w:r w:rsidRPr="00707ECC">
              <w:rPr>
                <w:sz w:val="22"/>
              </w:rPr>
              <w:t>2002</w:t>
            </w:r>
          </w:p>
        </w:tc>
        <w:tc>
          <w:tcPr>
            <w:tcW w:w="0" w:type="auto"/>
            <w:vAlign w:val="center"/>
          </w:tcPr>
          <w:p w:rsidR="00981AD9" w:rsidRPr="00707ECC" w:rsidRDefault="00BE1A74" w:rsidP="00BA3FA3">
            <w:pPr>
              <w:jc w:val="center"/>
              <w:rPr>
                <w:sz w:val="22"/>
              </w:rPr>
            </w:pPr>
            <w:r w:rsidRPr="00707ECC">
              <w:rPr>
                <w:sz w:val="22"/>
              </w:rPr>
              <w:t>2153</w:t>
            </w:r>
          </w:p>
        </w:tc>
        <w:tc>
          <w:tcPr>
            <w:tcW w:w="0" w:type="auto"/>
            <w:vAlign w:val="center"/>
          </w:tcPr>
          <w:p w:rsidR="00981AD9" w:rsidRPr="00707ECC" w:rsidRDefault="00BE1A74" w:rsidP="00BA3FA3">
            <w:pPr>
              <w:jc w:val="center"/>
              <w:rPr>
                <w:sz w:val="22"/>
              </w:rPr>
            </w:pPr>
            <w:r w:rsidRPr="00707ECC">
              <w:rPr>
                <w:sz w:val="22"/>
              </w:rPr>
              <w:t>2341</w:t>
            </w:r>
          </w:p>
        </w:tc>
        <w:tc>
          <w:tcPr>
            <w:tcW w:w="0" w:type="auto"/>
            <w:vAlign w:val="center"/>
          </w:tcPr>
          <w:p w:rsidR="00981AD9" w:rsidRPr="00707ECC" w:rsidRDefault="00BE1A74" w:rsidP="00BA3FA3">
            <w:pPr>
              <w:jc w:val="center"/>
              <w:rPr>
                <w:sz w:val="22"/>
              </w:rPr>
            </w:pPr>
            <w:r w:rsidRPr="00707ECC">
              <w:rPr>
                <w:sz w:val="22"/>
              </w:rPr>
              <w:t>2711</w:t>
            </w:r>
          </w:p>
        </w:tc>
        <w:tc>
          <w:tcPr>
            <w:tcW w:w="0" w:type="auto"/>
            <w:vAlign w:val="center"/>
          </w:tcPr>
          <w:p w:rsidR="00981AD9" w:rsidRPr="00707ECC" w:rsidRDefault="00BE1A74" w:rsidP="00BA3FA3">
            <w:pPr>
              <w:jc w:val="center"/>
              <w:rPr>
                <w:sz w:val="22"/>
              </w:rPr>
            </w:pPr>
            <w:r w:rsidRPr="00707ECC">
              <w:rPr>
                <w:sz w:val="22"/>
              </w:rPr>
              <w:t>2635</w:t>
            </w:r>
          </w:p>
        </w:tc>
        <w:tc>
          <w:tcPr>
            <w:tcW w:w="0" w:type="auto"/>
            <w:vAlign w:val="center"/>
          </w:tcPr>
          <w:p w:rsidR="00981AD9" w:rsidRPr="00707ECC" w:rsidRDefault="00BE1A74" w:rsidP="00BA3FA3">
            <w:pPr>
              <w:jc w:val="center"/>
              <w:rPr>
                <w:sz w:val="22"/>
              </w:rPr>
            </w:pPr>
            <w:r w:rsidRPr="00707ECC">
              <w:rPr>
                <w:sz w:val="22"/>
              </w:rPr>
              <w:t>2341</w:t>
            </w:r>
          </w:p>
        </w:tc>
        <w:tc>
          <w:tcPr>
            <w:tcW w:w="0" w:type="auto"/>
            <w:vAlign w:val="center"/>
          </w:tcPr>
          <w:p w:rsidR="00981AD9" w:rsidRPr="00707ECC" w:rsidRDefault="00BE1A74" w:rsidP="00BA3FA3">
            <w:pPr>
              <w:jc w:val="center"/>
              <w:rPr>
                <w:sz w:val="22"/>
              </w:rPr>
            </w:pPr>
            <w:r w:rsidRPr="00707ECC">
              <w:rPr>
                <w:sz w:val="22"/>
              </w:rPr>
              <w:t>2422</w:t>
            </w:r>
          </w:p>
        </w:tc>
        <w:tc>
          <w:tcPr>
            <w:tcW w:w="0" w:type="auto"/>
            <w:vAlign w:val="center"/>
          </w:tcPr>
          <w:p w:rsidR="00981AD9" w:rsidRPr="00707ECC" w:rsidRDefault="00BE1A74" w:rsidP="00BA3FA3">
            <w:pPr>
              <w:jc w:val="center"/>
              <w:rPr>
                <w:sz w:val="22"/>
              </w:rPr>
            </w:pPr>
            <w:r w:rsidRPr="00707ECC">
              <w:rPr>
                <w:sz w:val="22"/>
              </w:rPr>
              <w:t>2490</w:t>
            </w:r>
          </w:p>
        </w:tc>
        <w:tc>
          <w:tcPr>
            <w:tcW w:w="0" w:type="auto"/>
            <w:vAlign w:val="center"/>
          </w:tcPr>
          <w:p w:rsidR="00981AD9" w:rsidRPr="00707ECC" w:rsidRDefault="00BE1A74" w:rsidP="00BA3FA3">
            <w:pPr>
              <w:jc w:val="center"/>
              <w:rPr>
                <w:sz w:val="22"/>
              </w:rPr>
            </w:pPr>
            <w:r w:rsidRPr="00707ECC">
              <w:rPr>
                <w:sz w:val="22"/>
              </w:rPr>
              <w:t>2802</w:t>
            </w:r>
          </w:p>
        </w:tc>
      </w:tr>
      <w:tr w:rsidR="00BE1A74" w:rsidRPr="00707ECC" w:rsidTr="00BA3FA3">
        <w:tc>
          <w:tcPr>
            <w:tcW w:w="0" w:type="auto"/>
          </w:tcPr>
          <w:p w:rsidR="00981AD9" w:rsidRPr="00707ECC" w:rsidRDefault="00BE1A74" w:rsidP="00BE1A74">
            <w:pPr>
              <w:jc w:val="right"/>
              <w:rPr>
                <w:sz w:val="22"/>
              </w:rPr>
            </w:pPr>
            <w:r w:rsidRPr="00707ECC">
              <w:rPr>
                <w:sz w:val="22"/>
              </w:rPr>
              <w:t>Lauksaimniecība, mežsaimniecība, medniecība, zivsaimniecība</w:t>
            </w:r>
          </w:p>
        </w:tc>
        <w:tc>
          <w:tcPr>
            <w:tcW w:w="0" w:type="auto"/>
            <w:vAlign w:val="center"/>
          </w:tcPr>
          <w:p w:rsidR="00981AD9" w:rsidRPr="00707ECC" w:rsidRDefault="00BE1A74" w:rsidP="00BA3FA3">
            <w:pPr>
              <w:jc w:val="center"/>
              <w:rPr>
                <w:sz w:val="22"/>
              </w:rPr>
            </w:pPr>
            <w:r w:rsidRPr="00707ECC">
              <w:rPr>
                <w:sz w:val="22"/>
              </w:rPr>
              <w:t>162</w:t>
            </w:r>
          </w:p>
        </w:tc>
        <w:tc>
          <w:tcPr>
            <w:tcW w:w="0" w:type="auto"/>
            <w:vAlign w:val="center"/>
          </w:tcPr>
          <w:p w:rsidR="00981AD9" w:rsidRPr="00707ECC" w:rsidRDefault="00BE1A74" w:rsidP="00BA3FA3">
            <w:pPr>
              <w:jc w:val="center"/>
              <w:rPr>
                <w:sz w:val="22"/>
              </w:rPr>
            </w:pPr>
            <w:r w:rsidRPr="00707ECC">
              <w:rPr>
                <w:sz w:val="22"/>
              </w:rPr>
              <w:t>162</w:t>
            </w:r>
          </w:p>
        </w:tc>
        <w:tc>
          <w:tcPr>
            <w:tcW w:w="0" w:type="auto"/>
            <w:vAlign w:val="center"/>
          </w:tcPr>
          <w:p w:rsidR="00981AD9" w:rsidRPr="00707ECC" w:rsidRDefault="00BE1A74" w:rsidP="00BA3FA3">
            <w:pPr>
              <w:jc w:val="center"/>
              <w:rPr>
                <w:sz w:val="22"/>
              </w:rPr>
            </w:pPr>
            <w:r w:rsidRPr="00707ECC">
              <w:rPr>
                <w:sz w:val="22"/>
              </w:rPr>
              <w:t>156</w:t>
            </w:r>
          </w:p>
        </w:tc>
        <w:tc>
          <w:tcPr>
            <w:tcW w:w="0" w:type="auto"/>
            <w:vAlign w:val="center"/>
          </w:tcPr>
          <w:p w:rsidR="00981AD9" w:rsidRPr="00707ECC" w:rsidRDefault="00BE1A74" w:rsidP="00BA3FA3">
            <w:pPr>
              <w:jc w:val="center"/>
              <w:rPr>
                <w:sz w:val="22"/>
              </w:rPr>
            </w:pPr>
            <w:r w:rsidRPr="00707ECC">
              <w:rPr>
                <w:sz w:val="22"/>
              </w:rPr>
              <w:t>165</w:t>
            </w:r>
          </w:p>
        </w:tc>
        <w:tc>
          <w:tcPr>
            <w:tcW w:w="0" w:type="auto"/>
            <w:vAlign w:val="center"/>
          </w:tcPr>
          <w:p w:rsidR="00981AD9" w:rsidRPr="00707ECC" w:rsidRDefault="00BE1A74" w:rsidP="00BA3FA3">
            <w:pPr>
              <w:jc w:val="center"/>
              <w:rPr>
                <w:sz w:val="22"/>
              </w:rPr>
            </w:pPr>
            <w:r w:rsidRPr="00707ECC">
              <w:rPr>
                <w:sz w:val="22"/>
              </w:rPr>
              <w:t>145</w:t>
            </w:r>
          </w:p>
        </w:tc>
        <w:tc>
          <w:tcPr>
            <w:tcW w:w="0" w:type="auto"/>
            <w:vAlign w:val="center"/>
          </w:tcPr>
          <w:p w:rsidR="00981AD9" w:rsidRPr="00707ECC" w:rsidRDefault="00BE1A74" w:rsidP="00BA3FA3">
            <w:pPr>
              <w:jc w:val="center"/>
              <w:rPr>
                <w:sz w:val="22"/>
              </w:rPr>
            </w:pPr>
            <w:r w:rsidRPr="00707ECC">
              <w:rPr>
                <w:sz w:val="22"/>
              </w:rPr>
              <w:t>139</w:t>
            </w:r>
          </w:p>
        </w:tc>
        <w:tc>
          <w:tcPr>
            <w:tcW w:w="0" w:type="auto"/>
            <w:vAlign w:val="center"/>
          </w:tcPr>
          <w:p w:rsidR="00981AD9" w:rsidRPr="00707ECC" w:rsidRDefault="00BE1A74" w:rsidP="00BA3FA3">
            <w:pPr>
              <w:jc w:val="center"/>
              <w:rPr>
                <w:sz w:val="22"/>
              </w:rPr>
            </w:pPr>
            <w:r w:rsidRPr="00707ECC">
              <w:rPr>
                <w:sz w:val="22"/>
              </w:rPr>
              <w:t>135</w:t>
            </w:r>
          </w:p>
        </w:tc>
        <w:tc>
          <w:tcPr>
            <w:tcW w:w="0" w:type="auto"/>
            <w:vAlign w:val="center"/>
          </w:tcPr>
          <w:p w:rsidR="00981AD9" w:rsidRPr="00707ECC" w:rsidRDefault="00BE1A74" w:rsidP="00BA3FA3">
            <w:pPr>
              <w:jc w:val="center"/>
              <w:rPr>
                <w:sz w:val="22"/>
              </w:rPr>
            </w:pPr>
            <w:r w:rsidRPr="00707ECC">
              <w:rPr>
                <w:sz w:val="22"/>
              </w:rPr>
              <w:t>139</w:t>
            </w:r>
          </w:p>
        </w:tc>
        <w:tc>
          <w:tcPr>
            <w:tcW w:w="0" w:type="auto"/>
            <w:vAlign w:val="center"/>
          </w:tcPr>
          <w:p w:rsidR="00981AD9" w:rsidRPr="00707ECC" w:rsidRDefault="00BE1A74" w:rsidP="00BA3FA3">
            <w:pPr>
              <w:jc w:val="center"/>
              <w:rPr>
                <w:sz w:val="22"/>
              </w:rPr>
            </w:pPr>
            <w:r w:rsidRPr="00707ECC">
              <w:rPr>
                <w:sz w:val="22"/>
              </w:rPr>
              <w:t>135</w:t>
            </w:r>
          </w:p>
        </w:tc>
        <w:tc>
          <w:tcPr>
            <w:tcW w:w="0" w:type="auto"/>
            <w:vAlign w:val="center"/>
          </w:tcPr>
          <w:p w:rsidR="00981AD9" w:rsidRPr="00707ECC" w:rsidRDefault="00BE1A74" w:rsidP="00BA3FA3">
            <w:pPr>
              <w:jc w:val="center"/>
              <w:rPr>
                <w:sz w:val="22"/>
              </w:rPr>
            </w:pPr>
            <w:r w:rsidRPr="00707ECC">
              <w:rPr>
                <w:sz w:val="22"/>
              </w:rPr>
              <w:t>148</w:t>
            </w:r>
          </w:p>
        </w:tc>
      </w:tr>
    </w:tbl>
    <w:p w:rsidR="0080306F" w:rsidRDefault="0080306F" w:rsidP="0080306F">
      <w:pPr>
        <w:ind w:firstLine="720"/>
        <w:jc w:val="both"/>
      </w:pPr>
      <w:r>
        <w:lastRenderedPageBreak/>
        <w:t>Rūpniecība un būvniecība ir otrais lielākais elektroenerģijas galapatērētājs Latvijā. Apstrādes rūpniecībā 2009.gadā lielākie enerģijas patērētāji bija koksnes izstrādājumu (izņemot mēbeļu ražošanu) ražošanas nozare – 39%, metālu ražošanas nozare – 19%, pārtikas produktu un dzērienu ražošanas nozare – 15%, kā arī nemetālisko minerālu izstrādājumu ražošanas nozare – 13%. Šīs nozares laika posmā no 2007.–2012.gadam, attiecīgi, veidoja 74,3%, 76,9% un 80,9% no kopējā enerģijas patēriņa apstrādes rūpniecībā. Energoresursu tālāka sadārdzināšanās var ietekmēt vairākas ekonomikā būtiskas nozares, kā piemēram, komerciālo un sabiedrisko pakalpojumu sektoru, pārstrādes rūpniecību (tostarp, visa veida kokapstrādi), kā arī pārtikas ražošanu un būvniecību.</w:t>
      </w:r>
    </w:p>
    <w:p w:rsidR="0058122D" w:rsidRDefault="0058122D" w:rsidP="0058122D">
      <w:pPr>
        <w:ind w:firstLine="720"/>
        <w:jc w:val="both"/>
        <w:rPr>
          <w:szCs w:val="28"/>
        </w:rPr>
      </w:pPr>
      <w:r>
        <w:rPr>
          <w:szCs w:val="28"/>
        </w:rPr>
        <w:t>Bez tam, 2014.gadā Latvija zaudēja vienu no lielākajiem rūpnieciskajiem elektroenerģijas un dabasgāzes patērētājiem – AS „Liepājas metalurgs”.</w:t>
      </w:r>
    </w:p>
    <w:p w:rsidR="00D41E5C" w:rsidRDefault="0030422D" w:rsidP="00CE47F4">
      <w:pPr>
        <w:ind w:firstLine="720"/>
        <w:jc w:val="both"/>
        <w:rPr>
          <w:szCs w:val="28"/>
        </w:rPr>
      </w:pPr>
      <w:r>
        <w:rPr>
          <w:szCs w:val="28"/>
        </w:rPr>
        <w:t xml:space="preserve">Liels </w:t>
      </w:r>
      <w:r w:rsidR="00CE47F4" w:rsidRPr="0063735A">
        <w:rPr>
          <w:szCs w:val="28"/>
        </w:rPr>
        <w:t>procentuālais īpatsvars patēriņa struktūrā ir zudu</w:t>
      </w:r>
      <w:r w:rsidR="00826BC7">
        <w:rPr>
          <w:szCs w:val="28"/>
        </w:rPr>
        <w:t xml:space="preserve">miem pārvades un sadales tīklos, </w:t>
      </w:r>
      <w:r>
        <w:rPr>
          <w:szCs w:val="28"/>
        </w:rPr>
        <w:t xml:space="preserve">bet to </w:t>
      </w:r>
      <w:r w:rsidR="002D4102">
        <w:rPr>
          <w:szCs w:val="28"/>
        </w:rPr>
        <w:t xml:space="preserve">apjoms ik gadu samazinās. </w:t>
      </w:r>
      <w:r>
        <w:rPr>
          <w:szCs w:val="28"/>
        </w:rPr>
        <w:t xml:space="preserve">Tas </w:t>
      </w:r>
      <w:r w:rsidR="00201FB0">
        <w:rPr>
          <w:szCs w:val="28"/>
        </w:rPr>
        <w:t xml:space="preserve">skaidrojams ar pakāpenisku pārvades un sadales tīklu infrastruktūras </w:t>
      </w:r>
      <w:r w:rsidR="00087A71">
        <w:rPr>
          <w:szCs w:val="28"/>
        </w:rPr>
        <w:t xml:space="preserve">atjaunošanu </w:t>
      </w:r>
      <w:r w:rsidR="00174473">
        <w:rPr>
          <w:rFonts w:cs="Times New Roman"/>
          <w:szCs w:val="28"/>
        </w:rPr>
        <w:t>˗</w:t>
      </w:r>
      <w:r w:rsidR="00087A71">
        <w:rPr>
          <w:szCs w:val="28"/>
        </w:rPr>
        <w:t xml:space="preserve"> </w:t>
      </w:r>
      <w:r w:rsidR="00051AA5">
        <w:rPr>
          <w:szCs w:val="28"/>
        </w:rPr>
        <w:t xml:space="preserve">fiziski novecojušo gaisvadu līniju nomaiņu pret jaunām, </w:t>
      </w:r>
      <w:r w:rsidR="00E27885">
        <w:rPr>
          <w:szCs w:val="28"/>
        </w:rPr>
        <w:t xml:space="preserve">apakšstaciju un transformatoru punktu renovāciju, </w:t>
      </w:r>
      <w:r w:rsidR="00051AA5">
        <w:rPr>
          <w:szCs w:val="28"/>
        </w:rPr>
        <w:t>kā ar</w:t>
      </w:r>
      <w:r w:rsidR="00794B56">
        <w:rPr>
          <w:szCs w:val="28"/>
        </w:rPr>
        <w:t xml:space="preserve">ī </w:t>
      </w:r>
      <w:proofErr w:type="spellStart"/>
      <w:r w:rsidR="00794B56">
        <w:rPr>
          <w:szCs w:val="28"/>
        </w:rPr>
        <w:t>vi</w:t>
      </w:r>
      <w:r w:rsidR="0087527D">
        <w:rPr>
          <w:szCs w:val="28"/>
        </w:rPr>
        <w:t>d</w:t>
      </w:r>
      <w:r w:rsidR="00794B56">
        <w:rPr>
          <w:szCs w:val="28"/>
        </w:rPr>
        <w:t>sprieguma</w:t>
      </w:r>
      <w:proofErr w:type="spellEnd"/>
      <w:r w:rsidR="00794B56">
        <w:rPr>
          <w:szCs w:val="28"/>
        </w:rPr>
        <w:t xml:space="preserve"> pārvades līniju nomaiņu pret kabeļiem. </w:t>
      </w:r>
    </w:p>
    <w:p w:rsidR="001D523A" w:rsidRPr="00E0285F" w:rsidRDefault="00AA0721" w:rsidP="00E0285F">
      <w:pPr>
        <w:ind w:firstLine="720"/>
        <w:jc w:val="both"/>
        <w:rPr>
          <w:szCs w:val="28"/>
        </w:rPr>
      </w:pPr>
      <w:r>
        <w:rPr>
          <w:szCs w:val="28"/>
        </w:rPr>
        <w:t>P</w:t>
      </w:r>
      <w:r w:rsidR="00385521">
        <w:rPr>
          <w:szCs w:val="28"/>
        </w:rPr>
        <w:t>ārvades un sadales tīklu zudum</w:t>
      </w:r>
      <w:r w:rsidR="00F63035">
        <w:rPr>
          <w:szCs w:val="28"/>
        </w:rPr>
        <w:t>i</w:t>
      </w:r>
      <w:r w:rsidR="00385521">
        <w:rPr>
          <w:szCs w:val="28"/>
        </w:rPr>
        <w:t xml:space="preserve"> pret </w:t>
      </w:r>
      <w:r w:rsidR="00F63035">
        <w:rPr>
          <w:szCs w:val="28"/>
        </w:rPr>
        <w:t xml:space="preserve">bruto </w:t>
      </w:r>
      <w:r w:rsidR="001A5E67">
        <w:rPr>
          <w:szCs w:val="28"/>
        </w:rPr>
        <w:t xml:space="preserve">elektroenerģijas patēriņu Latvijā </w:t>
      </w:r>
      <w:r w:rsidR="005B3E5F">
        <w:rPr>
          <w:szCs w:val="28"/>
        </w:rPr>
        <w:t xml:space="preserve">korelē ar situāciju </w:t>
      </w:r>
      <w:r>
        <w:rPr>
          <w:szCs w:val="28"/>
        </w:rPr>
        <w:t>Ziemeļvalstīs</w:t>
      </w:r>
      <w:r w:rsidR="00F63035">
        <w:rPr>
          <w:szCs w:val="28"/>
        </w:rPr>
        <w:t>.</w:t>
      </w:r>
      <w:r>
        <w:rPr>
          <w:szCs w:val="28"/>
        </w:rPr>
        <w:t xml:space="preserve"> Norvēģijā pārvades un sadales tīklu zudumi 2011.gadā bija 6,8%</w:t>
      </w:r>
      <w:r w:rsidR="001E61F7">
        <w:rPr>
          <w:szCs w:val="28"/>
        </w:rPr>
        <w:t xml:space="preserve">, bet 2012.gadā </w:t>
      </w:r>
      <w:r w:rsidR="00C35002">
        <w:rPr>
          <w:szCs w:val="28"/>
        </w:rPr>
        <w:t>–</w:t>
      </w:r>
      <w:r w:rsidR="00F63035">
        <w:rPr>
          <w:szCs w:val="28"/>
        </w:rPr>
        <w:t xml:space="preserve"> 8,5</w:t>
      </w:r>
      <w:r w:rsidR="00C35002">
        <w:rPr>
          <w:szCs w:val="28"/>
        </w:rPr>
        <w:t>%</w:t>
      </w:r>
      <w:r>
        <w:rPr>
          <w:szCs w:val="28"/>
        </w:rPr>
        <w:t xml:space="preserve"> no </w:t>
      </w:r>
      <w:r w:rsidR="00F63035">
        <w:rPr>
          <w:szCs w:val="28"/>
        </w:rPr>
        <w:t xml:space="preserve">bruto </w:t>
      </w:r>
      <w:r>
        <w:rPr>
          <w:szCs w:val="28"/>
        </w:rPr>
        <w:t>elektroenerģijas patēriņa</w:t>
      </w:r>
      <w:r w:rsidR="00675346">
        <w:rPr>
          <w:rStyle w:val="FootnoteReference"/>
        </w:rPr>
        <w:footnoteReference w:id="10"/>
      </w:r>
      <w:r>
        <w:rPr>
          <w:szCs w:val="28"/>
        </w:rPr>
        <w:t>.</w:t>
      </w:r>
    </w:p>
    <w:p w:rsidR="001C2E05" w:rsidRPr="00BA3FA3" w:rsidRDefault="00D37E79" w:rsidP="00D37E79">
      <w:pPr>
        <w:pStyle w:val="Heading2"/>
        <w:rPr>
          <w:rFonts w:ascii="Times New Roman" w:hAnsi="Times New Roman" w:cs="Times New Roman"/>
          <w:color w:val="auto"/>
          <w:sz w:val="28"/>
          <w:szCs w:val="28"/>
        </w:rPr>
      </w:pPr>
      <w:bookmarkStart w:id="20" w:name="_Toc400714663"/>
      <w:r w:rsidRPr="00BA3FA3">
        <w:rPr>
          <w:rFonts w:ascii="Times New Roman" w:hAnsi="Times New Roman" w:cs="Times New Roman"/>
          <w:color w:val="auto"/>
          <w:sz w:val="28"/>
          <w:szCs w:val="28"/>
        </w:rPr>
        <w:t>2.</w:t>
      </w:r>
      <w:r w:rsidR="00385045" w:rsidRPr="00BA3FA3">
        <w:rPr>
          <w:rFonts w:ascii="Times New Roman" w:hAnsi="Times New Roman" w:cs="Times New Roman"/>
          <w:color w:val="auto"/>
          <w:sz w:val="28"/>
          <w:szCs w:val="28"/>
        </w:rPr>
        <w:t>6</w:t>
      </w:r>
      <w:r w:rsidR="00427849" w:rsidRPr="00BA3FA3">
        <w:rPr>
          <w:rFonts w:ascii="Times New Roman" w:hAnsi="Times New Roman" w:cs="Times New Roman"/>
          <w:color w:val="auto"/>
          <w:sz w:val="28"/>
          <w:szCs w:val="28"/>
        </w:rPr>
        <w:t>.</w:t>
      </w:r>
      <w:r w:rsidR="00385045" w:rsidRPr="00BA3FA3">
        <w:rPr>
          <w:rFonts w:ascii="Times New Roman" w:hAnsi="Times New Roman" w:cs="Times New Roman"/>
          <w:color w:val="auto"/>
          <w:sz w:val="28"/>
          <w:szCs w:val="28"/>
        </w:rPr>
        <w:t xml:space="preserve"> </w:t>
      </w:r>
      <w:r w:rsidR="00B31B1D" w:rsidRPr="00BA3FA3">
        <w:rPr>
          <w:rFonts w:ascii="Times New Roman" w:hAnsi="Times New Roman" w:cs="Times New Roman"/>
          <w:color w:val="auto"/>
          <w:sz w:val="28"/>
          <w:szCs w:val="28"/>
        </w:rPr>
        <w:t xml:space="preserve">Elektroenerģijas </w:t>
      </w:r>
      <w:r w:rsidR="00A86E10" w:rsidRPr="00BA3FA3">
        <w:rPr>
          <w:rFonts w:ascii="Times New Roman" w:hAnsi="Times New Roman" w:cs="Times New Roman"/>
          <w:color w:val="auto"/>
          <w:sz w:val="28"/>
          <w:szCs w:val="28"/>
        </w:rPr>
        <w:t>nodrošinājums</w:t>
      </w:r>
      <w:bookmarkEnd w:id="20"/>
    </w:p>
    <w:p w:rsidR="00DE6198" w:rsidRDefault="00DE6198" w:rsidP="00DE6198">
      <w:pPr>
        <w:ind w:firstLine="720"/>
        <w:jc w:val="both"/>
      </w:pPr>
      <w:r>
        <w:t>2012.gadā kopējā elektroe</w:t>
      </w:r>
      <w:r w:rsidR="00C41FE8">
        <w:t xml:space="preserve">nerģijas piegāde bija 7859 </w:t>
      </w:r>
      <w:proofErr w:type="spellStart"/>
      <w:r w:rsidR="00C41FE8">
        <w:t>GWh</w:t>
      </w:r>
      <w:proofErr w:type="spellEnd"/>
      <w:r w:rsidR="005E1B4F">
        <w:t xml:space="preserve">, no kurām </w:t>
      </w:r>
      <w:r w:rsidR="00C41FE8">
        <w:t xml:space="preserve"> </w:t>
      </w:r>
      <w:r>
        <w:t xml:space="preserve">AS „Latvenergo” savās stacijās </w:t>
      </w:r>
      <w:r w:rsidR="009E662E">
        <w:t xml:space="preserve">(Rīgas TEC–1 un TEC–2; Daugavas HES kaskādes elektrostacijas) </w:t>
      </w:r>
      <w:r>
        <w:t>saražoja 64,6% no kopējās elektroenerģijas piegādes, 13,9% – iepirka no mazajiem elektroenerģijas ražotājiem un 21,5% – veidoja elektroenerģijas neto imports.</w:t>
      </w:r>
    </w:p>
    <w:p w:rsidR="002F13AE" w:rsidRPr="00BA3FA3" w:rsidRDefault="00D37E79" w:rsidP="001E5229">
      <w:pPr>
        <w:pStyle w:val="Heading3"/>
        <w:rPr>
          <w:color w:val="auto"/>
        </w:rPr>
      </w:pPr>
      <w:bookmarkStart w:id="21" w:name="_Toc400714664"/>
      <w:r w:rsidRPr="00BA3FA3">
        <w:rPr>
          <w:color w:val="auto"/>
        </w:rPr>
        <w:t>2.</w:t>
      </w:r>
      <w:r w:rsidR="00385045" w:rsidRPr="00BA3FA3">
        <w:rPr>
          <w:color w:val="auto"/>
        </w:rPr>
        <w:t>6</w:t>
      </w:r>
      <w:r w:rsidRPr="00BA3FA3">
        <w:rPr>
          <w:color w:val="auto"/>
        </w:rPr>
        <w:t>.1</w:t>
      </w:r>
      <w:r w:rsidR="00427849" w:rsidRPr="00BA3FA3">
        <w:rPr>
          <w:color w:val="auto"/>
        </w:rPr>
        <w:t>.</w:t>
      </w:r>
      <w:r w:rsidRPr="00BA3FA3">
        <w:rPr>
          <w:color w:val="auto"/>
        </w:rPr>
        <w:t xml:space="preserve"> </w:t>
      </w:r>
      <w:r w:rsidR="002F13AE" w:rsidRPr="00BA3FA3">
        <w:rPr>
          <w:color w:val="auto"/>
        </w:rPr>
        <w:t>Rīgas TEC</w:t>
      </w:r>
      <w:bookmarkEnd w:id="21"/>
      <w:r w:rsidR="002F13AE" w:rsidRPr="00BA3FA3">
        <w:rPr>
          <w:color w:val="auto"/>
        </w:rPr>
        <w:t xml:space="preserve"> </w:t>
      </w:r>
    </w:p>
    <w:p w:rsidR="002F13AE" w:rsidRPr="0063735A" w:rsidRDefault="002F13AE" w:rsidP="002F13AE">
      <w:pPr>
        <w:autoSpaceDE w:val="0"/>
        <w:autoSpaceDN w:val="0"/>
        <w:adjustRightInd w:val="0"/>
        <w:ind w:firstLine="567"/>
        <w:jc w:val="both"/>
        <w:rPr>
          <w:rFonts w:cs="Times New Roman"/>
          <w:bCs/>
          <w:szCs w:val="28"/>
        </w:rPr>
      </w:pPr>
      <w:r w:rsidRPr="0063735A">
        <w:rPr>
          <w:rFonts w:cs="Times New Roman"/>
          <w:bCs/>
          <w:szCs w:val="28"/>
        </w:rPr>
        <w:t>Rīgas TEC–1 un 2 ir vienīgās bāzes jaudu elektrostacijas Latvijā ar uzstādīto jaudu virs 100 MW, kas var nodrošināt nepārtrauktu elektroenerģijas un siltuma ražošanu koģenerācijas un arī kondensācijas režīmā ar maksimālo summāro gada noslodzi līdz 7500</w:t>
      </w:r>
      <w:r w:rsidR="00C748B5">
        <w:rPr>
          <w:rFonts w:cs="Times New Roman"/>
          <w:bCs/>
          <w:szCs w:val="28"/>
        </w:rPr>
        <w:t> </w:t>
      </w:r>
      <w:r w:rsidRPr="0063735A">
        <w:rPr>
          <w:rFonts w:cs="Times New Roman"/>
          <w:bCs/>
          <w:szCs w:val="28"/>
        </w:rPr>
        <w:t xml:space="preserve">h. </w:t>
      </w:r>
    </w:p>
    <w:p w:rsidR="002F13AE" w:rsidRPr="0063735A" w:rsidRDefault="002F13AE" w:rsidP="002F13AE">
      <w:pPr>
        <w:autoSpaceDE w:val="0"/>
        <w:autoSpaceDN w:val="0"/>
        <w:adjustRightInd w:val="0"/>
        <w:ind w:firstLine="567"/>
        <w:jc w:val="both"/>
        <w:rPr>
          <w:rFonts w:cs="Times New Roman"/>
          <w:szCs w:val="28"/>
        </w:rPr>
      </w:pPr>
      <w:r w:rsidRPr="0063735A">
        <w:rPr>
          <w:rFonts w:cs="Times New Roman"/>
          <w:bCs/>
          <w:szCs w:val="28"/>
        </w:rPr>
        <w:t xml:space="preserve">Pirms rekonstrukcijas </w:t>
      </w:r>
      <w:r w:rsidRPr="0063735A">
        <w:rPr>
          <w:rFonts w:cs="Times New Roman"/>
          <w:szCs w:val="28"/>
        </w:rPr>
        <w:t>kā k</w:t>
      </w:r>
      <w:r w:rsidRPr="0063735A">
        <w:rPr>
          <w:rFonts w:cs="Times New Roman"/>
          <w:bCs/>
          <w:szCs w:val="28"/>
        </w:rPr>
        <w:t xml:space="preserve">urināmais Rīgas TEC–2 tika izmantota </w:t>
      </w:r>
      <w:r w:rsidRPr="0063735A">
        <w:rPr>
          <w:rFonts w:cs="Times New Roman"/>
          <w:szCs w:val="28"/>
        </w:rPr>
        <w:t xml:space="preserve">dabasgāze un mazuts. Tās </w:t>
      </w:r>
      <w:r w:rsidRPr="0063735A">
        <w:rPr>
          <w:rFonts w:cs="Times New Roman"/>
          <w:bCs/>
          <w:szCs w:val="28"/>
        </w:rPr>
        <w:t xml:space="preserve">elektriskā jauda (bruto) sasniedza </w:t>
      </w:r>
      <w:r w:rsidRPr="0063735A">
        <w:rPr>
          <w:rFonts w:cs="Times New Roman"/>
          <w:szCs w:val="28"/>
        </w:rPr>
        <w:t>390 MW, bet s</w:t>
      </w:r>
      <w:r w:rsidRPr="0063735A">
        <w:rPr>
          <w:rFonts w:cs="Times New Roman"/>
          <w:bCs/>
          <w:szCs w:val="28"/>
        </w:rPr>
        <w:t xml:space="preserve">iltuma jauda </w:t>
      </w:r>
      <w:r w:rsidRPr="0063735A">
        <w:rPr>
          <w:rFonts w:ascii="Arial" w:hAnsi="Arial" w:cs="Arial"/>
          <w:color w:val="000000"/>
          <w:sz w:val="24"/>
          <w:szCs w:val="28"/>
        </w:rPr>
        <w:t>–</w:t>
      </w:r>
      <w:r w:rsidRPr="0063735A">
        <w:rPr>
          <w:rFonts w:cs="Times New Roman"/>
          <w:bCs/>
          <w:szCs w:val="28"/>
        </w:rPr>
        <w:t xml:space="preserve"> </w:t>
      </w:r>
      <w:r w:rsidRPr="0063735A">
        <w:rPr>
          <w:rFonts w:cs="Times New Roman"/>
          <w:szCs w:val="28"/>
        </w:rPr>
        <w:t xml:space="preserve">1249 MW, pie </w:t>
      </w:r>
      <w:r w:rsidRPr="0063735A">
        <w:rPr>
          <w:rFonts w:cs="Times New Roman"/>
          <w:bCs/>
          <w:szCs w:val="28"/>
        </w:rPr>
        <w:t xml:space="preserve">elektriskās </w:t>
      </w:r>
      <w:r w:rsidRPr="0063735A">
        <w:rPr>
          <w:rFonts w:ascii="Arial" w:hAnsi="Arial" w:cs="Arial"/>
          <w:color w:val="000000"/>
          <w:sz w:val="24"/>
          <w:szCs w:val="28"/>
        </w:rPr>
        <w:t>–</w:t>
      </w:r>
      <w:r w:rsidRPr="0063735A">
        <w:rPr>
          <w:rFonts w:cs="Times New Roman"/>
          <w:bCs/>
          <w:szCs w:val="28"/>
        </w:rPr>
        <w:t xml:space="preserve"> siltuma jaudas attiecības 0,54. Kurināmā izmantošanas koeficients darbinot staciju </w:t>
      </w:r>
      <w:r w:rsidRPr="0063735A">
        <w:rPr>
          <w:rFonts w:cs="Times New Roman"/>
          <w:szCs w:val="28"/>
        </w:rPr>
        <w:t xml:space="preserve">koģenerācijas režīmā </w:t>
      </w:r>
      <w:r w:rsidRPr="0063735A">
        <w:rPr>
          <w:rFonts w:cs="Times New Roman"/>
          <w:szCs w:val="28"/>
        </w:rPr>
        <w:lastRenderedPageBreak/>
        <w:t xml:space="preserve">atbilda 82%, bet kondensācijas režīmā </w:t>
      </w:r>
      <w:r w:rsidRPr="0063735A">
        <w:rPr>
          <w:rFonts w:ascii="Arial" w:hAnsi="Arial" w:cs="Arial"/>
          <w:color w:val="000000"/>
          <w:sz w:val="24"/>
          <w:szCs w:val="28"/>
        </w:rPr>
        <w:t>–</w:t>
      </w:r>
      <w:r w:rsidRPr="0063735A">
        <w:rPr>
          <w:rFonts w:cs="Times New Roman"/>
          <w:szCs w:val="28"/>
        </w:rPr>
        <w:t xml:space="preserve"> 31%. 2007.gadā Rīgas TEC</w:t>
      </w:r>
      <w:r w:rsidRPr="0063735A">
        <w:rPr>
          <w:rFonts w:ascii="Arial" w:hAnsi="Arial" w:cs="Arial"/>
          <w:color w:val="000000"/>
          <w:sz w:val="24"/>
          <w:szCs w:val="28"/>
        </w:rPr>
        <w:t>–</w:t>
      </w:r>
      <w:r w:rsidRPr="0063735A">
        <w:rPr>
          <w:rFonts w:cs="Times New Roman"/>
          <w:szCs w:val="28"/>
        </w:rPr>
        <w:t>2 tika saražotas</w:t>
      </w:r>
      <w:r w:rsidRPr="0063735A">
        <w:rPr>
          <w:rFonts w:cs="Times New Roman"/>
          <w:bCs/>
          <w:szCs w:val="28"/>
        </w:rPr>
        <w:t xml:space="preserve"> 652 </w:t>
      </w:r>
      <w:proofErr w:type="spellStart"/>
      <w:r w:rsidRPr="0063735A">
        <w:rPr>
          <w:rFonts w:cs="Times New Roman"/>
          <w:bCs/>
          <w:szCs w:val="28"/>
        </w:rPr>
        <w:t>GWh</w:t>
      </w:r>
      <w:proofErr w:type="spellEnd"/>
      <w:r w:rsidRPr="0063735A">
        <w:rPr>
          <w:rFonts w:cs="Times New Roman"/>
          <w:bCs/>
          <w:szCs w:val="28"/>
        </w:rPr>
        <w:t xml:space="preserve"> elektroenerģijas. </w:t>
      </w:r>
    </w:p>
    <w:p w:rsidR="002F13AE" w:rsidRDefault="002F13AE" w:rsidP="002F13AE">
      <w:pPr>
        <w:autoSpaceDE w:val="0"/>
        <w:autoSpaceDN w:val="0"/>
        <w:adjustRightInd w:val="0"/>
        <w:ind w:firstLine="567"/>
        <w:jc w:val="both"/>
        <w:rPr>
          <w:rFonts w:cs="Times New Roman"/>
          <w:szCs w:val="28"/>
        </w:rPr>
      </w:pPr>
      <w:r w:rsidRPr="0063735A">
        <w:rPr>
          <w:rFonts w:cs="Times New Roman"/>
          <w:bCs/>
          <w:szCs w:val="28"/>
        </w:rPr>
        <w:t xml:space="preserve">Pēc rekonstrukcijas 2.kārtas noslēgšanas 2013.gadā stacijā kā kurināmais tiek izmantota </w:t>
      </w:r>
      <w:r w:rsidRPr="0063735A">
        <w:rPr>
          <w:rFonts w:cs="Times New Roman"/>
          <w:szCs w:val="28"/>
        </w:rPr>
        <w:t>dabasgāze un dīzeļdegviela, un tās e</w:t>
      </w:r>
      <w:r w:rsidRPr="0063735A">
        <w:rPr>
          <w:rFonts w:cs="Times New Roman"/>
          <w:bCs/>
          <w:szCs w:val="28"/>
        </w:rPr>
        <w:t xml:space="preserve">lektriskā jauda (bruto) sasniedz </w:t>
      </w:r>
      <w:r w:rsidRPr="0063735A">
        <w:rPr>
          <w:rFonts w:cs="Times New Roman"/>
          <w:szCs w:val="28"/>
        </w:rPr>
        <w:t>833 MW, bet s</w:t>
      </w:r>
      <w:r w:rsidRPr="0063735A">
        <w:rPr>
          <w:rFonts w:cs="Times New Roman"/>
          <w:bCs/>
          <w:szCs w:val="28"/>
        </w:rPr>
        <w:t xml:space="preserve">iltuma jauda </w:t>
      </w:r>
      <w:r w:rsidRPr="0063735A">
        <w:rPr>
          <w:rFonts w:cs="Times New Roman"/>
          <w:szCs w:val="28"/>
        </w:rPr>
        <w:t>–</w:t>
      </w:r>
      <w:r w:rsidRPr="0063735A">
        <w:rPr>
          <w:rFonts w:cs="Times New Roman"/>
          <w:bCs/>
          <w:szCs w:val="28"/>
        </w:rPr>
        <w:t xml:space="preserve"> </w:t>
      </w:r>
      <w:r w:rsidRPr="0063735A">
        <w:rPr>
          <w:rFonts w:cs="Times New Roman"/>
          <w:szCs w:val="28"/>
        </w:rPr>
        <w:t xml:space="preserve">1124 MW pie </w:t>
      </w:r>
      <w:r w:rsidRPr="0063735A">
        <w:rPr>
          <w:rFonts w:cs="Times New Roman"/>
          <w:bCs/>
          <w:szCs w:val="28"/>
        </w:rPr>
        <w:t xml:space="preserve">elektriskās </w:t>
      </w:r>
      <w:r w:rsidRPr="0063735A">
        <w:rPr>
          <w:rFonts w:cs="Times New Roman"/>
          <w:szCs w:val="28"/>
        </w:rPr>
        <w:t>–</w:t>
      </w:r>
      <w:r w:rsidRPr="0063735A">
        <w:rPr>
          <w:rFonts w:cs="Times New Roman"/>
          <w:bCs/>
          <w:szCs w:val="28"/>
        </w:rPr>
        <w:t xml:space="preserve"> siltuma jaudas attiecības 1,53. Kurināmā izmantošanas koeficients koģenerācijas režīmā pieaudzis līdz </w:t>
      </w:r>
      <w:r w:rsidRPr="0063735A">
        <w:rPr>
          <w:rFonts w:cs="Times New Roman"/>
          <w:szCs w:val="28"/>
        </w:rPr>
        <w:t xml:space="preserve">89%, bet kondensācijā – 56%. </w:t>
      </w:r>
    </w:p>
    <w:p w:rsidR="002F13AE" w:rsidRDefault="00710232" w:rsidP="002F13AE">
      <w:pPr>
        <w:autoSpaceDE w:val="0"/>
        <w:autoSpaceDN w:val="0"/>
        <w:adjustRightInd w:val="0"/>
        <w:ind w:firstLine="567"/>
        <w:jc w:val="both"/>
        <w:rPr>
          <w:rFonts w:cs="Times New Roman"/>
          <w:bCs/>
          <w:szCs w:val="28"/>
        </w:rPr>
      </w:pPr>
      <w:r>
        <w:rPr>
          <w:rFonts w:cs="Times New Roman"/>
          <w:bCs/>
          <w:szCs w:val="28"/>
        </w:rPr>
        <w:t xml:space="preserve">Rīgas TEC–1 un TEC–2 </w:t>
      </w:r>
      <w:r w:rsidRPr="0026080B">
        <w:rPr>
          <w:rFonts w:cs="Times New Roman"/>
          <w:bCs/>
          <w:szCs w:val="28"/>
        </w:rPr>
        <w:t xml:space="preserve">summārās elektroenerģijas izstrādes laika periodā no 1992.–2013.gadam redzamas </w:t>
      </w:r>
      <w:r w:rsidR="002F13AE">
        <w:rPr>
          <w:rFonts w:cs="Times New Roman"/>
          <w:bCs/>
          <w:szCs w:val="28"/>
        </w:rPr>
        <w:t>2</w:t>
      </w:r>
      <w:r w:rsidRPr="0026080B">
        <w:rPr>
          <w:rFonts w:cs="Times New Roman"/>
          <w:bCs/>
          <w:szCs w:val="28"/>
        </w:rPr>
        <w:t>.tabulā.</w:t>
      </w:r>
    </w:p>
    <w:p w:rsidR="00710232" w:rsidRPr="00BA3FA3" w:rsidRDefault="002F13AE" w:rsidP="00BA3FA3">
      <w:pPr>
        <w:jc w:val="right"/>
        <w:rPr>
          <w:rFonts w:eastAsia="Times New Roman" w:cs="Times New Roman"/>
          <w:bCs/>
          <w:szCs w:val="28"/>
        </w:rPr>
      </w:pPr>
      <w:r w:rsidRPr="00BA3FA3">
        <w:rPr>
          <w:rFonts w:eastAsia="Times New Roman" w:cs="Times New Roman"/>
          <w:bCs/>
          <w:szCs w:val="28"/>
        </w:rPr>
        <w:t>2</w:t>
      </w:r>
      <w:r w:rsidR="00710232" w:rsidRPr="00BA3FA3">
        <w:rPr>
          <w:rFonts w:eastAsia="Times New Roman" w:cs="Times New Roman"/>
          <w:bCs/>
          <w:szCs w:val="28"/>
        </w:rPr>
        <w:t xml:space="preserve">.tabula </w:t>
      </w:r>
    </w:p>
    <w:p w:rsidR="00710232" w:rsidRDefault="00710232" w:rsidP="00593376">
      <w:pPr>
        <w:jc w:val="center"/>
        <w:rPr>
          <w:rFonts w:eastAsia="Times New Roman" w:cs="Times New Roman"/>
          <w:b/>
          <w:bCs/>
          <w:szCs w:val="28"/>
        </w:rPr>
      </w:pPr>
      <w:r>
        <w:rPr>
          <w:rFonts w:eastAsia="Times New Roman" w:cs="Times New Roman"/>
          <w:b/>
          <w:bCs/>
          <w:szCs w:val="28"/>
        </w:rPr>
        <w:t>Rīgas TEC–1 un TEC–2 saražotā elektroenerģija (2000.–201</w:t>
      </w:r>
      <w:r w:rsidR="00A81A39">
        <w:rPr>
          <w:rFonts w:eastAsia="Times New Roman" w:cs="Times New Roman"/>
          <w:b/>
          <w:bCs/>
          <w:szCs w:val="28"/>
        </w:rPr>
        <w:t>3</w:t>
      </w:r>
      <w:r>
        <w:rPr>
          <w:rFonts w:eastAsia="Times New Roman" w:cs="Times New Roman"/>
          <w:b/>
          <w:bCs/>
          <w:szCs w:val="28"/>
        </w:rPr>
        <w:t xml:space="preserve">.g., </w:t>
      </w:r>
      <w:proofErr w:type="spellStart"/>
      <w:r w:rsidRPr="0063735A">
        <w:rPr>
          <w:rFonts w:eastAsia="Times New Roman" w:cs="Times New Roman"/>
          <w:b/>
          <w:bCs/>
          <w:szCs w:val="28"/>
        </w:rPr>
        <w:t>GWh</w:t>
      </w:r>
      <w:proofErr w:type="spellEnd"/>
      <w:r>
        <w:rPr>
          <w:rFonts w:eastAsia="Times New Roman" w:cs="Times New Roman"/>
          <w:b/>
          <w:bCs/>
          <w:szCs w:val="28"/>
        </w:rPr>
        <w:t>)</w:t>
      </w:r>
      <w:r w:rsidR="00BF494C">
        <w:rPr>
          <w:rStyle w:val="FootnoteReference"/>
          <w:rFonts w:eastAsia="Times New Roman" w:cs="Times New Roman"/>
          <w:b/>
          <w:bCs/>
        </w:rPr>
        <w:footnoteReference w:id="11"/>
      </w:r>
    </w:p>
    <w:tbl>
      <w:tblPr>
        <w:tblStyle w:val="TableGrid"/>
        <w:tblW w:w="7076" w:type="dxa"/>
        <w:jc w:val="center"/>
        <w:tblInd w:w="-2170" w:type="dxa"/>
        <w:tblLayout w:type="fixed"/>
        <w:tblLook w:val="04A0" w:firstRow="1" w:lastRow="0" w:firstColumn="1" w:lastColumn="0" w:noHBand="0" w:noVBand="1"/>
      </w:tblPr>
      <w:tblGrid>
        <w:gridCol w:w="846"/>
        <w:gridCol w:w="709"/>
        <w:gridCol w:w="850"/>
        <w:gridCol w:w="851"/>
        <w:gridCol w:w="850"/>
        <w:gridCol w:w="709"/>
        <w:gridCol w:w="1134"/>
        <w:gridCol w:w="1127"/>
      </w:tblGrid>
      <w:tr w:rsidR="00545CFB" w:rsidRPr="00391986" w:rsidTr="00BA3FA3">
        <w:trPr>
          <w:jc w:val="center"/>
        </w:trPr>
        <w:tc>
          <w:tcPr>
            <w:tcW w:w="846" w:type="dxa"/>
          </w:tcPr>
          <w:p w:rsidR="00545CFB" w:rsidRPr="00391986" w:rsidRDefault="00545CFB" w:rsidP="000B3DCE">
            <w:pPr>
              <w:autoSpaceDE w:val="0"/>
              <w:autoSpaceDN w:val="0"/>
              <w:adjustRightInd w:val="0"/>
              <w:jc w:val="both"/>
              <w:rPr>
                <w:rFonts w:cs="Times New Roman"/>
                <w:b/>
                <w:bCs/>
                <w:sz w:val="24"/>
                <w:szCs w:val="24"/>
              </w:rPr>
            </w:pPr>
            <w:r w:rsidRPr="00391986">
              <w:rPr>
                <w:rFonts w:cs="Times New Roman"/>
                <w:b/>
                <w:bCs/>
                <w:sz w:val="24"/>
                <w:szCs w:val="24"/>
              </w:rPr>
              <w:t>Gads</w:t>
            </w:r>
          </w:p>
        </w:tc>
        <w:tc>
          <w:tcPr>
            <w:tcW w:w="709" w:type="dxa"/>
          </w:tcPr>
          <w:p w:rsidR="00545CFB" w:rsidRPr="00391986" w:rsidRDefault="00545CFB" w:rsidP="000B3DCE">
            <w:pPr>
              <w:autoSpaceDE w:val="0"/>
              <w:autoSpaceDN w:val="0"/>
              <w:adjustRightInd w:val="0"/>
              <w:jc w:val="both"/>
              <w:rPr>
                <w:rFonts w:cs="Times New Roman"/>
                <w:b/>
                <w:bCs/>
                <w:sz w:val="24"/>
                <w:szCs w:val="24"/>
              </w:rPr>
            </w:pPr>
            <w:r w:rsidRPr="00391986">
              <w:rPr>
                <w:rFonts w:cs="Times New Roman"/>
                <w:b/>
                <w:bCs/>
                <w:sz w:val="24"/>
                <w:szCs w:val="24"/>
              </w:rPr>
              <w:t>2000</w:t>
            </w:r>
          </w:p>
        </w:tc>
        <w:tc>
          <w:tcPr>
            <w:tcW w:w="850" w:type="dxa"/>
          </w:tcPr>
          <w:p w:rsidR="00545CFB" w:rsidRPr="00391986" w:rsidRDefault="00545CFB" w:rsidP="000B3DCE">
            <w:pPr>
              <w:autoSpaceDE w:val="0"/>
              <w:autoSpaceDN w:val="0"/>
              <w:adjustRightInd w:val="0"/>
              <w:jc w:val="both"/>
              <w:rPr>
                <w:rFonts w:cs="Times New Roman"/>
                <w:b/>
                <w:bCs/>
                <w:sz w:val="24"/>
                <w:szCs w:val="24"/>
              </w:rPr>
            </w:pPr>
            <w:r w:rsidRPr="00391986">
              <w:rPr>
                <w:rFonts w:cs="Times New Roman"/>
                <w:b/>
                <w:bCs/>
                <w:sz w:val="24"/>
                <w:szCs w:val="24"/>
              </w:rPr>
              <w:t>2001</w:t>
            </w:r>
          </w:p>
        </w:tc>
        <w:tc>
          <w:tcPr>
            <w:tcW w:w="851" w:type="dxa"/>
          </w:tcPr>
          <w:p w:rsidR="00545CFB" w:rsidRPr="004D502C" w:rsidRDefault="00545CFB" w:rsidP="000B3DCE">
            <w:pPr>
              <w:autoSpaceDE w:val="0"/>
              <w:autoSpaceDN w:val="0"/>
              <w:adjustRightInd w:val="0"/>
              <w:jc w:val="both"/>
              <w:rPr>
                <w:rFonts w:cs="Times New Roman"/>
                <w:b/>
                <w:bCs/>
                <w:sz w:val="24"/>
                <w:szCs w:val="24"/>
              </w:rPr>
            </w:pPr>
            <w:r w:rsidRPr="004D502C">
              <w:rPr>
                <w:rFonts w:cs="Times New Roman"/>
                <w:b/>
                <w:bCs/>
                <w:sz w:val="24"/>
                <w:szCs w:val="24"/>
              </w:rPr>
              <w:t>2002</w:t>
            </w:r>
          </w:p>
        </w:tc>
        <w:tc>
          <w:tcPr>
            <w:tcW w:w="850" w:type="dxa"/>
          </w:tcPr>
          <w:p w:rsidR="00545CFB" w:rsidRPr="00391986" w:rsidRDefault="00545CFB" w:rsidP="000B3DCE">
            <w:pPr>
              <w:autoSpaceDE w:val="0"/>
              <w:autoSpaceDN w:val="0"/>
              <w:adjustRightInd w:val="0"/>
              <w:jc w:val="both"/>
              <w:rPr>
                <w:rFonts w:cs="Times New Roman"/>
                <w:b/>
                <w:bCs/>
                <w:sz w:val="24"/>
                <w:szCs w:val="24"/>
              </w:rPr>
            </w:pPr>
            <w:r w:rsidRPr="00391986">
              <w:rPr>
                <w:rFonts w:cs="Times New Roman"/>
                <w:b/>
                <w:bCs/>
                <w:sz w:val="24"/>
                <w:szCs w:val="24"/>
              </w:rPr>
              <w:t>2003</w:t>
            </w:r>
          </w:p>
        </w:tc>
        <w:tc>
          <w:tcPr>
            <w:tcW w:w="709" w:type="dxa"/>
          </w:tcPr>
          <w:p w:rsidR="00545CFB" w:rsidRPr="00391986" w:rsidRDefault="00545CFB" w:rsidP="000B3DCE">
            <w:pPr>
              <w:autoSpaceDE w:val="0"/>
              <w:autoSpaceDN w:val="0"/>
              <w:adjustRightInd w:val="0"/>
              <w:jc w:val="both"/>
              <w:rPr>
                <w:rFonts w:cs="Times New Roman"/>
                <w:b/>
                <w:bCs/>
                <w:sz w:val="24"/>
                <w:szCs w:val="24"/>
              </w:rPr>
            </w:pPr>
            <w:r w:rsidRPr="00391986">
              <w:rPr>
                <w:rFonts w:cs="Times New Roman"/>
                <w:b/>
                <w:bCs/>
                <w:sz w:val="24"/>
                <w:szCs w:val="24"/>
              </w:rPr>
              <w:t>2004</w:t>
            </w:r>
          </w:p>
        </w:tc>
        <w:tc>
          <w:tcPr>
            <w:tcW w:w="1134" w:type="dxa"/>
          </w:tcPr>
          <w:p w:rsidR="00545CFB" w:rsidRPr="00391986" w:rsidRDefault="00545CFB" w:rsidP="000B3DCE">
            <w:pPr>
              <w:autoSpaceDE w:val="0"/>
              <w:autoSpaceDN w:val="0"/>
              <w:adjustRightInd w:val="0"/>
              <w:jc w:val="both"/>
              <w:rPr>
                <w:rFonts w:cs="Times New Roman"/>
                <w:b/>
                <w:bCs/>
                <w:sz w:val="24"/>
                <w:szCs w:val="24"/>
              </w:rPr>
            </w:pPr>
            <w:r w:rsidRPr="00391986">
              <w:rPr>
                <w:rFonts w:cs="Times New Roman"/>
                <w:b/>
                <w:bCs/>
                <w:sz w:val="24"/>
                <w:szCs w:val="24"/>
              </w:rPr>
              <w:t>2005</w:t>
            </w:r>
          </w:p>
        </w:tc>
        <w:tc>
          <w:tcPr>
            <w:tcW w:w="1127" w:type="dxa"/>
          </w:tcPr>
          <w:p w:rsidR="00545CFB" w:rsidRPr="00391986" w:rsidRDefault="00545CFB" w:rsidP="000B3DCE">
            <w:pPr>
              <w:autoSpaceDE w:val="0"/>
              <w:autoSpaceDN w:val="0"/>
              <w:adjustRightInd w:val="0"/>
              <w:jc w:val="both"/>
              <w:rPr>
                <w:rFonts w:cs="Times New Roman"/>
                <w:b/>
                <w:bCs/>
                <w:sz w:val="24"/>
                <w:szCs w:val="24"/>
              </w:rPr>
            </w:pPr>
            <w:r w:rsidRPr="00391986">
              <w:rPr>
                <w:rFonts w:cs="Times New Roman"/>
                <w:b/>
                <w:bCs/>
                <w:sz w:val="24"/>
                <w:szCs w:val="24"/>
              </w:rPr>
              <w:t>2006</w:t>
            </w:r>
          </w:p>
        </w:tc>
      </w:tr>
      <w:tr w:rsidR="00545CFB" w:rsidRPr="00391986" w:rsidTr="00BA3FA3">
        <w:trPr>
          <w:jc w:val="center"/>
        </w:trPr>
        <w:tc>
          <w:tcPr>
            <w:tcW w:w="846" w:type="dxa"/>
          </w:tcPr>
          <w:p w:rsidR="00545CFB" w:rsidRPr="00391986" w:rsidRDefault="00545CFB" w:rsidP="000B3DCE">
            <w:pPr>
              <w:autoSpaceDE w:val="0"/>
              <w:autoSpaceDN w:val="0"/>
              <w:adjustRightInd w:val="0"/>
              <w:jc w:val="both"/>
              <w:rPr>
                <w:rFonts w:cs="Times New Roman"/>
                <w:b/>
                <w:bCs/>
                <w:sz w:val="24"/>
                <w:szCs w:val="24"/>
              </w:rPr>
            </w:pPr>
            <w:proofErr w:type="spellStart"/>
            <w:r w:rsidRPr="00391986">
              <w:rPr>
                <w:rFonts w:cs="Times New Roman"/>
                <w:b/>
                <w:bCs/>
                <w:sz w:val="24"/>
                <w:szCs w:val="24"/>
              </w:rPr>
              <w:t>GWh</w:t>
            </w:r>
            <w:proofErr w:type="spellEnd"/>
          </w:p>
        </w:tc>
        <w:tc>
          <w:tcPr>
            <w:tcW w:w="709" w:type="dxa"/>
          </w:tcPr>
          <w:p w:rsidR="00545CFB" w:rsidRPr="00391986" w:rsidRDefault="00545CFB" w:rsidP="000B3DCE">
            <w:pPr>
              <w:jc w:val="both"/>
              <w:rPr>
                <w:rFonts w:cs="Times New Roman"/>
                <w:color w:val="000000"/>
                <w:sz w:val="24"/>
                <w:szCs w:val="24"/>
              </w:rPr>
            </w:pPr>
            <w:r w:rsidRPr="00391986">
              <w:rPr>
                <w:rFonts w:cs="Times New Roman"/>
                <w:color w:val="000000"/>
                <w:sz w:val="24"/>
                <w:szCs w:val="24"/>
              </w:rPr>
              <w:t>1313</w:t>
            </w:r>
          </w:p>
        </w:tc>
        <w:tc>
          <w:tcPr>
            <w:tcW w:w="850" w:type="dxa"/>
          </w:tcPr>
          <w:p w:rsidR="00545CFB" w:rsidRPr="00391986" w:rsidRDefault="00545CFB" w:rsidP="000B3DCE">
            <w:pPr>
              <w:autoSpaceDE w:val="0"/>
              <w:autoSpaceDN w:val="0"/>
              <w:adjustRightInd w:val="0"/>
              <w:jc w:val="both"/>
              <w:rPr>
                <w:rFonts w:cs="Times New Roman"/>
                <w:bCs/>
                <w:sz w:val="24"/>
                <w:szCs w:val="24"/>
              </w:rPr>
            </w:pPr>
            <w:r w:rsidRPr="00391986">
              <w:rPr>
                <w:rFonts w:cs="Times New Roman"/>
                <w:bCs/>
                <w:sz w:val="24"/>
                <w:szCs w:val="24"/>
              </w:rPr>
              <w:t>1444</w:t>
            </w:r>
          </w:p>
        </w:tc>
        <w:tc>
          <w:tcPr>
            <w:tcW w:w="851" w:type="dxa"/>
          </w:tcPr>
          <w:p w:rsidR="00545CFB" w:rsidRPr="004D502C" w:rsidRDefault="00545CFB" w:rsidP="000B3DCE">
            <w:pPr>
              <w:autoSpaceDE w:val="0"/>
              <w:autoSpaceDN w:val="0"/>
              <w:adjustRightInd w:val="0"/>
              <w:jc w:val="both"/>
              <w:rPr>
                <w:rFonts w:cs="Times New Roman"/>
                <w:bCs/>
                <w:sz w:val="24"/>
                <w:szCs w:val="24"/>
              </w:rPr>
            </w:pPr>
            <w:r w:rsidRPr="004D502C">
              <w:rPr>
                <w:rFonts w:cs="Times New Roman"/>
                <w:bCs/>
                <w:sz w:val="24"/>
                <w:szCs w:val="24"/>
              </w:rPr>
              <w:t>1496</w:t>
            </w:r>
          </w:p>
        </w:tc>
        <w:tc>
          <w:tcPr>
            <w:tcW w:w="850" w:type="dxa"/>
          </w:tcPr>
          <w:p w:rsidR="00545CFB" w:rsidRPr="00391986" w:rsidRDefault="00545CFB" w:rsidP="000B3DCE">
            <w:pPr>
              <w:autoSpaceDE w:val="0"/>
              <w:autoSpaceDN w:val="0"/>
              <w:adjustRightInd w:val="0"/>
              <w:jc w:val="both"/>
              <w:rPr>
                <w:rFonts w:cs="Times New Roman"/>
                <w:bCs/>
                <w:sz w:val="24"/>
                <w:szCs w:val="24"/>
              </w:rPr>
            </w:pPr>
            <w:r w:rsidRPr="00391986">
              <w:rPr>
                <w:rFonts w:cs="Times New Roman"/>
                <w:bCs/>
                <w:sz w:val="24"/>
                <w:szCs w:val="24"/>
              </w:rPr>
              <w:t>1643</w:t>
            </w:r>
          </w:p>
        </w:tc>
        <w:tc>
          <w:tcPr>
            <w:tcW w:w="709" w:type="dxa"/>
          </w:tcPr>
          <w:p w:rsidR="00545CFB" w:rsidRPr="00391986" w:rsidRDefault="00545CFB" w:rsidP="000B3DCE">
            <w:pPr>
              <w:autoSpaceDE w:val="0"/>
              <w:autoSpaceDN w:val="0"/>
              <w:adjustRightInd w:val="0"/>
              <w:jc w:val="both"/>
              <w:rPr>
                <w:rFonts w:cs="Times New Roman"/>
                <w:bCs/>
                <w:sz w:val="24"/>
                <w:szCs w:val="24"/>
              </w:rPr>
            </w:pPr>
            <w:r w:rsidRPr="00391986">
              <w:rPr>
                <w:rFonts w:cs="Times New Roman"/>
                <w:bCs/>
                <w:sz w:val="24"/>
                <w:szCs w:val="24"/>
              </w:rPr>
              <w:t>1531</w:t>
            </w:r>
          </w:p>
        </w:tc>
        <w:tc>
          <w:tcPr>
            <w:tcW w:w="1134" w:type="dxa"/>
          </w:tcPr>
          <w:p w:rsidR="00545CFB" w:rsidRPr="00391986" w:rsidRDefault="00545CFB" w:rsidP="000B3DCE">
            <w:pPr>
              <w:autoSpaceDE w:val="0"/>
              <w:autoSpaceDN w:val="0"/>
              <w:adjustRightInd w:val="0"/>
              <w:jc w:val="both"/>
              <w:rPr>
                <w:rFonts w:cs="Times New Roman"/>
                <w:bCs/>
                <w:sz w:val="24"/>
                <w:szCs w:val="24"/>
              </w:rPr>
            </w:pPr>
            <w:r w:rsidRPr="00391986">
              <w:rPr>
                <w:rFonts w:cs="Times New Roman"/>
                <w:bCs/>
                <w:sz w:val="24"/>
                <w:szCs w:val="24"/>
              </w:rPr>
              <w:t>1532</w:t>
            </w:r>
          </w:p>
        </w:tc>
        <w:tc>
          <w:tcPr>
            <w:tcW w:w="1127" w:type="dxa"/>
          </w:tcPr>
          <w:p w:rsidR="00545CFB" w:rsidRPr="00391986" w:rsidRDefault="00545CFB" w:rsidP="000B3DCE">
            <w:pPr>
              <w:autoSpaceDE w:val="0"/>
              <w:autoSpaceDN w:val="0"/>
              <w:adjustRightInd w:val="0"/>
              <w:jc w:val="both"/>
              <w:rPr>
                <w:rFonts w:cs="Times New Roman"/>
                <w:bCs/>
                <w:sz w:val="24"/>
                <w:szCs w:val="24"/>
              </w:rPr>
            </w:pPr>
            <w:r w:rsidRPr="00391986">
              <w:rPr>
                <w:rFonts w:cs="Times New Roman"/>
                <w:bCs/>
                <w:sz w:val="24"/>
                <w:szCs w:val="24"/>
              </w:rPr>
              <w:t>2147</w:t>
            </w:r>
          </w:p>
        </w:tc>
      </w:tr>
      <w:tr w:rsidR="00545CFB" w:rsidRPr="00391986" w:rsidTr="00BA3FA3">
        <w:trPr>
          <w:jc w:val="center"/>
        </w:trPr>
        <w:tc>
          <w:tcPr>
            <w:tcW w:w="7076" w:type="dxa"/>
            <w:gridSpan w:val="8"/>
          </w:tcPr>
          <w:p w:rsidR="00545CFB" w:rsidRPr="00391986" w:rsidRDefault="00545CFB" w:rsidP="000B3DCE">
            <w:pPr>
              <w:autoSpaceDE w:val="0"/>
              <w:autoSpaceDN w:val="0"/>
              <w:adjustRightInd w:val="0"/>
              <w:jc w:val="both"/>
              <w:rPr>
                <w:rFonts w:cs="Times New Roman"/>
                <w:b/>
                <w:bCs/>
                <w:sz w:val="24"/>
                <w:szCs w:val="24"/>
              </w:rPr>
            </w:pPr>
          </w:p>
        </w:tc>
      </w:tr>
      <w:tr w:rsidR="00545CFB" w:rsidRPr="00391986" w:rsidTr="00BA3FA3">
        <w:trPr>
          <w:jc w:val="center"/>
        </w:trPr>
        <w:tc>
          <w:tcPr>
            <w:tcW w:w="846" w:type="dxa"/>
          </w:tcPr>
          <w:p w:rsidR="00545CFB" w:rsidRPr="00391986" w:rsidRDefault="00545CFB" w:rsidP="000B3DCE">
            <w:pPr>
              <w:autoSpaceDE w:val="0"/>
              <w:autoSpaceDN w:val="0"/>
              <w:adjustRightInd w:val="0"/>
              <w:jc w:val="both"/>
              <w:rPr>
                <w:rFonts w:cs="Times New Roman"/>
                <w:b/>
                <w:bCs/>
                <w:sz w:val="24"/>
                <w:szCs w:val="24"/>
              </w:rPr>
            </w:pPr>
            <w:r>
              <w:rPr>
                <w:rFonts w:cs="Times New Roman"/>
                <w:b/>
                <w:bCs/>
                <w:sz w:val="24"/>
                <w:szCs w:val="24"/>
              </w:rPr>
              <w:t>Gads</w:t>
            </w:r>
          </w:p>
        </w:tc>
        <w:tc>
          <w:tcPr>
            <w:tcW w:w="709" w:type="dxa"/>
          </w:tcPr>
          <w:p w:rsidR="00545CFB" w:rsidRPr="00391986" w:rsidRDefault="00545CFB" w:rsidP="000B3DCE">
            <w:pPr>
              <w:jc w:val="both"/>
              <w:rPr>
                <w:rFonts w:cs="Times New Roman"/>
                <w:color w:val="000000"/>
                <w:sz w:val="24"/>
                <w:szCs w:val="24"/>
              </w:rPr>
            </w:pPr>
            <w:r w:rsidRPr="00391986">
              <w:rPr>
                <w:rFonts w:cs="Times New Roman"/>
                <w:b/>
                <w:bCs/>
                <w:sz w:val="24"/>
                <w:szCs w:val="24"/>
              </w:rPr>
              <w:t>2007</w:t>
            </w:r>
          </w:p>
        </w:tc>
        <w:tc>
          <w:tcPr>
            <w:tcW w:w="850" w:type="dxa"/>
          </w:tcPr>
          <w:p w:rsidR="00545CFB" w:rsidRPr="00391986" w:rsidRDefault="00545CFB" w:rsidP="000B3DCE">
            <w:pPr>
              <w:autoSpaceDE w:val="0"/>
              <w:autoSpaceDN w:val="0"/>
              <w:adjustRightInd w:val="0"/>
              <w:jc w:val="both"/>
              <w:rPr>
                <w:rFonts w:cs="Times New Roman"/>
                <w:bCs/>
                <w:sz w:val="24"/>
                <w:szCs w:val="24"/>
              </w:rPr>
            </w:pPr>
            <w:r w:rsidRPr="00391986">
              <w:rPr>
                <w:rFonts w:cs="Times New Roman"/>
                <w:b/>
                <w:bCs/>
                <w:sz w:val="24"/>
                <w:szCs w:val="24"/>
              </w:rPr>
              <w:t>2008</w:t>
            </w:r>
          </w:p>
        </w:tc>
        <w:tc>
          <w:tcPr>
            <w:tcW w:w="851" w:type="dxa"/>
          </w:tcPr>
          <w:p w:rsidR="00545CFB" w:rsidRPr="00391986" w:rsidRDefault="00545CFB" w:rsidP="000B3DCE">
            <w:pPr>
              <w:autoSpaceDE w:val="0"/>
              <w:autoSpaceDN w:val="0"/>
              <w:adjustRightInd w:val="0"/>
              <w:jc w:val="both"/>
              <w:rPr>
                <w:rFonts w:cs="Times New Roman"/>
                <w:bCs/>
                <w:sz w:val="24"/>
                <w:szCs w:val="24"/>
              </w:rPr>
            </w:pPr>
            <w:r w:rsidRPr="00391986">
              <w:rPr>
                <w:rFonts w:cs="Times New Roman"/>
                <w:b/>
                <w:bCs/>
                <w:sz w:val="24"/>
                <w:szCs w:val="24"/>
              </w:rPr>
              <w:t>2009</w:t>
            </w:r>
          </w:p>
        </w:tc>
        <w:tc>
          <w:tcPr>
            <w:tcW w:w="850" w:type="dxa"/>
          </w:tcPr>
          <w:p w:rsidR="00545CFB" w:rsidRPr="00391986" w:rsidRDefault="00545CFB" w:rsidP="000B3DCE">
            <w:pPr>
              <w:autoSpaceDE w:val="0"/>
              <w:autoSpaceDN w:val="0"/>
              <w:adjustRightInd w:val="0"/>
              <w:jc w:val="both"/>
              <w:rPr>
                <w:rFonts w:cs="Times New Roman"/>
                <w:bCs/>
                <w:sz w:val="24"/>
                <w:szCs w:val="24"/>
              </w:rPr>
            </w:pPr>
            <w:r w:rsidRPr="00391986">
              <w:rPr>
                <w:rFonts w:cs="Times New Roman"/>
                <w:b/>
                <w:bCs/>
                <w:sz w:val="24"/>
                <w:szCs w:val="24"/>
              </w:rPr>
              <w:t>2010</w:t>
            </w:r>
          </w:p>
        </w:tc>
        <w:tc>
          <w:tcPr>
            <w:tcW w:w="709" w:type="dxa"/>
          </w:tcPr>
          <w:p w:rsidR="00545CFB" w:rsidRPr="00391986" w:rsidRDefault="00545CFB" w:rsidP="000B3DCE">
            <w:pPr>
              <w:autoSpaceDE w:val="0"/>
              <w:autoSpaceDN w:val="0"/>
              <w:adjustRightInd w:val="0"/>
              <w:jc w:val="both"/>
              <w:rPr>
                <w:rFonts w:cs="Times New Roman"/>
                <w:bCs/>
                <w:sz w:val="24"/>
                <w:szCs w:val="24"/>
              </w:rPr>
            </w:pPr>
            <w:r w:rsidRPr="00391986">
              <w:rPr>
                <w:rFonts w:cs="Times New Roman"/>
                <w:b/>
                <w:bCs/>
                <w:sz w:val="24"/>
                <w:szCs w:val="24"/>
              </w:rPr>
              <w:t>2011</w:t>
            </w:r>
          </w:p>
        </w:tc>
        <w:tc>
          <w:tcPr>
            <w:tcW w:w="1134" w:type="dxa"/>
          </w:tcPr>
          <w:p w:rsidR="00545CFB" w:rsidRPr="00391986" w:rsidRDefault="00545CFB" w:rsidP="000B3DCE">
            <w:pPr>
              <w:autoSpaceDE w:val="0"/>
              <w:autoSpaceDN w:val="0"/>
              <w:adjustRightInd w:val="0"/>
              <w:jc w:val="both"/>
              <w:rPr>
                <w:rFonts w:cs="Times New Roman"/>
                <w:bCs/>
                <w:sz w:val="24"/>
                <w:szCs w:val="24"/>
              </w:rPr>
            </w:pPr>
            <w:r w:rsidRPr="00391986">
              <w:rPr>
                <w:rFonts w:cs="Times New Roman"/>
                <w:b/>
                <w:bCs/>
                <w:sz w:val="24"/>
                <w:szCs w:val="24"/>
              </w:rPr>
              <w:t>2012</w:t>
            </w:r>
          </w:p>
        </w:tc>
        <w:tc>
          <w:tcPr>
            <w:tcW w:w="1127" w:type="dxa"/>
          </w:tcPr>
          <w:p w:rsidR="00545CFB" w:rsidRPr="00391986" w:rsidRDefault="00545CFB" w:rsidP="000B3DCE">
            <w:pPr>
              <w:autoSpaceDE w:val="0"/>
              <w:autoSpaceDN w:val="0"/>
              <w:adjustRightInd w:val="0"/>
              <w:jc w:val="both"/>
              <w:rPr>
                <w:rFonts w:cs="Times New Roman"/>
                <w:bCs/>
                <w:sz w:val="24"/>
                <w:szCs w:val="24"/>
              </w:rPr>
            </w:pPr>
            <w:r w:rsidRPr="00391986">
              <w:rPr>
                <w:rFonts w:cs="Times New Roman"/>
                <w:b/>
                <w:bCs/>
                <w:sz w:val="24"/>
                <w:szCs w:val="24"/>
              </w:rPr>
              <w:t>2013</w:t>
            </w:r>
          </w:p>
        </w:tc>
      </w:tr>
      <w:tr w:rsidR="00545CFB" w:rsidRPr="00391986" w:rsidTr="00BA3FA3">
        <w:trPr>
          <w:jc w:val="center"/>
        </w:trPr>
        <w:tc>
          <w:tcPr>
            <w:tcW w:w="846" w:type="dxa"/>
          </w:tcPr>
          <w:p w:rsidR="00545CFB" w:rsidRPr="00391986" w:rsidRDefault="00545CFB" w:rsidP="000B3DCE">
            <w:pPr>
              <w:autoSpaceDE w:val="0"/>
              <w:autoSpaceDN w:val="0"/>
              <w:adjustRightInd w:val="0"/>
              <w:jc w:val="both"/>
              <w:rPr>
                <w:rFonts w:cs="Times New Roman"/>
                <w:b/>
                <w:bCs/>
                <w:sz w:val="24"/>
                <w:szCs w:val="24"/>
              </w:rPr>
            </w:pPr>
            <w:proofErr w:type="spellStart"/>
            <w:r>
              <w:rPr>
                <w:rFonts w:cs="Times New Roman"/>
                <w:b/>
                <w:bCs/>
                <w:sz w:val="24"/>
                <w:szCs w:val="24"/>
              </w:rPr>
              <w:t>GWh</w:t>
            </w:r>
            <w:proofErr w:type="spellEnd"/>
          </w:p>
        </w:tc>
        <w:tc>
          <w:tcPr>
            <w:tcW w:w="709" w:type="dxa"/>
          </w:tcPr>
          <w:p w:rsidR="00545CFB" w:rsidRPr="00391986" w:rsidRDefault="00545CFB" w:rsidP="000B3DCE">
            <w:pPr>
              <w:jc w:val="both"/>
              <w:rPr>
                <w:rFonts w:cs="Times New Roman"/>
                <w:color w:val="000000"/>
                <w:sz w:val="24"/>
                <w:szCs w:val="24"/>
              </w:rPr>
            </w:pPr>
            <w:r w:rsidRPr="00391986">
              <w:rPr>
                <w:rFonts w:cs="Times New Roman"/>
                <w:bCs/>
                <w:sz w:val="24"/>
                <w:szCs w:val="24"/>
              </w:rPr>
              <w:t>1984</w:t>
            </w:r>
          </w:p>
        </w:tc>
        <w:tc>
          <w:tcPr>
            <w:tcW w:w="850" w:type="dxa"/>
          </w:tcPr>
          <w:p w:rsidR="00545CFB" w:rsidRPr="00391986" w:rsidRDefault="00545CFB" w:rsidP="000B3DCE">
            <w:pPr>
              <w:autoSpaceDE w:val="0"/>
              <w:autoSpaceDN w:val="0"/>
              <w:adjustRightInd w:val="0"/>
              <w:jc w:val="both"/>
              <w:rPr>
                <w:rFonts w:cs="Times New Roman"/>
                <w:bCs/>
                <w:sz w:val="24"/>
                <w:szCs w:val="24"/>
              </w:rPr>
            </w:pPr>
            <w:r w:rsidRPr="00391986">
              <w:rPr>
                <w:rFonts w:cs="Times New Roman"/>
                <w:bCs/>
                <w:sz w:val="24"/>
                <w:szCs w:val="24"/>
              </w:rPr>
              <w:t>2104</w:t>
            </w:r>
          </w:p>
        </w:tc>
        <w:tc>
          <w:tcPr>
            <w:tcW w:w="851" w:type="dxa"/>
          </w:tcPr>
          <w:p w:rsidR="00545CFB" w:rsidRPr="00391986" w:rsidRDefault="00545CFB" w:rsidP="000B3DCE">
            <w:pPr>
              <w:autoSpaceDE w:val="0"/>
              <w:autoSpaceDN w:val="0"/>
              <w:adjustRightInd w:val="0"/>
              <w:jc w:val="both"/>
              <w:rPr>
                <w:rFonts w:cs="Times New Roman"/>
                <w:bCs/>
                <w:sz w:val="24"/>
                <w:szCs w:val="24"/>
              </w:rPr>
            </w:pPr>
            <w:r w:rsidRPr="00391986">
              <w:rPr>
                <w:rFonts w:cs="Times New Roman"/>
                <w:bCs/>
                <w:sz w:val="24"/>
                <w:szCs w:val="24"/>
              </w:rPr>
              <w:t>1476</w:t>
            </w:r>
            <w:r w:rsidRPr="004D502C" w:rsidDel="00A81A39">
              <w:rPr>
                <w:rFonts w:cs="Times New Roman"/>
                <w:bCs/>
                <w:sz w:val="24"/>
                <w:szCs w:val="24"/>
              </w:rPr>
              <w:t>5</w:t>
            </w:r>
          </w:p>
        </w:tc>
        <w:tc>
          <w:tcPr>
            <w:tcW w:w="850" w:type="dxa"/>
          </w:tcPr>
          <w:p w:rsidR="00545CFB" w:rsidRPr="00391986" w:rsidRDefault="00545CFB" w:rsidP="000B3DCE">
            <w:pPr>
              <w:autoSpaceDE w:val="0"/>
              <w:autoSpaceDN w:val="0"/>
              <w:adjustRightInd w:val="0"/>
              <w:jc w:val="both"/>
              <w:rPr>
                <w:rFonts w:cs="Times New Roman"/>
                <w:bCs/>
                <w:sz w:val="24"/>
                <w:szCs w:val="24"/>
              </w:rPr>
            </w:pPr>
            <w:r w:rsidRPr="00391986">
              <w:rPr>
                <w:rFonts w:cs="Times New Roman"/>
                <w:bCs/>
                <w:sz w:val="24"/>
                <w:szCs w:val="24"/>
              </w:rPr>
              <w:t>2402</w:t>
            </w:r>
            <w:r w:rsidRPr="004D502C" w:rsidDel="00A81A39">
              <w:rPr>
                <w:rFonts w:cs="Times New Roman"/>
                <w:bCs/>
                <w:sz w:val="24"/>
                <w:szCs w:val="24"/>
              </w:rPr>
              <w:t>1</w:t>
            </w:r>
          </w:p>
        </w:tc>
        <w:tc>
          <w:tcPr>
            <w:tcW w:w="709" w:type="dxa"/>
          </w:tcPr>
          <w:p w:rsidR="00545CFB" w:rsidRPr="00391986" w:rsidRDefault="00545CFB" w:rsidP="000B3DCE">
            <w:pPr>
              <w:autoSpaceDE w:val="0"/>
              <w:autoSpaceDN w:val="0"/>
              <w:adjustRightInd w:val="0"/>
              <w:jc w:val="both"/>
              <w:rPr>
                <w:rFonts w:cs="Times New Roman"/>
                <w:bCs/>
                <w:sz w:val="24"/>
                <w:szCs w:val="24"/>
              </w:rPr>
            </w:pPr>
            <w:r w:rsidRPr="00391986">
              <w:rPr>
                <w:rFonts w:cs="Times New Roman"/>
                <w:bCs/>
                <w:sz w:val="24"/>
                <w:szCs w:val="24"/>
              </w:rPr>
              <w:t>2425</w:t>
            </w:r>
          </w:p>
        </w:tc>
        <w:tc>
          <w:tcPr>
            <w:tcW w:w="1134" w:type="dxa"/>
          </w:tcPr>
          <w:p w:rsidR="00545CFB" w:rsidRPr="00391986" w:rsidRDefault="00545CFB" w:rsidP="000B3DCE">
            <w:pPr>
              <w:autoSpaceDE w:val="0"/>
              <w:autoSpaceDN w:val="0"/>
              <w:adjustRightInd w:val="0"/>
              <w:jc w:val="both"/>
              <w:rPr>
                <w:rFonts w:cs="Times New Roman"/>
                <w:bCs/>
                <w:sz w:val="24"/>
                <w:szCs w:val="24"/>
              </w:rPr>
            </w:pPr>
            <w:r w:rsidRPr="00391986">
              <w:rPr>
                <w:rFonts w:cs="Times New Roman"/>
                <w:bCs/>
                <w:sz w:val="24"/>
                <w:szCs w:val="24"/>
              </w:rPr>
              <w:t>1409</w:t>
            </w:r>
            <w:r w:rsidRPr="004D502C" w:rsidDel="00A81A39">
              <w:rPr>
                <w:rFonts w:cs="Times New Roman"/>
                <w:bCs/>
                <w:sz w:val="24"/>
                <w:szCs w:val="24"/>
              </w:rPr>
              <w:t>762</w:t>
            </w:r>
          </w:p>
        </w:tc>
        <w:tc>
          <w:tcPr>
            <w:tcW w:w="1127" w:type="dxa"/>
          </w:tcPr>
          <w:p w:rsidR="00545CFB" w:rsidRPr="00391986" w:rsidRDefault="00545CFB" w:rsidP="000B3DCE">
            <w:pPr>
              <w:autoSpaceDE w:val="0"/>
              <w:autoSpaceDN w:val="0"/>
              <w:adjustRightInd w:val="0"/>
              <w:jc w:val="both"/>
              <w:rPr>
                <w:rFonts w:cs="Times New Roman"/>
                <w:bCs/>
                <w:sz w:val="24"/>
                <w:szCs w:val="24"/>
              </w:rPr>
            </w:pPr>
            <w:r w:rsidRPr="00391986">
              <w:rPr>
                <w:rFonts w:cs="Times New Roman"/>
                <w:bCs/>
                <w:sz w:val="24"/>
                <w:szCs w:val="24"/>
              </w:rPr>
              <w:t>1957</w:t>
            </w:r>
            <w:r w:rsidRPr="004D502C" w:rsidDel="00A81A39">
              <w:rPr>
                <w:rFonts w:cs="Times New Roman"/>
                <w:bCs/>
                <w:sz w:val="24"/>
                <w:szCs w:val="24"/>
              </w:rPr>
              <w:t>874</w:t>
            </w:r>
          </w:p>
        </w:tc>
      </w:tr>
    </w:tbl>
    <w:p w:rsidR="00345A4D" w:rsidRPr="00BA3FA3" w:rsidRDefault="00D37E79" w:rsidP="001E5229">
      <w:pPr>
        <w:pStyle w:val="Heading3"/>
        <w:rPr>
          <w:rFonts w:ascii="Times New Roman" w:eastAsia="Times New Roman" w:hAnsi="Times New Roman" w:cs="Times New Roman"/>
          <w:color w:val="auto"/>
          <w:lang w:eastAsia="lv-LV"/>
        </w:rPr>
      </w:pPr>
      <w:bookmarkStart w:id="22" w:name="_Toc400714665"/>
      <w:r w:rsidRPr="00BA3FA3">
        <w:rPr>
          <w:rFonts w:ascii="Times New Roman" w:eastAsia="Times New Roman" w:hAnsi="Times New Roman" w:cs="Times New Roman"/>
          <w:color w:val="auto"/>
          <w:lang w:eastAsia="lv-LV"/>
        </w:rPr>
        <w:t>2.</w:t>
      </w:r>
      <w:r w:rsidR="00385045" w:rsidRPr="00BA3FA3">
        <w:rPr>
          <w:rFonts w:ascii="Times New Roman" w:eastAsia="Times New Roman" w:hAnsi="Times New Roman" w:cs="Times New Roman"/>
          <w:color w:val="auto"/>
          <w:lang w:eastAsia="lv-LV"/>
        </w:rPr>
        <w:t>6</w:t>
      </w:r>
      <w:r w:rsidRPr="00BA3FA3">
        <w:rPr>
          <w:rFonts w:ascii="Times New Roman" w:eastAsia="Times New Roman" w:hAnsi="Times New Roman" w:cs="Times New Roman"/>
          <w:color w:val="auto"/>
          <w:lang w:eastAsia="lv-LV"/>
        </w:rPr>
        <w:t xml:space="preserve">.2 </w:t>
      </w:r>
      <w:r w:rsidR="00345A4D" w:rsidRPr="00BA3FA3">
        <w:rPr>
          <w:rFonts w:ascii="Times New Roman" w:eastAsia="Times New Roman" w:hAnsi="Times New Roman" w:cs="Times New Roman"/>
          <w:color w:val="auto"/>
          <w:lang w:eastAsia="lv-LV"/>
        </w:rPr>
        <w:t>Daugavas HES kaskāde</w:t>
      </w:r>
      <w:bookmarkEnd w:id="22"/>
    </w:p>
    <w:p w:rsidR="003A07A0" w:rsidRDefault="00345A4D" w:rsidP="00820B21">
      <w:pPr>
        <w:ind w:firstLine="567"/>
        <w:jc w:val="both"/>
        <w:rPr>
          <w:szCs w:val="28"/>
        </w:rPr>
      </w:pPr>
      <w:r w:rsidRPr="0063735A">
        <w:rPr>
          <w:rFonts w:eastAsia="Times New Roman" w:cs="Times New Roman"/>
          <w:szCs w:val="28"/>
          <w:lang w:eastAsia="lv-LV"/>
        </w:rPr>
        <w:t>Li</w:t>
      </w:r>
      <w:r w:rsidRPr="0063735A">
        <w:rPr>
          <w:szCs w:val="28"/>
        </w:rPr>
        <w:t xml:space="preserve">elākā daļa Latvijā ģenerētās elektroenerģijas nāk no trim Daugavas </w:t>
      </w:r>
      <w:r w:rsidR="008244C3">
        <w:rPr>
          <w:szCs w:val="28"/>
        </w:rPr>
        <w:t>HES</w:t>
      </w:r>
      <w:r w:rsidR="008244C3" w:rsidRPr="0063735A">
        <w:rPr>
          <w:szCs w:val="28"/>
        </w:rPr>
        <w:t xml:space="preserve">  </w:t>
      </w:r>
      <w:r w:rsidRPr="0063735A">
        <w:rPr>
          <w:szCs w:val="28"/>
        </w:rPr>
        <w:t>kaskādes</w:t>
      </w:r>
      <w:r w:rsidR="008244C3">
        <w:rPr>
          <w:szCs w:val="28"/>
        </w:rPr>
        <w:t xml:space="preserve"> elektrostacijām</w:t>
      </w:r>
      <w:r w:rsidR="00A750E9">
        <w:rPr>
          <w:szCs w:val="28"/>
        </w:rPr>
        <w:t xml:space="preserve"> – Ķeguma, Pļaviņu un Rīgas HES</w:t>
      </w:r>
      <w:r w:rsidR="003A07A0">
        <w:rPr>
          <w:szCs w:val="28"/>
        </w:rPr>
        <w:t xml:space="preserve">, kuru kopējā </w:t>
      </w:r>
      <w:r w:rsidR="0003042B" w:rsidRPr="0003042B">
        <w:rPr>
          <w:szCs w:val="28"/>
        </w:rPr>
        <w:t xml:space="preserve">uzstādītā jauda ir </w:t>
      </w:r>
      <w:r w:rsidR="003A07A0" w:rsidRPr="0003042B">
        <w:rPr>
          <w:szCs w:val="28"/>
        </w:rPr>
        <w:t>153</w:t>
      </w:r>
      <w:r w:rsidR="003A07A0">
        <w:rPr>
          <w:szCs w:val="28"/>
        </w:rPr>
        <w:t>5,5</w:t>
      </w:r>
      <w:r w:rsidR="00AA3927">
        <w:rPr>
          <w:szCs w:val="28"/>
        </w:rPr>
        <w:t> </w:t>
      </w:r>
      <w:r w:rsidR="003A07A0" w:rsidRPr="0003042B">
        <w:rPr>
          <w:szCs w:val="28"/>
        </w:rPr>
        <w:t>MW</w:t>
      </w:r>
      <w:r w:rsidR="0003042B">
        <w:rPr>
          <w:szCs w:val="28"/>
        </w:rPr>
        <w:t xml:space="preserve">. </w:t>
      </w:r>
    </w:p>
    <w:p w:rsidR="005D4E2B" w:rsidRPr="0063735A" w:rsidRDefault="0003042B" w:rsidP="00820B21">
      <w:pPr>
        <w:ind w:firstLine="567"/>
        <w:jc w:val="both"/>
        <w:rPr>
          <w:szCs w:val="28"/>
        </w:rPr>
      </w:pPr>
      <w:r w:rsidRPr="0003042B">
        <w:rPr>
          <w:szCs w:val="28"/>
        </w:rPr>
        <w:t>2012.gadā šajās stacijās tika saražotas 362</w:t>
      </w:r>
      <w:r w:rsidR="00AA3927">
        <w:rPr>
          <w:szCs w:val="28"/>
        </w:rPr>
        <w:t>7 </w:t>
      </w:r>
      <w:proofErr w:type="spellStart"/>
      <w:r w:rsidRPr="0003042B">
        <w:rPr>
          <w:szCs w:val="28"/>
        </w:rPr>
        <w:t>GWh</w:t>
      </w:r>
      <w:proofErr w:type="spellEnd"/>
      <w:r w:rsidRPr="0003042B">
        <w:rPr>
          <w:szCs w:val="28"/>
        </w:rPr>
        <w:t xml:space="preserve"> elektroenerģijas, kas veido 5</w:t>
      </w:r>
      <w:r w:rsidR="00AA3927">
        <w:rPr>
          <w:szCs w:val="28"/>
        </w:rPr>
        <w:t>8,8</w:t>
      </w:r>
      <w:r w:rsidRPr="0003042B">
        <w:rPr>
          <w:szCs w:val="28"/>
        </w:rPr>
        <w:t xml:space="preserve">% no kopējā Latvijā saražotā elektroenerģijas apjoma. </w:t>
      </w:r>
    </w:p>
    <w:p w:rsidR="005D4E2B" w:rsidRPr="0063735A" w:rsidRDefault="005D4E2B" w:rsidP="005D4E2B">
      <w:pPr>
        <w:ind w:firstLine="567"/>
        <w:jc w:val="both"/>
        <w:rPr>
          <w:szCs w:val="28"/>
        </w:rPr>
      </w:pPr>
      <w:r w:rsidRPr="0063735A">
        <w:rPr>
          <w:szCs w:val="28"/>
        </w:rPr>
        <w:t xml:space="preserve">HES uzstādīto jaudu pilnā apmērā ir iespējams izmantot tikai pavasarī palu jeb </w:t>
      </w:r>
      <w:proofErr w:type="spellStart"/>
      <w:r w:rsidRPr="0063735A">
        <w:rPr>
          <w:szCs w:val="28"/>
        </w:rPr>
        <w:t>pilnūdens</w:t>
      </w:r>
      <w:proofErr w:type="spellEnd"/>
      <w:r w:rsidRPr="0063735A">
        <w:rPr>
          <w:szCs w:val="28"/>
        </w:rPr>
        <w:t xml:space="preserve"> periodā, kas ilgst aptuveni divus mēnešus. Vislielākais elektroenerģijas izstrādes apjoms parasti ir aprīlī. Retos gadījumos arī ziemā ir vērojami īsi </w:t>
      </w:r>
      <w:proofErr w:type="spellStart"/>
      <w:r w:rsidRPr="0063735A">
        <w:rPr>
          <w:szCs w:val="28"/>
        </w:rPr>
        <w:t>pilnūdens</w:t>
      </w:r>
      <w:proofErr w:type="spellEnd"/>
      <w:r w:rsidRPr="0063735A">
        <w:rPr>
          <w:szCs w:val="28"/>
        </w:rPr>
        <w:t xml:space="preserve"> periodi, tomēr to rašanās regularitāte nav praktiski prognozējama. Latvijas elektroenerģijas patēriņam, kas vidēji ir apmēram 7</w:t>
      </w:r>
      <w:r w:rsidR="000A3BEA">
        <w:rPr>
          <w:szCs w:val="28"/>
        </w:rPr>
        <w:t> </w:t>
      </w:r>
      <w:proofErr w:type="spellStart"/>
      <w:r w:rsidRPr="0063735A">
        <w:rPr>
          <w:szCs w:val="28"/>
        </w:rPr>
        <w:t>TWh</w:t>
      </w:r>
      <w:proofErr w:type="spellEnd"/>
      <w:r w:rsidRPr="0063735A">
        <w:rPr>
          <w:szCs w:val="28"/>
        </w:rPr>
        <w:t xml:space="preserve">/gadā, pietiekamu, turklāt, vienmērīgu un patēriņa sezonālai dinamikai atbilstošu, ģenerācijas apjomu ar Daugavas HES kaskādes staciju saražoto elektroenerģijas apjomu vien nodrošināt nav iespējams. Gada griezumā Daugavas HES </w:t>
      </w:r>
      <w:r w:rsidRPr="00312732">
        <w:rPr>
          <w:szCs w:val="28"/>
        </w:rPr>
        <w:t>kaskādes elektrostacijas bāzes režīmā spēj nodrošināt vien 200–250</w:t>
      </w:r>
      <w:r w:rsidR="00CF0EAA">
        <w:rPr>
          <w:szCs w:val="28"/>
        </w:rPr>
        <w:t> </w:t>
      </w:r>
      <w:proofErr w:type="spellStart"/>
      <w:r w:rsidRPr="00312732">
        <w:rPr>
          <w:szCs w:val="28"/>
        </w:rPr>
        <w:t>MW</w:t>
      </w:r>
      <w:r w:rsidRPr="00CF0EAA">
        <w:rPr>
          <w:szCs w:val="28"/>
          <w:vertAlign w:val="subscript"/>
        </w:rPr>
        <w:t>el</w:t>
      </w:r>
      <w:proofErr w:type="spellEnd"/>
      <w:r w:rsidRPr="00312732">
        <w:rPr>
          <w:szCs w:val="28"/>
        </w:rPr>
        <w:t>, no kuriem vēl 100</w:t>
      </w:r>
      <w:r w:rsidR="00CF0EAA">
        <w:rPr>
          <w:szCs w:val="28"/>
        </w:rPr>
        <w:t> </w:t>
      </w:r>
      <w:r w:rsidRPr="00312732">
        <w:rPr>
          <w:szCs w:val="28"/>
        </w:rPr>
        <w:t>MW tiek rezervēti Igaunijas PSO energosistēmas balansēšanai. Tāpat, Daugavas</w:t>
      </w:r>
      <w:r w:rsidRPr="0063735A">
        <w:rPr>
          <w:szCs w:val="28"/>
        </w:rPr>
        <w:t xml:space="preserve"> HES kaskādes stacijas kalpo arī kā sistēmas balansēšanas un pīķa (maksimuma) segšanas jaudas. Tātad, to darbināšana bāzes režīmā ir ierobežota.</w:t>
      </w:r>
    </w:p>
    <w:p w:rsidR="00345A4D" w:rsidRDefault="00345A4D" w:rsidP="003A07A0">
      <w:pPr>
        <w:spacing w:before="60" w:after="60"/>
        <w:ind w:firstLine="567"/>
        <w:jc w:val="both"/>
        <w:rPr>
          <w:szCs w:val="28"/>
        </w:rPr>
      </w:pPr>
      <w:r w:rsidRPr="0063735A">
        <w:rPr>
          <w:szCs w:val="28"/>
        </w:rPr>
        <w:t>Daugavas HES kaskādes elektrostacijās saražotās elektroenerģijas apjoma izmaiņas laika posmā no 2007.–201</w:t>
      </w:r>
      <w:r w:rsidR="00A81A39">
        <w:rPr>
          <w:szCs w:val="28"/>
        </w:rPr>
        <w:t>3</w:t>
      </w:r>
      <w:r w:rsidRPr="0063735A">
        <w:rPr>
          <w:szCs w:val="28"/>
        </w:rPr>
        <w:t xml:space="preserve">.gadam parādītas </w:t>
      </w:r>
      <w:r w:rsidR="00265C46" w:rsidRPr="00265C46">
        <w:rPr>
          <w:szCs w:val="28"/>
        </w:rPr>
        <w:t>3</w:t>
      </w:r>
      <w:r w:rsidR="009B33ED" w:rsidRPr="00265C46">
        <w:rPr>
          <w:szCs w:val="28"/>
        </w:rPr>
        <w:t>.tabulā.</w:t>
      </w:r>
    </w:p>
    <w:p w:rsidR="0080306F" w:rsidRPr="00265C46" w:rsidRDefault="0080306F" w:rsidP="003A07A0">
      <w:pPr>
        <w:spacing w:before="60" w:after="60"/>
        <w:ind w:firstLine="567"/>
        <w:jc w:val="both"/>
        <w:rPr>
          <w:szCs w:val="28"/>
        </w:rPr>
      </w:pPr>
    </w:p>
    <w:p w:rsidR="00345A4D" w:rsidRPr="005406D0" w:rsidRDefault="009B33ED" w:rsidP="005406D0">
      <w:pPr>
        <w:jc w:val="right"/>
        <w:rPr>
          <w:rFonts w:eastAsia="Times New Roman" w:cs="Times New Roman"/>
          <w:bCs/>
          <w:szCs w:val="28"/>
        </w:rPr>
      </w:pPr>
      <w:r w:rsidRPr="005406D0">
        <w:rPr>
          <w:rFonts w:eastAsia="Times New Roman" w:cs="Times New Roman"/>
          <w:bCs/>
          <w:szCs w:val="28"/>
        </w:rPr>
        <w:lastRenderedPageBreak/>
        <w:t>3.tabula</w:t>
      </w:r>
      <w:r w:rsidR="00345A4D" w:rsidRPr="005406D0">
        <w:rPr>
          <w:rFonts w:eastAsia="Times New Roman" w:cs="Times New Roman"/>
          <w:bCs/>
          <w:szCs w:val="28"/>
        </w:rPr>
        <w:t xml:space="preserve"> </w:t>
      </w:r>
    </w:p>
    <w:p w:rsidR="00407D04" w:rsidRDefault="00345A4D" w:rsidP="00BE4DF7">
      <w:pPr>
        <w:jc w:val="center"/>
        <w:rPr>
          <w:rFonts w:eastAsia="Times New Roman" w:cs="Times New Roman"/>
          <w:b/>
          <w:bCs/>
          <w:szCs w:val="28"/>
        </w:rPr>
      </w:pPr>
      <w:r w:rsidRPr="0063735A">
        <w:rPr>
          <w:rFonts w:eastAsia="Times New Roman" w:cs="Times New Roman"/>
          <w:b/>
          <w:bCs/>
          <w:szCs w:val="28"/>
        </w:rPr>
        <w:t>Daugavas hidroelektrosta</w:t>
      </w:r>
      <w:r>
        <w:rPr>
          <w:rFonts w:eastAsia="Times New Roman" w:cs="Times New Roman"/>
          <w:b/>
          <w:bCs/>
          <w:szCs w:val="28"/>
        </w:rPr>
        <w:t>cijās saražotā elektroenerģija</w:t>
      </w:r>
    </w:p>
    <w:p w:rsidR="00345A4D" w:rsidRDefault="00345A4D" w:rsidP="00BE4DF7">
      <w:pPr>
        <w:jc w:val="center"/>
        <w:rPr>
          <w:rFonts w:eastAsia="Times New Roman" w:cs="Times New Roman"/>
          <w:b/>
          <w:bCs/>
          <w:szCs w:val="28"/>
        </w:rPr>
      </w:pPr>
      <w:r>
        <w:rPr>
          <w:rFonts w:eastAsia="Times New Roman" w:cs="Times New Roman"/>
          <w:b/>
          <w:bCs/>
          <w:szCs w:val="28"/>
        </w:rPr>
        <w:t>(2007.–201</w:t>
      </w:r>
      <w:r w:rsidR="00A81A39">
        <w:rPr>
          <w:rFonts w:eastAsia="Times New Roman" w:cs="Times New Roman"/>
          <w:b/>
          <w:bCs/>
          <w:szCs w:val="28"/>
        </w:rPr>
        <w:t>3</w:t>
      </w:r>
      <w:r>
        <w:rPr>
          <w:rFonts w:eastAsia="Times New Roman" w:cs="Times New Roman"/>
          <w:b/>
          <w:bCs/>
          <w:szCs w:val="28"/>
        </w:rPr>
        <w:t>.g.,</w:t>
      </w:r>
      <w:r w:rsidRPr="0063735A">
        <w:rPr>
          <w:rFonts w:eastAsia="Times New Roman" w:cs="Times New Roman"/>
          <w:b/>
          <w:bCs/>
          <w:szCs w:val="28"/>
        </w:rPr>
        <w:t>GWh</w:t>
      </w:r>
      <w:r>
        <w:rPr>
          <w:rFonts w:eastAsia="Times New Roman" w:cs="Times New Roman"/>
          <w:b/>
          <w:bCs/>
          <w:szCs w:val="28"/>
        </w:rPr>
        <w:t>)</w:t>
      </w:r>
      <w:r w:rsidR="00BE4DF7">
        <w:rPr>
          <w:rStyle w:val="FootnoteReference"/>
          <w:rFonts w:eastAsia="Times New Roman" w:cs="Times New Roman"/>
          <w:b/>
          <w:bCs/>
        </w:rPr>
        <w:footnoteReference w:id="12"/>
      </w:r>
    </w:p>
    <w:p w:rsidR="00407D04" w:rsidRPr="0063735A" w:rsidRDefault="00407D04" w:rsidP="00407D04">
      <w:pPr>
        <w:jc w:val="center"/>
        <w:rPr>
          <w:rFonts w:eastAsia="Times New Roman" w:cs="Times New Roman"/>
          <w:b/>
          <w:bCs/>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6"/>
        <w:gridCol w:w="1009"/>
        <w:gridCol w:w="1009"/>
        <w:gridCol w:w="1009"/>
        <w:gridCol w:w="1009"/>
        <w:gridCol w:w="1005"/>
        <w:gridCol w:w="1005"/>
        <w:gridCol w:w="1005"/>
      </w:tblGrid>
      <w:tr w:rsidR="00A81A39" w:rsidRPr="0063735A" w:rsidTr="00A81A39">
        <w:tc>
          <w:tcPr>
            <w:tcW w:w="1204" w:type="pct"/>
            <w:shd w:val="clear" w:color="auto" w:fill="auto"/>
          </w:tcPr>
          <w:p w:rsidR="00A81A39" w:rsidRPr="0063735A" w:rsidRDefault="00A81A39" w:rsidP="00CF774B">
            <w:pPr>
              <w:jc w:val="both"/>
              <w:rPr>
                <w:sz w:val="22"/>
              </w:rPr>
            </w:pPr>
          </w:p>
        </w:tc>
        <w:tc>
          <w:tcPr>
            <w:tcW w:w="543" w:type="pct"/>
            <w:shd w:val="clear" w:color="auto" w:fill="auto"/>
          </w:tcPr>
          <w:p w:rsidR="00A81A39" w:rsidRPr="00F90C69" w:rsidRDefault="00A81A39" w:rsidP="00CF774B">
            <w:pPr>
              <w:jc w:val="center"/>
              <w:rPr>
                <w:b/>
                <w:sz w:val="24"/>
                <w:szCs w:val="24"/>
              </w:rPr>
            </w:pPr>
            <w:r w:rsidRPr="00F90C69">
              <w:rPr>
                <w:b/>
                <w:sz w:val="24"/>
                <w:szCs w:val="24"/>
              </w:rPr>
              <w:t>2007</w:t>
            </w:r>
          </w:p>
        </w:tc>
        <w:tc>
          <w:tcPr>
            <w:tcW w:w="543" w:type="pct"/>
            <w:shd w:val="clear" w:color="auto" w:fill="auto"/>
          </w:tcPr>
          <w:p w:rsidR="00A81A39" w:rsidRPr="00F90C69" w:rsidRDefault="00A81A39" w:rsidP="00CF774B">
            <w:pPr>
              <w:jc w:val="center"/>
              <w:rPr>
                <w:b/>
                <w:sz w:val="24"/>
                <w:szCs w:val="24"/>
              </w:rPr>
            </w:pPr>
            <w:r w:rsidRPr="00F90C69">
              <w:rPr>
                <w:b/>
                <w:sz w:val="24"/>
                <w:szCs w:val="24"/>
              </w:rPr>
              <w:t>2008</w:t>
            </w:r>
          </w:p>
        </w:tc>
        <w:tc>
          <w:tcPr>
            <w:tcW w:w="543" w:type="pct"/>
            <w:shd w:val="clear" w:color="auto" w:fill="auto"/>
          </w:tcPr>
          <w:p w:rsidR="00A81A39" w:rsidRPr="00F90C69" w:rsidRDefault="00A81A39" w:rsidP="00CF774B">
            <w:pPr>
              <w:jc w:val="center"/>
              <w:rPr>
                <w:b/>
                <w:sz w:val="24"/>
                <w:szCs w:val="24"/>
              </w:rPr>
            </w:pPr>
            <w:r w:rsidRPr="00F90C69">
              <w:rPr>
                <w:b/>
                <w:sz w:val="24"/>
                <w:szCs w:val="24"/>
              </w:rPr>
              <w:t>2009</w:t>
            </w:r>
          </w:p>
        </w:tc>
        <w:tc>
          <w:tcPr>
            <w:tcW w:w="543" w:type="pct"/>
            <w:shd w:val="clear" w:color="auto" w:fill="auto"/>
          </w:tcPr>
          <w:p w:rsidR="00A81A39" w:rsidRPr="00F90C69" w:rsidRDefault="00A81A39" w:rsidP="00CF774B">
            <w:pPr>
              <w:jc w:val="center"/>
              <w:rPr>
                <w:b/>
                <w:sz w:val="24"/>
                <w:szCs w:val="24"/>
              </w:rPr>
            </w:pPr>
            <w:r w:rsidRPr="00F90C69">
              <w:rPr>
                <w:b/>
                <w:sz w:val="24"/>
                <w:szCs w:val="24"/>
              </w:rPr>
              <w:t>2010</w:t>
            </w:r>
          </w:p>
        </w:tc>
        <w:tc>
          <w:tcPr>
            <w:tcW w:w="541" w:type="pct"/>
            <w:shd w:val="clear" w:color="auto" w:fill="auto"/>
          </w:tcPr>
          <w:p w:rsidR="00A81A39" w:rsidRPr="00F90C69" w:rsidRDefault="00A81A39" w:rsidP="00CF774B">
            <w:pPr>
              <w:jc w:val="center"/>
              <w:rPr>
                <w:b/>
                <w:sz w:val="24"/>
                <w:szCs w:val="24"/>
              </w:rPr>
            </w:pPr>
            <w:r w:rsidRPr="00F90C69">
              <w:rPr>
                <w:b/>
                <w:sz w:val="24"/>
                <w:szCs w:val="24"/>
              </w:rPr>
              <w:t>2011</w:t>
            </w:r>
          </w:p>
        </w:tc>
        <w:tc>
          <w:tcPr>
            <w:tcW w:w="541" w:type="pct"/>
          </w:tcPr>
          <w:p w:rsidR="00A81A39" w:rsidRPr="00F90C69" w:rsidRDefault="00A81A39" w:rsidP="00CF774B">
            <w:pPr>
              <w:jc w:val="center"/>
              <w:rPr>
                <w:b/>
                <w:sz w:val="24"/>
                <w:szCs w:val="24"/>
              </w:rPr>
            </w:pPr>
            <w:r w:rsidRPr="00F90C69">
              <w:rPr>
                <w:b/>
                <w:sz w:val="24"/>
                <w:szCs w:val="24"/>
              </w:rPr>
              <w:t>2012</w:t>
            </w:r>
          </w:p>
        </w:tc>
        <w:tc>
          <w:tcPr>
            <w:tcW w:w="541" w:type="pct"/>
          </w:tcPr>
          <w:p w:rsidR="00A81A39" w:rsidRPr="00F90C69" w:rsidRDefault="00A81A39" w:rsidP="00CF774B">
            <w:pPr>
              <w:jc w:val="center"/>
              <w:rPr>
                <w:b/>
                <w:sz w:val="24"/>
                <w:szCs w:val="24"/>
              </w:rPr>
            </w:pPr>
            <w:r>
              <w:rPr>
                <w:b/>
                <w:sz w:val="24"/>
                <w:szCs w:val="24"/>
              </w:rPr>
              <w:t>2013</w:t>
            </w:r>
          </w:p>
        </w:tc>
      </w:tr>
      <w:tr w:rsidR="00A81A39" w:rsidRPr="0063735A" w:rsidTr="00A81A39">
        <w:tc>
          <w:tcPr>
            <w:tcW w:w="1204" w:type="pct"/>
            <w:shd w:val="clear" w:color="auto" w:fill="auto"/>
          </w:tcPr>
          <w:p w:rsidR="00A81A39" w:rsidRPr="00F90C69" w:rsidRDefault="00A81A39" w:rsidP="00CF774B">
            <w:pPr>
              <w:jc w:val="both"/>
              <w:rPr>
                <w:sz w:val="24"/>
                <w:szCs w:val="24"/>
              </w:rPr>
            </w:pPr>
            <w:r w:rsidRPr="00F90C69">
              <w:rPr>
                <w:sz w:val="24"/>
                <w:szCs w:val="24"/>
              </w:rPr>
              <w:t>Ķeguma HES</w:t>
            </w:r>
          </w:p>
        </w:tc>
        <w:tc>
          <w:tcPr>
            <w:tcW w:w="543" w:type="pct"/>
            <w:shd w:val="clear" w:color="auto" w:fill="auto"/>
          </w:tcPr>
          <w:p w:rsidR="00A81A39" w:rsidRPr="00F90C69" w:rsidRDefault="00A81A39" w:rsidP="00CF774B">
            <w:pPr>
              <w:jc w:val="center"/>
              <w:rPr>
                <w:sz w:val="24"/>
                <w:szCs w:val="24"/>
              </w:rPr>
            </w:pPr>
            <w:r w:rsidRPr="00F90C69">
              <w:rPr>
                <w:sz w:val="24"/>
                <w:szCs w:val="24"/>
              </w:rPr>
              <w:t>524</w:t>
            </w:r>
          </w:p>
        </w:tc>
        <w:tc>
          <w:tcPr>
            <w:tcW w:w="543" w:type="pct"/>
            <w:shd w:val="clear" w:color="auto" w:fill="auto"/>
          </w:tcPr>
          <w:p w:rsidR="00A81A39" w:rsidRPr="00F90C69" w:rsidRDefault="00A81A39" w:rsidP="00CF774B">
            <w:pPr>
              <w:jc w:val="center"/>
              <w:rPr>
                <w:sz w:val="24"/>
                <w:szCs w:val="24"/>
              </w:rPr>
            </w:pPr>
            <w:r w:rsidRPr="00F90C69">
              <w:rPr>
                <w:sz w:val="24"/>
                <w:szCs w:val="24"/>
              </w:rPr>
              <w:t>594</w:t>
            </w:r>
          </w:p>
        </w:tc>
        <w:tc>
          <w:tcPr>
            <w:tcW w:w="543" w:type="pct"/>
            <w:shd w:val="clear" w:color="auto" w:fill="auto"/>
          </w:tcPr>
          <w:p w:rsidR="00A81A39" w:rsidRPr="00F90C69" w:rsidRDefault="00A81A39" w:rsidP="00CF774B">
            <w:pPr>
              <w:jc w:val="center"/>
              <w:rPr>
                <w:sz w:val="24"/>
                <w:szCs w:val="24"/>
              </w:rPr>
            </w:pPr>
            <w:r w:rsidRPr="00F90C69">
              <w:rPr>
                <w:sz w:val="24"/>
                <w:szCs w:val="24"/>
              </w:rPr>
              <w:t>668</w:t>
            </w:r>
          </w:p>
        </w:tc>
        <w:tc>
          <w:tcPr>
            <w:tcW w:w="543" w:type="pct"/>
            <w:shd w:val="clear" w:color="auto" w:fill="auto"/>
          </w:tcPr>
          <w:p w:rsidR="00A81A39" w:rsidRPr="00F90C69" w:rsidRDefault="00A81A39" w:rsidP="00CF774B">
            <w:pPr>
              <w:jc w:val="center"/>
              <w:rPr>
                <w:sz w:val="24"/>
                <w:szCs w:val="24"/>
              </w:rPr>
            </w:pPr>
            <w:r w:rsidRPr="00F90C69">
              <w:rPr>
                <w:sz w:val="24"/>
                <w:szCs w:val="24"/>
              </w:rPr>
              <w:t>621</w:t>
            </w:r>
          </w:p>
        </w:tc>
        <w:tc>
          <w:tcPr>
            <w:tcW w:w="541" w:type="pct"/>
            <w:shd w:val="clear" w:color="auto" w:fill="auto"/>
          </w:tcPr>
          <w:p w:rsidR="00A81A39" w:rsidRPr="00F90C69" w:rsidRDefault="00A81A39" w:rsidP="00CF774B">
            <w:pPr>
              <w:jc w:val="center"/>
              <w:rPr>
                <w:sz w:val="24"/>
                <w:szCs w:val="24"/>
              </w:rPr>
            </w:pPr>
            <w:r w:rsidRPr="00F90C69">
              <w:rPr>
                <w:sz w:val="24"/>
                <w:szCs w:val="24"/>
              </w:rPr>
              <w:t>532</w:t>
            </w:r>
          </w:p>
        </w:tc>
        <w:tc>
          <w:tcPr>
            <w:tcW w:w="541" w:type="pct"/>
          </w:tcPr>
          <w:p w:rsidR="00A81A39" w:rsidRPr="00F90C69" w:rsidRDefault="00A81A39" w:rsidP="00CF774B">
            <w:pPr>
              <w:jc w:val="center"/>
              <w:rPr>
                <w:sz w:val="24"/>
                <w:szCs w:val="24"/>
              </w:rPr>
            </w:pPr>
            <w:r w:rsidRPr="00F90C69">
              <w:rPr>
                <w:sz w:val="24"/>
                <w:szCs w:val="24"/>
              </w:rPr>
              <w:t>702</w:t>
            </w:r>
          </w:p>
        </w:tc>
        <w:tc>
          <w:tcPr>
            <w:tcW w:w="541" w:type="pct"/>
          </w:tcPr>
          <w:p w:rsidR="00A81A39" w:rsidRPr="00F90C69" w:rsidRDefault="00A81A39" w:rsidP="00CF774B">
            <w:pPr>
              <w:jc w:val="center"/>
              <w:rPr>
                <w:sz w:val="24"/>
                <w:szCs w:val="24"/>
              </w:rPr>
            </w:pPr>
            <w:r>
              <w:rPr>
                <w:sz w:val="24"/>
                <w:szCs w:val="24"/>
              </w:rPr>
              <w:t>532</w:t>
            </w:r>
          </w:p>
        </w:tc>
      </w:tr>
      <w:tr w:rsidR="00A81A39" w:rsidRPr="0063735A" w:rsidTr="00A81A39">
        <w:tc>
          <w:tcPr>
            <w:tcW w:w="1204" w:type="pct"/>
            <w:shd w:val="clear" w:color="auto" w:fill="auto"/>
          </w:tcPr>
          <w:p w:rsidR="00A81A39" w:rsidRPr="00F90C69" w:rsidRDefault="00A81A39" w:rsidP="00CF774B">
            <w:pPr>
              <w:jc w:val="both"/>
              <w:rPr>
                <w:sz w:val="24"/>
                <w:szCs w:val="24"/>
              </w:rPr>
            </w:pPr>
            <w:r w:rsidRPr="00F90C69">
              <w:rPr>
                <w:sz w:val="24"/>
                <w:szCs w:val="24"/>
              </w:rPr>
              <w:t>Pļaviņu HES</w:t>
            </w:r>
          </w:p>
        </w:tc>
        <w:tc>
          <w:tcPr>
            <w:tcW w:w="543" w:type="pct"/>
            <w:shd w:val="clear" w:color="auto" w:fill="auto"/>
          </w:tcPr>
          <w:p w:rsidR="00A81A39" w:rsidRPr="00F90C69" w:rsidRDefault="00A81A39" w:rsidP="00CF774B">
            <w:pPr>
              <w:jc w:val="center"/>
              <w:rPr>
                <w:sz w:val="24"/>
                <w:szCs w:val="24"/>
              </w:rPr>
            </w:pPr>
            <w:r w:rsidRPr="00F90C69">
              <w:rPr>
                <w:sz w:val="24"/>
                <w:szCs w:val="24"/>
              </w:rPr>
              <w:t>1501</w:t>
            </w:r>
          </w:p>
        </w:tc>
        <w:tc>
          <w:tcPr>
            <w:tcW w:w="543" w:type="pct"/>
            <w:shd w:val="clear" w:color="auto" w:fill="auto"/>
          </w:tcPr>
          <w:p w:rsidR="00A81A39" w:rsidRPr="00F90C69" w:rsidRDefault="00A81A39" w:rsidP="00CF774B">
            <w:pPr>
              <w:jc w:val="center"/>
              <w:rPr>
                <w:sz w:val="24"/>
                <w:szCs w:val="24"/>
              </w:rPr>
            </w:pPr>
            <w:r w:rsidRPr="00F90C69">
              <w:rPr>
                <w:sz w:val="24"/>
                <w:szCs w:val="24"/>
              </w:rPr>
              <w:t>1718</w:t>
            </w:r>
          </w:p>
        </w:tc>
        <w:tc>
          <w:tcPr>
            <w:tcW w:w="543" w:type="pct"/>
            <w:shd w:val="clear" w:color="auto" w:fill="auto"/>
          </w:tcPr>
          <w:p w:rsidR="00A81A39" w:rsidRPr="00F90C69" w:rsidRDefault="00A81A39" w:rsidP="00CF774B">
            <w:pPr>
              <w:jc w:val="center"/>
              <w:rPr>
                <w:sz w:val="24"/>
                <w:szCs w:val="24"/>
              </w:rPr>
            </w:pPr>
            <w:r w:rsidRPr="00F90C69">
              <w:rPr>
                <w:sz w:val="24"/>
                <w:szCs w:val="24"/>
              </w:rPr>
              <w:t>1931</w:t>
            </w:r>
          </w:p>
        </w:tc>
        <w:tc>
          <w:tcPr>
            <w:tcW w:w="543" w:type="pct"/>
            <w:shd w:val="clear" w:color="auto" w:fill="auto"/>
          </w:tcPr>
          <w:p w:rsidR="00A81A39" w:rsidRPr="00F90C69" w:rsidRDefault="00A81A39" w:rsidP="00CF774B">
            <w:pPr>
              <w:jc w:val="center"/>
              <w:rPr>
                <w:sz w:val="24"/>
                <w:szCs w:val="24"/>
              </w:rPr>
            </w:pPr>
            <w:r w:rsidRPr="00F90C69">
              <w:rPr>
                <w:sz w:val="24"/>
                <w:szCs w:val="24"/>
              </w:rPr>
              <w:t>1991</w:t>
            </w:r>
          </w:p>
        </w:tc>
        <w:tc>
          <w:tcPr>
            <w:tcW w:w="541" w:type="pct"/>
            <w:shd w:val="clear" w:color="auto" w:fill="auto"/>
          </w:tcPr>
          <w:p w:rsidR="00A81A39" w:rsidRPr="00F90C69" w:rsidRDefault="00A81A39" w:rsidP="00CF774B">
            <w:pPr>
              <w:jc w:val="center"/>
              <w:rPr>
                <w:sz w:val="24"/>
                <w:szCs w:val="24"/>
              </w:rPr>
            </w:pPr>
            <w:r w:rsidRPr="00F90C69">
              <w:rPr>
                <w:sz w:val="24"/>
                <w:szCs w:val="24"/>
              </w:rPr>
              <w:t>1621</w:t>
            </w:r>
          </w:p>
        </w:tc>
        <w:tc>
          <w:tcPr>
            <w:tcW w:w="541" w:type="pct"/>
          </w:tcPr>
          <w:p w:rsidR="00A81A39" w:rsidRPr="00F90C69" w:rsidRDefault="00A81A39" w:rsidP="00CF774B">
            <w:pPr>
              <w:jc w:val="center"/>
              <w:rPr>
                <w:sz w:val="24"/>
                <w:szCs w:val="24"/>
              </w:rPr>
            </w:pPr>
            <w:r w:rsidRPr="00F90C69">
              <w:rPr>
                <w:sz w:val="24"/>
                <w:szCs w:val="24"/>
              </w:rPr>
              <w:t>2067</w:t>
            </w:r>
          </w:p>
        </w:tc>
        <w:tc>
          <w:tcPr>
            <w:tcW w:w="541" w:type="pct"/>
          </w:tcPr>
          <w:p w:rsidR="00A81A39" w:rsidRPr="00F90C69" w:rsidRDefault="00A81A39" w:rsidP="00CF774B">
            <w:pPr>
              <w:jc w:val="center"/>
              <w:rPr>
                <w:sz w:val="24"/>
                <w:szCs w:val="24"/>
              </w:rPr>
            </w:pPr>
            <w:r>
              <w:rPr>
                <w:sz w:val="24"/>
                <w:szCs w:val="24"/>
              </w:rPr>
              <w:t>1640</w:t>
            </w:r>
          </w:p>
        </w:tc>
      </w:tr>
      <w:tr w:rsidR="00A81A39" w:rsidRPr="0063735A" w:rsidTr="00A81A39">
        <w:tc>
          <w:tcPr>
            <w:tcW w:w="1204" w:type="pct"/>
            <w:shd w:val="clear" w:color="auto" w:fill="auto"/>
          </w:tcPr>
          <w:p w:rsidR="00A81A39" w:rsidRPr="00F90C69" w:rsidRDefault="00A81A39" w:rsidP="00CF774B">
            <w:pPr>
              <w:jc w:val="both"/>
              <w:rPr>
                <w:sz w:val="24"/>
                <w:szCs w:val="24"/>
              </w:rPr>
            </w:pPr>
            <w:r w:rsidRPr="00F90C69">
              <w:rPr>
                <w:sz w:val="24"/>
                <w:szCs w:val="24"/>
              </w:rPr>
              <w:t>Rīgas HES</w:t>
            </w:r>
          </w:p>
        </w:tc>
        <w:tc>
          <w:tcPr>
            <w:tcW w:w="543" w:type="pct"/>
            <w:shd w:val="clear" w:color="auto" w:fill="auto"/>
          </w:tcPr>
          <w:p w:rsidR="00A81A39" w:rsidRPr="00F90C69" w:rsidRDefault="00A81A39" w:rsidP="00CF774B">
            <w:pPr>
              <w:jc w:val="center"/>
              <w:rPr>
                <w:sz w:val="24"/>
                <w:szCs w:val="24"/>
              </w:rPr>
            </w:pPr>
            <w:r w:rsidRPr="00F90C69">
              <w:rPr>
                <w:sz w:val="24"/>
                <w:szCs w:val="24"/>
              </w:rPr>
              <w:t>640</w:t>
            </w:r>
          </w:p>
        </w:tc>
        <w:tc>
          <w:tcPr>
            <w:tcW w:w="543" w:type="pct"/>
            <w:shd w:val="clear" w:color="auto" w:fill="auto"/>
          </w:tcPr>
          <w:p w:rsidR="00A81A39" w:rsidRPr="00F90C69" w:rsidRDefault="00A81A39" w:rsidP="00CF774B">
            <w:pPr>
              <w:jc w:val="center"/>
              <w:rPr>
                <w:sz w:val="24"/>
                <w:szCs w:val="24"/>
              </w:rPr>
            </w:pPr>
            <w:r w:rsidRPr="00F90C69">
              <w:rPr>
                <w:sz w:val="24"/>
                <w:szCs w:val="24"/>
              </w:rPr>
              <w:t>726</w:t>
            </w:r>
          </w:p>
        </w:tc>
        <w:tc>
          <w:tcPr>
            <w:tcW w:w="543" w:type="pct"/>
            <w:shd w:val="clear" w:color="auto" w:fill="auto"/>
          </w:tcPr>
          <w:p w:rsidR="00A81A39" w:rsidRPr="00F90C69" w:rsidRDefault="00A81A39" w:rsidP="00CF774B">
            <w:pPr>
              <w:jc w:val="center"/>
              <w:rPr>
                <w:sz w:val="24"/>
                <w:szCs w:val="24"/>
              </w:rPr>
            </w:pPr>
            <w:r w:rsidRPr="00F90C69">
              <w:rPr>
                <w:sz w:val="24"/>
                <w:szCs w:val="24"/>
              </w:rPr>
              <w:t>792</w:t>
            </w:r>
          </w:p>
        </w:tc>
        <w:tc>
          <w:tcPr>
            <w:tcW w:w="543" w:type="pct"/>
            <w:shd w:val="clear" w:color="auto" w:fill="auto"/>
          </w:tcPr>
          <w:p w:rsidR="00A81A39" w:rsidRPr="00F90C69" w:rsidRDefault="00A81A39" w:rsidP="00CF774B">
            <w:pPr>
              <w:jc w:val="center"/>
              <w:rPr>
                <w:sz w:val="24"/>
                <w:szCs w:val="24"/>
              </w:rPr>
            </w:pPr>
            <w:r w:rsidRPr="00F90C69">
              <w:rPr>
                <w:sz w:val="24"/>
                <w:szCs w:val="24"/>
              </w:rPr>
              <w:t>833</w:t>
            </w:r>
          </w:p>
        </w:tc>
        <w:tc>
          <w:tcPr>
            <w:tcW w:w="541" w:type="pct"/>
            <w:shd w:val="clear" w:color="auto" w:fill="auto"/>
          </w:tcPr>
          <w:p w:rsidR="00A81A39" w:rsidRPr="00F90C69" w:rsidRDefault="00A81A39" w:rsidP="00CF774B">
            <w:pPr>
              <w:jc w:val="center"/>
              <w:rPr>
                <w:sz w:val="24"/>
                <w:szCs w:val="24"/>
              </w:rPr>
            </w:pPr>
            <w:r w:rsidRPr="00F90C69">
              <w:rPr>
                <w:sz w:val="24"/>
                <w:szCs w:val="24"/>
              </w:rPr>
              <w:t>670</w:t>
            </w:r>
          </w:p>
        </w:tc>
        <w:tc>
          <w:tcPr>
            <w:tcW w:w="541" w:type="pct"/>
          </w:tcPr>
          <w:p w:rsidR="00A81A39" w:rsidRPr="00F90C69" w:rsidRDefault="00A81A39" w:rsidP="00CF774B">
            <w:pPr>
              <w:jc w:val="center"/>
              <w:rPr>
                <w:sz w:val="24"/>
                <w:szCs w:val="24"/>
              </w:rPr>
            </w:pPr>
            <w:r w:rsidRPr="00F90C69">
              <w:rPr>
                <w:sz w:val="24"/>
                <w:szCs w:val="24"/>
              </w:rPr>
              <w:t>85</w:t>
            </w:r>
            <w:r>
              <w:rPr>
                <w:sz w:val="24"/>
                <w:szCs w:val="24"/>
              </w:rPr>
              <w:t>8</w:t>
            </w:r>
          </w:p>
        </w:tc>
        <w:tc>
          <w:tcPr>
            <w:tcW w:w="541" w:type="pct"/>
          </w:tcPr>
          <w:p w:rsidR="00A81A39" w:rsidRPr="00F90C69" w:rsidRDefault="00A81A39" w:rsidP="00CF774B">
            <w:pPr>
              <w:jc w:val="center"/>
              <w:rPr>
                <w:sz w:val="24"/>
                <w:szCs w:val="24"/>
              </w:rPr>
            </w:pPr>
            <w:r>
              <w:rPr>
                <w:sz w:val="24"/>
                <w:szCs w:val="24"/>
              </w:rPr>
              <w:t>679</w:t>
            </w:r>
          </w:p>
        </w:tc>
      </w:tr>
      <w:tr w:rsidR="00A81A39" w:rsidRPr="0063735A" w:rsidTr="00A81A39">
        <w:tc>
          <w:tcPr>
            <w:tcW w:w="1204" w:type="pct"/>
            <w:shd w:val="clear" w:color="auto" w:fill="auto"/>
          </w:tcPr>
          <w:p w:rsidR="00A81A39" w:rsidRPr="00F90C69" w:rsidRDefault="00A81A39" w:rsidP="00CF774B">
            <w:pPr>
              <w:jc w:val="both"/>
              <w:rPr>
                <w:b/>
                <w:sz w:val="24"/>
                <w:szCs w:val="24"/>
              </w:rPr>
            </w:pPr>
            <w:r w:rsidRPr="00F90C69">
              <w:rPr>
                <w:b/>
                <w:sz w:val="24"/>
                <w:szCs w:val="24"/>
              </w:rPr>
              <w:t>Kopā</w:t>
            </w:r>
          </w:p>
        </w:tc>
        <w:tc>
          <w:tcPr>
            <w:tcW w:w="543" w:type="pct"/>
            <w:shd w:val="clear" w:color="auto" w:fill="auto"/>
          </w:tcPr>
          <w:p w:rsidR="00A81A39" w:rsidRPr="00F90C69" w:rsidRDefault="00A81A39" w:rsidP="00CF774B">
            <w:pPr>
              <w:jc w:val="center"/>
              <w:rPr>
                <w:b/>
                <w:sz w:val="24"/>
                <w:szCs w:val="24"/>
              </w:rPr>
            </w:pPr>
            <w:r w:rsidRPr="00F90C69">
              <w:rPr>
                <w:b/>
                <w:sz w:val="24"/>
                <w:szCs w:val="24"/>
              </w:rPr>
              <w:t>2665</w:t>
            </w:r>
          </w:p>
        </w:tc>
        <w:tc>
          <w:tcPr>
            <w:tcW w:w="543" w:type="pct"/>
            <w:shd w:val="clear" w:color="auto" w:fill="auto"/>
          </w:tcPr>
          <w:p w:rsidR="00A81A39" w:rsidRPr="00F90C69" w:rsidRDefault="00A81A39" w:rsidP="00CF774B">
            <w:pPr>
              <w:jc w:val="center"/>
              <w:rPr>
                <w:b/>
                <w:sz w:val="24"/>
                <w:szCs w:val="24"/>
              </w:rPr>
            </w:pPr>
            <w:r w:rsidRPr="00F90C69">
              <w:rPr>
                <w:b/>
                <w:sz w:val="24"/>
                <w:szCs w:val="24"/>
              </w:rPr>
              <w:t>3038</w:t>
            </w:r>
          </w:p>
        </w:tc>
        <w:tc>
          <w:tcPr>
            <w:tcW w:w="543" w:type="pct"/>
            <w:shd w:val="clear" w:color="auto" w:fill="auto"/>
          </w:tcPr>
          <w:p w:rsidR="00A81A39" w:rsidRPr="00F90C69" w:rsidRDefault="00A81A39" w:rsidP="00CF774B">
            <w:pPr>
              <w:jc w:val="center"/>
              <w:rPr>
                <w:b/>
                <w:sz w:val="24"/>
                <w:szCs w:val="24"/>
              </w:rPr>
            </w:pPr>
            <w:r w:rsidRPr="00F90C69">
              <w:rPr>
                <w:b/>
                <w:sz w:val="24"/>
                <w:szCs w:val="24"/>
              </w:rPr>
              <w:t>3391</w:t>
            </w:r>
          </w:p>
        </w:tc>
        <w:tc>
          <w:tcPr>
            <w:tcW w:w="543" w:type="pct"/>
            <w:shd w:val="clear" w:color="auto" w:fill="auto"/>
          </w:tcPr>
          <w:p w:rsidR="00A81A39" w:rsidRPr="00F90C69" w:rsidRDefault="00A81A39" w:rsidP="00CF774B">
            <w:pPr>
              <w:jc w:val="center"/>
              <w:rPr>
                <w:b/>
                <w:sz w:val="24"/>
                <w:szCs w:val="24"/>
              </w:rPr>
            </w:pPr>
            <w:r w:rsidRPr="00F90C69">
              <w:rPr>
                <w:b/>
                <w:sz w:val="24"/>
                <w:szCs w:val="24"/>
              </w:rPr>
              <w:t>3445</w:t>
            </w:r>
          </w:p>
        </w:tc>
        <w:tc>
          <w:tcPr>
            <w:tcW w:w="541" w:type="pct"/>
            <w:shd w:val="clear" w:color="auto" w:fill="auto"/>
          </w:tcPr>
          <w:p w:rsidR="00A81A39" w:rsidRPr="00F90C69" w:rsidRDefault="00A81A39" w:rsidP="00CF774B">
            <w:pPr>
              <w:jc w:val="center"/>
              <w:rPr>
                <w:b/>
                <w:sz w:val="24"/>
                <w:szCs w:val="24"/>
              </w:rPr>
            </w:pPr>
            <w:r w:rsidRPr="00F90C69">
              <w:rPr>
                <w:b/>
                <w:sz w:val="24"/>
                <w:szCs w:val="24"/>
              </w:rPr>
              <w:t>2823</w:t>
            </w:r>
          </w:p>
        </w:tc>
        <w:tc>
          <w:tcPr>
            <w:tcW w:w="541" w:type="pct"/>
          </w:tcPr>
          <w:p w:rsidR="00A81A39" w:rsidRPr="00F90C69" w:rsidRDefault="00A81A39" w:rsidP="00CF774B">
            <w:pPr>
              <w:jc w:val="center"/>
              <w:rPr>
                <w:b/>
                <w:sz w:val="24"/>
                <w:szCs w:val="24"/>
              </w:rPr>
            </w:pPr>
            <w:r w:rsidRPr="00F90C69">
              <w:rPr>
                <w:b/>
                <w:sz w:val="24"/>
                <w:szCs w:val="24"/>
              </w:rPr>
              <w:t>362</w:t>
            </w:r>
            <w:r>
              <w:rPr>
                <w:b/>
                <w:sz w:val="24"/>
                <w:szCs w:val="24"/>
              </w:rPr>
              <w:t>7</w:t>
            </w:r>
          </w:p>
        </w:tc>
        <w:tc>
          <w:tcPr>
            <w:tcW w:w="541" w:type="pct"/>
          </w:tcPr>
          <w:p w:rsidR="00A81A39" w:rsidRPr="00F90C69" w:rsidRDefault="00A81A39" w:rsidP="00CF774B">
            <w:pPr>
              <w:jc w:val="center"/>
              <w:rPr>
                <w:b/>
                <w:sz w:val="24"/>
                <w:szCs w:val="24"/>
              </w:rPr>
            </w:pPr>
            <w:r>
              <w:rPr>
                <w:b/>
                <w:sz w:val="24"/>
                <w:szCs w:val="24"/>
              </w:rPr>
              <w:t>2852</w:t>
            </w:r>
          </w:p>
        </w:tc>
      </w:tr>
    </w:tbl>
    <w:p w:rsidR="00345A4D" w:rsidRPr="008F291D" w:rsidRDefault="00345A4D" w:rsidP="00345A4D">
      <w:pPr>
        <w:jc w:val="both"/>
        <w:rPr>
          <w:sz w:val="20"/>
          <w:szCs w:val="20"/>
        </w:rPr>
      </w:pPr>
    </w:p>
    <w:p w:rsidR="00EE6305" w:rsidRPr="005406D0" w:rsidRDefault="00EE6305" w:rsidP="001E5229">
      <w:pPr>
        <w:pStyle w:val="Heading3"/>
        <w:rPr>
          <w:rFonts w:ascii="Times New Roman" w:hAnsi="Times New Roman" w:cs="Times New Roman"/>
          <w:color w:val="auto"/>
        </w:rPr>
      </w:pPr>
      <w:bookmarkStart w:id="23" w:name="_Toc400714666"/>
      <w:r w:rsidRPr="005406D0">
        <w:rPr>
          <w:rFonts w:ascii="Times New Roman" w:hAnsi="Times New Roman" w:cs="Times New Roman"/>
          <w:color w:val="auto"/>
        </w:rPr>
        <w:t>2.</w:t>
      </w:r>
      <w:r w:rsidR="001E5229" w:rsidRPr="005406D0">
        <w:rPr>
          <w:rFonts w:ascii="Times New Roman" w:hAnsi="Times New Roman" w:cs="Times New Roman"/>
          <w:color w:val="auto"/>
        </w:rPr>
        <w:t>6.3</w:t>
      </w:r>
      <w:r w:rsidR="00A71217" w:rsidRPr="005406D0">
        <w:rPr>
          <w:rFonts w:ascii="Times New Roman" w:hAnsi="Times New Roman" w:cs="Times New Roman"/>
          <w:color w:val="auto"/>
        </w:rPr>
        <w:t>.</w:t>
      </w:r>
      <w:r w:rsidRPr="005406D0">
        <w:rPr>
          <w:rFonts w:ascii="Times New Roman" w:hAnsi="Times New Roman" w:cs="Times New Roman"/>
          <w:color w:val="auto"/>
        </w:rPr>
        <w:t xml:space="preserve"> Elektroenerģijas ražošana efektīvā koģenerācijā</w:t>
      </w:r>
      <w:bookmarkEnd w:id="23"/>
    </w:p>
    <w:p w:rsidR="00EE6305" w:rsidRDefault="00EE6305" w:rsidP="00EE6305">
      <w:pPr>
        <w:ind w:firstLine="720"/>
        <w:jc w:val="both"/>
        <w:rPr>
          <w:rFonts w:cs="Times New Roman"/>
          <w:szCs w:val="28"/>
        </w:rPr>
      </w:pPr>
      <w:r w:rsidRPr="006E7786">
        <w:rPr>
          <w:rFonts w:cs="Times New Roman"/>
          <w:szCs w:val="28"/>
        </w:rPr>
        <w:t>Latvijā koģenerācijas īpatsvars gan siltumenerģijas, gan elektroenerģijas ražošanā ir salīdzinoši liels. Elektriskās jaudas potenciāls ir atkarīgs arī no izvēlētās tehnoloģijas.</w:t>
      </w:r>
      <w:r w:rsidR="00CE662C">
        <w:rPr>
          <w:rFonts w:cs="Times New Roman"/>
          <w:szCs w:val="28"/>
        </w:rPr>
        <w:t xml:space="preserve"> K</w:t>
      </w:r>
      <w:r w:rsidRPr="006E7786">
        <w:rPr>
          <w:rFonts w:cs="Times New Roman"/>
          <w:szCs w:val="28"/>
        </w:rPr>
        <w:t xml:space="preserve">oģenerācijas stacijas 2012.gadā pārdošanai saražoja 4693 </w:t>
      </w:r>
      <w:proofErr w:type="spellStart"/>
      <w:r w:rsidRPr="006E7786">
        <w:rPr>
          <w:rFonts w:cs="Times New Roman"/>
          <w:szCs w:val="28"/>
        </w:rPr>
        <w:t>GWh</w:t>
      </w:r>
      <w:proofErr w:type="spellEnd"/>
      <w:r w:rsidRPr="006E7786">
        <w:rPr>
          <w:rFonts w:cs="Times New Roman"/>
          <w:szCs w:val="28"/>
        </w:rPr>
        <w:t xml:space="preserve"> centralizētās siltumenerģijas, kas veidoja 62,9% no kopējās centralizētās siltumenerģijas piegādes. </w:t>
      </w:r>
    </w:p>
    <w:p w:rsidR="00407D04" w:rsidRPr="00F945BE" w:rsidRDefault="00761BD3" w:rsidP="00F945BE">
      <w:pPr>
        <w:jc w:val="right"/>
        <w:rPr>
          <w:rFonts w:eastAsia="Times New Roman" w:cs="Times New Roman"/>
          <w:bCs/>
          <w:szCs w:val="28"/>
        </w:rPr>
      </w:pPr>
      <w:r>
        <w:rPr>
          <w:rFonts w:eastAsia="Times New Roman" w:cs="Times New Roman"/>
          <w:bCs/>
          <w:szCs w:val="28"/>
        </w:rPr>
        <w:t>4</w:t>
      </w:r>
      <w:r w:rsidR="00407D04" w:rsidRPr="00F945BE">
        <w:rPr>
          <w:rFonts w:eastAsia="Times New Roman" w:cs="Times New Roman"/>
          <w:bCs/>
          <w:szCs w:val="28"/>
        </w:rPr>
        <w:t>.tabula</w:t>
      </w:r>
      <w:r w:rsidR="005406D0">
        <w:rPr>
          <w:rStyle w:val="FootnoteReference"/>
          <w:rFonts w:eastAsia="Times New Roman" w:cs="Times New Roman"/>
          <w:bCs/>
        </w:rPr>
        <w:footnoteReference w:id="13"/>
      </w:r>
      <w:r w:rsidR="00407D04" w:rsidRPr="00F945BE">
        <w:rPr>
          <w:rFonts w:eastAsia="Times New Roman" w:cs="Times New Roman"/>
          <w:bCs/>
          <w:szCs w:val="28"/>
        </w:rPr>
        <w:t xml:space="preserve"> </w:t>
      </w:r>
    </w:p>
    <w:p w:rsidR="00EE6305" w:rsidRDefault="00EE6305" w:rsidP="00091F3D">
      <w:pPr>
        <w:jc w:val="center"/>
        <w:rPr>
          <w:rFonts w:eastAsia="Times New Roman" w:cs="Times New Roman"/>
          <w:b/>
          <w:bCs/>
          <w:szCs w:val="28"/>
          <w:lang w:eastAsia="lv-LV"/>
        </w:rPr>
      </w:pPr>
      <w:r w:rsidRPr="006E7786">
        <w:rPr>
          <w:rFonts w:eastAsia="Times New Roman" w:cs="Times New Roman"/>
          <w:b/>
          <w:bCs/>
          <w:szCs w:val="28"/>
          <w:lang w:eastAsia="lv-LV"/>
        </w:rPr>
        <w:t>Koģenerācijas staciju skaits, uzstādītā jauda un saražotā enerģija</w:t>
      </w:r>
    </w:p>
    <w:p w:rsidR="00091F3D" w:rsidRPr="006E7786" w:rsidRDefault="00091F3D" w:rsidP="00091F3D">
      <w:pPr>
        <w:jc w:val="center"/>
        <w:rPr>
          <w:rFonts w:eastAsia="Times New Roman" w:cs="Times New Roman"/>
          <w:szCs w:val="28"/>
          <w:lang w:eastAsia="lv-LV"/>
        </w:rPr>
      </w:pPr>
    </w:p>
    <w:tbl>
      <w:tblPr>
        <w:tblW w:w="7489" w:type="dxa"/>
        <w:jc w:val="center"/>
        <w:tblCellSpacing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 w:type="dxa"/>
          <w:left w:w="10" w:type="dxa"/>
          <w:bottom w:w="10" w:type="dxa"/>
          <w:right w:w="10" w:type="dxa"/>
        </w:tblCellMar>
        <w:tblLook w:val="04A0" w:firstRow="1" w:lastRow="0" w:firstColumn="1" w:lastColumn="0" w:noHBand="0" w:noVBand="1"/>
      </w:tblPr>
      <w:tblGrid>
        <w:gridCol w:w="3163"/>
        <w:gridCol w:w="784"/>
        <w:gridCol w:w="887"/>
        <w:gridCol w:w="886"/>
        <w:gridCol w:w="885"/>
        <w:gridCol w:w="884"/>
      </w:tblGrid>
      <w:tr w:rsidR="00EE6305" w:rsidRPr="006E7786" w:rsidTr="0064090A">
        <w:trPr>
          <w:trHeight w:val="350"/>
          <w:tblCellSpacing w:w="5" w:type="dxa"/>
          <w:jc w:val="center"/>
        </w:trPr>
        <w:tc>
          <w:tcPr>
            <w:tcW w:w="0" w:type="auto"/>
            <w:vAlign w:val="center"/>
            <w:hideMark/>
          </w:tcPr>
          <w:p w:rsidR="00EE6305" w:rsidRPr="006E7786" w:rsidRDefault="00EE6305" w:rsidP="00C34B97">
            <w:pPr>
              <w:spacing w:after="120"/>
              <w:rPr>
                <w:rFonts w:eastAsia="Times New Roman" w:cs="Times New Roman"/>
                <w:szCs w:val="28"/>
                <w:lang w:eastAsia="lv-LV"/>
              </w:rPr>
            </w:pPr>
            <w:r w:rsidRPr="006E7786">
              <w:rPr>
                <w:rFonts w:eastAsia="Times New Roman" w:cs="Times New Roman"/>
                <w:szCs w:val="28"/>
                <w:lang w:eastAsia="lv-LV"/>
              </w:rPr>
              <w:t> </w:t>
            </w:r>
          </w:p>
        </w:tc>
        <w:tc>
          <w:tcPr>
            <w:tcW w:w="774" w:type="dxa"/>
            <w:vAlign w:val="center"/>
            <w:hideMark/>
          </w:tcPr>
          <w:p w:rsidR="00EE6305" w:rsidRPr="00EE6305" w:rsidRDefault="00EE6305" w:rsidP="00C34B97">
            <w:pPr>
              <w:spacing w:after="120"/>
              <w:jc w:val="center"/>
              <w:rPr>
                <w:rFonts w:eastAsia="Times New Roman" w:cs="Times New Roman"/>
                <w:sz w:val="24"/>
                <w:szCs w:val="24"/>
                <w:lang w:eastAsia="lv-LV"/>
              </w:rPr>
            </w:pPr>
            <w:r w:rsidRPr="00EE6305">
              <w:rPr>
                <w:rFonts w:eastAsia="Times New Roman" w:cs="Times New Roman"/>
                <w:b/>
                <w:bCs/>
                <w:sz w:val="24"/>
                <w:szCs w:val="24"/>
                <w:lang w:eastAsia="lv-LV"/>
              </w:rPr>
              <w:t>2008</w:t>
            </w:r>
          </w:p>
        </w:tc>
        <w:tc>
          <w:tcPr>
            <w:tcW w:w="877" w:type="dxa"/>
            <w:vAlign w:val="center"/>
            <w:hideMark/>
          </w:tcPr>
          <w:p w:rsidR="00EE6305" w:rsidRPr="00EE6305" w:rsidRDefault="00EE6305" w:rsidP="00C34B97">
            <w:pPr>
              <w:spacing w:after="120"/>
              <w:jc w:val="center"/>
              <w:rPr>
                <w:rFonts w:eastAsia="Times New Roman" w:cs="Times New Roman"/>
                <w:sz w:val="24"/>
                <w:szCs w:val="24"/>
                <w:lang w:eastAsia="lv-LV"/>
              </w:rPr>
            </w:pPr>
            <w:r w:rsidRPr="00EE6305">
              <w:rPr>
                <w:rFonts w:eastAsia="Times New Roman" w:cs="Times New Roman"/>
                <w:b/>
                <w:bCs/>
                <w:sz w:val="24"/>
                <w:szCs w:val="24"/>
                <w:lang w:eastAsia="lv-LV"/>
              </w:rPr>
              <w:t>2009</w:t>
            </w:r>
          </w:p>
        </w:tc>
        <w:tc>
          <w:tcPr>
            <w:tcW w:w="876" w:type="dxa"/>
            <w:vAlign w:val="center"/>
            <w:hideMark/>
          </w:tcPr>
          <w:p w:rsidR="00EE6305" w:rsidRPr="00EE6305" w:rsidRDefault="00EE6305" w:rsidP="00C34B97">
            <w:pPr>
              <w:spacing w:after="120"/>
              <w:jc w:val="center"/>
              <w:rPr>
                <w:rFonts w:eastAsia="Times New Roman" w:cs="Times New Roman"/>
                <w:sz w:val="24"/>
                <w:szCs w:val="24"/>
                <w:lang w:eastAsia="lv-LV"/>
              </w:rPr>
            </w:pPr>
            <w:r w:rsidRPr="00EE6305">
              <w:rPr>
                <w:rFonts w:eastAsia="Times New Roman" w:cs="Times New Roman"/>
                <w:b/>
                <w:bCs/>
                <w:sz w:val="24"/>
                <w:szCs w:val="24"/>
                <w:lang w:eastAsia="lv-LV"/>
              </w:rPr>
              <w:t>2010</w:t>
            </w:r>
          </w:p>
        </w:tc>
        <w:tc>
          <w:tcPr>
            <w:tcW w:w="875" w:type="dxa"/>
            <w:vAlign w:val="center"/>
            <w:hideMark/>
          </w:tcPr>
          <w:p w:rsidR="00EE6305" w:rsidRPr="00EE6305" w:rsidRDefault="00EE6305" w:rsidP="00C34B97">
            <w:pPr>
              <w:spacing w:after="120"/>
              <w:jc w:val="center"/>
              <w:rPr>
                <w:rFonts w:eastAsia="Times New Roman" w:cs="Times New Roman"/>
                <w:sz w:val="24"/>
                <w:szCs w:val="24"/>
                <w:lang w:eastAsia="lv-LV"/>
              </w:rPr>
            </w:pPr>
            <w:r w:rsidRPr="00EE6305">
              <w:rPr>
                <w:rFonts w:eastAsia="Times New Roman" w:cs="Times New Roman"/>
                <w:b/>
                <w:bCs/>
                <w:sz w:val="24"/>
                <w:szCs w:val="24"/>
                <w:lang w:eastAsia="lv-LV"/>
              </w:rPr>
              <w:t>2011</w:t>
            </w:r>
          </w:p>
        </w:tc>
        <w:tc>
          <w:tcPr>
            <w:tcW w:w="869" w:type="dxa"/>
            <w:vAlign w:val="center"/>
            <w:hideMark/>
          </w:tcPr>
          <w:p w:rsidR="00EE6305" w:rsidRPr="00EE6305" w:rsidRDefault="00EE6305" w:rsidP="00C34B97">
            <w:pPr>
              <w:spacing w:after="120"/>
              <w:jc w:val="center"/>
              <w:rPr>
                <w:rFonts w:eastAsia="Times New Roman" w:cs="Times New Roman"/>
                <w:sz w:val="24"/>
                <w:szCs w:val="24"/>
                <w:lang w:eastAsia="lv-LV"/>
              </w:rPr>
            </w:pPr>
            <w:r w:rsidRPr="00EE6305">
              <w:rPr>
                <w:rFonts w:eastAsia="Times New Roman" w:cs="Times New Roman"/>
                <w:b/>
                <w:bCs/>
                <w:sz w:val="24"/>
                <w:szCs w:val="24"/>
                <w:lang w:eastAsia="lv-LV"/>
              </w:rPr>
              <w:t>2012</w:t>
            </w:r>
          </w:p>
        </w:tc>
      </w:tr>
      <w:tr w:rsidR="00EE6305" w:rsidRPr="006E7786" w:rsidTr="0064090A">
        <w:trPr>
          <w:trHeight w:val="350"/>
          <w:tblCellSpacing w:w="5" w:type="dxa"/>
          <w:jc w:val="center"/>
        </w:trPr>
        <w:tc>
          <w:tcPr>
            <w:tcW w:w="0" w:type="auto"/>
            <w:vAlign w:val="center"/>
            <w:hideMark/>
          </w:tcPr>
          <w:p w:rsidR="00EE6305" w:rsidRPr="00EE6305" w:rsidRDefault="00EE6305" w:rsidP="00C34B97">
            <w:pPr>
              <w:spacing w:after="120"/>
              <w:rPr>
                <w:rFonts w:eastAsia="Times New Roman" w:cs="Times New Roman"/>
                <w:sz w:val="24"/>
                <w:szCs w:val="24"/>
                <w:lang w:eastAsia="lv-LV"/>
              </w:rPr>
            </w:pPr>
            <w:r w:rsidRPr="00EE6305">
              <w:rPr>
                <w:rFonts w:eastAsia="Times New Roman" w:cs="Times New Roman"/>
                <w:b/>
                <w:bCs/>
                <w:sz w:val="24"/>
                <w:szCs w:val="24"/>
                <w:lang w:eastAsia="lv-LV"/>
              </w:rPr>
              <w:t>Koģenerācijas staciju skaits</w:t>
            </w:r>
          </w:p>
        </w:tc>
        <w:tc>
          <w:tcPr>
            <w:tcW w:w="774" w:type="dxa"/>
            <w:vAlign w:val="center"/>
            <w:hideMark/>
          </w:tcPr>
          <w:p w:rsidR="00EE6305" w:rsidRPr="00EE6305" w:rsidRDefault="00EE6305" w:rsidP="00C34B97">
            <w:pPr>
              <w:spacing w:after="120"/>
              <w:jc w:val="center"/>
              <w:rPr>
                <w:rFonts w:eastAsia="Times New Roman" w:cs="Times New Roman"/>
                <w:sz w:val="24"/>
                <w:szCs w:val="24"/>
                <w:lang w:eastAsia="lv-LV"/>
              </w:rPr>
            </w:pPr>
            <w:r w:rsidRPr="00EE6305">
              <w:rPr>
                <w:rFonts w:eastAsia="Times New Roman" w:cs="Times New Roman"/>
                <w:sz w:val="24"/>
                <w:szCs w:val="24"/>
                <w:lang w:eastAsia="lv-LV"/>
              </w:rPr>
              <w:t>48</w:t>
            </w:r>
          </w:p>
        </w:tc>
        <w:tc>
          <w:tcPr>
            <w:tcW w:w="877" w:type="dxa"/>
            <w:vAlign w:val="center"/>
            <w:hideMark/>
          </w:tcPr>
          <w:p w:rsidR="00EE6305" w:rsidRPr="00EE6305" w:rsidRDefault="00EE6305" w:rsidP="00C34B97">
            <w:pPr>
              <w:spacing w:after="120"/>
              <w:jc w:val="center"/>
              <w:rPr>
                <w:rFonts w:eastAsia="Times New Roman" w:cs="Times New Roman"/>
                <w:sz w:val="24"/>
                <w:szCs w:val="24"/>
                <w:lang w:eastAsia="lv-LV"/>
              </w:rPr>
            </w:pPr>
            <w:r w:rsidRPr="00EE6305">
              <w:rPr>
                <w:rFonts w:eastAsia="Times New Roman" w:cs="Times New Roman"/>
                <w:sz w:val="24"/>
                <w:szCs w:val="24"/>
                <w:lang w:eastAsia="lv-LV"/>
              </w:rPr>
              <w:t>56</w:t>
            </w:r>
          </w:p>
        </w:tc>
        <w:tc>
          <w:tcPr>
            <w:tcW w:w="876" w:type="dxa"/>
            <w:vAlign w:val="center"/>
            <w:hideMark/>
          </w:tcPr>
          <w:p w:rsidR="00EE6305" w:rsidRPr="00EE6305" w:rsidRDefault="00EE6305" w:rsidP="00C34B97">
            <w:pPr>
              <w:spacing w:after="120"/>
              <w:jc w:val="center"/>
              <w:rPr>
                <w:rFonts w:eastAsia="Times New Roman" w:cs="Times New Roman"/>
                <w:sz w:val="24"/>
                <w:szCs w:val="24"/>
                <w:lang w:eastAsia="lv-LV"/>
              </w:rPr>
            </w:pPr>
            <w:r w:rsidRPr="00EE6305">
              <w:rPr>
                <w:rFonts w:eastAsia="Times New Roman" w:cs="Times New Roman"/>
                <w:sz w:val="24"/>
                <w:szCs w:val="24"/>
                <w:lang w:eastAsia="lv-LV"/>
              </w:rPr>
              <w:t>71</w:t>
            </w:r>
          </w:p>
        </w:tc>
        <w:tc>
          <w:tcPr>
            <w:tcW w:w="875" w:type="dxa"/>
            <w:vAlign w:val="center"/>
            <w:hideMark/>
          </w:tcPr>
          <w:p w:rsidR="00EE6305" w:rsidRPr="00EE6305" w:rsidRDefault="00EE6305" w:rsidP="00C34B97">
            <w:pPr>
              <w:spacing w:after="120"/>
              <w:jc w:val="center"/>
              <w:rPr>
                <w:rFonts w:eastAsia="Times New Roman" w:cs="Times New Roman"/>
                <w:sz w:val="24"/>
                <w:szCs w:val="24"/>
                <w:lang w:eastAsia="lv-LV"/>
              </w:rPr>
            </w:pPr>
            <w:r w:rsidRPr="00EE6305">
              <w:rPr>
                <w:rFonts w:eastAsia="Times New Roman" w:cs="Times New Roman"/>
                <w:sz w:val="24"/>
                <w:szCs w:val="24"/>
                <w:lang w:eastAsia="lv-LV"/>
              </w:rPr>
              <w:t>83</w:t>
            </w:r>
          </w:p>
        </w:tc>
        <w:tc>
          <w:tcPr>
            <w:tcW w:w="869" w:type="dxa"/>
            <w:vAlign w:val="center"/>
            <w:hideMark/>
          </w:tcPr>
          <w:p w:rsidR="00EE6305" w:rsidRPr="00EE6305" w:rsidRDefault="00EE6305" w:rsidP="00C34B97">
            <w:pPr>
              <w:spacing w:after="120"/>
              <w:jc w:val="center"/>
              <w:rPr>
                <w:rFonts w:eastAsia="Times New Roman" w:cs="Times New Roman"/>
                <w:sz w:val="24"/>
                <w:szCs w:val="24"/>
                <w:lang w:eastAsia="lv-LV"/>
              </w:rPr>
            </w:pPr>
            <w:r w:rsidRPr="00EE6305">
              <w:rPr>
                <w:rFonts w:eastAsia="Times New Roman" w:cs="Times New Roman"/>
                <w:sz w:val="24"/>
                <w:szCs w:val="24"/>
                <w:lang w:eastAsia="lv-LV"/>
              </w:rPr>
              <w:t>132</w:t>
            </w:r>
          </w:p>
        </w:tc>
      </w:tr>
      <w:tr w:rsidR="00EE6305" w:rsidRPr="006E7786" w:rsidTr="0064090A">
        <w:trPr>
          <w:trHeight w:val="350"/>
          <w:tblCellSpacing w:w="5" w:type="dxa"/>
          <w:jc w:val="center"/>
        </w:trPr>
        <w:tc>
          <w:tcPr>
            <w:tcW w:w="0" w:type="auto"/>
            <w:vAlign w:val="center"/>
            <w:hideMark/>
          </w:tcPr>
          <w:p w:rsidR="00EE6305" w:rsidRPr="00EE6305" w:rsidRDefault="00EE6305" w:rsidP="00C34B97">
            <w:pPr>
              <w:spacing w:after="120"/>
              <w:rPr>
                <w:rFonts w:eastAsia="Times New Roman" w:cs="Times New Roman"/>
                <w:sz w:val="24"/>
                <w:szCs w:val="24"/>
                <w:lang w:eastAsia="lv-LV"/>
              </w:rPr>
            </w:pPr>
            <w:r w:rsidRPr="00EE6305">
              <w:rPr>
                <w:rFonts w:eastAsia="Times New Roman" w:cs="Times New Roman"/>
                <w:b/>
                <w:bCs/>
                <w:sz w:val="24"/>
                <w:szCs w:val="24"/>
                <w:lang w:eastAsia="lv-LV"/>
              </w:rPr>
              <w:t>Uzstādītā elektriskā jauda (MW)</w:t>
            </w:r>
          </w:p>
        </w:tc>
        <w:tc>
          <w:tcPr>
            <w:tcW w:w="774" w:type="dxa"/>
            <w:vAlign w:val="center"/>
            <w:hideMark/>
          </w:tcPr>
          <w:p w:rsidR="00EE6305" w:rsidRPr="00EE6305" w:rsidRDefault="00EE6305" w:rsidP="00C34B97">
            <w:pPr>
              <w:spacing w:after="120"/>
              <w:jc w:val="center"/>
              <w:rPr>
                <w:rFonts w:eastAsia="Times New Roman" w:cs="Times New Roman"/>
                <w:sz w:val="24"/>
                <w:szCs w:val="24"/>
                <w:lang w:eastAsia="lv-LV"/>
              </w:rPr>
            </w:pPr>
            <w:r w:rsidRPr="00EE6305">
              <w:rPr>
                <w:rFonts w:eastAsia="Times New Roman" w:cs="Times New Roman"/>
                <w:sz w:val="24"/>
                <w:szCs w:val="24"/>
                <w:lang w:eastAsia="lv-LV"/>
              </w:rPr>
              <w:t>587,7</w:t>
            </w:r>
          </w:p>
        </w:tc>
        <w:tc>
          <w:tcPr>
            <w:tcW w:w="877" w:type="dxa"/>
            <w:vAlign w:val="center"/>
            <w:hideMark/>
          </w:tcPr>
          <w:p w:rsidR="00EE6305" w:rsidRPr="00EE6305" w:rsidRDefault="00EE6305" w:rsidP="00C34B97">
            <w:pPr>
              <w:spacing w:after="120"/>
              <w:jc w:val="center"/>
              <w:rPr>
                <w:rFonts w:eastAsia="Times New Roman" w:cs="Times New Roman"/>
                <w:sz w:val="24"/>
                <w:szCs w:val="24"/>
                <w:lang w:eastAsia="lv-LV"/>
              </w:rPr>
            </w:pPr>
            <w:r w:rsidRPr="00EE6305">
              <w:rPr>
                <w:rFonts w:eastAsia="Times New Roman" w:cs="Times New Roman"/>
                <w:sz w:val="24"/>
                <w:szCs w:val="24"/>
                <w:lang w:eastAsia="lv-LV"/>
              </w:rPr>
              <w:t>933,6</w:t>
            </w:r>
          </w:p>
        </w:tc>
        <w:tc>
          <w:tcPr>
            <w:tcW w:w="876" w:type="dxa"/>
            <w:vAlign w:val="center"/>
            <w:hideMark/>
          </w:tcPr>
          <w:p w:rsidR="00EE6305" w:rsidRPr="00EE6305" w:rsidRDefault="00EE6305" w:rsidP="00C34B97">
            <w:pPr>
              <w:spacing w:after="120"/>
              <w:jc w:val="center"/>
              <w:rPr>
                <w:rFonts w:eastAsia="Times New Roman" w:cs="Times New Roman"/>
                <w:sz w:val="24"/>
                <w:szCs w:val="24"/>
                <w:lang w:eastAsia="lv-LV"/>
              </w:rPr>
            </w:pPr>
            <w:r w:rsidRPr="00EE6305">
              <w:rPr>
                <w:rFonts w:eastAsia="Times New Roman" w:cs="Times New Roman"/>
                <w:sz w:val="24"/>
                <w:szCs w:val="24"/>
                <w:lang w:eastAsia="lv-LV"/>
              </w:rPr>
              <w:t>947,5</w:t>
            </w:r>
          </w:p>
        </w:tc>
        <w:tc>
          <w:tcPr>
            <w:tcW w:w="875" w:type="dxa"/>
            <w:vAlign w:val="center"/>
            <w:hideMark/>
          </w:tcPr>
          <w:p w:rsidR="00EE6305" w:rsidRPr="00EE6305" w:rsidRDefault="00EE6305" w:rsidP="00C34B97">
            <w:pPr>
              <w:spacing w:after="120"/>
              <w:jc w:val="center"/>
              <w:rPr>
                <w:rFonts w:eastAsia="Times New Roman" w:cs="Times New Roman"/>
                <w:sz w:val="24"/>
                <w:szCs w:val="24"/>
                <w:lang w:eastAsia="lv-LV"/>
              </w:rPr>
            </w:pPr>
            <w:r w:rsidRPr="00EE6305">
              <w:rPr>
                <w:rFonts w:eastAsia="Times New Roman" w:cs="Times New Roman"/>
                <w:sz w:val="24"/>
                <w:szCs w:val="24"/>
                <w:lang w:eastAsia="lv-LV"/>
              </w:rPr>
              <w:t>963,4</w:t>
            </w:r>
          </w:p>
        </w:tc>
        <w:tc>
          <w:tcPr>
            <w:tcW w:w="869" w:type="dxa"/>
            <w:vAlign w:val="center"/>
            <w:hideMark/>
          </w:tcPr>
          <w:p w:rsidR="00EE6305" w:rsidRPr="00EE6305" w:rsidRDefault="00EE6305" w:rsidP="00C34B97">
            <w:pPr>
              <w:spacing w:after="120"/>
              <w:jc w:val="center"/>
              <w:rPr>
                <w:rFonts w:eastAsia="Times New Roman" w:cs="Times New Roman"/>
                <w:sz w:val="24"/>
                <w:szCs w:val="24"/>
                <w:lang w:eastAsia="lv-LV"/>
              </w:rPr>
            </w:pPr>
            <w:r w:rsidRPr="00EE6305">
              <w:rPr>
                <w:rFonts w:eastAsia="Times New Roman" w:cs="Times New Roman"/>
                <w:sz w:val="24"/>
                <w:szCs w:val="24"/>
                <w:lang w:eastAsia="lv-LV"/>
              </w:rPr>
              <w:t>1016,0</w:t>
            </w:r>
          </w:p>
        </w:tc>
      </w:tr>
      <w:tr w:rsidR="00EE6305" w:rsidRPr="006E7786" w:rsidTr="0064090A">
        <w:trPr>
          <w:trHeight w:val="350"/>
          <w:tblCellSpacing w:w="5" w:type="dxa"/>
          <w:jc w:val="center"/>
        </w:trPr>
        <w:tc>
          <w:tcPr>
            <w:tcW w:w="0" w:type="auto"/>
            <w:vAlign w:val="center"/>
            <w:hideMark/>
          </w:tcPr>
          <w:p w:rsidR="00EE6305" w:rsidRPr="00EE6305" w:rsidRDefault="00EE6305" w:rsidP="00C34B97">
            <w:pPr>
              <w:spacing w:after="120"/>
              <w:rPr>
                <w:rFonts w:eastAsia="Times New Roman" w:cs="Times New Roman"/>
                <w:sz w:val="24"/>
                <w:szCs w:val="24"/>
                <w:lang w:eastAsia="lv-LV"/>
              </w:rPr>
            </w:pPr>
            <w:r w:rsidRPr="00EE6305">
              <w:rPr>
                <w:rFonts w:eastAsia="Times New Roman" w:cs="Times New Roman"/>
                <w:b/>
                <w:bCs/>
                <w:sz w:val="24"/>
                <w:szCs w:val="24"/>
                <w:lang w:eastAsia="lv-LV"/>
              </w:rPr>
              <w:t>Uzstādītā siltumenerģijas</w:t>
            </w:r>
            <w:r w:rsidRPr="00EE6305">
              <w:rPr>
                <w:rFonts w:eastAsia="Times New Roman" w:cs="Times New Roman"/>
                <w:b/>
                <w:bCs/>
                <w:sz w:val="24"/>
                <w:szCs w:val="24"/>
                <w:lang w:eastAsia="lv-LV"/>
              </w:rPr>
              <w:br/>
              <w:t>jauda (MW)*</w:t>
            </w:r>
          </w:p>
        </w:tc>
        <w:tc>
          <w:tcPr>
            <w:tcW w:w="774" w:type="dxa"/>
            <w:vAlign w:val="center"/>
            <w:hideMark/>
          </w:tcPr>
          <w:p w:rsidR="00EE6305" w:rsidRPr="00EE6305" w:rsidRDefault="00EE6305" w:rsidP="00C34B97">
            <w:pPr>
              <w:spacing w:after="120"/>
              <w:jc w:val="center"/>
              <w:rPr>
                <w:rFonts w:eastAsia="Times New Roman" w:cs="Times New Roman"/>
                <w:sz w:val="24"/>
                <w:szCs w:val="24"/>
                <w:lang w:eastAsia="lv-LV"/>
              </w:rPr>
            </w:pPr>
            <w:r w:rsidRPr="00EE6305">
              <w:rPr>
                <w:rFonts w:eastAsia="Times New Roman" w:cs="Times New Roman"/>
                <w:sz w:val="24"/>
                <w:szCs w:val="24"/>
                <w:lang w:eastAsia="lv-LV"/>
              </w:rPr>
              <w:t>2737,3</w:t>
            </w:r>
          </w:p>
        </w:tc>
        <w:tc>
          <w:tcPr>
            <w:tcW w:w="877" w:type="dxa"/>
            <w:vAlign w:val="center"/>
            <w:hideMark/>
          </w:tcPr>
          <w:p w:rsidR="00EE6305" w:rsidRPr="00EE6305" w:rsidRDefault="00EE6305" w:rsidP="00C34B97">
            <w:pPr>
              <w:spacing w:after="120"/>
              <w:jc w:val="center"/>
              <w:rPr>
                <w:rFonts w:eastAsia="Times New Roman" w:cs="Times New Roman"/>
                <w:sz w:val="24"/>
                <w:szCs w:val="24"/>
                <w:lang w:eastAsia="lv-LV"/>
              </w:rPr>
            </w:pPr>
            <w:r w:rsidRPr="00EE6305">
              <w:rPr>
                <w:rFonts w:eastAsia="Times New Roman" w:cs="Times New Roman"/>
                <w:sz w:val="24"/>
                <w:szCs w:val="24"/>
                <w:lang w:eastAsia="lv-LV"/>
              </w:rPr>
              <w:t>2737,2</w:t>
            </w:r>
          </w:p>
        </w:tc>
        <w:tc>
          <w:tcPr>
            <w:tcW w:w="876" w:type="dxa"/>
            <w:vAlign w:val="center"/>
            <w:hideMark/>
          </w:tcPr>
          <w:p w:rsidR="00EE6305" w:rsidRPr="00EE6305" w:rsidRDefault="00EE6305" w:rsidP="00C34B97">
            <w:pPr>
              <w:spacing w:after="120"/>
              <w:jc w:val="center"/>
              <w:rPr>
                <w:rFonts w:eastAsia="Times New Roman" w:cs="Times New Roman"/>
                <w:sz w:val="24"/>
                <w:szCs w:val="24"/>
                <w:lang w:eastAsia="lv-LV"/>
              </w:rPr>
            </w:pPr>
            <w:r w:rsidRPr="00EE6305">
              <w:rPr>
                <w:rFonts w:eastAsia="Times New Roman" w:cs="Times New Roman"/>
                <w:sz w:val="24"/>
                <w:szCs w:val="24"/>
                <w:lang w:eastAsia="lv-LV"/>
              </w:rPr>
              <w:t>2856,6</w:t>
            </w:r>
          </w:p>
        </w:tc>
        <w:tc>
          <w:tcPr>
            <w:tcW w:w="875" w:type="dxa"/>
            <w:vAlign w:val="center"/>
            <w:hideMark/>
          </w:tcPr>
          <w:p w:rsidR="00EE6305" w:rsidRPr="00EE6305" w:rsidRDefault="00EE6305" w:rsidP="00C34B97">
            <w:pPr>
              <w:spacing w:after="120"/>
              <w:jc w:val="center"/>
              <w:rPr>
                <w:rFonts w:eastAsia="Times New Roman" w:cs="Times New Roman"/>
                <w:sz w:val="24"/>
                <w:szCs w:val="24"/>
                <w:lang w:eastAsia="lv-LV"/>
              </w:rPr>
            </w:pPr>
            <w:r w:rsidRPr="00EE6305">
              <w:rPr>
                <w:rFonts w:eastAsia="Times New Roman" w:cs="Times New Roman"/>
                <w:sz w:val="24"/>
                <w:szCs w:val="24"/>
                <w:lang w:eastAsia="lv-LV"/>
              </w:rPr>
              <w:t>2904,2</w:t>
            </w:r>
          </w:p>
        </w:tc>
        <w:tc>
          <w:tcPr>
            <w:tcW w:w="869" w:type="dxa"/>
            <w:vAlign w:val="center"/>
            <w:hideMark/>
          </w:tcPr>
          <w:p w:rsidR="00EE6305" w:rsidRPr="00EE6305" w:rsidRDefault="00EE6305" w:rsidP="00C34B97">
            <w:pPr>
              <w:spacing w:after="120"/>
              <w:jc w:val="center"/>
              <w:rPr>
                <w:rFonts w:eastAsia="Times New Roman" w:cs="Times New Roman"/>
                <w:sz w:val="24"/>
                <w:szCs w:val="24"/>
                <w:lang w:eastAsia="lv-LV"/>
              </w:rPr>
            </w:pPr>
            <w:r w:rsidRPr="00EE6305">
              <w:rPr>
                <w:rFonts w:eastAsia="Times New Roman" w:cs="Times New Roman"/>
                <w:sz w:val="24"/>
                <w:szCs w:val="24"/>
                <w:lang w:eastAsia="lv-LV"/>
              </w:rPr>
              <w:t>3120,2</w:t>
            </w:r>
          </w:p>
        </w:tc>
      </w:tr>
      <w:tr w:rsidR="00EE6305" w:rsidRPr="006E7786" w:rsidTr="0064090A">
        <w:trPr>
          <w:trHeight w:val="350"/>
          <w:tblCellSpacing w:w="5" w:type="dxa"/>
          <w:jc w:val="center"/>
        </w:trPr>
        <w:tc>
          <w:tcPr>
            <w:tcW w:w="0" w:type="auto"/>
            <w:vAlign w:val="center"/>
            <w:hideMark/>
          </w:tcPr>
          <w:p w:rsidR="00EE6305" w:rsidRPr="00EE6305" w:rsidRDefault="00EE6305" w:rsidP="00C34B97">
            <w:pPr>
              <w:spacing w:after="120"/>
              <w:rPr>
                <w:rFonts w:eastAsia="Times New Roman" w:cs="Times New Roman"/>
                <w:sz w:val="24"/>
                <w:szCs w:val="24"/>
                <w:lang w:eastAsia="lv-LV"/>
              </w:rPr>
            </w:pPr>
            <w:r w:rsidRPr="00EE6305">
              <w:rPr>
                <w:rFonts w:eastAsia="Times New Roman" w:cs="Times New Roman"/>
                <w:b/>
                <w:bCs/>
                <w:sz w:val="24"/>
                <w:szCs w:val="24"/>
                <w:lang w:eastAsia="lv-LV"/>
              </w:rPr>
              <w:t>Saražotā elektroenerģija (</w:t>
            </w:r>
            <w:proofErr w:type="spellStart"/>
            <w:r w:rsidRPr="00EE6305">
              <w:rPr>
                <w:rFonts w:eastAsia="Times New Roman" w:cs="Times New Roman"/>
                <w:b/>
                <w:bCs/>
                <w:sz w:val="24"/>
                <w:szCs w:val="24"/>
                <w:lang w:eastAsia="lv-LV"/>
              </w:rPr>
              <w:t>GWh</w:t>
            </w:r>
            <w:proofErr w:type="spellEnd"/>
            <w:r w:rsidRPr="00EE6305">
              <w:rPr>
                <w:rFonts w:eastAsia="Times New Roman" w:cs="Times New Roman"/>
                <w:b/>
                <w:bCs/>
                <w:sz w:val="24"/>
                <w:szCs w:val="24"/>
                <w:lang w:eastAsia="lv-LV"/>
              </w:rPr>
              <w:t>)</w:t>
            </w:r>
          </w:p>
        </w:tc>
        <w:tc>
          <w:tcPr>
            <w:tcW w:w="774" w:type="dxa"/>
            <w:vAlign w:val="center"/>
            <w:hideMark/>
          </w:tcPr>
          <w:p w:rsidR="00EE6305" w:rsidRPr="00EE6305" w:rsidRDefault="00EE6305" w:rsidP="00C34B97">
            <w:pPr>
              <w:spacing w:after="120"/>
              <w:jc w:val="center"/>
              <w:rPr>
                <w:rFonts w:eastAsia="Times New Roman" w:cs="Times New Roman"/>
                <w:sz w:val="24"/>
                <w:szCs w:val="24"/>
                <w:lang w:eastAsia="lv-LV"/>
              </w:rPr>
            </w:pPr>
            <w:r w:rsidRPr="00EE6305">
              <w:rPr>
                <w:rFonts w:eastAsia="Times New Roman" w:cs="Times New Roman"/>
                <w:sz w:val="24"/>
                <w:szCs w:val="24"/>
                <w:lang w:eastAsia="lv-LV"/>
              </w:rPr>
              <w:t>2103,6</w:t>
            </w:r>
          </w:p>
        </w:tc>
        <w:tc>
          <w:tcPr>
            <w:tcW w:w="877" w:type="dxa"/>
            <w:vAlign w:val="center"/>
            <w:hideMark/>
          </w:tcPr>
          <w:p w:rsidR="00EE6305" w:rsidRPr="00EE6305" w:rsidRDefault="00EE6305" w:rsidP="00C34B97">
            <w:pPr>
              <w:spacing w:after="120"/>
              <w:jc w:val="center"/>
              <w:rPr>
                <w:rFonts w:eastAsia="Times New Roman" w:cs="Times New Roman"/>
                <w:sz w:val="24"/>
                <w:szCs w:val="24"/>
                <w:lang w:eastAsia="lv-LV"/>
              </w:rPr>
            </w:pPr>
            <w:r w:rsidRPr="00EE6305">
              <w:rPr>
                <w:rFonts w:eastAsia="Times New Roman" w:cs="Times New Roman"/>
                <w:sz w:val="24"/>
                <w:szCs w:val="24"/>
                <w:lang w:eastAsia="lv-LV"/>
              </w:rPr>
              <w:t>2057,2</w:t>
            </w:r>
          </w:p>
        </w:tc>
        <w:tc>
          <w:tcPr>
            <w:tcW w:w="876" w:type="dxa"/>
            <w:vAlign w:val="center"/>
            <w:hideMark/>
          </w:tcPr>
          <w:p w:rsidR="00EE6305" w:rsidRPr="00EE6305" w:rsidRDefault="00EE6305" w:rsidP="00C34B97">
            <w:pPr>
              <w:spacing w:after="120"/>
              <w:jc w:val="center"/>
              <w:rPr>
                <w:rFonts w:eastAsia="Times New Roman" w:cs="Times New Roman"/>
                <w:sz w:val="24"/>
                <w:szCs w:val="24"/>
                <w:lang w:eastAsia="lv-LV"/>
              </w:rPr>
            </w:pPr>
            <w:r w:rsidRPr="00EE6305">
              <w:rPr>
                <w:rFonts w:eastAsia="Times New Roman" w:cs="Times New Roman"/>
                <w:sz w:val="24"/>
                <w:szCs w:val="24"/>
                <w:lang w:eastAsia="lv-LV"/>
              </w:rPr>
              <w:t>3049,9</w:t>
            </w:r>
          </w:p>
        </w:tc>
        <w:tc>
          <w:tcPr>
            <w:tcW w:w="875" w:type="dxa"/>
            <w:vAlign w:val="center"/>
            <w:hideMark/>
          </w:tcPr>
          <w:p w:rsidR="00EE6305" w:rsidRPr="00EE6305" w:rsidRDefault="00EE6305" w:rsidP="00C34B97">
            <w:pPr>
              <w:spacing w:after="120"/>
              <w:jc w:val="center"/>
              <w:rPr>
                <w:rFonts w:eastAsia="Times New Roman" w:cs="Times New Roman"/>
                <w:sz w:val="24"/>
                <w:szCs w:val="24"/>
                <w:lang w:eastAsia="lv-LV"/>
              </w:rPr>
            </w:pPr>
            <w:r w:rsidRPr="00EE6305">
              <w:rPr>
                <w:rFonts w:eastAsia="Times New Roman" w:cs="Times New Roman"/>
                <w:sz w:val="24"/>
                <w:szCs w:val="24"/>
                <w:lang w:eastAsia="lv-LV"/>
              </w:rPr>
              <w:t>3133,7</w:t>
            </w:r>
          </w:p>
        </w:tc>
        <w:tc>
          <w:tcPr>
            <w:tcW w:w="869" w:type="dxa"/>
            <w:vAlign w:val="center"/>
            <w:hideMark/>
          </w:tcPr>
          <w:p w:rsidR="00EE6305" w:rsidRPr="00EE6305" w:rsidRDefault="00EE6305" w:rsidP="00C34B97">
            <w:pPr>
              <w:spacing w:after="120"/>
              <w:jc w:val="center"/>
              <w:rPr>
                <w:rFonts w:eastAsia="Times New Roman" w:cs="Times New Roman"/>
                <w:sz w:val="24"/>
                <w:szCs w:val="24"/>
                <w:lang w:eastAsia="lv-LV"/>
              </w:rPr>
            </w:pPr>
            <w:r w:rsidRPr="00EE6305">
              <w:rPr>
                <w:rFonts w:eastAsia="Times New Roman" w:cs="Times New Roman"/>
                <w:sz w:val="24"/>
                <w:szCs w:val="24"/>
                <w:lang w:eastAsia="lv-LV"/>
              </w:rPr>
              <w:t>2340,2</w:t>
            </w:r>
          </w:p>
        </w:tc>
      </w:tr>
      <w:tr w:rsidR="00EE6305" w:rsidRPr="006E7786" w:rsidTr="0064090A">
        <w:trPr>
          <w:trHeight w:val="350"/>
          <w:tblCellSpacing w:w="5" w:type="dxa"/>
          <w:jc w:val="center"/>
        </w:trPr>
        <w:tc>
          <w:tcPr>
            <w:tcW w:w="0" w:type="auto"/>
            <w:vAlign w:val="center"/>
            <w:hideMark/>
          </w:tcPr>
          <w:p w:rsidR="00EE6305" w:rsidRPr="00EE6305" w:rsidRDefault="00EE6305" w:rsidP="00C34B97">
            <w:pPr>
              <w:spacing w:after="120"/>
              <w:rPr>
                <w:rFonts w:eastAsia="Times New Roman" w:cs="Times New Roman"/>
                <w:sz w:val="24"/>
                <w:szCs w:val="24"/>
                <w:lang w:eastAsia="lv-LV"/>
              </w:rPr>
            </w:pPr>
            <w:r w:rsidRPr="00EE6305">
              <w:rPr>
                <w:rFonts w:eastAsia="Times New Roman" w:cs="Times New Roman"/>
                <w:b/>
                <w:bCs/>
                <w:sz w:val="24"/>
                <w:szCs w:val="24"/>
                <w:lang w:eastAsia="lv-LV"/>
              </w:rPr>
              <w:t>Saražotā centralizētā siltumenerģija (</w:t>
            </w:r>
            <w:proofErr w:type="spellStart"/>
            <w:r w:rsidRPr="00EE6305">
              <w:rPr>
                <w:rFonts w:eastAsia="Times New Roman" w:cs="Times New Roman"/>
                <w:b/>
                <w:bCs/>
                <w:sz w:val="24"/>
                <w:szCs w:val="24"/>
                <w:lang w:eastAsia="lv-LV"/>
              </w:rPr>
              <w:t>GWh</w:t>
            </w:r>
            <w:proofErr w:type="spellEnd"/>
            <w:r w:rsidRPr="00EE6305">
              <w:rPr>
                <w:rFonts w:eastAsia="Times New Roman" w:cs="Times New Roman"/>
                <w:b/>
                <w:bCs/>
                <w:sz w:val="24"/>
                <w:szCs w:val="24"/>
                <w:lang w:eastAsia="lv-LV"/>
              </w:rPr>
              <w:t>)**</w:t>
            </w:r>
          </w:p>
        </w:tc>
        <w:tc>
          <w:tcPr>
            <w:tcW w:w="774" w:type="dxa"/>
            <w:vAlign w:val="center"/>
            <w:hideMark/>
          </w:tcPr>
          <w:p w:rsidR="00EE6305" w:rsidRPr="00EE6305" w:rsidRDefault="00EE6305" w:rsidP="00C34B97">
            <w:pPr>
              <w:spacing w:after="120"/>
              <w:jc w:val="center"/>
              <w:rPr>
                <w:rFonts w:eastAsia="Times New Roman" w:cs="Times New Roman"/>
                <w:sz w:val="24"/>
                <w:szCs w:val="24"/>
                <w:lang w:eastAsia="lv-LV"/>
              </w:rPr>
            </w:pPr>
            <w:r w:rsidRPr="00EE6305">
              <w:rPr>
                <w:rFonts w:eastAsia="Times New Roman" w:cs="Times New Roman"/>
                <w:sz w:val="24"/>
                <w:szCs w:val="24"/>
                <w:lang w:eastAsia="lv-LV"/>
              </w:rPr>
              <w:t>3990,2</w:t>
            </w:r>
          </w:p>
        </w:tc>
        <w:tc>
          <w:tcPr>
            <w:tcW w:w="877" w:type="dxa"/>
            <w:vAlign w:val="center"/>
            <w:hideMark/>
          </w:tcPr>
          <w:p w:rsidR="00EE6305" w:rsidRPr="00EE6305" w:rsidRDefault="00EE6305" w:rsidP="00C34B97">
            <w:pPr>
              <w:spacing w:after="120"/>
              <w:jc w:val="center"/>
              <w:rPr>
                <w:rFonts w:eastAsia="Times New Roman" w:cs="Times New Roman"/>
                <w:sz w:val="24"/>
                <w:szCs w:val="24"/>
                <w:lang w:eastAsia="lv-LV"/>
              </w:rPr>
            </w:pPr>
            <w:r w:rsidRPr="00EE6305">
              <w:rPr>
                <w:rFonts w:eastAsia="Times New Roman" w:cs="Times New Roman"/>
                <w:sz w:val="24"/>
                <w:szCs w:val="24"/>
                <w:lang w:eastAsia="lv-LV"/>
              </w:rPr>
              <w:t>4076,1</w:t>
            </w:r>
          </w:p>
        </w:tc>
        <w:tc>
          <w:tcPr>
            <w:tcW w:w="876" w:type="dxa"/>
            <w:vAlign w:val="center"/>
            <w:hideMark/>
          </w:tcPr>
          <w:p w:rsidR="00EE6305" w:rsidRPr="00EE6305" w:rsidRDefault="00EE6305" w:rsidP="00C34B97">
            <w:pPr>
              <w:spacing w:after="120"/>
              <w:jc w:val="center"/>
              <w:rPr>
                <w:rFonts w:eastAsia="Times New Roman" w:cs="Times New Roman"/>
                <w:sz w:val="24"/>
                <w:szCs w:val="24"/>
                <w:lang w:eastAsia="lv-LV"/>
              </w:rPr>
            </w:pPr>
            <w:r w:rsidRPr="00EE6305">
              <w:rPr>
                <w:rFonts w:eastAsia="Times New Roman" w:cs="Times New Roman"/>
                <w:sz w:val="24"/>
                <w:szCs w:val="24"/>
                <w:lang w:eastAsia="lv-LV"/>
              </w:rPr>
              <w:t>4730,8</w:t>
            </w:r>
          </w:p>
        </w:tc>
        <w:tc>
          <w:tcPr>
            <w:tcW w:w="875" w:type="dxa"/>
            <w:vAlign w:val="center"/>
            <w:hideMark/>
          </w:tcPr>
          <w:p w:rsidR="00EE6305" w:rsidRPr="00EE6305" w:rsidRDefault="00EE6305" w:rsidP="00C34B97">
            <w:pPr>
              <w:spacing w:after="120"/>
              <w:jc w:val="center"/>
              <w:rPr>
                <w:rFonts w:eastAsia="Times New Roman" w:cs="Times New Roman"/>
                <w:sz w:val="24"/>
                <w:szCs w:val="24"/>
                <w:lang w:eastAsia="lv-LV"/>
              </w:rPr>
            </w:pPr>
            <w:r w:rsidRPr="00EE6305">
              <w:rPr>
                <w:rFonts w:eastAsia="Times New Roman" w:cs="Times New Roman"/>
                <w:sz w:val="24"/>
                <w:szCs w:val="24"/>
                <w:lang w:eastAsia="lv-LV"/>
              </w:rPr>
              <w:t>4174,6</w:t>
            </w:r>
          </w:p>
        </w:tc>
        <w:tc>
          <w:tcPr>
            <w:tcW w:w="869" w:type="dxa"/>
            <w:vAlign w:val="center"/>
            <w:hideMark/>
          </w:tcPr>
          <w:p w:rsidR="00EE6305" w:rsidRPr="00EE6305" w:rsidRDefault="00EE6305" w:rsidP="00C34B97">
            <w:pPr>
              <w:spacing w:after="120"/>
              <w:jc w:val="center"/>
              <w:rPr>
                <w:rFonts w:eastAsia="Times New Roman" w:cs="Times New Roman"/>
                <w:sz w:val="24"/>
                <w:szCs w:val="24"/>
                <w:lang w:eastAsia="lv-LV"/>
              </w:rPr>
            </w:pPr>
            <w:r w:rsidRPr="00EE6305">
              <w:rPr>
                <w:rFonts w:eastAsia="Times New Roman" w:cs="Times New Roman"/>
                <w:sz w:val="24"/>
                <w:szCs w:val="24"/>
                <w:lang w:eastAsia="lv-LV"/>
              </w:rPr>
              <w:t>4833,8</w:t>
            </w:r>
          </w:p>
        </w:tc>
      </w:tr>
      <w:tr w:rsidR="00EE6305" w:rsidRPr="006E7786" w:rsidTr="0064090A">
        <w:trPr>
          <w:trHeight w:val="350"/>
          <w:tblCellSpacing w:w="5" w:type="dxa"/>
          <w:jc w:val="center"/>
        </w:trPr>
        <w:tc>
          <w:tcPr>
            <w:tcW w:w="0" w:type="auto"/>
            <w:vAlign w:val="center"/>
            <w:hideMark/>
          </w:tcPr>
          <w:p w:rsidR="00EE6305" w:rsidRPr="00EE6305" w:rsidRDefault="00EE6305" w:rsidP="00C34B97">
            <w:pPr>
              <w:spacing w:after="120"/>
              <w:rPr>
                <w:rFonts w:eastAsia="Times New Roman" w:cs="Times New Roman"/>
                <w:sz w:val="24"/>
                <w:szCs w:val="24"/>
                <w:lang w:eastAsia="lv-LV"/>
              </w:rPr>
            </w:pPr>
            <w:r w:rsidRPr="00EE6305">
              <w:rPr>
                <w:rFonts w:eastAsia="Times New Roman" w:cs="Times New Roman"/>
                <w:b/>
                <w:bCs/>
                <w:sz w:val="24"/>
                <w:szCs w:val="24"/>
                <w:lang w:eastAsia="lv-LV"/>
              </w:rPr>
              <w:t>Saražotā centralizētā siltumenerģija pārdošanai (</w:t>
            </w:r>
            <w:proofErr w:type="spellStart"/>
            <w:r w:rsidRPr="00EE6305">
              <w:rPr>
                <w:rFonts w:eastAsia="Times New Roman" w:cs="Times New Roman"/>
                <w:b/>
                <w:bCs/>
                <w:sz w:val="24"/>
                <w:szCs w:val="24"/>
                <w:lang w:eastAsia="lv-LV"/>
              </w:rPr>
              <w:t>GWh</w:t>
            </w:r>
            <w:proofErr w:type="spellEnd"/>
            <w:r w:rsidRPr="00EE6305">
              <w:rPr>
                <w:rFonts w:eastAsia="Times New Roman" w:cs="Times New Roman"/>
                <w:b/>
                <w:bCs/>
                <w:sz w:val="24"/>
                <w:szCs w:val="24"/>
                <w:lang w:eastAsia="lv-LV"/>
              </w:rPr>
              <w:t>)</w:t>
            </w:r>
          </w:p>
        </w:tc>
        <w:tc>
          <w:tcPr>
            <w:tcW w:w="774" w:type="dxa"/>
            <w:vAlign w:val="center"/>
            <w:hideMark/>
          </w:tcPr>
          <w:p w:rsidR="00EE6305" w:rsidRPr="00EE6305" w:rsidRDefault="00EE6305" w:rsidP="00C34B97">
            <w:pPr>
              <w:spacing w:after="120"/>
              <w:jc w:val="center"/>
              <w:rPr>
                <w:rFonts w:eastAsia="Times New Roman" w:cs="Times New Roman"/>
                <w:sz w:val="24"/>
                <w:szCs w:val="24"/>
                <w:lang w:eastAsia="lv-LV"/>
              </w:rPr>
            </w:pPr>
            <w:r w:rsidRPr="00EE6305">
              <w:rPr>
                <w:rFonts w:eastAsia="Times New Roman" w:cs="Times New Roman"/>
                <w:sz w:val="24"/>
                <w:szCs w:val="24"/>
                <w:lang w:eastAsia="lv-LV"/>
              </w:rPr>
              <w:t>3856</w:t>
            </w:r>
          </w:p>
        </w:tc>
        <w:tc>
          <w:tcPr>
            <w:tcW w:w="877" w:type="dxa"/>
            <w:vAlign w:val="center"/>
            <w:hideMark/>
          </w:tcPr>
          <w:p w:rsidR="00EE6305" w:rsidRPr="00EE6305" w:rsidRDefault="00EE6305" w:rsidP="00C34B97">
            <w:pPr>
              <w:spacing w:after="120"/>
              <w:jc w:val="center"/>
              <w:rPr>
                <w:rFonts w:eastAsia="Times New Roman" w:cs="Times New Roman"/>
                <w:sz w:val="24"/>
                <w:szCs w:val="24"/>
                <w:lang w:eastAsia="lv-LV"/>
              </w:rPr>
            </w:pPr>
            <w:r w:rsidRPr="00EE6305">
              <w:rPr>
                <w:rFonts w:eastAsia="Times New Roman" w:cs="Times New Roman"/>
                <w:sz w:val="24"/>
                <w:szCs w:val="24"/>
                <w:lang w:eastAsia="lv-LV"/>
              </w:rPr>
              <w:t>4016</w:t>
            </w:r>
          </w:p>
        </w:tc>
        <w:tc>
          <w:tcPr>
            <w:tcW w:w="876" w:type="dxa"/>
            <w:vAlign w:val="center"/>
            <w:hideMark/>
          </w:tcPr>
          <w:p w:rsidR="00EE6305" w:rsidRPr="00EE6305" w:rsidRDefault="00EE6305" w:rsidP="00C34B97">
            <w:pPr>
              <w:spacing w:after="120"/>
              <w:jc w:val="center"/>
              <w:rPr>
                <w:rFonts w:eastAsia="Times New Roman" w:cs="Times New Roman"/>
                <w:sz w:val="24"/>
                <w:szCs w:val="24"/>
                <w:lang w:eastAsia="lv-LV"/>
              </w:rPr>
            </w:pPr>
            <w:r w:rsidRPr="00EE6305">
              <w:rPr>
                <w:rFonts w:eastAsia="Times New Roman" w:cs="Times New Roman"/>
                <w:sz w:val="24"/>
                <w:szCs w:val="24"/>
                <w:lang w:eastAsia="lv-LV"/>
              </w:rPr>
              <w:t>4673</w:t>
            </w:r>
          </w:p>
        </w:tc>
        <w:tc>
          <w:tcPr>
            <w:tcW w:w="875" w:type="dxa"/>
            <w:vAlign w:val="center"/>
            <w:hideMark/>
          </w:tcPr>
          <w:p w:rsidR="00EE6305" w:rsidRPr="00EE6305" w:rsidRDefault="00EE6305" w:rsidP="00C34B97">
            <w:pPr>
              <w:spacing w:after="120"/>
              <w:jc w:val="center"/>
              <w:rPr>
                <w:rFonts w:eastAsia="Times New Roman" w:cs="Times New Roman"/>
                <w:sz w:val="24"/>
                <w:szCs w:val="24"/>
                <w:lang w:eastAsia="lv-LV"/>
              </w:rPr>
            </w:pPr>
            <w:r w:rsidRPr="00EE6305">
              <w:rPr>
                <w:rFonts w:eastAsia="Times New Roman" w:cs="Times New Roman"/>
                <w:sz w:val="24"/>
                <w:szCs w:val="24"/>
                <w:lang w:eastAsia="lv-LV"/>
              </w:rPr>
              <w:t>4112</w:t>
            </w:r>
          </w:p>
        </w:tc>
        <w:tc>
          <w:tcPr>
            <w:tcW w:w="869" w:type="dxa"/>
            <w:vAlign w:val="center"/>
            <w:hideMark/>
          </w:tcPr>
          <w:p w:rsidR="00EE6305" w:rsidRPr="00EE6305" w:rsidRDefault="00EE6305" w:rsidP="00C34B97">
            <w:pPr>
              <w:spacing w:after="120"/>
              <w:jc w:val="center"/>
              <w:rPr>
                <w:rFonts w:eastAsia="Times New Roman" w:cs="Times New Roman"/>
                <w:sz w:val="24"/>
                <w:szCs w:val="24"/>
                <w:lang w:eastAsia="lv-LV"/>
              </w:rPr>
            </w:pPr>
            <w:r w:rsidRPr="00EE6305">
              <w:rPr>
                <w:rFonts w:eastAsia="Times New Roman" w:cs="Times New Roman"/>
                <w:sz w:val="24"/>
                <w:szCs w:val="24"/>
                <w:lang w:eastAsia="lv-LV"/>
              </w:rPr>
              <w:t> 4693</w:t>
            </w:r>
          </w:p>
        </w:tc>
      </w:tr>
    </w:tbl>
    <w:p w:rsidR="00EE6305" w:rsidRPr="001D2986" w:rsidRDefault="00EE6305" w:rsidP="00407D04">
      <w:pPr>
        <w:spacing w:after="120"/>
        <w:ind w:left="720"/>
        <w:rPr>
          <w:rFonts w:eastAsia="Times New Roman" w:cs="Times New Roman"/>
          <w:sz w:val="20"/>
          <w:szCs w:val="20"/>
          <w:lang w:eastAsia="lv-LV"/>
        </w:rPr>
      </w:pPr>
      <w:r w:rsidRPr="001D2986">
        <w:rPr>
          <w:rFonts w:eastAsia="Times New Roman" w:cs="Times New Roman"/>
          <w:bCs/>
          <w:sz w:val="20"/>
          <w:szCs w:val="20"/>
          <w:lang w:eastAsia="lv-LV"/>
        </w:rPr>
        <w:t>* Uzstādītā siltumenerģijas jauda uzrādīta, ieskaitot ūdens sildāmo katlu uzstādītās jaudas siltumenerģijas ražošanai</w:t>
      </w:r>
    </w:p>
    <w:p w:rsidR="00EE6305" w:rsidRPr="00EE6305" w:rsidRDefault="00EE6305" w:rsidP="00407D04">
      <w:pPr>
        <w:spacing w:after="120"/>
        <w:ind w:firstLine="720"/>
        <w:jc w:val="both"/>
        <w:rPr>
          <w:rFonts w:eastAsia="Times New Roman" w:cs="Times New Roman"/>
          <w:sz w:val="20"/>
          <w:szCs w:val="20"/>
          <w:lang w:eastAsia="lv-LV"/>
        </w:rPr>
      </w:pPr>
      <w:r w:rsidRPr="001D2986">
        <w:rPr>
          <w:rFonts w:eastAsia="Times New Roman" w:cs="Times New Roman"/>
          <w:bCs/>
          <w:sz w:val="20"/>
          <w:szCs w:val="20"/>
          <w:lang w:eastAsia="lv-LV"/>
        </w:rPr>
        <w:t>** Saražotā centralizētā siltumenerģija uzrādīta, ieskaitot ūdens sildāmo katlu saražoto siltumenerģiju</w:t>
      </w:r>
    </w:p>
    <w:p w:rsidR="00C43E66" w:rsidRDefault="00C43E66" w:rsidP="00EE6305">
      <w:pPr>
        <w:ind w:firstLine="720"/>
        <w:jc w:val="both"/>
        <w:rPr>
          <w:rFonts w:cs="Times New Roman"/>
          <w:szCs w:val="28"/>
        </w:rPr>
      </w:pPr>
    </w:p>
    <w:p w:rsidR="0080306F" w:rsidRDefault="0080306F" w:rsidP="0080306F">
      <w:pPr>
        <w:ind w:firstLine="720"/>
        <w:jc w:val="both"/>
        <w:rPr>
          <w:rFonts w:cs="Times New Roman"/>
          <w:szCs w:val="28"/>
        </w:rPr>
      </w:pPr>
      <w:r w:rsidRPr="006E7786">
        <w:rPr>
          <w:rFonts w:cs="Times New Roman"/>
          <w:szCs w:val="28"/>
        </w:rPr>
        <w:lastRenderedPageBreak/>
        <w:t>Koģenerācijas īpatsvars centralizētās siltumenerģijas piegādē laika periodā no 2000.</w:t>
      </w:r>
      <w:r>
        <w:rPr>
          <w:rFonts w:cs="Times New Roman"/>
          <w:szCs w:val="28"/>
        </w:rPr>
        <w:t>gada</w:t>
      </w:r>
      <w:r w:rsidRPr="006E7786">
        <w:rPr>
          <w:rFonts w:cs="Times New Roman"/>
          <w:szCs w:val="28"/>
        </w:rPr>
        <w:t xml:space="preserve"> līdz 2012.gadam Latvijā ir pieaudzis par 25,1 procent</w:t>
      </w:r>
      <w:r>
        <w:rPr>
          <w:rFonts w:cs="Times New Roman"/>
          <w:szCs w:val="28"/>
        </w:rPr>
        <w:t>iem</w:t>
      </w:r>
      <w:r w:rsidRPr="006E7786">
        <w:rPr>
          <w:rFonts w:cs="Times New Roman"/>
          <w:szCs w:val="28"/>
        </w:rPr>
        <w:t xml:space="preserve">  (koģenerācijas īpatsvars 2000.gadā – 37,8%, 2011.gadā – 59,2%, 2012.gadā – 62,9%). </w:t>
      </w:r>
      <w:r w:rsidRPr="006E7786">
        <w:rPr>
          <w:rFonts w:cs="Times New Roman"/>
          <w:bCs/>
          <w:szCs w:val="28"/>
        </w:rPr>
        <w:t>Augsti efektīvā koģenerācijā</w:t>
      </w:r>
      <w:r w:rsidRPr="006E7786">
        <w:rPr>
          <w:rFonts w:cs="Times New Roman"/>
          <w:b/>
          <w:bCs/>
          <w:szCs w:val="28"/>
        </w:rPr>
        <w:t xml:space="preserve"> </w:t>
      </w:r>
      <w:r w:rsidRPr="006E7786">
        <w:rPr>
          <w:rFonts w:cs="Times New Roman"/>
          <w:szCs w:val="28"/>
        </w:rPr>
        <w:t>2011.gadā tika saražots 2888 </w:t>
      </w:r>
      <w:proofErr w:type="spellStart"/>
      <w:r w:rsidRPr="006E7786">
        <w:rPr>
          <w:rFonts w:cs="Times New Roman"/>
          <w:szCs w:val="28"/>
        </w:rPr>
        <w:t>GWh</w:t>
      </w:r>
      <w:proofErr w:type="spellEnd"/>
      <w:r w:rsidRPr="006E7786">
        <w:rPr>
          <w:rFonts w:cs="Times New Roman"/>
          <w:szCs w:val="28"/>
        </w:rPr>
        <w:t xml:space="preserve"> (10,40 PJ) elektroenerģijas, kas ir 92% no kopējā koģenerācijā saražotās elektroenerģijas apjoma.</w:t>
      </w:r>
    </w:p>
    <w:p w:rsidR="00EE6305" w:rsidRDefault="00EE6305" w:rsidP="00EE6305">
      <w:pPr>
        <w:ind w:firstLine="720"/>
        <w:jc w:val="both"/>
        <w:rPr>
          <w:rFonts w:asciiTheme="majorHAnsi" w:hAnsiTheme="majorHAnsi"/>
          <w:b/>
          <w:color w:val="0070C0"/>
          <w:sz w:val="26"/>
          <w:szCs w:val="26"/>
        </w:rPr>
      </w:pPr>
      <w:r w:rsidRPr="006E7786">
        <w:rPr>
          <w:rFonts w:cs="Times New Roman"/>
          <w:szCs w:val="28"/>
        </w:rPr>
        <w:t xml:space="preserve">2012.gadā darbojās 132 koģenerācijas stacijas ar kopējo uzstādīto elektrisko jaudu 1016 MW, kuras saražoja 2340,2 </w:t>
      </w:r>
      <w:proofErr w:type="spellStart"/>
      <w:r w:rsidRPr="006E7786">
        <w:rPr>
          <w:rFonts w:cs="Times New Roman"/>
          <w:szCs w:val="28"/>
        </w:rPr>
        <w:t>GWh</w:t>
      </w:r>
      <w:proofErr w:type="spellEnd"/>
      <w:r w:rsidRPr="006E7786">
        <w:rPr>
          <w:rFonts w:cs="Times New Roman"/>
          <w:szCs w:val="28"/>
        </w:rPr>
        <w:t xml:space="preserve"> elektroenerģijas, kas veidoja 29,8% no kopējās Latvijas elektroenerģijas piegādes. Koģenerācijas īpatsvars elektroenerģijas piegādē laika periodā no 2000.</w:t>
      </w:r>
      <w:r w:rsidR="00A62824">
        <w:rPr>
          <w:rFonts w:cs="Times New Roman"/>
          <w:szCs w:val="28"/>
        </w:rPr>
        <w:t>gada</w:t>
      </w:r>
      <w:r w:rsidRPr="006E7786">
        <w:rPr>
          <w:rFonts w:cs="Times New Roman"/>
          <w:szCs w:val="28"/>
        </w:rPr>
        <w:t xml:space="preserve"> līdz 2012.gadam Latvijā ir pieaudzis par 7,6 procentu punktiem (koģenerācijas īpatsvars 2000.gadā – 22,2%, 2011.gadā – 42,7%, 2012.gadā – 29,8%).</w:t>
      </w:r>
    </w:p>
    <w:p w:rsidR="007208E0" w:rsidRPr="00F945BE" w:rsidRDefault="00D37E79" w:rsidP="001E5229">
      <w:pPr>
        <w:pStyle w:val="Heading3"/>
        <w:rPr>
          <w:rFonts w:ascii="Times New Roman" w:hAnsi="Times New Roman" w:cs="Times New Roman"/>
          <w:color w:val="auto"/>
        </w:rPr>
      </w:pPr>
      <w:bookmarkStart w:id="24" w:name="_Toc400714667"/>
      <w:r w:rsidRPr="00F945BE">
        <w:rPr>
          <w:rFonts w:ascii="Times New Roman" w:hAnsi="Times New Roman" w:cs="Times New Roman"/>
          <w:color w:val="auto"/>
        </w:rPr>
        <w:t>2.</w:t>
      </w:r>
      <w:r w:rsidR="00385045" w:rsidRPr="00F945BE">
        <w:rPr>
          <w:rFonts w:ascii="Times New Roman" w:hAnsi="Times New Roman" w:cs="Times New Roman"/>
          <w:color w:val="auto"/>
        </w:rPr>
        <w:t>6</w:t>
      </w:r>
      <w:r w:rsidRPr="00F945BE">
        <w:rPr>
          <w:rFonts w:ascii="Times New Roman" w:hAnsi="Times New Roman" w:cs="Times New Roman"/>
          <w:color w:val="auto"/>
        </w:rPr>
        <w:t>.</w:t>
      </w:r>
      <w:r w:rsidR="00385045" w:rsidRPr="00F945BE">
        <w:rPr>
          <w:rFonts w:ascii="Times New Roman" w:hAnsi="Times New Roman" w:cs="Times New Roman"/>
          <w:color w:val="auto"/>
        </w:rPr>
        <w:t>4</w:t>
      </w:r>
      <w:r w:rsidRPr="00F945BE">
        <w:rPr>
          <w:rFonts w:ascii="Times New Roman" w:hAnsi="Times New Roman" w:cs="Times New Roman"/>
          <w:color w:val="auto"/>
        </w:rPr>
        <w:t xml:space="preserve">. </w:t>
      </w:r>
      <w:r w:rsidR="003739B7" w:rsidRPr="00F945BE">
        <w:rPr>
          <w:rFonts w:ascii="Times New Roman" w:hAnsi="Times New Roman" w:cs="Times New Roman"/>
          <w:color w:val="auto"/>
        </w:rPr>
        <w:t xml:space="preserve">Elektroenerģijas </w:t>
      </w:r>
      <w:proofErr w:type="spellStart"/>
      <w:r w:rsidR="003739B7" w:rsidRPr="00F945BE">
        <w:rPr>
          <w:rFonts w:ascii="Times New Roman" w:hAnsi="Times New Roman" w:cs="Times New Roman"/>
          <w:color w:val="auto"/>
        </w:rPr>
        <w:t>p</w:t>
      </w:r>
      <w:r w:rsidRPr="00F945BE">
        <w:rPr>
          <w:rFonts w:ascii="Times New Roman" w:hAnsi="Times New Roman" w:cs="Times New Roman"/>
          <w:color w:val="auto"/>
        </w:rPr>
        <w:t>ašnodrošinājums</w:t>
      </w:r>
      <w:bookmarkEnd w:id="24"/>
      <w:proofErr w:type="spellEnd"/>
      <w:r w:rsidRPr="00F945BE">
        <w:rPr>
          <w:rFonts w:ascii="Times New Roman" w:hAnsi="Times New Roman" w:cs="Times New Roman"/>
          <w:color w:val="auto"/>
        </w:rPr>
        <w:t xml:space="preserve"> </w:t>
      </w:r>
    </w:p>
    <w:p w:rsidR="002F605C" w:rsidRPr="0026080B" w:rsidRDefault="002F605C" w:rsidP="002F605C">
      <w:pPr>
        <w:ind w:firstLine="720"/>
        <w:jc w:val="both"/>
      </w:pPr>
      <w:r w:rsidRPr="0026080B">
        <w:t xml:space="preserve">Elektroenerģijas </w:t>
      </w:r>
      <w:proofErr w:type="spellStart"/>
      <w:r w:rsidRPr="0026080B">
        <w:t>pašnodrošinājums</w:t>
      </w:r>
      <w:proofErr w:type="spellEnd"/>
      <w:r w:rsidRPr="0026080B">
        <w:t xml:space="preserve"> Latvijā 2013.gadā sastādīja 61% (ieskaitot avārijas rezervi – 400</w:t>
      </w:r>
      <w:r w:rsidR="0034727A">
        <w:t> </w:t>
      </w:r>
      <w:r w:rsidRPr="0026080B">
        <w:t>MW un balansēšanas rezervi – 90</w:t>
      </w:r>
      <w:r w:rsidR="0034727A">
        <w:t> </w:t>
      </w:r>
      <w:r w:rsidRPr="0026080B">
        <w:t>MW)</w:t>
      </w:r>
      <w:r>
        <w:t xml:space="preserve">. Toties </w:t>
      </w:r>
      <w:r w:rsidRPr="0026080B">
        <w:t xml:space="preserve">2014.gadā  </w:t>
      </w:r>
      <w:r w:rsidRPr="0026080B">
        <w:rPr>
          <w:rFonts w:cs="Times New Roman"/>
        </w:rPr>
        <w:t>˗</w:t>
      </w:r>
      <w:r w:rsidRPr="0026080B">
        <w:t xml:space="preserve"> par 22% vairāk – 83% (ieskaitot avārijas rezervi – 400MW un balansēšanas rezervi – 96</w:t>
      </w:r>
      <w:r w:rsidR="0034727A">
        <w:t> </w:t>
      </w:r>
      <w:r w:rsidRPr="0026080B">
        <w:t>MW)</w:t>
      </w:r>
      <w:r>
        <w:t xml:space="preserve">.  </w:t>
      </w:r>
    </w:p>
    <w:p w:rsidR="003348EE" w:rsidRPr="0026080B" w:rsidRDefault="003348EE" w:rsidP="009810B3">
      <w:pPr>
        <w:ind w:firstLine="720"/>
        <w:jc w:val="both"/>
      </w:pPr>
      <w:r w:rsidRPr="0026080B">
        <w:rPr>
          <w:szCs w:val="28"/>
        </w:rPr>
        <w:t>Latvijā uzstādīto jaudu</w:t>
      </w:r>
      <w:r w:rsidR="00CF1F9F" w:rsidRPr="0026080B">
        <w:rPr>
          <w:szCs w:val="28"/>
        </w:rPr>
        <w:t xml:space="preserve"> – vairāk kā 2300</w:t>
      </w:r>
      <w:r w:rsidR="0034727A">
        <w:rPr>
          <w:szCs w:val="28"/>
        </w:rPr>
        <w:t> </w:t>
      </w:r>
      <w:r w:rsidR="00CF1F9F" w:rsidRPr="0026080B">
        <w:rPr>
          <w:szCs w:val="28"/>
        </w:rPr>
        <w:t>MW,</w:t>
      </w:r>
      <w:r w:rsidRPr="0026080B">
        <w:rPr>
          <w:szCs w:val="28"/>
        </w:rPr>
        <w:t xml:space="preserve"> un maksimālās slodzes </w:t>
      </w:r>
      <w:r w:rsidR="00CF1F9F" w:rsidRPr="0026080B">
        <w:rPr>
          <w:szCs w:val="28"/>
        </w:rPr>
        <w:t xml:space="preserve"> </w:t>
      </w:r>
      <w:r w:rsidR="00C03F08" w:rsidRPr="0026080B">
        <w:t>–</w:t>
      </w:r>
      <w:r w:rsidR="00CF1F9F" w:rsidRPr="0026080B">
        <w:rPr>
          <w:szCs w:val="28"/>
        </w:rPr>
        <w:t xml:space="preserve"> apmēram 1300</w:t>
      </w:r>
      <w:r w:rsidR="0034727A">
        <w:rPr>
          <w:szCs w:val="28"/>
        </w:rPr>
        <w:t> </w:t>
      </w:r>
      <w:r w:rsidR="00CF1F9F" w:rsidRPr="0026080B">
        <w:rPr>
          <w:szCs w:val="28"/>
        </w:rPr>
        <w:t xml:space="preserve">MW </w:t>
      </w:r>
      <w:r w:rsidR="00BB0323">
        <w:rPr>
          <w:szCs w:val="28"/>
        </w:rPr>
        <w:t>attiecība rāda, ka uzstādīto jaudu apjoms pārsniedz pat maksimālo slodzi</w:t>
      </w:r>
      <w:r w:rsidR="00CF1F9F" w:rsidRPr="0026080B">
        <w:rPr>
          <w:szCs w:val="28"/>
        </w:rPr>
        <w:t xml:space="preserve">, tomēr </w:t>
      </w:r>
      <w:r w:rsidR="00700749" w:rsidRPr="0026080B">
        <w:rPr>
          <w:szCs w:val="28"/>
        </w:rPr>
        <w:t>pastāv</w:t>
      </w:r>
      <w:r w:rsidR="00CF1F9F" w:rsidRPr="0026080B">
        <w:rPr>
          <w:szCs w:val="28"/>
        </w:rPr>
        <w:t xml:space="preserve"> </w:t>
      </w:r>
      <w:r w:rsidR="00700749" w:rsidRPr="0026080B">
        <w:rPr>
          <w:szCs w:val="28"/>
        </w:rPr>
        <w:t xml:space="preserve">vairāki priekšnosacījumi </w:t>
      </w:r>
      <w:r w:rsidR="00CF1F9F" w:rsidRPr="0026080B">
        <w:rPr>
          <w:szCs w:val="28"/>
        </w:rPr>
        <w:t xml:space="preserve"> – gan tirgus, gan tehniskas dabas, kas nosaka, kāpēc uzstādīto jaudu potenciāls gada griezumā nav pilnībā izmantojams Latvijas elektroenerģijas pašpatēriņa segšanai un arī starpvalstu tirdzniecībai.</w:t>
      </w:r>
    </w:p>
    <w:p w:rsidR="00B31B1D" w:rsidRDefault="00B31B1D" w:rsidP="00FE7A9E">
      <w:pPr>
        <w:ind w:firstLine="720"/>
        <w:jc w:val="both"/>
      </w:pPr>
      <w:r w:rsidRPr="0063735A">
        <w:t>Lielo koģenerācijas staciju un HES elektroenerģijas izstrādes tiešā mērā ietekmē Latvijas elektroenerģijas piegādes struktūru, savukārt, izkliedētās ģenerācijas un AER ietekme tajā ir salīdzinoši neliela, tomēr relatīvi stabila. Laika posmā no 2009.–2012.gadam bija vērojama neto elektroenerģijas importa procentuālā īpatsvara samazinājuma tendence, kas panākta uz izkliedētās ģenerācijas īpatsvara palielināšanās</w:t>
      </w:r>
      <w:r w:rsidR="00B54812">
        <w:t xml:space="preserve"> un elektroenerģijas patēriņa samazinājuma</w:t>
      </w:r>
      <w:r w:rsidRPr="0063735A">
        <w:t xml:space="preserve"> rēķina. </w:t>
      </w:r>
    </w:p>
    <w:p w:rsidR="00B31B1D" w:rsidRPr="0063735A" w:rsidRDefault="00B31B1D" w:rsidP="00B31B1D">
      <w:pPr>
        <w:ind w:firstLine="720"/>
        <w:jc w:val="both"/>
      </w:pPr>
      <w:r w:rsidRPr="0063735A">
        <w:t xml:space="preserve">Latvijas elektroenerģijas ģenerācijas un </w:t>
      </w:r>
      <w:r w:rsidRPr="00387B38">
        <w:t>importa apjomu dinamika laika periodā no 1990.</w:t>
      </w:r>
      <w:r w:rsidR="00AD36A5">
        <w:t xml:space="preserve">gada </w:t>
      </w:r>
      <w:r w:rsidRPr="00387B38">
        <w:t xml:space="preserve">līdz 2012.gadam raksturota </w:t>
      </w:r>
      <w:r w:rsidR="005406D0">
        <w:t>1</w:t>
      </w:r>
      <w:r w:rsidR="00091F3D">
        <w:t>3</w:t>
      </w:r>
      <w:r w:rsidRPr="00387B38">
        <w:t>.attēlā, kur ģenerācijas jaudas iedalītas pēc to tipa. Kā atsevišķi references indikatori</w:t>
      </w:r>
      <w:r w:rsidRPr="0063735A">
        <w:t xml:space="preserve"> izdalīti procentuālais elektroenerģijas </w:t>
      </w:r>
      <w:proofErr w:type="spellStart"/>
      <w:r w:rsidRPr="0063735A">
        <w:t>pašnodrošinājums</w:t>
      </w:r>
      <w:proofErr w:type="spellEnd"/>
      <w:r w:rsidRPr="0063735A">
        <w:t xml:space="preserve"> un AER daļa elektroenerģijas patēriņā.</w:t>
      </w:r>
    </w:p>
    <w:p w:rsidR="00B31B1D" w:rsidRPr="0063735A" w:rsidRDefault="00A451C6" w:rsidP="00486F34">
      <w:pPr>
        <w:jc w:val="center"/>
      </w:pPr>
      <w:r w:rsidRPr="0063735A">
        <w:rPr>
          <w:noProof/>
          <w:lang w:eastAsia="lv-LV"/>
        </w:rPr>
        <w:lastRenderedPageBreak/>
        <w:drawing>
          <wp:inline distT="0" distB="0" distL="0" distR="0" wp14:anchorId="11A8F9CB" wp14:editId="1A83A469">
            <wp:extent cx="5760085" cy="3435018"/>
            <wp:effectExtent l="0" t="0" r="0" b="0"/>
            <wp:docPr id="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5760085" cy="3435018"/>
                    </a:xfrm>
                    <a:prstGeom prst="rect">
                      <a:avLst/>
                    </a:prstGeom>
                    <a:solidFill>
                      <a:sysClr val="window" lastClr="FFFFFF"/>
                    </a:solidFill>
                  </pic:spPr>
                </pic:pic>
              </a:graphicData>
            </a:graphic>
          </wp:inline>
        </w:drawing>
      </w:r>
    </w:p>
    <w:p w:rsidR="00B31B1D" w:rsidRPr="00F945BE" w:rsidRDefault="00D37E4E" w:rsidP="00F945BE">
      <w:pPr>
        <w:rPr>
          <w:b/>
          <w:sz w:val="24"/>
          <w:szCs w:val="24"/>
        </w:rPr>
      </w:pPr>
      <w:r w:rsidRPr="00F945BE">
        <w:rPr>
          <w:b/>
          <w:sz w:val="24"/>
          <w:szCs w:val="24"/>
        </w:rPr>
        <w:t>1</w:t>
      </w:r>
      <w:r w:rsidR="00091F3D">
        <w:rPr>
          <w:b/>
          <w:sz w:val="24"/>
          <w:szCs w:val="24"/>
        </w:rPr>
        <w:t>3</w:t>
      </w:r>
      <w:r w:rsidR="00B31B1D" w:rsidRPr="00F945BE">
        <w:rPr>
          <w:b/>
          <w:sz w:val="24"/>
          <w:szCs w:val="24"/>
        </w:rPr>
        <w:t>.attēls. Latvijas elektroenerģijas piegādes struktūra</w:t>
      </w:r>
      <w:r w:rsidR="0080306F">
        <w:rPr>
          <w:b/>
          <w:sz w:val="24"/>
          <w:szCs w:val="24"/>
        </w:rPr>
        <w:t>.</w:t>
      </w:r>
    </w:p>
    <w:p w:rsidR="00B31B1D" w:rsidRPr="0063735A" w:rsidRDefault="00B31B1D" w:rsidP="00B31B1D">
      <w:pPr>
        <w:ind w:firstLine="720"/>
        <w:jc w:val="both"/>
      </w:pPr>
    </w:p>
    <w:p w:rsidR="00B31B1D" w:rsidRPr="0063735A" w:rsidRDefault="00B31B1D" w:rsidP="00B31B1D">
      <w:pPr>
        <w:spacing w:before="60" w:after="60"/>
        <w:ind w:firstLine="567"/>
        <w:jc w:val="both"/>
        <w:rPr>
          <w:b/>
        </w:rPr>
      </w:pPr>
      <w:r w:rsidRPr="0063735A">
        <w:rPr>
          <w:szCs w:val="28"/>
        </w:rPr>
        <w:t xml:space="preserve">Lai gan Latvijā uzstādīto jaudu un maksimālās slodzes kopējā attiecība ir pozitīva, </w:t>
      </w:r>
      <w:r w:rsidR="002F605C">
        <w:rPr>
          <w:szCs w:val="28"/>
        </w:rPr>
        <w:t>i</w:t>
      </w:r>
      <w:r w:rsidRPr="0063735A">
        <w:rPr>
          <w:szCs w:val="28"/>
        </w:rPr>
        <w:t>zņemot 4–6 nedēļas gadā palu laikā, pārējā laikā Latvijā ir izteikts jaudas deficīts 200–700 MW apjomā, kas tiek kompensēts elektroenerģiju importējot.</w:t>
      </w:r>
    </w:p>
    <w:p w:rsidR="00B31B1D" w:rsidRPr="0063735A" w:rsidRDefault="00B31B1D" w:rsidP="00B31B1D">
      <w:pPr>
        <w:ind w:firstLine="720"/>
        <w:jc w:val="both"/>
        <w:rPr>
          <w:szCs w:val="28"/>
        </w:rPr>
      </w:pPr>
      <w:r w:rsidRPr="0063735A">
        <w:rPr>
          <w:szCs w:val="28"/>
        </w:rPr>
        <w:t xml:space="preserve">Latvijas </w:t>
      </w:r>
      <w:r w:rsidR="002F605C">
        <w:rPr>
          <w:szCs w:val="28"/>
        </w:rPr>
        <w:t>elektrostacijas</w:t>
      </w:r>
      <w:r w:rsidRPr="0063735A">
        <w:rPr>
          <w:szCs w:val="28"/>
        </w:rPr>
        <w:t xml:space="preserve"> (</w:t>
      </w:r>
      <w:r w:rsidR="002F605C">
        <w:rPr>
          <w:szCs w:val="28"/>
        </w:rPr>
        <w:t xml:space="preserve">lielās </w:t>
      </w:r>
      <w:r w:rsidRPr="0063735A">
        <w:rPr>
          <w:szCs w:val="28"/>
        </w:rPr>
        <w:t xml:space="preserve">koģenerācijas elektrostacijas) var saražot daļu no enerģijas, kas tiek importēta, bet komerciālu apsvērumu dēļ, elektroenerģijas pašu ģenerācija tiek aizstāts ar importu. </w:t>
      </w:r>
    </w:p>
    <w:p w:rsidR="000D52C6" w:rsidRPr="00DE564E" w:rsidRDefault="00D37E79" w:rsidP="00DC3D06">
      <w:pPr>
        <w:pStyle w:val="Heading2"/>
        <w:rPr>
          <w:rFonts w:ascii="Times New Roman" w:hAnsi="Times New Roman" w:cs="Times New Roman"/>
          <w:color w:val="auto"/>
          <w:sz w:val="28"/>
          <w:szCs w:val="28"/>
        </w:rPr>
      </w:pPr>
      <w:bookmarkStart w:id="25" w:name="_Toc400714668"/>
      <w:r w:rsidRPr="00DE564E">
        <w:rPr>
          <w:rFonts w:ascii="Times New Roman" w:hAnsi="Times New Roman" w:cs="Times New Roman"/>
          <w:color w:val="auto"/>
          <w:sz w:val="28"/>
          <w:szCs w:val="28"/>
        </w:rPr>
        <w:t>2.</w:t>
      </w:r>
      <w:r w:rsidR="00385045" w:rsidRPr="00DE564E">
        <w:rPr>
          <w:rFonts w:ascii="Times New Roman" w:hAnsi="Times New Roman" w:cs="Times New Roman"/>
          <w:color w:val="auto"/>
          <w:sz w:val="28"/>
          <w:szCs w:val="28"/>
        </w:rPr>
        <w:t>7</w:t>
      </w:r>
      <w:r w:rsidRPr="00DE564E">
        <w:rPr>
          <w:rFonts w:ascii="Times New Roman" w:hAnsi="Times New Roman" w:cs="Times New Roman"/>
          <w:color w:val="auto"/>
          <w:sz w:val="28"/>
          <w:szCs w:val="28"/>
        </w:rPr>
        <w:t xml:space="preserve">. </w:t>
      </w:r>
      <w:r w:rsidR="002047F2" w:rsidRPr="00DE564E">
        <w:rPr>
          <w:rFonts w:ascii="Times New Roman" w:hAnsi="Times New Roman" w:cs="Times New Roman"/>
          <w:color w:val="auto"/>
          <w:sz w:val="28"/>
          <w:szCs w:val="28"/>
        </w:rPr>
        <w:t>Ģenerējošo j</w:t>
      </w:r>
      <w:r w:rsidR="003C6E76" w:rsidRPr="00DE564E">
        <w:rPr>
          <w:rFonts w:ascii="Times New Roman" w:hAnsi="Times New Roman" w:cs="Times New Roman"/>
          <w:color w:val="auto"/>
          <w:sz w:val="28"/>
          <w:szCs w:val="28"/>
        </w:rPr>
        <w:t>audu tirgus konkurētspēja</w:t>
      </w:r>
      <w:bookmarkEnd w:id="25"/>
    </w:p>
    <w:p w:rsidR="00A44831" w:rsidRDefault="005D7FA4" w:rsidP="00B31B1D">
      <w:pPr>
        <w:tabs>
          <w:tab w:val="right" w:pos="851"/>
        </w:tabs>
        <w:ind w:firstLine="567"/>
        <w:jc w:val="both"/>
        <w:rPr>
          <w:szCs w:val="28"/>
        </w:rPr>
      </w:pPr>
      <w:r>
        <w:rPr>
          <w:szCs w:val="28"/>
        </w:rPr>
        <w:t xml:space="preserve">Atsevišķu elektroenerģijas ģenerācijas jaudu tirgus konkurētspēju nosaka vairāku faktoru summa, no </w:t>
      </w:r>
      <w:r w:rsidR="00F106D3">
        <w:rPr>
          <w:szCs w:val="28"/>
        </w:rPr>
        <w:t xml:space="preserve">kuriem būtiskākie ir: </w:t>
      </w:r>
      <w:r w:rsidR="00EC6E29">
        <w:rPr>
          <w:szCs w:val="28"/>
        </w:rPr>
        <w:t>elektroenerģijas ģenerācijas mainīgās i</w:t>
      </w:r>
      <w:r w:rsidR="00A44831">
        <w:rPr>
          <w:szCs w:val="28"/>
        </w:rPr>
        <w:t>zmaksas un</w:t>
      </w:r>
      <w:r w:rsidR="00EC6E29">
        <w:rPr>
          <w:szCs w:val="28"/>
        </w:rPr>
        <w:t xml:space="preserve"> jaudu slogošanas </w:t>
      </w:r>
      <w:r w:rsidR="00636460">
        <w:rPr>
          <w:szCs w:val="28"/>
        </w:rPr>
        <w:t xml:space="preserve">īpatnības, tajā skaitā, </w:t>
      </w:r>
      <w:r w:rsidR="00EC6E29">
        <w:rPr>
          <w:szCs w:val="28"/>
        </w:rPr>
        <w:t>sezonalit</w:t>
      </w:r>
      <w:r w:rsidR="00A44831">
        <w:rPr>
          <w:szCs w:val="28"/>
        </w:rPr>
        <w:t>āte.</w:t>
      </w:r>
    </w:p>
    <w:p w:rsidR="00C64BFA" w:rsidRDefault="00356949" w:rsidP="00B31B1D">
      <w:pPr>
        <w:tabs>
          <w:tab w:val="right" w:pos="851"/>
        </w:tabs>
        <w:ind w:firstLine="567"/>
        <w:jc w:val="both"/>
        <w:rPr>
          <w:szCs w:val="28"/>
        </w:rPr>
      </w:pPr>
      <w:r>
        <w:rPr>
          <w:szCs w:val="28"/>
        </w:rPr>
        <w:t xml:space="preserve">Daugavas HES kaskādes staciju elektroenerģijas izstrādes maksimums – slogojot visus trīs staciju </w:t>
      </w:r>
      <w:proofErr w:type="spellStart"/>
      <w:r>
        <w:rPr>
          <w:szCs w:val="28"/>
        </w:rPr>
        <w:t>hidroagregātus</w:t>
      </w:r>
      <w:proofErr w:type="spellEnd"/>
      <w:r>
        <w:rPr>
          <w:szCs w:val="28"/>
        </w:rPr>
        <w:t xml:space="preserve">, iespējams tikai dažus mēnešus gadā – pavasara </w:t>
      </w:r>
      <w:proofErr w:type="spellStart"/>
      <w:r>
        <w:rPr>
          <w:szCs w:val="28"/>
        </w:rPr>
        <w:t>pilnūdens</w:t>
      </w:r>
      <w:proofErr w:type="spellEnd"/>
      <w:r>
        <w:rPr>
          <w:szCs w:val="28"/>
        </w:rPr>
        <w:t xml:space="preserve"> periodā. Salīdzinoši lielas enerģijas izstrādes ļoti retos gadījumos iespējamas arī ziemas </w:t>
      </w:r>
      <w:proofErr w:type="spellStart"/>
      <w:r>
        <w:rPr>
          <w:szCs w:val="28"/>
        </w:rPr>
        <w:t>pilnūdens</w:t>
      </w:r>
      <w:proofErr w:type="spellEnd"/>
      <w:r>
        <w:rPr>
          <w:szCs w:val="28"/>
        </w:rPr>
        <w:t xml:space="preserve"> periodos, kas parasti nav ilgāki par vienas līdz divām nedēļām.</w:t>
      </w:r>
      <w:r w:rsidR="000C11EE">
        <w:rPr>
          <w:szCs w:val="28"/>
        </w:rPr>
        <w:t xml:space="preserve"> </w:t>
      </w:r>
    </w:p>
    <w:p w:rsidR="00BD222B" w:rsidRDefault="000C11EE" w:rsidP="00B31B1D">
      <w:pPr>
        <w:tabs>
          <w:tab w:val="right" w:pos="851"/>
        </w:tabs>
        <w:ind w:firstLine="567"/>
        <w:jc w:val="both"/>
        <w:rPr>
          <w:szCs w:val="28"/>
        </w:rPr>
      </w:pPr>
      <w:proofErr w:type="spellStart"/>
      <w:r>
        <w:rPr>
          <w:szCs w:val="28"/>
        </w:rPr>
        <w:t>Pilnūdens</w:t>
      </w:r>
      <w:proofErr w:type="spellEnd"/>
      <w:r>
        <w:rPr>
          <w:szCs w:val="28"/>
        </w:rPr>
        <w:t xml:space="preserve"> perioda elektroenerģijas izstrādes ļauj Daugavas HES kaskādei veiksmīgi konkurēt Baltijas un Somijas NPS elektroenerģijas tirgū, </w:t>
      </w:r>
      <w:r w:rsidR="00870B35">
        <w:rPr>
          <w:szCs w:val="28"/>
        </w:rPr>
        <w:t>un vienīgais ierobežojums, kas var kavēt Latvijā saražotās elektroenerģijas pārvadīšanu patērētājiem Igaunijā un Somijā, ir nepietiekamās pārvades jaudas Latvijas – Igaunijas šķērsgriezumā.</w:t>
      </w:r>
    </w:p>
    <w:p w:rsidR="003C6E76" w:rsidRPr="003C6E76" w:rsidRDefault="00BD222B" w:rsidP="00B31B1D">
      <w:pPr>
        <w:tabs>
          <w:tab w:val="right" w:pos="851"/>
        </w:tabs>
        <w:ind w:firstLine="567"/>
        <w:jc w:val="both"/>
        <w:rPr>
          <w:szCs w:val="28"/>
        </w:rPr>
      </w:pPr>
      <w:r>
        <w:rPr>
          <w:szCs w:val="28"/>
        </w:rPr>
        <w:lastRenderedPageBreak/>
        <w:t>TEC</w:t>
      </w:r>
      <w:r w:rsidR="003963F7">
        <w:rPr>
          <w:szCs w:val="28"/>
        </w:rPr>
        <w:t>–</w:t>
      </w:r>
      <w:r>
        <w:rPr>
          <w:szCs w:val="28"/>
        </w:rPr>
        <w:t>1 un TEC</w:t>
      </w:r>
      <w:r w:rsidR="003963F7">
        <w:rPr>
          <w:szCs w:val="28"/>
        </w:rPr>
        <w:t>–</w:t>
      </w:r>
      <w:r>
        <w:rPr>
          <w:szCs w:val="28"/>
        </w:rPr>
        <w:t xml:space="preserve">2 elektroenerģijas izstrādes palielinājumam periodā, kad Rīgas pilsētas </w:t>
      </w:r>
      <w:proofErr w:type="spellStart"/>
      <w:r>
        <w:rPr>
          <w:szCs w:val="28"/>
        </w:rPr>
        <w:t>siltumslodze</w:t>
      </w:r>
      <w:proofErr w:type="spellEnd"/>
      <w:r>
        <w:rPr>
          <w:szCs w:val="28"/>
        </w:rPr>
        <w:t xml:space="preserve"> ir samazināta (nepieciešama enerģija tikai siltā ūdens sagatavošanai, bet nav nepieciešama centrālās siltumapgādes nodrošinājumam)</w:t>
      </w:r>
      <w:r w:rsidR="00225015">
        <w:rPr>
          <w:szCs w:val="28"/>
        </w:rPr>
        <w:t>, ir viens galvenais ierobežojošais faktors – elektroenerģijas pašizmaksa pie augstām mainīgajām izmaksām, slogojot vienu vai vairākus energoblokus kondensācijas režīmā.</w:t>
      </w:r>
      <w:r w:rsidR="0078342B">
        <w:rPr>
          <w:szCs w:val="28"/>
        </w:rPr>
        <w:t xml:space="preserve"> Kondensācijas režīmā Rīgas TEC–2 iespējams slogot, tikai tad, ja</w:t>
      </w:r>
      <w:r w:rsidR="004B7B29">
        <w:rPr>
          <w:szCs w:val="28"/>
        </w:rPr>
        <w:t>, pie pašreizējām dabasgāzes cenām,</w:t>
      </w:r>
      <w:r w:rsidR="0078342B">
        <w:rPr>
          <w:szCs w:val="28"/>
        </w:rPr>
        <w:t xml:space="preserve"> </w:t>
      </w:r>
      <w:r w:rsidR="00FC5044">
        <w:rPr>
          <w:szCs w:val="28"/>
        </w:rPr>
        <w:t xml:space="preserve">elektroenerģijas cena Latvijas NPS tirdzniecības apgabalā </w:t>
      </w:r>
      <w:r w:rsidR="009605C8">
        <w:rPr>
          <w:szCs w:val="28"/>
        </w:rPr>
        <w:t>pār</w:t>
      </w:r>
      <w:r w:rsidR="00FC5044">
        <w:rPr>
          <w:szCs w:val="28"/>
        </w:rPr>
        <w:t>sniedz 7</w:t>
      </w:r>
      <w:r w:rsidR="00FB4165">
        <w:rPr>
          <w:szCs w:val="28"/>
        </w:rPr>
        <w:t>0</w:t>
      </w:r>
      <w:r w:rsidR="00220314">
        <w:rPr>
          <w:szCs w:val="28"/>
        </w:rPr>
        <w:t> </w:t>
      </w:r>
      <w:r w:rsidR="00FC5044">
        <w:rPr>
          <w:szCs w:val="28"/>
        </w:rPr>
        <w:t>EUR/</w:t>
      </w:r>
      <w:proofErr w:type="spellStart"/>
      <w:r w:rsidR="00FC5044">
        <w:rPr>
          <w:szCs w:val="28"/>
        </w:rPr>
        <w:t>MWh</w:t>
      </w:r>
      <w:proofErr w:type="spellEnd"/>
      <w:r w:rsidR="00FC5044">
        <w:rPr>
          <w:szCs w:val="28"/>
        </w:rPr>
        <w:t xml:space="preserve"> atzīmi, un turas šādā līmenī vismaz </w:t>
      </w:r>
      <w:r w:rsidR="00DD3EE0">
        <w:rPr>
          <w:szCs w:val="28"/>
        </w:rPr>
        <w:t>vienu diennakti</w:t>
      </w:r>
      <w:r w:rsidR="00FC5044">
        <w:rPr>
          <w:szCs w:val="28"/>
        </w:rPr>
        <w:t>.</w:t>
      </w:r>
      <w:r w:rsidR="00DC3DB2">
        <w:rPr>
          <w:szCs w:val="28"/>
        </w:rPr>
        <w:t xml:space="preserve"> Īslaicīga maksimuma cenas sasniegšana Latvijas tirdzniecības apgabalā nav motivējoša Rīgas TEC–2 darbināšanai kondensācijas režīm</w:t>
      </w:r>
      <w:r w:rsidR="00DD3EE0">
        <w:rPr>
          <w:szCs w:val="28"/>
        </w:rPr>
        <w:t xml:space="preserve">ā, tomēr pieļauj stacijas darbināšanu koģenerācijas režīmā – gan rēķinoties ar nelielo Rīgas pilsētas </w:t>
      </w:r>
      <w:proofErr w:type="spellStart"/>
      <w:r w:rsidR="00DD3EE0">
        <w:rPr>
          <w:szCs w:val="28"/>
        </w:rPr>
        <w:t>siltumslodzi</w:t>
      </w:r>
      <w:proofErr w:type="spellEnd"/>
      <w:r w:rsidR="00DD3EE0">
        <w:rPr>
          <w:szCs w:val="28"/>
        </w:rPr>
        <w:t xml:space="preserve"> vasaras sezonā, jo saražotās siltumenerģijas nelietderīga izmantošana mazina stacijas ekspluatācijas efektivitāti un, attiecīgi, palielina izmaksas uz vienu saražoto </w:t>
      </w:r>
      <w:proofErr w:type="spellStart"/>
      <w:r w:rsidR="00DD3EE0">
        <w:rPr>
          <w:szCs w:val="28"/>
        </w:rPr>
        <w:t>MWh</w:t>
      </w:r>
      <w:proofErr w:type="spellEnd"/>
      <w:r w:rsidR="00DD3EE0">
        <w:rPr>
          <w:szCs w:val="28"/>
        </w:rPr>
        <w:t>.</w:t>
      </w:r>
      <w:r w:rsidR="00D6359C">
        <w:rPr>
          <w:szCs w:val="28"/>
        </w:rPr>
        <w:t xml:space="preserve"> Ierobežotu TEC–2 slogošanu koģenerācijas režīmā vasaras sezonā iespējama, ja elektroenerģijas cena Latvijas NPS tirdzniecības apgabalā diennakts griezumā pārsniedz 45</w:t>
      </w:r>
      <w:r w:rsidR="00220314">
        <w:rPr>
          <w:szCs w:val="28"/>
        </w:rPr>
        <w:t> </w:t>
      </w:r>
      <w:r w:rsidR="00D6359C">
        <w:rPr>
          <w:szCs w:val="28"/>
        </w:rPr>
        <w:t>EUR/</w:t>
      </w:r>
      <w:proofErr w:type="spellStart"/>
      <w:r w:rsidR="00D6359C">
        <w:rPr>
          <w:szCs w:val="28"/>
        </w:rPr>
        <w:t>MWh</w:t>
      </w:r>
      <w:proofErr w:type="spellEnd"/>
      <w:r w:rsidR="00D6359C">
        <w:rPr>
          <w:szCs w:val="28"/>
        </w:rPr>
        <w:t>.</w:t>
      </w:r>
      <w:r w:rsidR="00870B35">
        <w:rPr>
          <w:szCs w:val="28"/>
        </w:rPr>
        <w:t xml:space="preserve"> </w:t>
      </w:r>
      <w:r w:rsidR="00356949">
        <w:rPr>
          <w:szCs w:val="28"/>
        </w:rPr>
        <w:t xml:space="preserve"> </w:t>
      </w:r>
      <w:r w:rsidR="00EC6E29">
        <w:rPr>
          <w:szCs w:val="28"/>
        </w:rPr>
        <w:t xml:space="preserve"> </w:t>
      </w:r>
    </w:p>
    <w:p w:rsidR="00B31B1D" w:rsidRPr="00DE564E" w:rsidRDefault="00D37E79" w:rsidP="00D37E79">
      <w:pPr>
        <w:pStyle w:val="Heading2"/>
        <w:rPr>
          <w:rFonts w:ascii="Times New Roman" w:hAnsi="Times New Roman" w:cs="Times New Roman"/>
          <w:color w:val="auto"/>
          <w:sz w:val="28"/>
          <w:szCs w:val="28"/>
        </w:rPr>
      </w:pPr>
      <w:bookmarkStart w:id="26" w:name="_Toc400714669"/>
      <w:r w:rsidRPr="00DE564E">
        <w:rPr>
          <w:rFonts w:ascii="Times New Roman" w:hAnsi="Times New Roman" w:cs="Times New Roman"/>
          <w:color w:val="auto"/>
          <w:sz w:val="28"/>
          <w:szCs w:val="28"/>
        </w:rPr>
        <w:t xml:space="preserve">2.8. </w:t>
      </w:r>
      <w:r w:rsidR="00B31B1D" w:rsidRPr="00DE564E">
        <w:rPr>
          <w:rFonts w:ascii="Times New Roman" w:hAnsi="Times New Roman" w:cs="Times New Roman"/>
          <w:color w:val="auto"/>
          <w:sz w:val="28"/>
          <w:szCs w:val="28"/>
        </w:rPr>
        <w:t>Elektroenerģijas infrastruktūra</w:t>
      </w:r>
      <w:bookmarkEnd w:id="26"/>
      <w:r w:rsidR="00B31B1D" w:rsidRPr="00DE564E">
        <w:rPr>
          <w:rFonts w:ascii="Times New Roman" w:hAnsi="Times New Roman" w:cs="Times New Roman"/>
          <w:color w:val="auto"/>
          <w:sz w:val="28"/>
          <w:szCs w:val="28"/>
        </w:rPr>
        <w:t xml:space="preserve"> </w:t>
      </w:r>
    </w:p>
    <w:p w:rsidR="00233F3F" w:rsidRPr="00233F3F" w:rsidRDefault="005762BC" w:rsidP="00DE564E">
      <w:pPr>
        <w:tabs>
          <w:tab w:val="right" w:pos="567"/>
        </w:tabs>
        <w:jc w:val="both"/>
        <w:rPr>
          <w:color w:val="000000"/>
          <w:szCs w:val="28"/>
        </w:rPr>
      </w:pPr>
      <w:r>
        <w:rPr>
          <w:szCs w:val="28"/>
        </w:rPr>
        <w:tab/>
      </w:r>
      <w:r w:rsidR="001607BB">
        <w:rPr>
          <w:szCs w:val="28"/>
        </w:rPr>
        <w:tab/>
      </w:r>
      <w:r w:rsidR="00233F3F" w:rsidRPr="00233F3F">
        <w:rPr>
          <w:szCs w:val="28"/>
        </w:rPr>
        <w:t xml:space="preserve">Eiropas Parlamenta un Padomes Regula 347/2013, ar ko nosaka Eiropas </w:t>
      </w:r>
      <w:proofErr w:type="spellStart"/>
      <w:r w:rsidR="00233F3F" w:rsidRPr="00233F3F">
        <w:rPr>
          <w:szCs w:val="28"/>
        </w:rPr>
        <w:t>energoinfrastruktūras</w:t>
      </w:r>
      <w:proofErr w:type="spellEnd"/>
      <w:r w:rsidR="00233F3F" w:rsidRPr="00233F3F">
        <w:rPr>
          <w:szCs w:val="28"/>
        </w:rPr>
        <w:t xml:space="preserve"> pamatnostādnes un atceļ Lēmumu Nr.1364/2006/EK, groza Regulu (EK) Nr.713/2009, Regulu (EK) Nr.714/2009 un Regulu (EK) Nr.715/2009 (turpmāk </w:t>
      </w:r>
      <w:r w:rsidR="00233F3F" w:rsidRPr="00233F3F">
        <w:rPr>
          <w:rFonts w:cs="Times New Roman"/>
          <w:szCs w:val="28"/>
        </w:rPr>
        <w:t>–</w:t>
      </w:r>
      <w:r w:rsidR="00233F3F" w:rsidRPr="00233F3F">
        <w:rPr>
          <w:szCs w:val="28"/>
        </w:rPr>
        <w:t xml:space="preserve"> Regula Nr.347/2013) </w:t>
      </w:r>
      <w:r w:rsidR="00233F3F" w:rsidRPr="00233F3F">
        <w:rPr>
          <w:color w:val="000000"/>
          <w:szCs w:val="28"/>
        </w:rPr>
        <w:t xml:space="preserve">nosaka četrus prioritāros infrastruktūras projektu virzienus enerģētikas jomā, viens no kuriem ir elektroenerģijas </w:t>
      </w:r>
      <w:proofErr w:type="spellStart"/>
      <w:r w:rsidR="00233F3F" w:rsidRPr="00233F3F">
        <w:rPr>
          <w:color w:val="000000"/>
          <w:szCs w:val="28"/>
        </w:rPr>
        <w:t>starpsavienojumu</w:t>
      </w:r>
      <w:proofErr w:type="spellEnd"/>
      <w:r w:rsidR="00233F3F" w:rsidRPr="00233F3F">
        <w:rPr>
          <w:color w:val="000000"/>
          <w:szCs w:val="28"/>
        </w:rPr>
        <w:t xml:space="preserve"> izveides plāns (“</w:t>
      </w:r>
      <w:r w:rsidR="00233F3F" w:rsidRPr="00233F3F">
        <w:rPr>
          <w:i/>
          <w:color w:val="000000"/>
          <w:szCs w:val="28"/>
        </w:rPr>
        <w:t xml:space="preserve">BEMIP </w:t>
      </w:r>
      <w:proofErr w:type="spellStart"/>
      <w:r w:rsidR="00233F3F" w:rsidRPr="00233F3F">
        <w:rPr>
          <w:i/>
          <w:color w:val="000000"/>
          <w:szCs w:val="28"/>
        </w:rPr>
        <w:t>Electricity</w:t>
      </w:r>
      <w:proofErr w:type="spellEnd"/>
      <w:r w:rsidR="00233F3F" w:rsidRPr="00233F3F">
        <w:rPr>
          <w:color w:val="000000"/>
          <w:szCs w:val="28"/>
        </w:rPr>
        <w:t>”).</w:t>
      </w:r>
    </w:p>
    <w:p w:rsidR="007C6274" w:rsidRDefault="007C6274" w:rsidP="00E163C3">
      <w:pPr>
        <w:tabs>
          <w:tab w:val="right" w:pos="851"/>
        </w:tabs>
        <w:ind w:firstLine="567"/>
        <w:jc w:val="both"/>
        <w:rPr>
          <w:b/>
        </w:rPr>
      </w:pPr>
    </w:p>
    <w:p w:rsidR="000A36D7" w:rsidRPr="00DE564E" w:rsidRDefault="00D37E79" w:rsidP="00F54D79">
      <w:pPr>
        <w:tabs>
          <w:tab w:val="right" w:pos="851"/>
        </w:tabs>
        <w:jc w:val="both"/>
        <w:rPr>
          <w:rFonts w:cs="Times New Roman"/>
          <w:b/>
          <w:szCs w:val="28"/>
        </w:rPr>
      </w:pPr>
      <w:r w:rsidRPr="00DE564E">
        <w:rPr>
          <w:rFonts w:cs="Times New Roman"/>
          <w:b/>
          <w:szCs w:val="28"/>
        </w:rPr>
        <w:t xml:space="preserve">2.8.1 </w:t>
      </w:r>
      <w:r w:rsidR="000A36D7" w:rsidRPr="00DE564E">
        <w:rPr>
          <w:rFonts w:cs="Times New Roman"/>
          <w:b/>
          <w:szCs w:val="28"/>
        </w:rPr>
        <w:t xml:space="preserve">Pārvades infrastruktūra </w:t>
      </w:r>
    </w:p>
    <w:p w:rsidR="00834EF4" w:rsidRDefault="00834EF4" w:rsidP="00E163C3">
      <w:pPr>
        <w:tabs>
          <w:tab w:val="right" w:pos="851"/>
        </w:tabs>
        <w:ind w:firstLine="567"/>
        <w:jc w:val="both"/>
      </w:pPr>
      <w:r>
        <w:t xml:space="preserve">Latvijas tīkla (330 un 110kV spriegums) kopgarums 2014.gada sākumā sastādīja 5274,78 km, no kuriem 1251,15 km ir gaisvadu 330kV elektrolīnijas, 3938,93 km </w:t>
      </w:r>
      <w:r w:rsidR="00A57B98">
        <w:t xml:space="preserve"> </w:t>
      </w:r>
      <w:r w:rsidR="00A5350D">
        <w:rPr>
          <w:szCs w:val="28"/>
        </w:rPr>
        <w:t>–</w:t>
      </w:r>
      <w:r w:rsidR="00A57B98">
        <w:t xml:space="preserve"> </w:t>
      </w:r>
      <w:r>
        <w:t>gaisvadu 110kV līnijas, 13,64</w:t>
      </w:r>
      <w:r w:rsidR="00A57B98">
        <w:t xml:space="preserve"> </w:t>
      </w:r>
      <w:r>
        <w:t xml:space="preserve">km 330kV kabeļu līnijas un 13,64km 110kV kabeļu līnijas. </w:t>
      </w:r>
    </w:p>
    <w:p w:rsidR="00173559" w:rsidRDefault="00874552" w:rsidP="00E163C3">
      <w:pPr>
        <w:tabs>
          <w:tab w:val="right" w:pos="851"/>
        </w:tabs>
        <w:ind w:firstLine="567"/>
        <w:jc w:val="both"/>
      </w:pPr>
      <w:r>
        <w:t xml:space="preserve">Optimālai </w:t>
      </w:r>
      <w:r w:rsidRPr="00874552">
        <w:t xml:space="preserve">330/110kV apakšstaciju un sadales punktu ekspluatācijai, </w:t>
      </w:r>
      <w:r w:rsidR="00173559">
        <w:t>šie objekti pēc ģeogrāfiskā principa iedalīti</w:t>
      </w:r>
      <w:r w:rsidRPr="00874552">
        <w:t xml:space="preserve"> 13 apakšstaciju grupās: Salaspils,  Krustpils, Daugavpils, </w:t>
      </w:r>
      <w:proofErr w:type="spellStart"/>
      <w:r w:rsidRPr="00874552">
        <w:t>Viskaļi</w:t>
      </w:r>
      <w:proofErr w:type="spellEnd"/>
      <w:r w:rsidRPr="00874552">
        <w:t xml:space="preserve"> (Jelgava), Brocēni, Grobiņa, Valmiera, Gulbene, Rēzekne, Sloka, Ventspils, Rīgā – Labā krasta un Kreisā krasta</w:t>
      </w:r>
      <w:r w:rsidR="00173559">
        <w:t xml:space="preserve">. Uz katru grupu attiecas viena bāzes apakšstacija. </w:t>
      </w:r>
    </w:p>
    <w:p w:rsidR="004749DE" w:rsidRDefault="00B31B1D" w:rsidP="00E163C3">
      <w:pPr>
        <w:tabs>
          <w:tab w:val="right" w:pos="851"/>
        </w:tabs>
        <w:ind w:firstLine="567"/>
        <w:jc w:val="both"/>
        <w:rPr>
          <w:szCs w:val="28"/>
        </w:rPr>
      </w:pPr>
      <w:r w:rsidRPr="0063735A">
        <w:t>Atšķirībā no citām ES valstīm,</w:t>
      </w:r>
      <w:r w:rsidRPr="0063735A">
        <w:rPr>
          <w:b/>
        </w:rPr>
        <w:t xml:space="preserve"> </w:t>
      </w:r>
      <w:r w:rsidRPr="0063735A">
        <w:t>Baltijas valstu energosistēmas darbojas paralēlā, sinhronā režīmā ar IPS/UPS (Krievijas vienotā energosistēmu/Ukrainas, Baltkrievijas, Kazahstānas, Kirgizstānas, Azerbaidžānas, Gruzijas, Tadžikistānas, Moldovas</w:t>
      </w:r>
      <w:r w:rsidR="0090777A">
        <w:t xml:space="preserve"> un</w:t>
      </w:r>
      <w:r w:rsidRPr="0063735A">
        <w:t xml:space="preserve"> Mongolijas integrētā energosistēma) reģionu, nevis kontinentālās Eiropas energosistēmām. </w:t>
      </w:r>
      <w:r w:rsidRPr="0063735A">
        <w:rPr>
          <w:rFonts w:eastAsia="Calibri"/>
          <w:lang w:eastAsia="lv-LV"/>
        </w:rPr>
        <w:t xml:space="preserve">Baltijas valstu, Krievijas un Baltkrievijas elektroenerģijas tirgu pārrobežu darbību </w:t>
      </w:r>
      <w:r w:rsidRPr="0063735A">
        <w:rPr>
          <w:rFonts w:eastAsia="Calibri"/>
          <w:lang w:eastAsia="lv-LV"/>
        </w:rPr>
        <w:lastRenderedPageBreak/>
        <w:t xml:space="preserve">nosaka Baltkrievijas, Krievijas, Igaunijas, Lietuvas un Latvijas PSO noslēgtais </w:t>
      </w:r>
      <w:r w:rsidRPr="0063735A">
        <w:rPr>
          <w:rFonts w:eastAsia="Calibri"/>
          <w:i/>
          <w:lang w:eastAsia="lv-LV"/>
        </w:rPr>
        <w:t>BRELL</w:t>
      </w:r>
      <w:r w:rsidRPr="0063735A">
        <w:rPr>
          <w:rFonts w:eastAsia="Calibri"/>
          <w:lang w:eastAsia="lv-LV"/>
        </w:rPr>
        <w:t xml:space="preserve"> </w:t>
      </w:r>
      <w:r w:rsidR="003C26E6">
        <w:rPr>
          <w:szCs w:val="28"/>
        </w:rPr>
        <w:t xml:space="preserve">(saīsinājums no: </w:t>
      </w:r>
      <w:proofErr w:type="spellStart"/>
      <w:r w:rsidR="003C26E6" w:rsidRPr="00367298">
        <w:rPr>
          <w:i/>
          <w:szCs w:val="28"/>
        </w:rPr>
        <w:t>Belarus</w:t>
      </w:r>
      <w:proofErr w:type="spellEnd"/>
      <w:r w:rsidR="003C26E6" w:rsidRPr="00367298">
        <w:rPr>
          <w:i/>
          <w:szCs w:val="28"/>
        </w:rPr>
        <w:t xml:space="preserve">, </w:t>
      </w:r>
      <w:proofErr w:type="spellStart"/>
      <w:r w:rsidR="003C26E6" w:rsidRPr="00367298">
        <w:rPr>
          <w:i/>
          <w:szCs w:val="28"/>
        </w:rPr>
        <w:t>Russia</w:t>
      </w:r>
      <w:proofErr w:type="spellEnd"/>
      <w:r w:rsidR="003C26E6" w:rsidRPr="00367298">
        <w:rPr>
          <w:i/>
          <w:szCs w:val="28"/>
        </w:rPr>
        <w:t xml:space="preserve">, </w:t>
      </w:r>
      <w:proofErr w:type="spellStart"/>
      <w:r w:rsidR="003C26E6" w:rsidRPr="00367298">
        <w:rPr>
          <w:i/>
          <w:szCs w:val="28"/>
        </w:rPr>
        <w:t>Estonia</w:t>
      </w:r>
      <w:proofErr w:type="spellEnd"/>
      <w:r w:rsidR="003C26E6" w:rsidRPr="00367298">
        <w:rPr>
          <w:i/>
          <w:szCs w:val="28"/>
        </w:rPr>
        <w:t xml:space="preserve">, </w:t>
      </w:r>
      <w:proofErr w:type="spellStart"/>
      <w:r w:rsidR="003C26E6" w:rsidRPr="00367298">
        <w:rPr>
          <w:i/>
          <w:szCs w:val="28"/>
        </w:rPr>
        <w:t>Latvia</w:t>
      </w:r>
      <w:proofErr w:type="spellEnd"/>
      <w:r w:rsidR="003C26E6" w:rsidRPr="00367298">
        <w:rPr>
          <w:i/>
          <w:szCs w:val="28"/>
        </w:rPr>
        <w:t xml:space="preserve">, </w:t>
      </w:r>
      <w:proofErr w:type="spellStart"/>
      <w:r w:rsidR="003C26E6" w:rsidRPr="00367298">
        <w:rPr>
          <w:i/>
          <w:szCs w:val="28"/>
        </w:rPr>
        <w:t>Lithuania</w:t>
      </w:r>
      <w:proofErr w:type="spellEnd"/>
      <w:r w:rsidR="003C26E6">
        <w:rPr>
          <w:szCs w:val="28"/>
        </w:rPr>
        <w:t xml:space="preserve">) </w:t>
      </w:r>
      <w:r w:rsidRPr="0063735A">
        <w:rPr>
          <w:rFonts w:eastAsia="Calibri"/>
          <w:lang w:eastAsia="lv-LV"/>
        </w:rPr>
        <w:t>līgums.</w:t>
      </w:r>
      <w:r w:rsidR="00E163C3">
        <w:rPr>
          <w:szCs w:val="28"/>
        </w:rPr>
        <w:t xml:space="preserve"> </w:t>
      </w:r>
    </w:p>
    <w:p w:rsidR="0003175F" w:rsidRDefault="0003175F" w:rsidP="0003175F">
      <w:pPr>
        <w:ind w:firstLine="567"/>
        <w:jc w:val="both"/>
        <w:rPr>
          <w:szCs w:val="28"/>
        </w:rPr>
      </w:pPr>
      <w:r w:rsidRPr="0063735A">
        <w:rPr>
          <w:szCs w:val="28"/>
        </w:rPr>
        <w:t xml:space="preserve">Šobrīd tirgu pārrobežu darbība ar Krieviju un Baltkrieviju notiek tikai virzienā uz Baltijas valstīm </w:t>
      </w:r>
      <w:r w:rsidR="00D575AC" w:rsidRPr="00D575AC">
        <w:rPr>
          <w:szCs w:val="28"/>
        </w:rPr>
        <w:t>NPS</w:t>
      </w:r>
      <w:r w:rsidRPr="0063735A">
        <w:rPr>
          <w:szCs w:val="28"/>
        </w:rPr>
        <w:t xml:space="preserve"> elektroenerģijas biržas platformā</w:t>
      </w:r>
      <w:r w:rsidR="00D575AC">
        <w:rPr>
          <w:szCs w:val="28"/>
        </w:rPr>
        <w:t>.</w:t>
      </w:r>
      <w:r w:rsidRPr="0063735A">
        <w:rPr>
          <w:szCs w:val="28"/>
        </w:rPr>
        <w:t xml:space="preserve"> </w:t>
      </w:r>
    </w:p>
    <w:p w:rsidR="00B31B1D" w:rsidRPr="0063735A" w:rsidRDefault="004749DE" w:rsidP="004749DE">
      <w:pPr>
        <w:tabs>
          <w:tab w:val="right" w:pos="851"/>
        </w:tabs>
        <w:ind w:firstLine="567"/>
        <w:jc w:val="both"/>
        <w:rPr>
          <w:szCs w:val="28"/>
        </w:rPr>
      </w:pPr>
      <w:r>
        <w:rPr>
          <w:szCs w:val="28"/>
        </w:rPr>
        <w:t>E</w:t>
      </w:r>
      <w:r w:rsidR="00E163C3">
        <w:rPr>
          <w:szCs w:val="28"/>
        </w:rPr>
        <w:t>nergosistēmu</w:t>
      </w:r>
      <w:r w:rsidR="00B31B1D" w:rsidRPr="0063735A">
        <w:rPr>
          <w:szCs w:val="28"/>
        </w:rPr>
        <w:t xml:space="preserve"> </w:t>
      </w:r>
      <w:proofErr w:type="spellStart"/>
      <w:r w:rsidR="00B31B1D" w:rsidRPr="0063735A">
        <w:rPr>
          <w:szCs w:val="28"/>
        </w:rPr>
        <w:t>starpsaslēguma</w:t>
      </w:r>
      <w:proofErr w:type="spellEnd"/>
      <w:r w:rsidR="00B31B1D" w:rsidRPr="0063735A">
        <w:rPr>
          <w:szCs w:val="28"/>
        </w:rPr>
        <w:t xml:space="preserve"> saišu </w:t>
      </w:r>
      <w:r w:rsidR="00E163C3">
        <w:rPr>
          <w:szCs w:val="28"/>
        </w:rPr>
        <w:t xml:space="preserve">daudzums un pārvades jauda </w:t>
      </w:r>
      <w:r w:rsidR="00B31B1D" w:rsidRPr="0063735A">
        <w:rPr>
          <w:szCs w:val="28"/>
        </w:rPr>
        <w:t xml:space="preserve">starp Baltijas valstīm un citām ES dalībvalstīm pagaidām </w:t>
      </w:r>
      <w:r w:rsidR="00FA62A5">
        <w:rPr>
          <w:szCs w:val="28"/>
        </w:rPr>
        <w:t xml:space="preserve">ir </w:t>
      </w:r>
      <w:r w:rsidR="00E163C3">
        <w:rPr>
          <w:szCs w:val="28"/>
        </w:rPr>
        <w:t>pietiekams</w:t>
      </w:r>
      <w:r w:rsidR="00FA62A5">
        <w:rPr>
          <w:szCs w:val="28"/>
        </w:rPr>
        <w:t xml:space="preserve"> tikai starp Somiju un Igauniju</w:t>
      </w:r>
      <w:r w:rsidR="00B31B1D" w:rsidRPr="0063735A">
        <w:rPr>
          <w:szCs w:val="28"/>
        </w:rPr>
        <w:t xml:space="preserve">. Baltijas reģionā komerciāli tiek ekspluatēti tikai divi </w:t>
      </w:r>
      <w:r>
        <w:rPr>
          <w:szCs w:val="28"/>
        </w:rPr>
        <w:t xml:space="preserve">šādi energosistēmu </w:t>
      </w:r>
      <w:proofErr w:type="spellStart"/>
      <w:r w:rsidR="00B31B1D" w:rsidRPr="0063735A">
        <w:rPr>
          <w:szCs w:val="28"/>
        </w:rPr>
        <w:t>starpsavienojumi</w:t>
      </w:r>
      <w:proofErr w:type="spellEnd"/>
      <w:r>
        <w:rPr>
          <w:szCs w:val="28"/>
        </w:rPr>
        <w:t xml:space="preserve"> </w:t>
      </w:r>
      <w:r w:rsidR="00B31B1D" w:rsidRPr="0063735A">
        <w:rPr>
          <w:szCs w:val="28"/>
        </w:rPr>
        <w:t xml:space="preserve">– tie ir jūras kabeļi </w:t>
      </w:r>
      <w:proofErr w:type="spellStart"/>
      <w:r w:rsidR="00B31B1D" w:rsidRPr="0063735A">
        <w:rPr>
          <w:i/>
          <w:szCs w:val="28"/>
        </w:rPr>
        <w:t>Estlink</w:t>
      </w:r>
      <w:proofErr w:type="spellEnd"/>
      <w:r w:rsidR="00B31B1D" w:rsidRPr="0063735A">
        <w:rPr>
          <w:i/>
          <w:szCs w:val="28"/>
        </w:rPr>
        <w:t xml:space="preserve"> 1</w:t>
      </w:r>
      <w:r w:rsidR="00B31B1D" w:rsidRPr="0063735A">
        <w:rPr>
          <w:szCs w:val="28"/>
        </w:rPr>
        <w:t xml:space="preserve"> un </w:t>
      </w:r>
      <w:proofErr w:type="spellStart"/>
      <w:r w:rsidR="00B31B1D" w:rsidRPr="0063735A">
        <w:rPr>
          <w:i/>
          <w:szCs w:val="28"/>
        </w:rPr>
        <w:t>Estlink</w:t>
      </w:r>
      <w:proofErr w:type="spellEnd"/>
      <w:r w:rsidR="00B31B1D" w:rsidRPr="0063735A">
        <w:rPr>
          <w:i/>
          <w:szCs w:val="28"/>
        </w:rPr>
        <w:t xml:space="preserve"> 2</w:t>
      </w:r>
      <w:r w:rsidR="00B31B1D" w:rsidRPr="0063735A">
        <w:rPr>
          <w:szCs w:val="28"/>
        </w:rPr>
        <w:t xml:space="preserve">, kas savieno Somijas un Igaunijas energosistēmas. </w:t>
      </w:r>
      <w:proofErr w:type="spellStart"/>
      <w:r w:rsidR="00B31B1D" w:rsidRPr="0063735A">
        <w:rPr>
          <w:i/>
          <w:szCs w:val="28"/>
        </w:rPr>
        <w:t>Estlink</w:t>
      </w:r>
      <w:proofErr w:type="spellEnd"/>
      <w:r w:rsidR="00B31B1D" w:rsidRPr="0063735A">
        <w:rPr>
          <w:i/>
          <w:szCs w:val="28"/>
        </w:rPr>
        <w:t xml:space="preserve"> 1</w:t>
      </w:r>
      <w:r w:rsidR="00B31B1D" w:rsidRPr="0063735A">
        <w:rPr>
          <w:szCs w:val="28"/>
        </w:rPr>
        <w:t xml:space="preserve"> (</w:t>
      </w:r>
      <w:proofErr w:type="spellStart"/>
      <w:r w:rsidR="00B31B1D" w:rsidRPr="0063735A">
        <w:rPr>
          <w:szCs w:val="28"/>
        </w:rPr>
        <w:t>Harku</w:t>
      </w:r>
      <w:proofErr w:type="spellEnd"/>
      <w:r w:rsidR="00B31B1D" w:rsidRPr="0063735A">
        <w:rPr>
          <w:szCs w:val="28"/>
        </w:rPr>
        <w:t xml:space="preserve"> – </w:t>
      </w:r>
      <w:proofErr w:type="spellStart"/>
      <w:r w:rsidR="00B31B1D" w:rsidRPr="0063735A">
        <w:rPr>
          <w:szCs w:val="28"/>
        </w:rPr>
        <w:t>Espoo</w:t>
      </w:r>
      <w:proofErr w:type="spellEnd"/>
      <w:r w:rsidR="00B31B1D" w:rsidRPr="0063735A">
        <w:rPr>
          <w:szCs w:val="28"/>
        </w:rPr>
        <w:t>; pārvades jauda – 350</w:t>
      </w:r>
      <w:r w:rsidR="004E32FF">
        <w:rPr>
          <w:szCs w:val="28"/>
        </w:rPr>
        <w:t> </w:t>
      </w:r>
      <w:r w:rsidR="00B31B1D" w:rsidRPr="0063735A">
        <w:rPr>
          <w:szCs w:val="28"/>
        </w:rPr>
        <w:t xml:space="preserve">MW) ekspluatācijā tika nodots 2007.gada 5.janvārī, un </w:t>
      </w:r>
      <w:proofErr w:type="spellStart"/>
      <w:r w:rsidR="00B31B1D" w:rsidRPr="0063735A">
        <w:rPr>
          <w:i/>
          <w:szCs w:val="28"/>
        </w:rPr>
        <w:t>Estlink</w:t>
      </w:r>
      <w:proofErr w:type="spellEnd"/>
      <w:r w:rsidR="00B31B1D" w:rsidRPr="0063735A">
        <w:rPr>
          <w:i/>
          <w:szCs w:val="28"/>
        </w:rPr>
        <w:t xml:space="preserve"> 2 </w:t>
      </w:r>
      <w:r w:rsidR="00B31B1D" w:rsidRPr="0063735A">
        <w:rPr>
          <w:szCs w:val="28"/>
        </w:rPr>
        <w:t>(</w:t>
      </w:r>
      <w:proofErr w:type="spellStart"/>
      <w:r w:rsidR="00B31B1D" w:rsidRPr="0063735A">
        <w:rPr>
          <w:szCs w:val="28"/>
        </w:rPr>
        <w:t>Puusi</w:t>
      </w:r>
      <w:proofErr w:type="spellEnd"/>
      <w:r w:rsidR="00B31B1D" w:rsidRPr="0063735A">
        <w:rPr>
          <w:szCs w:val="28"/>
        </w:rPr>
        <w:t xml:space="preserve"> – </w:t>
      </w:r>
      <w:proofErr w:type="spellStart"/>
      <w:r w:rsidR="00B31B1D" w:rsidRPr="0063735A">
        <w:rPr>
          <w:szCs w:val="28"/>
        </w:rPr>
        <w:t>Anttila</w:t>
      </w:r>
      <w:proofErr w:type="spellEnd"/>
      <w:r w:rsidR="00B31B1D" w:rsidRPr="0063735A">
        <w:rPr>
          <w:szCs w:val="28"/>
        </w:rPr>
        <w:t>; pārvades jauda – 650 MW), kura komerciāla ekspluatācija aizsākās 2014.gada martā. Kopējā savienojumu pārvades jaud</w:t>
      </w:r>
      <w:r w:rsidR="00C113BF">
        <w:rPr>
          <w:szCs w:val="28"/>
        </w:rPr>
        <w:t>a</w:t>
      </w:r>
      <w:r w:rsidR="00B31B1D" w:rsidRPr="0063735A">
        <w:rPr>
          <w:szCs w:val="28"/>
        </w:rPr>
        <w:t xml:space="preserve"> ir 1000 MW. </w:t>
      </w:r>
    </w:p>
    <w:p w:rsidR="001F7604" w:rsidRPr="001F7604" w:rsidRDefault="00B31B1D" w:rsidP="00B31B1D">
      <w:pPr>
        <w:tabs>
          <w:tab w:val="right" w:pos="851"/>
        </w:tabs>
        <w:ind w:firstLine="567"/>
        <w:jc w:val="both"/>
        <w:rPr>
          <w:szCs w:val="28"/>
        </w:rPr>
      </w:pPr>
      <w:r w:rsidRPr="0026080B">
        <w:rPr>
          <w:szCs w:val="28"/>
        </w:rPr>
        <w:t xml:space="preserve">Elektroenerģijas tirdzniecība starp </w:t>
      </w:r>
      <w:r w:rsidR="00F27D8D" w:rsidRPr="0026080B">
        <w:rPr>
          <w:szCs w:val="28"/>
        </w:rPr>
        <w:t>Ziemeļvalstīm</w:t>
      </w:r>
      <w:r w:rsidRPr="0026080B">
        <w:rPr>
          <w:szCs w:val="28"/>
        </w:rPr>
        <w:t xml:space="preserve"> un Baltijas valstīm laika </w:t>
      </w:r>
      <w:r w:rsidR="000B4F83">
        <w:rPr>
          <w:szCs w:val="28"/>
        </w:rPr>
        <w:t>posmā</w:t>
      </w:r>
      <w:r w:rsidR="000B4F83" w:rsidRPr="0026080B">
        <w:rPr>
          <w:szCs w:val="28"/>
        </w:rPr>
        <w:t xml:space="preserve"> </w:t>
      </w:r>
      <w:r w:rsidRPr="0026080B">
        <w:rPr>
          <w:szCs w:val="28"/>
        </w:rPr>
        <w:t xml:space="preserve">no 2007.–2013.gadam redzama </w:t>
      </w:r>
      <w:r w:rsidR="00B568E8" w:rsidRPr="0026080B">
        <w:rPr>
          <w:szCs w:val="28"/>
        </w:rPr>
        <w:t xml:space="preserve"> </w:t>
      </w:r>
      <w:r w:rsidR="00967482">
        <w:rPr>
          <w:szCs w:val="28"/>
        </w:rPr>
        <w:t>5.</w:t>
      </w:r>
      <w:r w:rsidR="00B568E8" w:rsidRPr="0026080B">
        <w:rPr>
          <w:szCs w:val="28"/>
        </w:rPr>
        <w:t>tabulā</w:t>
      </w:r>
      <w:r w:rsidRPr="0026080B">
        <w:rPr>
          <w:szCs w:val="28"/>
        </w:rPr>
        <w:t>, un tā rāda mainīgu jaudu pārvades virzienu ainu laika periodos no 2007.–201</w:t>
      </w:r>
      <w:r w:rsidR="00DB4593" w:rsidRPr="0026080B">
        <w:rPr>
          <w:szCs w:val="28"/>
        </w:rPr>
        <w:t>1</w:t>
      </w:r>
      <w:r w:rsidRPr="0026080B">
        <w:rPr>
          <w:szCs w:val="28"/>
        </w:rPr>
        <w:t>.un 201</w:t>
      </w:r>
      <w:r w:rsidR="00DB4593" w:rsidRPr="0026080B">
        <w:rPr>
          <w:szCs w:val="28"/>
        </w:rPr>
        <w:t>2</w:t>
      </w:r>
      <w:r w:rsidRPr="0026080B">
        <w:rPr>
          <w:szCs w:val="28"/>
        </w:rPr>
        <w:t>.–201</w:t>
      </w:r>
      <w:r w:rsidR="00DB4593" w:rsidRPr="0026080B">
        <w:rPr>
          <w:szCs w:val="28"/>
        </w:rPr>
        <w:t>4.gada pirmajai pusei</w:t>
      </w:r>
      <w:r w:rsidRPr="0026080B">
        <w:rPr>
          <w:szCs w:val="28"/>
        </w:rPr>
        <w:t xml:space="preserve">. </w:t>
      </w:r>
      <w:r w:rsidR="00DB4593" w:rsidRPr="0026080B">
        <w:rPr>
          <w:szCs w:val="28"/>
        </w:rPr>
        <w:t>Ja periodā no 2007.–2011.gadam izteikti prevalē</w:t>
      </w:r>
      <w:r w:rsidR="001B42D2">
        <w:rPr>
          <w:szCs w:val="28"/>
        </w:rPr>
        <w:t>ja</w:t>
      </w:r>
      <w:r w:rsidR="00DB4593" w:rsidRPr="0026080B">
        <w:rPr>
          <w:szCs w:val="28"/>
        </w:rPr>
        <w:t xml:space="preserve"> jaudu plūsmas virziens no Igaunijas uz Somiju, 2008.gadā sasniedzot pārvadīto jaudu (261,46</w:t>
      </w:r>
      <w:r w:rsidR="004E32FF">
        <w:rPr>
          <w:szCs w:val="28"/>
        </w:rPr>
        <w:t> </w:t>
      </w:r>
      <w:proofErr w:type="spellStart"/>
      <w:r w:rsidR="00DB4593" w:rsidRPr="0026080B">
        <w:rPr>
          <w:szCs w:val="28"/>
        </w:rPr>
        <w:t>GWh</w:t>
      </w:r>
      <w:proofErr w:type="spellEnd"/>
      <w:r w:rsidR="00DB4593" w:rsidRPr="0026080B">
        <w:rPr>
          <w:szCs w:val="28"/>
        </w:rPr>
        <w:t xml:space="preserve">) un </w:t>
      </w:r>
      <w:proofErr w:type="spellStart"/>
      <w:r w:rsidR="00DB4593" w:rsidRPr="0026080B">
        <w:rPr>
          <w:i/>
          <w:szCs w:val="28"/>
        </w:rPr>
        <w:t>Estlink</w:t>
      </w:r>
      <w:proofErr w:type="spellEnd"/>
      <w:r w:rsidR="00DB4593" w:rsidRPr="0026080B">
        <w:rPr>
          <w:i/>
          <w:szCs w:val="28"/>
        </w:rPr>
        <w:t xml:space="preserve"> I</w:t>
      </w:r>
      <w:r w:rsidR="00DB4593" w:rsidRPr="0026080B">
        <w:rPr>
          <w:szCs w:val="28"/>
        </w:rPr>
        <w:t xml:space="preserve"> slogojuma procentuālo maksimumu (77%), tad periodā no </w:t>
      </w:r>
      <w:r w:rsidRPr="0026080B">
        <w:rPr>
          <w:szCs w:val="28"/>
        </w:rPr>
        <w:t>2012.–201</w:t>
      </w:r>
      <w:r w:rsidR="00DB4593" w:rsidRPr="0026080B">
        <w:rPr>
          <w:szCs w:val="28"/>
        </w:rPr>
        <w:t>4.gada pirmajai pusei</w:t>
      </w:r>
      <w:r w:rsidRPr="0026080B">
        <w:rPr>
          <w:szCs w:val="28"/>
        </w:rPr>
        <w:t xml:space="preserve"> būtiski pieaugusi elektroenerģijas pārvade virzienā no </w:t>
      </w:r>
      <w:r w:rsidR="00DB4593" w:rsidRPr="0026080B">
        <w:rPr>
          <w:szCs w:val="28"/>
        </w:rPr>
        <w:t>Somijas uz Igauniju.</w:t>
      </w:r>
    </w:p>
    <w:p w:rsidR="00091F3D" w:rsidRDefault="00376CCD" w:rsidP="00091F3D">
      <w:pPr>
        <w:tabs>
          <w:tab w:val="right" w:pos="567"/>
        </w:tabs>
        <w:jc w:val="both"/>
        <w:rPr>
          <w:szCs w:val="28"/>
        </w:rPr>
      </w:pPr>
      <w:r w:rsidRPr="00612FAD">
        <w:rPr>
          <w:szCs w:val="28"/>
        </w:rPr>
        <w:t>Tā kā laika posmā no 20</w:t>
      </w:r>
      <w:r w:rsidR="00DB4593" w:rsidRPr="00612FAD">
        <w:rPr>
          <w:szCs w:val="28"/>
        </w:rPr>
        <w:t>07</w:t>
      </w:r>
      <w:r w:rsidRPr="00612FAD">
        <w:rPr>
          <w:szCs w:val="28"/>
        </w:rPr>
        <w:t xml:space="preserve">.–2011.gadam Somijas cena saglabājās augstāka, tad jaudu plūsmas, attiecīgi, tika pavērstas virzienā uz šo tirdzniecības apgabalu. Savukārt, lai arī 2012.–2013.gada laikā cenu harmonizācija noritēja straujāk, un cenu izlīdzinājuma laika procentuālais īpatsvars pieauga, </w:t>
      </w:r>
      <w:r w:rsidR="00B568E8" w:rsidRPr="00612FAD">
        <w:rPr>
          <w:szCs w:val="28"/>
        </w:rPr>
        <w:t xml:space="preserve">atsevišķos mēnešos cenu atšķirība par labu Igaunijai saglabājās, nosakot jaudu plūsmas </w:t>
      </w:r>
      <w:r w:rsidR="00612FAD" w:rsidRPr="00612FAD">
        <w:rPr>
          <w:szCs w:val="28"/>
        </w:rPr>
        <w:t>nepastāvīgumu</w:t>
      </w:r>
      <w:r w:rsidR="00B568E8" w:rsidRPr="00612FAD">
        <w:rPr>
          <w:szCs w:val="28"/>
        </w:rPr>
        <w:t xml:space="preserve">. </w:t>
      </w:r>
      <w:r w:rsidR="00091F3D">
        <w:rPr>
          <w:szCs w:val="28"/>
        </w:rPr>
        <w:tab/>
      </w:r>
      <w:r w:rsidR="00091F3D">
        <w:rPr>
          <w:szCs w:val="28"/>
        </w:rPr>
        <w:tab/>
      </w:r>
    </w:p>
    <w:p w:rsidR="00091F3D" w:rsidRDefault="00091F3D" w:rsidP="00091F3D">
      <w:pPr>
        <w:tabs>
          <w:tab w:val="right" w:pos="567"/>
        </w:tabs>
        <w:jc w:val="both"/>
        <w:rPr>
          <w:szCs w:val="28"/>
        </w:rPr>
      </w:pPr>
      <w:r>
        <w:rPr>
          <w:szCs w:val="28"/>
        </w:rPr>
        <w:tab/>
      </w:r>
      <w:r>
        <w:rPr>
          <w:szCs w:val="28"/>
        </w:rPr>
        <w:tab/>
      </w:r>
      <w:r w:rsidRPr="0063735A">
        <w:rPr>
          <w:szCs w:val="28"/>
        </w:rPr>
        <w:t xml:space="preserve">Līdz 2016.gadam plānots pabeigt energosistēmu </w:t>
      </w:r>
      <w:proofErr w:type="spellStart"/>
      <w:r w:rsidRPr="0063735A">
        <w:rPr>
          <w:szCs w:val="28"/>
        </w:rPr>
        <w:t>starpsavienojuma</w:t>
      </w:r>
      <w:proofErr w:type="spellEnd"/>
      <w:r w:rsidRPr="0063735A">
        <w:rPr>
          <w:szCs w:val="28"/>
        </w:rPr>
        <w:t xml:space="preserve"> starp Lietuvu un Zviedriju (</w:t>
      </w:r>
      <w:proofErr w:type="spellStart"/>
      <w:r w:rsidRPr="0063735A">
        <w:rPr>
          <w:i/>
          <w:szCs w:val="28"/>
        </w:rPr>
        <w:t>NordBalt</w:t>
      </w:r>
      <w:proofErr w:type="spellEnd"/>
      <w:r w:rsidRPr="0063735A">
        <w:rPr>
          <w:szCs w:val="28"/>
        </w:rPr>
        <w:t>; pārvades jauda – 700</w:t>
      </w:r>
      <w:r>
        <w:rPr>
          <w:szCs w:val="28"/>
        </w:rPr>
        <w:t> </w:t>
      </w:r>
      <w:r w:rsidRPr="0063735A">
        <w:rPr>
          <w:szCs w:val="28"/>
        </w:rPr>
        <w:t>MW, no Klaipēda</w:t>
      </w:r>
      <w:r>
        <w:rPr>
          <w:szCs w:val="28"/>
        </w:rPr>
        <w:t>s</w:t>
      </w:r>
      <w:r w:rsidRPr="0063735A">
        <w:rPr>
          <w:szCs w:val="28"/>
        </w:rPr>
        <w:t xml:space="preserve">, Lietuvā uz </w:t>
      </w:r>
      <w:proofErr w:type="spellStart"/>
      <w:r w:rsidRPr="0063735A">
        <w:rPr>
          <w:szCs w:val="28"/>
        </w:rPr>
        <w:t>Nībo</w:t>
      </w:r>
      <w:proofErr w:type="spellEnd"/>
      <w:r w:rsidRPr="0063735A">
        <w:rPr>
          <w:szCs w:val="28"/>
        </w:rPr>
        <w:t xml:space="preserve">, Zviedrijā) izbūvi. </w:t>
      </w:r>
      <w:r w:rsidRPr="00134BDC">
        <w:rPr>
          <w:szCs w:val="28"/>
        </w:rPr>
        <w:t xml:space="preserve">Paredzams, ka </w:t>
      </w:r>
      <w:proofErr w:type="spellStart"/>
      <w:r w:rsidRPr="00F92628">
        <w:rPr>
          <w:i/>
          <w:szCs w:val="28"/>
        </w:rPr>
        <w:t>NordBalt</w:t>
      </w:r>
      <w:proofErr w:type="spellEnd"/>
      <w:r w:rsidRPr="00134BDC">
        <w:rPr>
          <w:szCs w:val="28"/>
        </w:rPr>
        <w:t xml:space="preserve"> </w:t>
      </w:r>
      <w:proofErr w:type="spellStart"/>
      <w:r w:rsidRPr="00134BDC">
        <w:rPr>
          <w:szCs w:val="28"/>
        </w:rPr>
        <w:t>starpsavienojums</w:t>
      </w:r>
      <w:proofErr w:type="spellEnd"/>
      <w:r w:rsidRPr="00134BDC">
        <w:rPr>
          <w:szCs w:val="28"/>
        </w:rPr>
        <w:t xml:space="preserve"> palīdzēs </w:t>
      </w:r>
      <w:r>
        <w:rPr>
          <w:szCs w:val="28"/>
        </w:rPr>
        <w:t>iz</w:t>
      </w:r>
      <w:r w:rsidRPr="00134BDC">
        <w:rPr>
          <w:szCs w:val="28"/>
        </w:rPr>
        <w:t xml:space="preserve">veidot kopīgu, </w:t>
      </w:r>
      <w:r>
        <w:rPr>
          <w:szCs w:val="28"/>
        </w:rPr>
        <w:t>vienotu</w:t>
      </w:r>
      <w:r w:rsidRPr="00134BDC">
        <w:rPr>
          <w:szCs w:val="28"/>
        </w:rPr>
        <w:t xml:space="preserve"> Baltijas un Ziemeļvalstu elektroenerģijas tirgu</w:t>
      </w:r>
      <w:r>
        <w:rPr>
          <w:szCs w:val="28"/>
        </w:rPr>
        <w:t xml:space="preserve"> un </w:t>
      </w:r>
      <w:r w:rsidRPr="00134BDC">
        <w:rPr>
          <w:szCs w:val="28"/>
        </w:rPr>
        <w:t xml:space="preserve">nodrošinās Lietuvai un Latvijai iespējas lielākā apjomā pirkt elektroenerģiju no </w:t>
      </w:r>
      <w:proofErr w:type="spellStart"/>
      <w:r w:rsidRPr="00134BDC">
        <w:rPr>
          <w:szCs w:val="28"/>
        </w:rPr>
        <w:t>hidroresursiem</w:t>
      </w:r>
      <w:proofErr w:type="spellEnd"/>
      <w:r w:rsidRPr="00134BDC">
        <w:rPr>
          <w:szCs w:val="28"/>
        </w:rPr>
        <w:t xml:space="preserve"> bagātajām Ziemeļeiropas valstīm, tādējādi samazinot </w:t>
      </w:r>
      <w:r>
        <w:rPr>
          <w:szCs w:val="28"/>
        </w:rPr>
        <w:t xml:space="preserve">arī </w:t>
      </w:r>
      <w:r w:rsidRPr="00134BDC">
        <w:rPr>
          <w:szCs w:val="28"/>
        </w:rPr>
        <w:t xml:space="preserve">enerģētisko atkarību </w:t>
      </w:r>
      <w:r>
        <w:rPr>
          <w:szCs w:val="28"/>
        </w:rPr>
        <w:t>no trešo valstu elektroenerģijas piegādēm</w:t>
      </w:r>
      <w:r w:rsidRPr="00134BDC">
        <w:rPr>
          <w:szCs w:val="28"/>
        </w:rPr>
        <w:t>.</w:t>
      </w:r>
      <w:r w:rsidRPr="00134BDC">
        <w:t xml:space="preserve"> </w:t>
      </w:r>
      <w:r w:rsidRPr="00134BDC">
        <w:rPr>
          <w:szCs w:val="28"/>
        </w:rPr>
        <w:t xml:space="preserve">Tomēr, tajā pašā laikā </w:t>
      </w:r>
      <w:proofErr w:type="spellStart"/>
      <w:r w:rsidRPr="00F92628">
        <w:rPr>
          <w:i/>
          <w:szCs w:val="28"/>
        </w:rPr>
        <w:t>NordBalt</w:t>
      </w:r>
      <w:proofErr w:type="spellEnd"/>
      <w:r w:rsidRPr="00F92628">
        <w:rPr>
          <w:i/>
          <w:szCs w:val="28"/>
        </w:rPr>
        <w:t xml:space="preserve"> </w:t>
      </w:r>
      <w:r w:rsidRPr="00134BDC">
        <w:rPr>
          <w:szCs w:val="28"/>
        </w:rPr>
        <w:t>savienos divus izteiktus elektroenerģijas ģenerācijas deficīta reģionus gan Baltijas, gan Ziemeļvalstu pusē: Lietuvas NPS tirdzniecības apgabalu un Zviedrijas 4.(SE4) NPS tirdzniecības apgabalu, līdz ar ko kā cenas reference Lietuvas un arī Latvijas NPS tirdzniecības apgabalos, starp kuriem nepastāv tehniski pārvades jaudu ierobežojumi, varētu nostiprināties SE4 apgabala elektroenerģijas cena</w:t>
      </w:r>
      <w:r>
        <w:rPr>
          <w:szCs w:val="28"/>
        </w:rPr>
        <w:t>.</w:t>
      </w:r>
    </w:p>
    <w:p w:rsidR="00E2047F" w:rsidRPr="00DE564E" w:rsidRDefault="00761BD3" w:rsidP="00DE564E">
      <w:pPr>
        <w:jc w:val="right"/>
        <w:rPr>
          <w:rFonts w:eastAsia="Times New Roman" w:cs="Times New Roman"/>
          <w:bCs/>
          <w:szCs w:val="28"/>
        </w:rPr>
      </w:pPr>
      <w:r>
        <w:rPr>
          <w:rFonts w:eastAsia="Times New Roman" w:cs="Times New Roman"/>
          <w:bCs/>
          <w:szCs w:val="28"/>
        </w:rPr>
        <w:lastRenderedPageBreak/>
        <w:t>5</w:t>
      </w:r>
      <w:r w:rsidR="00E2047F" w:rsidRPr="00DE564E">
        <w:rPr>
          <w:rFonts w:eastAsia="Times New Roman" w:cs="Times New Roman"/>
          <w:bCs/>
          <w:szCs w:val="28"/>
        </w:rPr>
        <w:t xml:space="preserve">.tabula </w:t>
      </w:r>
    </w:p>
    <w:p w:rsidR="00E2047F" w:rsidRDefault="009E02DE" w:rsidP="005A7EBF">
      <w:pPr>
        <w:jc w:val="center"/>
        <w:rPr>
          <w:rFonts w:eastAsia="Times New Roman" w:cs="Times New Roman"/>
          <w:b/>
          <w:bCs/>
          <w:szCs w:val="28"/>
        </w:rPr>
      </w:pPr>
      <w:r w:rsidRPr="005A7EBF">
        <w:rPr>
          <w:rFonts w:eastAsia="Times New Roman" w:cs="Times New Roman"/>
          <w:b/>
          <w:bCs/>
          <w:szCs w:val="28"/>
        </w:rPr>
        <w:t xml:space="preserve">Energosistēmu </w:t>
      </w:r>
      <w:proofErr w:type="spellStart"/>
      <w:r w:rsidRPr="005A7EBF">
        <w:rPr>
          <w:rFonts w:eastAsia="Times New Roman" w:cs="Times New Roman"/>
          <w:b/>
          <w:bCs/>
          <w:szCs w:val="28"/>
        </w:rPr>
        <w:t>starpsaslēguma</w:t>
      </w:r>
      <w:proofErr w:type="spellEnd"/>
      <w:r w:rsidRPr="005A7EBF">
        <w:rPr>
          <w:rFonts w:eastAsia="Times New Roman" w:cs="Times New Roman"/>
          <w:b/>
          <w:bCs/>
          <w:szCs w:val="28"/>
        </w:rPr>
        <w:t xml:space="preserve"> saišu </w:t>
      </w:r>
      <w:proofErr w:type="spellStart"/>
      <w:r w:rsidRPr="005A7EBF">
        <w:rPr>
          <w:rFonts w:eastAsia="Times New Roman" w:cs="Times New Roman"/>
          <w:b/>
          <w:bCs/>
          <w:i/>
          <w:szCs w:val="28"/>
        </w:rPr>
        <w:t>Estlink</w:t>
      </w:r>
      <w:proofErr w:type="spellEnd"/>
      <w:r w:rsidRPr="005A7EBF">
        <w:rPr>
          <w:rFonts w:eastAsia="Times New Roman" w:cs="Times New Roman"/>
          <w:b/>
          <w:bCs/>
          <w:i/>
          <w:szCs w:val="28"/>
        </w:rPr>
        <w:t xml:space="preserve"> I</w:t>
      </w:r>
      <w:r w:rsidRPr="005A7EBF">
        <w:rPr>
          <w:rFonts w:eastAsia="Times New Roman" w:cs="Times New Roman"/>
          <w:b/>
          <w:bCs/>
          <w:szCs w:val="28"/>
        </w:rPr>
        <w:t xml:space="preserve"> un </w:t>
      </w:r>
      <w:proofErr w:type="spellStart"/>
      <w:r w:rsidRPr="005A7EBF">
        <w:rPr>
          <w:rFonts w:eastAsia="Times New Roman" w:cs="Times New Roman"/>
          <w:b/>
          <w:bCs/>
          <w:i/>
          <w:szCs w:val="28"/>
        </w:rPr>
        <w:t>Estlink</w:t>
      </w:r>
      <w:proofErr w:type="spellEnd"/>
      <w:r w:rsidRPr="005A7EBF">
        <w:rPr>
          <w:rFonts w:eastAsia="Times New Roman" w:cs="Times New Roman"/>
          <w:b/>
          <w:bCs/>
          <w:i/>
          <w:szCs w:val="28"/>
        </w:rPr>
        <w:t xml:space="preserve"> II</w:t>
      </w:r>
      <w:r w:rsidRPr="005A7EBF">
        <w:rPr>
          <w:rFonts w:eastAsia="Times New Roman" w:cs="Times New Roman"/>
          <w:b/>
          <w:bCs/>
          <w:szCs w:val="28"/>
        </w:rPr>
        <w:t xml:space="preserve"> slogošanas dati un jaudu plūsmas (2007.–2014.g., </w:t>
      </w:r>
      <w:proofErr w:type="spellStart"/>
      <w:r w:rsidRPr="005A7EBF">
        <w:rPr>
          <w:rFonts w:eastAsia="Times New Roman" w:cs="Times New Roman"/>
          <w:b/>
          <w:bCs/>
          <w:szCs w:val="28"/>
        </w:rPr>
        <w:t>GWh</w:t>
      </w:r>
      <w:proofErr w:type="spellEnd"/>
      <w:r w:rsidRPr="005A7EBF">
        <w:rPr>
          <w:rFonts w:eastAsia="Times New Roman" w:cs="Times New Roman"/>
          <w:b/>
          <w:bCs/>
          <w:szCs w:val="28"/>
        </w:rPr>
        <w:t>, %)</w:t>
      </w:r>
      <w:r w:rsidR="00761BD3" w:rsidRPr="005A7EBF">
        <w:rPr>
          <w:rStyle w:val="FootnoteReference"/>
          <w:rFonts w:eastAsia="Times New Roman" w:cs="Times New Roman"/>
          <w:b/>
          <w:bCs/>
          <w:sz w:val="28"/>
          <w:szCs w:val="28"/>
        </w:rPr>
        <w:footnoteReference w:id="14"/>
      </w:r>
    </w:p>
    <w:p w:rsidR="00091F3D" w:rsidRPr="005A7EBF" w:rsidRDefault="00091F3D" w:rsidP="005A7EBF">
      <w:pPr>
        <w:jc w:val="center"/>
        <w:rPr>
          <w:rFonts w:eastAsia="Times New Roman" w:cs="Times New Roman"/>
          <w:b/>
          <w:bCs/>
          <w:szCs w:val="28"/>
        </w:rPr>
      </w:pPr>
    </w:p>
    <w:tbl>
      <w:tblPr>
        <w:tblW w:w="0" w:type="auto"/>
        <w:tblLayout w:type="fixed"/>
        <w:tblLook w:val="04A0" w:firstRow="1" w:lastRow="0" w:firstColumn="1" w:lastColumn="0" w:noHBand="0" w:noVBand="1"/>
      </w:tblPr>
      <w:tblGrid>
        <w:gridCol w:w="1094"/>
        <w:gridCol w:w="1141"/>
        <w:gridCol w:w="1559"/>
        <w:gridCol w:w="1276"/>
        <w:gridCol w:w="1275"/>
        <w:gridCol w:w="1134"/>
        <w:gridCol w:w="851"/>
        <w:gridCol w:w="957"/>
      </w:tblGrid>
      <w:tr w:rsidR="007258BA" w:rsidRPr="007258BA" w:rsidTr="007258BA">
        <w:trPr>
          <w:trHeight w:val="900"/>
        </w:trPr>
        <w:tc>
          <w:tcPr>
            <w:tcW w:w="10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047F" w:rsidRPr="007258BA" w:rsidRDefault="00E2047F" w:rsidP="00E2047F">
            <w:pPr>
              <w:rPr>
                <w:rFonts w:eastAsia="Times New Roman" w:cs="Times New Roman"/>
                <w:b/>
                <w:color w:val="000000"/>
                <w:sz w:val="22"/>
                <w:lang w:eastAsia="lv-LV"/>
              </w:rPr>
            </w:pPr>
            <w:r w:rsidRPr="007258BA">
              <w:rPr>
                <w:rFonts w:eastAsia="Times New Roman" w:cs="Times New Roman"/>
                <w:b/>
                <w:color w:val="000000"/>
                <w:sz w:val="22"/>
                <w:lang w:eastAsia="lv-LV"/>
              </w:rPr>
              <w:t>Gads</w:t>
            </w:r>
          </w:p>
        </w:tc>
        <w:tc>
          <w:tcPr>
            <w:tcW w:w="1141" w:type="dxa"/>
            <w:tcBorders>
              <w:top w:val="single" w:sz="4" w:space="0" w:color="auto"/>
              <w:left w:val="nil"/>
              <w:bottom w:val="single" w:sz="4" w:space="0" w:color="auto"/>
              <w:right w:val="single" w:sz="4" w:space="0" w:color="auto"/>
            </w:tcBorders>
            <w:shd w:val="clear" w:color="auto" w:fill="auto"/>
            <w:noWrap/>
            <w:vAlign w:val="bottom"/>
            <w:hideMark/>
          </w:tcPr>
          <w:p w:rsidR="007258BA" w:rsidRDefault="00B67537" w:rsidP="00631DF0">
            <w:pPr>
              <w:rPr>
                <w:rFonts w:eastAsia="Times New Roman" w:cs="Times New Roman"/>
                <w:b/>
                <w:color w:val="000000"/>
                <w:sz w:val="22"/>
                <w:lang w:eastAsia="lv-LV"/>
              </w:rPr>
            </w:pPr>
            <w:r w:rsidRPr="007258BA">
              <w:rPr>
                <w:rFonts w:eastAsia="Times New Roman" w:cs="Times New Roman"/>
                <w:b/>
                <w:color w:val="000000"/>
                <w:sz w:val="22"/>
                <w:lang w:eastAsia="lv-LV"/>
              </w:rPr>
              <w:t>Plūsma</w:t>
            </w:r>
            <w:r w:rsidR="00E2047F" w:rsidRPr="007258BA">
              <w:rPr>
                <w:rFonts w:eastAsia="Times New Roman" w:cs="Times New Roman"/>
                <w:b/>
                <w:color w:val="000000"/>
                <w:sz w:val="22"/>
                <w:lang w:eastAsia="lv-LV"/>
              </w:rPr>
              <w:t xml:space="preserve"> EE</w:t>
            </w:r>
            <w:r w:rsidR="00631DF0" w:rsidRPr="007258BA">
              <w:rPr>
                <w:rFonts w:eastAsia="Times New Roman" w:cs="Times New Roman"/>
                <w:b/>
                <w:color w:val="000000"/>
                <w:sz w:val="22"/>
                <w:lang w:eastAsia="lv-LV"/>
              </w:rPr>
              <w:t>→</w:t>
            </w:r>
            <w:r w:rsidR="00E2047F" w:rsidRPr="007258BA">
              <w:rPr>
                <w:rFonts w:eastAsia="Times New Roman" w:cs="Times New Roman"/>
                <w:b/>
                <w:color w:val="000000"/>
                <w:sz w:val="22"/>
                <w:lang w:eastAsia="lv-LV"/>
              </w:rPr>
              <w:t xml:space="preserve">FI, </w:t>
            </w:r>
          </w:p>
          <w:p w:rsidR="00E2047F" w:rsidRPr="007258BA" w:rsidRDefault="00E2047F" w:rsidP="00631DF0">
            <w:pPr>
              <w:rPr>
                <w:rFonts w:eastAsia="Times New Roman" w:cs="Times New Roman"/>
                <w:b/>
                <w:color w:val="000000"/>
                <w:sz w:val="22"/>
                <w:lang w:eastAsia="lv-LV"/>
              </w:rPr>
            </w:pPr>
            <w:proofErr w:type="spellStart"/>
            <w:r w:rsidRPr="007258BA">
              <w:rPr>
                <w:rFonts w:eastAsia="Times New Roman" w:cs="Times New Roman"/>
                <w:b/>
                <w:color w:val="000000"/>
                <w:sz w:val="22"/>
                <w:lang w:eastAsia="lv-LV"/>
              </w:rPr>
              <w:t>GWh</w:t>
            </w:r>
            <w:proofErr w:type="spellEnd"/>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7258BA" w:rsidRDefault="00B67537" w:rsidP="00E2047F">
            <w:pPr>
              <w:rPr>
                <w:rFonts w:eastAsia="Times New Roman" w:cs="Times New Roman"/>
                <w:b/>
                <w:color w:val="000000"/>
                <w:sz w:val="22"/>
                <w:lang w:eastAsia="lv-LV"/>
              </w:rPr>
            </w:pPr>
            <w:r w:rsidRPr="007258BA">
              <w:rPr>
                <w:rFonts w:eastAsia="Times New Roman" w:cs="Times New Roman"/>
                <w:b/>
                <w:color w:val="000000"/>
                <w:sz w:val="22"/>
                <w:lang w:eastAsia="lv-LV"/>
              </w:rPr>
              <w:t>Plūsma</w:t>
            </w:r>
            <w:r w:rsidR="00631DF0" w:rsidRPr="007258BA">
              <w:rPr>
                <w:rFonts w:eastAsia="Times New Roman" w:cs="Times New Roman"/>
                <w:b/>
                <w:color w:val="000000"/>
                <w:sz w:val="22"/>
                <w:lang w:eastAsia="lv-LV"/>
              </w:rPr>
              <w:t xml:space="preserve"> FI→</w:t>
            </w:r>
            <w:r w:rsidR="00E2047F" w:rsidRPr="007258BA">
              <w:rPr>
                <w:rFonts w:eastAsia="Times New Roman" w:cs="Times New Roman"/>
                <w:b/>
                <w:color w:val="000000"/>
                <w:sz w:val="22"/>
                <w:lang w:eastAsia="lv-LV"/>
              </w:rPr>
              <w:t xml:space="preserve">EE, </w:t>
            </w:r>
          </w:p>
          <w:p w:rsidR="00E2047F" w:rsidRPr="007258BA" w:rsidRDefault="00E2047F" w:rsidP="00E2047F">
            <w:pPr>
              <w:rPr>
                <w:rFonts w:eastAsia="Times New Roman" w:cs="Times New Roman"/>
                <w:b/>
                <w:color w:val="000000"/>
                <w:sz w:val="22"/>
                <w:lang w:eastAsia="lv-LV"/>
              </w:rPr>
            </w:pPr>
            <w:proofErr w:type="spellStart"/>
            <w:r w:rsidRPr="007258BA">
              <w:rPr>
                <w:rFonts w:eastAsia="Times New Roman" w:cs="Times New Roman"/>
                <w:b/>
                <w:color w:val="000000"/>
                <w:sz w:val="22"/>
                <w:lang w:eastAsia="lv-LV"/>
              </w:rPr>
              <w:t>GWh</w:t>
            </w:r>
            <w:proofErr w:type="spellEnd"/>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7258BA" w:rsidRDefault="00E2047F" w:rsidP="00B67537">
            <w:pPr>
              <w:rPr>
                <w:rFonts w:eastAsia="Times New Roman" w:cs="Times New Roman"/>
                <w:b/>
                <w:color w:val="000000"/>
                <w:sz w:val="22"/>
                <w:lang w:eastAsia="lv-LV"/>
              </w:rPr>
            </w:pPr>
            <w:r w:rsidRPr="007258BA">
              <w:rPr>
                <w:rFonts w:eastAsia="Times New Roman" w:cs="Times New Roman"/>
                <w:b/>
                <w:color w:val="000000"/>
                <w:sz w:val="22"/>
                <w:lang w:eastAsia="lv-LV"/>
              </w:rPr>
              <w:t xml:space="preserve">ESTLINK </w:t>
            </w:r>
            <w:r w:rsidR="00B67537" w:rsidRPr="007258BA">
              <w:rPr>
                <w:rFonts w:eastAsia="Times New Roman" w:cs="Times New Roman"/>
                <w:b/>
                <w:color w:val="000000"/>
                <w:sz w:val="22"/>
                <w:lang w:eastAsia="lv-LV"/>
              </w:rPr>
              <w:t>noslodze</w:t>
            </w:r>
            <w:r w:rsidRPr="007258BA">
              <w:rPr>
                <w:rFonts w:eastAsia="Times New Roman" w:cs="Times New Roman"/>
                <w:b/>
                <w:color w:val="000000"/>
                <w:sz w:val="22"/>
                <w:lang w:eastAsia="lv-LV"/>
              </w:rPr>
              <w:t xml:space="preserve"> </w:t>
            </w:r>
          </w:p>
          <w:p w:rsidR="00E2047F" w:rsidRPr="007258BA" w:rsidRDefault="00E2047F" w:rsidP="00B67537">
            <w:pPr>
              <w:rPr>
                <w:rFonts w:eastAsia="Times New Roman" w:cs="Times New Roman"/>
                <w:b/>
                <w:color w:val="000000"/>
                <w:sz w:val="22"/>
                <w:lang w:eastAsia="lv-LV"/>
              </w:rPr>
            </w:pPr>
            <w:r w:rsidRPr="007258BA">
              <w:rPr>
                <w:rFonts w:eastAsia="Times New Roman" w:cs="Times New Roman"/>
                <w:b/>
                <w:color w:val="000000"/>
                <w:sz w:val="22"/>
                <w:lang w:eastAsia="lv-LV"/>
              </w:rPr>
              <w:t>EE</w:t>
            </w:r>
            <w:r w:rsidR="00631DF0" w:rsidRPr="007258BA">
              <w:rPr>
                <w:rFonts w:eastAsia="Times New Roman" w:cs="Times New Roman"/>
                <w:b/>
                <w:color w:val="000000"/>
                <w:sz w:val="22"/>
                <w:lang w:eastAsia="lv-LV"/>
              </w:rPr>
              <w:t>→</w:t>
            </w:r>
            <w:r w:rsidRPr="007258BA">
              <w:rPr>
                <w:rFonts w:eastAsia="Times New Roman" w:cs="Times New Roman"/>
                <w:b/>
                <w:color w:val="000000"/>
                <w:sz w:val="22"/>
                <w:lang w:eastAsia="lv-LV"/>
              </w:rPr>
              <w:t>FI</w:t>
            </w:r>
          </w:p>
        </w:tc>
        <w:tc>
          <w:tcPr>
            <w:tcW w:w="1275" w:type="dxa"/>
            <w:tcBorders>
              <w:top w:val="single" w:sz="4" w:space="0" w:color="auto"/>
              <w:left w:val="nil"/>
              <w:bottom w:val="single" w:sz="4" w:space="0" w:color="auto"/>
              <w:right w:val="single" w:sz="4" w:space="0" w:color="auto"/>
            </w:tcBorders>
            <w:shd w:val="clear" w:color="auto" w:fill="auto"/>
            <w:vAlign w:val="bottom"/>
            <w:hideMark/>
          </w:tcPr>
          <w:p w:rsidR="007258BA" w:rsidRDefault="00E2047F" w:rsidP="00B67537">
            <w:pPr>
              <w:rPr>
                <w:rFonts w:eastAsia="Times New Roman" w:cs="Times New Roman"/>
                <w:b/>
                <w:color w:val="000000"/>
                <w:sz w:val="22"/>
                <w:lang w:eastAsia="lv-LV"/>
              </w:rPr>
            </w:pPr>
            <w:r w:rsidRPr="007258BA">
              <w:rPr>
                <w:rFonts w:eastAsia="Times New Roman" w:cs="Times New Roman"/>
                <w:b/>
                <w:color w:val="000000"/>
                <w:sz w:val="22"/>
                <w:lang w:eastAsia="lv-LV"/>
              </w:rPr>
              <w:t xml:space="preserve">ESTLINK </w:t>
            </w:r>
            <w:r w:rsidR="00B67537" w:rsidRPr="007258BA">
              <w:rPr>
                <w:rFonts w:eastAsia="Times New Roman" w:cs="Times New Roman"/>
                <w:b/>
                <w:color w:val="000000"/>
                <w:sz w:val="22"/>
                <w:lang w:eastAsia="lv-LV"/>
              </w:rPr>
              <w:t>noslodze</w:t>
            </w:r>
            <w:r w:rsidRPr="007258BA">
              <w:rPr>
                <w:rFonts w:eastAsia="Times New Roman" w:cs="Times New Roman"/>
                <w:b/>
                <w:color w:val="000000"/>
                <w:sz w:val="22"/>
                <w:lang w:eastAsia="lv-LV"/>
              </w:rPr>
              <w:t xml:space="preserve"> </w:t>
            </w:r>
          </w:p>
          <w:p w:rsidR="00E2047F" w:rsidRPr="007258BA" w:rsidRDefault="00E2047F" w:rsidP="00B67537">
            <w:pPr>
              <w:rPr>
                <w:rFonts w:eastAsia="Times New Roman" w:cs="Times New Roman"/>
                <w:b/>
                <w:color w:val="000000"/>
                <w:sz w:val="22"/>
                <w:lang w:eastAsia="lv-LV"/>
              </w:rPr>
            </w:pPr>
            <w:r w:rsidRPr="007258BA">
              <w:rPr>
                <w:rFonts w:eastAsia="Times New Roman" w:cs="Times New Roman"/>
                <w:b/>
                <w:color w:val="000000"/>
                <w:sz w:val="22"/>
                <w:lang w:eastAsia="lv-LV"/>
              </w:rPr>
              <w:t>FI</w:t>
            </w:r>
            <w:r w:rsidR="00631DF0" w:rsidRPr="007258BA">
              <w:rPr>
                <w:rFonts w:eastAsia="Times New Roman" w:cs="Times New Roman"/>
                <w:b/>
                <w:color w:val="000000"/>
                <w:sz w:val="22"/>
                <w:lang w:eastAsia="lv-LV"/>
              </w:rPr>
              <w:t>→</w:t>
            </w:r>
            <w:r w:rsidRPr="007258BA">
              <w:rPr>
                <w:rFonts w:eastAsia="Times New Roman" w:cs="Times New Roman"/>
                <w:b/>
                <w:color w:val="000000"/>
                <w:sz w:val="22"/>
                <w:lang w:eastAsia="lv-LV"/>
              </w:rPr>
              <w:t>EE</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E2047F" w:rsidRPr="007258BA" w:rsidRDefault="00E2047F" w:rsidP="00E2047F">
            <w:pPr>
              <w:rPr>
                <w:rFonts w:eastAsia="Times New Roman" w:cs="Times New Roman"/>
                <w:b/>
                <w:color w:val="000000"/>
                <w:sz w:val="22"/>
                <w:lang w:eastAsia="lv-LV"/>
              </w:rPr>
            </w:pPr>
            <w:r w:rsidRPr="007258BA">
              <w:rPr>
                <w:rFonts w:eastAsia="Times New Roman" w:cs="Times New Roman"/>
                <w:b/>
                <w:color w:val="000000"/>
                <w:sz w:val="22"/>
                <w:lang w:eastAsia="lv-LV"/>
              </w:rPr>
              <w:t>FI un EE vienādas cenas %</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B67537" w:rsidRPr="007258BA" w:rsidRDefault="00E2047F" w:rsidP="00E2047F">
            <w:pPr>
              <w:rPr>
                <w:rFonts w:eastAsia="Times New Roman" w:cs="Times New Roman"/>
                <w:b/>
                <w:color w:val="000000"/>
                <w:sz w:val="22"/>
                <w:lang w:eastAsia="lv-LV"/>
              </w:rPr>
            </w:pPr>
            <w:r w:rsidRPr="007258BA">
              <w:rPr>
                <w:rFonts w:eastAsia="Times New Roman" w:cs="Times New Roman"/>
                <w:b/>
                <w:color w:val="000000"/>
                <w:sz w:val="22"/>
                <w:lang w:eastAsia="lv-LV"/>
              </w:rPr>
              <w:t xml:space="preserve">SPOT </w:t>
            </w:r>
            <w:r w:rsidR="00B67537" w:rsidRPr="007258BA">
              <w:rPr>
                <w:rFonts w:eastAsia="Times New Roman" w:cs="Times New Roman"/>
                <w:b/>
                <w:color w:val="000000"/>
                <w:sz w:val="22"/>
                <w:lang w:eastAsia="lv-LV"/>
              </w:rPr>
              <w:t xml:space="preserve">cena </w:t>
            </w:r>
          </w:p>
          <w:p w:rsidR="00E2047F" w:rsidRPr="007258BA" w:rsidRDefault="00E2047F" w:rsidP="00E2047F">
            <w:pPr>
              <w:rPr>
                <w:rFonts w:eastAsia="Times New Roman" w:cs="Times New Roman"/>
                <w:b/>
                <w:color w:val="000000"/>
                <w:sz w:val="22"/>
                <w:lang w:eastAsia="lv-LV"/>
              </w:rPr>
            </w:pPr>
            <w:r w:rsidRPr="007258BA">
              <w:rPr>
                <w:rFonts w:eastAsia="Times New Roman" w:cs="Times New Roman"/>
                <w:b/>
                <w:color w:val="000000"/>
                <w:sz w:val="22"/>
                <w:lang w:eastAsia="lv-LV"/>
              </w:rPr>
              <w:t>FI</w:t>
            </w:r>
          </w:p>
        </w:tc>
        <w:tc>
          <w:tcPr>
            <w:tcW w:w="957" w:type="dxa"/>
            <w:tcBorders>
              <w:top w:val="single" w:sz="4" w:space="0" w:color="auto"/>
              <w:left w:val="nil"/>
              <w:bottom w:val="single" w:sz="4" w:space="0" w:color="auto"/>
              <w:right w:val="single" w:sz="4" w:space="0" w:color="auto"/>
            </w:tcBorders>
            <w:shd w:val="clear" w:color="auto" w:fill="auto"/>
            <w:noWrap/>
            <w:vAlign w:val="bottom"/>
            <w:hideMark/>
          </w:tcPr>
          <w:p w:rsidR="00E2047F" w:rsidRPr="007258BA" w:rsidRDefault="00E2047F" w:rsidP="00E2047F">
            <w:pPr>
              <w:rPr>
                <w:rFonts w:eastAsia="Times New Roman" w:cs="Times New Roman"/>
                <w:b/>
                <w:color w:val="000000"/>
                <w:sz w:val="22"/>
                <w:lang w:eastAsia="lv-LV"/>
              </w:rPr>
            </w:pPr>
            <w:r w:rsidRPr="007258BA">
              <w:rPr>
                <w:rFonts w:eastAsia="Times New Roman" w:cs="Times New Roman"/>
                <w:b/>
                <w:color w:val="000000"/>
                <w:sz w:val="22"/>
                <w:lang w:eastAsia="lv-LV"/>
              </w:rPr>
              <w:t xml:space="preserve">SPOT </w:t>
            </w:r>
            <w:r w:rsidR="00B67537" w:rsidRPr="007258BA">
              <w:rPr>
                <w:rFonts w:eastAsia="Times New Roman" w:cs="Times New Roman"/>
                <w:b/>
                <w:color w:val="000000"/>
                <w:sz w:val="22"/>
                <w:lang w:eastAsia="lv-LV"/>
              </w:rPr>
              <w:t xml:space="preserve">cena </w:t>
            </w:r>
            <w:r w:rsidRPr="007258BA">
              <w:rPr>
                <w:rFonts w:eastAsia="Times New Roman" w:cs="Times New Roman"/>
                <w:b/>
                <w:color w:val="000000"/>
                <w:sz w:val="22"/>
                <w:lang w:eastAsia="lv-LV"/>
              </w:rPr>
              <w:t>EE</w:t>
            </w:r>
          </w:p>
        </w:tc>
      </w:tr>
      <w:tr w:rsidR="007258BA" w:rsidRPr="007258BA" w:rsidTr="007258BA">
        <w:trPr>
          <w:trHeight w:val="300"/>
        </w:trPr>
        <w:tc>
          <w:tcPr>
            <w:tcW w:w="1094" w:type="dxa"/>
            <w:tcBorders>
              <w:top w:val="nil"/>
              <w:left w:val="single" w:sz="4" w:space="0" w:color="auto"/>
              <w:bottom w:val="single" w:sz="4" w:space="0" w:color="auto"/>
              <w:right w:val="single" w:sz="4" w:space="0" w:color="auto"/>
            </w:tcBorders>
            <w:shd w:val="clear" w:color="auto" w:fill="auto"/>
            <w:noWrap/>
            <w:vAlign w:val="bottom"/>
            <w:hideMark/>
          </w:tcPr>
          <w:p w:rsidR="00E2047F" w:rsidRPr="007258BA" w:rsidRDefault="00E2047F" w:rsidP="00E2047F">
            <w:pPr>
              <w:jc w:val="right"/>
              <w:rPr>
                <w:rFonts w:eastAsia="Times New Roman" w:cs="Times New Roman"/>
                <w:b/>
                <w:color w:val="000000"/>
                <w:sz w:val="22"/>
                <w:lang w:eastAsia="lv-LV"/>
              </w:rPr>
            </w:pPr>
            <w:r w:rsidRPr="007258BA">
              <w:rPr>
                <w:rFonts w:eastAsia="Times New Roman" w:cs="Times New Roman"/>
                <w:b/>
                <w:color w:val="000000"/>
                <w:sz w:val="22"/>
                <w:lang w:eastAsia="lv-LV"/>
              </w:rPr>
              <w:t>2007</w:t>
            </w:r>
          </w:p>
        </w:tc>
        <w:tc>
          <w:tcPr>
            <w:tcW w:w="1141" w:type="dxa"/>
            <w:tcBorders>
              <w:top w:val="nil"/>
              <w:left w:val="nil"/>
              <w:bottom w:val="single" w:sz="4" w:space="0" w:color="auto"/>
              <w:right w:val="single" w:sz="4" w:space="0" w:color="auto"/>
            </w:tcBorders>
            <w:shd w:val="clear" w:color="auto" w:fill="auto"/>
            <w:noWrap/>
            <w:vAlign w:val="bottom"/>
            <w:hideMark/>
          </w:tcPr>
          <w:p w:rsidR="00E2047F" w:rsidRPr="007258BA" w:rsidRDefault="00E2047F" w:rsidP="00E2047F">
            <w:pPr>
              <w:rPr>
                <w:rFonts w:eastAsia="Times New Roman" w:cs="Times New Roman"/>
                <w:color w:val="000000"/>
                <w:sz w:val="22"/>
                <w:lang w:eastAsia="lv-LV"/>
              </w:rPr>
            </w:pPr>
            <w:r w:rsidRPr="007258BA">
              <w:rPr>
                <w:rFonts w:eastAsia="Times New Roman" w:cs="Times New Roman"/>
                <w:color w:val="000000"/>
                <w:sz w:val="22"/>
                <w:lang w:eastAsia="lv-LV"/>
              </w:rPr>
              <w:t xml:space="preserve">                      228,80 </w:t>
            </w:r>
          </w:p>
        </w:tc>
        <w:tc>
          <w:tcPr>
            <w:tcW w:w="1559" w:type="dxa"/>
            <w:tcBorders>
              <w:top w:val="nil"/>
              <w:left w:val="nil"/>
              <w:bottom w:val="single" w:sz="4" w:space="0" w:color="auto"/>
              <w:right w:val="single" w:sz="4" w:space="0" w:color="auto"/>
            </w:tcBorders>
            <w:shd w:val="clear" w:color="auto" w:fill="auto"/>
            <w:noWrap/>
            <w:vAlign w:val="bottom"/>
            <w:hideMark/>
          </w:tcPr>
          <w:p w:rsidR="00E2047F" w:rsidRPr="007258BA" w:rsidRDefault="007258BA" w:rsidP="007258BA">
            <w:pPr>
              <w:jc w:val="right"/>
              <w:rPr>
                <w:rFonts w:eastAsia="Times New Roman" w:cs="Times New Roman"/>
                <w:color w:val="000000"/>
                <w:sz w:val="22"/>
                <w:lang w:eastAsia="lv-LV"/>
              </w:rPr>
            </w:pPr>
            <w:r>
              <w:rPr>
                <w:rFonts w:eastAsia="Times New Roman" w:cs="Times New Roman"/>
                <w:color w:val="000000"/>
                <w:sz w:val="22"/>
                <w:lang w:eastAsia="lv-LV"/>
              </w:rPr>
              <w:t xml:space="preserve">-   </w:t>
            </w:r>
            <w:r w:rsidR="00E2047F" w:rsidRPr="007258BA">
              <w:rPr>
                <w:rFonts w:eastAsia="Times New Roman" w:cs="Times New Roman"/>
                <w:color w:val="000000"/>
                <w:sz w:val="22"/>
                <w:lang w:eastAsia="lv-LV"/>
              </w:rPr>
              <w:t xml:space="preserve">2,09 </w:t>
            </w:r>
          </w:p>
        </w:tc>
        <w:tc>
          <w:tcPr>
            <w:tcW w:w="1276" w:type="dxa"/>
            <w:tcBorders>
              <w:top w:val="nil"/>
              <w:left w:val="nil"/>
              <w:bottom w:val="single" w:sz="4" w:space="0" w:color="auto"/>
              <w:right w:val="single" w:sz="4" w:space="0" w:color="auto"/>
            </w:tcBorders>
            <w:shd w:val="clear" w:color="auto" w:fill="auto"/>
            <w:noWrap/>
            <w:vAlign w:val="bottom"/>
            <w:hideMark/>
          </w:tcPr>
          <w:p w:rsidR="00E2047F" w:rsidRPr="007258BA" w:rsidRDefault="00E2047F" w:rsidP="007258BA">
            <w:pPr>
              <w:jc w:val="right"/>
              <w:rPr>
                <w:rFonts w:eastAsia="Times New Roman" w:cs="Times New Roman"/>
                <w:color w:val="000000"/>
                <w:sz w:val="22"/>
                <w:lang w:eastAsia="lv-LV"/>
              </w:rPr>
            </w:pPr>
            <w:r w:rsidRPr="007258BA">
              <w:rPr>
                <w:rFonts w:eastAsia="Times New Roman" w:cs="Times New Roman"/>
                <w:color w:val="000000"/>
                <w:sz w:val="22"/>
                <w:lang w:eastAsia="lv-LV"/>
              </w:rPr>
              <w:t>68%</w:t>
            </w:r>
          </w:p>
        </w:tc>
        <w:tc>
          <w:tcPr>
            <w:tcW w:w="1275" w:type="dxa"/>
            <w:tcBorders>
              <w:top w:val="nil"/>
              <w:left w:val="nil"/>
              <w:bottom w:val="single" w:sz="4" w:space="0" w:color="auto"/>
              <w:right w:val="single" w:sz="4" w:space="0" w:color="auto"/>
            </w:tcBorders>
            <w:shd w:val="clear" w:color="auto" w:fill="auto"/>
            <w:noWrap/>
            <w:vAlign w:val="bottom"/>
            <w:hideMark/>
          </w:tcPr>
          <w:p w:rsidR="00E2047F" w:rsidRPr="007258BA" w:rsidRDefault="00E2047F" w:rsidP="007258BA">
            <w:pPr>
              <w:jc w:val="right"/>
              <w:rPr>
                <w:rFonts w:eastAsia="Times New Roman" w:cs="Times New Roman"/>
                <w:color w:val="000000"/>
                <w:sz w:val="22"/>
                <w:lang w:eastAsia="lv-LV"/>
              </w:rPr>
            </w:pPr>
            <w:r w:rsidRPr="007258BA">
              <w:rPr>
                <w:rFonts w:eastAsia="Times New Roman" w:cs="Times New Roman"/>
                <w:color w:val="000000"/>
                <w:sz w:val="22"/>
                <w:lang w:eastAsia="lv-LV"/>
              </w:rPr>
              <w:t>7%</w:t>
            </w:r>
          </w:p>
        </w:tc>
        <w:tc>
          <w:tcPr>
            <w:tcW w:w="1134" w:type="dxa"/>
            <w:tcBorders>
              <w:top w:val="nil"/>
              <w:left w:val="nil"/>
              <w:bottom w:val="single" w:sz="4" w:space="0" w:color="auto"/>
              <w:right w:val="single" w:sz="4" w:space="0" w:color="auto"/>
            </w:tcBorders>
            <w:shd w:val="clear" w:color="auto" w:fill="auto"/>
            <w:noWrap/>
            <w:vAlign w:val="bottom"/>
            <w:hideMark/>
          </w:tcPr>
          <w:p w:rsidR="00E2047F" w:rsidRPr="007258BA" w:rsidRDefault="00E2047F" w:rsidP="007258BA">
            <w:pPr>
              <w:jc w:val="right"/>
              <w:rPr>
                <w:rFonts w:eastAsia="Times New Roman" w:cs="Times New Roman"/>
                <w:color w:val="000000"/>
                <w:sz w:val="22"/>
                <w:lang w:eastAsia="lv-LV"/>
              </w:rPr>
            </w:pPr>
            <w:r w:rsidRPr="007258BA">
              <w:rPr>
                <w:rFonts w:eastAsia="Times New Roman" w:cs="Times New Roman"/>
                <w:color w:val="000000"/>
                <w:sz w:val="22"/>
                <w:lang w:eastAsia="lv-LV"/>
              </w:rPr>
              <w:t> </w:t>
            </w:r>
          </w:p>
        </w:tc>
        <w:tc>
          <w:tcPr>
            <w:tcW w:w="851" w:type="dxa"/>
            <w:tcBorders>
              <w:top w:val="nil"/>
              <w:left w:val="nil"/>
              <w:bottom w:val="single" w:sz="4" w:space="0" w:color="auto"/>
              <w:right w:val="single" w:sz="4" w:space="0" w:color="auto"/>
            </w:tcBorders>
            <w:shd w:val="clear" w:color="auto" w:fill="auto"/>
            <w:noWrap/>
            <w:vAlign w:val="bottom"/>
            <w:hideMark/>
          </w:tcPr>
          <w:p w:rsidR="00E2047F" w:rsidRPr="007258BA" w:rsidRDefault="00E2047F" w:rsidP="007258BA">
            <w:pPr>
              <w:jc w:val="right"/>
              <w:rPr>
                <w:rFonts w:eastAsia="Times New Roman" w:cs="Times New Roman"/>
                <w:color w:val="000000"/>
                <w:sz w:val="22"/>
                <w:lang w:eastAsia="lv-LV"/>
              </w:rPr>
            </w:pPr>
            <w:r w:rsidRPr="007258BA">
              <w:rPr>
                <w:rFonts w:eastAsia="Times New Roman" w:cs="Times New Roman"/>
                <w:color w:val="000000"/>
                <w:sz w:val="22"/>
                <w:lang w:eastAsia="lv-LV"/>
              </w:rPr>
              <w:t xml:space="preserve">        30,00 </w:t>
            </w:r>
          </w:p>
        </w:tc>
        <w:tc>
          <w:tcPr>
            <w:tcW w:w="957" w:type="dxa"/>
            <w:tcBorders>
              <w:top w:val="nil"/>
              <w:left w:val="nil"/>
              <w:bottom w:val="single" w:sz="4" w:space="0" w:color="auto"/>
              <w:right w:val="single" w:sz="4" w:space="0" w:color="auto"/>
            </w:tcBorders>
            <w:shd w:val="clear" w:color="auto" w:fill="auto"/>
            <w:noWrap/>
            <w:vAlign w:val="bottom"/>
            <w:hideMark/>
          </w:tcPr>
          <w:p w:rsidR="00E2047F" w:rsidRPr="007258BA" w:rsidRDefault="00E2047F" w:rsidP="007258BA">
            <w:pPr>
              <w:jc w:val="right"/>
              <w:rPr>
                <w:rFonts w:eastAsia="Times New Roman" w:cs="Times New Roman"/>
                <w:color w:val="000000"/>
                <w:sz w:val="22"/>
                <w:lang w:eastAsia="lv-LV"/>
              </w:rPr>
            </w:pPr>
            <w:r w:rsidRPr="007258BA">
              <w:rPr>
                <w:rFonts w:eastAsia="Times New Roman" w:cs="Times New Roman"/>
                <w:color w:val="000000"/>
                <w:sz w:val="22"/>
                <w:lang w:eastAsia="lv-LV"/>
              </w:rPr>
              <w:t> </w:t>
            </w:r>
          </w:p>
        </w:tc>
      </w:tr>
      <w:tr w:rsidR="007258BA" w:rsidRPr="007258BA" w:rsidTr="007258BA">
        <w:trPr>
          <w:trHeight w:val="300"/>
        </w:trPr>
        <w:tc>
          <w:tcPr>
            <w:tcW w:w="1094" w:type="dxa"/>
            <w:tcBorders>
              <w:top w:val="nil"/>
              <w:left w:val="single" w:sz="4" w:space="0" w:color="auto"/>
              <w:bottom w:val="single" w:sz="4" w:space="0" w:color="auto"/>
              <w:right w:val="single" w:sz="4" w:space="0" w:color="auto"/>
            </w:tcBorders>
            <w:shd w:val="clear" w:color="auto" w:fill="auto"/>
            <w:noWrap/>
            <w:vAlign w:val="bottom"/>
            <w:hideMark/>
          </w:tcPr>
          <w:p w:rsidR="00E2047F" w:rsidRPr="007258BA" w:rsidRDefault="00E2047F" w:rsidP="00E2047F">
            <w:pPr>
              <w:jc w:val="right"/>
              <w:rPr>
                <w:rFonts w:eastAsia="Times New Roman" w:cs="Times New Roman"/>
                <w:b/>
                <w:color w:val="000000"/>
                <w:sz w:val="22"/>
                <w:lang w:eastAsia="lv-LV"/>
              </w:rPr>
            </w:pPr>
            <w:r w:rsidRPr="007258BA">
              <w:rPr>
                <w:rFonts w:eastAsia="Times New Roman" w:cs="Times New Roman"/>
                <w:b/>
                <w:color w:val="000000"/>
                <w:sz w:val="22"/>
                <w:lang w:eastAsia="lv-LV"/>
              </w:rPr>
              <w:t>2008</w:t>
            </w:r>
          </w:p>
        </w:tc>
        <w:tc>
          <w:tcPr>
            <w:tcW w:w="1141" w:type="dxa"/>
            <w:tcBorders>
              <w:top w:val="nil"/>
              <w:left w:val="nil"/>
              <w:bottom w:val="single" w:sz="4" w:space="0" w:color="auto"/>
              <w:right w:val="single" w:sz="4" w:space="0" w:color="auto"/>
            </w:tcBorders>
            <w:shd w:val="clear" w:color="auto" w:fill="auto"/>
            <w:noWrap/>
            <w:vAlign w:val="bottom"/>
            <w:hideMark/>
          </w:tcPr>
          <w:p w:rsidR="00E2047F" w:rsidRPr="007258BA" w:rsidRDefault="00E2047F" w:rsidP="00E2047F">
            <w:pPr>
              <w:rPr>
                <w:rFonts w:eastAsia="Times New Roman" w:cs="Times New Roman"/>
                <w:color w:val="000000"/>
                <w:sz w:val="22"/>
                <w:lang w:eastAsia="lv-LV"/>
              </w:rPr>
            </w:pPr>
            <w:r w:rsidRPr="007258BA">
              <w:rPr>
                <w:rFonts w:eastAsia="Times New Roman" w:cs="Times New Roman"/>
                <w:color w:val="000000"/>
                <w:sz w:val="22"/>
                <w:lang w:eastAsia="lv-LV"/>
              </w:rPr>
              <w:t xml:space="preserve">                      261,46 </w:t>
            </w:r>
          </w:p>
        </w:tc>
        <w:tc>
          <w:tcPr>
            <w:tcW w:w="1559" w:type="dxa"/>
            <w:tcBorders>
              <w:top w:val="nil"/>
              <w:left w:val="nil"/>
              <w:bottom w:val="single" w:sz="4" w:space="0" w:color="auto"/>
              <w:right w:val="single" w:sz="4" w:space="0" w:color="auto"/>
            </w:tcBorders>
            <w:shd w:val="clear" w:color="auto" w:fill="auto"/>
            <w:noWrap/>
            <w:vAlign w:val="bottom"/>
            <w:hideMark/>
          </w:tcPr>
          <w:p w:rsidR="00E2047F" w:rsidRPr="007258BA" w:rsidRDefault="00E2047F" w:rsidP="00562BCC">
            <w:pPr>
              <w:pStyle w:val="ListParagraph"/>
              <w:numPr>
                <w:ilvl w:val="0"/>
                <w:numId w:val="9"/>
              </w:numPr>
              <w:jc w:val="right"/>
              <w:rPr>
                <w:rFonts w:eastAsia="Times New Roman" w:cs="Times New Roman"/>
                <w:color w:val="000000"/>
                <w:sz w:val="22"/>
                <w:lang w:eastAsia="lv-LV"/>
              </w:rPr>
            </w:pPr>
            <w:r w:rsidRPr="007258BA">
              <w:rPr>
                <w:rFonts w:eastAsia="Times New Roman" w:cs="Times New Roman"/>
                <w:color w:val="000000"/>
                <w:sz w:val="22"/>
                <w:lang w:eastAsia="lv-LV"/>
              </w:rPr>
              <w:t xml:space="preserve">1,02 </w:t>
            </w:r>
          </w:p>
        </w:tc>
        <w:tc>
          <w:tcPr>
            <w:tcW w:w="1276" w:type="dxa"/>
            <w:tcBorders>
              <w:top w:val="nil"/>
              <w:left w:val="nil"/>
              <w:bottom w:val="single" w:sz="4" w:space="0" w:color="auto"/>
              <w:right w:val="single" w:sz="4" w:space="0" w:color="auto"/>
            </w:tcBorders>
            <w:shd w:val="clear" w:color="auto" w:fill="auto"/>
            <w:noWrap/>
            <w:vAlign w:val="bottom"/>
            <w:hideMark/>
          </w:tcPr>
          <w:p w:rsidR="00E2047F" w:rsidRPr="007258BA" w:rsidRDefault="00E2047F" w:rsidP="007258BA">
            <w:pPr>
              <w:jc w:val="right"/>
              <w:rPr>
                <w:rFonts w:eastAsia="Times New Roman" w:cs="Times New Roman"/>
                <w:color w:val="000000"/>
                <w:sz w:val="22"/>
                <w:lang w:eastAsia="lv-LV"/>
              </w:rPr>
            </w:pPr>
            <w:r w:rsidRPr="007258BA">
              <w:rPr>
                <w:rFonts w:eastAsia="Times New Roman" w:cs="Times New Roman"/>
                <w:color w:val="000000"/>
                <w:sz w:val="22"/>
                <w:lang w:eastAsia="lv-LV"/>
              </w:rPr>
              <w:t>77%</w:t>
            </w:r>
          </w:p>
        </w:tc>
        <w:tc>
          <w:tcPr>
            <w:tcW w:w="1275" w:type="dxa"/>
            <w:tcBorders>
              <w:top w:val="nil"/>
              <w:left w:val="nil"/>
              <w:bottom w:val="single" w:sz="4" w:space="0" w:color="auto"/>
              <w:right w:val="single" w:sz="4" w:space="0" w:color="auto"/>
            </w:tcBorders>
            <w:shd w:val="clear" w:color="auto" w:fill="auto"/>
            <w:noWrap/>
            <w:vAlign w:val="bottom"/>
            <w:hideMark/>
          </w:tcPr>
          <w:p w:rsidR="00E2047F" w:rsidRPr="007258BA" w:rsidRDefault="00E2047F" w:rsidP="007258BA">
            <w:pPr>
              <w:jc w:val="right"/>
              <w:rPr>
                <w:rFonts w:eastAsia="Times New Roman" w:cs="Times New Roman"/>
                <w:color w:val="000000"/>
                <w:sz w:val="22"/>
                <w:lang w:eastAsia="lv-LV"/>
              </w:rPr>
            </w:pPr>
            <w:r w:rsidRPr="007258BA">
              <w:rPr>
                <w:rFonts w:eastAsia="Times New Roman" w:cs="Times New Roman"/>
                <w:color w:val="000000"/>
                <w:sz w:val="22"/>
                <w:lang w:eastAsia="lv-LV"/>
              </w:rPr>
              <w:t>6%</w:t>
            </w:r>
          </w:p>
        </w:tc>
        <w:tc>
          <w:tcPr>
            <w:tcW w:w="1134" w:type="dxa"/>
            <w:tcBorders>
              <w:top w:val="nil"/>
              <w:left w:val="nil"/>
              <w:bottom w:val="single" w:sz="4" w:space="0" w:color="auto"/>
              <w:right w:val="single" w:sz="4" w:space="0" w:color="auto"/>
            </w:tcBorders>
            <w:shd w:val="clear" w:color="auto" w:fill="auto"/>
            <w:noWrap/>
            <w:vAlign w:val="bottom"/>
            <w:hideMark/>
          </w:tcPr>
          <w:p w:rsidR="00E2047F" w:rsidRPr="007258BA" w:rsidRDefault="00E2047F" w:rsidP="007258BA">
            <w:pPr>
              <w:jc w:val="right"/>
              <w:rPr>
                <w:rFonts w:eastAsia="Times New Roman" w:cs="Times New Roman"/>
                <w:color w:val="000000"/>
                <w:sz w:val="22"/>
                <w:lang w:eastAsia="lv-LV"/>
              </w:rPr>
            </w:pPr>
            <w:r w:rsidRPr="007258BA">
              <w:rPr>
                <w:rFonts w:eastAsia="Times New Roman" w:cs="Times New Roman"/>
                <w:color w:val="000000"/>
                <w:sz w:val="22"/>
                <w:lang w:eastAsia="lv-LV"/>
              </w:rPr>
              <w:t> </w:t>
            </w:r>
          </w:p>
        </w:tc>
        <w:tc>
          <w:tcPr>
            <w:tcW w:w="851" w:type="dxa"/>
            <w:tcBorders>
              <w:top w:val="nil"/>
              <w:left w:val="nil"/>
              <w:bottom w:val="single" w:sz="4" w:space="0" w:color="auto"/>
              <w:right w:val="single" w:sz="4" w:space="0" w:color="auto"/>
            </w:tcBorders>
            <w:shd w:val="clear" w:color="auto" w:fill="auto"/>
            <w:noWrap/>
            <w:vAlign w:val="bottom"/>
            <w:hideMark/>
          </w:tcPr>
          <w:p w:rsidR="00E2047F" w:rsidRPr="007258BA" w:rsidRDefault="00E2047F" w:rsidP="007258BA">
            <w:pPr>
              <w:jc w:val="right"/>
              <w:rPr>
                <w:rFonts w:eastAsia="Times New Roman" w:cs="Times New Roman"/>
                <w:color w:val="000000"/>
                <w:sz w:val="22"/>
                <w:lang w:eastAsia="lv-LV"/>
              </w:rPr>
            </w:pPr>
            <w:r w:rsidRPr="007258BA">
              <w:rPr>
                <w:rFonts w:eastAsia="Times New Roman" w:cs="Times New Roman"/>
                <w:color w:val="000000"/>
                <w:sz w:val="22"/>
                <w:lang w:eastAsia="lv-LV"/>
              </w:rPr>
              <w:t xml:space="preserve">        51,02 </w:t>
            </w:r>
          </w:p>
        </w:tc>
        <w:tc>
          <w:tcPr>
            <w:tcW w:w="957" w:type="dxa"/>
            <w:tcBorders>
              <w:top w:val="nil"/>
              <w:left w:val="nil"/>
              <w:bottom w:val="single" w:sz="4" w:space="0" w:color="auto"/>
              <w:right w:val="single" w:sz="4" w:space="0" w:color="auto"/>
            </w:tcBorders>
            <w:shd w:val="clear" w:color="auto" w:fill="auto"/>
            <w:noWrap/>
            <w:vAlign w:val="bottom"/>
            <w:hideMark/>
          </w:tcPr>
          <w:p w:rsidR="00E2047F" w:rsidRPr="007258BA" w:rsidRDefault="00E2047F" w:rsidP="007258BA">
            <w:pPr>
              <w:jc w:val="right"/>
              <w:rPr>
                <w:rFonts w:eastAsia="Times New Roman" w:cs="Times New Roman"/>
                <w:color w:val="000000"/>
                <w:sz w:val="22"/>
                <w:lang w:eastAsia="lv-LV"/>
              </w:rPr>
            </w:pPr>
            <w:r w:rsidRPr="007258BA">
              <w:rPr>
                <w:rFonts w:eastAsia="Times New Roman" w:cs="Times New Roman"/>
                <w:color w:val="000000"/>
                <w:sz w:val="22"/>
                <w:lang w:eastAsia="lv-LV"/>
              </w:rPr>
              <w:t> </w:t>
            </w:r>
          </w:p>
        </w:tc>
      </w:tr>
      <w:tr w:rsidR="007258BA" w:rsidRPr="007258BA" w:rsidTr="007258BA">
        <w:trPr>
          <w:trHeight w:val="300"/>
        </w:trPr>
        <w:tc>
          <w:tcPr>
            <w:tcW w:w="1094" w:type="dxa"/>
            <w:tcBorders>
              <w:top w:val="nil"/>
              <w:left w:val="single" w:sz="4" w:space="0" w:color="auto"/>
              <w:bottom w:val="single" w:sz="4" w:space="0" w:color="auto"/>
              <w:right w:val="single" w:sz="4" w:space="0" w:color="auto"/>
            </w:tcBorders>
            <w:shd w:val="clear" w:color="auto" w:fill="auto"/>
            <w:noWrap/>
            <w:vAlign w:val="bottom"/>
            <w:hideMark/>
          </w:tcPr>
          <w:p w:rsidR="00E2047F" w:rsidRPr="007258BA" w:rsidRDefault="00E2047F" w:rsidP="00E2047F">
            <w:pPr>
              <w:jc w:val="right"/>
              <w:rPr>
                <w:rFonts w:eastAsia="Times New Roman" w:cs="Times New Roman"/>
                <w:b/>
                <w:color w:val="000000"/>
                <w:sz w:val="22"/>
                <w:lang w:eastAsia="lv-LV"/>
              </w:rPr>
            </w:pPr>
            <w:r w:rsidRPr="007258BA">
              <w:rPr>
                <w:rFonts w:eastAsia="Times New Roman" w:cs="Times New Roman"/>
                <w:b/>
                <w:color w:val="000000"/>
                <w:sz w:val="22"/>
                <w:lang w:eastAsia="lv-LV"/>
              </w:rPr>
              <w:t>2009</w:t>
            </w:r>
          </w:p>
        </w:tc>
        <w:tc>
          <w:tcPr>
            <w:tcW w:w="1141" w:type="dxa"/>
            <w:tcBorders>
              <w:top w:val="nil"/>
              <w:left w:val="nil"/>
              <w:bottom w:val="single" w:sz="4" w:space="0" w:color="auto"/>
              <w:right w:val="single" w:sz="4" w:space="0" w:color="auto"/>
            </w:tcBorders>
            <w:shd w:val="clear" w:color="auto" w:fill="auto"/>
            <w:noWrap/>
            <w:vAlign w:val="bottom"/>
            <w:hideMark/>
          </w:tcPr>
          <w:p w:rsidR="00E2047F" w:rsidRPr="007258BA" w:rsidRDefault="00E2047F" w:rsidP="00E2047F">
            <w:pPr>
              <w:rPr>
                <w:rFonts w:eastAsia="Times New Roman" w:cs="Times New Roman"/>
                <w:color w:val="000000"/>
                <w:sz w:val="22"/>
                <w:lang w:eastAsia="lv-LV"/>
              </w:rPr>
            </w:pPr>
            <w:r w:rsidRPr="007258BA">
              <w:rPr>
                <w:rFonts w:eastAsia="Times New Roman" w:cs="Times New Roman"/>
                <w:color w:val="000000"/>
                <w:sz w:val="22"/>
                <w:lang w:eastAsia="lv-LV"/>
              </w:rPr>
              <w:t xml:space="preserve">                      207,97 </w:t>
            </w:r>
          </w:p>
        </w:tc>
        <w:tc>
          <w:tcPr>
            <w:tcW w:w="1559" w:type="dxa"/>
            <w:tcBorders>
              <w:top w:val="nil"/>
              <w:left w:val="nil"/>
              <w:bottom w:val="single" w:sz="4" w:space="0" w:color="auto"/>
              <w:right w:val="single" w:sz="4" w:space="0" w:color="auto"/>
            </w:tcBorders>
            <w:shd w:val="clear" w:color="auto" w:fill="auto"/>
            <w:noWrap/>
            <w:vAlign w:val="bottom"/>
            <w:hideMark/>
          </w:tcPr>
          <w:p w:rsidR="00E2047F" w:rsidRPr="007258BA" w:rsidRDefault="007258BA" w:rsidP="007258BA">
            <w:pPr>
              <w:jc w:val="right"/>
              <w:rPr>
                <w:rFonts w:eastAsia="Times New Roman" w:cs="Times New Roman"/>
                <w:color w:val="000000"/>
                <w:sz w:val="22"/>
                <w:lang w:eastAsia="lv-LV"/>
              </w:rPr>
            </w:pPr>
            <w:r>
              <w:rPr>
                <w:rFonts w:eastAsia="Times New Roman" w:cs="Times New Roman"/>
                <w:color w:val="000000"/>
                <w:sz w:val="22"/>
                <w:lang w:eastAsia="lv-LV"/>
              </w:rPr>
              <w:t xml:space="preserve">-     </w:t>
            </w:r>
            <w:r w:rsidR="00E2047F" w:rsidRPr="007258BA">
              <w:rPr>
                <w:rFonts w:eastAsia="Times New Roman" w:cs="Times New Roman"/>
                <w:color w:val="000000"/>
                <w:sz w:val="22"/>
                <w:lang w:eastAsia="lv-LV"/>
              </w:rPr>
              <w:t xml:space="preserve">9,32 </w:t>
            </w:r>
          </w:p>
        </w:tc>
        <w:tc>
          <w:tcPr>
            <w:tcW w:w="1276" w:type="dxa"/>
            <w:tcBorders>
              <w:top w:val="nil"/>
              <w:left w:val="nil"/>
              <w:bottom w:val="single" w:sz="4" w:space="0" w:color="auto"/>
              <w:right w:val="single" w:sz="4" w:space="0" w:color="auto"/>
            </w:tcBorders>
            <w:shd w:val="clear" w:color="auto" w:fill="auto"/>
            <w:noWrap/>
            <w:vAlign w:val="bottom"/>
            <w:hideMark/>
          </w:tcPr>
          <w:p w:rsidR="00E2047F" w:rsidRPr="007258BA" w:rsidRDefault="00E2047F" w:rsidP="007258BA">
            <w:pPr>
              <w:jc w:val="right"/>
              <w:rPr>
                <w:rFonts w:eastAsia="Times New Roman" w:cs="Times New Roman"/>
                <w:color w:val="000000"/>
                <w:sz w:val="22"/>
                <w:lang w:eastAsia="lv-LV"/>
              </w:rPr>
            </w:pPr>
            <w:r w:rsidRPr="007258BA">
              <w:rPr>
                <w:rFonts w:eastAsia="Times New Roman" w:cs="Times New Roman"/>
                <w:color w:val="000000"/>
                <w:sz w:val="22"/>
                <w:lang w:eastAsia="lv-LV"/>
              </w:rPr>
              <w:t>60%</w:t>
            </w:r>
          </w:p>
        </w:tc>
        <w:tc>
          <w:tcPr>
            <w:tcW w:w="1275" w:type="dxa"/>
            <w:tcBorders>
              <w:top w:val="nil"/>
              <w:left w:val="nil"/>
              <w:bottom w:val="single" w:sz="4" w:space="0" w:color="auto"/>
              <w:right w:val="single" w:sz="4" w:space="0" w:color="auto"/>
            </w:tcBorders>
            <w:shd w:val="clear" w:color="auto" w:fill="auto"/>
            <w:noWrap/>
            <w:vAlign w:val="bottom"/>
            <w:hideMark/>
          </w:tcPr>
          <w:p w:rsidR="00E2047F" w:rsidRPr="007258BA" w:rsidRDefault="00E2047F" w:rsidP="007258BA">
            <w:pPr>
              <w:jc w:val="right"/>
              <w:rPr>
                <w:rFonts w:eastAsia="Times New Roman" w:cs="Times New Roman"/>
                <w:color w:val="000000"/>
                <w:sz w:val="22"/>
                <w:lang w:eastAsia="lv-LV"/>
              </w:rPr>
            </w:pPr>
            <w:r w:rsidRPr="007258BA">
              <w:rPr>
                <w:rFonts w:eastAsia="Times New Roman" w:cs="Times New Roman"/>
                <w:color w:val="000000"/>
                <w:sz w:val="22"/>
                <w:lang w:eastAsia="lv-LV"/>
              </w:rPr>
              <w:t>9%</w:t>
            </w:r>
          </w:p>
        </w:tc>
        <w:tc>
          <w:tcPr>
            <w:tcW w:w="1134" w:type="dxa"/>
            <w:tcBorders>
              <w:top w:val="nil"/>
              <w:left w:val="nil"/>
              <w:bottom w:val="single" w:sz="4" w:space="0" w:color="auto"/>
              <w:right w:val="single" w:sz="4" w:space="0" w:color="auto"/>
            </w:tcBorders>
            <w:shd w:val="clear" w:color="auto" w:fill="auto"/>
            <w:noWrap/>
            <w:vAlign w:val="bottom"/>
            <w:hideMark/>
          </w:tcPr>
          <w:p w:rsidR="00E2047F" w:rsidRPr="007258BA" w:rsidRDefault="00E2047F" w:rsidP="007258BA">
            <w:pPr>
              <w:jc w:val="right"/>
              <w:rPr>
                <w:rFonts w:eastAsia="Times New Roman" w:cs="Times New Roman"/>
                <w:color w:val="000000"/>
                <w:sz w:val="22"/>
                <w:lang w:eastAsia="lv-LV"/>
              </w:rPr>
            </w:pPr>
            <w:r w:rsidRPr="007258BA">
              <w:rPr>
                <w:rFonts w:eastAsia="Times New Roman" w:cs="Times New Roman"/>
                <w:color w:val="000000"/>
                <w:sz w:val="22"/>
                <w:lang w:eastAsia="lv-LV"/>
              </w:rPr>
              <w:t> </w:t>
            </w:r>
          </w:p>
        </w:tc>
        <w:tc>
          <w:tcPr>
            <w:tcW w:w="851" w:type="dxa"/>
            <w:tcBorders>
              <w:top w:val="nil"/>
              <w:left w:val="nil"/>
              <w:bottom w:val="single" w:sz="4" w:space="0" w:color="auto"/>
              <w:right w:val="single" w:sz="4" w:space="0" w:color="auto"/>
            </w:tcBorders>
            <w:shd w:val="clear" w:color="auto" w:fill="auto"/>
            <w:noWrap/>
            <w:vAlign w:val="bottom"/>
            <w:hideMark/>
          </w:tcPr>
          <w:p w:rsidR="00E2047F" w:rsidRPr="007258BA" w:rsidRDefault="00E2047F" w:rsidP="007258BA">
            <w:pPr>
              <w:jc w:val="right"/>
              <w:rPr>
                <w:rFonts w:eastAsia="Times New Roman" w:cs="Times New Roman"/>
                <w:color w:val="000000"/>
                <w:sz w:val="22"/>
                <w:lang w:eastAsia="lv-LV"/>
              </w:rPr>
            </w:pPr>
            <w:r w:rsidRPr="007258BA">
              <w:rPr>
                <w:rFonts w:eastAsia="Times New Roman" w:cs="Times New Roman"/>
                <w:color w:val="000000"/>
                <w:sz w:val="22"/>
                <w:lang w:eastAsia="lv-LV"/>
              </w:rPr>
              <w:t xml:space="preserve">        36,97 </w:t>
            </w:r>
          </w:p>
        </w:tc>
        <w:tc>
          <w:tcPr>
            <w:tcW w:w="957" w:type="dxa"/>
            <w:tcBorders>
              <w:top w:val="nil"/>
              <w:left w:val="nil"/>
              <w:bottom w:val="single" w:sz="4" w:space="0" w:color="auto"/>
              <w:right w:val="single" w:sz="4" w:space="0" w:color="auto"/>
            </w:tcBorders>
            <w:shd w:val="clear" w:color="auto" w:fill="auto"/>
            <w:noWrap/>
            <w:vAlign w:val="bottom"/>
            <w:hideMark/>
          </w:tcPr>
          <w:p w:rsidR="00E2047F" w:rsidRPr="007258BA" w:rsidRDefault="00E2047F" w:rsidP="007258BA">
            <w:pPr>
              <w:jc w:val="right"/>
              <w:rPr>
                <w:rFonts w:eastAsia="Times New Roman" w:cs="Times New Roman"/>
                <w:color w:val="000000"/>
                <w:sz w:val="22"/>
                <w:lang w:eastAsia="lv-LV"/>
              </w:rPr>
            </w:pPr>
            <w:r w:rsidRPr="007258BA">
              <w:rPr>
                <w:rFonts w:eastAsia="Times New Roman" w:cs="Times New Roman"/>
                <w:color w:val="000000"/>
                <w:sz w:val="22"/>
                <w:lang w:eastAsia="lv-LV"/>
              </w:rPr>
              <w:t> </w:t>
            </w:r>
          </w:p>
        </w:tc>
      </w:tr>
      <w:tr w:rsidR="007258BA" w:rsidRPr="007258BA" w:rsidTr="007258BA">
        <w:trPr>
          <w:trHeight w:val="300"/>
        </w:trPr>
        <w:tc>
          <w:tcPr>
            <w:tcW w:w="1094" w:type="dxa"/>
            <w:tcBorders>
              <w:top w:val="nil"/>
              <w:left w:val="single" w:sz="4" w:space="0" w:color="auto"/>
              <w:bottom w:val="single" w:sz="4" w:space="0" w:color="auto"/>
              <w:right w:val="single" w:sz="4" w:space="0" w:color="auto"/>
            </w:tcBorders>
            <w:shd w:val="clear" w:color="auto" w:fill="auto"/>
            <w:noWrap/>
            <w:vAlign w:val="bottom"/>
            <w:hideMark/>
          </w:tcPr>
          <w:p w:rsidR="00E2047F" w:rsidRPr="007258BA" w:rsidRDefault="00E2047F" w:rsidP="00E2047F">
            <w:pPr>
              <w:jc w:val="right"/>
              <w:rPr>
                <w:rFonts w:eastAsia="Times New Roman" w:cs="Times New Roman"/>
                <w:b/>
                <w:color w:val="000000"/>
                <w:sz w:val="22"/>
                <w:lang w:eastAsia="lv-LV"/>
              </w:rPr>
            </w:pPr>
            <w:r w:rsidRPr="007258BA">
              <w:rPr>
                <w:rFonts w:eastAsia="Times New Roman" w:cs="Times New Roman"/>
                <w:b/>
                <w:color w:val="000000"/>
                <w:sz w:val="22"/>
                <w:lang w:eastAsia="lv-LV"/>
              </w:rPr>
              <w:t>2010</w:t>
            </w:r>
          </w:p>
        </w:tc>
        <w:tc>
          <w:tcPr>
            <w:tcW w:w="1141" w:type="dxa"/>
            <w:tcBorders>
              <w:top w:val="nil"/>
              <w:left w:val="nil"/>
              <w:bottom w:val="single" w:sz="4" w:space="0" w:color="auto"/>
              <w:right w:val="single" w:sz="4" w:space="0" w:color="auto"/>
            </w:tcBorders>
            <w:shd w:val="clear" w:color="auto" w:fill="auto"/>
            <w:noWrap/>
            <w:vAlign w:val="bottom"/>
            <w:hideMark/>
          </w:tcPr>
          <w:p w:rsidR="00E2047F" w:rsidRPr="007258BA" w:rsidRDefault="00E2047F" w:rsidP="00E2047F">
            <w:pPr>
              <w:rPr>
                <w:rFonts w:eastAsia="Times New Roman" w:cs="Times New Roman"/>
                <w:color w:val="000000"/>
                <w:sz w:val="22"/>
                <w:lang w:eastAsia="lv-LV"/>
              </w:rPr>
            </w:pPr>
            <w:r w:rsidRPr="007258BA">
              <w:rPr>
                <w:rFonts w:eastAsia="Times New Roman" w:cs="Times New Roman"/>
                <w:color w:val="000000"/>
                <w:sz w:val="22"/>
                <w:lang w:eastAsia="lv-LV"/>
              </w:rPr>
              <w:t xml:space="preserve">                      215,49 </w:t>
            </w:r>
          </w:p>
        </w:tc>
        <w:tc>
          <w:tcPr>
            <w:tcW w:w="1559" w:type="dxa"/>
            <w:tcBorders>
              <w:top w:val="nil"/>
              <w:left w:val="nil"/>
              <w:bottom w:val="single" w:sz="4" w:space="0" w:color="auto"/>
              <w:right w:val="single" w:sz="4" w:space="0" w:color="auto"/>
            </w:tcBorders>
            <w:shd w:val="clear" w:color="auto" w:fill="auto"/>
            <w:noWrap/>
            <w:vAlign w:val="bottom"/>
            <w:hideMark/>
          </w:tcPr>
          <w:p w:rsidR="00E2047F" w:rsidRPr="007258BA" w:rsidRDefault="007258BA" w:rsidP="007258BA">
            <w:pPr>
              <w:jc w:val="right"/>
              <w:rPr>
                <w:rFonts w:eastAsia="Times New Roman" w:cs="Times New Roman"/>
                <w:color w:val="000000"/>
                <w:sz w:val="22"/>
                <w:lang w:eastAsia="lv-LV"/>
              </w:rPr>
            </w:pPr>
            <w:r>
              <w:rPr>
                <w:rFonts w:eastAsia="Times New Roman" w:cs="Times New Roman"/>
                <w:color w:val="000000"/>
                <w:sz w:val="22"/>
                <w:lang w:eastAsia="lv-LV"/>
              </w:rPr>
              <w:t xml:space="preserve">- </w:t>
            </w:r>
            <w:r w:rsidR="00E2047F" w:rsidRPr="007258BA">
              <w:rPr>
                <w:rFonts w:eastAsia="Times New Roman" w:cs="Times New Roman"/>
                <w:color w:val="000000"/>
                <w:sz w:val="22"/>
                <w:lang w:eastAsia="lv-LV"/>
              </w:rPr>
              <w:t xml:space="preserve">115,53 </w:t>
            </w:r>
          </w:p>
        </w:tc>
        <w:tc>
          <w:tcPr>
            <w:tcW w:w="1276" w:type="dxa"/>
            <w:tcBorders>
              <w:top w:val="nil"/>
              <w:left w:val="nil"/>
              <w:bottom w:val="single" w:sz="4" w:space="0" w:color="auto"/>
              <w:right w:val="single" w:sz="4" w:space="0" w:color="auto"/>
            </w:tcBorders>
            <w:shd w:val="clear" w:color="auto" w:fill="auto"/>
            <w:noWrap/>
            <w:vAlign w:val="bottom"/>
            <w:hideMark/>
          </w:tcPr>
          <w:p w:rsidR="00E2047F" w:rsidRPr="007258BA" w:rsidRDefault="00E2047F" w:rsidP="007258BA">
            <w:pPr>
              <w:jc w:val="right"/>
              <w:rPr>
                <w:rFonts w:eastAsia="Times New Roman" w:cs="Times New Roman"/>
                <w:color w:val="000000"/>
                <w:sz w:val="22"/>
                <w:lang w:eastAsia="lv-LV"/>
              </w:rPr>
            </w:pPr>
            <w:r w:rsidRPr="007258BA">
              <w:rPr>
                <w:rFonts w:eastAsia="Times New Roman" w:cs="Times New Roman"/>
                <w:color w:val="000000"/>
                <w:sz w:val="22"/>
                <w:lang w:eastAsia="lv-LV"/>
              </w:rPr>
              <w:t>79%</w:t>
            </w:r>
          </w:p>
        </w:tc>
        <w:tc>
          <w:tcPr>
            <w:tcW w:w="1275" w:type="dxa"/>
            <w:tcBorders>
              <w:top w:val="nil"/>
              <w:left w:val="nil"/>
              <w:bottom w:val="single" w:sz="4" w:space="0" w:color="auto"/>
              <w:right w:val="single" w:sz="4" w:space="0" w:color="auto"/>
            </w:tcBorders>
            <w:shd w:val="clear" w:color="auto" w:fill="auto"/>
            <w:noWrap/>
            <w:vAlign w:val="bottom"/>
            <w:hideMark/>
          </w:tcPr>
          <w:p w:rsidR="00E2047F" w:rsidRPr="007258BA" w:rsidRDefault="00E2047F" w:rsidP="007258BA">
            <w:pPr>
              <w:jc w:val="right"/>
              <w:rPr>
                <w:rFonts w:eastAsia="Times New Roman" w:cs="Times New Roman"/>
                <w:color w:val="000000"/>
                <w:sz w:val="22"/>
                <w:lang w:eastAsia="lv-LV"/>
              </w:rPr>
            </w:pPr>
            <w:r w:rsidRPr="007258BA">
              <w:rPr>
                <w:rFonts w:eastAsia="Times New Roman" w:cs="Times New Roman"/>
                <w:color w:val="000000"/>
                <w:sz w:val="22"/>
                <w:lang w:eastAsia="lv-LV"/>
              </w:rPr>
              <w:t>58%</w:t>
            </w:r>
          </w:p>
        </w:tc>
        <w:tc>
          <w:tcPr>
            <w:tcW w:w="1134" w:type="dxa"/>
            <w:tcBorders>
              <w:top w:val="nil"/>
              <w:left w:val="nil"/>
              <w:bottom w:val="single" w:sz="4" w:space="0" w:color="auto"/>
              <w:right w:val="single" w:sz="4" w:space="0" w:color="auto"/>
            </w:tcBorders>
            <w:shd w:val="clear" w:color="auto" w:fill="auto"/>
            <w:noWrap/>
            <w:vAlign w:val="bottom"/>
            <w:hideMark/>
          </w:tcPr>
          <w:p w:rsidR="00E2047F" w:rsidRPr="007258BA" w:rsidRDefault="00E2047F" w:rsidP="007258BA">
            <w:pPr>
              <w:jc w:val="right"/>
              <w:rPr>
                <w:rFonts w:eastAsia="Times New Roman" w:cs="Times New Roman"/>
                <w:color w:val="000000"/>
                <w:sz w:val="22"/>
                <w:lang w:eastAsia="lv-LV"/>
              </w:rPr>
            </w:pPr>
            <w:r w:rsidRPr="007258BA">
              <w:rPr>
                <w:rFonts w:eastAsia="Times New Roman" w:cs="Times New Roman"/>
                <w:color w:val="000000"/>
                <w:sz w:val="22"/>
                <w:lang w:eastAsia="lv-LV"/>
              </w:rPr>
              <w:t>48%</w:t>
            </w:r>
          </w:p>
        </w:tc>
        <w:tc>
          <w:tcPr>
            <w:tcW w:w="851" w:type="dxa"/>
            <w:tcBorders>
              <w:top w:val="nil"/>
              <w:left w:val="nil"/>
              <w:bottom w:val="single" w:sz="4" w:space="0" w:color="auto"/>
              <w:right w:val="single" w:sz="4" w:space="0" w:color="auto"/>
            </w:tcBorders>
            <w:shd w:val="clear" w:color="auto" w:fill="auto"/>
            <w:noWrap/>
            <w:vAlign w:val="bottom"/>
            <w:hideMark/>
          </w:tcPr>
          <w:p w:rsidR="00E2047F" w:rsidRPr="007258BA" w:rsidRDefault="00E2047F" w:rsidP="007258BA">
            <w:pPr>
              <w:jc w:val="right"/>
              <w:rPr>
                <w:rFonts w:eastAsia="Times New Roman" w:cs="Times New Roman"/>
                <w:color w:val="000000"/>
                <w:sz w:val="22"/>
                <w:lang w:eastAsia="lv-LV"/>
              </w:rPr>
            </w:pPr>
            <w:r w:rsidRPr="007258BA">
              <w:rPr>
                <w:rFonts w:eastAsia="Times New Roman" w:cs="Times New Roman"/>
                <w:color w:val="000000"/>
                <w:sz w:val="22"/>
                <w:lang w:eastAsia="lv-LV"/>
              </w:rPr>
              <w:t xml:space="preserve">        56,85 </w:t>
            </w:r>
          </w:p>
        </w:tc>
        <w:tc>
          <w:tcPr>
            <w:tcW w:w="957" w:type="dxa"/>
            <w:tcBorders>
              <w:top w:val="nil"/>
              <w:left w:val="nil"/>
              <w:bottom w:val="single" w:sz="4" w:space="0" w:color="auto"/>
              <w:right w:val="single" w:sz="4" w:space="0" w:color="auto"/>
            </w:tcBorders>
            <w:shd w:val="clear" w:color="auto" w:fill="auto"/>
            <w:noWrap/>
            <w:vAlign w:val="bottom"/>
            <w:hideMark/>
          </w:tcPr>
          <w:p w:rsidR="00E2047F" w:rsidRPr="007258BA" w:rsidRDefault="00E2047F" w:rsidP="007258BA">
            <w:pPr>
              <w:jc w:val="right"/>
              <w:rPr>
                <w:rFonts w:eastAsia="Times New Roman" w:cs="Times New Roman"/>
                <w:color w:val="000000"/>
                <w:sz w:val="22"/>
                <w:lang w:eastAsia="lv-LV"/>
              </w:rPr>
            </w:pPr>
            <w:r w:rsidRPr="007258BA">
              <w:rPr>
                <w:rFonts w:eastAsia="Times New Roman" w:cs="Times New Roman"/>
                <w:color w:val="000000"/>
                <w:sz w:val="22"/>
                <w:lang w:eastAsia="lv-LV"/>
              </w:rPr>
              <w:t xml:space="preserve">        45,50 </w:t>
            </w:r>
          </w:p>
        </w:tc>
      </w:tr>
      <w:tr w:rsidR="007258BA" w:rsidRPr="007258BA" w:rsidTr="007258BA">
        <w:trPr>
          <w:trHeight w:val="300"/>
        </w:trPr>
        <w:tc>
          <w:tcPr>
            <w:tcW w:w="1094" w:type="dxa"/>
            <w:tcBorders>
              <w:top w:val="nil"/>
              <w:left w:val="single" w:sz="4" w:space="0" w:color="auto"/>
              <w:bottom w:val="single" w:sz="4" w:space="0" w:color="auto"/>
              <w:right w:val="single" w:sz="4" w:space="0" w:color="auto"/>
            </w:tcBorders>
            <w:shd w:val="clear" w:color="auto" w:fill="auto"/>
            <w:noWrap/>
            <w:vAlign w:val="bottom"/>
            <w:hideMark/>
          </w:tcPr>
          <w:p w:rsidR="00E2047F" w:rsidRPr="007258BA" w:rsidRDefault="00E2047F" w:rsidP="00E2047F">
            <w:pPr>
              <w:jc w:val="right"/>
              <w:rPr>
                <w:rFonts w:eastAsia="Times New Roman" w:cs="Times New Roman"/>
                <w:b/>
                <w:color w:val="000000"/>
                <w:sz w:val="22"/>
                <w:lang w:eastAsia="lv-LV"/>
              </w:rPr>
            </w:pPr>
            <w:r w:rsidRPr="007258BA">
              <w:rPr>
                <w:rFonts w:eastAsia="Times New Roman" w:cs="Times New Roman"/>
                <w:b/>
                <w:color w:val="000000"/>
                <w:sz w:val="22"/>
                <w:lang w:eastAsia="lv-LV"/>
              </w:rPr>
              <w:t>2011</w:t>
            </w:r>
          </w:p>
        </w:tc>
        <w:tc>
          <w:tcPr>
            <w:tcW w:w="1141" w:type="dxa"/>
            <w:tcBorders>
              <w:top w:val="nil"/>
              <w:left w:val="nil"/>
              <w:bottom w:val="single" w:sz="4" w:space="0" w:color="auto"/>
              <w:right w:val="single" w:sz="4" w:space="0" w:color="auto"/>
            </w:tcBorders>
            <w:shd w:val="clear" w:color="auto" w:fill="auto"/>
            <w:noWrap/>
            <w:vAlign w:val="bottom"/>
            <w:hideMark/>
          </w:tcPr>
          <w:p w:rsidR="00E2047F" w:rsidRPr="007258BA" w:rsidRDefault="00E2047F" w:rsidP="00E2047F">
            <w:pPr>
              <w:rPr>
                <w:rFonts w:eastAsia="Times New Roman" w:cs="Times New Roman"/>
                <w:color w:val="000000"/>
                <w:sz w:val="22"/>
                <w:lang w:eastAsia="lv-LV"/>
              </w:rPr>
            </w:pPr>
            <w:r w:rsidRPr="007258BA">
              <w:rPr>
                <w:rFonts w:eastAsia="Times New Roman" w:cs="Times New Roman"/>
                <w:color w:val="000000"/>
                <w:sz w:val="22"/>
                <w:lang w:eastAsia="lv-LV"/>
              </w:rPr>
              <w:t xml:space="preserve">                      189,58 </w:t>
            </w:r>
          </w:p>
        </w:tc>
        <w:tc>
          <w:tcPr>
            <w:tcW w:w="1559" w:type="dxa"/>
            <w:tcBorders>
              <w:top w:val="nil"/>
              <w:left w:val="nil"/>
              <w:bottom w:val="single" w:sz="4" w:space="0" w:color="auto"/>
              <w:right w:val="single" w:sz="4" w:space="0" w:color="auto"/>
            </w:tcBorders>
            <w:shd w:val="clear" w:color="auto" w:fill="auto"/>
            <w:noWrap/>
            <w:vAlign w:val="bottom"/>
            <w:hideMark/>
          </w:tcPr>
          <w:p w:rsidR="00E2047F" w:rsidRPr="007258BA" w:rsidRDefault="007258BA" w:rsidP="007258BA">
            <w:pPr>
              <w:jc w:val="right"/>
              <w:rPr>
                <w:rFonts w:eastAsia="Times New Roman" w:cs="Times New Roman"/>
                <w:color w:val="000000"/>
                <w:sz w:val="22"/>
                <w:lang w:eastAsia="lv-LV"/>
              </w:rPr>
            </w:pPr>
            <w:r>
              <w:rPr>
                <w:rFonts w:eastAsia="Times New Roman" w:cs="Times New Roman"/>
                <w:color w:val="000000"/>
                <w:sz w:val="22"/>
                <w:lang w:eastAsia="lv-LV"/>
              </w:rPr>
              <w:t xml:space="preserve">-  </w:t>
            </w:r>
            <w:r w:rsidR="00E2047F" w:rsidRPr="007258BA">
              <w:rPr>
                <w:rFonts w:eastAsia="Times New Roman" w:cs="Times New Roman"/>
                <w:color w:val="000000"/>
                <w:sz w:val="22"/>
                <w:lang w:eastAsia="lv-LV"/>
              </w:rPr>
              <w:t xml:space="preserve">52,32 </w:t>
            </w:r>
          </w:p>
        </w:tc>
        <w:tc>
          <w:tcPr>
            <w:tcW w:w="1276" w:type="dxa"/>
            <w:tcBorders>
              <w:top w:val="nil"/>
              <w:left w:val="nil"/>
              <w:bottom w:val="single" w:sz="4" w:space="0" w:color="auto"/>
              <w:right w:val="single" w:sz="4" w:space="0" w:color="auto"/>
            </w:tcBorders>
            <w:shd w:val="clear" w:color="auto" w:fill="auto"/>
            <w:noWrap/>
            <w:vAlign w:val="bottom"/>
            <w:hideMark/>
          </w:tcPr>
          <w:p w:rsidR="00E2047F" w:rsidRPr="007258BA" w:rsidRDefault="00E2047F" w:rsidP="007258BA">
            <w:pPr>
              <w:jc w:val="right"/>
              <w:rPr>
                <w:rFonts w:eastAsia="Times New Roman" w:cs="Times New Roman"/>
                <w:color w:val="000000"/>
                <w:sz w:val="22"/>
                <w:lang w:eastAsia="lv-LV"/>
              </w:rPr>
            </w:pPr>
            <w:r w:rsidRPr="007258BA">
              <w:rPr>
                <w:rFonts w:eastAsia="Times New Roman" w:cs="Times New Roman"/>
                <w:color w:val="000000"/>
                <w:sz w:val="22"/>
                <w:lang w:eastAsia="lv-LV"/>
              </w:rPr>
              <w:t>71%</w:t>
            </w:r>
          </w:p>
        </w:tc>
        <w:tc>
          <w:tcPr>
            <w:tcW w:w="1275" w:type="dxa"/>
            <w:tcBorders>
              <w:top w:val="nil"/>
              <w:left w:val="nil"/>
              <w:bottom w:val="single" w:sz="4" w:space="0" w:color="auto"/>
              <w:right w:val="single" w:sz="4" w:space="0" w:color="auto"/>
            </w:tcBorders>
            <w:shd w:val="clear" w:color="auto" w:fill="auto"/>
            <w:noWrap/>
            <w:vAlign w:val="bottom"/>
            <w:hideMark/>
          </w:tcPr>
          <w:p w:rsidR="00E2047F" w:rsidRPr="007258BA" w:rsidRDefault="00E2047F" w:rsidP="007258BA">
            <w:pPr>
              <w:jc w:val="right"/>
              <w:rPr>
                <w:rFonts w:eastAsia="Times New Roman" w:cs="Times New Roman"/>
                <w:color w:val="000000"/>
                <w:sz w:val="22"/>
                <w:lang w:eastAsia="lv-LV"/>
              </w:rPr>
            </w:pPr>
            <w:r w:rsidRPr="007258BA">
              <w:rPr>
                <w:rFonts w:eastAsia="Times New Roman" w:cs="Times New Roman"/>
                <w:color w:val="000000"/>
                <w:sz w:val="22"/>
                <w:lang w:eastAsia="lv-LV"/>
              </w:rPr>
              <w:t>33%</w:t>
            </w:r>
          </w:p>
        </w:tc>
        <w:tc>
          <w:tcPr>
            <w:tcW w:w="1134" w:type="dxa"/>
            <w:tcBorders>
              <w:top w:val="nil"/>
              <w:left w:val="nil"/>
              <w:bottom w:val="single" w:sz="4" w:space="0" w:color="auto"/>
              <w:right w:val="single" w:sz="4" w:space="0" w:color="auto"/>
            </w:tcBorders>
            <w:shd w:val="clear" w:color="auto" w:fill="auto"/>
            <w:noWrap/>
            <w:vAlign w:val="bottom"/>
            <w:hideMark/>
          </w:tcPr>
          <w:p w:rsidR="00E2047F" w:rsidRPr="007258BA" w:rsidRDefault="00E2047F" w:rsidP="007258BA">
            <w:pPr>
              <w:jc w:val="right"/>
              <w:rPr>
                <w:rFonts w:eastAsia="Times New Roman" w:cs="Times New Roman"/>
                <w:color w:val="000000"/>
                <w:sz w:val="22"/>
                <w:lang w:eastAsia="lv-LV"/>
              </w:rPr>
            </w:pPr>
            <w:r w:rsidRPr="007258BA">
              <w:rPr>
                <w:rFonts w:eastAsia="Times New Roman" w:cs="Times New Roman"/>
                <w:color w:val="000000"/>
                <w:sz w:val="22"/>
                <w:lang w:eastAsia="lv-LV"/>
              </w:rPr>
              <w:t>49%</w:t>
            </w:r>
          </w:p>
        </w:tc>
        <w:tc>
          <w:tcPr>
            <w:tcW w:w="851" w:type="dxa"/>
            <w:tcBorders>
              <w:top w:val="nil"/>
              <w:left w:val="nil"/>
              <w:bottom w:val="single" w:sz="4" w:space="0" w:color="auto"/>
              <w:right w:val="single" w:sz="4" w:space="0" w:color="auto"/>
            </w:tcBorders>
            <w:shd w:val="clear" w:color="auto" w:fill="auto"/>
            <w:noWrap/>
            <w:vAlign w:val="bottom"/>
            <w:hideMark/>
          </w:tcPr>
          <w:p w:rsidR="00E2047F" w:rsidRPr="007258BA" w:rsidRDefault="00E2047F" w:rsidP="007258BA">
            <w:pPr>
              <w:jc w:val="right"/>
              <w:rPr>
                <w:rFonts w:eastAsia="Times New Roman" w:cs="Times New Roman"/>
                <w:color w:val="000000"/>
                <w:sz w:val="22"/>
                <w:lang w:eastAsia="lv-LV"/>
              </w:rPr>
            </w:pPr>
            <w:r w:rsidRPr="007258BA">
              <w:rPr>
                <w:rFonts w:eastAsia="Times New Roman" w:cs="Times New Roman"/>
                <w:color w:val="000000"/>
                <w:sz w:val="22"/>
                <w:lang w:eastAsia="lv-LV"/>
              </w:rPr>
              <w:t xml:space="preserve">        49,39 </w:t>
            </w:r>
          </w:p>
        </w:tc>
        <w:tc>
          <w:tcPr>
            <w:tcW w:w="957" w:type="dxa"/>
            <w:tcBorders>
              <w:top w:val="nil"/>
              <w:left w:val="nil"/>
              <w:bottom w:val="single" w:sz="4" w:space="0" w:color="auto"/>
              <w:right w:val="single" w:sz="4" w:space="0" w:color="auto"/>
            </w:tcBorders>
            <w:shd w:val="clear" w:color="auto" w:fill="auto"/>
            <w:noWrap/>
            <w:vAlign w:val="bottom"/>
            <w:hideMark/>
          </w:tcPr>
          <w:p w:rsidR="00E2047F" w:rsidRPr="007258BA" w:rsidRDefault="00E2047F" w:rsidP="007258BA">
            <w:pPr>
              <w:jc w:val="right"/>
              <w:rPr>
                <w:rFonts w:eastAsia="Times New Roman" w:cs="Times New Roman"/>
                <w:color w:val="000000"/>
                <w:sz w:val="22"/>
                <w:lang w:eastAsia="lv-LV"/>
              </w:rPr>
            </w:pPr>
            <w:r w:rsidRPr="007258BA">
              <w:rPr>
                <w:rFonts w:eastAsia="Times New Roman" w:cs="Times New Roman"/>
                <w:color w:val="000000"/>
                <w:sz w:val="22"/>
                <w:lang w:eastAsia="lv-LV"/>
              </w:rPr>
              <w:t xml:space="preserve">        45,05 </w:t>
            </w:r>
          </w:p>
        </w:tc>
      </w:tr>
      <w:tr w:rsidR="007258BA" w:rsidRPr="007258BA" w:rsidTr="007258BA">
        <w:trPr>
          <w:trHeight w:val="300"/>
        </w:trPr>
        <w:tc>
          <w:tcPr>
            <w:tcW w:w="1094" w:type="dxa"/>
            <w:tcBorders>
              <w:top w:val="nil"/>
              <w:left w:val="single" w:sz="4" w:space="0" w:color="auto"/>
              <w:bottom w:val="single" w:sz="4" w:space="0" w:color="auto"/>
              <w:right w:val="single" w:sz="4" w:space="0" w:color="auto"/>
            </w:tcBorders>
            <w:shd w:val="clear" w:color="auto" w:fill="auto"/>
            <w:noWrap/>
            <w:vAlign w:val="bottom"/>
            <w:hideMark/>
          </w:tcPr>
          <w:p w:rsidR="00E2047F" w:rsidRPr="007258BA" w:rsidRDefault="00E2047F" w:rsidP="00E2047F">
            <w:pPr>
              <w:jc w:val="right"/>
              <w:rPr>
                <w:rFonts w:eastAsia="Times New Roman" w:cs="Times New Roman"/>
                <w:b/>
                <w:color w:val="000000"/>
                <w:sz w:val="22"/>
                <w:lang w:eastAsia="lv-LV"/>
              </w:rPr>
            </w:pPr>
            <w:r w:rsidRPr="007258BA">
              <w:rPr>
                <w:rFonts w:eastAsia="Times New Roman" w:cs="Times New Roman"/>
                <w:b/>
                <w:color w:val="000000"/>
                <w:sz w:val="22"/>
                <w:lang w:eastAsia="lv-LV"/>
              </w:rPr>
              <w:t>2012</w:t>
            </w:r>
          </w:p>
        </w:tc>
        <w:tc>
          <w:tcPr>
            <w:tcW w:w="1141" w:type="dxa"/>
            <w:tcBorders>
              <w:top w:val="nil"/>
              <w:left w:val="nil"/>
              <w:bottom w:val="single" w:sz="4" w:space="0" w:color="auto"/>
              <w:right w:val="single" w:sz="4" w:space="0" w:color="auto"/>
            </w:tcBorders>
            <w:shd w:val="clear" w:color="auto" w:fill="auto"/>
            <w:noWrap/>
            <w:vAlign w:val="bottom"/>
            <w:hideMark/>
          </w:tcPr>
          <w:p w:rsidR="00E2047F" w:rsidRPr="007258BA" w:rsidRDefault="00E2047F" w:rsidP="00E2047F">
            <w:pPr>
              <w:rPr>
                <w:rFonts w:eastAsia="Times New Roman" w:cs="Times New Roman"/>
                <w:color w:val="000000"/>
                <w:sz w:val="22"/>
                <w:lang w:eastAsia="lv-LV"/>
              </w:rPr>
            </w:pPr>
            <w:r w:rsidRPr="007258BA">
              <w:rPr>
                <w:rFonts w:eastAsia="Times New Roman" w:cs="Times New Roman"/>
                <w:color w:val="000000"/>
                <w:sz w:val="22"/>
                <w:lang w:eastAsia="lv-LV"/>
              </w:rPr>
              <w:t xml:space="preserve">                        44,29 </w:t>
            </w:r>
          </w:p>
        </w:tc>
        <w:tc>
          <w:tcPr>
            <w:tcW w:w="1559" w:type="dxa"/>
            <w:tcBorders>
              <w:top w:val="nil"/>
              <w:left w:val="nil"/>
              <w:bottom w:val="single" w:sz="4" w:space="0" w:color="auto"/>
              <w:right w:val="single" w:sz="4" w:space="0" w:color="auto"/>
            </w:tcBorders>
            <w:shd w:val="clear" w:color="auto" w:fill="auto"/>
            <w:noWrap/>
            <w:vAlign w:val="bottom"/>
            <w:hideMark/>
          </w:tcPr>
          <w:p w:rsidR="00E2047F" w:rsidRPr="007258BA" w:rsidRDefault="007258BA" w:rsidP="007258BA">
            <w:pPr>
              <w:jc w:val="right"/>
              <w:rPr>
                <w:rFonts w:eastAsia="Times New Roman" w:cs="Times New Roman"/>
                <w:color w:val="000000"/>
                <w:sz w:val="22"/>
                <w:lang w:eastAsia="lv-LV"/>
              </w:rPr>
            </w:pPr>
            <w:r>
              <w:rPr>
                <w:rFonts w:eastAsia="Times New Roman" w:cs="Times New Roman"/>
                <w:color w:val="000000"/>
                <w:sz w:val="22"/>
                <w:lang w:eastAsia="lv-LV"/>
              </w:rPr>
              <w:t xml:space="preserve">-  </w:t>
            </w:r>
            <w:r w:rsidR="00E2047F" w:rsidRPr="007258BA">
              <w:rPr>
                <w:rFonts w:eastAsia="Times New Roman" w:cs="Times New Roman"/>
                <w:color w:val="000000"/>
                <w:sz w:val="22"/>
                <w:lang w:eastAsia="lv-LV"/>
              </w:rPr>
              <w:t xml:space="preserve">177,92 </w:t>
            </w:r>
          </w:p>
        </w:tc>
        <w:tc>
          <w:tcPr>
            <w:tcW w:w="1276" w:type="dxa"/>
            <w:tcBorders>
              <w:top w:val="nil"/>
              <w:left w:val="nil"/>
              <w:bottom w:val="single" w:sz="4" w:space="0" w:color="auto"/>
              <w:right w:val="single" w:sz="4" w:space="0" w:color="auto"/>
            </w:tcBorders>
            <w:shd w:val="clear" w:color="auto" w:fill="auto"/>
            <w:noWrap/>
            <w:vAlign w:val="bottom"/>
            <w:hideMark/>
          </w:tcPr>
          <w:p w:rsidR="00E2047F" w:rsidRPr="007258BA" w:rsidRDefault="00E2047F" w:rsidP="007258BA">
            <w:pPr>
              <w:jc w:val="right"/>
              <w:rPr>
                <w:rFonts w:eastAsia="Times New Roman" w:cs="Times New Roman"/>
                <w:color w:val="000000"/>
                <w:sz w:val="22"/>
                <w:lang w:eastAsia="lv-LV"/>
              </w:rPr>
            </w:pPr>
            <w:r w:rsidRPr="007258BA">
              <w:rPr>
                <w:rFonts w:eastAsia="Times New Roman" w:cs="Times New Roman"/>
                <w:color w:val="000000"/>
                <w:sz w:val="22"/>
                <w:lang w:eastAsia="lv-LV"/>
              </w:rPr>
              <w:t>42%</w:t>
            </w:r>
          </w:p>
        </w:tc>
        <w:tc>
          <w:tcPr>
            <w:tcW w:w="1275" w:type="dxa"/>
            <w:tcBorders>
              <w:top w:val="nil"/>
              <w:left w:val="nil"/>
              <w:bottom w:val="single" w:sz="4" w:space="0" w:color="auto"/>
              <w:right w:val="single" w:sz="4" w:space="0" w:color="auto"/>
            </w:tcBorders>
            <w:shd w:val="clear" w:color="auto" w:fill="auto"/>
            <w:noWrap/>
            <w:vAlign w:val="bottom"/>
            <w:hideMark/>
          </w:tcPr>
          <w:p w:rsidR="00E2047F" w:rsidRPr="007258BA" w:rsidRDefault="00E2047F" w:rsidP="007258BA">
            <w:pPr>
              <w:jc w:val="right"/>
              <w:rPr>
                <w:rFonts w:eastAsia="Times New Roman" w:cs="Times New Roman"/>
                <w:color w:val="000000"/>
                <w:sz w:val="22"/>
                <w:lang w:eastAsia="lv-LV"/>
              </w:rPr>
            </w:pPr>
            <w:r w:rsidRPr="007258BA">
              <w:rPr>
                <w:rFonts w:eastAsia="Times New Roman" w:cs="Times New Roman"/>
                <w:color w:val="000000"/>
                <w:sz w:val="22"/>
                <w:lang w:eastAsia="lv-LV"/>
              </w:rPr>
              <w:t>69%</w:t>
            </w:r>
          </w:p>
        </w:tc>
        <w:tc>
          <w:tcPr>
            <w:tcW w:w="1134" w:type="dxa"/>
            <w:tcBorders>
              <w:top w:val="nil"/>
              <w:left w:val="nil"/>
              <w:bottom w:val="single" w:sz="4" w:space="0" w:color="auto"/>
              <w:right w:val="single" w:sz="4" w:space="0" w:color="auto"/>
            </w:tcBorders>
            <w:shd w:val="clear" w:color="auto" w:fill="auto"/>
            <w:noWrap/>
            <w:vAlign w:val="bottom"/>
            <w:hideMark/>
          </w:tcPr>
          <w:p w:rsidR="00E2047F" w:rsidRPr="007258BA" w:rsidRDefault="00E2047F" w:rsidP="007258BA">
            <w:pPr>
              <w:jc w:val="right"/>
              <w:rPr>
                <w:rFonts w:eastAsia="Times New Roman" w:cs="Times New Roman"/>
                <w:color w:val="000000"/>
                <w:sz w:val="22"/>
                <w:lang w:eastAsia="lv-LV"/>
              </w:rPr>
            </w:pPr>
            <w:r w:rsidRPr="007258BA">
              <w:rPr>
                <w:rFonts w:eastAsia="Times New Roman" w:cs="Times New Roman"/>
                <w:color w:val="000000"/>
                <w:sz w:val="22"/>
                <w:lang w:eastAsia="lv-LV"/>
              </w:rPr>
              <w:t>63%</w:t>
            </w:r>
          </w:p>
        </w:tc>
        <w:tc>
          <w:tcPr>
            <w:tcW w:w="851" w:type="dxa"/>
            <w:tcBorders>
              <w:top w:val="nil"/>
              <w:left w:val="nil"/>
              <w:bottom w:val="single" w:sz="4" w:space="0" w:color="auto"/>
              <w:right w:val="single" w:sz="4" w:space="0" w:color="auto"/>
            </w:tcBorders>
            <w:shd w:val="clear" w:color="auto" w:fill="auto"/>
            <w:noWrap/>
            <w:vAlign w:val="bottom"/>
            <w:hideMark/>
          </w:tcPr>
          <w:p w:rsidR="00E2047F" w:rsidRPr="007258BA" w:rsidRDefault="00E2047F" w:rsidP="007258BA">
            <w:pPr>
              <w:jc w:val="right"/>
              <w:rPr>
                <w:rFonts w:eastAsia="Times New Roman" w:cs="Times New Roman"/>
                <w:color w:val="000000"/>
                <w:sz w:val="22"/>
                <w:lang w:eastAsia="lv-LV"/>
              </w:rPr>
            </w:pPr>
            <w:r w:rsidRPr="007258BA">
              <w:rPr>
                <w:rFonts w:eastAsia="Times New Roman" w:cs="Times New Roman"/>
                <w:color w:val="000000"/>
                <w:sz w:val="22"/>
                <w:lang w:eastAsia="lv-LV"/>
              </w:rPr>
              <w:t xml:space="preserve">        36,71 </w:t>
            </w:r>
          </w:p>
        </w:tc>
        <w:tc>
          <w:tcPr>
            <w:tcW w:w="957" w:type="dxa"/>
            <w:tcBorders>
              <w:top w:val="nil"/>
              <w:left w:val="nil"/>
              <w:bottom w:val="single" w:sz="4" w:space="0" w:color="auto"/>
              <w:right w:val="single" w:sz="4" w:space="0" w:color="auto"/>
            </w:tcBorders>
            <w:shd w:val="clear" w:color="auto" w:fill="auto"/>
            <w:noWrap/>
            <w:vAlign w:val="bottom"/>
            <w:hideMark/>
          </w:tcPr>
          <w:p w:rsidR="00E2047F" w:rsidRPr="007258BA" w:rsidRDefault="00E2047F" w:rsidP="007258BA">
            <w:pPr>
              <w:jc w:val="right"/>
              <w:rPr>
                <w:rFonts w:eastAsia="Times New Roman" w:cs="Times New Roman"/>
                <w:color w:val="000000"/>
                <w:sz w:val="22"/>
                <w:lang w:eastAsia="lv-LV"/>
              </w:rPr>
            </w:pPr>
            <w:r w:rsidRPr="007258BA">
              <w:rPr>
                <w:rFonts w:eastAsia="Times New Roman" w:cs="Times New Roman"/>
                <w:color w:val="000000"/>
                <w:sz w:val="22"/>
                <w:lang w:eastAsia="lv-LV"/>
              </w:rPr>
              <w:t xml:space="preserve">        39,22 </w:t>
            </w:r>
          </w:p>
        </w:tc>
      </w:tr>
      <w:tr w:rsidR="007258BA" w:rsidRPr="007258BA" w:rsidTr="007258BA">
        <w:trPr>
          <w:trHeight w:val="300"/>
        </w:trPr>
        <w:tc>
          <w:tcPr>
            <w:tcW w:w="1094" w:type="dxa"/>
            <w:tcBorders>
              <w:top w:val="nil"/>
              <w:left w:val="single" w:sz="4" w:space="0" w:color="auto"/>
              <w:bottom w:val="single" w:sz="4" w:space="0" w:color="auto"/>
              <w:right w:val="single" w:sz="4" w:space="0" w:color="auto"/>
            </w:tcBorders>
            <w:shd w:val="clear" w:color="auto" w:fill="auto"/>
            <w:noWrap/>
            <w:vAlign w:val="bottom"/>
            <w:hideMark/>
          </w:tcPr>
          <w:p w:rsidR="00E2047F" w:rsidRPr="007258BA" w:rsidRDefault="00E2047F" w:rsidP="00E2047F">
            <w:pPr>
              <w:jc w:val="right"/>
              <w:rPr>
                <w:rFonts w:eastAsia="Times New Roman" w:cs="Times New Roman"/>
                <w:b/>
                <w:color w:val="000000"/>
                <w:sz w:val="22"/>
                <w:lang w:eastAsia="lv-LV"/>
              </w:rPr>
            </w:pPr>
            <w:r w:rsidRPr="007258BA">
              <w:rPr>
                <w:rFonts w:eastAsia="Times New Roman" w:cs="Times New Roman"/>
                <w:b/>
                <w:color w:val="000000"/>
                <w:sz w:val="22"/>
                <w:lang w:eastAsia="lv-LV"/>
              </w:rPr>
              <w:t>2013</w:t>
            </w:r>
          </w:p>
        </w:tc>
        <w:tc>
          <w:tcPr>
            <w:tcW w:w="1141" w:type="dxa"/>
            <w:tcBorders>
              <w:top w:val="nil"/>
              <w:left w:val="nil"/>
              <w:bottom w:val="single" w:sz="4" w:space="0" w:color="auto"/>
              <w:right w:val="single" w:sz="4" w:space="0" w:color="auto"/>
            </w:tcBorders>
            <w:shd w:val="clear" w:color="auto" w:fill="auto"/>
            <w:noWrap/>
            <w:vAlign w:val="bottom"/>
            <w:hideMark/>
          </w:tcPr>
          <w:p w:rsidR="00E2047F" w:rsidRPr="007258BA" w:rsidRDefault="00E2047F" w:rsidP="00E2047F">
            <w:pPr>
              <w:rPr>
                <w:rFonts w:eastAsia="Times New Roman" w:cs="Times New Roman"/>
                <w:color w:val="000000"/>
                <w:sz w:val="22"/>
                <w:lang w:eastAsia="lv-LV"/>
              </w:rPr>
            </w:pPr>
            <w:r w:rsidRPr="007258BA">
              <w:rPr>
                <w:rFonts w:eastAsia="Times New Roman" w:cs="Times New Roman"/>
                <w:color w:val="000000"/>
                <w:sz w:val="22"/>
                <w:lang w:eastAsia="lv-LV"/>
              </w:rPr>
              <w:t xml:space="preserve">                        57,44 </w:t>
            </w:r>
          </w:p>
        </w:tc>
        <w:tc>
          <w:tcPr>
            <w:tcW w:w="1559" w:type="dxa"/>
            <w:tcBorders>
              <w:top w:val="nil"/>
              <w:left w:val="nil"/>
              <w:bottom w:val="single" w:sz="4" w:space="0" w:color="auto"/>
              <w:right w:val="single" w:sz="4" w:space="0" w:color="auto"/>
            </w:tcBorders>
            <w:shd w:val="clear" w:color="auto" w:fill="auto"/>
            <w:noWrap/>
            <w:vAlign w:val="bottom"/>
            <w:hideMark/>
          </w:tcPr>
          <w:p w:rsidR="00E2047F" w:rsidRPr="007258BA" w:rsidRDefault="007258BA" w:rsidP="007258BA">
            <w:pPr>
              <w:jc w:val="right"/>
              <w:rPr>
                <w:rFonts w:eastAsia="Times New Roman" w:cs="Times New Roman"/>
                <w:color w:val="000000"/>
                <w:sz w:val="22"/>
                <w:lang w:eastAsia="lv-LV"/>
              </w:rPr>
            </w:pPr>
            <w:r>
              <w:rPr>
                <w:rFonts w:eastAsia="Times New Roman" w:cs="Times New Roman"/>
                <w:color w:val="000000"/>
                <w:sz w:val="22"/>
                <w:lang w:eastAsia="lv-LV"/>
              </w:rPr>
              <w:t xml:space="preserve">-  </w:t>
            </w:r>
            <w:r w:rsidR="00E2047F" w:rsidRPr="007258BA">
              <w:rPr>
                <w:rFonts w:eastAsia="Times New Roman" w:cs="Times New Roman"/>
                <w:color w:val="000000"/>
                <w:sz w:val="22"/>
                <w:lang w:eastAsia="lv-LV"/>
              </w:rPr>
              <w:t xml:space="preserve">171,98 </w:t>
            </w:r>
          </w:p>
        </w:tc>
        <w:tc>
          <w:tcPr>
            <w:tcW w:w="1276" w:type="dxa"/>
            <w:tcBorders>
              <w:top w:val="nil"/>
              <w:left w:val="nil"/>
              <w:bottom w:val="single" w:sz="4" w:space="0" w:color="auto"/>
              <w:right w:val="single" w:sz="4" w:space="0" w:color="auto"/>
            </w:tcBorders>
            <w:shd w:val="clear" w:color="auto" w:fill="auto"/>
            <w:noWrap/>
            <w:vAlign w:val="bottom"/>
            <w:hideMark/>
          </w:tcPr>
          <w:p w:rsidR="00E2047F" w:rsidRPr="007258BA" w:rsidRDefault="00E2047F" w:rsidP="007258BA">
            <w:pPr>
              <w:jc w:val="right"/>
              <w:rPr>
                <w:rFonts w:eastAsia="Times New Roman" w:cs="Times New Roman"/>
                <w:color w:val="000000"/>
                <w:sz w:val="22"/>
                <w:lang w:eastAsia="lv-LV"/>
              </w:rPr>
            </w:pPr>
            <w:r w:rsidRPr="007258BA">
              <w:rPr>
                <w:rFonts w:eastAsia="Times New Roman" w:cs="Times New Roman"/>
                <w:color w:val="000000"/>
                <w:sz w:val="22"/>
                <w:lang w:eastAsia="lv-LV"/>
              </w:rPr>
              <w:t>51%</w:t>
            </w:r>
          </w:p>
        </w:tc>
        <w:tc>
          <w:tcPr>
            <w:tcW w:w="1275" w:type="dxa"/>
            <w:tcBorders>
              <w:top w:val="nil"/>
              <w:left w:val="nil"/>
              <w:bottom w:val="single" w:sz="4" w:space="0" w:color="auto"/>
              <w:right w:val="single" w:sz="4" w:space="0" w:color="auto"/>
            </w:tcBorders>
            <w:shd w:val="clear" w:color="auto" w:fill="auto"/>
            <w:noWrap/>
            <w:vAlign w:val="bottom"/>
            <w:hideMark/>
          </w:tcPr>
          <w:p w:rsidR="00E2047F" w:rsidRPr="007258BA" w:rsidRDefault="00E2047F" w:rsidP="007258BA">
            <w:pPr>
              <w:jc w:val="right"/>
              <w:rPr>
                <w:rFonts w:eastAsia="Times New Roman" w:cs="Times New Roman"/>
                <w:color w:val="000000"/>
                <w:sz w:val="22"/>
                <w:lang w:eastAsia="lv-LV"/>
              </w:rPr>
            </w:pPr>
            <w:r w:rsidRPr="007258BA">
              <w:rPr>
                <w:rFonts w:eastAsia="Times New Roman" w:cs="Times New Roman"/>
                <w:color w:val="000000"/>
                <w:sz w:val="22"/>
                <w:lang w:eastAsia="lv-LV"/>
              </w:rPr>
              <w:t>64%</w:t>
            </w:r>
          </w:p>
        </w:tc>
        <w:tc>
          <w:tcPr>
            <w:tcW w:w="1134" w:type="dxa"/>
            <w:tcBorders>
              <w:top w:val="nil"/>
              <w:left w:val="nil"/>
              <w:bottom w:val="single" w:sz="4" w:space="0" w:color="auto"/>
              <w:right w:val="single" w:sz="4" w:space="0" w:color="auto"/>
            </w:tcBorders>
            <w:shd w:val="clear" w:color="auto" w:fill="auto"/>
            <w:noWrap/>
            <w:vAlign w:val="bottom"/>
            <w:hideMark/>
          </w:tcPr>
          <w:p w:rsidR="00E2047F" w:rsidRPr="007258BA" w:rsidRDefault="00E2047F" w:rsidP="007258BA">
            <w:pPr>
              <w:jc w:val="right"/>
              <w:rPr>
                <w:rFonts w:eastAsia="Times New Roman" w:cs="Times New Roman"/>
                <w:color w:val="000000"/>
                <w:sz w:val="22"/>
                <w:lang w:eastAsia="lv-LV"/>
              </w:rPr>
            </w:pPr>
            <w:r w:rsidRPr="007258BA">
              <w:rPr>
                <w:rFonts w:eastAsia="Times New Roman" w:cs="Times New Roman"/>
                <w:color w:val="000000"/>
                <w:sz w:val="22"/>
                <w:lang w:eastAsia="lv-LV"/>
              </w:rPr>
              <w:t>69%</w:t>
            </w:r>
          </w:p>
        </w:tc>
        <w:tc>
          <w:tcPr>
            <w:tcW w:w="851" w:type="dxa"/>
            <w:tcBorders>
              <w:top w:val="nil"/>
              <w:left w:val="nil"/>
              <w:bottom w:val="single" w:sz="4" w:space="0" w:color="auto"/>
              <w:right w:val="single" w:sz="4" w:space="0" w:color="auto"/>
            </w:tcBorders>
            <w:shd w:val="clear" w:color="auto" w:fill="auto"/>
            <w:noWrap/>
            <w:vAlign w:val="bottom"/>
            <w:hideMark/>
          </w:tcPr>
          <w:p w:rsidR="00E2047F" w:rsidRPr="007258BA" w:rsidRDefault="00E2047F" w:rsidP="007258BA">
            <w:pPr>
              <w:jc w:val="right"/>
              <w:rPr>
                <w:rFonts w:eastAsia="Times New Roman" w:cs="Times New Roman"/>
                <w:color w:val="000000"/>
                <w:sz w:val="22"/>
                <w:lang w:eastAsia="lv-LV"/>
              </w:rPr>
            </w:pPr>
            <w:r w:rsidRPr="007258BA">
              <w:rPr>
                <w:rFonts w:eastAsia="Times New Roman" w:cs="Times New Roman"/>
                <w:color w:val="000000"/>
                <w:sz w:val="22"/>
                <w:lang w:eastAsia="lv-LV"/>
              </w:rPr>
              <w:t xml:space="preserve">        41,15 </w:t>
            </w:r>
          </w:p>
        </w:tc>
        <w:tc>
          <w:tcPr>
            <w:tcW w:w="957" w:type="dxa"/>
            <w:tcBorders>
              <w:top w:val="nil"/>
              <w:left w:val="nil"/>
              <w:bottom w:val="single" w:sz="4" w:space="0" w:color="auto"/>
              <w:right w:val="single" w:sz="4" w:space="0" w:color="auto"/>
            </w:tcBorders>
            <w:shd w:val="clear" w:color="auto" w:fill="auto"/>
            <w:noWrap/>
            <w:vAlign w:val="bottom"/>
            <w:hideMark/>
          </w:tcPr>
          <w:p w:rsidR="00E2047F" w:rsidRPr="007258BA" w:rsidRDefault="00E2047F" w:rsidP="007258BA">
            <w:pPr>
              <w:jc w:val="right"/>
              <w:rPr>
                <w:rFonts w:eastAsia="Times New Roman" w:cs="Times New Roman"/>
                <w:color w:val="000000"/>
                <w:sz w:val="22"/>
                <w:lang w:eastAsia="lv-LV"/>
              </w:rPr>
            </w:pPr>
            <w:r w:rsidRPr="007258BA">
              <w:rPr>
                <w:rFonts w:eastAsia="Times New Roman" w:cs="Times New Roman"/>
                <w:color w:val="000000"/>
                <w:sz w:val="22"/>
                <w:lang w:eastAsia="lv-LV"/>
              </w:rPr>
              <w:t xml:space="preserve">        43,15 </w:t>
            </w:r>
          </w:p>
        </w:tc>
      </w:tr>
      <w:tr w:rsidR="007258BA" w:rsidRPr="007258BA" w:rsidTr="007258BA">
        <w:trPr>
          <w:trHeight w:val="300"/>
        </w:trPr>
        <w:tc>
          <w:tcPr>
            <w:tcW w:w="1094" w:type="dxa"/>
            <w:tcBorders>
              <w:top w:val="nil"/>
              <w:left w:val="single" w:sz="4" w:space="0" w:color="auto"/>
              <w:bottom w:val="single" w:sz="4" w:space="0" w:color="auto"/>
              <w:right w:val="single" w:sz="4" w:space="0" w:color="auto"/>
            </w:tcBorders>
            <w:shd w:val="clear" w:color="auto" w:fill="auto"/>
            <w:noWrap/>
            <w:vAlign w:val="bottom"/>
            <w:hideMark/>
          </w:tcPr>
          <w:p w:rsidR="007268AF" w:rsidRDefault="00E2047F" w:rsidP="009E02DE">
            <w:pPr>
              <w:jc w:val="right"/>
              <w:rPr>
                <w:rFonts w:eastAsia="Times New Roman" w:cs="Times New Roman"/>
                <w:b/>
                <w:color w:val="000000"/>
                <w:sz w:val="22"/>
                <w:lang w:eastAsia="lv-LV"/>
              </w:rPr>
            </w:pPr>
            <w:r w:rsidRPr="007258BA">
              <w:rPr>
                <w:rFonts w:eastAsia="Times New Roman" w:cs="Times New Roman"/>
                <w:b/>
                <w:color w:val="000000"/>
                <w:sz w:val="22"/>
                <w:lang w:eastAsia="lv-LV"/>
              </w:rPr>
              <w:t>2014</w:t>
            </w:r>
          </w:p>
          <w:p w:rsidR="00E2047F" w:rsidRPr="007258BA" w:rsidRDefault="00E2047F" w:rsidP="009E02DE">
            <w:pPr>
              <w:jc w:val="right"/>
              <w:rPr>
                <w:rFonts w:eastAsia="Times New Roman" w:cs="Times New Roman"/>
                <w:b/>
                <w:color w:val="000000"/>
                <w:sz w:val="22"/>
                <w:lang w:eastAsia="lv-LV"/>
              </w:rPr>
            </w:pPr>
            <w:r w:rsidRPr="007258BA">
              <w:rPr>
                <w:rFonts w:eastAsia="Times New Roman" w:cs="Times New Roman"/>
                <w:b/>
                <w:color w:val="000000"/>
                <w:sz w:val="22"/>
                <w:lang w:eastAsia="lv-LV"/>
              </w:rPr>
              <w:t xml:space="preserve"> </w:t>
            </w:r>
            <w:r w:rsidR="009E02DE" w:rsidRPr="007258BA">
              <w:rPr>
                <w:rFonts w:eastAsia="Times New Roman" w:cs="Times New Roman"/>
                <w:b/>
                <w:color w:val="000000"/>
                <w:sz w:val="22"/>
                <w:lang w:eastAsia="lv-LV"/>
              </w:rPr>
              <w:t>01.- 05.</w:t>
            </w:r>
          </w:p>
        </w:tc>
        <w:tc>
          <w:tcPr>
            <w:tcW w:w="1141" w:type="dxa"/>
            <w:tcBorders>
              <w:top w:val="nil"/>
              <w:left w:val="nil"/>
              <w:bottom w:val="single" w:sz="4" w:space="0" w:color="auto"/>
              <w:right w:val="single" w:sz="4" w:space="0" w:color="auto"/>
            </w:tcBorders>
            <w:shd w:val="clear" w:color="auto" w:fill="auto"/>
            <w:noWrap/>
            <w:vAlign w:val="bottom"/>
            <w:hideMark/>
          </w:tcPr>
          <w:p w:rsidR="00E2047F" w:rsidRPr="007258BA" w:rsidRDefault="00E2047F" w:rsidP="00E2047F">
            <w:pPr>
              <w:rPr>
                <w:rFonts w:eastAsia="Times New Roman" w:cs="Times New Roman"/>
                <w:color w:val="000000"/>
                <w:sz w:val="22"/>
                <w:lang w:eastAsia="lv-LV"/>
              </w:rPr>
            </w:pPr>
            <w:r w:rsidRPr="007258BA">
              <w:rPr>
                <w:rFonts w:eastAsia="Times New Roman" w:cs="Times New Roman"/>
                <w:color w:val="000000"/>
                <w:sz w:val="22"/>
                <w:lang w:eastAsia="lv-LV"/>
              </w:rPr>
              <w:t xml:space="preserve">                           4,83 </w:t>
            </w:r>
          </w:p>
        </w:tc>
        <w:tc>
          <w:tcPr>
            <w:tcW w:w="1559" w:type="dxa"/>
            <w:tcBorders>
              <w:top w:val="nil"/>
              <w:left w:val="nil"/>
              <w:bottom w:val="single" w:sz="4" w:space="0" w:color="auto"/>
              <w:right w:val="single" w:sz="4" w:space="0" w:color="auto"/>
            </w:tcBorders>
            <w:shd w:val="clear" w:color="auto" w:fill="auto"/>
            <w:noWrap/>
            <w:vAlign w:val="bottom"/>
            <w:hideMark/>
          </w:tcPr>
          <w:p w:rsidR="00E2047F" w:rsidRPr="007258BA" w:rsidRDefault="007258BA" w:rsidP="007258BA">
            <w:pPr>
              <w:pStyle w:val="ListParagraph"/>
              <w:rPr>
                <w:rFonts w:eastAsia="Times New Roman" w:cs="Times New Roman"/>
                <w:color w:val="000000"/>
                <w:sz w:val="22"/>
                <w:lang w:eastAsia="lv-LV"/>
              </w:rPr>
            </w:pPr>
            <w:r>
              <w:rPr>
                <w:rFonts w:eastAsia="Times New Roman" w:cs="Times New Roman"/>
                <w:color w:val="000000"/>
                <w:sz w:val="22"/>
                <w:lang w:eastAsia="lv-LV"/>
              </w:rPr>
              <w:t xml:space="preserve"> - </w:t>
            </w:r>
            <w:r w:rsidR="00E2047F" w:rsidRPr="007258BA">
              <w:rPr>
                <w:rFonts w:eastAsia="Times New Roman" w:cs="Times New Roman"/>
                <w:color w:val="000000"/>
                <w:sz w:val="22"/>
                <w:lang w:eastAsia="lv-LV"/>
              </w:rPr>
              <w:t xml:space="preserve">470,30 </w:t>
            </w:r>
          </w:p>
        </w:tc>
        <w:tc>
          <w:tcPr>
            <w:tcW w:w="1276" w:type="dxa"/>
            <w:tcBorders>
              <w:top w:val="nil"/>
              <w:left w:val="nil"/>
              <w:bottom w:val="single" w:sz="4" w:space="0" w:color="auto"/>
              <w:right w:val="single" w:sz="4" w:space="0" w:color="auto"/>
            </w:tcBorders>
            <w:shd w:val="clear" w:color="auto" w:fill="auto"/>
            <w:noWrap/>
            <w:vAlign w:val="bottom"/>
            <w:hideMark/>
          </w:tcPr>
          <w:p w:rsidR="00E2047F" w:rsidRPr="007258BA" w:rsidRDefault="00E2047F" w:rsidP="007258BA">
            <w:pPr>
              <w:jc w:val="right"/>
              <w:rPr>
                <w:rFonts w:eastAsia="Times New Roman" w:cs="Times New Roman"/>
                <w:color w:val="000000"/>
                <w:sz w:val="22"/>
                <w:lang w:eastAsia="lv-LV"/>
              </w:rPr>
            </w:pPr>
            <w:r w:rsidRPr="007258BA">
              <w:rPr>
                <w:rFonts w:eastAsia="Times New Roman" w:cs="Times New Roman"/>
                <w:color w:val="000000"/>
                <w:sz w:val="22"/>
                <w:lang w:eastAsia="lv-LV"/>
              </w:rPr>
              <w:t>12%</w:t>
            </w:r>
          </w:p>
        </w:tc>
        <w:tc>
          <w:tcPr>
            <w:tcW w:w="1275" w:type="dxa"/>
            <w:tcBorders>
              <w:top w:val="nil"/>
              <w:left w:val="nil"/>
              <w:bottom w:val="single" w:sz="4" w:space="0" w:color="auto"/>
              <w:right w:val="single" w:sz="4" w:space="0" w:color="auto"/>
            </w:tcBorders>
            <w:shd w:val="clear" w:color="auto" w:fill="auto"/>
            <w:noWrap/>
            <w:vAlign w:val="bottom"/>
            <w:hideMark/>
          </w:tcPr>
          <w:p w:rsidR="00E2047F" w:rsidRPr="007258BA" w:rsidRDefault="00E2047F" w:rsidP="007258BA">
            <w:pPr>
              <w:jc w:val="right"/>
              <w:rPr>
                <w:rFonts w:eastAsia="Times New Roman" w:cs="Times New Roman"/>
                <w:color w:val="000000"/>
                <w:sz w:val="22"/>
                <w:lang w:eastAsia="lv-LV"/>
              </w:rPr>
            </w:pPr>
            <w:r w:rsidRPr="007258BA">
              <w:rPr>
                <w:rFonts w:eastAsia="Times New Roman" w:cs="Times New Roman"/>
                <w:color w:val="000000"/>
                <w:sz w:val="22"/>
                <w:lang w:eastAsia="lv-LV"/>
              </w:rPr>
              <w:t>58%</w:t>
            </w:r>
          </w:p>
        </w:tc>
        <w:tc>
          <w:tcPr>
            <w:tcW w:w="1134" w:type="dxa"/>
            <w:tcBorders>
              <w:top w:val="nil"/>
              <w:left w:val="nil"/>
              <w:bottom w:val="single" w:sz="4" w:space="0" w:color="auto"/>
              <w:right w:val="single" w:sz="4" w:space="0" w:color="auto"/>
            </w:tcBorders>
            <w:shd w:val="clear" w:color="auto" w:fill="auto"/>
            <w:noWrap/>
            <w:vAlign w:val="bottom"/>
            <w:hideMark/>
          </w:tcPr>
          <w:p w:rsidR="00E2047F" w:rsidRPr="007258BA" w:rsidRDefault="00E2047F" w:rsidP="007258BA">
            <w:pPr>
              <w:jc w:val="right"/>
              <w:rPr>
                <w:rFonts w:eastAsia="Times New Roman" w:cs="Times New Roman"/>
                <w:color w:val="000000"/>
                <w:sz w:val="22"/>
                <w:lang w:eastAsia="lv-LV"/>
              </w:rPr>
            </w:pPr>
            <w:r w:rsidRPr="007258BA">
              <w:rPr>
                <w:rFonts w:eastAsia="Times New Roman" w:cs="Times New Roman"/>
                <w:color w:val="000000"/>
                <w:sz w:val="22"/>
                <w:lang w:eastAsia="lv-LV"/>
              </w:rPr>
              <w:t>93%</w:t>
            </w:r>
          </w:p>
        </w:tc>
        <w:tc>
          <w:tcPr>
            <w:tcW w:w="851" w:type="dxa"/>
            <w:tcBorders>
              <w:top w:val="nil"/>
              <w:left w:val="nil"/>
              <w:bottom w:val="single" w:sz="4" w:space="0" w:color="auto"/>
              <w:right w:val="single" w:sz="4" w:space="0" w:color="auto"/>
            </w:tcBorders>
            <w:shd w:val="clear" w:color="auto" w:fill="auto"/>
            <w:noWrap/>
            <w:vAlign w:val="bottom"/>
            <w:hideMark/>
          </w:tcPr>
          <w:p w:rsidR="00E2047F" w:rsidRPr="007258BA" w:rsidRDefault="00E2047F" w:rsidP="007258BA">
            <w:pPr>
              <w:jc w:val="right"/>
              <w:rPr>
                <w:rFonts w:eastAsia="Times New Roman" w:cs="Times New Roman"/>
                <w:color w:val="000000"/>
                <w:sz w:val="22"/>
                <w:lang w:eastAsia="lv-LV"/>
              </w:rPr>
            </w:pPr>
            <w:r w:rsidRPr="007258BA">
              <w:rPr>
                <w:rFonts w:eastAsia="Times New Roman" w:cs="Times New Roman"/>
                <w:color w:val="000000"/>
                <w:sz w:val="22"/>
                <w:lang w:eastAsia="lv-LV"/>
              </w:rPr>
              <w:t xml:space="preserve">        34,86 </w:t>
            </w:r>
          </w:p>
        </w:tc>
        <w:tc>
          <w:tcPr>
            <w:tcW w:w="957" w:type="dxa"/>
            <w:tcBorders>
              <w:top w:val="nil"/>
              <w:left w:val="nil"/>
              <w:bottom w:val="single" w:sz="4" w:space="0" w:color="auto"/>
              <w:right w:val="single" w:sz="4" w:space="0" w:color="auto"/>
            </w:tcBorders>
            <w:shd w:val="clear" w:color="auto" w:fill="auto"/>
            <w:noWrap/>
            <w:vAlign w:val="bottom"/>
            <w:hideMark/>
          </w:tcPr>
          <w:p w:rsidR="00E2047F" w:rsidRPr="007258BA" w:rsidRDefault="00E2047F" w:rsidP="007258BA">
            <w:pPr>
              <w:jc w:val="right"/>
              <w:rPr>
                <w:rFonts w:eastAsia="Times New Roman" w:cs="Times New Roman"/>
                <w:color w:val="000000"/>
                <w:sz w:val="22"/>
                <w:lang w:eastAsia="lv-LV"/>
              </w:rPr>
            </w:pPr>
            <w:r w:rsidRPr="007258BA">
              <w:rPr>
                <w:rFonts w:eastAsia="Times New Roman" w:cs="Times New Roman"/>
                <w:color w:val="000000"/>
                <w:sz w:val="22"/>
                <w:lang w:eastAsia="lv-LV"/>
              </w:rPr>
              <w:t xml:space="preserve">        35,27 </w:t>
            </w:r>
          </w:p>
        </w:tc>
      </w:tr>
      <w:tr w:rsidR="007258BA" w:rsidRPr="007258BA" w:rsidTr="007258BA">
        <w:trPr>
          <w:trHeight w:val="300"/>
        </w:trPr>
        <w:tc>
          <w:tcPr>
            <w:tcW w:w="1094" w:type="dxa"/>
            <w:tcBorders>
              <w:top w:val="nil"/>
              <w:left w:val="nil"/>
              <w:bottom w:val="nil"/>
              <w:right w:val="nil"/>
            </w:tcBorders>
            <w:shd w:val="clear" w:color="auto" w:fill="auto"/>
            <w:noWrap/>
            <w:vAlign w:val="bottom"/>
            <w:hideMark/>
          </w:tcPr>
          <w:p w:rsidR="00E2047F" w:rsidRPr="007258BA" w:rsidRDefault="00E2047F" w:rsidP="00E2047F">
            <w:pPr>
              <w:rPr>
                <w:rFonts w:ascii="Calibri" w:eastAsia="Times New Roman" w:hAnsi="Calibri" w:cs="Times New Roman"/>
                <w:color w:val="000000"/>
                <w:sz w:val="22"/>
                <w:lang w:eastAsia="lv-LV"/>
              </w:rPr>
            </w:pPr>
          </w:p>
        </w:tc>
        <w:tc>
          <w:tcPr>
            <w:tcW w:w="1141" w:type="dxa"/>
            <w:tcBorders>
              <w:top w:val="nil"/>
              <w:left w:val="nil"/>
              <w:bottom w:val="nil"/>
              <w:right w:val="nil"/>
            </w:tcBorders>
            <w:shd w:val="clear" w:color="auto" w:fill="auto"/>
            <w:noWrap/>
            <w:vAlign w:val="bottom"/>
            <w:hideMark/>
          </w:tcPr>
          <w:p w:rsidR="00E2047F" w:rsidRPr="007258BA" w:rsidRDefault="00E2047F" w:rsidP="00E2047F">
            <w:pPr>
              <w:rPr>
                <w:rFonts w:ascii="Calibri" w:eastAsia="Times New Roman" w:hAnsi="Calibri" w:cs="Times New Roman"/>
                <w:color w:val="000000"/>
                <w:sz w:val="22"/>
                <w:lang w:eastAsia="lv-LV"/>
              </w:rPr>
            </w:pPr>
          </w:p>
        </w:tc>
        <w:tc>
          <w:tcPr>
            <w:tcW w:w="1559" w:type="dxa"/>
            <w:tcBorders>
              <w:top w:val="nil"/>
              <w:left w:val="nil"/>
              <w:bottom w:val="nil"/>
              <w:right w:val="nil"/>
            </w:tcBorders>
            <w:shd w:val="clear" w:color="auto" w:fill="auto"/>
            <w:noWrap/>
            <w:vAlign w:val="bottom"/>
            <w:hideMark/>
          </w:tcPr>
          <w:p w:rsidR="00E2047F" w:rsidRPr="007258BA" w:rsidRDefault="00E2047F" w:rsidP="00E2047F">
            <w:pPr>
              <w:rPr>
                <w:rFonts w:ascii="Calibri" w:eastAsia="Times New Roman" w:hAnsi="Calibri" w:cs="Times New Roman"/>
                <w:color w:val="000000"/>
                <w:sz w:val="22"/>
                <w:lang w:eastAsia="lv-LV"/>
              </w:rPr>
            </w:pPr>
          </w:p>
        </w:tc>
        <w:tc>
          <w:tcPr>
            <w:tcW w:w="1276" w:type="dxa"/>
            <w:tcBorders>
              <w:top w:val="nil"/>
              <w:left w:val="nil"/>
              <w:bottom w:val="nil"/>
              <w:right w:val="nil"/>
            </w:tcBorders>
            <w:shd w:val="clear" w:color="auto" w:fill="auto"/>
            <w:noWrap/>
            <w:vAlign w:val="bottom"/>
            <w:hideMark/>
          </w:tcPr>
          <w:p w:rsidR="00E2047F" w:rsidRPr="007258BA" w:rsidRDefault="00E2047F" w:rsidP="00E2047F">
            <w:pPr>
              <w:rPr>
                <w:rFonts w:ascii="Calibri" w:eastAsia="Times New Roman" w:hAnsi="Calibri" w:cs="Times New Roman"/>
                <w:color w:val="000000"/>
                <w:sz w:val="22"/>
                <w:lang w:eastAsia="lv-LV"/>
              </w:rPr>
            </w:pPr>
          </w:p>
        </w:tc>
        <w:tc>
          <w:tcPr>
            <w:tcW w:w="1275" w:type="dxa"/>
            <w:tcBorders>
              <w:top w:val="nil"/>
              <w:left w:val="nil"/>
              <w:bottom w:val="nil"/>
              <w:right w:val="nil"/>
            </w:tcBorders>
            <w:shd w:val="clear" w:color="auto" w:fill="auto"/>
            <w:noWrap/>
            <w:vAlign w:val="bottom"/>
            <w:hideMark/>
          </w:tcPr>
          <w:p w:rsidR="00E2047F" w:rsidRPr="007258BA" w:rsidRDefault="00E2047F" w:rsidP="00E2047F">
            <w:pPr>
              <w:rPr>
                <w:rFonts w:ascii="Calibri" w:eastAsia="Times New Roman" w:hAnsi="Calibri" w:cs="Times New Roman"/>
                <w:color w:val="000000"/>
                <w:sz w:val="22"/>
                <w:lang w:eastAsia="lv-LV"/>
              </w:rPr>
            </w:pPr>
          </w:p>
        </w:tc>
        <w:tc>
          <w:tcPr>
            <w:tcW w:w="1134" w:type="dxa"/>
            <w:tcBorders>
              <w:top w:val="nil"/>
              <w:left w:val="nil"/>
              <w:bottom w:val="nil"/>
              <w:right w:val="nil"/>
            </w:tcBorders>
            <w:shd w:val="clear" w:color="auto" w:fill="auto"/>
            <w:noWrap/>
            <w:vAlign w:val="bottom"/>
            <w:hideMark/>
          </w:tcPr>
          <w:p w:rsidR="00E2047F" w:rsidRPr="007258BA" w:rsidRDefault="00E2047F" w:rsidP="00E2047F">
            <w:pPr>
              <w:rPr>
                <w:rFonts w:ascii="Calibri" w:eastAsia="Times New Roman" w:hAnsi="Calibri" w:cs="Times New Roman"/>
                <w:color w:val="000000"/>
                <w:sz w:val="22"/>
                <w:lang w:eastAsia="lv-LV"/>
              </w:rPr>
            </w:pPr>
          </w:p>
        </w:tc>
        <w:tc>
          <w:tcPr>
            <w:tcW w:w="851" w:type="dxa"/>
            <w:tcBorders>
              <w:top w:val="nil"/>
              <w:left w:val="nil"/>
              <w:bottom w:val="nil"/>
              <w:right w:val="nil"/>
            </w:tcBorders>
            <w:shd w:val="clear" w:color="auto" w:fill="auto"/>
            <w:noWrap/>
            <w:vAlign w:val="bottom"/>
            <w:hideMark/>
          </w:tcPr>
          <w:p w:rsidR="00E2047F" w:rsidRPr="007258BA" w:rsidRDefault="00E2047F" w:rsidP="00E2047F">
            <w:pPr>
              <w:rPr>
                <w:rFonts w:ascii="Calibri" w:eastAsia="Times New Roman" w:hAnsi="Calibri" w:cs="Times New Roman"/>
                <w:color w:val="000000"/>
                <w:sz w:val="22"/>
                <w:lang w:eastAsia="lv-LV"/>
              </w:rPr>
            </w:pPr>
          </w:p>
        </w:tc>
        <w:tc>
          <w:tcPr>
            <w:tcW w:w="957" w:type="dxa"/>
            <w:tcBorders>
              <w:top w:val="nil"/>
              <w:left w:val="nil"/>
              <w:bottom w:val="nil"/>
              <w:right w:val="nil"/>
            </w:tcBorders>
            <w:shd w:val="clear" w:color="auto" w:fill="auto"/>
            <w:noWrap/>
            <w:vAlign w:val="bottom"/>
            <w:hideMark/>
          </w:tcPr>
          <w:p w:rsidR="00E2047F" w:rsidRPr="007258BA" w:rsidRDefault="00E2047F" w:rsidP="00E2047F">
            <w:pPr>
              <w:rPr>
                <w:rFonts w:ascii="Calibri" w:eastAsia="Times New Roman" w:hAnsi="Calibri" w:cs="Times New Roman"/>
                <w:color w:val="000000"/>
                <w:sz w:val="22"/>
                <w:lang w:eastAsia="lv-LV"/>
              </w:rPr>
            </w:pPr>
          </w:p>
        </w:tc>
      </w:tr>
    </w:tbl>
    <w:p w:rsidR="005C4500" w:rsidRDefault="00B31B1D" w:rsidP="00B31B1D">
      <w:pPr>
        <w:tabs>
          <w:tab w:val="right" w:pos="851"/>
        </w:tabs>
        <w:ind w:firstLine="567"/>
        <w:jc w:val="both"/>
        <w:rPr>
          <w:szCs w:val="28"/>
        </w:rPr>
      </w:pPr>
      <w:r w:rsidRPr="0063735A">
        <w:rPr>
          <w:szCs w:val="28"/>
        </w:rPr>
        <w:t xml:space="preserve">Pašlaik norit darbs arī pie Lietuvas </w:t>
      </w:r>
      <w:r w:rsidRPr="0063735A">
        <w:rPr>
          <w:rFonts w:cs="Times New Roman"/>
          <w:szCs w:val="28"/>
        </w:rPr>
        <w:t>–</w:t>
      </w:r>
      <w:r w:rsidRPr="0063735A">
        <w:rPr>
          <w:szCs w:val="28"/>
        </w:rPr>
        <w:t xml:space="preserve"> Polijas elektroenerģijas savienojuma (</w:t>
      </w:r>
      <w:proofErr w:type="spellStart"/>
      <w:r w:rsidRPr="0063735A">
        <w:rPr>
          <w:i/>
          <w:szCs w:val="28"/>
        </w:rPr>
        <w:t>LitPolLink</w:t>
      </w:r>
      <w:proofErr w:type="spellEnd"/>
      <w:r w:rsidR="005C4500">
        <w:rPr>
          <w:szCs w:val="28"/>
        </w:rPr>
        <w:t>; pārvades jauda – 1000</w:t>
      </w:r>
      <w:r w:rsidR="00946871">
        <w:rPr>
          <w:szCs w:val="28"/>
        </w:rPr>
        <w:t xml:space="preserve"> </w:t>
      </w:r>
      <w:r w:rsidR="005C4500">
        <w:rPr>
          <w:szCs w:val="28"/>
        </w:rPr>
        <w:t>MW;</w:t>
      </w:r>
      <w:r w:rsidRPr="0063735A">
        <w:rPr>
          <w:szCs w:val="28"/>
        </w:rPr>
        <w:t xml:space="preserve"> </w:t>
      </w:r>
      <w:r w:rsidRPr="005C4500">
        <w:rPr>
          <w:szCs w:val="28"/>
        </w:rPr>
        <w:t>no Kroņ</w:t>
      </w:r>
      <w:r w:rsidR="00DF677E" w:rsidRPr="005C4500">
        <w:rPr>
          <w:szCs w:val="28"/>
        </w:rPr>
        <w:t xml:space="preserve">u </w:t>
      </w:r>
      <w:proofErr w:type="spellStart"/>
      <w:r w:rsidR="00DF677E" w:rsidRPr="005C4500">
        <w:rPr>
          <w:szCs w:val="28"/>
        </w:rPr>
        <w:t>hidroakumulējošās</w:t>
      </w:r>
      <w:proofErr w:type="spellEnd"/>
      <w:r w:rsidR="00DF677E">
        <w:rPr>
          <w:szCs w:val="28"/>
        </w:rPr>
        <w:t xml:space="preserve"> stacijas (HAES)</w:t>
      </w:r>
      <w:r w:rsidRPr="0063735A">
        <w:rPr>
          <w:szCs w:val="28"/>
        </w:rPr>
        <w:t xml:space="preserve">, Lietuvā, </w:t>
      </w:r>
      <w:r w:rsidR="00793B0B">
        <w:rPr>
          <w:szCs w:val="28"/>
        </w:rPr>
        <w:t xml:space="preserve">caur Elku un </w:t>
      </w:r>
      <w:proofErr w:type="spellStart"/>
      <w:r w:rsidR="00793B0B">
        <w:rPr>
          <w:szCs w:val="28"/>
        </w:rPr>
        <w:t>Alitusu</w:t>
      </w:r>
      <w:proofErr w:type="spellEnd"/>
      <w:r w:rsidR="00793B0B" w:rsidRPr="0063735A">
        <w:rPr>
          <w:szCs w:val="28"/>
        </w:rPr>
        <w:t xml:space="preserve"> </w:t>
      </w:r>
      <w:r w:rsidR="00793B0B">
        <w:rPr>
          <w:szCs w:val="28"/>
        </w:rPr>
        <w:t xml:space="preserve">uz </w:t>
      </w:r>
      <w:proofErr w:type="spellStart"/>
      <w:r w:rsidR="00793B0B">
        <w:rPr>
          <w:szCs w:val="28"/>
        </w:rPr>
        <w:t>Narevu</w:t>
      </w:r>
      <w:proofErr w:type="spellEnd"/>
      <w:r w:rsidR="00793B0B">
        <w:rPr>
          <w:szCs w:val="28"/>
        </w:rPr>
        <w:t>, Polijā</w:t>
      </w:r>
      <w:r w:rsidRPr="0063735A">
        <w:rPr>
          <w:szCs w:val="28"/>
        </w:rPr>
        <w:t>)</w:t>
      </w:r>
      <w:r w:rsidR="005C4500">
        <w:rPr>
          <w:szCs w:val="28"/>
        </w:rPr>
        <w:t xml:space="preserve"> izveides. Š</w:t>
      </w:r>
      <w:r w:rsidR="00793B0B">
        <w:rPr>
          <w:szCs w:val="28"/>
        </w:rPr>
        <w:t>īs</w:t>
      </w:r>
      <w:r w:rsidR="005C4500">
        <w:rPr>
          <w:szCs w:val="28"/>
        </w:rPr>
        <w:t xml:space="preserve"> energosistēm</w:t>
      </w:r>
      <w:r w:rsidR="00793B0B">
        <w:rPr>
          <w:szCs w:val="28"/>
        </w:rPr>
        <w:t>as</w:t>
      </w:r>
      <w:r w:rsidR="005C4500">
        <w:rPr>
          <w:szCs w:val="28"/>
        </w:rPr>
        <w:t xml:space="preserve"> </w:t>
      </w:r>
      <w:proofErr w:type="spellStart"/>
      <w:r w:rsidR="005C4500">
        <w:rPr>
          <w:szCs w:val="28"/>
        </w:rPr>
        <w:t>starpsavienojuma</w:t>
      </w:r>
      <w:proofErr w:type="spellEnd"/>
      <w:r w:rsidR="005C4500">
        <w:rPr>
          <w:szCs w:val="28"/>
        </w:rPr>
        <w:t xml:space="preserve"> sait</w:t>
      </w:r>
      <w:r w:rsidR="00793B0B">
        <w:rPr>
          <w:szCs w:val="28"/>
        </w:rPr>
        <w:t>es pirmo kārtu (ar pārvades jaudu 500MW)</w:t>
      </w:r>
      <w:r w:rsidR="005C4500">
        <w:rPr>
          <w:szCs w:val="28"/>
        </w:rPr>
        <w:t xml:space="preserve"> plānots nodot ekspluatācijā 2015.gadā.</w:t>
      </w:r>
      <w:r w:rsidRPr="0063735A">
        <w:rPr>
          <w:szCs w:val="28"/>
        </w:rPr>
        <w:t xml:space="preserve"> </w:t>
      </w:r>
    </w:p>
    <w:p w:rsidR="00B31B1D" w:rsidRPr="0063735A" w:rsidRDefault="005C4500" w:rsidP="00B31B1D">
      <w:pPr>
        <w:tabs>
          <w:tab w:val="right" w:pos="851"/>
        </w:tabs>
        <w:ind w:firstLine="567"/>
        <w:jc w:val="both"/>
        <w:rPr>
          <w:szCs w:val="28"/>
        </w:rPr>
      </w:pPr>
      <w:r>
        <w:rPr>
          <w:szCs w:val="28"/>
        </w:rPr>
        <w:t>Tāpat, turpinās projekta</w:t>
      </w:r>
      <w:r w:rsidR="00B31B1D" w:rsidRPr="0063735A">
        <w:rPr>
          <w:szCs w:val="28"/>
        </w:rPr>
        <w:t xml:space="preserve"> „Kurzemes loks”</w:t>
      </w:r>
      <w:r>
        <w:rPr>
          <w:szCs w:val="28"/>
        </w:rPr>
        <w:t xml:space="preserve"> realizācija Latvijā</w:t>
      </w:r>
      <w:r w:rsidR="00B31B1D" w:rsidRPr="0063735A">
        <w:rPr>
          <w:szCs w:val="28"/>
        </w:rPr>
        <w:t>.</w:t>
      </w:r>
    </w:p>
    <w:p w:rsidR="00B31B1D" w:rsidRPr="0063735A" w:rsidRDefault="00B31B1D" w:rsidP="00B321C2">
      <w:pPr>
        <w:suppressAutoHyphens/>
        <w:ind w:firstLine="567"/>
        <w:jc w:val="both"/>
        <w:rPr>
          <w:szCs w:val="28"/>
        </w:rPr>
      </w:pPr>
      <w:r w:rsidRPr="0063735A">
        <w:rPr>
          <w:szCs w:val="28"/>
        </w:rPr>
        <w:t>„Kurzemes loka” pirmais posms ietv</w:t>
      </w:r>
      <w:r w:rsidR="001B42D2">
        <w:rPr>
          <w:szCs w:val="28"/>
        </w:rPr>
        <w:t>ēra</w:t>
      </w:r>
      <w:r w:rsidRPr="0063735A">
        <w:rPr>
          <w:szCs w:val="28"/>
        </w:rPr>
        <w:t xml:space="preserve"> 330kV augstsprieguma līnijas izbūvi, savienojot Rīgas pilsētas 330kV </w:t>
      </w:r>
      <w:r w:rsidR="001B42D2" w:rsidRPr="0063735A">
        <w:rPr>
          <w:szCs w:val="28"/>
        </w:rPr>
        <w:t>apakšstacij</w:t>
      </w:r>
      <w:r w:rsidR="001B42D2">
        <w:rPr>
          <w:szCs w:val="28"/>
        </w:rPr>
        <w:t>u</w:t>
      </w:r>
      <w:r w:rsidR="001B42D2" w:rsidRPr="0063735A">
        <w:rPr>
          <w:szCs w:val="28"/>
        </w:rPr>
        <w:t xml:space="preserve"> </w:t>
      </w:r>
      <w:r w:rsidRPr="0063735A">
        <w:rPr>
          <w:szCs w:val="28"/>
        </w:rPr>
        <w:t>Rīgas TEC-1 ar apakšstaciju „Imanta”</w:t>
      </w:r>
      <w:r w:rsidR="001B42D2">
        <w:rPr>
          <w:szCs w:val="28"/>
        </w:rPr>
        <w:t xml:space="preserve"> (noslēdzot 330kV loku ap Rīgu).</w:t>
      </w:r>
      <w:r w:rsidRPr="0063735A">
        <w:rPr>
          <w:szCs w:val="28"/>
        </w:rPr>
        <w:t xml:space="preserve"> </w:t>
      </w:r>
      <w:r w:rsidR="001B42D2">
        <w:rPr>
          <w:szCs w:val="28"/>
        </w:rPr>
        <w:t>L</w:t>
      </w:r>
      <w:r w:rsidRPr="0063735A">
        <w:rPr>
          <w:szCs w:val="28"/>
        </w:rPr>
        <w:t xml:space="preserve">īnijas izbūves darbi </w:t>
      </w:r>
      <w:r w:rsidR="001B42D2">
        <w:rPr>
          <w:szCs w:val="28"/>
        </w:rPr>
        <w:t xml:space="preserve">tika </w:t>
      </w:r>
      <w:r w:rsidRPr="0063735A">
        <w:rPr>
          <w:szCs w:val="28"/>
        </w:rPr>
        <w:t xml:space="preserve">pabeigti 2013.gada 25.septembrī. </w:t>
      </w:r>
      <w:r w:rsidR="001B42D2">
        <w:rPr>
          <w:szCs w:val="28"/>
        </w:rPr>
        <w:t>Savukārt,</w:t>
      </w:r>
      <w:r w:rsidRPr="0063735A">
        <w:rPr>
          <w:szCs w:val="28"/>
        </w:rPr>
        <w:t xml:space="preserve"> </w:t>
      </w:r>
      <w:r w:rsidR="001B42D2">
        <w:rPr>
          <w:szCs w:val="28"/>
        </w:rPr>
        <w:t>„</w:t>
      </w:r>
      <w:r w:rsidRPr="0063735A">
        <w:rPr>
          <w:szCs w:val="28"/>
        </w:rPr>
        <w:t>Kurzemes loka</w:t>
      </w:r>
      <w:r w:rsidR="001B42D2">
        <w:rPr>
          <w:szCs w:val="28"/>
        </w:rPr>
        <w:t>”</w:t>
      </w:r>
      <w:r w:rsidRPr="0063735A">
        <w:rPr>
          <w:szCs w:val="28"/>
        </w:rPr>
        <w:t xml:space="preserve"> otrais posms </w:t>
      </w:r>
      <w:r w:rsidR="001B42D2">
        <w:rPr>
          <w:szCs w:val="28"/>
        </w:rPr>
        <w:t>paredz</w:t>
      </w:r>
      <w:r w:rsidR="001B42D2" w:rsidRPr="0063735A">
        <w:rPr>
          <w:szCs w:val="28"/>
        </w:rPr>
        <w:t xml:space="preserve"> </w:t>
      </w:r>
      <w:r w:rsidRPr="0063735A">
        <w:rPr>
          <w:szCs w:val="28"/>
        </w:rPr>
        <w:t xml:space="preserve">330kV augstsprieguma līnijas Grobiņa – Ventspils izbūvi, </w:t>
      </w:r>
      <w:r w:rsidR="001B42D2">
        <w:rPr>
          <w:szCs w:val="28"/>
        </w:rPr>
        <w:t>kuras projektēšanas</w:t>
      </w:r>
      <w:r w:rsidR="001B42D2" w:rsidRPr="0063735A">
        <w:rPr>
          <w:szCs w:val="28"/>
        </w:rPr>
        <w:t xml:space="preserve"> </w:t>
      </w:r>
      <w:r w:rsidRPr="0063735A">
        <w:rPr>
          <w:szCs w:val="28"/>
        </w:rPr>
        <w:t xml:space="preserve">fāze uzsākta 2010.gadā, bet visus darbus plānots pabeigt 2014.gadā. Projekta pirmā un otrā posma izbūves izmaksas ir 98,5 </w:t>
      </w:r>
      <w:proofErr w:type="spellStart"/>
      <w:r w:rsidRPr="0063735A">
        <w:rPr>
          <w:szCs w:val="28"/>
        </w:rPr>
        <w:t>milj</w:t>
      </w:r>
      <w:proofErr w:type="spellEnd"/>
      <w:r w:rsidRPr="0063735A">
        <w:rPr>
          <w:szCs w:val="28"/>
        </w:rPr>
        <w:t xml:space="preserve">. EUR, no tiem 38,5 </w:t>
      </w:r>
      <w:proofErr w:type="spellStart"/>
      <w:r w:rsidRPr="0063735A">
        <w:rPr>
          <w:szCs w:val="28"/>
        </w:rPr>
        <w:t>milj</w:t>
      </w:r>
      <w:proofErr w:type="spellEnd"/>
      <w:r w:rsidRPr="0063735A">
        <w:rPr>
          <w:szCs w:val="28"/>
        </w:rPr>
        <w:t xml:space="preserve">. EUR sedza no Eiropas Enerģētikas atjaunošanas programmas (turpmāk </w:t>
      </w:r>
      <w:r w:rsidR="0031008C" w:rsidRPr="00F307C1">
        <w:rPr>
          <w:rFonts w:eastAsia="Times New Roman" w:cs="Times New Roman"/>
          <w:szCs w:val="28"/>
        </w:rPr>
        <w:t>–</w:t>
      </w:r>
      <w:r w:rsidRPr="0063735A">
        <w:rPr>
          <w:szCs w:val="28"/>
        </w:rPr>
        <w:t xml:space="preserve"> EEPR) līdzekļiem. Līdz šim jau 1. un 2.posmā ir ieguldīti 66 </w:t>
      </w:r>
      <w:proofErr w:type="spellStart"/>
      <w:r w:rsidRPr="0063735A">
        <w:rPr>
          <w:szCs w:val="28"/>
        </w:rPr>
        <w:t>milj</w:t>
      </w:r>
      <w:proofErr w:type="spellEnd"/>
      <w:r w:rsidRPr="0063735A">
        <w:rPr>
          <w:szCs w:val="28"/>
        </w:rPr>
        <w:t xml:space="preserve">. EUR. Kurzemes loka 3.posma izmaksas ir 127,42 </w:t>
      </w:r>
      <w:proofErr w:type="spellStart"/>
      <w:r w:rsidRPr="0063735A">
        <w:rPr>
          <w:szCs w:val="28"/>
        </w:rPr>
        <w:t>milj</w:t>
      </w:r>
      <w:proofErr w:type="spellEnd"/>
      <w:r w:rsidRPr="0063735A">
        <w:rPr>
          <w:szCs w:val="28"/>
        </w:rPr>
        <w:t xml:space="preserve">. eiro un to plānots pabeigt 2018.gada beigās. </w:t>
      </w:r>
    </w:p>
    <w:p w:rsidR="00134BDC" w:rsidRDefault="00075A70" w:rsidP="00075A70">
      <w:pPr>
        <w:suppressAutoHyphens/>
        <w:ind w:firstLine="709"/>
        <w:jc w:val="both"/>
        <w:rPr>
          <w:szCs w:val="28"/>
        </w:rPr>
      </w:pPr>
      <w:r>
        <w:rPr>
          <w:szCs w:val="28"/>
        </w:rPr>
        <w:lastRenderedPageBreak/>
        <w:t xml:space="preserve">Veiksmīgai un savlaicīgai </w:t>
      </w:r>
      <w:proofErr w:type="spellStart"/>
      <w:r w:rsidRPr="00F92628">
        <w:rPr>
          <w:i/>
          <w:szCs w:val="28"/>
        </w:rPr>
        <w:t>NordBalt</w:t>
      </w:r>
      <w:proofErr w:type="spellEnd"/>
      <w:r w:rsidRPr="00ED114C">
        <w:rPr>
          <w:szCs w:val="28"/>
        </w:rPr>
        <w:t xml:space="preserve"> </w:t>
      </w:r>
      <w:r>
        <w:rPr>
          <w:szCs w:val="28"/>
        </w:rPr>
        <w:t>projekta īstenošanai, tiek strādāts arī pie Latvijas – Igaunijas energosistēmu 3.starpsavienojuma izveides. Projekts</w:t>
      </w:r>
      <w:r w:rsidRPr="00ED114C">
        <w:rPr>
          <w:szCs w:val="28"/>
        </w:rPr>
        <w:t xml:space="preserve"> paredz savienot Rīgas TEC-2 apakšstaciju un </w:t>
      </w:r>
      <w:proofErr w:type="spellStart"/>
      <w:r w:rsidRPr="00ED114C">
        <w:rPr>
          <w:szCs w:val="28"/>
        </w:rPr>
        <w:t>Kilingi-Nomme</w:t>
      </w:r>
      <w:proofErr w:type="spellEnd"/>
      <w:r w:rsidRPr="00ED114C">
        <w:rPr>
          <w:szCs w:val="28"/>
        </w:rPr>
        <w:t xml:space="preserve"> Igaunijā, kā arī Igaunijas pusē izbūvēt savienojumu starp </w:t>
      </w:r>
      <w:proofErr w:type="spellStart"/>
      <w:r w:rsidRPr="00ED114C">
        <w:rPr>
          <w:szCs w:val="28"/>
        </w:rPr>
        <w:t>Harku</w:t>
      </w:r>
      <w:proofErr w:type="spellEnd"/>
      <w:r w:rsidRPr="00ED114C">
        <w:rPr>
          <w:szCs w:val="28"/>
        </w:rPr>
        <w:t xml:space="preserve"> un </w:t>
      </w:r>
      <w:proofErr w:type="spellStart"/>
      <w:r w:rsidRPr="00ED114C">
        <w:rPr>
          <w:szCs w:val="28"/>
        </w:rPr>
        <w:t>Sindi</w:t>
      </w:r>
      <w:proofErr w:type="spellEnd"/>
      <w:r w:rsidRPr="00ED114C">
        <w:rPr>
          <w:szCs w:val="28"/>
        </w:rPr>
        <w:t xml:space="preserve">. Projekta virzītāji no Latvijas puses ir </w:t>
      </w:r>
      <w:r>
        <w:rPr>
          <w:szCs w:val="28"/>
        </w:rPr>
        <w:t xml:space="preserve">PSO </w:t>
      </w:r>
      <w:r w:rsidRPr="00ED114C">
        <w:rPr>
          <w:szCs w:val="28"/>
        </w:rPr>
        <w:t xml:space="preserve">„Augstsprieguma tīkli” un AS „Latvijas elektriskie tīkli”, </w:t>
      </w:r>
      <w:r>
        <w:rPr>
          <w:szCs w:val="28"/>
        </w:rPr>
        <w:t xml:space="preserve">un </w:t>
      </w:r>
      <w:r w:rsidRPr="00ED114C">
        <w:rPr>
          <w:szCs w:val="28"/>
        </w:rPr>
        <w:t>no Igaunijas puses</w:t>
      </w:r>
      <w:r>
        <w:rPr>
          <w:szCs w:val="28"/>
        </w:rPr>
        <w:t xml:space="preserve"> -</w:t>
      </w:r>
      <w:r w:rsidRPr="00ED114C">
        <w:rPr>
          <w:szCs w:val="28"/>
        </w:rPr>
        <w:t xml:space="preserve"> </w:t>
      </w:r>
      <w:r>
        <w:rPr>
          <w:szCs w:val="28"/>
        </w:rPr>
        <w:t>PSO</w:t>
      </w:r>
      <w:r w:rsidRPr="00ED114C">
        <w:rPr>
          <w:szCs w:val="28"/>
        </w:rPr>
        <w:t xml:space="preserve"> </w:t>
      </w:r>
      <w:r>
        <w:rPr>
          <w:szCs w:val="28"/>
        </w:rPr>
        <w:t>„</w:t>
      </w:r>
      <w:proofErr w:type="spellStart"/>
      <w:r w:rsidRPr="00ED114C">
        <w:rPr>
          <w:szCs w:val="28"/>
        </w:rPr>
        <w:t>Elering</w:t>
      </w:r>
      <w:proofErr w:type="spellEnd"/>
      <w:r>
        <w:rPr>
          <w:szCs w:val="28"/>
        </w:rPr>
        <w:t>”</w:t>
      </w:r>
      <w:r w:rsidRPr="00ED114C">
        <w:rPr>
          <w:szCs w:val="28"/>
        </w:rPr>
        <w:t xml:space="preserve">. </w:t>
      </w:r>
      <w:r w:rsidRPr="00A12010">
        <w:rPr>
          <w:szCs w:val="28"/>
        </w:rPr>
        <w:t>Projektu paredzams realizēt līdz 2020.gadam</w:t>
      </w:r>
      <w:r>
        <w:rPr>
          <w:szCs w:val="28"/>
        </w:rPr>
        <w:t>.</w:t>
      </w:r>
    </w:p>
    <w:p w:rsidR="00B31B1D" w:rsidRPr="0063735A" w:rsidRDefault="00B31B1D" w:rsidP="00B31B1D">
      <w:pPr>
        <w:ind w:firstLine="567"/>
        <w:jc w:val="both"/>
        <w:rPr>
          <w:szCs w:val="28"/>
        </w:rPr>
      </w:pPr>
      <w:r w:rsidRPr="0063735A">
        <w:rPr>
          <w:szCs w:val="28"/>
        </w:rPr>
        <w:t xml:space="preserve">Lai izvērtētu Baltijas valstu energosistēmu iekļaušanos ES iekšējā elektroenerģijas tirgū un iespējamo sinhrono darbu ar kontinentālās Eiropas </w:t>
      </w:r>
      <w:r w:rsidR="00D232E3">
        <w:rPr>
          <w:szCs w:val="28"/>
        </w:rPr>
        <w:t>PS</w:t>
      </w:r>
      <w:r w:rsidRPr="0063735A">
        <w:rPr>
          <w:szCs w:val="28"/>
        </w:rPr>
        <w:t xml:space="preserve">, 2011.gada 22.septembrī trīs Baltijas valstu </w:t>
      </w:r>
      <w:r w:rsidR="00D232E3">
        <w:rPr>
          <w:szCs w:val="28"/>
        </w:rPr>
        <w:t>PSO</w:t>
      </w:r>
      <w:r w:rsidRPr="0063735A">
        <w:rPr>
          <w:szCs w:val="28"/>
        </w:rPr>
        <w:t xml:space="preserve"> AS </w:t>
      </w:r>
      <w:r w:rsidR="00D232E3">
        <w:rPr>
          <w:szCs w:val="28"/>
        </w:rPr>
        <w:t>”Augstsprieguma tīkls”</w:t>
      </w:r>
      <w:r w:rsidRPr="0063735A">
        <w:rPr>
          <w:szCs w:val="28"/>
        </w:rPr>
        <w:t xml:space="preserve">, </w:t>
      </w:r>
      <w:r w:rsidR="00D232E3">
        <w:rPr>
          <w:szCs w:val="28"/>
        </w:rPr>
        <w:t>„</w:t>
      </w:r>
      <w:proofErr w:type="spellStart"/>
      <w:r w:rsidRPr="00D232E3">
        <w:rPr>
          <w:szCs w:val="28"/>
        </w:rPr>
        <w:t>Elering</w:t>
      </w:r>
      <w:proofErr w:type="spellEnd"/>
      <w:r w:rsidR="00D232E3">
        <w:rPr>
          <w:szCs w:val="28"/>
        </w:rPr>
        <w:t>”</w:t>
      </w:r>
      <w:r w:rsidRPr="0063735A">
        <w:rPr>
          <w:szCs w:val="28"/>
        </w:rPr>
        <w:t xml:space="preserve"> un </w:t>
      </w:r>
      <w:r w:rsidR="00D232E3">
        <w:rPr>
          <w:szCs w:val="28"/>
        </w:rPr>
        <w:t>„</w:t>
      </w:r>
      <w:proofErr w:type="spellStart"/>
      <w:r w:rsidRPr="00D232E3">
        <w:rPr>
          <w:szCs w:val="28"/>
        </w:rPr>
        <w:t>Litgrid</w:t>
      </w:r>
      <w:proofErr w:type="spellEnd"/>
      <w:r w:rsidR="00D232E3">
        <w:rPr>
          <w:szCs w:val="28"/>
        </w:rPr>
        <w:t>”</w:t>
      </w:r>
      <w:r w:rsidRPr="00D232E3">
        <w:rPr>
          <w:szCs w:val="28"/>
        </w:rPr>
        <w:t xml:space="preserve"> </w:t>
      </w:r>
      <w:r w:rsidRPr="0063735A">
        <w:rPr>
          <w:szCs w:val="28"/>
        </w:rPr>
        <w:t xml:space="preserve">parakstīja sadarbības līgumu par izpētes darba veikšanu. </w:t>
      </w:r>
    </w:p>
    <w:p w:rsidR="00B31B1D" w:rsidRPr="0063735A" w:rsidRDefault="00B31B1D" w:rsidP="002C685B">
      <w:pPr>
        <w:shd w:val="clear" w:color="auto" w:fill="FFFFFF" w:themeFill="background1"/>
        <w:ind w:firstLine="567"/>
        <w:jc w:val="both"/>
        <w:rPr>
          <w:szCs w:val="28"/>
        </w:rPr>
      </w:pPr>
      <w:r w:rsidRPr="0063735A">
        <w:rPr>
          <w:szCs w:val="28"/>
        </w:rPr>
        <w:t>2013.gada 11.oktobrī pabeigts pētījums “</w:t>
      </w:r>
      <w:proofErr w:type="spellStart"/>
      <w:r w:rsidRPr="0063735A">
        <w:rPr>
          <w:i/>
          <w:szCs w:val="28"/>
        </w:rPr>
        <w:t>Priekšizpēte</w:t>
      </w:r>
      <w:proofErr w:type="spellEnd"/>
      <w:r w:rsidRPr="0063735A">
        <w:rPr>
          <w:i/>
          <w:szCs w:val="28"/>
        </w:rPr>
        <w:t xml:space="preserve"> par Baltijas valstu pārvades tīklu savienošanas variantiem ar Eiropas valstu pārvades tīkliem un Baltijas elektroenerģijas tirgus integrēšanu iekšējā Eiropas elektroenerģijas tirgū</w:t>
      </w:r>
      <w:r w:rsidRPr="0063735A">
        <w:rPr>
          <w:szCs w:val="28"/>
        </w:rPr>
        <w:t xml:space="preserve">”, kurā analizēti trīs iespējamie rīcības scenāriji. </w:t>
      </w:r>
    </w:p>
    <w:p w:rsidR="00A22319" w:rsidRDefault="00A22319" w:rsidP="00B31B1D">
      <w:pPr>
        <w:shd w:val="clear" w:color="auto" w:fill="FFFFFF" w:themeFill="background1"/>
        <w:ind w:firstLine="567"/>
        <w:jc w:val="both"/>
        <w:rPr>
          <w:szCs w:val="28"/>
        </w:rPr>
      </w:pPr>
    </w:p>
    <w:p w:rsidR="00B31B1D" w:rsidRPr="00946871" w:rsidRDefault="00D37E79" w:rsidP="00337C07">
      <w:pPr>
        <w:shd w:val="clear" w:color="auto" w:fill="FFFFFF" w:themeFill="background1"/>
        <w:jc w:val="both"/>
        <w:rPr>
          <w:rFonts w:cs="Times New Roman"/>
          <w:b/>
          <w:szCs w:val="28"/>
        </w:rPr>
      </w:pPr>
      <w:r w:rsidRPr="00946871">
        <w:rPr>
          <w:rFonts w:cs="Times New Roman"/>
          <w:b/>
          <w:szCs w:val="28"/>
        </w:rPr>
        <w:t xml:space="preserve">2.8.2. </w:t>
      </w:r>
      <w:r w:rsidR="00A22319" w:rsidRPr="00946871">
        <w:rPr>
          <w:rFonts w:cs="Times New Roman"/>
          <w:b/>
          <w:szCs w:val="28"/>
        </w:rPr>
        <w:t xml:space="preserve">Sadales infrastruktūra </w:t>
      </w:r>
    </w:p>
    <w:p w:rsidR="00A22319" w:rsidRPr="00A22319" w:rsidRDefault="00CE35D6" w:rsidP="00A22319">
      <w:pPr>
        <w:shd w:val="clear" w:color="auto" w:fill="FFFFFF" w:themeFill="background1"/>
        <w:ind w:firstLine="567"/>
        <w:jc w:val="both"/>
        <w:rPr>
          <w:szCs w:val="28"/>
        </w:rPr>
      </w:pPr>
      <w:r>
        <w:rPr>
          <w:szCs w:val="28"/>
        </w:rPr>
        <w:t xml:space="preserve">Latvijā sadales tīkla operatora funkcijas pilda vienpadsmit uzņēmumi, no kuriem </w:t>
      </w:r>
      <w:r w:rsidR="00134BDC">
        <w:rPr>
          <w:szCs w:val="28"/>
        </w:rPr>
        <w:t xml:space="preserve">lielākais ir </w:t>
      </w:r>
      <w:r w:rsidR="00A22319" w:rsidRPr="00A22319">
        <w:rPr>
          <w:szCs w:val="28"/>
        </w:rPr>
        <w:t xml:space="preserve">AS </w:t>
      </w:r>
      <w:r w:rsidR="00A942D5">
        <w:rPr>
          <w:szCs w:val="28"/>
        </w:rPr>
        <w:t>„</w:t>
      </w:r>
      <w:r w:rsidR="00A22319" w:rsidRPr="00A22319">
        <w:rPr>
          <w:szCs w:val="28"/>
        </w:rPr>
        <w:t>Sadales tīkls</w:t>
      </w:r>
      <w:r w:rsidR="00A942D5">
        <w:rPr>
          <w:szCs w:val="28"/>
        </w:rPr>
        <w:t>”</w:t>
      </w:r>
      <w:r w:rsidR="00134BDC">
        <w:rPr>
          <w:szCs w:val="28"/>
        </w:rPr>
        <w:t xml:space="preserve">. Tas </w:t>
      </w:r>
      <w:r w:rsidR="00A22319" w:rsidRPr="00A22319">
        <w:rPr>
          <w:szCs w:val="28"/>
        </w:rPr>
        <w:t xml:space="preserve">nodrošina elektroenerģijas piegādi vairāk nekā 99% no valsts </w:t>
      </w:r>
      <w:r>
        <w:rPr>
          <w:szCs w:val="28"/>
        </w:rPr>
        <w:t>elektroenerģijas lietotāju</w:t>
      </w:r>
      <w:r w:rsidR="00A22319" w:rsidRPr="00A22319">
        <w:rPr>
          <w:szCs w:val="28"/>
        </w:rPr>
        <w:t>,</w:t>
      </w:r>
      <w:r>
        <w:rPr>
          <w:szCs w:val="28"/>
        </w:rPr>
        <w:t xml:space="preserve"> kā arī</w:t>
      </w:r>
      <w:r w:rsidR="00A22319" w:rsidRPr="00A22319">
        <w:rPr>
          <w:szCs w:val="28"/>
        </w:rPr>
        <w:t xml:space="preserve"> veic elektroenerģijas izlietošanas uzraudzību, </w:t>
      </w:r>
      <w:r>
        <w:rPr>
          <w:szCs w:val="28"/>
        </w:rPr>
        <w:t xml:space="preserve">sadales tīkla </w:t>
      </w:r>
      <w:r w:rsidR="00A22319" w:rsidRPr="00A22319">
        <w:rPr>
          <w:szCs w:val="28"/>
        </w:rPr>
        <w:t>zudumu samazināšanas pasākumus un elektroenerģijas uzskaiti, kā arī jaunu pieslē</w:t>
      </w:r>
      <w:r>
        <w:rPr>
          <w:szCs w:val="28"/>
        </w:rPr>
        <w:t>gumu izveidi</w:t>
      </w:r>
      <w:r w:rsidR="00A22319">
        <w:rPr>
          <w:szCs w:val="28"/>
        </w:rPr>
        <w:t>.</w:t>
      </w:r>
    </w:p>
    <w:p w:rsidR="00A22319" w:rsidRDefault="00A22319" w:rsidP="00A22319">
      <w:pPr>
        <w:shd w:val="clear" w:color="auto" w:fill="FFFFFF" w:themeFill="background1"/>
        <w:ind w:firstLine="567"/>
        <w:jc w:val="both"/>
        <w:rPr>
          <w:szCs w:val="28"/>
        </w:rPr>
      </w:pPr>
      <w:r w:rsidRPr="00A22319">
        <w:rPr>
          <w:szCs w:val="28"/>
        </w:rPr>
        <w:t xml:space="preserve">Elektroenerģijas sadales tīklu kopgarums </w:t>
      </w:r>
      <w:r w:rsidR="00CE35D6">
        <w:rPr>
          <w:szCs w:val="28"/>
        </w:rPr>
        <w:t xml:space="preserve">Latvijā </w:t>
      </w:r>
      <w:r w:rsidRPr="00A22319">
        <w:rPr>
          <w:szCs w:val="28"/>
        </w:rPr>
        <w:t>2014.</w:t>
      </w:r>
      <w:r w:rsidR="00CE35D6">
        <w:rPr>
          <w:szCs w:val="28"/>
        </w:rPr>
        <w:t>gadā sasniedz 94</w:t>
      </w:r>
      <w:r w:rsidR="00A942D5">
        <w:rPr>
          <w:szCs w:val="28"/>
        </w:rPr>
        <w:t> </w:t>
      </w:r>
      <w:r w:rsidR="00CE35D6">
        <w:rPr>
          <w:szCs w:val="28"/>
        </w:rPr>
        <w:t xml:space="preserve">701 kilometru. </w:t>
      </w:r>
      <w:r w:rsidRPr="00A22319">
        <w:rPr>
          <w:szCs w:val="28"/>
        </w:rPr>
        <w:t xml:space="preserve">Sadales pakalpojumu sniegšanai </w:t>
      </w:r>
      <w:r w:rsidR="00CE35D6">
        <w:rPr>
          <w:szCs w:val="28"/>
        </w:rPr>
        <w:t>tiek izmantotas</w:t>
      </w:r>
      <w:r w:rsidRPr="00A22319">
        <w:rPr>
          <w:szCs w:val="28"/>
        </w:rPr>
        <w:t xml:space="preserve"> zemsprieguma 0,4kV un </w:t>
      </w:r>
      <w:proofErr w:type="spellStart"/>
      <w:r w:rsidRPr="00A22319">
        <w:rPr>
          <w:szCs w:val="28"/>
        </w:rPr>
        <w:t>vidsprieguma</w:t>
      </w:r>
      <w:proofErr w:type="spellEnd"/>
      <w:r w:rsidRPr="00A22319">
        <w:rPr>
          <w:szCs w:val="28"/>
        </w:rPr>
        <w:t xml:space="preserve"> 6–20kV iekārtas. Apmēram trešo daļu (35 235 kilometru) no sadales sistēmas veido </w:t>
      </w:r>
      <w:proofErr w:type="spellStart"/>
      <w:r w:rsidRPr="00A22319">
        <w:rPr>
          <w:szCs w:val="28"/>
        </w:rPr>
        <w:t>vidsprieguma</w:t>
      </w:r>
      <w:proofErr w:type="spellEnd"/>
      <w:r w:rsidRPr="00A22319">
        <w:rPr>
          <w:szCs w:val="28"/>
        </w:rPr>
        <w:t xml:space="preserve"> 6–20kV tīkls un apmēram divas trešdaļas – 59 466 km zemsprieguma 0,4kV tīkls. Elektrotīklam pieslēgto lietotāju elektroietaišu apgādi nodrošina 26 052 transformatoru apakšstacijas (6-20/0,4 </w:t>
      </w:r>
      <w:proofErr w:type="spellStart"/>
      <w:r w:rsidRPr="00A22319">
        <w:rPr>
          <w:szCs w:val="28"/>
        </w:rPr>
        <w:t>kV</w:t>
      </w:r>
      <w:proofErr w:type="spellEnd"/>
      <w:r w:rsidRPr="00A22319">
        <w:rPr>
          <w:szCs w:val="28"/>
        </w:rPr>
        <w:t>).</w:t>
      </w:r>
    </w:p>
    <w:p w:rsidR="003E23F6" w:rsidRDefault="003E23F6" w:rsidP="003E23F6">
      <w:pPr>
        <w:suppressAutoHyphens/>
        <w:ind w:firstLine="567"/>
        <w:jc w:val="both"/>
        <w:rPr>
          <w:szCs w:val="28"/>
        </w:rPr>
      </w:pPr>
      <w:r>
        <w:rPr>
          <w:szCs w:val="28"/>
        </w:rPr>
        <w:t>Pašreizējie AS „Sadales tīkls” elektroenerģijas sadales sistēmas diferencētie tarifi ir spēkā kopš 2011.gada 1.aprīļa.</w:t>
      </w:r>
      <w:r>
        <w:rPr>
          <w:rStyle w:val="FootnoteReference"/>
        </w:rPr>
        <w:footnoteReference w:id="15"/>
      </w:r>
      <w:r w:rsidR="0011653A">
        <w:rPr>
          <w:szCs w:val="28"/>
        </w:rPr>
        <w:t xml:space="preserve"> </w:t>
      </w:r>
      <w:r w:rsidR="0011653A" w:rsidRPr="005945B4">
        <w:rPr>
          <w:szCs w:val="28"/>
        </w:rPr>
        <w:t xml:space="preserve">un </w:t>
      </w:r>
      <w:r w:rsidR="0011653A" w:rsidRPr="005945B4">
        <w:t>neatspoguļo reālās elektroenerģijas ražošanas un piegādes izmaksas.</w:t>
      </w:r>
    </w:p>
    <w:p w:rsidR="00194D21" w:rsidRDefault="00DD6B04" w:rsidP="00194D21">
      <w:pPr>
        <w:suppressAutoHyphens/>
        <w:ind w:firstLine="567"/>
        <w:jc w:val="both"/>
        <w:rPr>
          <w:szCs w:val="28"/>
        </w:rPr>
      </w:pPr>
      <w:r w:rsidRPr="00DD6B04">
        <w:rPr>
          <w:szCs w:val="28"/>
        </w:rPr>
        <w:t>2013.gadā</w:t>
      </w:r>
      <w:r w:rsidR="005E23F7" w:rsidRPr="005E23F7">
        <w:rPr>
          <w:szCs w:val="28"/>
        </w:rPr>
        <w:t xml:space="preserve"> elektroapgādes pārtraukumi gaisvadu elektrotīklā fiksēti 30 179 reizes, kas ir par 11%  mazāk nekā 2012.gadā. Veicot kabeļu elektrotīkla atjaunošanu, pērn izdevies samazināt kabeļu tīkla bojājumu skaitu par 9% - no 7192 gadījumiem 2012.gadā līdz 6543 gadījumiem 2013.gadā.</w:t>
      </w:r>
      <w:r w:rsidR="00946871">
        <w:rPr>
          <w:szCs w:val="28"/>
        </w:rPr>
        <w:t xml:space="preserve"> </w:t>
      </w:r>
      <w:r w:rsidR="005E23F7" w:rsidRPr="005E23F7">
        <w:rPr>
          <w:szCs w:val="28"/>
        </w:rPr>
        <w:t>73% no kopējā pārtraukumu skaita 2013.gadā radušies nelabvēlīgu laika aps</w:t>
      </w:r>
      <w:r w:rsidR="00794E0D">
        <w:rPr>
          <w:szCs w:val="28"/>
        </w:rPr>
        <w:t>tākļu ietekmē</w:t>
      </w:r>
      <w:r w:rsidR="00194D21">
        <w:rPr>
          <w:szCs w:val="28"/>
        </w:rPr>
        <w:t>.</w:t>
      </w:r>
    </w:p>
    <w:p w:rsidR="005E23F7" w:rsidRPr="005E23F7" w:rsidRDefault="00686648" w:rsidP="00194D21">
      <w:pPr>
        <w:suppressAutoHyphens/>
        <w:ind w:firstLine="567"/>
        <w:jc w:val="both"/>
        <w:rPr>
          <w:szCs w:val="28"/>
        </w:rPr>
      </w:pPr>
      <w:r>
        <w:rPr>
          <w:szCs w:val="28"/>
        </w:rPr>
        <w:t>68% gadījumu k</w:t>
      </w:r>
      <w:r w:rsidR="005E23F7" w:rsidRPr="005E23F7">
        <w:rPr>
          <w:szCs w:val="28"/>
        </w:rPr>
        <w:t xml:space="preserve">abeļu elektrotīklā tehnoloģiskos traucējumus izraisa kabeļu līniju izbūvē </w:t>
      </w:r>
      <w:r>
        <w:rPr>
          <w:szCs w:val="28"/>
        </w:rPr>
        <w:t xml:space="preserve">izmantoto materiālu novecošanās. </w:t>
      </w:r>
      <w:r w:rsidR="005E23F7" w:rsidRPr="005E23F7">
        <w:rPr>
          <w:szCs w:val="28"/>
        </w:rPr>
        <w:t xml:space="preserve">Lielu ietekmi elektroenerģijas </w:t>
      </w:r>
      <w:r w:rsidR="005E23F7" w:rsidRPr="005E23F7">
        <w:rPr>
          <w:szCs w:val="28"/>
        </w:rPr>
        <w:lastRenderedPageBreak/>
        <w:t>piegādes kvalitātē rada trešo personu izraisītie elektrotīkla bojājumi</w:t>
      </w:r>
      <w:r w:rsidR="0070701B">
        <w:rPr>
          <w:szCs w:val="28"/>
        </w:rPr>
        <w:t>.</w:t>
      </w:r>
      <w:r w:rsidR="005E23F7" w:rsidRPr="005E23F7">
        <w:rPr>
          <w:szCs w:val="28"/>
        </w:rPr>
        <w:t xml:space="preserve"> 2013.gadā trešo personu izraisītie bojājumi fiksēti 495 reizes, kas bija par 91 gadījumu  jeb 23% vairāk nekā 2012.gadā.</w:t>
      </w:r>
    </w:p>
    <w:p w:rsidR="00735688" w:rsidRDefault="005E23F7" w:rsidP="005E23F7">
      <w:pPr>
        <w:suppressAutoHyphens/>
        <w:ind w:firstLine="360"/>
        <w:jc w:val="both"/>
        <w:rPr>
          <w:szCs w:val="28"/>
        </w:rPr>
      </w:pPr>
      <w:r w:rsidRPr="005E23F7">
        <w:rPr>
          <w:szCs w:val="28"/>
        </w:rPr>
        <w:t xml:space="preserve">Elektroenerģijas piegādes kvalitāte tiek vērtēta divos nozares rādītājos - elektroenerģijas padeves pārtraukumu ilgums vienam klientam (SAIDI) un elektroenerģijas padeves pārtraukumu biežums vienam klientam (SAIFI). </w:t>
      </w:r>
    </w:p>
    <w:p w:rsidR="005E23F7" w:rsidRPr="005E23F7" w:rsidRDefault="00735688" w:rsidP="005E23F7">
      <w:pPr>
        <w:suppressAutoHyphens/>
        <w:ind w:firstLine="360"/>
        <w:jc w:val="both"/>
        <w:rPr>
          <w:szCs w:val="28"/>
        </w:rPr>
      </w:pPr>
      <w:r>
        <w:rPr>
          <w:szCs w:val="28"/>
        </w:rPr>
        <w:t>2013.gadā</w:t>
      </w:r>
      <w:r w:rsidR="005E23F7" w:rsidRPr="005E23F7">
        <w:rPr>
          <w:szCs w:val="28"/>
        </w:rPr>
        <w:t xml:space="preserve"> neplānoto elektrotīkla atslēgumu ilgumu vienam klientam izdevies samazināt līdz 192 minūtēm, 2012.gadā atslēguma ilgums sasniedza 256 minūtes. Rādītājus ietekmē gan elektroapgādes tīkla bojājuma raksturs, gan veicamo darbu apjoms, kā arī vide, kurā atrodas elektrotīkls</w:t>
      </w:r>
      <w:r w:rsidR="00134BDC">
        <w:rPr>
          <w:szCs w:val="28"/>
        </w:rPr>
        <w:t xml:space="preserve">. </w:t>
      </w:r>
      <w:r w:rsidR="005E23F7" w:rsidRPr="005E23F7">
        <w:rPr>
          <w:szCs w:val="28"/>
        </w:rPr>
        <w:t xml:space="preserve">53% no Latvijas teritorijas ir meži, kuros ir apgrūtināta piekļuve pie elektrotīkla. </w:t>
      </w:r>
    </w:p>
    <w:p w:rsidR="002058AB" w:rsidRDefault="002058AB" w:rsidP="00946871">
      <w:pPr>
        <w:suppressAutoHyphens/>
        <w:ind w:firstLine="720"/>
        <w:jc w:val="both"/>
        <w:rPr>
          <w:szCs w:val="28"/>
        </w:rPr>
      </w:pPr>
      <w:r w:rsidRPr="00A12010">
        <w:rPr>
          <w:szCs w:val="28"/>
        </w:rPr>
        <w:t xml:space="preserve">AS „Sadales tīkls” ir izstrādājis sadales tīklu Attīstības plānu  elektroapgādes kvalitātes un drošuma paaugstināšanai Latvijā līdz 2023.gadam. </w:t>
      </w:r>
      <w:r w:rsidR="0011653A" w:rsidRPr="005945B4">
        <w:t xml:space="preserve">Palielinoties izkliedētai ražošanai un </w:t>
      </w:r>
      <w:proofErr w:type="spellStart"/>
      <w:r w:rsidR="0011653A" w:rsidRPr="005945B4">
        <w:t>net</w:t>
      </w:r>
      <w:proofErr w:type="spellEnd"/>
      <w:r w:rsidR="0011653A" w:rsidRPr="005945B4">
        <w:t xml:space="preserve"> uzskaitei, pieaug </w:t>
      </w:r>
      <w:r w:rsidR="00405B17" w:rsidRPr="005945B4">
        <w:t xml:space="preserve">riski </w:t>
      </w:r>
      <w:r w:rsidR="0011653A" w:rsidRPr="005945B4">
        <w:t xml:space="preserve">patērētājiem pārmaksāt par infrastruktūru attiecīgā laika </w:t>
      </w:r>
      <w:r w:rsidR="00405B17" w:rsidRPr="005945B4">
        <w:t>periodā, vai AS „Sadales tīkls” riski neatgūt investīcijas</w:t>
      </w:r>
      <w:r w:rsidR="007C6274">
        <w:t>.</w:t>
      </w:r>
    </w:p>
    <w:p w:rsidR="008620C1" w:rsidRPr="008620C1" w:rsidRDefault="002058AB" w:rsidP="00593376">
      <w:pPr>
        <w:suppressAutoHyphens/>
        <w:ind w:firstLine="720"/>
        <w:jc w:val="both"/>
        <w:rPr>
          <w:rStyle w:val="Strong"/>
          <w:b w:val="0"/>
          <w:bCs w:val="0"/>
          <w:szCs w:val="28"/>
        </w:rPr>
      </w:pPr>
      <w:r w:rsidRPr="00A12010">
        <w:rPr>
          <w:szCs w:val="28"/>
        </w:rPr>
        <w:t xml:space="preserve">Īstenojot </w:t>
      </w:r>
      <w:r>
        <w:rPr>
          <w:szCs w:val="28"/>
        </w:rPr>
        <w:t>iecerētos investīciju projektus</w:t>
      </w:r>
      <w:r w:rsidRPr="00A12010">
        <w:rPr>
          <w:szCs w:val="28"/>
        </w:rPr>
        <w:t xml:space="preserve"> iespējamais sadales sistēmas pakalpojuma tarifa pieaugums </w:t>
      </w:r>
      <w:r w:rsidR="009C3B72">
        <w:rPr>
          <w:szCs w:val="28"/>
        </w:rPr>
        <w:t>varētu sastādīt</w:t>
      </w:r>
      <w:r w:rsidR="009C3B72" w:rsidRPr="00A12010">
        <w:rPr>
          <w:szCs w:val="28"/>
        </w:rPr>
        <w:t xml:space="preserve"> </w:t>
      </w:r>
      <w:r w:rsidRPr="00A12010">
        <w:rPr>
          <w:szCs w:val="28"/>
        </w:rPr>
        <w:t>1</w:t>
      </w:r>
      <w:r w:rsidR="00945C04" w:rsidRPr="008620C1">
        <w:rPr>
          <w:szCs w:val="28"/>
        </w:rPr>
        <w:t>–</w:t>
      </w:r>
      <w:r w:rsidRPr="00A12010">
        <w:rPr>
          <w:szCs w:val="28"/>
        </w:rPr>
        <w:t xml:space="preserve">3% gadā atkarībā no tautsaimniecības izaugsmes un ar to saistīto elektroenerģijas </w:t>
      </w:r>
      <w:r w:rsidRPr="007C6274">
        <w:rPr>
          <w:szCs w:val="28"/>
        </w:rPr>
        <w:t>patēriņu</w:t>
      </w:r>
      <w:r w:rsidRPr="005945B4">
        <w:rPr>
          <w:szCs w:val="28"/>
        </w:rPr>
        <w:t xml:space="preserve">. </w:t>
      </w:r>
      <w:r w:rsidR="0011653A" w:rsidRPr="005945B4">
        <w:t>Šāda pārēja varētu rast iespēju labāk atspoguļot tīkla uzturēšanas un attīstības izmaksas un precīzāk piemērot sociālos instrumentus, kā arī veicināt apstrādes rūpniecību un izkliedēto elektroenerģijas ražošanu.</w:t>
      </w:r>
      <w:r w:rsidR="008620C1">
        <w:rPr>
          <w:rFonts w:ascii="Arial" w:hAnsi="Arial" w:cs="Arial"/>
          <w:color w:val="FFFFFF"/>
          <w:sz w:val="20"/>
          <w:szCs w:val="20"/>
        </w:rPr>
        <w:t xml:space="preserve">, </w:t>
      </w:r>
    </w:p>
    <w:p w:rsidR="007E7903" w:rsidRPr="00946871" w:rsidRDefault="00E06126" w:rsidP="00562BCC">
      <w:pPr>
        <w:pStyle w:val="Heading1"/>
        <w:numPr>
          <w:ilvl w:val="0"/>
          <w:numId w:val="6"/>
        </w:numPr>
      </w:pPr>
      <w:bookmarkStart w:id="27" w:name="_Toc400714670"/>
      <w:r w:rsidRPr="00946871">
        <w:t>D</w:t>
      </w:r>
      <w:r w:rsidR="007E7903" w:rsidRPr="00946871">
        <w:t>abasgāzes tirgus</w:t>
      </w:r>
      <w:bookmarkEnd w:id="27"/>
    </w:p>
    <w:p w:rsidR="00163C73" w:rsidRPr="00946871" w:rsidRDefault="00E06126" w:rsidP="00562BCC">
      <w:pPr>
        <w:pStyle w:val="Heading2"/>
        <w:numPr>
          <w:ilvl w:val="1"/>
          <w:numId w:val="6"/>
        </w:numPr>
        <w:rPr>
          <w:rFonts w:ascii="Times New Roman" w:hAnsi="Times New Roman" w:cs="Times New Roman"/>
          <w:color w:val="auto"/>
          <w:sz w:val="28"/>
          <w:szCs w:val="28"/>
        </w:rPr>
      </w:pPr>
      <w:bookmarkStart w:id="28" w:name="_Toc400714671"/>
      <w:r w:rsidRPr="00946871">
        <w:rPr>
          <w:rFonts w:ascii="Times New Roman" w:hAnsi="Times New Roman" w:cs="Times New Roman"/>
          <w:color w:val="auto"/>
          <w:sz w:val="28"/>
          <w:szCs w:val="28"/>
        </w:rPr>
        <w:t>Tiesiskais ietvars</w:t>
      </w:r>
      <w:bookmarkEnd w:id="28"/>
    </w:p>
    <w:p w:rsidR="00263F10" w:rsidRPr="00263F10" w:rsidRDefault="00263F10" w:rsidP="00946871">
      <w:pPr>
        <w:ind w:firstLine="720"/>
        <w:jc w:val="both"/>
        <w:rPr>
          <w:szCs w:val="28"/>
        </w:rPr>
      </w:pPr>
      <w:r w:rsidRPr="00263F10">
        <w:rPr>
          <w:szCs w:val="28"/>
        </w:rPr>
        <w:t xml:space="preserve">2005.gada 26.maijā spēkā stājās likums „Grozījumi Enerģētikas likumā”,  ar kuru nacionālajā regulējumā tika pārņemtas Direktīvas </w:t>
      </w:r>
      <w:r w:rsidRPr="00217AC5">
        <w:rPr>
          <w:szCs w:val="28"/>
        </w:rPr>
        <w:t xml:space="preserve">2003/55/EK par kopīgiem noteikumiem attiecībā uz dabasgāzes iekšējo tirgu </w:t>
      </w:r>
      <w:r w:rsidRPr="00263F10">
        <w:rPr>
          <w:szCs w:val="28"/>
        </w:rPr>
        <w:t xml:space="preserve">prasības. </w:t>
      </w:r>
    </w:p>
    <w:p w:rsidR="004B417C" w:rsidRDefault="00263F10" w:rsidP="00946871">
      <w:pPr>
        <w:ind w:firstLine="720"/>
        <w:jc w:val="both"/>
        <w:rPr>
          <w:szCs w:val="28"/>
        </w:rPr>
      </w:pPr>
      <w:r>
        <w:rPr>
          <w:szCs w:val="28"/>
        </w:rPr>
        <w:t xml:space="preserve">Savukārt, </w:t>
      </w:r>
      <w:r w:rsidR="00217AC5" w:rsidRPr="00217AC5">
        <w:rPr>
          <w:szCs w:val="28"/>
        </w:rPr>
        <w:t xml:space="preserve">2009.gadā stājās spēkā Direktīva 2009/73/EK, kas atceļ Direktīvu 2003/55/EK par kopīgiem noteikumiem attiecībā uz dabasgāzes iekšējo tirgu (turpmāk - Direktīva 2009/73/EK). Līdz ar </w:t>
      </w:r>
      <w:r w:rsidR="004B417C">
        <w:rPr>
          <w:szCs w:val="28"/>
        </w:rPr>
        <w:t>tās</w:t>
      </w:r>
      <w:r w:rsidR="00217AC5" w:rsidRPr="00217AC5">
        <w:rPr>
          <w:szCs w:val="28"/>
        </w:rPr>
        <w:t xml:space="preserve"> pieņemšanu tika precizēts „izolēta tirgus” regulējums</w:t>
      </w:r>
      <w:r w:rsidR="004B417C">
        <w:rPr>
          <w:szCs w:val="28"/>
        </w:rPr>
        <w:t xml:space="preserve">. </w:t>
      </w:r>
    </w:p>
    <w:p w:rsidR="00217AC5" w:rsidRPr="00217AC5" w:rsidRDefault="004B417C" w:rsidP="00946871">
      <w:pPr>
        <w:ind w:firstLine="720"/>
        <w:jc w:val="both"/>
        <w:rPr>
          <w:szCs w:val="28"/>
        </w:rPr>
      </w:pPr>
      <w:r w:rsidRPr="00217AC5">
        <w:rPr>
          <w:szCs w:val="28"/>
        </w:rPr>
        <w:t xml:space="preserve">Direktīvas 2009/73/EK </w:t>
      </w:r>
      <w:r>
        <w:rPr>
          <w:szCs w:val="28"/>
        </w:rPr>
        <w:t>49.panta regulējums attiecināms</w:t>
      </w:r>
      <w:r w:rsidR="00217AC5" w:rsidRPr="00217AC5">
        <w:rPr>
          <w:szCs w:val="28"/>
        </w:rPr>
        <w:t xml:space="preserve"> arī uz Baltijas valstīm un Somiju</w:t>
      </w:r>
      <w:r>
        <w:rPr>
          <w:szCs w:val="28"/>
        </w:rPr>
        <w:t xml:space="preserve">, un tas </w:t>
      </w:r>
      <w:r w:rsidRPr="00217AC5">
        <w:rPr>
          <w:szCs w:val="28"/>
        </w:rPr>
        <w:t>nosak</w:t>
      </w:r>
      <w:r>
        <w:rPr>
          <w:szCs w:val="28"/>
        </w:rPr>
        <w:t>a</w:t>
      </w:r>
      <w:r w:rsidRPr="00217AC5">
        <w:rPr>
          <w:szCs w:val="28"/>
        </w:rPr>
        <w:t xml:space="preserve"> </w:t>
      </w:r>
      <w:r w:rsidR="00217AC5" w:rsidRPr="00217AC5">
        <w:rPr>
          <w:szCs w:val="28"/>
        </w:rPr>
        <w:t>izmaiņas atsevišķu direktīvu  prasību ieviešanas laika ietvarā, pagarinot prasību pārņemšanas pienākuma termiņu līdz iz</w:t>
      </w:r>
      <w:r w:rsidR="00217AC5">
        <w:rPr>
          <w:szCs w:val="28"/>
        </w:rPr>
        <w:t>olācijas statusa pārtraukšanai.</w:t>
      </w:r>
    </w:p>
    <w:p w:rsidR="00217AC5" w:rsidRPr="00217AC5" w:rsidRDefault="00356682" w:rsidP="00946871">
      <w:pPr>
        <w:ind w:firstLine="720"/>
        <w:jc w:val="both"/>
        <w:rPr>
          <w:szCs w:val="28"/>
        </w:rPr>
      </w:pPr>
      <w:r w:rsidRPr="00217AC5">
        <w:rPr>
          <w:szCs w:val="28"/>
        </w:rPr>
        <w:t>Direktīv</w:t>
      </w:r>
      <w:r>
        <w:rPr>
          <w:szCs w:val="28"/>
        </w:rPr>
        <w:t>as</w:t>
      </w:r>
      <w:r w:rsidRPr="00217AC5">
        <w:rPr>
          <w:szCs w:val="28"/>
        </w:rPr>
        <w:t xml:space="preserve"> </w:t>
      </w:r>
      <w:r w:rsidR="00217AC5" w:rsidRPr="00217AC5">
        <w:rPr>
          <w:szCs w:val="28"/>
        </w:rPr>
        <w:t xml:space="preserve">2009/73/EK </w:t>
      </w:r>
      <w:r w:rsidR="006E6414">
        <w:rPr>
          <w:szCs w:val="28"/>
        </w:rPr>
        <w:t>kontekstā</w:t>
      </w:r>
      <w:r w:rsidR="006E6414" w:rsidRPr="00217AC5">
        <w:rPr>
          <w:szCs w:val="28"/>
        </w:rPr>
        <w:t xml:space="preserve"> Latvij</w:t>
      </w:r>
      <w:r w:rsidR="006E6414">
        <w:rPr>
          <w:szCs w:val="28"/>
        </w:rPr>
        <w:t>ai</w:t>
      </w:r>
      <w:r w:rsidR="006E6414" w:rsidRPr="00217AC5">
        <w:rPr>
          <w:szCs w:val="28"/>
        </w:rPr>
        <w:t xml:space="preserve"> </w:t>
      </w:r>
      <w:r w:rsidR="00217AC5" w:rsidRPr="00217AC5">
        <w:rPr>
          <w:szCs w:val="28"/>
        </w:rPr>
        <w:t>atbilst divas atsevišķas atkāpes no vairākām Direktīvas 2009/73/EK prasībām, kas piemērojamas atšķirīgos termiņos</w:t>
      </w:r>
      <w:r w:rsidR="006E6414">
        <w:rPr>
          <w:szCs w:val="28"/>
        </w:rPr>
        <w:t>.</w:t>
      </w:r>
      <w:r w:rsidR="00217AC5" w:rsidRPr="00217AC5">
        <w:rPr>
          <w:szCs w:val="28"/>
        </w:rPr>
        <w:t xml:space="preserve"> „</w:t>
      </w:r>
      <w:r w:rsidR="006E6414">
        <w:rPr>
          <w:szCs w:val="28"/>
        </w:rPr>
        <w:t>J</w:t>
      </w:r>
      <w:r w:rsidR="00217AC5" w:rsidRPr="00217AC5">
        <w:rPr>
          <w:szCs w:val="28"/>
        </w:rPr>
        <w:t xml:space="preserve">auna tirgus” atkāpe, kas ir spēkā līdz 2014.gadam, kad būs apritējuši desmit gadi kopš pirmās komerciālās dabasgāzes piegādes saskaņā ar pirmo ilgtermiņa līgumu un „izolēta tirgus” atkāpe, kas darbojās līdz brīdim,  kad </w:t>
      </w:r>
      <w:r w:rsidR="00217AC5" w:rsidRPr="00217AC5">
        <w:rPr>
          <w:szCs w:val="28"/>
        </w:rPr>
        <w:lastRenderedPageBreak/>
        <w:t>Latvija</w:t>
      </w:r>
      <w:r w:rsidR="006E6414">
        <w:rPr>
          <w:szCs w:val="28"/>
        </w:rPr>
        <w:t>i (Baltijas valstīm)</w:t>
      </w:r>
      <w:r w:rsidR="00217AC5" w:rsidRPr="00217AC5">
        <w:rPr>
          <w:szCs w:val="28"/>
        </w:rPr>
        <w:t xml:space="preserve"> būs </w:t>
      </w:r>
      <w:r w:rsidR="006E6414" w:rsidRPr="00217AC5">
        <w:rPr>
          <w:szCs w:val="28"/>
        </w:rPr>
        <w:t>tieš</w:t>
      </w:r>
      <w:r w:rsidR="006E6414">
        <w:rPr>
          <w:szCs w:val="28"/>
        </w:rPr>
        <w:t>s</w:t>
      </w:r>
      <w:r w:rsidR="006E6414" w:rsidRPr="00217AC5">
        <w:rPr>
          <w:szCs w:val="28"/>
        </w:rPr>
        <w:t xml:space="preserve"> </w:t>
      </w:r>
      <w:r w:rsidR="006E6414">
        <w:rPr>
          <w:szCs w:val="28"/>
        </w:rPr>
        <w:t xml:space="preserve"> </w:t>
      </w:r>
      <w:proofErr w:type="spellStart"/>
      <w:r w:rsidR="006E6414" w:rsidRPr="00217AC5">
        <w:rPr>
          <w:szCs w:val="28"/>
        </w:rPr>
        <w:t>starpsavieno</w:t>
      </w:r>
      <w:r w:rsidR="006E6414">
        <w:rPr>
          <w:szCs w:val="28"/>
        </w:rPr>
        <w:t>jums</w:t>
      </w:r>
      <w:proofErr w:type="spellEnd"/>
      <w:r w:rsidR="006E6414" w:rsidRPr="00217AC5">
        <w:rPr>
          <w:szCs w:val="28"/>
        </w:rPr>
        <w:t xml:space="preserve"> </w:t>
      </w:r>
      <w:r w:rsidR="00217AC5" w:rsidRPr="00217AC5">
        <w:rPr>
          <w:szCs w:val="28"/>
        </w:rPr>
        <w:t>ar jebkuras Eiropas Savienības dalībvalsts, izņemot Igaunijas, Lietuvas un Somijas, dabasgāzes sistēmu vai dominējošā piegādātāja daļa kopējā Latvijas dabasgāzes patēriņā samazināsies zem 75%.</w:t>
      </w:r>
    </w:p>
    <w:p w:rsidR="00217AC5" w:rsidRDefault="00217AC5" w:rsidP="00217AC5">
      <w:pPr>
        <w:ind w:firstLine="567"/>
        <w:jc w:val="both"/>
        <w:rPr>
          <w:szCs w:val="28"/>
        </w:rPr>
      </w:pPr>
      <w:r w:rsidRPr="00217AC5">
        <w:rPr>
          <w:szCs w:val="28"/>
        </w:rPr>
        <w:t xml:space="preserve">„Jauna tirgus” atkāpe paredz, ka ar 2014.gada 4.aprīli Latvijai jāpiemēro arī Direktīvas 2009/73/EK 14.pants „Neatkarīgs sistēmu operators”. Taču, ņemot vērā, „izolēta tirgus” atkāpi, šis pants tiks piemērots brīdī, kad Latvijai beigsies atkāpe no 9.panta, kas paredz pārvades sistēmas operatora (turpmāk – PSO) īpašumtiesību nodalīšanu. Direktīvas 2009/73/EK 14.pants nosaka vienu alternatīvu risinājumu PSO īpašumtiesību nodalīšanai, kas paredzēta 9.pantā, no kura ieviešanas Latvijai ir </w:t>
      </w:r>
      <w:proofErr w:type="spellStart"/>
      <w:r w:rsidRPr="009B0E95">
        <w:rPr>
          <w:szCs w:val="28"/>
        </w:rPr>
        <w:t>derogācija</w:t>
      </w:r>
      <w:proofErr w:type="spellEnd"/>
      <w:r w:rsidRPr="00217AC5">
        <w:rPr>
          <w:szCs w:val="28"/>
        </w:rPr>
        <w:t xml:space="preserve"> līdz brīdim,</w:t>
      </w:r>
      <w:r w:rsidR="00406FE9">
        <w:rPr>
          <w:szCs w:val="28"/>
        </w:rPr>
        <w:t xml:space="preserve"> </w:t>
      </w:r>
      <w:r w:rsidRPr="00217AC5">
        <w:rPr>
          <w:szCs w:val="28"/>
        </w:rPr>
        <w:t xml:space="preserve">kad </w:t>
      </w:r>
      <w:r w:rsidR="004B417C">
        <w:rPr>
          <w:szCs w:val="28"/>
        </w:rPr>
        <w:t>tā</w:t>
      </w:r>
      <w:r w:rsidR="004B417C" w:rsidRPr="00217AC5">
        <w:rPr>
          <w:szCs w:val="28"/>
        </w:rPr>
        <w:t xml:space="preserve"> </w:t>
      </w:r>
      <w:r w:rsidRPr="00217AC5">
        <w:rPr>
          <w:szCs w:val="28"/>
        </w:rPr>
        <w:t xml:space="preserve">būs tieši </w:t>
      </w:r>
      <w:proofErr w:type="spellStart"/>
      <w:r w:rsidRPr="00217AC5">
        <w:rPr>
          <w:szCs w:val="28"/>
        </w:rPr>
        <w:t>starpsavienota</w:t>
      </w:r>
      <w:proofErr w:type="spellEnd"/>
      <w:r w:rsidRPr="00217AC5">
        <w:rPr>
          <w:szCs w:val="28"/>
        </w:rPr>
        <w:t xml:space="preserve"> ar jebkuras Eiropas Savienības dalībvalsts, izņemot Igaunijas, Lietuvas un Somijas, dabasgāzes sistēmu. </w:t>
      </w:r>
    </w:p>
    <w:p w:rsidR="00956C0F" w:rsidRPr="00956C0F" w:rsidRDefault="00956C0F" w:rsidP="00217AC5">
      <w:pPr>
        <w:ind w:firstLine="567"/>
        <w:jc w:val="both"/>
        <w:rPr>
          <w:szCs w:val="28"/>
        </w:rPr>
      </w:pPr>
      <w:r w:rsidRPr="00956C0F">
        <w:rPr>
          <w:szCs w:val="28"/>
        </w:rPr>
        <w:t>Saeima 2014.gada 13.martā pieņēma un 2014.gada 26.martā stājās spēkā grozījumi Enerģētikas likumā, kas paredz</w:t>
      </w:r>
      <w:r>
        <w:rPr>
          <w:szCs w:val="28"/>
        </w:rPr>
        <w:t xml:space="preserve"> šādas normas</w:t>
      </w:r>
      <w:r w:rsidRPr="00956C0F">
        <w:rPr>
          <w:szCs w:val="28"/>
        </w:rPr>
        <w:t xml:space="preserve">: </w:t>
      </w:r>
    </w:p>
    <w:p w:rsidR="00956C0F" w:rsidRDefault="00956C0F" w:rsidP="00894A39">
      <w:pPr>
        <w:jc w:val="both"/>
      </w:pPr>
      <w:r>
        <w:t xml:space="preserve">1. No 2014.gada 4.aprīļa </w:t>
      </w:r>
    </w:p>
    <w:p w:rsidR="00B368A8" w:rsidRDefault="00B368A8" w:rsidP="00B368A8">
      <w:pPr>
        <w:ind w:left="720" w:firstLine="75"/>
        <w:jc w:val="both"/>
      </w:pPr>
      <w:r>
        <w:t xml:space="preserve">- </w:t>
      </w:r>
      <w:r w:rsidR="00956C0F" w:rsidRPr="005B2788">
        <w:t>trešo pušu pieeja dabasgāzes sadales, pārvades sistēmām un dabasgāzes krātuvei.</w:t>
      </w:r>
      <w:r w:rsidR="00956C0F">
        <w:t xml:space="preserve"> Līdz 2014.gada 4.septembrim a/s „Latvijas Gāze” ir jāizstrādā un jāiesniedz Sabiedrisko pakalpojumu regulēšanas komisijai (turpmāk –Regulatoram) apstiprināšanai dabasgāzes sadales sistēmas, dabasgāzes pārvades sistēmas un dabasgāzes krātuves lietošanas noteikumi. Likums paredz, ka pieeju var atteikt, ja komersants uzskata, ka nonāks nopietnās ekonomiskās un finansiālās grūtībās sakarā ar fiksēta maksājuma apjoma līguma saistībām. Sistēmas operatoram 7 dienu laikā ir jāinformē Regulators par katru gadījumu, kad atteikta pieeja sistēmai;</w:t>
      </w:r>
    </w:p>
    <w:p w:rsidR="00B368A8" w:rsidRDefault="00B368A8" w:rsidP="00B368A8">
      <w:pPr>
        <w:ind w:left="720"/>
        <w:jc w:val="both"/>
      </w:pPr>
      <w:r>
        <w:t xml:space="preserve">- </w:t>
      </w:r>
      <w:r w:rsidR="00956C0F" w:rsidRPr="00956C0F">
        <w:rPr>
          <w:u w:val="single"/>
        </w:rPr>
        <w:t>balansēšanas maksas ieviešan</w:t>
      </w:r>
      <w:r w:rsidR="00956C0F">
        <w:rPr>
          <w:u w:val="single"/>
        </w:rPr>
        <w:t>a</w:t>
      </w:r>
      <w:r w:rsidR="00956C0F" w:rsidRPr="00956C0F">
        <w:rPr>
          <w:u w:val="single"/>
        </w:rPr>
        <w:t>.</w:t>
      </w:r>
      <w:r w:rsidR="00956C0F">
        <w:t xml:space="preserve"> Turklāt, katram lietotājam, kurš ir tirgus dalībnieks, kā arī sadales sistēmas operatoram ir jāslēdz līgums ar pārvades sistēmas operatoru par balansējošās gāzes piegādi, kā arī sistēmas operatora tiesības pieprasīt, lai enerģijas lietotājs sniedz garantijas par balansēšanas pakalpojumu samaksu atbilstoši sistēmas operatora izstrādātajiem un Regulatora apstiprinātajiem kritērijiem un kārtību šādu garantiju pieprasīšanai;</w:t>
      </w:r>
    </w:p>
    <w:p w:rsidR="00956C0F" w:rsidRDefault="00B368A8" w:rsidP="00B368A8">
      <w:pPr>
        <w:ind w:firstLine="720"/>
        <w:jc w:val="both"/>
      </w:pPr>
      <w:r>
        <w:t xml:space="preserve"> - </w:t>
      </w:r>
      <w:proofErr w:type="spellStart"/>
      <w:r w:rsidR="00956C0F">
        <w:t>šķērssubsīdiju</w:t>
      </w:r>
      <w:proofErr w:type="spellEnd"/>
      <w:r w:rsidR="00956C0F">
        <w:t xml:space="preserve"> aizliegums. </w:t>
      </w:r>
    </w:p>
    <w:p w:rsidR="00956C0F" w:rsidRDefault="00956C0F" w:rsidP="00894A39">
      <w:pPr>
        <w:jc w:val="both"/>
      </w:pPr>
    </w:p>
    <w:p w:rsidR="00956C0F" w:rsidRDefault="00956C0F" w:rsidP="00894A39">
      <w:pPr>
        <w:jc w:val="both"/>
      </w:pPr>
      <w:r>
        <w:t>2. Līdz 2014.gada 30.septembrim Ministru kabinetam jāizdod jauni noteikumi, kas noteiks kārtību, kādā lietotājam piegādā dabasgāzi un pārtrauc tās piegādi, tirgotāju, sistēmas operatoru un lietotāju tiesības un pienākumus dabasgāzes piegādē un lietošanā, kā arī sašķidrinātās dabasgāzes pakalpojuma sniegšanu.</w:t>
      </w:r>
    </w:p>
    <w:p w:rsidR="00956C0F" w:rsidRPr="00412BAA" w:rsidRDefault="00956C0F" w:rsidP="00412BAA">
      <w:pPr>
        <w:pStyle w:val="Heading6"/>
        <w:jc w:val="both"/>
        <w:rPr>
          <w:b w:val="0"/>
          <w:sz w:val="28"/>
          <w:szCs w:val="28"/>
        </w:rPr>
      </w:pPr>
      <w:r w:rsidRPr="00412BAA">
        <w:rPr>
          <w:b w:val="0"/>
          <w:sz w:val="28"/>
          <w:szCs w:val="28"/>
        </w:rPr>
        <w:lastRenderedPageBreak/>
        <w:t>3. 2014.gada laikā</w:t>
      </w:r>
      <w:r w:rsidR="003172F8">
        <w:rPr>
          <w:rStyle w:val="FootnoteReference"/>
          <w:b w:val="0"/>
        </w:rPr>
        <w:footnoteReference w:id="16"/>
      </w:r>
      <w:r w:rsidRPr="00412BAA">
        <w:rPr>
          <w:b w:val="0"/>
          <w:sz w:val="28"/>
          <w:szCs w:val="28"/>
        </w:rPr>
        <w:t xml:space="preserve"> stāsies spēkā likuma panti, kas paredz pārvades sistēmas operatora, uzglabāšanas sistēmas operatora, sadales sistēmas operatora, sašķidrinātās dabasgāzes sistēmas operatora, tirgus dalībnieka un tirgotāja atbildību par Enerģētikas likuma, licenču, kā arī Regulas Nr.1227/2011 normu neievērošanu. Naudas sods paredzēts 10% apmērā no iepriekšējā finanšu gada neto apgrozījuma, bet ne mazāk kā 300 </w:t>
      </w:r>
      <w:r w:rsidR="007542AC" w:rsidRPr="00412BAA">
        <w:rPr>
          <w:b w:val="0"/>
          <w:sz w:val="28"/>
          <w:szCs w:val="28"/>
        </w:rPr>
        <w:t>EUR</w:t>
      </w:r>
      <w:r w:rsidRPr="00412BAA">
        <w:rPr>
          <w:b w:val="0"/>
          <w:sz w:val="28"/>
          <w:szCs w:val="28"/>
        </w:rPr>
        <w:t>.</w:t>
      </w:r>
    </w:p>
    <w:p w:rsidR="00956C0F" w:rsidRDefault="00956C0F" w:rsidP="00894A39">
      <w:pPr>
        <w:jc w:val="both"/>
      </w:pPr>
      <w:r>
        <w:t>4. No 2015.gada 1.janvāra stāsies spēkā normas, kas:</w:t>
      </w:r>
    </w:p>
    <w:p w:rsidR="00956C0F" w:rsidRDefault="00B368A8" w:rsidP="00B368A8">
      <w:pPr>
        <w:ind w:left="720" w:firstLine="75"/>
        <w:jc w:val="both"/>
      </w:pPr>
      <w:r>
        <w:t xml:space="preserve">- </w:t>
      </w:r>
      <w:r w:rsidR="00956C0F">
        <w:t>dod tiesības dabasgāzes pārvades sistēmā ievadīt biogāzi un no biomasas saražoto gāzi, kā arī sašķidrināto dabasgāzi. Ministru kabinetam līdz 2014.gada 31.decembrim ir jāizdod noteikumi, kas nosaka tehniskās un drošības prasības, kā arī gāzes kvalitātes raksturlielumus, lai gāzes ievadīšana un transportēšana dabasgāzes pārvades sistēmā būtu droša;</w:t>
      </w:r>
    </w:p>
    <w:p w:rsidR="00956C0F" w:rsidRDefault="00B368A8" w:rsidP="00B368A8">
      <w:pPr>
        <w:ind w:left="720"/>
        <w:jc w:val="both"/>
      </w:pPr>
      <w:r>
        <w:t xml:space="preserve">- </w:t>
      </w:r>
      <w:r w:rsidR="00956C0F">
        <w:t xml:space="preserve">noteiks, kāda informācija tirgotājam ir jāiekļauj lietotājam izsniedzamajos </w:t>
      </w:r>
      <w:proofErr w:type="spellStart"/>
      <w:r w:rsidR="00956C0F">
        <w:t>galarēķinos</w:t>
      </w:r>
      <w:proofErr w:type="spellEnd"/>
      <w:r w:rsidR="00956C0F">
        <w:t xml:space="preserve"> un šīs informācijas apjomu.</w:t>
      </w:r>
    </w:p>
    <w:p w:rsidR="00956C0F" w:rsidRDefault="00956C0F" w:rsidP="00894A39">
      <w:pPr>
        <w:jc w:val="both"/>
      </w:pPr>
    </w:p>
    <w:p w:rsidR="00956C0F" w:rsidRDefault="00956C0F" w:rsidP="00894A39">
      <w:pPr>
        <w:jc w:val="both"/>
      </w:pPr>
      <w:r>
        <w:t>5. No 2017.gada 3.aprīļa stājas spēkā likuma panti, kas paredz, ka ir jānodrošina sadales sistēmas operatora juridiska nošķiršana. Sadales sistēmas operatoram līdz 2017.gada 2.aprīlim ir jāiesniedz Regulatoram neatkarības ziņojums.</w:t>
      </w:r>
    </w:p>
    <w:p w:rsidR="00956C0F" w:rsidRDefault="00956C0F" w:rsidP="00894A39">
      <w:pPr>
        <w:jc w:val="both"/>
      </w:pPr>
    </w:p>
    <w:p w:rsidR="00956C0F" w:rsidRDefault="00956C0F" w:rsidP="00894A39">
      <w:pPr>
        <w:jc w:val="both"/>
      </w:pPr>
      <w:r>
        <w:t xml:space="preserve">6. No 2017.gada 3.aprīļa, ja ātrāk nav iestājies viens no šādiem apstākļiem - Latvijas dabasgāzes sistēma ir tieši savienota ar jebkuras Eiropas Savienības dalībvalsts, </w:t>
      </w:r>
      <w:proofErr w:type="spellStart"/>
      <w:r>
        <w:t>starpsavienoto</w:t>
      </w:r>
      <w:proofErr w:type="spellEnd"/>
      <w:r>
        <w:t xml:space="preserve"> dabasgāzes sistēmu, izņemot Igauniju, Lietuvu un Somiju vai dominējošā piegādātāja daļa kopējā Latvijas dabasgāzes patēriņa nodrošināšanā ir mazāka par 75% - stāsies spēkā likuma panti, kas paredz</w:t>
      </w:r>
      <w:r w:rsidR="008E08CC">
        <w:t xml:space="preserve"> pilnīgu dabasgāzes tirgus atvēršanu ar</w:t>
      </w:r>
      <w:r>
        <w:t>:</w:t>
      </w:r>
    </w:p>
    <w:p w:rsidR="00B368A8" w:rsidRDefault="00B368A8" w:rsidP="00B368A8">
      <w:pPr>
        <w:ind w:left="720" w:firstLine="75"/>
        <w:jc w:val="both"/>
      </w:pPr>
      <w:r>
        <w:t xml:space="preserve">- </w:t>
      </w:r>
      <w:r w:rsidR="008E08CC">
        <w:t xml:space="preserve">tiesībām </w:t>
      </w:r>
      <w:r w:rsidR="00956C0F">
        <w:t xml:space="preserve">ikvienam lietotājam izvēlēties tirgotāju un brīvi </w:t>
      </w:r>
      <w:r w:rsidR="008E08CC">
        <w:t xml:space="preserve">to </w:t>
      </w:r>
      <w:r w:rsidR="00956C0F">
        <w:t>mainīt;</w:t>
      </w:r>
    </w:p>
    <w:p w:rsidR="00B368A8" w:rsidRDefault="00B368A8" w:rsidP="00B368A8">
      <w:pPr>
        <w:ind w:left="720" w:firstLine="75"/>
        <w:jc w:val="both"/>
      </w:pPr>
      <w:r>
        <w:t xml:space="preserve"> - </w:t>
      </w:r>
      <w:r w:rsidR="00956C0F">
        <w:t xml:space="preserve">lietotāju </w:t>
      </w:r>
      <w:r w:rsidR="008E08CC">
        <w:t xml:space="preserve">tiesībām </w:t>
      </w:r>
      <w:r w:rsidR="00956C0F">
        <w:t>izbūvēt tiešo līniju;</w:t>
      </w:r>
    </w:p>
    <w:p w:rsidR="00956C0F" w:rsidRDefault="00B368A8" w:rsidP="00B368A8">
      <w:pPr>
        <w:ind w:left="720" w:firstLine="75"/>
        <w:jc w:val="both"/>
      </w:pPr>
      <w:r>
        <w:t xml:space="preserve"> - </w:t>
      </w:r>
      <w:r w:rsidR="00956C0F">
        <w:t>pārvades sistēmas operatora nodalīšanu.</w:t>
      </w:r>
    </w:p>
    <w:p w:rsidR="007E7903" w:rsidRPr="002B2103" w:rsidRDefault="007E7903" w:rsidP="002B2103">
      <w:pPr>
        <w:pStyle w:val="Heading2"/>
        <w:numPr>
          <w:ilvl w:val="1"/>
          <w:numId w:val="6"/>
        </w:numPr>
        <w:ind w:left="567" w:hanging="567"/>
        <w:rPr>
          <w:rFonts w:ascii="Times New Roman" w:eastAsia="Times New Roman" w:hAnsi="Times New Roman" w:cs="Times New Roman"/>
          <w:color w:val="auto"/>
          <w:sz w:val="28"/>
          <w:szCs w:val="28"/>
        </w:rPr>
      </w:pPr>
      <w:bookmarkStart w:id="29" w:name="_Toc400714672"/>
      <w:r w:rsidRPr="002B2103">
        <w:rPr>
          <w:rFonts w:ascii="Times New Roman" w:hAnsi="Times New Roman" w:cs="Times New Roman"/>
          <w:color w:val="auto"/>
          <w:sz w:val="28"/>
          <w:szCs w:val="28"/>
        </w:rPr>
        <w:t>Dabasgāzes</w:t>
      </w:r>
      <w:r w:rsidRPr="002B2103">
        <w:rPr>
          <w:rFonts w:ascii="Times New Roman" w:eastAsia="Times New Roman" w:hAnsi="Times New Roman" w:cs="Times New Roman"/>
          <w:color w:val="auto"/>
          <w:sz w:val="28"/>
          <w:szCs w:val="28"/>
        </w:rPr>
        <w:t xml:space="preserve"> patēriņš</w:t>
      </w:r>
      <w:bookmarkEnd w:id="29"/>
      <w:r w:rsidRPr="002B2103">
        <w:rPr>
          <w:rFonts w:ascii="Times New Roman" w:eastAsia="Times New Roman" w:hAnsi="Times New Roman" w:cs="Times New Roman"/>
          <w:color w:val="auto"/>
          <w:sz w:val="28"/>
          <w:szCs w:val="28"/>
        </w:rPr>
        <w:t xml:space="preserve"> </w:t>
      </w:r>
    </w:p>
    <w:p w:rsidR="007E7903" w:rsidRDefault="007E7903" w:rsidP="00D8595B">
      <w:pPr>
        <w:ind w:firstLine="720"/>
        <w:jc w:val="both"/>
        <w:rPr>
          <w:rFonts w:eastAsia="Times New Roman" w:cs="Times New Roman"/>
          <w:szCs w:val="28"/>
        </w:rPr>
      </w:pPr>
      <w:r>
        <w:rPr>
          <w:rFonts w:eastAsia="Times New Roman" w:cs="Times New Roman"/>
          <w:szCs w:val="28"/>
        </w:rPr>
        <w:t xml:space="preserve">Dabasgāze Latvijā </w:t>
      </w:r>
      <w:r w:rsidR="00C56851">
        <w:rPr>
          <w:rFonts w:eastAsia="Times New Roman" w:cs="Times New Roman"/>
          <w:szCs w:val="28"/>
        </w:rPr>
        <w:t xml:space="preserve">galvenokārt </w:t>
      </w:r>
      <w:r>
        <w:rPr>
          <w:rFonts w:eastAsia="Times New Roman" w:cs="Times New Roman"/>
          <w:szCs w:val="28"/>
        </w:rPr>
        <w:t xml:space="preserve">tiek </w:t>
      </w:r>
      <w:r w:rsidRPr="007E7903">
        <w:rPr>
          <w:rFonts w:eastAsia="Times New Roman" w:cs="Times New Roman"/>
          <w:szCs w:val="28"/>
        </w:rPr>
        <w:t>izmantot</w:t>
      </w:r>
      <w:r>
        <w:rPr>
          <w:rFonts w:eastAsia="Times New Roman" w:cs="Times New Roman"/>
          <w:szCs w:val="28"/>
        </w:rPr>
        <w:t>a</w:t>
      </w:r>
      <w:r w:rsidRPr="007E7903">
        <w:rPr>
          <w:rFonts w:eastAsia="Times New Roman" w:cs="Times New Roman"/>
          <w:szCs w:val="28"/>
        </w:rPr>
        <w:t xml:space="preserve"> elektroenerģijas</w:t>
      </w:r>
      <w:r w:rsidR="00C56851">
        <w:rPr>
          <w:rFonts w:eastAsia="Times New Roman" w:cs="Times New Roman"/>
          <w:szCs w:val="28"/>
        </w:rPr>
        <w:t xml:space="preserve"> un </w:t>
      </w:r>
      <w:r w:rsidRPr="007E7903">
        <w:rPr>
          <w:rFonts w:eastAsia="Times New Roman" w:cs="Times New Roman"/>
          <w:szCs w:val="28"/>
        </w:rPr>
        <w:t>siltumenerģijas ražošanā</w:t>
      </w:r>
      <w:r w:rsidR="00652818">
        <w:rPr>
          <w:rFonts w:eastAsia="Times New Roman" w:cs="Times New Roman"/>
          <w:szCs w:val="28"/>
        </w:rPr>
        <w:t xml:space="preserve">. </w:t>
      </w:r>
      <w:r w:rsidR="00C56851">
        <w:rPr>
          <w:rFonts w:eastAsia="Times New Roman" w:cs="Times New Roman"/>
          <w:szCs w:val="28"/>
        </w:rPr>
        <w:t xml:space="preserve">Papildus dabasgāzi izmantotā gan rūpniecībā, gan mājsaimniecības – pavardam un individuālo māju apkurei. </w:t>
      </w:r>
    </w:p>
    <w:p w:rsidR="00C56851" w:rsidRPr="00213A13" w:rsidRDefault="00C56851" w:rsidP="00D8595B">
      <w:pPr>
        <w:ind w:firstLine="360"/>
        <w:jc w:val="both"/>
        <w:rPr>
          <w:szCs w:val="24"/>
        </w:rPr>
      </w:pPr>
      <w:r w:rsidRPr="00213A13">
        <w:rPr>
          <w:szCs w:val="24"/>
        </w:rPr>
        <w:t xml:space="preserve">Kopumā dabasgāzes patēriņš Latvijā </w:t>
      </w:r>
      <w:r>
        <w:rPr>
          <w:szCs w:val="24"/>
        </w:rPr>
        <w:t xml:space="preserve">pēdējo </w:t>
      </w:r>
      <w:r w:rsidR="00B368A8">
        <w:rPr>
          <w:szCs w:val="24"/>
        </w:rPr>
        <w:t>trīs</w:t>
      </w:r>
      <w:r>
        <w:rPr>
          <w:szCs w:val="24"/>
        </w:rPr>
        <w:t xml:space="preserve"> gadu laikā ir samazinājies. Dabasg</w:t>
      </w:r>
      <w:r w:rsidRPr="00213A13">
        <w:rPr>
          <w:szCs w:val="24"/>
        </w:rPr>
        <w:t>āzes patēriņ</w:t>
      </w:r>
      <w:r>
        <w:rPr>
          <w:szCs w:val="24"/>
        </w:rPr>
        <w:t xml:space="preserve">u </w:t>
      </w:r>
      <w:r w:rsidRPr="00213A13">
        <w:rPr>
          <w:szCs w:val="24"/>
        </w:rPr>
        <w:t>ietekmē šādi faktori:</w:t>
      </w:r>
    </w:p>
    <w:p w:rsidR="00847AF4" w:rsidRPr="007542AC" w:rsidRDefault="00C56851" w:rsidP="007542AC">
      <w:pPr>
        <w:pStyle w:val="ListParagraph"/>
        <w:numPr>
          <w:ilvl w:val="0"/>
          <w:numId w:val="23"/>
        </w:numPr>
        <w:jc w:val="both"/>
        <w:rPr>
          <w:szCs w:val="24"/>
        </w:rPr>
      </w:pPr>
      <w:proofErr w:type="spellStart"/>
      <w:r w:rsidRPr="007542AC">
        <w:rPr>
          <w:szCs w:val="24"/>
        </w:rPr>
        <w:t>ārgaisa</w:t>
      </w:r>
      <w:proofErr w:type="spellEnd"/>
      <w:r w:rsidRPr="007542AC">
        <w:rPr>
          <w:szCs w:val="24"/>
        </w:rPr>
        <w:t xml:space="preserve"> temperatūra, kā</w:t>
      </w:r>
      <w:r w:rsidR="0034727A">
        <w:rPr>
          <w:szCs w:val="24"/>
        </w:rPr>
        <w:t>,</w:t>
      </w:r>
      <w:r w:rsidRPr="007542AC">
        <w:rPr>
          <w:szCs w:val="24"/>
        </w:rPr>
        <w:t xml:space="preserve"> piemēram</w:t>
      </w:r>
      <w:r w:rsidR="0034727A">
        <w:rPr>
          <w:szCs w:val="24"/>
        </w:rPr>
        <w:t>,</w:t>
      </w:r>
      <w:r w:rsidRPr="007542AC">
        <w:rPr>
          <w:szCs w:val="24"/>
        </w:rPr>
        <w:t xml:space="preserve"> 2013.gadā ziemas periodā </w:t>
      </w:r>
      <w:proofErr w:type="spellStart"/>
      <w:r w:rsidRPr="007542AC">
        <w:rPr>
          <w:szCs w:val="24"/>
        </w:rPr>
        <w:t>ārgaisa</w:t>
      </w:r>
      <w:proofErr w:type="spellEnd"/>
      <w:r w:rsidRPr="007542AC">
        <w:rPr>
          <w:szCs w:val="24"/>
        </w:rPr>
        <w:t xml:space="preserve"> temperatūra ievērojami pārsniedza vidējo statistisko normu;</w:t>
      </w:r>
    </w:p>
    <w:p w:rsidR="00847AF4" w:rsidRPr="007542AC" w:rsidRDefault="00D8595B" w:rsidP="007542AC">
      <w:pPr>
        <w:pStyle w:val="ListParagraph"/>
        <w:numPr>
          <w:ilvl w:val="0"/>
          <w:numId w:val="23"/>
        </w:numPr>
        <w:jc w:val="both"/>
        <w:rPr>
          <w:szCs w:val="24"/>
        </w:rPr>
      </w:pPr>
      <w:r w:rsidRPr="007542AC">
        <w:rPr>
          <w:szCs w:val="24"/>
        </w:rPr>
        <w:lastRenderedPageBreak/>
        <w:t>kopējā tautsaimniecības, tajā skaitā rūpniecības, attīstība. P</w:t>
      </w:r>
      <w:r w:rsidR="00C56851" w:rsidRPr="007542AC">
        <w:rPr>
          <w:szCs w:val="24"/>
        </w:rPr>
        <w:t xml:space="preserve">iemēram 2013.gada aprīlī tika apturēta AS „Liepājas Metalurgs” darbība, kas bija viens no lielākajiem enerģijas patērētājiem valstī; </w:t>
      </w:r>
    </w:p>
    <w:p w:rsidR="00847AF4" w:rsidRPr="007542AC" w:rsidRDefault="00C56851" w:rsidP="007542AC">
      <w:pPr>
        <w:pStyle w:val="ListParagraph"/>
        <w:numPr>
          <w:ilvl w:val="0"/>
          <w:numId w:val="23"/>
        </w:numPr>
        <w:jc w:val="both"/>
        <w:rPr>
          <w:szCs w:val="24"/>
        </w:rPr>
      </w:pPr>
      <w:r w:rsidRPr="007542AC">
        <w:rPr>
          <w:szCs w:val="24"/>
        </w:rPr>
        <w:t>pāreja no dabasgāzes uz alternatīviem kurināmā veidiem centralizētā siltuma ražošanā</w:t>
      </w:r>
      <w:r w:rsidR="002B2103">
        <w:rPr>
          <w:szCs w:val="24"/>
        </w:rPr>
        <w:t>;</w:t>
      </w:r>
    </w:p>
    <w:p w:rsidR="00C56851" w:rsidRPr="007542AC" w:rsidRDefault="00D8595B" w:rsidP="007542AC">
      <w:pPr>
        <w:pStyle w:val="ListParagraph"/>
        <w:numPr>
          <w:ilvl w:val="0"/>
          <w:numId w:val="23"/>
        </w:numPr>
        <w:jc w:val="both"/>
        <w:rPr>
          <w:szCs w:val="24"/>
        </w:rPr>
      </w:pPr>
      <w:r w:rsidRPr="007542AC">
        <w:rPr>
          <w:szCs w:val="24"/>
        </w:rPr>
        <w:t xml:space="preserve">energoefektivitātes pasākumu ieviešana, kā piemēram ēku siltināšana. </w:t>
      </w:r>
    </w:p>
    <w:p w:rsidR="0080306F" w:rsidRDefault="0080306F" w:rsidP="0080306F">
      <w:pPr>
        <w:jc w:val="both"/>
        <w:rPr>
          <w:szCs w:val="24"/>
        </w:rPr>
      </w:pPr>
    </w:p>
    <w:p w:rsidR="0080306F" w:rsidRDefault="0080306F" w:rsidP="0080306F">
      <w:pPr>
        <w:ind w:firstLine="720"/>
        <w:jc w:val="both"/>
        <w:rPr>
          <w:szCs w:val="24"/>
        </w:rPr>
      </w:pPr>
      <w:r w:rsidRPr="0080306F">
        <w:rPr>
          <w:szCs w:val="24"/>
        </w:rPr>
        <w:t>Gan pēc „</w:t>
      </w:r>
      <w:proofErr w:type="spellStart"/>
      <w:r w:rsidRPr="0080306F">
        <w:rPr>
          <w:szCs w:val="24"/>
        </w:rPr>
        <w:t>Eurostat</w:t>
      </w:r>
      <w:proofErr w:type="spellEnd"/>
      <w:r w:rsidRPr="0080306F">
        <w:rPr>
          <w:szCs w:val="24"/>
        </w:rPr>
        <w:t>”, gan „</w:t>
      </w:r>
      <w:proofErr w:type="spellStart"/>
      <w:r w:rsidRPr="0080306F">
        <w:rPr>
          <w:szCs w:val="24"/>
        </w:rPr>
        <w:t>Eirogas</w:t>
      </w:r>
      <w:proofErr w:type="spellEnd"/>
      <w:r w:rsidRPr="0080306F">
        <w:rPr>
          <w:szCs w:val="24"/>
        </w:rPr>
        <w:t>” datiem, ES valstīs pieprasījums pēc dabasgāzes samazinājās trešo gadu pēc kārtas: 2011.gadā par 10% salīdzinājumā ar 2010.gadu, un 2012.gadā par 2,2%, bet 2013.gadā par 1,4%. Arī Latvijā tika novērotas līdzīgas tendences, tomēr dabasgāzes patēriņa kritums bijis izteiktāks kā vidēji ES.</w:t>
      </w:r>
    </w:p>
    <w:p w:rsidR="0080306F" w:rsidRPr="0080306F" w:rsidRDefault="0080306F" w:rsidP="0080306F">
      <w:pPr>
        <w:ind w:firstLine="720"/>
        <w:jc w:val="both"/>
        <w:rPr>
          <w:rFonts w:eastAsia="Times New Roman" w:cs="Times New Roman"/>
          <w:szCs w:val="28"/>
        </w:rPr>
      </w:pPr>
      <w:r w:rsidRPr="0080306F">
        <w:rPr>
          <w:szCs w:val="24"/>
        </w:rPr>
        <w:t xml:space="preserve"> </w:t>
      </w:r>
      <w:r w:rsidRPr="0080306F">
        <w:rPr>
          <w:rFonts w:eastAsia="Times New Roman" w:cs="Times New Roman"/>
          <w:szCs w:val="28"/>
        </w:rPr>
        <w:t xml:space="preserve">Lai arī kopējā dabasgāzes patēriņa tendence Latvijā pēdējo desmit gadu laikā ir bijusi pieaugoša, tomēr laika periodā no 2010.–2012.gadam vērojams dabasgāzes patēriņa apjoma kritums (skat.14.attēlu). </w:t>
      </w:r>
    </w:p>
    <w:p w:rsidR="00E261D2" w:rsidRPr="007E7903" w:rsidRDefault="00E261D2" w:rsidP="00D8595B">
      <w:pPr>
        <w:ind w:firstLine="482"/>
        <w:jc w:val="both"/>
        <w:rPr>
          <w:rFonts w:eastAsia="Times New Roman" w:cs="Times New Roman"/>
          <w:szCs w:val="28"/>
        </w:rPr>
      </w:pPr>
    </w:p>
    <w:p w:rsidR="00F41831" w:rsidRDefault="0080306F" w:rsidP="002B2103">
      <w:pPr>
        <w:jc w:val="center"/>
        <w:rPr>
          <w:rFonts w:eastAsia="Times New Roman" w:cs="Times New Roman"/>
          <w:szCs w:val="28"/>
        </w:rPr>
      </w:pPr>
      <w:r>
        <w:rPr>
          <w:noProof/>
          <w:lang w:eastAsia="lv-LV"/>
        </w:rPr>
        <w:drawing>
          <wp:inline distT="0" distB="0" distL="0" distR="0" wp14:anchorId="40519B70" wp14:editId="15C4F3DA">
            <wp:extent cx="4428877" cy="2862470"/>
            <wp:effectExtent l="0" t="0" r="10160" b="14605"/>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F41831" w:rsidRPr="00387B38" w:rsidRDefault="00F41831" w:rsidP="00F41831">
      <w:pPr>
        <w:ind w:firstLine="720"/>
        <w:jc w:val="both"/>
        <w:rPr>
          <w:rFonts w:eastAsia="Times New Roman" w:cs="Times New Roman"/>
          <w:sz w:val="20"/>
          <w:szCs w:val="20"/>
        </w:rPr>
      </w:pPr>
      <w:r w:rsidRPr="00387B38">
        <w:rPr>
          <w:rFonts w:eastAsia="Times New Roman" w:cs="Times New Roman"/>
          <w:sz w:val="20"/>
          <w:szCs w:val="20"/>
        </w:rPr>
        <w:t>Avots: CSP</w:t>
      </w:r>
    </w:p>
    <w:p w:rsidR="00F41831" w:rsidRPr="002B2103" w:rsidRDefault="002B2103" w:rsidP="002B2103">
      <w:pPr>
        <w:rPr>
          <w:rFonts w:eastAsia="Times New Roman" w:cs="Times New Roman"/>
          <w:b/>
          <w:sz w:val="24"/>
          <w:szCs w:val="24"/>
        </w:rPr>
      </w:pPr>
      <w:r w:rsidRPr="002B2103">
        <w:rPr>
          <w:rFonts w:eastAsia="Times New Roman" w:cs="Times New Roman"/>
          <w:b/>
          <w:sz w:val="24"/>
          <w:szCs w:val="24"/>
        </w:rPr>
        <w:t>1</w:t>
      </w:r>
      <w:r w:rsidR="00091F3D">
        <w:rPr>
          <w:rFonts w:eastAsia="Times New Roman" w:cs="Times New Roman"/>
          <w:b/>
          <w:sz w:val="24"/>
          <w:szCs w:val="24"/>
        </w:rPr>
        <w:t>4</w:t>
      </w:r>
      <w:r w:rsidR="00F41831" w:rsidRPr="002B2103">
        <w:rPr>
          <w:rFonts w:eastAsia="Times New Roman" w:cs="Times New Roman"/>
          <w:b/>
          <w:sz w:val="24"/>
          <w:szCs w:val="24"/>
        </w:rPr>
        <w:t>.attēls. Kopējais dabasgāzes patēriņš Latvij</w:t>
      </w:r>
      <w:r w:rsidR="00C13604" w:rsidRPr="002B2103">
        <w:rPr>
          <w:rFonts w:eastAsia="Times New Roman" w:cs="Times New Roman"/>
          <w:b/>
          <w:sz w:val="24"/>
          <w:szCs w:val="24"/>
        </w:rPr>
        <w:t>ā 2003.-2012.g</w:t>
      </w:r>
      <w:r w:rsidR="00F41831" w:rsidRPr="002B2103">
        <w:rPr>
          <w:rFonts w:eastAsia="Times New Roman" w:cs="Times New Roman"/>
          <w:b/>
          <w:sz w:val="24"/>
          <w:szCs w:val="24"/>
        </w:rPr>
        <w:t>.</w:t>
      </w:r>
      <w:r w:rsidR="00C13604" w:rsidRPr="002B2103">
        <w:rPr>
          <w:rFonts w:eastAsia="Times New Roman" w:cs="Times New Roman"/>
          <w:b/>
          <w:sz w:val="24"/>
          <w:szCs w:val="24"/>
        </w:rPr>
        <w:t>,</w:t>
      </w:r>
      <w:r w:rsidR="00F41831" w:rsidRPr="002B2103">
        <w:rPr>
          <w:rFonts w:eastAsia="Times New Roman" w:cs="Times New Roman"/>
          <w:b/>
          <w:sz w:val="24"/>
          <w:szCs w:val="24"/>
        </w:rPr>
        <w:t xml:space="preserve"> </w:t>
      </w:r>
      <w:proofErr w:type="spellStart"/>
      <w:r w:rsidR="00F41831" w:rsidRPr="002B2103">
        <w:rPr>
          <w:rFonts w:eastAsia="Times New Roman" w:cs="Times New Roman"/>
          <w:b/>
          <w:sz w:val="24"/>
          <w:szCs w:val="24"/>
        </w:rPr>
        <w:t>milj</w:t>
      </w:r>
      <w:proofErr w:type="spellEnd"/>
      <w:r w:rsidR="00F41831" w:rsidRPr="002B2103">
        <w:rPr>
          <w:rFonts w:eastAsia="Times New Roman" w:cs="Times New Roman"/>
          <w:b/>
          <w:sz w:val="24"/>
          <w:szCs w:val="24"/>
        </w:rPr>
        <w:t>. m</w:t>
      </w:r>
      <w:r w:rsidR="00F41831" w:rsidRPr="002B2103">
        <w:rPr>
          <w:rFonts w:eastAsia="Times New Roman" w:cs="Times New Roman"/>
          <w:b/>
          <w:sz w:val="24"/>
          <w:szCs w:val="24"/>
          <w:vertAlign w:val="superscript"/>
        </w:rPr>
        <w:t>3</w:t>
      </w:r>
      <w:r w:rsidR="00F41831" w:rsidRPr="002B2103">
        <w:rPr>
          <w:rFonts w:eastAsia="Times New Roman" w:cs="Times New Roman"/>
          <w:b/>
          <w:sz w:val="24"/>
          <w:szCs w:val="24"/>
        </w:rPr>
        <w:t>/gadā</w:t>
      </w:r>
      <w:r w:rsidR="0080306F">
        <w:rPr>
          <w:rFonts w:eastAsia="Times New Roman" w:cs="Times New Roman"/>
          <w:b/>
          <w:sz w:val="24"/>
          <w:szCs w:val="24"/>
        </w:rPr>
        <w:t>.</w:t>
      </w:r>
    </w:p>
    <w:p w:rsidR="007C6274" w:rsidRDefault="007C6274" w:rsidP="002B2103">
      <w:pPr>
        <w:ind w:firstLine="482"/>
        <w:jc w:val="both"/>
        <w:rPr>
          <w:szCs w:val="24"/>
        </w:rPr>
      </w:pPr>
    </w:p>
    <w:p w:rsidR="0007757E" w:rsidRPr="007E7903" w:rsidRDefault="0007757E" w:rsidP="0007757E">
      <w:pPr>
        <w:ind w:firstLine="720"/>
        <w:jc w:val="both"/>
        <w:rPr>
          <w:rFonts w:eastAsia="Times New Roman" w:cs="Times New Roman"/>
          <w:szCs w:val="28"/>
        </w:rPr>
      </w:pPr>
      <w:r w:rsidRPr="0026080B">
        <w:rPr>
          <w:rFonts w:eastAsia="Times New Roman" w:cs="Times New Roman"/>
          <w:szCs w:val="28"/>
        </w:rPr>
        <w:t>Latvijas dabasgāzes patēriņa struktūra ir ar izteikti sezonālu raksturu</w:t>
      </w:r>
      <w:r w:rsidR="00F42DD0">
        <w:rPr>
          <w:rFonts w:eastAsia="Times New Roman" w:cs="Times New Roman"/>
          <w:szCs w:val="28"/>
        </w:rPr>
        <w:t xml:space="preserve"> (</w:t>
      </w:r>
      <w:proofErr w:type="spellStart"/>
      <w:r w:rsidR="00F42DD0">
        <w:rPr>
          <w:rFonts w:eastAsia="Times New Roman" w:cs="Times New Roman"/>
          <w:szCs w:val="28"/>
        </w:rPr>
        <w:t>sk</w:t>
      </w:r>
      <w:r w:rsidR="005A7EBF">
        <w:rPr>
          <w:rFonts w:eastAsia="Times New Roman" w:cs="Times New Roman"/>
          <w:szCs w:val="28"/>
        </w:rPr>
        <w:t>at</w:t>
      </w:r>
      <w:proofErr w:type="spellEnd"/>
      <w:r w:rsidR="00F42DD0">
        <w:rPr>
          <w:rFonts w:eastAsia="Times New Roman" w:cs="Times New Roman"/>
          <w:szCs w:val="28"/>
        </w:rPr>
        <w:t xml:space="preserve">. </w:t>
      </w:r>
      <w:r w:rsidR="005A7EBF">
        <w:rPr>
          <w:rFonts w:eastAsia="Times New Roman" w:cs="Times New Roman"/>
          <w:szCs w:val="28"/>
        </w:rPr>
        <w:t>1</w:t>
      </w:r>
      <w:r w:rsidR="00091F3D">
        <w:rPr>
          <w:rFonts w:eastAsia="Times New Roman" w:cs="Times New Roman"/>
          <w:szCs w:val="28"/>
        </w:rPr>
        <w:t>5</w:t>
      </w:r>
      <w:r w:rsidR="00F42DD0">
        <w:rPr>
          <w:rFonts w:eastAsia="Times New Roman" w:cs="Times New Roman"/>
          <w:szCs w:val="28"/>
        </w:rPr>
        <w:t>.attēlu)</w:t>
      </w:r>
      <w:r w:rsidRPr="0026080B">
        <w:rPr>
          <w:rFonts w:eastAsia="Times New Roman" w:cs="Times New Roman"/>
          <w:szCs w:val="28"/>
        </w:rPr>
        <w:t xml:space="preserve">. Ziemā centralizētās siltumapgādes sistēmas </w:t>
      </w:r>
      <w:proofErr w:type="spellStart"/>
      <w:r w:rsidRPr="0026080B">
        <w:rPr>
          <w:rFonts w:eastAsia="Times New Roman" w:cs="Times New Roman"/>
          <w:szCs w:val="28"/>
        </w:rPr>
        <w:t>siltumslodzes</w:t>
      </w:r>
      <w:proofErr w:type="spellEnd"/>
      <w:r w:rsidRPr="007E7903">
        <w:rPr>
          <w:rFonts w:eastAsia="Times New Roman" w:cs="Times New Roman"/>
          <w:szCs w:val="28"/>
        </w:rPr>
        <w:t xml:space="preserve"> būtiski pieaug.</w:t>
      </w:r>
      <w:r>
        <w:rPr>
          <w:rFonts w:eastAsia="Times New Roman" w:cs="Times New Roman"/>
          <w:szCs w:val="28"/>
        </w:rPr>
        <w:t xml:space="preserve"> Taču pamazām </w:t>
      </w:r>
      <w:r w:rsidRPr="007E7903">
        <w:rPr>
          <w:rFonts w:eastAsia="Times New Roman" w:cs="Times New Roman"/>
          <w:szCs w:val="28"/>
        </w:rPr>
        <w:t>siltumapgādes uzņēmum</w:t>
      </w:r>
      <w:r>
        <w:rPr>
          <w:rFonts w:eastAsia="Times New Roman" w:cs="Times New Roman"/>
          <w:szCs w:val="28"/>
        </w:rPr>
        <w:t>i pāriet uz alternatīvo resursu izman</w:t>
      </w:r>
      <w:r w:rsidR="00DF5155">
        <w:rPr>
          <w:rFonts w:eastAsia="Times New Roman" w:cs="Times New Roman"/>
          <w:szCs w:val="28"/>
        </w:rPr>
        <w:t>tošanu tād</w:t>
      </w:r>
      <w:r w:rsidR="00091F3D">
        <w:rPr>
          <w:rFonts w:eastAsia="Times New Roman" w:cs="Times New Roman"/>
          <w:szCs w:val="28"/>
        </w:rPr>
        <w:t>ē</w:t>
      </w:r>
      <w:r w:rsidR="00DF5155">
        <w:rPr>
          <w:rFonts w:eastAsia="Times New Roman" w:cs="Times New Roman"/>
          <w:szCs w:val="28"/>
        </w:rPr>
        <w:t>jādi samazinot dabas</w:t>
      </w:r>
      <w:r>
        <w:rPr>
          <w:rFonts w:eastAsia="Times New Roman" w:cs="Times New Roman"/>
          <w:szCs w:val="28"/>
        </w:rPr>
        <w:t xml:space="preserve">gāzes patēriņu. </w:t>
      </w:r>
    </w:p>
    <w:p w:rsidR="0007757E" w:rsidRPr="007E7903" w:rsidRDefault="0007757E" w:rsidP="0007757E">
      <w:pPr>
        <w:jc w:val="both"/>
        <w:rPr>
          <w:rFonts w:eastAsia="Times New Roman" w:cs="Times New Roman"/>
          <w:szCs w:val="28"/>
          <w:highlight w:val="green"/>
        </w:rPr>
      </w:pPr>
    </w:p>
    <w:p w:rsidR="0007757E" w:rsidRDefault="0007757E" w:rsidP="005A7EBF">
      <w:pPr>
        <w:jc w:val="center"/>
        <w:rPr>
          <w:rFonts w:eastAsia="Times New Roman" w:cs="Times New Roman"/>
          <w:szCs w:val="28"/>
          <w:highlight w:val="green"/>
        </w:rPr>
      </w:pPr>
      <w:r>
        <w:rPr>
          <w:rFonts w:eastAsia="Times New Roman" w:cs="Times New Roman"/>
          <w:noProof/>
          <w:szCs w:val="28"/>
          <w:lang w:eastAsia="lv-LV"/>
        </w:rPr>
        <w:lastRenderedPageBreak/>
        <w:drawing>
          <wp:inline distT="0" distB="0" distL="0" distR="0" wp14:anchorId="640D4765" wp14:editId="6C78E9B2">
            <wp:extent cx="5407660" cy="3450590"/>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07660" cy="3450590"/>
                    </a:xfrm>
                    <a:prstGeom prst="rect">
                      <a:avLst/>
                    </a:prstGeom>
                    <a:noFill/>
                  </pic:spPr>
                </pic:pic>
              </a:graphicData>
            </a:graphic>
          </wp:inline>
        </w:drawing>
      </w:r>
    </w:p>
    <w:p w:rsidR="00387B38" w:rsidRPr="0080306F" w:rsidRDefault="00F42DD0" w:rsidP="005A7EBF">
      <w:pPr>
        <w:rPr>
          <w:rFonts w:ascii="Times New Roman Bold" w:eastAsia="Times New Roman" w:hAnsi="Times New Roman Bold" w:cs="Times New Roman"/>
          <w:b/>
          <w:sz w:val="24"/>
          <w:szCs w:val="24"/>
        </w:rPr>
      </w:pPr>
      <w:r w:rsidRPr="005A7EBF">
        <w:rPr>
          <w:rFonts w:eastAsia="Times New Roman" w:cs="Times New Roman"/>
          <w:b/>
          <w:sz w:val="24"/>
          <w:szCs w:val="24"/>
        </w:rPr>
        <w:t>1</w:t>
      </w:r>
      <w:r w:rsidR="00091F3D">
        <w:rPr>
          <w:rFonts w:eastAsia="Times New Roman" w:cs="Times New Roman"/>
          <w:b/>
          <w:sz w:val="24"/>
          <w:szCs w:val="24"/>
        </w:rPr>
        <w:t>5</w:t>
      </w:r>
      <w:r w:rsidR="00387B38" w:rsidRPr="005A7EBF">
        <w:rPr>
          <w:rFonts w:eastAsia="Times New Roman" w:cs="Times New Roman"/>
          <w:b/>
          <w:sz w:val="24"/>
          <w:szCs w:val="24"/>
        </w:rPr>
        <w:t xml:space="preserve">.attēls. Dabasgāzes patēriņa svārstības 2012.–2013.gadā pa mēnešiem, </w:t>
      </w:r>
      <w:proofErr w:type="spellStart"/>
      <w:r w:rsidR="00387B38" w:rsidRPr="005A7EBF">
        <w:rPr>
          <w:rFonts w:eastAsia="Times New Roman" w:cs="Times New Roman"/>
          <w:b/>
          <w:sz w:val="24"/>
          <w:szCs w:val="24"/>
        </w:rPr>
        <w:t>milj</w:t>
      </w:r>
      <w:proofErr w:type="spellEnd"/>
      <w:r w:rsidR="00387B38" w:rsidRPr="005A7EBF">
        <w:rPr>
          <w:rFonts w:eastAsia="Times New Roman" w:cs="Times New Roman"/>
          <w:b/>
          <w:sz w:val="24"/>
          <w:szCs w:val="24"/>
        </w:rPr>
        <w:t>. m</w:t>
      </w:r>
      <w:r w:rsidR="00387B38" w:rsidRPr="005A7EBF">
        <w:rPr>
          <w:rFonts w:eastAsia="Times New Roman" w:cs="Times New Roman"/>
          <w:b/>
          <w:sz w:val="24"/>
          <w:szCs w:val="24"/>
          <w:vertAlign w:val="superscript"/>
        </w:rPr>
        <w:t>3</w:t>
      </w:r>
      <w:r w:rsidR="0080306F">
        <w:rPr>
          <w:rFonts w:ascii="Times New Roman Bold" w:eastAsia="Times New Roman" w:hAnsi="Times New Roman Bold" w:cs="Times New Roman"/>
          <w:b/>
          <w:sz w:val="24"/>
          <w:szCs w:val="24"/>
        </w:rPr>
        <w:t>.</w:t>
      </w:r>
    </w:p>
    <w:p w:rsidR="005A7EBF" w:rsidRDefault="005A7EBF" w:rsidP="005A7EBF">
      <w:pPr>
        <w:ind w:firstLine="720"/>
        <w:jc w:val="both"/>
        <w:rPr>
          <w:rFonts w:eastAsia="Times New Roman" w:cs="Times New Roman"/>
          <w:szCs w:val="28"/>
        </w:rPr>
      </w:pPr>
    </w:p>
    <w:p w:rsidR="005A7EBF" w:rsidRDefault="005A7EBF" w:rsidP="005A7EBF">
      <w:pPr>
        <w:ind w:firstLine="720"/>
        <w:jc w:val="both"/>
        <w:rPr>
          <w:rFonts w:eastAsia="Times New Roman" w:cs="Times New Roman"/>
          <w:szCs w:val="28"/>
        </w:rPr>
      </w:pPr>
      <w:r w:rsidRPr="007E7903">
        <w:rPr>
          <w:rFonts w:eastAsia="Times New Roman" w:cs="Times New Roman"/>
          <w:szCs w:val="28"/>
        </w:rPr>
        <w:t xml:space="preserve">Galvenās nozares, kur patērē dabasgāzi, ir pārveidošanas sektors (enerģētika), rūpniecība un būvniecība, kā arī mājsaimniecību jeb individuālā patēriņa sektors </w:t>
      </w:r>
      <w:r w:rsidRPr="00F1036B">
        <w:rPr>
          <w:rFonts w:eastAsia="Times New Roman" w:cs="Times New Roman"/>
          <w:szCs w:val="28"/>
        </w:rPr>
        <w:t xml:space="preserve">(skatīt </w:t>
      </w:r>
      <w:r>
        <w:rPr>
          <w:rFonts w:eastAsia="Times New Roman" w:cs="Times New Roman"/>
          <w:szCs w:val="28"/>
        </w:rPr>
        <w:t>6</w:t>
      </w:r>
      <w:r w:rsidRPr="00F1036B">
        <w:rPr>
          <w:rFonts w:eastAsia="Times New Roman" w:cs="Times New Roman"/>
          <w:szCs w:val="28"/>
        </w:rPr>
        <w:t xml:space="preserve">.tabulu). </w:t>
      </w:r>
    </w:p>
    <w:p w:rsidR="00091F3D" w:rsidRDefault="008B26C7" w:rsidP="00091F3D">
      <w:pPr>
        <w:ind w:firstLine="720"/>
        <w:jc w:val="both"/>
        <w:rPr>
          <w:rFonts w:eastAsia="Times New Roman" w:cs="Times New Roman"/>
          <w:szCs w:val="28"/>
        </w:rPr>
      </w:pPr>
      <w:r>
        <w:rPr>
          <w:rFonts w:eastAsia="Times New Roman" w:cs="Times New Roman"/>
          <w:szCs w:val="28"/>
        </w:rPr>
        <w:t>Koģenerācijas stacijās tiek izmantoti vairāk kā 50% no kopējā dabasgāzes patēriņa valstī.</w:t>
      </w:r>
      <w:r w:rsidR="005A7EBF">
        <w:rPr>
          <w:rFonts w:eastAsia="Times New Roman" w:cs="Times New Roman"/>
          <w:szCs w:val="28"/>
        </w:rPr>
        <w:t xml:space="preserve"> </w:t>
      </w:r>
      <w:r w:rsidR="005A7EBF" w:rsidRPr="007E7903">
        <w:rPr>
          <w:rFonts w:eastAsia="Times New Roman" w:cs="Times New Roman"/>
          <w:szCs w:val="28"/>
        </w:rPr>
        <w:t xml:space="preserve">Divas lielākās Latvijas elektrostacijas (Rīgas TEC˗1 un Rīgas TEC–2) ir kombinētā cikla dabasgāzes stacijas, kurās vienlaikus tiek ražota elektroenerģija un siltums Rīgas pilsētas siltumapgādei. Ņemot vērā lielu </w:t>
      </w:r>
      <w:proofErr w:type="spellStart"/>
      <w:r w:rsidR="005A7EBF" w:rsidRPr="007E7903">
        <w:rPr>
          <w:rFonts w:eastAsia="Times New Roman" w:cs="Times New Roman"/>
          <w:szCs w:val="28"/>
        </w:rPr>
        <w:t>siltumslodžu</w:t>
      </w:r>
      <w:proofErr w:type="spellEnd"/>
      <w:r w:rsidR="005A7EBF" w:rsidRPr="007E7903">
        <w:rPr>
          <w:rFonts w:eastAsia="Times New Roman" w:cs="Times New Roman"/>
          <w:szCs w:val="28"/>
        </w:rPr>
        <w:t xml:space="preserve"> sezonālo raksturu, arī lielo koģenerācijas staciju enerģijas ražošanas intensitāte ir sezonāla. Staciju slogošana koģenerācijas režīmā vasaras periodā ir ierobežota, bet nepieciešamības gadījumā, tās var tikt darbinātas kondensācijā. </w:t>
      </w:r>
    </w:p>
    <w:p w:rsidR="00091F3D" w:rsidRDefault="00091F3D" w:rsidP="00091F3D">
      <w:pPr>
        <w:ind w:firstLine="720"/>
        <w:jc w:val="both"/>
        <w:rPr>
          <w:rFonts w:eastAsia="Times New Roman" w:cs="Times New Roman"/>
          <w:szCs w:val="28"/>
        </w:rPr>
      </w:pPr>
      <w:r>
        <w:rPr>
          <w:rFonts w:eastAsia="Times New Roman" w:cs="Times New Roman"/>
          <w:szCs w:val="28"/>
        </w:rPr>
        <w:t xml:space="preserve">Līdzīgi kā elektroenerģētikā, arī dabasgāzes sektorā aizvadītajos gados ir zudis nozīmīgs resursu patērētājs – AS „Liepājas metalurgs”. Ja laika posmā no </w:t>
      </w:r>
      <w:r w:rsidRPr="005F5B1E">
        <w:rPr>
          <w:rFonts w:eastAsia="Times New Roman" w:cs="Times New Roman"/>
          <w:szCs w:val="28"/>
        </w:rPr>
        <w:t>2009.</w:t>
      </w:r>
      <w:r>
        <w:rPr>
          <w:rFonts w:eastAsia="Times New Roman" w:cs="Times New Roman"/>
          <w:szCs w:val="28"/>
        </w:rPr>
        <w:t>–2010. gada</w:t>
      </w:r>
      <w:r w:rsidRPr="005F5B1E">
        <w:rPr>
          <w:rFonts w:eastAsia="Times New Roman" w:cs="Times New Roman"/>
          <w:szCs w:val="28"/>
        </w:rPr>
        <w:t xml:space="preserve"> </w:t>
      </w:r>
      <w:r>
        <w:rPr>
          <w:rFonts w:eastAsia="Times New Roman" w:cs="Times New Roman"/>
          <w:szCs w:val="28"/>
        </w:rPr>
        <w:t>tas</w:t>
      </w:r>
      <w:r w:rsidRPr="005F5B1E">
        <w:rPr>
          <w:rFonts w:eastAsia="Times New Roman" w:cs="Times New Roman"/>
          <w:szCs w:val="28"/>
        </w:rPr>
        <w:t xml:space="preserve"> patērēja virs 100 </w:t>
      </w:r>
      <w:proofErr w:type="spellStart"/>
      <w:r w:rsidRPr="005F5B1E">
        <w:rPr>
          <w:rFonts w:eastAsia="Times New Roman" w:cs="Times New Roman"/>
          <w:szCs w:val="28"/>
        </w:rPr>
        <w:t>milj</w:t>
      </w:r>
      <w:proofErr w:type="spellEnd"/>
      <w:r w:rsidRPr="005F5B1E">
        <w:rPr>
          <w:rFonts w:eastAsia="Times New Roman" w:cs="Times New Roman"/>
          <w:szCs w:val="28"/>
        </w:rPr>
        <w:t>.</w:t>
      </w:r>
      <w:r>
        <w:rPr>
          <w:rFonts w:eastAsia="Times New Roman" w:cs="Times New Roman"/>
          <w:szCs w:val="28"/>
        </w:rPr>
        <w:t> </w:t>
      </w:r>
      <w:r w:rsidRPr="005F5B1E">
        <w:rPr>
          <w:rFonts w:eastAsia="Times New Roman" w:cs="Times New Roman"/>
          <w:szCs w:val="28"/>
        </w:rPr>
        <w:t>m</w:t>
      </w:r>
      <w:r w:rsidRPr="005F5B1E">
        <w:rPr>
          <w:rFonts w:eastAsia="Times New Roman" w:cs="Times New Roman"/>
          <w:szCs w:val="28"/>
          <w:vertAlign w:val="superscript"/>
        </w:rPr>
        <w:t>3</w:t>
      </w:r>
      <w:r w:rsidRPr="005F5B1E">
        <w:rPr>
          <w:rFonts w:eastAsia="Times New Roman" w:cs="Times New Roman"/>
          <w:szCs w:val="28"/>
        </w:rPr>
        <w:t xml:space="preserve"> </w:t>
      </w:r>
      <w:r>
        <w:rPr>
          <w:rFonts w:eastAsia="Times New Roman" w:cs="Times New Roman"/>
          <w:szCs w:val="28"/>
        </w:rPr>
        <w:t xml:space="preserve">dabasgāzes </w:t>
      </w:r>
      <w:r w:rsidRPr="005F5B1E">
        <w:rPr>
          <w:rFonts w:eastAsia="Times New Roman" w:cs="Times New Roman"/>
          <w:szCs w:val="28"/>
        </w:rPr>
        <w:t xml:space="preserve">gadā, </w:t>
      </w:r>
      <w:r>
        <w:rPr>
          <w:rFonts w:eastAsia="Times New Roman" w:cs="Times New Roman"/>
          <w:szCs w:val="28"/>
        </w:rPr>
        <w:t>tad jau</w:t>
      </w:r>
      <w:r w:rsidRPr="005F5B1E">
        <w:rPr>
          <w:rFonts w:eastAsia="Times New Roman" w:cs="Times New Roman"/>
          <w:szCs w:val="28"/>
        </w:rPr>
        <w:t xml:space="preserve"> pēc rekonstrukcijas 2011.</w:t>
      </w:r>
      <w:r>
        <w:rPr>
          <w:rFonts w:eastAsia="Times New Roman" w:cs="Times New Roman"/>
          <w:szCs w:val="28"/>
        </w:rPr>
        <w:t>–</w:t>
      </w:r>
      <w:r w:rsidRPr="005F5B1E">
        <w:rPr>
          <w:rFonts w:eastAsia="Times New Roman" w:cs="Times New Roman"/>
          <w:szCs w:val="28"/>
        </w:rPr>
        <w:t>2012.</w:t>
      </w:r>
      <w:r>
        <w:rPr>
          <w:rFonts w:eastAsia="Times New Roman" w:cs="Times New Roman"/>
          <w:szCs w:val="28"/>
        </w:rPr>
        <w:t>g</w:t>
      </w:r>
      <w:r w:rsidRPr="005F5B1E">
        <w:rPr>
          <w:rFonts w:eastAsia="Times New Roman" w:cs="Times New Roman"/>
          <w:szCs w:val="28"/>
        </w:rPr>
        <w:t>adā</w:t>
      </w:r>
      <w:r>
        <w:rPr>
          <w:rFonts w:eastAsia="Times New Roman" w:cs="Times New Roman"/>
          <w:szCs w:val="28"/>
        </w:rPr>
        <w:t xml:space="preserve"> patēriņa apjomi strauji samazinājās</w:t>
      </w:r>
      <w:r w:rsidRPr="005F5B1E">
        <w:rPr>
          <w:rFonts w:eastAsia="Times New Roman" w:cs="Times New Roman"/>
          <w:szCs w:val="28"/>
        </w:rPr>
        <w:t xml:space="preserve"> </w:t>
      </w:r>
      <w:r>
        <w:rPr>
          <w:rFonts w:eastAsia="Times New Roman" w:cs="Times New Roman"/>
          <w:szCs w:val="28"/>
        </w:rPr>
        <w:t xml:space="preserve"> – līdz </w:t>
      </w:r>
      <w:r w:rsidRPr="005F5B1E">
        <w:rPr>
          <w:rFonts w:eastAsia="Times New Roman" w:cs="Times New Roman"/>
          <w:szCs w:val="28"/>
        </w:rPr>
        <w:t xml:space="preserve">40 </w:t>
      </w:r>
      <w:proofErr w:type="spellStart"/>
      <w:r w:rsidRPr="005F5B1E">
        <w:rPr>
          <w:rFonts w:eastAsia="Times New Roman" w:cs="Times New Roman"/>
          <w:szCs w:val="28"/>
        </w:rPr>
        <w:t>milj</w:t>
      </w:r>
      <w:proofErr w:type="spellEnd"/>
      <w:r w:rsidRPr="005F5B1E">
        <w:rPr>
          <w:rFonts w:eastAsia="Times New Roman" w:cs="Times New Roman"/>
          <w:szCs w:val="28"/>
        </w:rPr>
        <w:t>.</w:t>
      </w:r>
      <w:r>
        <w:rPr>
          <w:rFonts w:eastAsia="Times New Roman" w:cs="Times New Roman"/>
          <w:szCs w:val="28"/>
        </w:rPr>
        <w:t> </w:t>
      </w:r>
      <w:r w:rsidRPr="005F5B1E">
        <w:rPr>
          <w:rFonts w:eastAsia="Times New Roman" w:cs="Times New Roman"/>
          <w:szCs w:val="28"/>
        </w:rPr>
        <w:t>m</w:t>
      </w:r>
      <w:r w:rsidRPr="005F5B1E">
        <w:rPr>
          <w:rFonts w:eastAsia="Times New Roman" w:cs="Times New Roman"/>
          <w:szCs w:val="28"/>
          <w:vertAlign w:val="superscript"/>
        </w:rPr>
        <w:t>3</w:t>
      </w:r>
      <w:r>
        <w:rPr>
          <w:rFonts w:eastAsia="Times New Roman" w:cs="Times New Roman"/>
          <w:szCs w:val="28"/>
          <w:vertAlign w:val="superscript"/>
        </w:rPr>
        <w:t xml:space="preserve"> </w:t>
      </w:r>
      <w:r w:rsidRPr="008A7DB0">
        <w:rPr>
          <w:rFonts w:eastAsia="Times New Roman" w:cs="Times New Roman"/>
          <w:szCs w:val="28"/>
        </w:rPr>
        <w:t>dabasgāzes</w:t>
      </w:r>
      <w:r>
        <w:rPr>
          <w:rFonts w:eastAsia="Times New Roman" w:cs="Times New Roman"/>
          <w:szCs w:val="28"/>
        </w:rPr>
        <w:t xml:space="preserve"> </w:t>
      </w:r>
      <w:r w:rsidRPr="008A7DB0">
        <w:rPr>
          <w:rFonts w:eastAsia="Times New Roman" w:cs="Times New Roman"/>
          <w:szCs w:val="28"/>
        </w:rPr>
        <w:t>gadā</w:t>
      </w:r>
      <w:r w:rsidRPr="005F5B1E">
        <w:rPr>
          <w:rFonts w:eastAsia="Times New Roman" w:cs="Times New Roman"/>
          <w:szCs w:val="28"/>
        </w:rPr>
        <w:t>.</w:t>
      </w:r>
    </w:p>
    <w:p w:rsidR="005A7EBF" w:rsidRDefault="005A7EBF" w:rsidP="005A7EBF">
      <w:pPr>
        <w:ind w:firstLine="720"/>
        <w:jc w:val="both"/>
        <w:rPr>
          <w:rFonts w:eastAsia="Times New Roman" w:cs="Times New Roman"/>
          <w:szCs w:val="28"/>
        </w:rPr>
      </w:pPr>
    </w:p>
    <w:p w:rsidR="00091F3D" w:rsidRDefault="00091F3D" w:rsidP="005A7EBF">
      <w:pPr>
        <w:ind w:firstLine="720"/>
        <w:jc w:val="both"/>
        <w:rPr>
          <w:rFonts w:eastAsia="Times New Roman" w:cs="Times New Roman"/>
          <w:szCs w:val="28"/>
        </w:rPr>
      </w:pPr>
    </w:p>
    <w:p w:rsidR="00091F3D" w:rsidRDefault="00091F3D" w:rsidP="005A7EBF">
      <w:pPr>
        <w:ind w:firstLine="720"/>
        <w:jc w:val="both"/>
        <w:rPr>
          <w:rFonts w:eastAsia="Times New Roman" w:cs="Times New Roman"/>
          <w:szCs w:val="28"/>
        </w:rPr>
      </w:pPr>
    </w:p>
    <w:p w:rsidR="00091F3D" w:rsidRDefault="00091F3D" w:rsidP="005A7EBF">
      <w:pPr>
        <w:ind w:firstLine="720"/>
        <w:jc w:val="both"/>
        <w:rPr>
          <w:rFonts w:eastAsia="Times New Roman" w:cs="Times New Roman"/>
          <w:szCs w:val="28"/>
        </w:rPr>
      </w:pPr>
    </w:p>
    <w:p w:rsidR="00091F3D" w:rsidRDefault="00091F3D" w:rsidP="005A7EBF">
      <w:pPr>
        <w:ind w:firstLine="720"/>
        <w:jc w:val="both"/>
        <w:rPr>
          <w:rFonts w:eastAsia="Times New Roman" w:cs="Times New Roman"/>
          <w:szCs w:val="28"/>
        </w:rPr>
      </w:pPr>
    </w:p>
    <w:p w:rsidR="00091F3D" w:rsidRDefault="00091F3D" w:rsidP="005A7EBF">
      <w:pPr>
        <w:ind w:firstLine="720"/>
        <w:jc w:val="both"/>
        <w:rPr>
          <w:rFonts w:eastAsia="Times New Roman" w:cs="Times New Roman"/>
          <w:szCs w:val="28"/>
        </w:rPr>
      </w:pPr>
    </w:p>
    <w:p w:rsidR="004C1042" w:rsidRPr="005A7EBF" w:rsidRDefault="005A7EBF" w:rsidP="005A7EBF">
      <w:pPr>
        <w:jc w:val="right"/>
        <w:rPr>
          <w:rFonts w:eastAsia="Times New Roman" w:cs="Times New Roman"/>
          <w:szCs w:val="28"/>
        </w:rPr>
      </w:pPr>
      <w:r>
        <w:rPr>
          <w:rFonts w:eastAsia="Times New Roman" w:cs="Times New Roman"/>
          <w:szCs w:val="28"/>
        </w:rPr>
        <w:lastRenderedPageBreak/>
        <w:t>6</w:t>
      </w:r>
      <w:r w:rsidR="004C1042" w:rsidRPr="005A7EBF">
        <w:rPr>
          <w:rFonts w:eastAsia="Times New Roman" w:cs="Times New Roman"/>
          <w:szCs w:val="28"/>
        </w:rPr>
        <w:t>.tabula</w:t>
      </w:r>
    </w:p>
    <w:p w:rsidR="002209BA" w:rsidRPr="00F1036B" w:rsidRDefault="004C1042" w:rsidP="004C1042">
      <w:pPr>
        <w:ind w:firstLine="720"/>
        <w:jc w:val="center"/>
        <w:rPr>
          <w:rFonts w:eastAsia="Times New Roman" w:cs="Times New Roman"/>
          <w:b/>
          <w:bCs/>
          <w:szCs w:val="28"/>
        </w:rPr>
      </w:pPr>
      <w:r w:rsidRPr="00F1036B">
        <w:rPr>
          <w:rFonts w:eastAsia="Times New Roman" w:cs="Times New Roman"/>
          <w:b/>
          <w:bCs/>
          <w:szCs w:val="28"/>
        </w:rPr>
        <w:t>Dabasgāzes patēriņš</w:t>
      </w:r>
      <w:r w:rsidR="002209BA" w:rsidRPr="00F1036B">
        <w:rPr>
          <w:rFonts w:eastAsia="Times New Roman" w:cs="Times New Roman"/>
          <w:b/>
          <w:bCs/>
          <w:szCs w:val="28"/>
        </w:rPr>
        <w:t xml:space="preserve"> Latvijā </w:t>
      </w:r>
    </w:p>
    <w:p w:rsidR="004C1042" w:rsidRDefault="002209BA" w:rsidP="004C1042">
      <w:pPr>
        <w:ind w:firstLine="720"/>
        <w:jc w:val="center"/>
        <w:rPr>
          <w:rFonts w:eastAsia="Times New Roman" w:cs="Times New Roman"/>
          <w:b/>
          <w:bCs/>
          <w:szCs w:val="28"/>
        </w:rPr>
      </w:pPr>
      <w:r w:rsidRPr="00F1036B">
        <w:rPr>
          <w:rFonts w:eastAsia="Times New Roman" w:cs="Times New Roman"/>
          <w:b/>
          <w:bCs/>
          <w:szCs w:val="28"/>
        </w:rPr>
        <w:t>(2003.</w:t>
      </w:r>
      <w:r w:rsidR="00716BC5" w:rsidRPr="00F1036B">
        <w:rPr>
          <w:rFonts w:eastAsia="Times New Roman" w:cs="Times New Roman"/>
          <w:b/>
          <w:bCs/>
          <w:szCs w:val="28"/>
        </w:rPr>
        <w:t xml:space="preserve"> </w:t>
      </w:r>
      <w:r w:rsidR="00E71480">
        <w:rPr>
          <w:rFonts w:eastAsia="Times New Roman" w:cs="Times New Roman"/>
          <w:b/>
          <w:bCs/>
          <w:szCs w:val="28"/>
        </w:rPr>
        <w:t>-</w:t>
      </w:r>
      <w:r w:rsidR="00E71480" w:rsidRPr="00F1036B">
        <w:rPr>
          <w:rFonts w:eastAsia="Times New Roman" w:cs="Times New Roman"/>
          <w:b/>
          <w:bCs/>
          <w:szCs w:val="28"/>
        </w:rPr>
        <w:t xml:space="preserve"> </w:t>
      </w:r>
      <w:r w:rsidRPr="00F1036B">
        <w:rPr>
          <w:rFonts w:eastAsia="Times New Roman" w:cs="Times New Roman"/>
          <w:b/>
          <w:bCs/>
          <w:szCs w:val="28"/>
        </w:rPr>
        <w:t>2012.g.,</w:t>
      </w:r>
      <w:r w:rsidR="0034727A">
        <w:rPr>
          <w:rFonts w:eastAsia="Times New Roman" w:cs="Times New Roman"/>
          <w:b/>
          <w:bCs/>
          <w:szCs w:val="28"/>
        </w:rPr>
        <w:t xml:space="preserve"> </w:t>
      </w:r>
      <w:proofErr w:type="spellStart"/>
      <w:r w:rsidR="004C1042" w:rsidRPr="00F1036B">
        <w:rPr>
          <w:rFonts w:eastAsia="Times New Roman" w:cs="Times New Roman"/>
          <w:b/>
          <w:bCs/>
          <w:szCs w:val="28"/>
        </w:rPr>
        <w:t>milj</w:t>
      </w:r>
      <w:proofErr w:type="spellEnd"/>
      <w:r w:rsidR="004C1042" w:rsidRPr="00F1036B">
        <w:rPr>
          <w:rFonts w:eastAsia="Times New Roman" w:cs="Times New Roman"/>
          <w:b/>
          <w:bCs/>
          <w:szCs w:val="28"/>
        </w:rPr>
        <w:t>. m</w:t>
      </w:r>
      <w:r w:rsidR="004C1042" w:rsidRPr="00F1036B">
        <w:rPr>
          <w:rFonts w:eastAsia="Times New Roman" w:cs="Times New Roman"/>
          <w:b/>
          <w:bCs/>
          <w:szCs w:val="28"/>
          <w:vertAlign w:val="superscript"/>
        </w:rPr>
        <w:t>3</w:t>
      </w:r>
      <w:r w:rsidR="001F7172" w:rsidRPr="00F1036B">
        <w:rPr>
          <w:rFonts w:eastAsia="Times New Roman" w:cs="Times New Roman"/>
          <w:b/>
          <w:bCs/>
          <w:szCs w:val="28"/>
        </w:rPr>
        <w:t xml:space="preserve"> (</w:t>
      </w:r>
      <w:r w:rsidRPr="00F1036B">
        <w:rPr>
          <w:rFonts w:eastAsia="Times New Roman" w:cs="Times New Roman"/>
          <w:b/>
          <w:bCs/>
          <w:szCs w:val="28"/>
        </w:rPr>
        <w:t>%</w:t>
      </w:r>
      <w:r w:rsidR="001F7172" w:rsidRPr="00F1036B">
        <w:rPr>
          <w:rFonts w:eastAsia="Times New Roman" w:cs="Times New Roman"/>
          <w:b/>
          <w:bCs/>
          <w:szCs w:val="28"/>
        </w:rPr>
        <w:t>)</w:t>
      </w:r>
      <w:r w:rsidRPr="00F1036B">
        <w:rPr>
          <w:rFonts w:eastAsia="Times New Roman" w:cs="Times New Roman"/>
          <w:b/>
          <w:bCs/>
          <w:szCs w:val="28"/>
        </w:rPr>
        <w:t>, pa sektoriem)</w:t>
      </w:r>
      <w:r w:rsidR="005A7EBF">
        <w:rPr>
          <w:rStyle w:val="FootnoteReference"/>
          <w:rFonts w:eastAsia="Times New Roman" w:cs="Times New Roman"/>
          <w:b/>
          <w:bCs/>
        </w:rPr>
        <w:footnoteReference w:id="17"/>
      </w:r>
    </w:p>
    <w:p w:rsidR="00F1036B" w:rsidRPr="00F1036B" w:rsidRDefault="00F1036B" w:rsidP="004C1042">
      <w:pPr>
        <w:ind w:firstLine="720"/>
        <w:jc w:val="center"/>
        <w:rPr>
          <w:rFonts w:eastAsia="Times New Roman" w:cs="Times New Roman"/>
          <w:b/>
          <w:szCs w:val="28"/>
        </w:rPr>
      </w:pPr>
    </w:p>
    <w:tbl>
      <w:tblPr>
        <w:tblStyle w:val="TableGrid"/>
        <w:tblW w:w="5095" w:type="pct"/>
        <w:tblInd w:w="-176" w:type="dxa"/>
        <w:tblLook w:val="04A0" w:firstRow="1" w:lastRow="0" w:firstColumn="1" w:lastColumn="0" w:noHBand="0" w:noVBand="1"/>
      </w:tblPr>
      <w:tblGrid>
        <w:gridCol w:w="1433"/>
        <w:gridCol w:w="813"/>
        <w:gridCol w:w="812"/>
        <w:gridCol w:w="812"/>
        <w:gridCol w:w="812"/>
        <w:gridCol w:w="812"/>
        <w:gridCol w:w="812"/>
        <w:gridCol w:w="812"/>
        <w:gridCol w:w="812"/>
        <w:gridCol w:w="812"/>
        <w:gridCol w:w="721"/>
      </w:tblGrid>
      <w:tr w:rsidR="001F7172" w:rsidRPr="004C1042" w:rsidTr="005A7EBF">
        <w:trPr>
          <w:trHeight w:val="300"/>
        </w:trPr>
        <w:tc>
          <w:tcPr>
            <w:tcW w:w="834" w:type="pct"/>
            <w:noWrap/>
            <w:hideMark/>
          </w:tcPr>
          <w:p w:rsidR="004C1042" w:rsidRPr="004C1042" w:rsidRDefault="004C1042" w:rsidP="00974A1F">
            <w:pPr>
              <w:ind w:firstLine="720"/>
              <w:jc w:val="center"/>
              <w:rPr>
                <w:rFonts w:eastAsia="Times New Roman" w:cs="Times New Roman"/>
                <w:sz w:val="20"/>
                <w:szCs w:val="20"/>
              </w:rPr>
            </w:pPr>
          </w:p>
        </w:tc>
        <w:tc>
          <w:tcPr>
            <w:tcW w:w="422" w:type="pct"/>
            <w:noWrap/>
            <w:hideMark/>
          </w:tcPr>
          <w:p w:rsidR="004C1042" w:rsidRPr="004D7654" w:rsidRDefault="004C1042" w:rsidP="00974A1F">
            <w:pPr>
              <w:ind w:firstLine="720"/>
              <w:jc w:val="center"/>
              <w:rPr>
                <w:rFonts w:eastAsia="Times New Roman" w:cs="Times New Roman"/>
                <w:b/>
                <w:bCs/>
                <w:sz w:val="24"/>
                <w:szCs w:val="24"/>
              </w:rPr>
            </w:pPr>
            <w:r w:rsidRPr="004D7654">
              <w:rPr>
                <w:rFonts w:eastAsia="Times New Roman" w:cs="Times New Roman"/>
                <w:b/>
                <w:bCs/>
                <w:sz w:val="24"/>
                <w:szCs w:val="24"/>
              </w:rPr>
              <w:t>22003</w:t>
            </w:r>
          </w:p>
        </w:tc>
        <w:tc>
          <w:tcPr>
            <w:tcW w:w="422" w:type="pct"/>
            <w:noWrap/>
            <w:hideMark/>
          </w:tcPr>
          <w:p w:rsidR="004C1042" w:rsidRPr="004D7654" w:rsidRDefault="004C1042" w:rsidP="00974A1F">
            <w:pPr>
              <w:ind w:firstLine="720"/>
              <w:jc w:val="center"/>
              <w:rPr>
                <w:rFonts w:eastAsia="Times New Roman" w:cs="Times New Roman"/>
                <w:b/>
                <w:bCs/>
                <w:sz w:val="24"/>
                <w:szCs w:val="24"/>
              </w:rPr>
            </w:pPr>
            <w:r w:rsidRPr="004D7654">
              <w:rPr>
                <w:rFonts w:eastAsia="Times New Roman" w:cs="Times New Roman"/>
                <w:b/>
                <w:bCs/>
                <w:sz w:val="24"/>
                <w:szCs w:val="24"/>
              </w:rPr>
              <w:t>22004</w:t>
            </w:r>
          </w:p>
        </w:tc>
        <w:tc>
          <w:tcPr>
            <w:tcW w:w="421" w:type="pct"/>
            <w:noWrap/>
            <w:hideMark/>
          </w:tcPr>
          <w:p w:rsidR="004C1042" w:rsidRPr="004D7654" w:rsidRDefault="004C1042" w:rsidP="00974A1F">
            <w:pPr>
              <w:ind w:firstLine="720"/>
              <w:jc w:val="center"/>
              <w:rPr>
                <w:rFonts w:eastAsia="Times New Roman" w:cs="Times New Roman"/>
                <w:b/>
                <w:bCs/>
                <w:sz w:val="24"/>
                <w:szCs w:val="24"/>
              </w:rPr>
            </w:pPr>
            <w:r w:rsidRPr="004D7654">
              <w:rPr>
                <w:rFonts w:eastAsia="Times New Roman" w:cs="Times New Roman"/>
                <w:b/>
                <w:bCs/>
                <w:sz w:val="24"/>
                <w:szCs w:val="24"/>
              </w:rPr>
              <w:t>22005</w:t>
            </w:r>
          </w:p>
        </w:tc>
        <w:tc>
          <w:tcPr>
            <w:tcW w:w="421" w:type="pct"/>
            <w:noWrap/>
            <w:hideMark/>
          </w:tcPr>
          <w:p w:rsidR="004C1042" w:rsidRPr="004D7654" w:rsidRDefault="004C1042" w:rsidP="00974A1F">
            <w:pPr>
              <w:ind w:firstLine="720"/>
              <w:jc w:val="center"/>
              <w:rPr>
                <w:rFonts w:eastAsia="Times New Roman" w:cs="Times New Roman"/>
                <w:b/>
                <w:bCs/>
                <w:sz w:val="24"/>
                <w:szCs w:val="24"/>
              </w:rPr>
            </w:pPr>
            <w:r w:rsidRPr="004D7654">
              <w:rPr>
                <w:rFonts w:eastAsia="Times New Roman" w:cs="Times New Roman"/>
                <w:b/>
                <w:bCs/>
                <w:sz w:val="24"/>
                <w:szCs w:val="24"/>
              </w:rPr>
              <w:t>22006</w:t>
            </w:r>
          </w:p>
        </w:tc>
        <w:tc>
          <w:tcPr>
            <w:tcW w:w="421" w:type="pct"/>
            <w:noWrap/>
            <w:hideMark/>
          </w:tcPr>
          <w:p w:rsidR="004C1042" w:rsidRPr="004D7654" w:rsidRDefault="004C1042" w:rsidP="00974A1F">
            <w:pPr>
              <w:ind w:firstLine="720"/>
              <w:jc w:val="center"/>
              <w:rPr>
                <w:rFonts w:eastAsia="Times New Roman" w:cs="Times New Roman"/>
                <w:b/>
                <w:bCs/>
                <w:sz w:val="24"/>
                <w:szCs w:val="24"/>
              </w:rPr>
            </w:pPr>
            <w:r w:rsidRPr="004D7654">
              <w:rPr>
                <w:rFonts w:eastAsia="Times New Roman" w:cs="Times New Roman"/>
                <w:b/>
                <w:bCs/>
                <w:sz w:val="24"/>
                <w:szCs w:val="24"/>
              </w:rPr>
              <w:t>22007</w:t>
            </w:r>
          </w:p>
        </w:tc>
        <w:tc>
          <w:tcPr>
            <w:tcW w:w="421" w:type="pct"/>
            <w:noWrap/>
            <w:hideMark/>
          </w:tcPr>
          <w:p w:rsidR="004C1042" w:rsidRPr="004D7654" w:rsidRDefault="004C1042" w:rsidP="00974A1F">
            <w:pPr>
              <w:ind w:firstLine="720"/>
              <w:jc w:val="center"/>
              <w:rPr>
                <w:rFonts w:eastAsia="Times New Roman" w:cs="Times New Roman"/>
                <w:b/>
                <w:bCs/>
                <w:sz w:val="24"/>
                <w:szCs w:val="24"/>
              </w:rPr>
            </w:pPr>
            <w:r w:rsidRPr="004D7654">
              <w:rPr>
                <w:rFonts w:eastAsia="Times New Roman" w:cs="Times New Roman"/>
                <w:b/>
                <w:bCs/>
                <w:sz w:val="24"/>
                <w:szCs w:val="24"/>
              </w:rPr>
              <w:t>22008</w:t>
            </w:r>
          </w:p>
        </w:tc>
        <w:tc>
          <w:tcPr>
            <w:tcW w:w="421" w:type="pct"/>
            <w:noWrap/>
            <w:hideMark/>
          </w:tcPr>
          <w:p w:rsidR="004C1042" w:rsidRPr="004D7654" w:rsidRDefault="004C1042" w:rsidP="00974A1F">
            <w:pPr>
              <w:ind w:firstLine="720"/>
              <w:jc w:val="center"/>
              <w:rPr>
                <w:rFonts w:eastAsia="Times New Roman" w:cs="Times New Roman"/>
                <w:b/>
                <w:bCs/>
                <w:sz w:val="24"/>
                <w:szCs w:val="24"/>
              </w:rPr>
            </w:pPr>
            <w:r w:rsidRPr="004D7654">
              <w:rPr>
                <w:rFonts w:eastAsia="Times New Roman" w:cs="Times New Roman"/>
                <w:b/>
                <w:bCs/>
                <w:sz w:val="24"/>
                <w:szCs w:val="24"/>
              </w:rPr>
              <w:t>22009</w:t>
            </w:r>
          </w:p>
        </w:tc>
        <w:tc>
          <w:tcPr>
            <w:tcW w:w="421" w:type="pct"/>
            <w:noWrap/>
            <w:hideMark/>
          </w:tcPr>
          <w:p w:rsidR="004C1042" w:rsidRPr="004D7654" w:rsidRDefault="004C1042" w:rsidP="00974A1F">
            <w:pPr>
              <w:ind w:firstLine="720"/>
              <w:jc w:val="center"/>
              <w:rPr>
                <w:rFonts w:eastAsia="Times New Roman" w:cs="Times New Roman"/>
                <w:b/>
                <w:bCs/>
                <w:sz w:val="24"/>
                <w:szCs w:val="24"/>
              </w:rPr>
            </w:pPr>
            <w:r w:rsidRPr="004D7654">
              <w:rPr>
                <w:rFonts w:eastAsia="Times New Roman" w:cs="Times New Roman"/>
                <w:b/>
                <w:bCs/>
                <w:sz w:val="24"/>
                <w:szCs w:val="24"/>
              </w:rPr>
              <w:t>22010</w:t>
            </w:r>
          </w:p>
        </w:tc>
        <w:tc>
          <w:tcPr>
            <w:tcW w:w="421" w:type="pct"/>
            <w:noWrap/>
            <w:hideMark/>
          </w:tcPr>
          <w:p w:rsidR="004C1042" w:rsidRPr="004D7654" w:rsidRDefault="004C1042" w:rsidP="00974A1F">
            <w:pPr>
              <w:ind w:firstLine="720"/>
              <w:jc w:val="center"/>
              <w:rPr>
                <w:rFonts w:eastAsia="Times New Roman" w:cs="Times New Roman"/>
                <w:b/>
                <w:bCs/>
                <w:sz w:val="24"/>
                <w:szCs w:val="24"/>
              </w:rPr>
            </w:pPr>
            <w:r w:rsidRPr="004D7654">
              <w:rPr>
                <w:rFonts w:eastAsia="Times New Roman" w:cs="Times New Roman"/>
                <w:b/>
                <w:bCs/>
                <w:sz w:val="24"/>
                <w:szCs w:val="24"/>
              </w:rPr>
              <w:t>22011</w:t>
            </w:r>
          </w:p>
        </w:tc>
        <w:tc>
          <w:tcPr>
            <w:tcW w:w="375" w:type="pct"/>
            <w:noWrap/>
            <w:hideMark/>
          </w:tcPr>
          <w:p w:rsidR="004D7654" w:rsidRDefault="004D7654" w:rsidP="00974A1F">
            <w:pPr>
              <w:jc w:val="center"/>
              <w:rPr>
                <w:rFonts w:eastAsia="Times New Roman" w:cs="Times New Roman"/>
                <w:b/>
                <w:bCs/>
                <w:sz w:val="24"/>
                <w:szCs w:val="24"/>
              </w:rPr>
            </w:pPr>
          </w:p>
          <w:p w:rsidR="004C1042" w:rsidRPr="004D7654" w:rsidRDefault="004C1042" w:rsidP="00974A1F">
            <w:pPr>
              <w:jc w:val="center"/>
              <w:rPr>
                <w:rFonts w:eastAsia="Times New Roman" w:cs="Times New Roman"/>
                <w:b/>
                <w:bCs/>
                <w:sz w:val="24"/>
                <w:szCs w:val="24"/>
              </w:rPr>
            </w:pPr>
            <w:r w:rsidRPr="004D7654">
              <w:rPr>
                <w:rFonts w:eastAsia="Times New Roman" w:cs="Times New Roman"/>
                <w:b/>
                <w:bCs/>
                <w:sz w:val="24"/>
                <w:szCs w:val="24"/>
              </w:rPr>
              <w:t>2012</w:t>
            </w:r>
          </w:p>
        </w:tc>
      </w:tr>
      <w:tr w:rsidR="001F7172" w:rsidRPr="004C1042" w:rsidTr="005A7EBF">
        <w:trPr>
          <w:trHeight w:val="300"/>
        </w:trPr>
        <w:tc>
          <w:tcPr>
            <w:tcW w:w="834" w:type="pct"/>
            <w:noWrap/>
            <w:hideMark/>
          </w:tcPr>
          <w:p w:rsidR="004C1042" w:rsidRPr="004D7654" w:rsidRDefault="004C1042" w:rsidP="00974A1F">
            <w:pPr>
              <w:jc w:val="center"/>
              <w:rPr>
                <w:rFonts w:eastAsia="Times New Roman" w:cs="Times New Roman"/>
                <w:b/>
                <w:bCs/>
                <w:sz w:val="24"/>
                <w:szCs w:val="24"/>
              </w:rPr>
            </w:pPr>
            <w:r w:rsidRPr="004D7654">
              <w:rPr>
                <w:rFonts w:eastAsia="Times New Roman" w:cs="Times New Roman"/>
                <w:b/>
                <w:bCs/>
                <w:sz w:val="24"/>
                <w:szCs w:val="24"/>
              </w:rPr>
              <w:t>Kopējais patēriņš</w:t>
            </w:r>
          </w:p>
        </w:tc>
        <w:tc>
          <w:tcPr>
            <w:tcW w:w="422" w:type="pct"/>
            <w:noWrap/>
            <w:hideMark/>
          </w:tcPr>
          <w:p w:rsidR="004C1042" w:rsidRPr="004D7654" w:rsidRDefault="004C1042" w:rsidP="00974A1F">
            <w:pPr>
              <w:ind w:firstLine="720"/>
              <w:jc w:val="center"/>
              <w:rPr>
                <w:rFonts w:eastAsia="Times New Roman" w:cs="Times New Roman"/>
                <w:b/>
                <w:bCs/>
                <w:sz w:val="24"/>
                <w:szCs w:val="24"/>
              </w:rPr>
            </w:pPr>
            <w:r w:rsidRPr="004D7654">
              <w:rPr>
                <w:rFonts w:eastAsia="Times New Roman" w:cs="Times New Roman"/>
                <w:b/>
                <w:bCs/>
                <w:sz w:val="24"/>
                <w:szCs w:val="24"/>
              </w:rPr>
              <w:t>1</w:t>
            </w:r>
            <w:r w:rsidR="001B55E1" w:rsidRPr="004D7654">
              <w:rPr>
                <w:rFonts w:eastAsia="Times New Roman" w:cs="Times New Roman"/>
                <w:b/>
                <w:bCs/>
                <w:sz w:val="24"/>
                <w:szCs w:val="24"/>
              </w:rPr>
              <w:t>1</w:t>
            </w:r>
            <w:r w:rsidR="001F7172" w:rsidRPr="004D7654">
              <w:rPr>
                <w:rFonts w:eastAsia="Times New Roman" w:cs="Times New Roman"/>
                <w:b/>
                <w:bCs/>
                <w:sz w:val="24"/>
                <w:szCs w:val="24"/>
              </w:rPr>
              <w:t>677 (100</w:t>
            </w:r>
            <w:r w:rsidRPr="004D7654">
              <w:rPr>
                <w:rFonts w:eastAsia="Times New Roman" w:cs="Times New Roman"/>
                <w:b/>
                <w:bCs/>
                <w:sz w:val="24"/>
                <w:szCs w:val="24"/>
              </w:rPr>
              <w:t>)</w:t>
            </w:r>
          </w:p>
        </w:tc>
        <w:tc>
          <w:tcPr>
            <w:tcW w:w="422" w:type="pct"/>
            <w:noWrap/>
            <w:hideMark/>
          </w:tcPr>
          <w:p w:rsidR="004C1042" w:rsidRPr="004D7654" w:rsidRDefault="004C1042" w:rsidP="00974A1F">
            <w:pPr>
              <w:ind w:firstLine="720"/>
              <w:jc w:val="center"/>
              <w:rPr>
                <w:rFonts w:eastAsia="Times New Roman" w:cs="Times New Roman"/>
                <w:b/>
                <w:bCs/>
                <w:sz w:val="24"/>
                <w:szCs w:val="24"/>
              </w:rPr>
            </w:pPr>
            <w:r w:rsidRPr="004D7654">
              <w:rPr>
                <w:rFonts w:eastAsia="Times New Roman" w:cs="Times New Roman"/>
                <w:b/>
                <w:bCs/>
                <w:sz w:val="24"/>
                <w:szCs w:val="24"/>
              </w:rPr>
              <w:t>1</w:t>
            </w:r>
            <w:r w:rsidR="001B55E1" w:rsidRPr="004D7654">
              <w:rPr>
                <w:rFonts w:eastAsia="Times New Roman" w:cs="Times New Roman"/>
                <w:b/>
                <w:bCs/>
                <w:sz w:val="24"/>
                <w:szCs w:val="24"/>
              </w:rPr>
              <w:t>1</w:t>
            </w:r>
            <w:r w:rsidR="001F7172" w:rsidRPr="004D7654">
              <w:rPr>
                <w:rFonts w:eastAsia="Times New Roman" w:cs="Times New Roman"/>
                <w:b/>
                <w:bCs/>
                <w:sz w:val="24"/>
                <w:szCs w:val="24"/>
              </w:rPr>
              <w:t>663 (100</w:t>
            </w:r>
            <w:r w:rsidRPr="004D7654">
              <w:rPr>
                <w:rFonts w:eastAsia="Times New Roman" w:cs="Times New Roman"/>
                <w:b/>
                <w:bCs/>
                <w:sz w:val="24"/>
                <w:szCs w:val="24"/>
              </w:rPr>
              <w:t>)</w:t>
            </w:r>
          </w:p>
        </w:tc>
        <w:tc>
          <w:tcPr>
            <w:tcW w:w="421" w:type="pct"/>
            <w:noWrap/>
            <w:hideMark/>
          </w:tcPr>
          <w:p w:rsidR="004C1042" w:rsidRPr="004D7654" w:rsidRDefault="004C1042" w:rsidP="00974A1F">
            <w:pPr>
              <w:ind w:firstLine="720"/>
              <w:jc w:val="center"/>
              <w:rPr>
                <w:rFonts w:eastAsia="Times New Roman" w:cs="Times New Roman"/>
                <w:b/>
                <w:bCs/>
                <w:sz w:val="24"/>
                <w:szCs w:val="24"/>
              </w:rPr>
            </w:pPr>
            <w:r w:rsidRPr="004D7654">
              <w:rPr>
                <w:rFonts w:eastAsia="Times New Roman" w:cs="Times New Roman"/>
                <w:b/>
                <w:bCs/>
                <w:sz w:val="24"/>
                <w:szCs w:val="24"/>
              </w:rPr>
              <w:t>1</w:t>
            </w:r>
            <w:r w:rsidR="001B55E1" w:rsidRPr="004D7654">
              <w:rPr>
                <w:rFonts w:eastAsia="Times New Roman" w:cs="Times New Roman"/>
                <w:b/>
                <w:bCs/>
                <w:sz w:val="24"/>
                <w:szCs w:val="24"/>
              </w:rPr>
              <w:t>1</w:t>
            </w:r>
            <w:r w:rsidR="001F7172" w:rsidRPr="004D7654">
              <w:rPr>
                <w:rFonts w:eastAsia="Times New Roman" w:cs="Times New Roman"/>
                <w:b/>
                <w:bCs/>
                <w:sz w:val="24"/>
                <w:szCs w:val="24"/>
              </w:rPr>
              <w:t>695 (100</w:t>
            </w:r>
            <w:r w:rsidRPr="004D7654">
              <w:rPr>
                <w:rFonts w:eastAsia="Times New Roman" w:cs="Times New Roman"/>
                <w:b/>
                <w:bCs/>
                <w:sz w:val="24"/>
                <w:szCs w:val="24"/>
              </w:rPr>
              <w:t>)</w:t>
            </w:r>
          </w:p>
        </w:tc>
        <w:tc>
          <w:tcPr>
            <w:tcW w:w="421" w:type="pct"/>
            <w:noWrap/>
            <w:hideMark/>
          </w:tcPr>
          <w:p w:rsidR="004C1042" w:rsidRPr="004D7654" w:rsidRDefault="004C1042" w:rsidP="00974A1F">
            <w:pPr>
              <w:ind w:firstLine="720"/>
              <w:jc w:val="center"/>
              <w:rPr>
                <w:rFonts w:eastAsia="Times New Roman" w:cs="Times New Roman"/>
                <w:b/>
                <w:bCs/>
                <w:sz w:val="24"/>
                <w:szCs w:val="24"/>
              </w:rPr>
            </w:pPr>
            <w:r w:rsidRPr="004D7654">
              <w:rPr>
                <w:rFonts w:eastAsia="Times New Roman" w:cs="Times New Roman"/>
                <w:b/>
                <w:bCs/>
                <w:sz w:val="24"/>
                <w:szCs w:val="24"/>
              </w:rPr>
              <w:t>1</w:t>
            </w:r>
            <w:r w:rsidR="001B55E1" w:rsidRPr="004D7654">
              <w:rPr>
                <w:rFonts w:eastAsia="Times New Roman" w:cs="Times New Roman"/>
                <w:b/>
                <w:bCs/>
                <w:sz w:val="24"/>
                <w:szCs w:val="24"/>
              </w:rPr>
              <w:t>1</w:t>
            </w:r>
            <w:r w:rsidR="001F7172" w:rsidRPr="004D7654">
              <w:rPr>
                <w:rFonts w:eastAsia="Times New Roman" w:cs="Times New Roman"/>
                <w:b/>
                <w:bCs/>
                <w:sz w:val="24"/>
                <w:szCs w:val="24"/>
              </w:rPr>
              <w:t>756 (100</w:t>
            </w:r>
            <w:r w:rsidRPr="004D7654">
              <w:rPr>
                <w:rFonts w:eastAsia="Times New Roman" w:cs="Times New Roman"/>
                <w:b/>
                <w:bCs/>
                <w:sz w:val="24"/>
                <w:szCs w:val="24"/>
              </w:rPr>
              <w:t>)</w:t>
            </w:r>
          </w:p>
        </w:tc>
        <w:tc>
          <w:tcPr>
            <w:tcW w:w="421" w:type="pct"/>
            <w:noWrap/>
            <w:hideMark/>
          </w:tcPr>
          <w:p w:rsidR="004C1042" w:rsidRPr="004D7654" w:rsidRDefault="004C1042" w:rsidP="00974A1F">
            <w:pPr>
              <w:ind w:firstLine="720"/>
              <w:jc w:val="center"/>
              <w:rPr>
                <w:rFonts w:eastAsia="Times New Roman" w:cs="Times New Roman"/>
                <w:b/>
                <w:bCs/>
                <w:sz w:val="24"/>
                <w:szCs w:val="24"/>
              </w:rPr>
            </w:pPr>
            <w:r w:rsidRPr="004D7654">
              <w:rPr>
                <w:rFonts w:eastAsia="Times New Roman" w:cs="Times New Roman"/>
                <w:b/>
                <w:bCs/>
                <w:sz w:val="24"/>
                <w:szCs w:val="24"/>
              </w:rPr>
              <w:t>1</w:t>
            </w:r>
            <w:r w:rsidR="001B55E1" w:rsidRPr="004D7654">
              <w:rPr>
                <w:rFonts w:eastAsia="Times New Roman" w:cs="Times New Roman"/>
                <w:b/>
                <w:bCs/>
                <w:sz w:val="24"/>
                <w:szCs w:val="24"/>
              </w:rPr>
              <w:t>1</w:t>
            </w:r>
            <w:r w:rsidR="001F7172" w:rsidRPr="004D7654">
              <w:rPr>
                <w:rFonts w:eastAsia="Times New Roman" w:cs="Times New Roman"/>
                <w:b/>
                <w:bCs/>
                <w:sz w:val="24"/>
                <w:szCs w:val="24"/>
              </w:rPr>
              <w:t>700 (100</w:t>
            </w:r>
            <w:r w:rsidRPr="004D7654">
              <w:rPr>
                <w:rFonts w:eastAsia="Times New Roman" w:cs="Times New Roman"/>
                <w:b/>
                <w:bCs/>
                <w:sz w:val="24"/>
                <w:szCs w:val="24"/>
              </w:rPr>
              <w:t>)</w:t>
            </w:r>
          </w:p>
        </w:tc>
        <w:tc>
          <w:tcPr>
            <w:tcW w:w="421" w:type="pct"/>
            <w:noWrap/>
            <w:hideMark/>
          </w:tcPr>
          <w:p w:rsidR="004C1042" w:rsidRPr="004D7654" w:rsidRDefault="004C1042" w:rsidP="00974A1F">
            <w:pPr>
              <w:ind w:firstLine="720"/>
              <w:jc w:val="center"/>
              <w:rPr>
                <w:rFonts w:eastAsia="Times New Roman" w:cs="Times New Roman"/>
                <w:b/>
                <w:bCs/>
                <w:sz w:val="24"/>
                <w:szCs w:val="24"/>
              </w:rPr>
            </w:pPr>
            <w:r w:rsidRPr="004D7654">
              <w:rPr>
                <w:rFonts w:eastAsia="Times New Roman" w:cs="Times New Roman"/>
                <w:b/>
                <w:bCs/>
                <w:sz w:val="24"/>
                <w:szCs w:val="24"/>
              </w:rPr>
              <w:t>1</w:t>
            </w:r>
            <w:r w:rsidR="001B55E1" w:rsidRPr="004D7654">
              <w:rPr>
                <w:rFonts w:eastAsia="Times New Roman" w:cs="Times New Roman"/>
                <w:b/>
                <w:bCs/>
                <w:sz w:val="24"/>
                <w:szCs w:val="24"/>
              </w:rPr>
              <w:t>1</w:t>
            </w:r>
            <w:r w:rsidR="001F7172" w:rsidRPr="004D7654">
              <w:rPr>
                <w:rFonts w:eastAsia="Times New Roman" w:cs="Times New Roman"/>
                <w:b/>
                <w:bCs/>
                <w:sz w:val="24"/>
                <w:szCs w:val="24"/>
              </w:rPr>
              <w:t>665 (100</w:t>
            </w:r>
            <w:r w:rsidRPr="004D7654">
              <w:rPr>
                <w:rFonts w:eastAsia="Times New Roman" w:cs="Times New Roman"/>
                <w:b/>
                <w:bCs/>
                <w:sz w:val="24"/>
                <w:szCs w:val="24"/>
              </w:rPr>
              <w:t>)</w:t>
            </w:r>
          </w:p>
        </w:tc>
        <w:tc>
          <w:tcPr>
            <w:tcW w:w="421" w:type="pct"/>
            <w:noWrap/>
            <w:hideMark/>
          </w:tcPr>
          <w:p w:rsidR="004C1042" w:rsidRPr="004D7654" w:rsidRDefault="004C1042" w:rsidP="00974A1F">
            <w:pPr>
              <w:ind w:firstLine="720"/>
              <w:jc w:val="center"/>
              <w:rPr>
                <w:rFonts w:eastAsia="Times New Roman" w:cs="Times New Roman"/>
                <w:b/>
                <w:bCs/>
                <w:sz w:val="24"/>
                <w:szCs w:val="24"/>
              </w:rPr>
            </w:pPr>
            <w:r w:rsidRPr="004D7654">
              <w:rPr>
                <w:rFonts w:eastAsia="Times New Roman" w:cs="Times New Roman"/>
                <w:b/>
                <w:bCs/>
                <w:sz w:val="24"/>
                <w:szCs w:val="24"/>
              </w:rPr>
              <w:t>1</w:t>
            </w:r>
            <w:r w:rsidR="001B55E1" w:rsidRPr="004D7654">
              <w:rPr>
                <w:rFonts w:eastAsia="Times New Roman" w:cs="Times New Roman"/>
                <w:b/>
                <w:bCs/>
                <w:sz w:val="24"/>
                <w:szCs w:val="24"/>
              </w:rPr>
              <w:t>1</w:t>
            </w:r>
            <w:r w:rsidR="001F7172" w:rsidRPr="004D7654">
              <w:rPr>
                <w:rFonts w:eastAsia="Times New Roman" w:cs="Times New Roman"/>
                <w:b/>
                <w:bCs/>
                <w:sz w:val="24"/>
                <w:szCs w:val="24"/>
              </w:rPr>
              <w:t>528 (100</w:t>
            </w:r>
            <w:r w:rsidRPr="004D7654">
              <w:rPr>
                <w:rFonts w:eastAsia="Times New Roman" w:cs="Times New Roman"/>
                <w:b/>
                <w:bCs/>
                <w:sz w:val="24"/>
                <w:szCs w:val="24"/>
              </w:rPr>
              <w:t>)</w:t>
            </w:r>
          </w:p>
        </w:tc>
        <w:tc>
          <w:tcPr>
            <w:tcW w:w="421" w:type="pct"/>
            <w:noWrap/>
            <w:hideMark/>
          </w:tcPr>
          <w:p w:rsidR="004C1042" w:rsidRPr="004D7654" w:rsidRDefault="004C1042" w:rsidP="00974A1F">
            <w:pPr>
              <w:ind w:firstLine="720"/>
              <w:jc w:val="center"/>
              <w:rPr>
                <w:rFonts w:eastAsia="Times New Roman" w:cs="Times New Roman"/>
                <w:b/>
                <w:bCs/>
                <w:sz w:val="24"/>
                <w:szCs w:val="24"/>
              </w:rPr>
            </w:pPr>
            <w:r w:rsidRPr="004D7654">
              <w:rPr>
                <w:rFonts w:eastAsia="Times New Roman" w:cs="Times New Roman"/>
                <w:b/>
                <w:bCs/>
                <w:sz w:val="24"/>
                <w:szCs w:val="24"/>
              </w:rPr>
              <w:t>1</w:t>
            </w:r>
            <w:r w:rsidR="001B55E1" w:rsidRPr="004D7654">
              <w:rPr>
                <w:rFonts w:eastAsia="Times New Roman" w:cs="Times New Roman"/>
                <w:b/>
                <w:bCs/>
                <w:sz w:val="24"/>
                <w:szCs w:val="24"/>
              </w:rPr>
              <w:t>1</w:t>
            </w:r>
            <w:r w:rsidR="001F7172" w:rsidRPr="004D7654">
              <w:rPr>
                <w:rFonts w:eastAsia="Times New Roman" w:cs="Times New Roman"/>
                <w:b/>
                <w:bCs/>
                <w:sz w:val="24"/>
                <w:szCs w:val="24"/>
              </w:rPr>
              <w:t>821 (100</w:t>
            </w:r>
            <w:r w:rsidRPr="004D7654">
              <w:rPr>
                <w:rFonts w:eastAsia="Times New Roman" w:cs="Times New Roman"/>
                <w:b/>
                <w:bCs/>
                <w:sz w:val="24"/>
                <w:szCs w:val="24"/>
              </w:rPr>
              <w:t>)</w:t>
            </w:r>
          </w:p>
        </w:tc>
        <w:tc>
          <w:tcPr>
            <w:tcW w:w="421" w:type="pct"/>
            <w:noWrap/>
            <w:hideMark/>
          </w:tcPr>
          <w:p w:rsidR="004C1042" w:rsidRPr="004D7654" w:rsidRDefault="004C1042" w:rsidP="00974A1F">
            <w:pPr>
              <w:ind w:firstLine="720"/>
              <w:jc w:val="center"/>
              <w:rPr>
                <w:rFonts w:eastAsia="Times New Roman" w:cs="Times New Roman"/>
                <w:b/>
                <w:bCs/>
                <w:sz w:val="24"/>
                <w:szCs w:val="24"/>
              </w:rPr>
            </w:pPr>
            <w:r w:rsidRPr="004D7654">
              <w:rPr>
                <w:rFonts w:eastAsia="Times New Roman" w:cs="Times New Roman"/>
                <w:b/>
                <w:bCs/>
                <w:sz w:val="24"/>
                <w:szCs w:val="24"/>
              </w:rPr>
              <w:t>1</w:t>
            </w:r>
            <w:r w:rsidR="001B55E1" w:rsidRPr="004D7654">
              <w:rPr>
                <w:rFonts w:eastAsia="Times New Roman" w:cs="Times New Roman"/>
                <w:b/>
                <w:bCs/>
                <w:sz w:val="24"/>
                <w:szCs w:val="24"/>
              </w:rPr>
              <w:t>1</w:t>
            </w:r>
            <w:r w:rsidR="001F7172" w:rsidRPr="004D7654">
              <w:rPr>
                <w:rFonts w:eastAsia="Times New Roman" w:cs="Times New Roman"/>
                <w:b/>
                <w:bCs/>
                <w:sz w:val="24"/>
                <w:szCs w:val="24"/>
              </w:rPr>
              <w:t>604 (100</w:t>
            </w:r>
            <w:r w:rsidRPr="004D7654">
              <w:rPr>
                <w:rFonts w:eastAsia="Times New Roman" w:cs="Times New Roman"/>
                <w:b/>
                <w:bCs/>
                <w:sz w:val="24"/>
                <w:szCs w:val="24"/>
              </w:rPr>
              <w:t>)</w:t>
            </w:r>
          </w:p>
        </w:tc>
        <w:tc>
          <w:tcPr>
            <w:tcW w:w="375" w:type="pct"/>
            <w:noWrap/>
            <w:hideMark/>
          </w:tcPr>
          <w:p w:rsidR="004D7654" w:rsidRDefault="004D7654" w:rsidP="00974A1F">
            <w:pPr>
              <w:jc w:val="center"/>
              <w:rPr>
                <w:rFonts w:eastAsia="Times New Roman" w:cs="Times New Roman"/>
                <w:b/>
                <w:bCs/>
                <w:sz w:val="24"/>
                <w:szCs w:val="24"/>
              </w:rPr>
            </w:pPr>
          </w:p>
          <w:p w:rsidR="004D7654" w:rsidRDefault="001B55E1" w:rsidP="00974A1F">
            <w:pPr>
              <w:jc w:val="center"/>
              <w:rPr>
                <w:rFonts w:eastAsia="Times New Roman" w:cs="Times New Roman"/>
                <w:b/>
                <w:bCs/>
                <w:sz w:val="24"/>
                <w:szCs w:val="24"/>
              </w:rPr>
            </w:pPr>
            <w:r w:rsidRPr="004D7654">
              <w:rPr>
                <w:rFonts w:eastAsia="Times New Roman" w:cs="Times New Roman"/>
                <w:b/>
                <w:bCs/>
                <w:sz w:val="24"/>
                <w:szCs w:val="24"/>
              </w:rPr>
              <w:t>1</w:t>
            </w:r>
            <w:r w:rsidR="001F7172" w:rsidRPr="004D7654">
              <w:rPr>
                <w:rFonts w:eastAsia="Times New Roman" w:cs="Times New Roman"/>
                <w:b/>
                <w:bCs/>
                <w:sz w:val="24"/>
                <w:szCs w:val="24"/>
              </w:rPr>
              <w:t>508</w:t>
            </w:r>
          </w:p>
          <w:p w:rsidR="004C1042" w:rsidRPr="004D7654" w:rsidRDefault="001F7172" w:rsidP="00974A1F">
            <w:pPr>
              <w:jc w:val="center"/>
              <w:rPr>
                <w:rFonts w:eastAsia="Times New Roman" w:cs="Times New Roman"/>
                <w:b/>
                <w:bCs/>
                <w:sz w:val="24"/>
                <w:szCs w:val="24"/>
              </w:rPr>
            </w:pPr>
            <w:r w:rsidRPr="004D7654">
              <w:rPr>
                <w:rFonts w:eastAsia="Times New Roman" w:cs="Times New Roman"/>
                <w:b/>
                <w:bCs/>
                <w:sz w:val="24"/>
                <w:szCs w:val="24"/>
              </w:rPr>
              <w:t>(100</w:t>
            </w:r>
            <w:r w:rsidR="004C1042" w:rsidRPr="004D7654">
              <w:rPr>
                <w:rFonts w:eastAsia="Times New Roman" w:cs="Times New Roman"/>
                <w:b/>
                <w:bCs/>
                <w:sz w:val="24"/>
                <w:szCs w:val="24"/>
              </w:rPr>
              <w:t>)</w:t>
            </w:r>
          </w:p>
        </w:tc>
      </w:tr>
      <w:tr w:rsidR="001F7172" w:rsidRPr="004C1042" w:rsidTr="005A7EBF">
        <w:trPr>
          <w:trHeight w:val="300"/>
        </w:trPr>
        <w:tc>
          <w:tcPr>
            <w:tcW w:w="834" w:type="pct"/>
            <w:noWrap/>
            <w:hideMark/>
          </w:tcPr>
          <w:p w:rsidR="004C1042" w:rsidRPr="004D7654" w:rsidRDefault="004C1042" w:rsidP="00974A1F">
            <w:pPr>
              <w:jc w:val="center"/>
              <w:rPr>
                <w:rFonts w:eastAsia="Times New Roman" w:cs="Times New Roman"/>
                <w:sz w:val="24"/>
                <w:szCs w:val="24"/>
              </w:rPr>
            </w:pPr>
            <w:r w:rsidRPr="004D7654">
              <w:rPr>
                <w:rFonts w:eastAsia="Times New Roman" w:cs="Times New Roman"/>
                <w:sz w:val="24"/>
                <w:szCs w:val="24"/>
              </w:rPr>
              <w:t>Koģenerācijas stacijas</w:t>
            </w:r>
          </w:p>
        </w:tc>
        <w:tc>
          <w:tcPr>
            <w:tcW w:w="422" w:type="pct"/>
            <w:noWrap/>
            <w:hideMark/>
          </w:tcPr>
          <w:p w:rsidR="004C1042" w:rsidRPr="004D7654" w:rsidRDefault="001F7172" w:rsidP="00974A1F">
            <w:pPr>
              <w:ind w:firstLine="720"/>
              <w:jc w:val="center"/>
              <w:rPr>
                <w:rFonts w:eastAsia="Times New Roman" w:cs="Times New Roman"/>
                <w:sz w:val="24"/>
                <w:szCs w:val="24"/>
              </w:rPr>
            </w:pPr>
            <w:r w:rsidRPr="004D7654">
              <w:rPr>
                <w:rFonts w:eastAsia="Times New Roman" w:cs="Times New Roman"/>
                <w:sz w:val="24"/>
                <w:szCs w:val="24"/>
              </w:rPr>
              <w:t>682 (40,7</w:t>
            </w:r>
            <w:r w:rsidR="004C1042" w:rsidRPr="004D7654">
              <w:rPr>
                <w:rFonts w:eastAsia="Times New Roman" w:cs="Times New Roman"/>
                <w:sz w:val="24"/>
                <w:szCs w:val="24"/>
              </w:rPr>
              <w:t>)</w:t>
            </w:r>
          </w:p>
        </w:tc>
        <w:tc>
          <w:tcPr>
            <w:tcW w:w="422" w:type="pct"/>
            <w:noWrap/>
            <w:hideMark/>
          </w:tcPr>
          <w:p w:rsidR="004C1042" w:rsidRPr="004D7654" w:rsidRDefault="001F7172" w:rsidP="00974A1F">
            <w:pPr>
              <w:ind w:firstLine="720"/>
              <w:jc w:val="center"/>
              <w:rPr>
                <w:rFonts w:eastAsia="Times New Roman" w:cs="Times New Roman"/>
                <w:sz w:val="24"/>
                <w:szCs w:val="24"/>
              </w:rPr>
            </w:pPr>
            <w:r w:rsidRPr="004D7654">
              <w:rPr>
                <w:rFonts w:eastAsia="Times New Roman" w:cs="Times New Roman"/>
                <w:sz w:val="24"/>
                <w:szCs w:val="24"/>
              </w:rPr>
              <w:t>668 (40,2</w:t>
            </w:r>
            <w:r w:rsidR="004C1042" w:rsidRPr="004D7654">
              <w:rPr>
                <w:rFonts w:eastAsia="Times New Roman" w:cs="Times New Roman"/>
                <w:sz w:val="24"/>
                <w:szCs w:val="24"/>
              </w:rPr>
              <w:t>)</w:t>
            </w:r>
          </w:p>
        </w:tc>
        <w:tc>
          <w:tcPr>
            <w:tcW w:w="421" w:type="pct"/>
            <w:noWrap/>
            <w:hideMark/>
          </w:tcPr>
          <w:p w:rsidR="004C1042" w:rsidRPr="004D7654" w:rsidRDefault="001F7172" w:rsidP="00974A1F">
            <w:pPr>
              <w:ind w:firstLine="720"/>
              <w:jc w:val="center"/>
              <w:rPr>
                <w:rFonts w:eastAsia="Times New Roman" w:cs="Times New Roman"/>
                <w:sz w:val="24"/>
                <w:szCs w:val="24"/>
              </w:rPr>
            </w:pPr>
            <w:r w:rsidRPr="004D7654">
              <w:rPr>
                <w:rFonts w:eastAsia="Times New Roman" w:cs="Times New Roman"/>
                <w:sz w:val="24"/>
                <w:szCs w:val="24"/>
              </w:rPr>
              <w:t>675 (39,8</w:t>
            </w:r>
            <w:r w:rsidR="004C1042" w:rsidRPr="004D7654">
              <w:rPr>
                <w:rFonts w:eastAsia="Times New Roman" w:cs="Times New Roman"/>
                <w:sz w:val="24"/>
                <w:szCs w:val="24"/>
              </w:rPr>
              <w:t>)</w:t>
            </w:r>
          </w:p>
        </w:tc>
        <w:tc>
          <w:tcPr>
            <w:tcW w:w="421" w:type="pct"/>
            <w:noWrap/>
            <w:hideMark/>
          </w:tcPr>
          <w:p w:rsidR="004C1042" w:rsidRPr="004D7654" w:rsidRDefault="001F7172" w:rsidP="00974A1F">
            <w:pPr>
              <w:ind w:firstLine="720"/>
              <w:jc w:val="center"/>
              <w:rPr>
                <w:rFonts w:eastAsia="Times New Roman" w:cs="Times New Roman"/>
                <w:sz w:val="24"/>
                <w:szCs w:val="24"/>
              </w:rPr>
            </w:pPr>
            <w:r w:rsidRPr="004D7654">
              <w:rPr>
                <w:rFonts w:eastAsia="Times New Roman" w:cs="Times New Roman"/>
                <w:sz w:val="24"/>
                <w:szCs w:val="24"/>
              </w:rPr>
              <w:t>802 (45,7</w:t>
            </w:r>
            <w:r w:rsidR="004C1042" w:rsidRPr="004D7654">
              <w:rPr>
                <w:rFonts w:eastAsia="Times New Roman" w:cs="Times New Roman"/>
                <w:sz w:val="24"/>
                <w:szCs w:val="24"/>
              </w:rPr>
              <w:t>)</w:t>
            </w:r>
          </w:p>
        </w:tc>
        <w:tc>
          <w:tcPr>
            <w:tcW w:w="421" w:type="pct"/>
            <w:noWrap/>
            <w:hideMark/>
          </w:tcPr>
          <w:p w:rsidR="004C1042" w:rsidRPr="004D7654" w:rsidRDefault="001F7172" w:rsidP="00974A1F">
            <w:pPr>
              <w:ind w:firstLine="720"/>
              <w:jc w:val="center"/>
              <w:rPr>
                <w:rFonts w:eastAsia="Times New Roman" w:cs="Times New Roman"/>
                <w:sz w:val="24"/>
                <w:szCs w:val="24"/>
              </w:rPr>
            </w:pPr>
            <w:r w:rsidRPr="004D7654">
              <w:rPr>
                <w:rFonts w:eastAsia="Times New Roman" w:cs="Times New Roman"/>
                <w:sz w:val="24"/>
                <w:szCs w:val="24"/>
              </w:rPr>
              <w:t>758 (44,6</w:t>
            </w:r>
            <w:r w:rsidR="004C1042" w:rsidRPr="004D7654">
              <w:rPr>
                <w:rFonts w:eastAsia="Times New Roman" w:cs="Times New Roman"/>
                <w:sz w:val="24"/>
                <w:szCs w:val="24"/>
              </w:rPr>
              <w:t>)</w:t>
            </w:r>
          </w:p>
        </w:tc>
        <w:tc>
          <w:tcPr>
            <w:tcW w:w="421" w:type="pct"/>
            <w:noWrap/>
            <w:hideMark/>
          </w:tcPr>
          <w:p w:rsidR="004C1042" w:rsidRPr="004D7654" w:rsidRDefault="001F7172" w:rsidP="00974A1F">
            <w:pPr>
              <w:ind w:firstLine="720"/>
              <w:jc w:val="center"/>
              <w:rPr>
                <w:rFonts w:eastAsia="Times New Roman" w:cs="Times New Roman"/>
                <w:sz w:val="24"/>
                <w:szCs w:val="24"/>
              </w:rPr>
            </w:pPr>
            <w:r w:rsidRPr="004D7654">
              <w:rPr>
                <w:rFonts w:eastAsia="Times New Roman" w:cs="Times New Roman"/>
                <w:sz w:val="24"/>
                <w:szCs w:val="24"/>
              </w:rPr>
              <w:t>736 (44,2</w:t>
            </w:r>
            <w:r w:rsidR="004C1042" w:rsidRPr="004D7654">
              <w:rPr>
                <w:rFonts w:eastAsia="Times New Roman" w:cs="Times New Roman"/>
                <w:sz w:val="24"/>
                <w:szCs w:val="24"/>
              </w:rPr>
              <w:t>)</w:t>
            </w:r>
          </w:p>
        </w:tc>
        <w:tc>
          <w:tcPr>
            <w:tcW w:w="421" w:type="pct"/>
            <w:noWrap/>
            <w:hideMark/>
          </w:tcPr>
          <w:p w:rsidR="004C1042" w:rsidRPr="004D7654" w:rsidRDefault="001F7172" w:rsidP="00974A1F">
            <w:pPr>
              <w:ind w:firstLine="720"/>
              <w:jc w:val="center"/>
              <w:rPr>
                <w:rFonts w:eastAsia="Times New Roman" w:cs="Times New Roman"/>
                <w:sz w:val="24"/>
                <w:szCs w:val="24"/>
              </w:rPr>
            </w:pPr>
            <w:r w:rsidRPr="004D7654">
              <w:rPr>
                <w:rFonts w:eastAsia="Times New Roman" w:cs="Times New Roman"/>
                <w:sz w:val="24"/>
                <w:szCs w:val="24"/>
              </w:rPr>
              <w:t>715 (46,8</w:t>
            </w:r>
            <w:r w:rsidR="004C1042" w:rsidRPr="004D7654">
              <w:rPr>
                <w:rFonts w:eastAsia="Times New Roman" w:cs="Times New Roman"/>
                <w:sz w:val="24"/>
                <w:szCs w:val="24"/>
              </w:rPr>
              <w:t>)</w:t>
            </w:r>
          </w:p>
        </w:tc>
        <w:tc>
          <w:tcPr>
            <w:tcW w:w="421" w:type="pct"/>
            <w:noWrap/>
            <w:hideMark/>
          </w:tcPr>
          <w:p w:rsidR="004C1042" w:rsidRPr="004D7654" w:rsidRDefault="001F7172" w:rsidP="00974A1F">
            <w:pPr>
              <w:ind w:firstLine="720"/>
              <w:jc w:val="center"/>
              <w:rPr>
                <w:rFonts w:eastAsia="Times New Roman" w:cs="Times New Roman"/>
                <w:sz w:val="24"/>
                <w:szCs w:val="24"/>
              </w:rPr>
            </w:pPr>
            <w:r w:rsidRPr="004D7654">
              <w:rPr>
                <w:rFonts w:eastAsia="Times New Roman" w:cs="Times New Roman"/>
                <w:sz w:val="24"/>
                <w:szCs w:val="24"/>
              </w:rPr>
              <w:t>929 (51,0</w:t>
            </w:r>
            <w:r w:rsidR="004C1042" w:rsidRPr="004D7654">
              <w:rPr>
                <w:rFonts w:eastAsia="Times New Roman" w:cs="Times New Roman"/>
                <w:sz w:val="24"/>
                <w:szCs w:val="24"/>
              </w:rPr>
              <w:t>)</w:t>
            </w:r>
          </w:p>
        </w:tc>
        <w:tc>
          <w:tcPr>
            <w:tcW w:w="421" w:type="pct"/>
            <w:noWrap/>
            <w:hideMark/>
          </w:tcPr>
          <w:p w:rsidR="004C1042" w:rsidRPr="004D7654" w:rsidRDefault="001F7172" w:rsidP="00974A1F">
            <w:pPr>
              <w:ind w:firstLine="720"/>
              <w:jc w:val="center"/>
              <w:rPr>
                <w:rFonts w:eastAsia="Times New Roman" w:cs="Times New Roman"/>
                <w:sz w:val="24"/>
                <w:szCs w:val="24"/>
              </w:rPr>
            </w:pPr>
            <w:r w:rsidRPr="004D7654">
              <w:rPr>
                <w:rFonts w:eastAsia="Times New Roman" w:cs="Times New Roman"/>
                <w:sz w:val="24"/>
                <w:szCs w:val="24"/>
              </w:rPr>
              <w:t>862 (53,7</w:t>
            </w:r>
            <w:r w:rsidR="004C1042" w:rsidRPr="004D7654">
              <w:rPr>
                <w:rFonts w:eastAsia="Times New Roman" w:cs="Times New Roman"/>
                <w:sz w:val="24"/>
                <w:szCs w:val="24"/>
              </w:rPr>
              <w:t>)</w:t>
            </w:r>
          </w:p>
        </w:tc>
        <w:tc>
          <w:tcPr>
            <w:tcW w:w="375" w:type="pct"/>
            <w:noWrap/>
            <w:hideMark/>
          </w:tcPr>
          <w:p w:rsidR="004C1042" w:rsidRPr="004D7654" w:rsidRDefault="001F7172" w:rsidP="00974A1F">
            <w:pPr>
              <w:jc w:val="center"/>
              <w:rPr>
                <w:rFonts w:eastAsia="Times New Roman" w:cs="Times New Roman"/>
                <w:sz w:val="24"/>
                <w:szCs w:val="24"/>
              </w:rPr>
            </w:pPr>
            <w:r w:rsidRPr="004D7654">
              <w:rPr>
                <w:rFonts w:eastAsia="Times New Roman" w:cs="Times New Roman"/>
                <w:sz w:val="24"/>
                <w:szCs w:val="24"/>
              </w:rPr>
              <w:t>776 (51,5</w:t>
            </w:r>
            <w:r w:rsidR="004C1042" w:rsidRPr="004D7654">
              <w:rPr>
                <w:rFonts w:eastAsia="Times New Roman" w:cs="Times New Roman"/>
                <w:sz w:val="24"/>
                <w:szCs w:val="24"/>
              </w:rPr>
              <w:t>)</w:t>
            </w:r>
          </w:p>
        </w:tc>
      </w:tr>
      <w:tr w:rsidR="001F7172" w:rsidRPr="004C1042" w:rsidTr="005A7EBF">
        <w:trPr>
          <w:trHeight w:val="300"/>
        </w:trPr>
        <w:tc>
          <w:tcPr>
            <w:tcW w:w="834" w:type="pct"/>
            <w:noWrap/>
            <w:hideMark/>
          </w:tcPr>
          <w:p w:rsidR="004C1042" w:rsidRPr="004D7654" w:rsidRDefault="004C1042" w:rsidP="00974A1F">
            <w:pPr>
              <w:jc w:val="center"/>
              <w:rPr>
                <w:rFonts w:eastAsia="Times New Roman" w:cs="Times New Roman"/>
                <w:sz w:val="24"/>
                <w:szCs w:val="24"/>
              </w:rPr>
            </w:pPr>
            <w:r w:rsidRPr="004D7654">
              <w:rPr>
                <w:rFonts w:eastAsia="Times New Roman" w:cs="Times New Roman"/>
                <w:sz w:val="24"/>
                <w:szCs w:val="24"/>
              </w:rPr>
              <w:t>Katlumājas</w:t>
            </w:r>
          </w:p>
        </w:tc>
        <w:tc>
          <w:tcPr>
            <w:tcW w:w="422" w:type="pct"/>
            <w:noWrap/>
            <w:hideMark/>
          </w:tcPr>
          <w:p w:rsidR="004C1042" w:rsidRPr="004D7654" w:rsidRDefault="001F7172" w:rsidP="00974A1F">
            <w:pPr>
              <w:ind w:firstLine="720"/>
              <w:jc w:val="center"/>
              <w:rPr>
                <w:rFonts w:eastAsia="Times New Roman" w:cs="Times New Roman"/>
                <w:sz w:val="24"/>
                <w:szCs w:val="24"/>
              </w:rPr>
            </w:pPr>
            <w:r w:rsidRPr="004D7654">
              <w:rPr>
                <w:rFonts w:eastAsia="Times New Roman" w:cs="Times New Roman"/>
                <w:sz w:val="24"/>
                <w:szCs w:val="24"/>
              </w:rPr>
              <w:t>379 (22,6</w:t>
            </w:r>
            <w:r w:rsidR="004C1042" w:rsidRPr="004D7654">
              <w:rPr>
                <w:rFonts w:eastAsia="Times New Roman" w:cs="Times New Roman"/>
                <w:sz w:val="24"/>
                <w:szCs w:val="24"/>
              </w:rPr>
              <w:t>)</w:t>
            </w:r>
          </w:p>
        </w:tc>
        <w:tc>
          <w:tcPr>
            <w:tcW w:w="422" w:type="pct"/>
            <w:noWrap/>
            <w:hideMark/>
          </w:tcPr>
          <w:p w:rsidR="004C1042" w:rsidRPr="004D7654" w:rsidRDefault="001F7172" w:rsidP="00974A1F">
            <w:pPr>
              <w:ind w:firstLine="720"/>
              <w:jc w:val="center"/>
              <w:rPr>
                <w:rFonts w:eastAsia="Times New Roman" w:cs="Times New Roman"/>
                <w:sz w:val="24"/>
                <w:szCs w:val="24"/>
              </w:rPr>
            </w:pPr>
            <w:r w:rsidRPr="004D7654">
              <w:rPr>
                <w:rFonts w:eastAsia="Times New Roman" w:cs="Times New Roman"/>
                <w:sz w:val="24"/>
                <w:szCs w:val="24"/>
              </w:rPr>
              <w:t>339 (20,4</w:t>
            </w:r>
            <w:r w:rsidR="004C1042" w:rsidRPr="004D7654">
              <w:rPr>
                <w:rFonts w:eastAsia="Times New Roman" w:cs="Times New Roman"/>
                <w:sz w:val="24"/>
                <w:szCs w:val="24"/>
              </w:rPr>
              <w:t>)</w:t>
            </w:r>
          </w:p>
        </w:tc>
        <w:tc>
          <w:tcPr>
            <w:tcW w:w="421" w:type="pct"/>
            <w:noWrap/>
            <w:hideMark/>
          </w:tcPr>
          <w:p w:rsidR="004C1042" w:rsidRPr="004D7654" w:rsidRDefault="001F7172" w:rsidP="00974A1F">
            <w:pPr>
              <w:ind w:firstLine="720"/>
              <w:jc w:val="center"/>
              <w:rPr>
                <w:rFonts w:eastAsia="Times New Roman" w:cs="Times New Roman"/>
                <w:sz w:val="24"/>
                <w:szCs w:val="24"/>
              </w:rPr>
            </w:pPr>
            <w:r w:rsidRPr="004D7654">
              <w:rPr>
                <w:rFonts w:eastAsia="Times New Roman" w:cs="Times New Roman"/>
                <w:sz w:val="24"/>
                <w:szCs w:val="24"/>
              </w:rPr>
              <w:t>355 (20,9</w:t>
            </w:r>
            <w:r w:rsidR="004C1042" w:rsidRPr="004D7654">
              <w:rPr>
                <w:rFonts w:eastAsia="Times New Roman" w:cs="Times New Roman"/>
                <w:sz w:val="24"/>
                <w:szCs w:val="24"/>
              </w:rPr>
              <w:t>)</w:t>
            </w:r>
          </w:p>
        </w:tc>
        <w:tc>
          <w:tcPr>
            <w:tcW w:w="421" w:type="pct"/>
            <w:noWrap/>
            <w:hideMark/>
          </w:tcPr>
          <w:p w:rsidR="004C1042" w:rsidRPr="004D7654" w:rsidRDefault="001F7172" w:rsidP="00974A1F">
            <w:pPr>
              <w:ind w:firstLine="720"/>
              <w:jc w:val="center"/>
              <w:rPr>
                <w:rFonts w:eastAsia="Times New Roman" w:cs="Times New Roman"/>
                <w:sz w:val="24"/>
                <w:szCs w:val="24"/>
              </w:rPr>
            </w:pPr>
            <w:r w:rsidRPr="004D7654">
              <w:rPr>
                <w:rFonts w:eastAsia="Times New Roman" w:cs="Times New Roman"/>
                <w:sz w:val="24"/>
                <w:szCs w:val="24"/>
              </w:rPr>
              <w:t>277 (15,8</w:t>
            </w:r>
            <w:r w:rsidR="004C1042" w:rsidRPr="004D7654">
              <w:rPr>
                <w:rFonts w:eastAsia="Times New Roman" w:cs="Times New Roman"/>
                <w:sz w:val="24"/>
                <w:szCs w:val="24"/>
              </w:rPr>
              <w:t>)</w:t>
            </w:r>
          </w:p>
        </w:tc>
        <w:tc>
          <w:tcPr>
            <w:tcW w:w="421" w:type="pct"/>
            <w:noWrap/>
            <w:hideMark/>
          </w:tcPr>
          <w:p w:rsidR="004C1042" w:rsidRPr="004D7654" w:rsidRDefault="001F7172" w:rsidP="00974A1F">
            <w:pPr>
              <w:ind w:firstLine="720"/>
              <w:jc w:val="center"/>
              <w:rPr>
                <w:rFonts w:eastAsia="Times New Roman" w:cs="Times New Roman"/>
                <w:sz w:val="24"/>
                <w:szCs w:val="24"/>
              </w:rPr>
            </w:pPr>
            <w:r w:rsidRPr="004D7654">
              <w:rPr>
                <w:rFonts w:eastAsia="Times New Roman" w:cs="Times New Roman"/>
                <w:sz w:val="24"/>
                <w:szCs w:val="24"/>
              </w:rPr>
              <w:t>261 (15,4</w:t>
            </w:r>
            <w:r w:rsidR="004C1042" w:rsidRPr="004D7654">
              <w:rPr>
                <w:rFonts w:eastAsia="Times New Roman" w:cs="Times New Roman"/>
                <w:sz w:val="24"/>
                <w:szCs w:val="24"/>
              </w:rPr>
              <w:t>)</w:t>
            </w:r>
          </w:p>
        </w:tc>
        <w:tc>
          <w:tcPr>
            <w:tcW w:w="421" w:type="pct"/>
            <w:noWrap/>
            <w:hideMark/>
          </w:tcPr>
          <w:p w:rsidR="004C1042" w:rsidRPr="004D7654" w:rsidRDefault="001F7172" w:rsidP="00974A1F">
            <w:pPr>
              <w:ind w:firstLine="720"/>
              <w:jc w:val="center"/>
              <w:rPr>
                <w:rFonts w:eastAsia="Times New Roman" w:cs="Times New Roman"/>
                <w:sz w:val="24"/>
                <w:szCs w:val="24"/>
              </w:rPr>
            </w:pPr>
            <w:r w:rsidRPr="004D7654">
              <w:rPr>
                <w:rFonts w:eastAsia="Times New Roman" w:cs="Times New Roman"/>
                <w:sz w:val="24"/>
                <w:szCs w:val="24"/>
              </w:rPr>
              <w:t>269 (16,2</w:t>
            </w:r>
            <w:r w:rsidR="004C1042" w:rsidRPr="004D7654">
              <w:rPr>
                <w:rFonts w:eastAsia="Times New Roman" w:cs="Times New Roman"/>
                <w:sz w:val="24"/>
                <w:szCs w:val="24"/>
              </w:rPr>
              <w:t>)</w:t>
            </w:r>
          </w:p>
        </w:tc>
        <w:tc>
          <w:tcPr>
            <w:tcW w:w="421" w:type="pct"/>
            <w:noWrap/>
            <w:hideMark/>
          </w:tcPr>
          <w:p w:rsidR="004C1042" w:rsidRPr="004D7654" w:rsidRDefault="001F7172" w:rsidP="00974A1F">
            <w:pPr>
              <w:ind w:firstLine="720"/>
              <w:jc w:val="center"/>
              <w:rPr>
                <w:rFonts w:eastAsia="Times New Roman" w:cs="Times New Roman"/>
                <w:sz w:val="24"/>
                <w:szCs w:val="24"/>
              </w:rPr>
            </w:pPr>
            <w:r w:rsidRPr="004D7654">
              <w:rPr>
                <w:rFonts w:eastAsia="Times New Roman" w:cs="Times New Roman"/>
                <w:sz w:val="24"/>
                <w:szCs w:val="24"/>
              </w:rPr>
              <w:t>241 (15,8</w:t>
            </w:r>
            <w:r w:rsidR="004C1042" w:rsidRPr="004D7654">
              <w:rPr>
                <w:rFonts w:eastAsia="Times New Roman" w:cs="Times New Roman"/>
                <w:sz w:val="24"/>
                <w:szCs w:val="24"/>
              </w:rPr>
              <w:t>)</w:t>
            </w:r>
          </w:p>
        </w:tc>
        <w:tc>
          <w:tcPr>
            <w:tcW w:w="421" w:type="pct"/>
            <w:noWrap/>
            <w:hideMark/>
          </w:tcPr>
          <w:p w:rsidR="004C1042" w:rsidRPr="004D7654" w:rsidRDefault="001F7172" w:rsidP="00974A1F">
            <w:pPr>
              <w:ind w:firstLine="720"/>
              <w:jc w:val="center"/>
              <w:rPr>
                <w:rFonts w:eastAsia="Times New Roman" w:cs="Times New Roman"/>
                <w:sz w:val="24"/>
                <w:szCs w:val="24"/>
              </w:rPr>
            </w:pPr>
            <w:r w:rsidRPr="004D7654">
              <w:rPr>
                <w:rFonts w:eastAsia="Times New Roman" w:cs="Times New Roman"/>
                <w:sz w:val="24"/>
                <w:szCs w:val="24"/>
              </w:rPr>
              <w:t>238 (13,1</w:t>
            </w:r>
            <w:r w:rsidR="004C1042" w:rsidRPr="004D7654">
              <w:rPr>
                <w:rFonts w:eastAsia="Times New Roman" w:cs="Times New Roman"/>
                <w:sz w:val="24"/>
                <w:szCs w:val="24"/>
              </w:rPr>
              <w:t>)</w:t>
            </w:r>
          </w:p>
        </w:tc>
        <w:tc>
          <w:tcPr>
            <w:tcW w:w="421" w:type="pct"/>
            <w:noWrap/>
            <w:hideMark/>
          </w:tcPr>
          <w:p w:rsidR="004C1042" w:rsidRPr="004D7654" w:rsidRDefault="001F7172" w:rsidP="00974A1F">
            <w:pPr>
              <w:ind w:firstLine="720"/>
              <w:jc w:val="center"/>
              <w:rPr>
                <w:rFonts w:eastAsia="Times New Roman" w:cs="Times New Roman"/>
                <w:sz w:val="24"/>
                <w:szCs w:val="24"/>
              </w:rPr>
            </w:pPr>
            <w:r w:rsidRPr="004D7654">
              <w:rPr>
                <w:rFonts w:eastAsia="Times New Roman" w:cs="Times New Roman"/>
                <w:sz w:val="24"/>
                <w:szCs w:val="24"/>
              </w:rPr>
              <w:t>2</w:t>
            </w:r>
            <w:r w:rsidR="00835745" w:rsidRPr="004D7654">
              <w:rPr>
                <w:rFonts w:eastAsia="Times New Roman" w:cs="Times New Roman"/>
                <w:sz w:val="24"/>
                <w:szCs w:val="24"/>
              </w:rPr>
              <w:t>8</w:t>
            </w:r>
            <w:r w:rsidRPr="004D7654">
              <w:rPr>
                <w:rFonts w:eastAsia="Times New Roman" w:cs="Times New Roman"/>
                <w:sz w:val="24"/>
                <w:szCs w:val="24"/>
              </w:rPr>
              <w:t>5 (12,8</w:t>
            </w:r>
            <w:r w:rsidR="004C1042" w:rsidRPr="004D7654">
              <w:rPr>
                <w:rFonts w:eastAsia="Times New Roman" w:cs="Times New Roman"/>
                <w:sz w:val="24"/>
                <w:szCs w:val="24"/>
              </w:rPr>
              <w:t>)</w:t>
            </w:r>
          </w:p>
        </w:tc>
        <w:tc>
          <w:tcPr>
            <w:tcW w:w="375" w:type="pct"/>
            <w:noWrap/>
            <w:hideMark/>
          </w:tcPr>
          <w:p w:rsidR="004C1042" w:rsidRPr="004D7654" w:rsidRDefault="001F7172" w:rsidP="00974A1F">
            <w:pPr>
              <w:jc w:val="center"/>
              <w:rPr>
                <w:rFonts w:eastAsia="Times New Roman" w:cs="Times New Roman"/>
                <w:sz w:val="24"/>
                <w:szCs w:val="24"/>
              </w:rPr>
            </w:pPr>
            <w:r w:rsidRPr="004D7654">
              <w:rPr>
                <w:rFonts w:eastAsia="Times New Roman" w:cs="Times New Roman"/>
                <w:sz w:val="24"/>
                <w:szCs w:val="24"/>
              </w:rPr>
              <w:t>187 (12,4</w:t>
            </w:r>
            <w:r w:rsidR="004C1042" w:rsidRPr="004D7654">
              <w:rPr>
                <w:rFonts w:eastAsia="Times New Roman" w:cs="Times New Roman"/>
                <w:sz w:val="24"/>
                <w:szCs w:val="24"/>
              </w:rPr>
              <w:t>)</w:t>
            </w:r>
          </w:p>
        </w:tc>
      </w:tr>
      <w:tr w:rsidR="001F7172" w:rsidRPr="004C1042" w:rsidTr="005A7EBF">
        <w:trPr>
          <w:trHeight w:val="300"/>
        </w:trPr>
        <w:tc>
          <w:tcPr>
            <w:tcW w:w="834" w:type="pct"/>
            <w:noWrap/>
            <w:hideMark/>
          </w:tcPr>
          <w:p w:rsidR="004C1042" w:rsidRPr="004D7654" w:rsidRDefault="004C1042" w:rsidP="00974A1F">
            <w:pPr>
              <w:jc w:val="center"/>
              <w:rPr>
                <w:rFonts w:eastAsia="Times New Roman" w:cs="Times New Roman"/>
                <w:sz w:val="24"/>
                <w:szCs w:val="24"/>
              </w:rPr>
            </w:pPr>
            <w:r w:rsidRPr="004D7654">
              <w:rPr>
                <w:rFonts w:eastAsia="Times New Roman" w:cs="Times New Roman"/>
                <w:sz w:val="24"/>
                <w:szCs w:val="24"/>
              </w:rPr>
              <w:t>Enerģētikas sektors</w:t>
            </w:r>
          </w:p>
        </w:tc>
        <w:tc>
          <w:tcPr>
            <w:tcW w:w="422" w:type="pct"/>
            <w:noWrap/>
            <w:hideMark/>
          </w:tcPr>
          <w:p w:rsidR="004C1042" w:rsidRPr="004D7654" w:rsidRDefault="001F7172" w:rsidP="00974A1F">
            <w:pPr>
              <w:ind w:firstLine="720"/>
              <w:jc w:val="center"/>
              <w:rPr>
                <w:rFonts w:eastAsia="Times New Roman" w:cs="Times New Roman"/>
                <w:sz w:val="24"/>
                <w:szCs w:val="24"/>
              </w:rPr>
            </w:pPr>
            <w:r w:rsidRPr="004D7654">
              <w:rPr>
                <w:rFonts w:eastAsia="Times New Roman" w:cs="Times New Roman"/>
                <w:sz w:val="24"/>
                <w:szCs w:val="24"/>
              </w:rPr>
              <w:t>26 (1,6</w:t>
            </w:r>
            <w:r w:rsidR="004C1042" w:rsidRPr="004D7654">
              <w:rPr>
                <w:rFonts w:eastAsia="Times New Roman" w:cs="Times New Roman"/>
                <w:sz w:val="24"/>
                <w:szCs w:val="24"/>
              </w:rPr>
              <w:t>)</w:t>
            </w:r>
          </w:p>
        </w:tc>
        <w:tc>
          <w:tcPr>
            <w:tcW w:w="422" w:type="pct"/>
            <w:noWrap/>
            <w:hideMark/>
          </w:tcPr>
          <w:p w:rsidR="004C1042" w:rsidRPr="004D7654" w:rsidRDefault="001F7172" w:rsidP="00974A1F">
            <w:pPr>
              <w:ind w:firstLine="720"/>
              <w:jc w:val="center"/>
              <w:rPr>
                <w:rFonts w:eastAsia="Times New Roman" w:cs="Times New Roman"/>
                <w:sz w:val="24"/>
                <w:szCs w:val="24"/>
              </w:rPr>
            </w:pPr>
            <w:r w:rsidRPr="004D7654">
              <w:rPr>
                <w:rFonts w:eastAsia="Times New Roman" w:cs="Times New Roman"/>
                <w:sz w:val="24"/>
                <w:szCs w:val="24"/>
              </w:rPr>
              <w:t>26 (1,6</w:t>
            </w:r>
            <w:r w:rsidR="004C1042" w:rsidRPr="004D7654">
              <w:rPr>
                <w:rFonts w:eastAsia="Times New Roman" w:cs="Times New Roman"/>
                <w:sz w:val="24"/>
                <w:szCs w:val="24"/>
              </w:rPr>
              <w:t>)</w:t>
            </w:r>
          </w:p>
        </w:tc>
        <w:tc>
          <w:tcPr>
            <w:tcW w:w="421" w:type="pct"/>
            <w:noWrap/>
            <w:hideMark/>
          </w:tcPr>
          <w:p w:rsidR="004C1042" w:rsidRPr="004D7654" w:rsidRDefault="001F7172" w:rsidP="00974A1F">
            <w:pPr>
              <w:ind w:firstLine="720"/>
              <w:jc w:val="center"/>
              <w:rPr>
                <w:rFonts w:eastAsia="Times New Roman" w:cs="Times New Roman"/>
                <w:sz w:val="24"/>
                <w:szCs w:val="24"/>
              </w:rPr>
            </w:pPr>
            <w:r w:rsidRPr="004D7654">
              <w:rPr>
                <w:rFonts w:eastAsia="Times New Roman" w:cs="Times New Roman"/>
                <w:sz w:val="24"/>
                <w:szCs w:val="24"/>
              </w:rPr>
              <w:t>26 (1,5</w:t>
            </w:r>
            <w:r w:rsidR="004C1042" w:rsidRPr="004D7654">
              <w:rPr>
                <w:rFonts w:eastAsia="Times New Roman" w:cs="Times New Roman"/>
                <w:sz w:val="24"/>
                <w:szCs w:val="24"/>
              </w:rPr>
              <w:t>)</w:t>
            </w:r>
          </w:p>
        </w:tc>
        <w:tc>
          <w:tcPr>
            <w:tcW w:w="421" w:type="pct"/>
            <w:noWrap/>
            <w:hideMark/>
          </w:tcPr>
          <w:p w:rsidR="004C1042" w:rsidRPr="004D7654" w:rsidRDefault="001F7172" w:rsidP="00974A1F">
            <w:pPr>
              <w:ind w:firstLine="720"/>
              <w:jc w:val="center"/>
              <w:rPr>
                <w:rFonts w:eastAsia="Times New Roman" w:cs="Times New Roman"/>
                <w:sz w:val="24"/>
                <w:szCs w:val="24"/>
              </w:rPr>
            </w:pPr>
            <w:r w:rsidRPr="004D7654">
              <w:rPr>
                <w:rFonts w:eastAsia="Times New Roman" w:cs="Times New Roman"/>
                <w:sz w:val="24"/>
                <w:szCs w:val="24"/>
              </w:rPr>
              <w:t>28 (1,6</w:t>
            </w:r>
            <w:r w:rsidR="004C1042" w:rsidRPr="004D7654">
              <w:rPr>
                <w:rFonts w:eastAsia="Times New Roman" w:cs="Times New Roman"/>
                <w:sz w:val="24"/>
                <w:szCs w:val="24"/>
              </w:rPr>
              <w:t>)</w:t>
            </w:r>
          </w:p>
        </w:tc>
        <w:tc>
          <w:tcPr>
            <w:tcW w:w="421" w:type="pct"/>
            <w:noWrap/>
            <w:hideMark/>
          </w:tcPr>
          <w:p w:rsidR="004C1042" w:rsidRPr="004D7654" w:rsidRDefault="001F7172" w:rsidP="00974A1F">
            <w:pPr>
              <w:ind w:firstLine="720"/>
              <w:jc w:val="center"/>
              <w:rPr>
                <w:rFonts w:eastAsia="Times New Roman" w:cs="Times New Roman"/>
                <w:sz w:val="24"/>
                <w:szCs w:val="24"/>
              </w:rPr>
            </w:pPr>
            <w:r w:rsidRPr="004D7654">
              <w:rPr>
                <w:rFonts w:eastAsia="Times New Roman" w:cs="Times New Roman"/>
                <w:sz w:val="24"/>
                <w:szCs w:val="24"/>
              </w:rPr>
              <w:t>17 (1,0</w:t>
            </w:r>
            <w:r w:rsidR="004C1042" w:rsidRPr="004D7654">
              <w:rPr>
                <w:rFonts w:eastAsia="Times New Roman" w:cs="Times New Roman"/>
                <w:sz w:val="24"/>
                <w:szCs w:val="24"/>
              </w:rPr>
              <w:t>)</w:t>
            </w:r>
          </w:p>
        </w:tc>
        <w:tc>
          <w:tcPr>
            <w:tcW w:w="421" w:type="pct"/>
            <w:noWrap/>
            <w:hideMark/>
          </w:tcPr>
          <w:p w:rsidR="004C1042" w:rsidRPr="004D7654" w:rsidRDefault="001F7172" w:rsidP="00974A1F">
            <w:pPr>
              <w:ind w:firstLine="720"/>
              <w:jc w:val="center"/>
              <w:rPr>
                <w:rFonts w:eastAsia="Times New Roman" w:cs="Times New Roman"/>
                <w:sz w:val="24"/>
                <w:szCs w:val="24"/>
              </w:rPr>
            </w:pPr>
            <w:r w:rsidRPr="004D7654">
              <w:rPr>
                <w:rFonts w:eastAsia="Times New Roman" w:cs="Times New Roman"/>
                <w:sz w:val="24"/>
                <w:szCs w:val="24"/>
              </w:rPr>
              <w:t>24 (1,4</w:t>
            </w:r>
            <w:r w:rsidR="004C1042" w:rsidRPr="004D7654">
              <w:rPr>
                <w:rFonts w:eastAsia="Times New Roman" w:cs="Times New Roman"/>
                <w:sz w:val="24"/>
                <w:szCs w:val="24"/>
              </w:rPr>
              <w:t>)</w:t>
            </w:r>
          </w:p>
        </w:tc>
        <w:tc>
          <w:tcPr>
            <w:tcW w:w="421" w:type="pct"/>
            <w:noWrap/>
            <w:hideMark/>
          </w:tcPr>
          <w:p w:rsidR="004C1042" w:rsidRPr="004D7654" w:rsidRDefault="001F7172" w:rsidP="00974A1F">
            <w:pPr>
              <w:ind w:firstLine="720"/>
              <w:jc w:val="center"/>
              <w:rPr>
                <w:rFonts w:eastAsia="Times New Roman" w:cs="Times New Roman"/>
                <w:sz w:val="24"/>
                <w:szCs w:val="24"/>
              </w:rPr>
            </w:pPr>
            <w:r w:rsidRPr="004D7654">
              <w:rPr>
                <w:rFonts w:eastAsia="Times New Roman" w:cs="Times New Roman"/>
                <w:sz w:val="24"/>
                <w:szCs w:val="24"/>
              </w:rPr>
              <w:t>15 (1,0</w:t>
            </w:r>
            <w:r w:rsidR="004C1042" w:rsidRPr="004D7654">
              <w:rPr>
                <w:rFonts w:eastAsia="Times New Roman" w:cs="Times New Roman"/>
                <w:sz w:val="24"/>
                <w:szCs w:val="24"/>
              </w:rPr>
              <w:t>)</w:t>
            </w:r>
          </w:p>
        </w:tc>
        <w:tc>
          <w:tcPr>
            <w:tcW w:w="421" w:type="pct"/>
            <w:noWrap/>
            <w:hideMark/>
          </w:tcPr>
          <w:p w:rsidR="004C1042" w:rsidRPr="004D7654" w:rsidRDefault="001F7172" w:rsidP="00974A1F">
            <w:pPr>
              <w:ind w:firstLine="720"/>
              <w:jc w:val="center"/>
              <w:rPr>
                <w:rFonts w:eastAsia="Times New Roman" w:cs="Times New Roman"/>
                <w:sz w:val="24"/>
                <w:szCs w:val="24"/>
              </w:rPr>
            </w:pPr>
            <w:r w:rsidRPr="004D7654">
              <w:rPr>
                <w:rFonts w:eastAsia="Times New Roman" w:cs="Times New Roman"/>
                <w:sz w:val="24"/>
                <w:szCs w:val="24"/>
              </w:rPr>
              <w:t>26 (1,4</w:t>
            </w:r>
            <w:r w:rsidR="004C1042" w:rsidRPr="004D7654">
              <w:rPr>
                <w:rFonts w:eastAsia="Times New Roman" w:cs="Times New Roman"/>
                <w:sz w:val="24"/>
                <w:szCs w:val="24"/>
              </w:rPr>
              <w:t>)</w:t>
            </w:r>
          </w:p>
        </w:tc>
        <w:tc>
          <w:tcPr>
            <w:tcW w:w="421" w:type="pct"/>
            <w:noWrap/>
            <w:hideMark/>
          </w:tcPr>
          <w:p w:rsidR="004C1042" w:rsidRPr="004D7654" w:rsidRDefault="001F7172" w:rsidP="00974A1F">
            <w:pPr>
              <w:ind w:firstLine="720"/>
              <w:jc w:val="center"/>
              <w:rPr>
                <w:rFonts w:eastAsia="Times New Roman" w:cs="Times New Roman"/>
                <w:sz w:val="24"/>
                <w:szCs w:val="24"/>
              </w:rPr>
            </w:pPr>
            <w:r w:rsidRPr="004D7654">
              <w:rPr>
                <w:rFonts w:eastAsia="Times New Roman" w:cs="Times New Roman"/>
                <w:sz w:val="24"/>
                <w:szCs w:val="24"/>
              </w:rPr>
              <w:t>28 (1,7</w:t>
            </w:r>
            <w:r w:rsidR="004C1042" w:rsidRPr="004D7654">
              <w:rPr>
                <w:rFonts w:eastAsia="Times New Roman" w:cs="Times New Roman"/>
                <w:sz w:val="24"/>
                <w:szCs w:val="24"/>
              </w:rPr>
              <w:t>)</w:t>
            </w:r>
          </w:p>
        </w:tc>
        <w:tc>
          <w:tcPr>
            <w:tcW w:w="375" w:type="pct"/>
            <w:noWrap/>
            <w:hideMark/>
          </w:tcPr>
          <w:p w:rsidR="004C1042" w:rsidRPr="004D7654" w:rsidRDefault="001F7172" w:rsidP="00974A1F">
            <w:pPr>
              <w:jc w:val="center"/>
              <w:rPr>
                <w:rFonts w:eastAsia="Times New Roman" w:cs="Times New Roman"/>
                <w:sz w:val="24"/>
                <w:szCs w:val="24"/>
              </w:rPr>
            </w:pPr>
            <w:r w:rsidRPr="004D7654">
              <w:rPr>
                <w:rFonts w:eastAsia="Times New Roman" w:cs="Times New Roman"/>
                <w:sz w:val="24"/>
                <w:szCs w:val="24"/>
              </w:rPr>
              <w:t>29 (1,9</w:t>
            </w:r>
            <w:r w:rsidR="004C1042" w:rsidRPr="004D7654">
              <w:rPr>
                <w:rFonts w:eastAsia="Times New Roman" w:cs="Times New Roman"/>
                <w:sz w:val="24"/>
                <w:szCs w:val="24"/>
              </w:rPr>
              <w:t>)</w:t>
            </w:r>
          </w:p>
        </w:tc>
      </w:tr>
      <w:tr w:rsidR="001F7172" w:rsidRPr="004C1042" w:rsidTr="005A7EBF">
        <w:trPr>
          <w:trHeight w:val="300"/>
        </w:trPr>
        <w:tc>
          <w:tcPr>
            <w:tcW w:w="834" w:type="pct"/>
            <w:noWrap/>
            <w:hideMark/>
          </w:tcPr>
          <w:p w:rsidR="004C1042" w:rsidRPr="004D7654" w:rsidRDefault="004C1042" w:rsidP="00974A1F">
            <w:pPr>
              <w:jc w:val="center"/>
              <w:rPr>
                <w:rFonts w:eastAsia="Times New Roman" w:cs="Times New Roman"/>
                <w:sz w:val="24"/>
                <w:szCs w:val="24"/>
              </w:rPr>
            </w:pPr>
            <w:r w:rsidRPr="004D7654">
              <w:rPr>
                <w:rFonts w:eastAsia="Times New Roman" w:cs="Times New Roman"/>
                <w:sz w:val="24"/>
                <w:szCs w:val="24"/>
              </w:rPr>
              <w:t>Zudumi</w:t>
            </w:r>
          </w:p>
        </w:tc>
        <w:tc>
          <w:tcPr>
            <w:tcW w:w="422" w:type="pct"/>
            <w:noWrap/>
            <w:hideMark/>
          </w:tcPr>
          <w:p w:rsidR="004C1042" w:rsidRPr="004D7654" w:rsidRDefault="001F7172" w:rsidP="00974A1F">
            <w:pPr>
              <w:ind w:firstLine="720"/>
              <w:jc w:val="center"/>
              <w:rPr>
                <w:rFonts w:eastAsia="Times New Roman" w:cs="Times New Roman"/>
                <w:sz w:val="24"/>
                <w:szCs w:val="24"/>
              </w:rPr>
            </w:pPr>
            <w:r w:rsidRPr="004D7654">
              <w:rPr>
                <w:rFonts w:eastAsia="Times New Roman" w:cs="Times New Roman"/>
                <w:sz w:val="24"/>
                <w:szCs w:val="24"/>
              </w:rPr>
              <w:t>22 (1,3</w:t>
            </w:r>
            <w:r w:rsidR="004C1042" w:rsidRPr="004D7654">
              <w:rPr>
                <w:rFonts w:eastAsia="Times New Roman" w:cs="Times New Roman"/>
                <w:sz w:val="24"/>
                <w:szCs w:val="24"/>
              </w:rPr>
              <w:t>)</w:t>
            </w:r>
          </w:p>
        </w:tc>
        <w:tc>
          <w:tcPr>
            <w:tcW w:w="422" w:type="pct"/>
            <w:noWrap/>
            <w:hideMark/>
          </w:tcPr>
          <w:p w:rsidR="004C1042" w:rsidRPr="004D7654" w:rsidRDefault="001F7172" w:rsidP="00974A1F">
            <w:pPr>
              <w:ind w:firstLine="720"/>
              <w:jc w:val="center"/>
              <w:rPr>
                <w:rFonts w:eastAsia="Times New Roman" w:cs="Times New Roman"/>
                <w:sz w:val="24"/>
                <w:szCs w:val="24"/>
              </w:rPr>
            </w:pPr>
            <w:r w:rsidRPr="004D7654">
              <w:rPr>
                <w:rFonts w:eastAsia="Times New Roman" w:cs="Times New Roman"/>
                <w:sz w:val="24"/>
                <w:szCs w:val="24"/>
              </w:rPr>
              <w:t>16 (1,0</w:t>
            </w:r>
            <w:r w:rsidR="004C1042" w:rsidRPr="004D7654">
              <w:rPr>
                <w:rFonts w:eastAsia="Times New Roman" w:cs="Times New Roman"/>
                <w:sz w:val="24"/>
                <w:szCs w:val="24"/>
              </w:rPr>
              <w:t>)</w:t>
            </w:r>
          </w:p>
        </w:tc>
        <w:tc>
          <w:tcPr>
            <w:tcW w:w="421" w:type="pct"/>
            <w:noWrap/>
            <w:hideMark/>
          </w:tcPr>
          <w:p w:rsidR="00B210FB" w:rsidRPr="004D7654" w:rsidRDefault="00B210FB" w:rsidP="00974A1F">
            <w:pPr>
              <w:ind w:firstLine="720"/>
              <w:jc w:val="center"/>
              <w:rPr>
                <w:rFonts w:eastAsia="Times New Roman" w:cs="Times New Roman"/>
                <w:sz w:val="24"/>
                <w:szCs w:val="24"/>
              </w:rPr>
            </w:pPr>
            <w:r w:rsidRPr="004D7654">
              <w:rPr>
                <w:rFonts w:eastAsia="Times New Roman" w:cs="Times New Roman"/>
                <w:sz w:val="24"/>
                <w:szCs w:val="24"/>
              </w:rPr>
              <w:t>0 0</w:t>
            </w:r>
          </w:p>
          <w:p w:rsidR="004C1042" w:rsidRPr="004D7654" w:rsidRDefault="001F7172" w:rsidP="00974A1F">
            <w:pPr>
              <w:ind w:firstLine="720"/>
              <w:jc w:val="center"/>
              <w:rPr>
                <w:rFonts w:eastAsia="Times New Roman" w:cs="Times New Roman"/>
                <w:sz w:val="24"/>
                <w:szCs w:val="24"/>
              </w:rPr>
            </w:pPr>
            <w:r w:rsidRPr="004D7654">
              <w:rPr>
                <w:rFonts w:eastAsia="Times New Roman" w:cs="Times New Roman"/>
                <w:sz w:val="24"/>
                <w:szCs w:val="24"/>
              </w:rPr>
              <w:t>(</w:t>
            </w:r>
            <w:r w:rsidR="001608BA" w:rsidRPr="004D7654">
              <w:rPr>
                <w:rFonts w:eastAsia="Times New Roman" w:cs="Times New Roman"/>
                <w:sz w:val="24"/>
                <w:szCs w:val="24"/>
              </w:rPr>
              <w:t>(</w:t>
            </w:r>
            <w:r w:rsidRPr="004D7654">
              <w:rPr>
                <w:rFonts w:eastAsia="Times New Roman" w:cs="Times New Roman"/>
                <w:sz w:val="24"/>
                <w:szCs w:val="24"/>
              </w:rPr>
              <w:t>0,3</w:t>
            </w:r>
            <w:r w:rsidR="004C1042" w:rsidRPr="004D7654">
              <w:rPr>
                <w:rFonts w:eastAsia="Times New Roman" w:cs="Times New Roman"/>
                <w:sz w:val="24"/>
                <w:szCs w:val="24"/>
              </w:rPr>
              <w:t>)</w:t>
            </w:r>
          </w:p>
        </w:tc>
        <w:tc>
          <w:tcPr>
            <w:tcW w:w="421" w:type="pct"/>
            <w:noWrap/>
            <w:hideMark/>
          </w:tcPr>
          <w:p w:rsidR="00B210FB" w:rsidRPr="004D7654" w:rsidRDefault="001F7172" w:rsidP="00974A1F">
            <w:pPr>
              <w:ind w:firstLine="720"/>
              <w:jc w:val="center"/>
              <w:rPr>
                <w:rFonts w:eastAsia="Times New Roman" w:cs="Times New Roman"/>
                <w:sz w:val="24"/>
                <w:szCs w:val="24"/>
              </w:rPr>
            </w:pPr>
            <w:r w:rsidRPr="004D7654">
              <w:rPr>
                <w:rFonts w:eastAsia="Times New Roman" w:cs="Times New Roman"/>
                <w:sz w:val="24"/>
                <w:szCs w:val="24"/>
              </w:rPr>
              <w:t xml:space="preserve">8 </w:t>
            </w:r>
            <w:r w:rsidR="00B210FB" w:rsidRPr="004D7654">
              <w:rPr>
                <w:rFonts w:eastAsia="Times New Roman" w:cs="Times New Roman"/>
                <w:sz w:val="24"/>
                <w:szCs w:val="24"/>
              </w:rPr>
              <w:t>0</w:t>
            </w:r>
          </w:p>
          <w:p w:rsidR="004C1042" w:rsidRPr="004D7654" w:rsidRDefault="001F7172" w:rsidP="00974A1F">
            <w:pPr>
              <w:ind w:firstLine="720"/>
              <w:jc w:val="center"/>
              <w:rPr>
                <w:rFonts w:eastAsia="Times New Roman" w:cs="Times New Roman"/>
                <w:sz w:val="24"/>
                <w:szCs w:val="24"/>
              </w:rPr>
            </w:pPr>
            <w:r w:rsidRPr="004D7654">
              <w:rPr>
                <w:rFonts w:eastAsia="Times New Roman" w:cs="Times New Roman"/>
                <w:sz w:val="24"/>
                <w:szCs w:val="24"/>
              </w:rPr>
              <w:t>(</w:t>
            </w:r>
            <w:r w:rsidR="001608BA" w:rsidRPr="004D7654">
              <w:rPr>
                <w:rFonts w:eastAsia="Times New Roman" w:cs="Times New Roman"/>
                <w:sz w:val="24"/>
                <w:szCs w:val="24"/>
              </w:rPr>
              <w:t>(</w:t>
            </w:r>
            <w:r w:rsidRPr="004D7654">
              <w:rPr>
                <w:rFonts w:eastAsia="Times New Roman" w:cs="Times New Roman"/>
                <w:sz w:val="24"/>
                <w:szCs w:val="24"/>
              </w:rPr>
              <w:t>0,5</w:t>
            </w:r>
            <w:r w:rsidR="004C1042" w:rsidRPr="004D7654">
              <w:rPr>
                <w:rFonts w:eastAsia="Times New Roman" w:cs="Times New Roman"/>
                <w:sz w:val="24"/>
                <w:szCs w:val="24"/>
              </w:rPr>
              <w:t>)</w:t>
            </w:r>
          </w:p>
        </w:tc>
        <w:tc>
          <w:tcPr>
            <w:tcW w:w="421" w:type="pct"/>
            <w:noWrap/>
            <w:hideMark/>
          </w:tcPr>
          <w:p w:rsidR="004C1042" w:rsidRPr="004D7654" w:rsidRDefault="001F7172" w:rsidP="00974A1F">
            <w:pPr>
              <w:ind w:firstLine="720"/>
              <w:jc w:val="center"/>
              <w:rPr>
                <w:rFonts w:eastAsia="Times New Roman" w:cs="Times New Roman"/>
                <w:sz w:val="24"/>
                <w:szCs w:val="24"/>
              </w:rPr>
            </w:pPr>
            <w:r w:rsidRPr="004D7654">
              <w:rPr>
                <w:rFonts w:eastAsia="Times New Roman" w:cs="Times New Roman"/>
                <w:sz w:val="24"/>
                <w:szCs w:val="24"/>
              </w:rPr>
              <w:t>10 (0,6</w:t>
            </w:r>
            <w:r w:rsidR="004C1042" w:rsidRPr="004D7654">
              <w:rPr>
                <w:rFonts w:eastAsia="Times New Roman" w:cs="Times New Roman"/>
                <w:sz w:val="24"/>
                <w:szCs w:val="24"/>
              </w:rPr>
              <w:t>)</w:t>
            </w:r>
          </w:p>
        </w:tc>
        <w:tc>
          <w:tcPr>
            <w:tcW w:w="421" w:type="pct"/>
            <w:noWrap/>
            <w:hideMark/>
          </w:tcPr>
          <w:p w:rsidR="004C1042" w:rsidRPr="004D7654" w:rsidRDefault="001F7172" w:rsidP="00974A1F">
            <w:pPr>
              <w:ind w:firstLine="720"/>
              <w:jc w:val="center"/>
              <w:rPr>
                <w:rFonts w:eastAsia="Times New Roman" w:cs="Times New Roman"/>
                <w:sz w:val="24"/>
                <w:szCs w:val="24"/>
              </w:rPr>
            </w:pPr>
            <w:r w:rsidRPr="004D7654">
              <w:rPr>
                <w:rFonts w:eastAsia="Times New Roman" w:cs="Times New Roman"/>
                <w:sz w:val="24"/>
                <w:szCs w:val="24"/>
              </w:rPr>
              <w:t>10 (0,6</w:t>
            </w:r>
            <w:r w:rsidR="004C1042" w:rsidRPr="004D7654">
              <w:rPr>
                <w:rFonts w:eastAsia="Times New Roman" w:cs="Times New Roman"/>
                <w:sz w:val="24"/>
                <w:szCs w:val="24"/>
              </w:rPr>
              <w:t>)</w:t>
            </w:r>
          </w:p>
        </w:tc>
        <w:tc>
          <w:tcPr>
            <w:tcW w:w="421" w:type="pct"/>
            <w:noWrap/>
            <w:hideMark/>
          </w:tcPr>
          <w:p w:rsidR="004C1042" w:rsidRPr="004D7654" w:rsidRDefault="001F7172" w:rsidP="00974A1F">
            <w:pPr>
              <w:ind w:firstLine="720"/>
              <w:jc w:val="center"/>
              <w:rPr>
                <w:rFonts w:eastAsia="Times New Roman" w:cs="Times New Roman"/>
                <w:sz w:val="24"/>
                <w:szCs w:val="24"/>
              </w:rPr>
            </w:pPr>
            <w:r w:rsidRPr="004D7654">
              <w:rPr>
                <w:rFonts w:eastAsia="Times New Roman" w:cs="Times New Roman"/>
                <w:sz w:val="24"/>
                <w:szCs w:val="24"/>
              </w:rPr>
              <w:t>19 (1,2</w:t>
            </w:r>
            <w:r w:rsidR="004C1042" w:rsidRPr="004D7654">
              <w:rPr>
                <w:rFonts w:eastAsia="Times New Roman" w:cs="Times New Roman"/>
                <w:sz w:val="24"/>
                <w:szCs w:val="24"/>
              </w:rPr>
              <w:t>)</w:t>
            </w:r>
          </w:p>
        </w:tc>
        <w:tc>
          <w:tcPr>
            <w:tcW w:w="421" w:type="pct"/>
            <w:noWrap/>
            <w:hideMark/>
          </w:tcPr>
          <w:p w:rsidR="001F7172" w:rsidRPr="004D7654" w:rsidRDefault="001F7172" w:rsidP="00974A1F">
            <w:pPr>
              <w:ind w:firstLine="720"/>
              <w:jc w:val="center"/>
              <w:rPr>
                <w:rFonts w:eastAsia="Times New Roman" w:cs="Times New Roman"/>
                <w:sz w:val="24"/>
                <w:szCs w:val="24"/>
              </w:rPr>
            </w:pPr>
            <w:r w:rsidRPr="004D7654">
              <w:rPr>
                <w:rFonts w:eastAsia="Times New Roman" w:cs="Times New Roman"/>
                <w:sz w:val="24"/>
                <w:szCs w:val="24"/>
              </w:rPr>
              <w:t xml:space="preserve">8 </w:t>
            </w:r>
            <w:r w:rsidR="00B210FB" w:rsidRPr="004D7654">
              <w:rPr>
                <w:rFonts w:eastAsia="Times New Roman" w:cs="Times New Roman"/>
                <w:sz w:val="24"/>
                <w:szCs w:val="24"/>
              </w:rPr>
              <w:t>0</w:t>
            </w:r>
          </w:p>
          <w:p w:rsidR="004C1042" w:rsidRPr="004D7654" w:rsidRDefault="001F7172" w:rsidP="00974A1F">
            <w:pPr>
              <w:ind w:firstLine="720"/>
              <w:jc w:val="center"/>
              <w:rPr>
                <w:rFonts w:eastAsia="Times New Roman" w:cs="Times New Roman"/>
                <w:sz w:val="24"/>
                <w:szCs w:val="24"/>
              </w:rPr>
            </w:pPr>
            <w:r w:rsidRPr="004D7654">
              <w:rPr>
                <w:rFonts w:eastAsia="Times New Roman" w:cs="Times New Roman"/>
                <w:sz w:val="24"/>
                <w:szCs w:val="24"/>
              </w:rPr>
              <w:t>(0,4</w:t>
            </w:r>
            <w:r w:rsidR="004C1042" w:rsidRPr="004D7654">
              <w:rPr>
                <w:rFonts w:eastAsia="Times New Roman" w:cs="Times New Roman"/>
                <w:sz w:val="24"/>
                <w:szCs w:val="24"/>
              </w:rPr>
              <w:t>)</w:t>
            </w:r>
          </w:p>
        </w:tc>
        <w:tc>
          <w:tcPr>
            <w:tcW w:w="421" w:type="pct"/>
            <w:noWrap/>
            <w:hideMark/>
          </w:tcPr>
          <w:p w:rsidR="004C1042" w:rsidRPr="004D7654" w:rsidRDefault="001F7172" w:rsidP="00974A1F">
            <w:pPr>
              <w:ind w:firstLine="720"/>
              <w:jc w:val="center"/>
              <w:rPr>
                <w:rFonts w:eastAsia="Times New Roman" w:cs="Times New Roman"/>
                <w:sz w:val="24"/>
                <w:szCs w:val="24"/>
              </w:rPr>
            </w:pPr>
            <w:r w:rsidRPr="004D7654">
              <w:rPr>
                <w:rFonts w:eastAsia="Times New Roman" w:cs="Times New Roman"/>
                <w:sz w:val="24"/>
                <w:szCs w:val="24"/>
              </w:rPr>
              <w:t>15 (0,9</w:t>
            </w:r>
            <w:r w:rsidR="004C1042" w:rsidRPr="004D7654">
              <w:rPr>
                <w:rFonts w:eastAsia="Times New Roman" w:cs="Times New Roman"/>
                <w:sz w:val="24"/>
                <w:szCs w:val="24"/>
              </w:rPr>
              <w:t>)</w:t>
            </w:r>
          </w:p>
        </w:tc>
        <w:tc>
          <w:tcPr>
            <w:tcW w:w="375" w:type="pct"/>
            <w:noWrap/>
            <w:hideMark/>
          </w:tcPr>
          <w:p w:rsidR="004C1042" w:rsidRPr="004D7654" w:rsidRDefault="001F7172" w:rsidP="00974A1F">
            <w:pPr>
              <w:jc w:val="center"/>
              <w:rPr>
                <w:rFonts w:eastAsia="Times New Roman" w:cs="Times New Roman"/>
                <w:sz w:val="24"/>
                <w:szCs w:val="24"/>
              </w:rPr>
            </w:pPr>
            <w:r w:rsidRPr="004D7654">
              <w:rPr>
                <w:rFonts w:eastAsia="Times New Roman" w:cs="Times New Roman"/>
                <w:sz w:val="24"/>
                <w:szCs w:val="24"/>
              </w:rPr>
              <w:t>15 (1,0</w:t>
            </w:r>
            <w:r w:rsidR="004C1042" w:rsidRPr="004D7654">
              <w:rPr>
                <w:rFonts w:eastAsia="Times New Roman" w:cs="Times New Roman"/>
                <w:sz w:val="24"/>
                <w:szCs w:val="24"/>
              </w:rPr>
              <w:t>)</w:t>
            </w:r>
          </w:p>
        </w:tc>
      </w:tr>
      <w:tr w:rsidR="001F7172" w:rsidRPr="004C1042" w:rsidTr="005A7EBF">
        <w:trPr>
          <w:trHeight w:val="300"/>
        </w:trPr>
        <w:tc>
          <w:tcPr>
            <w:tcW w:w="834" w:type="pct"/>
            <w:noWrap/>
            <w:hideMark/>
          </w:tcPr>
          <w:p w:rsidR="004C1042" w:rsidRPr="004D7654" w:rsidRDefault="004C1042" w:rsidP="00974A1F">
            <w:pPr>
              <w:jc w:val="center"/>
              <w:rPr>
                <w:rFonts w:eastAsia="Times New Roman" w:cs="Times New Roman"/>
                <w:sz w:val="24"/>
                <w:szCs w:val="24"/>
              </w:rPr>
            </w:pPr>
            <w:r w:rsidRPr="004D7654">
              <w:rPr>
                <w:rFonts w:eastAsia="Times New Roman" w:cs="Times New Roman"/>
                <w:sz w:val="24"/>
                <w:szCs w:val="24"/>
              </w:rPr>
              <w:t>Rūpniecība</w:t>
            </w:r>
          </w:p>
          <w:p w:rsidR="004C1042" w:rsidRPr="004D7654" w:rsidRDefault="004C1042" w:rsidP="00974A1F">
            <w:pPr>
              <w:jc w:val="center"/>
              <w:rPr>
                <w:rFonts w:eastAsia="Times New Roman" w:cs="Times New Roman"/>
                <w:sz w:val="24"/>
                <w:szCs w:val="24"/>
              </w:rPr>
            </w:pPr>
            <w:r w:rsidRPr="004D7654">
              <w:rPr>
                <w:rFonts w:eastAsia="Times New Roman" w:cs="Times New Roman"/>
                <w:sz w:val="24"/>
                <w:szCs w:val="24"/>
              </w:rPr>
              <w:t>un būvniecība</w:t>
            </w:r>
          </w:p>
        </w:tc>
        <w:tc>
          <w:tcPr>
            <w:tcW w:w="422" w:type="pct"/>
            <w:noWrap/>
            <w:hideMark/>
          </w:tcPr>
          <w:p w:rsidR="004C1042" w:rsidRPr="004D7654" w:rsidRDefault="001F7172" w:rsidP="00974A1F">
            <w:pPr>
              <w:ind w:firstLine="720"/>
              <w:jc w:val="center"/>
              <w:rPr>
                <w:rFonts w:eastAsia="Times New Roman" w:cs="Times New Roman"/>
                <w:sz w:val="24"/>
                <w:szCs w:val="24"/>
              </w:rPr>
            </w:pPr>
            <w:r w:rsidRPr="004D7654">
              <w:rPr>
                <w:rFonts w:eastAsia="Times New Roman" w:cs="Times New Roman"/>
                <w:sz w:val="24"/>
                <w:szCs w:val="24"/>
              </w:rPr>
              <w:t>342 (20,4</w:t>
            </w:r>
            <w:r w:rsidR="004C1042" w:rsidRPr="004D7654">
              <w:rPr>
                <w:rFonts w:eastAsia="Times New Roman" w:cs="Times New Roman"/>
                <w:sz w:val="24"/>
                <w:szCs w:val="24"/>
              </w:rPr>
              <w:t>)</w:t>
            </w:r>
          </w:p>
        </w:tc>
        <w:tc>
          <w:tcPr>
            <w:tcW w:w="422" w:type="pct"/>
            <w:noWrap/>
            <w:hideMark/>
          </w:tcPr>
          <w:p w:rsidR="004C1042" w:rsidRPr="004D7654" w:rsidRDefault="001F7172" w:rsidP="00974A1F">
            <w:pPr>
              <w:ind w:firstLine="720"/>
              <w:jc w:val="center"/>
              <w:rPr>
                <w:rFonts w:eastAsia="Times New Roman" w:cs="Times New Roman"/>
                <w:sz w:val="24"/>
                <w:szCs w:val="24"/>
              </w:rPr>
            </w:pPr>
            <w:r w:rsidRPr="004D7654">
              <w:rPr>
                <w:rFonts w:eastAsia="Times New Roman" w:cs="Times New Roman"/>
                <w:sz w:val="24"/>
                <w:szCs w:val="24"/>
              </w:rPr>
              <w:t>355 (21,3</w:t>
            </w:r>
            <w:r w:rsidR="004C1042" w:rsidRPr="004D7654">
              <w:rPr>
                <w:rFonts w:eastAsia="Times New Roman" w:cs="Times New Roman"/>
                <w:sz w:val="24"/>
                <w:szCs w:val="24"/>
              </w:rPr>
              <w:t>)</w:t>
            </w:r>
          </w:p>
        </w:tc>
        <w:tc>
          <w:tcPr>
            <w:tcW w:w="421" w:type="pct"/>
            <w:noWrap/>
            <w:hideMark/>
          </w:tcPr>
          <w:p w:rsidR="004C1042" w:rsidRPr="004D7654" w:rsidRDefault="001F7172" w:rsidP="00974A1F">
            <w:pPr>
              <w:ind w:firstLine="720"/>
              <w:jc w:val="center"/>
              <w:rPr>
                <w:rFonts w:eastAsia="Times New Roman" w:cs="Times New Roman"/>
                <w:sz w:val="24"/>
                <w:szCs w:val="24"/>
              </w:rPr>
            </w:pPr>
            <w:r w:rsidRPr="004D7654">
              <w:rPr>
                <w:rFonts w:eastAsia="Times New Roman" w:cs="Times New Roman"/>
                <w:sz w:val="24"/>
                <w:szCs w:val="24"/>
              </w:rPr>
              <w:t>368 (21,7</w:t>
            </w:r>
            <w:r w:rsidR="004C1042" w:rsidRPr="004D7654">
              <w:rPr>
                <w:rFonts w:eastAsia="Times New Roman" w:cs="Times New Roman"/>
                <w:sz w:val="24"/>
                <w:szCs w:val="24"/>
              </w:rPr>
              <w:t>)</w:t>
            </w:r>
          </w:p>
        </w:tc>
        <w:tc>
          <w:tcPr>
            <w:tcW w:w="421" w:type="pct"/>
            <w:noWrap/>
            <w:hideMark/>
          </w:tcPr>
          <w:p w:rsidR="004C1042" w:rsidRPr="004D7654" w:rsidRDefault="001F7172" w:rsidP="00974A1F">
            <w:pPr>
              <w:ind w:firstLine="720"/>
              <w:jc w:val="center"/>
              <w:rPr>
                <w:rFonts w:eastAsia="Times New Roman" w:cs="Times New Roman"/>
                <w:sz w:val="24"/>
                <w:szCs w:val="24"/>
              </w:rPr>
            </w:pPr>
            <w:r w:rsidRPr="004D7654">
              <w:rPr>
                <w:rFonts w:eastAsia="Times New Roman" w:cs="Times New Roman"/>
                <w:sz w:val="24"/>
                <w:szCs w:val="24"/>
              </w:rPr>
              <w:t>362 (20,6</w:t>
            </w:r>
            <w:r w:rsidR="004C1042" w:rsidRPr="004D7654">
              <w:rPr>
                <w:rFonts w:eastAsia="Times New Roman" w:cs="Times New Roman"/>
                <w:sz w:val="24"/>
                <w:szCs w:val="24"/>
              </w:rPr>
              <w:t>)</w:t>
            </w:r>
          </w:p>
        </w:tc>
        <w:tc>
          <w:tcPr>
            <w:tcW w:w="421" w:type="pct"/>
            <w:noWrap/>
            <w:hideMark/>
          </w:tcPr>
          <w:p w:rsidR="004C1042" w:rsidRPr="004D7654" w:rsidRDefault="001F7172" w:rsidP="00974A1F">
            <w:pPr>
              <w:ind w:firstLine="720"/>
              <w:jc w:val="center"/>
              <w:rPr>
                <w:rFonts w:eastAsia="Times New Roman" w:cs="Times New Roman"/>
                <w:sz w:val="24"/>
                <w:szCs w:val="24"/>
              </w:rPr>
            </w:pPr>
            <w:r w:rsidRPr="004D7654">
              <w:rPr>
                <w:rFonts w:eastAsia="Times New Roman" w:cs="Times New Roman"/>
                <w:sz w:val="24"/>
                <w:szCs w:val="24"/>
              </w:rPr>
              <w:t>353 (20,8</w:t>
            </w:r>
            <w:r w:rsidR="004C1042" w:rsidRPr="004D7654">
              <w:rPr>
                <w:rFonts w:eastAsia="Times New Roman" w:cs="Times New Roman"/>
                <w:sz w:val="24"/>
                <w:szCs w:val="24"/>
              </w:rPr>
              <w:t>)</w:t>
            </w:r>
          </w:p>
        </w:tc>
        <w:tc>
          <w:tcPr>
            <w:tcW w:w="421" w:type="pct"/>
            <w:noWrap/>
            <w:hideMark/>
          </w:tcPr>
          <w:p w:rsidR="004C1042" w:rsidRPr="004D7654" w:rsidRDefault="001F7172" w:rsidP="00974A1F">
            <w:pPr>
              <w:ind w:firstLine="720"/>
              <w:jc w:val="center"/>
              <w:rPr>
                <w:rFonts w:eastAsia="Times New Roman" w:cs="Times New Roman"/>
                <w:sz w:val="24"/>
                <w:szCs w:val="24"/>
              </w:rPr>
            </w:pPr>
            <w:r w:rsidRPr="004D7654">
              <w:rPr>
                <w:rFonts w:eastAsia="Times New Roman" w:cs="Times New Roman"/>
                <w:sz w:val="24"/>
                <w:szCs w:val="24"/>
              </w:rPr>
              <w:t>327 (19,6</w:t>
            </w:r>
            <w:r w:rsidR="004C1042" w:rsidRPr="004D7654">
              <w:rPr>
                <w:rFonts w:eastAsia="Times New Roman" w:cs="Times New Roman"/>
                <w:sz w:val="24"/>
                <w:szCs w:val="24"/>
              </w:rPr>
              <w:t>)</w:t>
            </w:r>
          </w:p>
        </w:tc>
        <w:tc>
          <w:tcPr>
            <w:tcW w:w="421" w:type="pct"/>
            <w:noWrap/>
            <w:hideMark/>
          </w:tcPr>
          <w:p w:rsidR="004C1042" w:rsidRPr="004D7654" w:rsidRDefault="001F7172" w:rsidP="00974A1F">
            <w:pPr>
              <w:ind w:firstLine="720"/>
              <w:jc w:val="center"/>
              <w:rPr>
                <w:rFonts w:eastAsia="Times New Roman" w:cs="Times New Roman"/>
                <w:sz w:val="24"/>
                <w:szCs w:val="24"/>
              </w:rPr>
            </w:pPr>
            <w:r w:rsidRPr="004D7654">
              <w:rPr>
                <w:rFonts w:eastAsia="Times New Roman" w:cs="Times New Roman"/>
                <w:sz w:val="24"/>
                <w:szCs w:val="24"/>
              </w:rPr>
              <w:t>264 (17,3</w:t>
            </w:r>
            <w:r w:rsidR="004C1042" w:rsidRPr="004D7654">
              <w:rPr>
                <w:rFonts w:eastAsia="Times New Roman" w:cs="Times New Roman"/>
                <w:sz w:val="24"/>
                <w:szCs w:val="24"/>
              </w:rPr>
              <w:t>)</w:t>
            </w:r>
          </w:p>
        </w:tc>
        <w:tc>
          <w:tcPr>
            <w:tcW w:w="421" w:type="pct"/>
            <w:noWrap/>
            <w:hideMark/>
          </w:tcPr>
          <w:p w:rsidR="004C1042" w:rsidRPr="004D7654" w:rsidRDefault="001F7172" w:rsidP="00974A1F">
            <w:pPr>
              <w:ind w:firstLine="720"/>
              <w:jc w:val="center"/>
              <w:rPr>
                <w:rFonts w:eastAsia="Times New Roman" w:cs="Times New Roman"/>
                <w:sz w:val="24"/>
                <w:szCs w:val="24"/>
              </w:rPr>
            </w:pPr>
            <w:r w:rsidRPr="004D7654">
              <w:rPr>
                <w:rFonts w:eastAsia="Times New Roman" w:cs="Times New Roman"/>
                <w:sz w:val="24"/>
                <w:szCs w:val="24"/>
              </w:rPr>
              <w:t>302 (16,6</w:t>
            </w:r>
            <w:r w:rsidR="004C1042" w:rsidRPr="004D7654">
              <w:rPr>
                <w:rFonts w:eastAsia="Times New Roman" w:cs="Times New Roman"/>
                <w:sz w:val="24"/>
                <w:szCs w:val="24"/>
              </w:rPr>
              <w:t>)</w:t>
            </w:r>
          </w:p>
        </w:tc>
        <w:tc>
          <w:tcPr>
            <w:tcW w:w="421" w:type="pct"/>
            <w:noWrap/>
            <w:hideMark/>
          </w:tcPr>
          <w:p w:rsidR="004C1042" w:rsidRPr="004D7654" w:rsidRDefault="001F7172" w:rsidP="00974A1F">
            <w:pPr>
              <w:ind w:firstLine="720"/>
              <w:jc w:val="center"/>
              <w:rPr>
                <w:rFonts w:eastAsia="Times New Roman" w:cs="Times New Roman"/>
                <w:sz w:val="24"/>
                <w:szCs w:val="24"/>
              </w:rPr>
            </w:pPr>
            <w:r w:rsidRPr="004D7654">
              <w:rPr>
                <w:rFonts w:eastAsia="Times New Roman" w:cs="Times New Roman"/>
                <w:sz w:val="24"/>
                <w:szCs w:val="24"/>
              </w:rPr>
              <w:t>216 (13,5</w:t>
            </w:r>
            <w:r w:rsidR="004C1042" w:rsidRPr="004D7654">
              <w:rPr>
                <w:rFonts w:eastAsia="Times New Roman" w:cs="Times New Roman"/>
                <w:sz w:val="24"/>
                <w:szCs w:val="24"/>
              </w:rPr>
              <w:t>)</w:t>
            </w:r>
          </w:p>
        </w:tc>
        <w:tc>
          <w:tcPr>
            <w:tcW w:w="375" w:type="pct"/>
            <w:noWrap/>
            <w:hideMark/>
          </w:tcPr>
          <w:p w:rsidR="004C1042" w:rsidRPr="004D7654" w:rsidRDefault="001F7172" w:rsidP="00974A1F">
            <w:pPr>
              <w:jc w:val="center"/>
              <w:rPr>
                <w:rFonts w:eastAsia="Times New Roman" w:cs="Times New Roman"/>
                <w:sz w:val="24"/>
                <w:szCs w:val="24"/>
              </w:rPr>
            </w:pPr>
            <w:r w:rsidRPr="004D7654">
              <w:rPr>
                <w:rFonts w:eastAsia="Times New Roman" w:cs="Times New Roman"/>
                <w:sz w:val="24"/>
                <w:szCs w:val="24"/>
              </w:rPr>
              <w:t>226 (15,0</w:t>
            </w:r>
            <w:r w:rsidR="004C1042" w:rsidRPr="004D7654">
              <w:rPr>
                <w:rFonts w:eastAsia="Times New Roman" w:cs="Times New Roman"/>
                <w:sz w:val="24"/>
                <w:szCs w:val="24"/>
              </w:rPr>
              <w:t>)</w:t>
            </w:r>
          </w:p>
        </w:tc>
      </w:tr>
      <w:tr w:rsidR="001F7172" w:rsidRPr="004C1042" w:rsidTr="005A7EBF">
        <w:trPr>
          <w:trHeight w:val="300"/>
        </w:trPr>
        <w:tc>
          <w:tcPr>
            <w:tcW w:w="834" w:type="pct"/>
            <w:noWrap/>
            <w:hideMark/>
          </w:tcPr>
          <w:p w:rsidR="004C1042" w:rsidRPr="004D7654" w:rsidRDefault="004C1042" w:rsidP="00974A1F">
            <w:pPr>
              <w:jc w:val="center"/>
              <w:rPr>
                <w:rFonts w:eastAsia="Times New Roman" w:cs="Times New Roman"/>
                <w:sz w:val="24"/>
                <w:szCs w:val="24"/>
              </w:rPr>
            </w:pPr>
            <w:r w:rsidRPr="004D7654">
              <w:rPr>
                <w:rFonts w:eastAsia="Times New Roman" w:cs="Times New Roman"/>
                <w:sz w:val="24"/>
                <w:szCs w:val="24"/>
              </w:rPr>
              <w:t>Transports</w:t>
            </w:r>
          </w:p>
        </w:tc>
        <w:tc>
          <w:tcPr>
            <w:tcW w:w="422" w:type="pct"/>
            <w:noWrap/>
            <w:hideMark/>
          </w:tcPr>
          <w:p w:rsidR="004C1042" w:rsidRPr="004D7654" w:rsidRDefault="001F7172" w:rsidP="00974A1F">
            <w:pPr>
              <w:ind w:firstLine="720"/>
              <w:jc w:val="center"/>
              <w:rPr>
                <w:rFonts w:eastAsia="Times New Roman" w:cs="Times New Roman"/>
                <w:sz w:val="24"/>
                <w:szCs w:val="24"/>
              </w:rPr>
            </w:pPr>
            <w:r w:rsidRPr="004D7654">
              <w:rPr>
                <w:rFonts w:eastAsia="Times New Roman" w:cs="Times New Roman"/>
                <w:sz w:val="24"/>
                <w:szCs w:val="24"/>
              </w:rPr>
              <w:t>2 (0,1</w:t>
            </w:r>
            <w:r w:rsidR="004C1042" w:rsidRPr="004D7654">
              <w:rPr>
                <w:rFonts w:eastAsia="Times New Roman" w:cs="Times New Roman"/>
                <w:sz w:val="24"/>
                <w:szCs w:val="24"/>
              </w:rPr>
              <w:t>)</w:t>
            </w:r>
          </w:p>
        </w:tc>
        <w:tc>
          <w:tcPr>
            <w:tcW w:w="422" w:type="pct"/>
            <w:noWrap/>
            <w:hideMark/>
          </w:tcPr>
          <w:p w:rsidR="004C1042" w:rsidRPr="004D7654" w:rsidRDefault="001F7172" w:rsidP="00974A1F">
            <w:pPr>
              <w:ind w:firstLine="720"/>
              <w:jc w:val="center"/>
              <w:rPr>
                <w:rFonts w:eastAsia="Times New Roman" w:cs="Times New Roman"/>
                <w:sz w:val="24"/>
                <w:szCs w:val="24"/>
              </w:rPr>
            </w:pPr>
            <w:r w:rsidRPr="004D7654">
              <w:rPr>
                <w:rFonts w:eastAsia="Times New Roman" w:cs="Times New Roman"/>
                <w:sz w:val="24"/>
                <w:szCs w:val="24"/>
              </w:rPr>
              <w:t>2 (0,1</w:t>
            </w:r>
            <w:r w:rsidR="004C1042" w:rsidRPr="004D7654">
              <w:rPr>
                <w:rFonts w:eastAsia="Times New Roman" w:cs="Times New Roman"/>
                <w:sz w:val="24"/>
                <w:szCs w:val="24"/>
              </w:rPr>
              <w:t>)</w:t>
            </w:r>
          </w:p>
        </w:tc>
        <w:tc>
          <w:tcPr>
            <w:tcW w:w="421" w:type="pct"/>
            <w:noWrap/>
            <w:hideMark/>
          </w:tcPr>
          <w:p w:rsidR="004C1042" w:rsidRPr="004D7654" w:rsidRDefault="001F7172" w:rsidP="00974A1F">
            <w:pPr>
              <w:ind w:firstLine="720"/>
              <w:jc w:val="center"/>
              <w:rPr>
                <w:rFonts w:eastAsia="Times New Roman" w:cs="Times New Roman"/>
                <w:sz w:val="24"/>
                <w:szCs w:val="24"/>
              </w:rPr>
            </w:pPr>
            <w:r w:rsidRPr="004D7654">
              <w:rPr>
                <w:rFonts w:eastAsia="Times New Roman" w:cs="Times New Roman"/>
                <w:sz w:val="24"/>
                <w:szCs w:val="24"/>
              </w:rPr>
              <w:t>2 (0,1</w:t>
            </w:r>
            <w:r w:rsidR="004C1042" w:rsidRPr="004D7654">
              <w:rPr>
                <w:rFonts w:eastAsia="Times New Roman" w:cs="Times New Roman"/>
                <w:sz w:val="24"/>
                <w:szCs w:val="24"/>
              </w:rPr>
              <w:t>)</w:t>
            </w:r>
          </w:p>
        </w:tc>
        <w:tc>
          <w:tcPr>
            <w:tcW w:w="421" w:type="pct"/>
            <w:noWrap/>
            <w:hideMark/>
          </w:tcPr>
          <w:p w:rsidR="004C1042" w:rsidRPr="004D7654" w:rsidRDefault="001F7172" w:rsidP="00974A1F">
            <w:pPr>
              <w:ind w:firstLine="720"/>
              <w:jc w:val="center"/>
              <w:rPr>
                <w:rFonts w:eastAsia="Times New Roman" w:cs="Times New Roman"/>
                <w:sz w:val="24"/>
                <w:szCs w:val="24"/>
              </w:rPr>
            </w:pPr>
            <w:r w:rsidRPr="004D7654">
              <w:rPr>
                <w:rFonts w:eastAsia="Times New Roman" w:cs="Times New Roman"/>
                <w:sz w:val="24"/>
                <w:szCs w:val="24"/>
              </w:rPr>
              <w:t>2 (0,1</w:t>
            </w:r>
            <w:r w:rsidR="004C1042" w:rsidRPr="004D7654">
              <w:rPr>
                <w:rFonts w:eastAsia="Times New Roman" w:cs="Times New Roman"/>
                <w:sz w:val="24"/>
                <w:szCs w:val="24"/>
              </w:rPr>
              <w:t>)</w:t>
            </w:r>
          </w:p>
        </w:tc>
        <w:tc>
          <w:tcPr>
            <w:tcW w:w="421" w:type="pct"/>
            <w:noWrap/>
            <w:hideMark/>
          </w:tcPr>
          <w:p w:rsidR="004C1042" w:rsidRPr="004D7654" w:rsidRDefault="001F7172" w:rsidP="00974A1F">
            <w:pPr>
              <w:ind w:firstLine="720"/>
              <w:jc w:val="center"/>
              <w:rPr>
                <w:rFonts w:eastAsia="Times New Roman" w:cs="Times New Roman"/>
                <w:sz w:val="24"/>
                <w:szCs w:val="24"/>
              </w:rPr>
            </w:pPr>
            <w:r w:rsidRPr="004D7654">
              <w:rPr>
                <w:rFonts w:eastAsia="Times New Roman" w:cs="Times New Roman"/>
                <w:sz w:val="24"/>
                <w:szCs w:val="24"/>
              </w:rPr>
              <w:t>2 (0,1</w:t>
            </w:r>
            <w:r w:rsidR="004C1042" w:rsidRPr="004D7654">
              <w:rPr>
                <w:rFonts w:eastAsia="Times New Roman" w:cs="Times New Roman"/>
                <w:sz w:val="24"/>
                <w:szCs w:val="24"/>
              </w:rPr>
              <w:t>)</w:t>
            </w:r>
          </w:p>
        </w:tc>
        <w:tc>
          <w:tcPr>
            <w:tcW w:w="421" w:type="pct"/>
            <w:noWrap/>
            <w:hideMark/>
          </w:tcPr>
          <w:p w:rsidR="004C1042" w:rsidRPr="004D7654" w:rsidRDefault="001F7172" w:rsidP="00974A1F">
            <w:pPr>
              <w:ind w:firstLine="720"/>
              <w:jc w:val="center"/>
              <w:rPr>
                <w:rFonts w:eastAsia="Times New Roman" w:cs="Times New Roman"/>
                <w:sz w:val="24"/>
                <w:szCs w:val="24"/>
              </w:rPr>
            </w:pPr>
            <w:r w:rsidRPr="004D7654">
              <w:rPr>
                <w:rFonts w:eastAsia="Times New Roman" w:cs="Times New Roman"/>
                <w:sz w:val="24"/>
                <w:szCs w:val="24"/>
              </w:rPr>
              <w:t>1 (0,1</w:t>
            </w:r>
            <w:r w:rsidR="004C1042" w:rsidRPr="004D7654">
              <w:rPr>
                <w:rFonts w:eastAsia="Times New Roman" w:cs="Times New Roman"/>
                <w:sz w:val="24"/>
                <w:szCs w:val="24"/>
              </w:rPr>
              <w:t>)</w:t>
            </w:r>
          </w:p>
        </w:tc>
        <w:tc>
          <w:tcPr>
            <w:tcW w:w="421" w:type="pct"/>
            <w:noWrap/>
            <w:hideMark/>
          </w:tcPr>
          <w:p w:rsidR="004C1042" w:rsidRPr="004D7654" w:rsidRDefault="001F7172" w:rsidP="00974A1F">
            <w:pPr>
              <w:ind w:firstLine="720"/>
              <w:jc w:val="center"/>
              <w:rPr>
                <w:rFonts w:eastAsia="Times New Roman" w:cs="Times New Roman"/>
                <w:sz w:val="24"/>
                <w:szCs w:val="24"/>
              </w:rPr>
            </w:pPr>
            <w:r w:rsidRPr="004D7654">
              <w:rPr>
                <w:rFonts w:eastAsia="Times New Roman" w:cs="Times New Roman"/>
                <w:sz w:val="24"/>
                <w:szCs w:val="24"/>
              </w:rPr>
              <w:t>0 (0,0</w:t>
            </w:r>
            <w:r w:rsidR="004C1042" w:rsidRPr="004D7654">
              <w:rPr>
                <w:rFonts w:eastAsia="Times New Roman" w:cs="Times New Roman"/>
                <w:sz w:val="24"/>
                <w:szCs w:val="24"/>
              </w:rPr>
              <w:t>)</w:t>
            </w:r>
          </w:p>
        </w:tc>
        <w:tc>
          <w:tcPr>
            <w:tcW w:w="421" w:type="pct"/>
            <w:noWrap/>
            <w:hideMark/>
          </w:tcPr>
          <w:p w:rsidR="004C1042" w:rsidRPr="004D7654" w:rsidRDefault="001F7172" w:rsidP="00974A1F">
            <w:pPr>
              <w:ind w:firstLine="720"/>
              <w:jc w:val="center"/>
              <w:rPr>
                <w:rFonts w:eastAsia="Times New Roman" w:cs="Times New Roman"/>
                <w:sz w:val="24"/>
                <w:szCs w:val="24"/>
              </w:rPr>
            </w:pPr>
            <w:r w:rsidRPr="004D7654">
              <w:rPr>
                <w:rFonts w:eastAsia="Times New Roman" w:cs="Times New Roman"/>
                <w:sz w:val="24"/>
                <w:szCs w:val="24"/>
              </w:rPr>
              <w:t>0 (0,0</w:t>
            </w:r>
            <w:r w:rsidR="004C1042" w:rsidRPr="004D7654">
              <w:rPr>
                <w:rFonts w:eastAsia="Times New Roman" w:cs="Times New Roman"/>
                <w:sz w:val="24"/>
                <w:szCs w:val="24"/>
              </w:rPr>
              <w:t>)</w:t>
            </w:r>
          </w:p>
        </w:tc>
        <w:tc>
          <w:tcPr>
            <w:tcW w:w="421" w:type="pct"/>
            <w:noWrap/>
            <w:hideMark/>
          </w:tcPr>
          <w:p w:rsidR="004C1042" w:rsidRPr="004D7654" w:rsidRDefault="001F7172" w:rsidP="00974A1F">
            <w:pPr>
              <w:ind w:firstLine="720"/>
              <w:jc w:val="center"/>
              <w:rPr>
                <w:rFonts w:eastAsia="Times New Roman" w:cs="Times New Roman"/>
                <w:sz w:val="24"/>
                <w:szCs w:val="24"/>
              </w:rPr>
            </w:pPr>
            <w:r w:rsidRPr="004D7654">
              <w:rPr>
                <w:rFonts w:eastAsia="Times New Roman" w:cs="Times New Roman"/>
                <w:sz w:val="24"/>
                <w:szCs w:val="24"/>
              </w:rPr>
              <w:t>0 (0,0</w:t>
            </w:r>
            <w:r w:rsidR="004C1042" w:rsidRPr="004D7654">
              <w:rPr>
                <w:rFonts w:eastAsia="Times New Roman" w:cs="Times New Roman"/>
                <w:sz w:val="24"/>
                <w:szCs w:val="24"/>
              </w:rPr>
              <w:t>)</w:t>
            </w:r>
          </w:p>
        </w:tc>
        <w:tc>
          <w:tcPr>
            <w:tcW w:w="375" w:type="pct"/>
            <w:noWrap/>
            <w:hideMark/>
          </w:tcPr>
          <w:p w:rsidR="004C1042" w:rsidRPr="004D7654" w:rsidRDefault="001F7172" w:rsidP="00974A1F">
            <w:pPr>
              <w:jc w:val="center"/>
              <w:rPr>
                <w:rFonts w:eastAsia="Times New Roman" w:cs="Times New Roman"/>
                <w:sz w:val="24"/>
                <w:szCs w:val="24"/>
              </w:rPr>
            </w:pPr>
            <w:r w:rsidRPr="004D7654">
              <w:rPr>
                <w:rFonts w:eastAsia="Times New Roman" w:cs="Times New Roman"/>
                <w:sz w:val="24"/>
                <w:szCs w:val="24"/>
              </w:rPr>
              <w:t>0 (0,0</w:t>
            </w:r>
            <w:r w:rsidR="004C1042" w:rsidRPr="004D7654">
              <w:rPr>
                <w:rFonts w:eastAsia="Times New Roman" w:cs="Times New Roman"/>
                <w:sz w:val="24"/>
                <w:szCs w:val="24"/>
              </w:rPr>
              <w:t>)</w:t>
            </w:r>
          </w:p>
        </w:tc>
      </w:tr>
      <w:tr w:rsidR="001F7172" w:rsidRPr="004C1042" w:rsidTr="005A7EBF">
        <w:trPr>
          <w:trHeight w:val="300"/>
        </w:trPr>
        <w:tc>
          <w:tcPr>
            <w:tcW w:w="834" w:type="pct"/>
            <w:noWrap/>
            <w:hideMark/>
          </w:tcPr>
          <w:p w:rsidR="004C1042" w:rsidRPr="004D7654" w:rsidRDefault="004C1042" w:rsidP="00974A1F">
            <w:pPr>
              <w:jc w:val="center"/>
              <w:rPr>
                <w:rFonts w:eastAsia="Times New Roman" w:cs="Times New Roman"/>
                <w:sz w:val="24"/>
                <w:szCs w:val="24"/>
              </w:rPr>
            </w:pPr>
            <w:r w:rsidRPr="004D7654">
              <w:rPr>
                <w:rFonts w:eastAsia="Times New Roman" w:cs="Times New Roman"/>
                <w:sz w:val="24"/>
                <w:szCs w:val="24"/>
              </w:rPr>
              <w:t>Mājsaimniecības</w:t>
            </w:r>
          </w:p>
        </w:tc>
        <w:tc>
          <w:tcPr>
            <w:tcW w:w="422" w:type="pct"/>
            <w:noWrap/>
            <w:hideMark/>
          </w:tcPr>
          <w:p w:rsidR="004C1042" w:rsidRPr="004D7654" w:rsidRDefault="001F7172" w:rsidP="00974A1F">
            <w:pPr>
              <w:ind w:firstLine="720"/>
              <w:jc w:val="center"/>
              <w:rPr>
                <w:rFonts w:eastAsia="Times New Roman" w:cs="Times New Roman"/>
                <w:sz w:val="24"/>
                <w:szCs w:val="24"/>
              </w:rPr>
            </w:pPr>
            <w:r w:rsidRPr="004D7654">
              <w:rPr>
                <w:rFonts w:eastAsia="Times New Roman" w:cs="Times New Roman"/>
                <w:sz w:val="24"/>
                <w:szCs w:val="24"/>
              </w:rPr>
              <w:t>109 (6,5</w:t>
            </w:r>
            <w:r w:rsidR="004C1042" w:rsidRPr="004D7654">
              <w:rPr>
                <w:rFonts w:eastAsia="Times New Roman" w:cs="Times New Roman"/>
                <w:sz w:val="24"/>
                <w:szCs w:val="24"/>
              </w:rPr>
              <w:t>)</w:t>
            </w:r>
          </w:p>
        </w:tc>
        <w:tc>
          <w:tcPr>
            <w:tcW w:w="422" w:type="pct"/>
            <w:noWrap/>
            <w:hideMark/>
          </w:tcPr>
          <w:p w:rsidR="004C1042" w:rsidRPr="004D7654" w:rsidRDefault="001F7172" w:rsidP="00974A1F">
            <w:pPr>
              <w:ind w:firstLine="720"/>
              <w:jc w:val="center"/>
              <w:rPr>
                <w:rFonts w:eastAsia="Times New Roman" w:cs="Times New Roman"/>
                <w:sz w:val="24"/>
                <w:szCs w:val="24"/>
              </w:rPr>
            </w:pPr>
            <w:r w:rsidRPr="004D7654">
              <w:rPr>
                <w:rFonts w:eastAsia="Times New Roman" w:cs="Times New Roman"/>
                <w:sz w:val="24"/>
                <w:szCs w:val="24"/>
              </w:rPr>
              <w:t>118 (7,1</w:t>
            </w:r>
            <w:r w:rsidR="004C1042" w:rsidRPr="004D7654">
              <w:rPr>
                <w:rFonts w:eastAsia="Times New Roman" w:cs="Times New Roman"/>
                <w:sz w:val="24"/>
                <w:szCs w:val="24"/>
              </w:rPr>
              <w:t>)</w:t>
            </w:r>
          </w:p>
        </w:tc>
        <w:tc>
          <w:tcPr>
            <w:tcW w:w="421" w:type="pct"/>
            <w:noWrap/>
            <w:hideMark/>
          </w:tcPr>
          <w:p w:rsidR="004C1042" w:rsidRPr="004D7654" w:rsidRDefault="001F7172" w:rsidP="00974A1F">
            <w:pPr>
              <w:ind w:firstLine="720"/>
              <w:jc w:val="center"/>
              <w:rPr>
                <w:rFonts w:eastAsia="Times New Roman" w:cs="Times New Roman"/>
                <w:sz w:val="24"/>
                <w:szCs w:val="24"/>
              </w:rPr>
            </w:pPr>
            <w:r w:rsidRPr="004D7654">
              <w:rPr>
                <w:rFonts w:eastAsia="Times New Roman" w:cs="Times New Roman"/>
                <w:sz w:val="24"/>
                <w:szCs w:val="24"/>
              </w:rPr>
              <w:t>125 (7,4</w:t>
            </w:r>
            <w:r w:rsidR="004C1042" w:rsidRPr="004D7654">
              <w:rPr>
                <w:rFonts w:eastAsia="Times New Roman" w:cs="Times New Roman"/>
                <w:sz w:val="24"/>
                <w:szCs w:val="24"/>
              </w:rPr>
              <w:t>)</w:t>
            </w:r>
          </w:p>
        </w:tc>
        <w:tc>
          <w:tcPr>
            <w:tcW w:w="421" w:type="pct"/>
            <w:noWrap/>
            <w:hideMark/>
          </w:tcPr>
          <w:p w:rsidR="004C1042" w:rsidRPr="004D7654" w:rsidRDefault="001F7172" w:rsidP="00974A1F">
            <w:pPr>
              <w:ind w:firstLine="720"/>
              <w:jc w:val="center"/>
              <w:rPr>
                <w:rFonts w:eastAsia="Times New Roman" w:cs="Times New Roman"/>
                <w:sz w:val="24"/>
                <w:szCs w:val="24"/>
              </w:rPr>
            </w:pPr>
            <w:r w:rsidRPr="004D7654">
              <w:rPr>
                <w:rFonts w:eastAsia="Times New Roman" w:cs="Times New Roman"/>
                <w:sz w:val="24"/>
                <w:szCs w:val="24"/>
              </w:rPr>
              <w:t>129 (7,3</w:t>
            </w:r>
            <w:r w:rsidR="004C1042" w:rsidRPr="004D7654">
              <w:rPr>
                <w:rFonts w:eastAsia="Times New Roman" w:cs="Times New Roman"/>
                <w:sz w:val="24"/>
                <w:szCs w:val="24"/>
              </w:rPr>
              <w:t>)</w:t>
            </w:r>
          </w:p>
        </w:tc>
        <w:tc>
          <w:tcPr>
            <w:tcW w:w="421" w:type="pct"/>
            <w:noWrap/>
            <w:hideMark/>
          </w:tcPr>
          <w:p w:rsidR="004C1042" w:rsidRPr="004D7654" w:rsidRDefault="001F7172" w:rsidP="00974A1F">
            <w:pPr>
              <w:ind w:firstLine="720"/>
              <w:jc w:val="center"/>
              <w:rPr>
                <w:rFonts w:eastAsia="Times New Roman" w:cs="Times New Roman"/>
                <w:sz w:val="24"/>
                <w:szCs w:val="24"/>
              </w:rPr>
            </w:pPr>
            <w:r w:rsidRPr="004D7654">
              <w:rPr>
                <w:rFonts w:eastAsia="Times New Roman" w:cs="Times New Roman"/>
                <w:sz w:val="24"/>
                <w:szCs w:val="24"/>
              </w:rPr>
              <w:t>137 (8,1</w:t>
            </w:r>
            <w:r w:rsidR="004C1042" w:rsidRPr="004D7654">
              <w:rPr>
                <w:rFonts w:eastAsia="Times New Roman" w:cs="Times New Roman"/>
                <w:sz w:val="24"/>
                <w:szCs w:val="24"/>
              </w:rPr>
              <w:t>)</w:t>
            </w:r>
          </w:p>
        </w:tc>
        <w:tc>
          <w:tcPr>
            <w:tcW w:w="421" w:type="pct"/>
            <w:noWrap/>
            <w:hideMark/>
          </w:tcPr>
          <w:p w:rsidR="004C1042" w:rsidRPr="004D7654" w:rsidRDefault="001F7172" w:rsidP="00974A1F">
            <w:pPr>
              <w:ind w:firstLine="720"/>
              <w:jc w:val="center"/>
              <w:rPr>
                <w:rFonts w:eastAsia="Times New Roman" w:cs="Times New Roman"/>
                <w:sz w:val="24"/>
                <w:szCs w:val="24"/>
              </w:rPr>
            </w:pPr>
            <w:r w:rsidRPr="004D7654">
              <w:rPr>
                <w:rFonts w:eastAsia="Times New Roman" w:cs="Times New Roman"/>
                <w:sz w:val="24"/>
                <w:szCs w:val="24"/>
              </w:rPr>
              <w:t>140 (8,4</w:t>
            </w:r>
            <w:r w:rsidR="004C1042" w:rsidRPr="004D7654">
              <w:rPr>
                <w:rFonts w:eastAsia="Times New Roman" w:cs="Times New Roman"/>
                <w:sz w:val="24"/>
                <w:szCs w:val="24"/>
              </w:rPr>
              <w:t>)</w:t>
            </w:r>
          </w:p>
        </w:tc>
        <w:tc>
          <w:tcPr>
            <w:tcW w:w="421" w:type="pct"/>
            <w:noWrap/>
            <w:hideMark/>
          </w:tcPr>
          <w:p w:rsidR="004C1042" w:rsidRPr="004D7654" w:rsidRDefault="001F7172" w:rsidP="00974A1F">
            <w:pPr>
              <w:ind w:firstLine="720"/>
              <w:jc w:val="center"/>
              <w:rPr>
                <w:rFonts w:eastAsia="Times New Roman" w:cs="Times New Roman"/>
                <w:sz w:val="24"/>
                <w:szCs w:val="24"/>
              </w:rPr>
            </w:pPr>
            <w:r w:rsidRPr="004D7654">
              <w:rPr>
                <w:rFonts w:eastAsia="Times New Roman" w:cs="Times New Roman"/>
                <w:sz w:val="24"/>
                <w:szCs w:val="24"/>
              </w:rPr>
              <w:t>128 (8,4</w:t>
            </w:r>
            <w:r w:rsidR="004C1042" w:rsidRPr="004D7654">
              <w:rPr>
                <w:rFonts w:eastAsia="Times New Roman" w:cs="Times New Roman"/>
                <w:sz w:val="24"/>
                <w:szCs w:val="24"/>
              </w:rPr>
              <w:t>)</w:t>
            </w:r>
          </w:p>
        </w:tc>
        <w:tc>
          <w:tcPr>
            <w:tcW w:w="421" w:type="pct"/>
            <w:noWrap/>
            <w:hideMark/>
          </w:tcPr>
          <w:p w:rsidR="004C1042" w:rsidRPr="004D7654" w:rsidRDefault="001F7172" w:rsidP="00974A1F">
            <w:pPr>
              <w:ind w:firstLine="720"/>
              <w:jc w:val="center"/>
              <w:rPr>
                <w:rFonts w:eastAsia="Times New Roman" w:cs="Times New Roman"/>
                <w:sz w:val="24"/>
                <w:szCs w:val="24"/>
              </w:rPr>
            </w:pPr>
            <w:r w:rsidRPr="004D7654">
              <w:rPr>
                <w:rFonts w:eastAsia="Times New Roman" w:cs="Times New Roman"/>
                <w:sz w:val="24"/>
                <w:szCs w:val="24"/>
              </w:rPr>
              <w:t>155 (8,5</w:t>
            </w:r>
            <w:r w:rsidR="004C1042" w:rsidRPr="004D7654">
              <w:rPr>
                <w:rFonts w:eastAsia="Times New Roman" w:cs="Times New Roman"/>
                <w:sz w:val="24"/>
                <w:szCs w:val="24"/>
              </w:rPr>
              <w:t>)</w:t>
            </w:r>
          </w:p>
        </w:tc>
        <w:tc>
          <w:tcPr>
            <w:tcW w:w="421" w:type="pct"/>
            <w:noWrap/>
            <w:hideMark/>
          </w:tcPr>
          <w:p w:rsidR="004C1042" w:rsidRPr="004D7654" w:rsidRDefault="001F7172" w:rsidP="00974A1F">
            <w:pPr>
              <w:ind w:firstLine="720"/>
              <w:jc w:val="center"/>
              <w:rPr>
                <w:rFonts w:eastAsia="Times New Roman" w:cs="Times New Roman"/>
                <w:sz w:val="24"/>
                <w:szCs w:val="24"/>
              </w:rPr>
            </w:pPr>
            <w:r w:rsidRPr="004D7654">
              <w:rPr>
                <w:rFonts w:eastAsia="Times New Roman" w:cs="Times New Roman"/>
                <w:sz w:val="24"/>
                <w:szCs w:val="24"/>
              </w:rPr>
              <w:t>133 (8,3</w:t>
            </w:r>
            <w:r w:rsidR="004C1042" w:rsidRPr="004D7654">
              <w:rPr>
                <w:rFonts w:eastAsia="Times New Roman" w:cs="Times New Roman"/>
                <w:sz w:val="24"/>
                <w:szCs w:val="24"/>
              </w:rPr>
              <w:t>)</w:t>
            </w:r>
          </w:p>
        </w:tc>
        <w:tc>
          <w:tcPr>
            <w:tcW w:w="375" w:type="pct"/>
            <w:noWrap/>
            <w:hideMark/>
          </w:tcPr>
          <w:p w:rsidR="004C1042" w:rsidRPr="004D7654" w:rsidRDefault="001F7172" w:rsidP="00974A1F">
            <w:pPr>
              <w:jc w:val="center"/>
              <w:rPr>
                <w:rFonts w:eastAsia="Times New Roman" w:cs="Times New Roman"/>
                <w:sz w:val="24"/>
                <w:szCs w:val="24"/>
              </w:rPr>
            </w:pPr>
            <w:r w:rsidRPr="004D7654">
              <w:rPr>
                <w:rFonts w:eastAsia="Times New Roman" w:cs="Times New Roman"/>
                <w:sz w:val="24"/>
                <w:szCs w:val="24"/>
              </w:rPr>
              <w:t>133 (8,8</w:t>
            </w:r>
            <w:r w:rsidR="004C1042" w:rsidRPr="004D7654">
              <w:rPr>
                <w:rFonts w:eastAsia="Times New Roman" w:cs="Times New Roman"/>
                <w:sz w:val="24"/>
                <w:szCs w:val="24"/>
              </w:rPr>
              <w:t>)</w:t>
            </w:r>
          </w:p>
        </w:tc>
      </w:tr>
      <w:tr w:rsidR="001F7172" w:rsidRPr="004C1042" w:rsidTr="005A7EBF">
        <w:trPr>
          <w:trHeight w:val="300"/>
        </w:trPr>
        <w:tc>
          <w:tcPr>
            <w:tcW w:w="834" w:type="pct"/>
            <w:noWrap/>
            <w:hideMark/>
          </w:tcPr>
          <w:p w:rsidR="004C1042" w:rsidRPr="004D7654" w:rsidRDefault="004C1042" w:rsidP="00974A1F">
            <w:pPr>
              <w:jc w:val="center"/>
              <w:rPr>
                <w:rFonts w:eastAsia="Times New Roman" w:cs="Times New Roman"/>
                <w:sz w:val="24"/>
                <w:szCs w:val="24"/>
              </w:rPr>
            </w:pPr>
            <w:r w:rsidRPr="004D7654">
              <w:rPr>
                <w:rFonts w:eastAsia="Times New Roman" w:cs="Times New Roman"/>
                <w:sz w:val="24"/>
                <w:szCs w:val="24"/>
              </w:rPr>
              <w:t>Komerciālie</w:t>
            </w:r>
          </w:p>
          <w:p w:rsidR="004C1042" w:rsidRPr="004D7654" w:rsidRDefault="004C1042" w:rsidP="00974A1F">
            <w:pPr>
              <w:jc w:val="center"/>
              <w:rPr>
                <w:rFonts w:eastAsia="Times New Roman" w:cs="Times New Roman"/>
                <w:sz w:val="24"/>
                <w:szCs w:val="24"/>
              </w:rPr>
            </w:pPr>
            <w:r w:rsidRPr="004D7654">
              <w:rPr>
                <w:rFonts w:eastAsia="Times New Roman" w:cs="Times New Roman"/>
                <w:sz w:val="24"/>
                <w:szCs w:val="24"/>
              </w:rPr>
              <w:t>un</w:t>
            </w:r>
          </w:p>
          <w:p w:rsidR="004C1042" w:rsidRPr="004D7654" w:rsidRDefault="004C1042" w:rsidP="00974A1F">
            <w:pPr>
              <w:jc w:val="center"/>
              <w:rPr>
                <w:rFonts w:eastAsia="Times New Roman" w:cs="Times New Roman"/>
                <w:sz w:val="24"/>
                <w:szCs w:val="24"/>
              </w:rPr>
            </w:pPr>
            <w:r w:rsidRPr="004D7654">
              <w:rPr>
                <w:rFonts w:eastAsia="Times New Roman" w:cs="Times New Roman"/>
                <w:sz w:val="24"/>
                <w:szCs w:val="24"/>
              </w:rPr>
              <w:t>sabiedriskie pakalpojumi</w:t>
            </w:r>
          </w:p>
        </w:tc>
        <w:tc>
          <w:tcPr>
            <w:tcW w:w="422" w:type="pct"/>
            <w:noWrap/>
            <w:hideMark/>
          </w:tcPr>
          <w:p w:rsidR="004C1042" w:rsidRPr="004D7654" w:rsidRDefault="001F7172" w:rsidP="00974A1F">
            <w:pPr>
              <w:ind w:firstLine="720"/>
              <w:jc w:val="center"/>
              <w:rPr>
                <w:rFonts w:eastAsia="Times New Roman" w:cs="Times New Roman"/>
                <w:sz w:val="24"/>
                <w:szCs w:val="24"/>
              </w:rPr>
            </w:pPr>
            <w:r w:rsidRPr="004D7654">
              <w:rPr>
                <w:rFonts w:eastAsia="Times New Roman" w:cs="Times New Roman"/>
                <w:sz w:val="24"/>
                <w:szCs w:val="24"/>
              </w:rPr>
              <w:t>93 (5,5</w:t>
            </w:r>
            <w:r w:rsidR="004C1042" w:rsidRPr="004D7654">
              <w:rPr>
                <w:rFonts w:eastAsia="Times New Roman" w:cs="Times New Roman"/>
                <w:sz w:val="24"/>
                <w:szCs w:val="24"/>
              </w:rPr>
              <w:t>)</w:t>
            </w:r>
          </w:p>
        </w:tc>
        <w:tc>
          <w:tcPr>
            <w:tcW w:w="422" w:type="pct"/>
            <w:noWrap/>
            <w:hideMark/>
          </w:tcPr>
          <w:p w:rsidR="004C1042" w:rsidRPr="004D7654" w:rsidRDefault="001F7172" w:rsidP="00974A1F">
            <w:pPr>
              <w:ind w:firstLine="720"/>
              <w:jc w:val="center"/>
              <w:rPr>
                <w:rFonts w:eastAsia="Times New Roman" w:cs="Times New Roman"/>
                <w:sz w:val="24"/>
                <w:szCs w:val="24"/>
              </w:rPr>
            </w:pPr>
            <w:r w:rsidRPr="004D7654">
              <w:rPr>
                <w:rFonts w:eastAsia="Times New Roman" w:cs="Times New Roman"/>
                <w:sz w:val="24"/>
                <w:szCs w:val="24"/>
              </w:rPr>
              <w:t>112 (6,7</w:t>
            </w:r>
            <w:r w:rsidR="004C1042" w:rsidRPr="004D7654">
              <w:rPr>
                <w:rFonts w:eastAsia="Times New Roman" w:cs="Times New Roman"/>
                <w:sz w:val="24"/>
                <w:szCs w:val="24"/>
              </w:rPr>
              <w:t>)</w:t>
            </w:r>
          </w:p>
        </w:tc>
        <w:tc>
          <w:tcPr>
            <w:tcW w:w="421" w:type="pct"/>
            <w:noWrap/>
            <w:hideMark/>
          </w:tcPr>
          <w:p w:rsidR="004C1042" w:rsidRPr="004D7654" w:rsidRDefault="001F7172" w:rsidP="00974A1F">
            <w:pPr>
              <w:ind w:firstLine="720"/>
              <w:jc w:val="center"/>
              <w:rPr>
                <w:rFonts w:eastAsia="Times New Roman" w:cs="Times New Roman"/>
                <w:sz w:val="24"/>
                <w:szCs w:val="24"/>
              </w:rPr>
            </w:pPr>
            <w:r w:rsidRPr="004D7654">
              <w:rPr>
                <w:rFonts w:eastAsia="Times New Roman" w:cs="Times New Roman"/>
                <w:sz w:val="24"/>
                <w:szCs w:val="24"/>
              </w:rPr>
              <w:t>117 (6,9</w:t>
            </w:r>
            <w:r w:rsidR="004C1042" w:rsidRPr="004D7654">
              <w:rPr>
                <w:rFonts w:eastAsia="Times New Roman" w:cs="Times New Roman"/>
                <w:sz w:val="24"/>
                <w:szCs w:val="24"/>
              </w:rPr>
              <w:t>)</w:t>
            </w:r>
          </w:p>
        </w:tc>
        <w:tc>
          <w:tcPr>
            <w:tcW w:w="421" w:type="pct"/>
            <w:noWrap/>
            <w:hideMark/>
          </w:tcPr>
          <w:p w:rsidR="004C1042" w:rsidRPr="004D7654" w:rsidRDefault="001F7172" w:rsidP="00974A1F">
            <w:pPr>
              <w:ind w:firstLine="720"/>
              <w:jc w:val="center"/>
              <w:rPr>
                <w:rFonts w:eastAsia="Times New Roman" w:cs="Times New Roman"/>
                <w:sz w:val="24"/>
                <w:szCs w:val="24"/>
              </w:rPr>
            </w:pPr>
            <w:r w:rsidRPr="004D7654">
              <w:rPr>
                <w:rFonts w:eastAsia="Times New Roman" w:cs="Times New Roman"/>
                <w:sz w:val="24"/>
                <w:szCs w:val="24"/>
              </w:rPr>
              <w:t>127 (7,2</w:t>
            </w:r>
            <w:r w:rsidR="004C1042" w:rsidRPr="004D7654">
              <w:rPr>
                <w:rFonts w:eastAsia="Times New Roman" w:cs="Times New Roman"/>
                <w:sz w:val="24"/>
                <w:szCs w:val="24"/>
              </w:rPr>
              <w:t>)</w:t>
            </w:r>
          </w:p>
        </w:tc>
        <w:tc>
          <w:tcPr>
            <w:tcW w:w="421" w:type="pct"/>
            <w:noWrap/>
            <w:hideMark/>
          </w:tcPr>
          <w:p w:rsidR="004C1042" w:rsidRPr="004D7654" w:rsidRDefault="001F7172" w:rsidP="00974A1F">
            <w:pPr>
              <w:ind w:firstLine="720"/>
              <w:jc w:val="center"/>
              <w:rPr>
                <w:rFonts w:eastAsia="Times New Roman" w:cs="Times New Roman"/>
                <w:sz w:val="24"/>
                <w:szCs w:val="24"/>
              </w:rPr>
            </w:pPr>
            <w:r w:rsidRPr="004D7654">
              <w:rPr>
                <w:rFonts w:eastAsia="Times New Roman" w:cs="Times New Roman"/>
                <w:sz w:val="24"/>
                <w:szCs w:val="24"/>
              </w:rPr>
              <w:t>143 (8,4</w:t>
            </w:r>
            <w:r w:rsidR="004C1042" w:rsidRPr="004D7654">
              <w:rPr>
                <w:rFonts w:eastAsia="Times New Roman" w:cs="Times New Roman"/>
                <w:sz w:val="24"/>
                <w:szCs w:val="24"/>
              </w:rPr>
              <w:t>)</w:t>
            </w:r>
          </w:p>
        </w:tc>
        <w:tc>
          <w:tcPr>
            <w:tcW w:w="421" w:type="pct"/>
            <w:noWrap/>
            <w:hideMark/>
          </w:tcPr>
          <w:p w:rsidR="004C1042" w:rsidRPr="004D7654" w:rsidRDefault="001F7172" w:rsidP="00974A1F">
            <w:pPr>
              <w:ind w:firstLine="720"/>
              <w:jc w:val="center"/>
              <w:rPr>
                <w:rFonts w:eastAsia="Times New Roman" w:cs="Times New Roman"/>
                <w:sz w:val="24"/>
                <w:szCs w:val="24"/>
              </w:rPr>
            </w:pPr>
            <w:r w:rsidRPr="004D7654">
              <w:rPr>
                <w:rFonts w:eastAsia="Times New Roman" w:cs="Times New Roman"/>
                <w:sz w:val="24"/>
                <w:szCs w:val="24"/>
              </w:rPr>
              <w:t>144 (8,6</w:t>
            </w:r>
            <w:r w:rsidR="004C1042" w:rsidRPr="004D7654">
              <w:rPr>
                <w:rFonts w:eastAsia="Times New Roman" w:cs="Times New Roman"/>
                <w:sz w:val="24"/>
                <w:szCs w:val="24"/>
              </w:rPr>
              <w:t>)</w:t>
            </w:r>
          </w:p>
        </w:tc>
        <w:tc>
          <w:tcPr>
            <w:tcW w:w="421" w:type="pct"/>
            <w:noWrap/>
            <w:hideMark/>
          </w:tcPr>
          <w:p w:rsidR="004C1042" w:rsidRPr="004D7654" w:rsidRDefault="001F7172" w:rsidP="00974A1F">
            <w:pPr>
              <w:ind w:firstLine="720"/>
              <w:jc w:val="center"/>
              <w:rPr>
                <w:rFonts w:eastAsia="Times New Roman" w:cs="Times New Roman"/>
                <w:sz w:val="24"/>
                <w:szCs w:val="24"/>
              </w:rPr>
            </w:pPr>
            <w:r w:rsidRPr="004D7654">
              <w:rPr>
                <w:rFonts w:eastAsia="Times New Roman" w:cs="Times New Roman"/>
                <w:sz w:val="24"/>
                <w:szCs w:val="24"/>
              </w:rPr>
              <w:t>139 (9,1</w:t>
            </w:r>
            <w:r w:rsidR="004C1042" w:rsidRPr="004D7654">
              <w:rPr>
                <w:rFonts w:eastAsia="Times New Roman" w:cs="Times New Roman"/>
                <w:sz w:val="24"/>
                <w:szCs w:val="24"/>
              </w:rPr>
              <w:t>)</w:t>
            </w:r>
          </w:p>
        </w:tc>
        <w:tc>
          <w:tcPr>
            <w:tcW w:w="421" w:type="pct"/>
            <w:noWrap/>
            <w:hideMark/>
          </w:tcPr>
          <w:p w:rsidR="004C1042" w:rsidRPr="004D7654" w:rsidRDefault="001F7172" w:rsidP="00974A1F">
            <w:pPr>
              <w:ind w:firstLine="720"/>
              <w:jc w:val="center"/>
              <w:rPr>
                <w:rFonts w:eastAsia="Times New Roman" w:cs="Times New Roman"/>
                <w:sz w:val="24"/>
                <w:szCs w:val="24"/>
              </w:rPr>
            </w:pPr>
            <w:r w:rsidRPr="004D7654">
              <w:rPr>
                <w:rFonts w:eastAsia="Times New Roman" w:cs="Times New Roman"/>
                <w:sz w:val="24"/>
                <w:szCs w:val="24"/>
              </w:rPr>
              <w:t>144 (7,9</w:t>
            </w:r>
            <w:r w:rsidR="004C1042" w:rsidRPr="004D7654">
              <w:rPr>
                <w:rFonts w:eastAsia="Times New Roman" w:cs="Times New Roman"/>
                <w:sz w:val="24"/>
                <w:szCs w:val="24"/>
              </w:rPr>
              <w:t>)</w:t>
            </w:r>
          </w:p>
        </w:tc>
        <w:tc>
          <w:tcPr>
            <w:tcW w:w="421" w:type="pct"/>
            <w:noWrap/>
            <w:hideMark/>
          </w:tcPr>
          <w:p w:rsidR="004C1042" w:rsidRPr="004D7654" w:rsidRDefault="001F7172" w:rsidP="00974A1F">
            <w:pPr>
              <w:ind w:firstLine="720"/>
              <w:jc w:val="center"/>
              <w:rPr>
                <w:rFonts w:eastAsia="Times New Roman" w:cs="Times New Roman"/>
                <w:sz w:val="24"/>
                <w:szCs w:val="24"/>
              </w:rPr>
            </w:pPr>
            <w:r w:rsidRPr="004D7654">
              <w:rPr>
                <w:rFonts w:eastAsia="Times New Roman" w:cs="Times New Roman"/>
                <w:sz w:val="24"/>
                <w:szCs w:val="24"/>
              </w:rPr>
              <w:t>130 (8,1</w:t>
            </w:r>
            <w:r w:rsidR="004C1042" w:rsidRPr="004D7654">
              <w:rPr>
                <w:rFonts w:eastAsia="Times New Roman" w:cs="Times New Roman"/>
                <w:sz w:val="24"/>
                <w:szCs w:val="24"/>
              </w:rPr>
              <w:t>)</w:t>
            </w:r>
          </w:p>
        </w:tc>
        <w:tc>
          <w:tcPr>
            <w:tcW w:w="375" w:type="pct"/>
            <w:noWrap/>
            <w:hideMark/>
          </w:tcPr>
          <w:p w:rsidR="004C1042" w:rsidRPr="004D7654" w:rsidRDefault="001F7172" w:rsidP="00974A1F">
            <w:pPr>
              <w:jc w:val="center"/>
              <w:rPr>
                <w:rFonts w:eastAsia="Times New Roman" w:cs="Times New Roman"/>
                <w:sz w:val="24"/>
                <w:szCs w:val="24"/>
              </w:rPr>
            </w:pPr>
            <w:r w:rsidRPr="004D7654">
              <w:rPr>
                <w:rFonts w:eastAsia="Times New Roman" w:cs="Times New Roman"/>
                <w:sz w:val="24"/>
                <w:szCs w:val="24"/>
              </w:rPr>
              <w:t>122 (8,1</w:t>
            </w:r>
            <w:r w:rsidR="004C1042" w:rsidRPr="004D7654">
              <w:rPr>
                <w:rFonts w:eastAsia="Times New Roman" w:cs="Times New Roman"/>
                <w:sz w:val="24"/>
                <w:szCs w:val="24"/>
              </w:rPr>
              <w:t>)</w:t>
            </w:r>
          </w:p>
        </w:tc>
      </w:tr>
      <w:tr w:rsidR="001F7172" w:rsidRPr="004C1042" w:rsidTr="005A7EBF">
        <w:trPr>
          <w:trHeight w:val="600"/>
        </w:trPr>
        <w:tc>
          <w:tcPr>
            <w:tcW w:w="834" w:type="pct"/>
            <w:hideMark/>
          </w:tcPr>
          <w:p w:rsidR="004C1042" w:rsidRPr="004D7654" w:rsidRDefault="004C1042" w:rsidP="00974A1F">
            <w:pPr>
              <w:jc w:val="center"/>
              <w:rPr>
                <w:rFonts w:eastAsia="Times New Roman" w:cs="Times New Roman"/>
                <w:sz w:val="24"/>
                <w:szCs w:val="24"/>
              </w:rPr>
            </w:pPr>
            <w:r w:rsidRPr="004D7654">
              <w:rPr>
                <w:rFonts w:eastAsia="Times New Roman" w:cs="Times New Roman"/>
                <w:sz w:val="24"/>
                <w:szCs w:val="24"/>
              </w:rPr>
              <w:t>Lauksaimniecība, mežsaimniecība, medniecība, zivsaimniecība</w:t>
            </w:r>
          </w:p>
        </w:tc>
        <w:tc>
          <w:tcPr>
            <w:tcW w:w="422" w:type="pct"/>
            <w:noWrap/>
            <w:hideMark/>
          </w:tcPr>
          <w:p w:rsidR="004C1042" w:rsidRPr="004D7654" w:rsidRDefault="001F7172" w:rsidP="00974A1F">
            <w:pPr>
              <w:ind w:firstLine="720"/>
              <w:jc w:val="center"/>
              <w:rPr>
                <w:rFonts w:eastAsia="Times New Roman" w:cs="Times New Roman"/>
                <w:sz w:val="24"/>
                <w:szCs w:val="24"/>
              </w:rPr>
            </w:pPr>
            <w:r w:rsidRPr="004D7654">
              <w:rPr>
                <w:rFonts w:eastAsia="Times New Roman" w:cs="Times New Roman"/>
                <w:sz w:val="24"/>
                <w:szCs w:val="24"/>
              </w:rPr>
              <w:t>22 (1,3</w:t>
            </w:r>
            <w:r w:rsidR="004C1042" w:rsidRPr="004D7654">
              <w:rPr>
                <w:rFonts w:eastAsia="Times New Roman" w:cs="Times New Roman"/>
                <w:sz w:val="24"/>
                <w:szCs w:val="24"/>
              </w:rPr>
              <w:t>)</w:t>
            </w:r>
          </w:p>
        </w:tc>
        <w:tc>
          <w:tcPr>
            <w:tcW w:w="422" w:type="pct"/>
            <w:noWrap/>
            <w:hideMark/>
          </w:tcPr>
          <w:p w:rsidR="004C1042" w:rsidRPr="004D7654" w:rsidRDefault="001F7172" w:rsidP="00974A1F">
            <w:pPr>
              <w:ind w:firstLine="720"/>
              <w:jc w:val="center"/>
              <w:rPr>
                <w:rFonts w:eastAsia="Times New Roman" w:cs="Times New Roman"/>
                <w:sz w:val="24"/>
                <w:szCs w:val="24"/>
              </w:rPr>
            </w:pPr>
            <w:r w:rsidRPr="004D7654">
              <w:rPr>
                <w:rFonts w:eastAsia="Times New Roman" w:cs="Times New Roman"/>
                <w:sz w:val="24"/>
                <w:szCs w:val="24"/>
              </w:rPr>
              <w:t>27 (1,6</w:t>
            </w:r>
            <w:r w:rsidR="004C1042" w:rsidRPr="004D7654">
              <w:rPr>
                <w:rFonts w:eastAsia="Times New Roman" w:cs="Times New Roman"/>
                <w:sz w:val="24"/>
                <w:szCs w:val="24"/>
              </w:rPr>
              <w:t>)</w:t>
            </w:r>
          </w:p>
        </w:tc>
        <w:tc>
          <w:tcPr>
            <w:tcW w:w="421" w:type="pct"/>
            <w:noWrap/>
            <w:hideMark/>
          </w:tcPr>
          <w:p w:rsidR="004C1042" w:rsidRPr="004D7654" w:rsidRDefault="001F7172" w:rsidP="00974A1F">
            <w:pPr>
              <w:ind w:firstLine="720"/>
              <w:jc w:val="center"/>
              <w:rPr>
                <w:rFonts w:eastAsia="Times New Roman" w:cs="Times New Roman"/>
                <w:sz w:val="24"/>
                <w:szCs w:val="24"/>
              </w:rPr>
            </w:pPr>
            <w:r w:rsidRPr="004D7654">
              <w:rPr>
                <w:rFonts w:eastAsia="Times New Roman" w:cs="Times New Roman"/>
                <w:sz w:val="24"/>
                <w:szCs w:val="24"/>
              </w:rPr>
              <w:t>22 (1,3</w:t>
            </w:r>
            <w:r w:rsidR="004C1042" w:rsidRPr="004D7654">
              <w:rPr>
                <w:rFonts w:eastAsia="Times New Roman" w:cs="Times New Roman"/>
                <w:sz w:val="24"/>
                <w:szCs w:val="24"/>
              </w:rPr>
              <w:t>)</w:t>
            </w:r>
          </w:p>
        </w:tc>
        <w:tc>
          <w:tcPr>
            <w:tcW w:w="421" w:type="pct"/>
            <w:noWrap/>
            <w:hideMark/>
          </w:tcPr>
          <w:p w:rsidR="004C1042" w:rsidRPr="004D7654" w:rsidRDefault="001F7172" w:rsidP="00974A1F">
            <w:pPr>
              <w:ind w:firstLine="720"/>
              <w:jc w:val="center"/>
              <w:rPr>
                <w:rFonts w:eastAsia="Times New Roman" w:cs="Times New Roman"/>
                <w:sz w:val="24"/>
                <w:szCs w:val="24"/>
              </w:rPr>
            </w:pPr>
            <w:r w:rsidRPr="004D7654">
              <w:rPr>
                <w:rFonts w:eastAsia="Times New Roman" w:cs="Times New Roman"/>
                <w:sz w:val="24"/>
                <w:szCs w:val="24"/>
              </w:rPr>
              <w:t>21 (1,2</w:t>
            </w:r>
            <w:r w:rsidR="004C1042" w:rsidRPr="004D7654">
              <w:rPr>
                <w:rFonts w:eastAsia="Times New Roman" w:cs="Times New Roman"/>
                <w:sz w:val="24"/>
                <w:szCs w:val="24"/>
              </w:rPr>
              <w:t>)</w:t>
            </w:r>
          </w:p>
        </w:tc>
        <w:tc>
          <w:tcPr>
            <w:tcW w:w="421" w:type="pct"/>
            <w:noWrap/>
            <w:hideMark/>
          </w:tcPr>
          <w:p w:rsidR="004C1042" w:rsidRPr="004D7654" w:rsidRDefault="001F7172" w:rsidP="00974A1F">
            <w:pPr>
              <w:ind w:firstLine="720"/>
              <w:jc w:val="center"/>
              <w:rPr>
                <w:rFonts w:eastAsia="Times New Roman" w:cs="Times New Roman"/>
                <w:sz w:val="24"/>
                <w:szCs w:val="24"/>
              </w:rPr>
            </w:pPr>
            <w:r w:rsidRPr="004D7654">
              <w:rPr>
                <w:rFonts w:eastAsia="Times New Roman" w:cs="Times New Roman"/>
                <w:sz w:val="24"/>
                <w:szCs w:val="24"/>
              </w:rPr>
              <w:t>19 (1,1</w:t>
            </w:r>
            <w:r w:rsidR="004C1042" w:rsidRPr="004D7654">
              <w:rPr>
                <w:rFonts w:eastAsia="Times New Roman" w:cs="Times New Roman"/>
                <w:sz w:val="24"/>
                <w:szCs w:val="24"/>
              </w:rPr>
              <w:t>)</w:t>
            </w:r>
          </w:p>
        </w:tc>
        <w:tc>
          <w:tcPr>
            <w:tcW w:w="421" w:type="pct"/>
            <w:noWrap/>
            <w:hideMark/>
          </w:tcPr>
          <w:p w:rsidR="004C1042" w:rsidRPr="004D7654" w:rsidRDefault="001F7172" w:rsidP="00974A1F">
            <w:pPr>
              <w:ind w:firstLine="720"/>
              <w:jc w:val="center"/>
              <w:rPr>
                <w:rFonts w:eastAsia="Times New Roman" w:cs="Times New Roman"/>
                <w:sz w:val="24"/>
                <w:szCs w:val="24"/>
              </w:rPr>
            </w:pPr>
            <w:r w:rsidRPr="004D7654">
              <w:rPr>
                <w:rFonts w:eastAsia="Times New Roman" w:cs="Times New Roman"/>
                <w:sz w:val="24"/>
                <w:szCs w:val="24"/>
              </w:rPr>
              <w:t>14 (0,8</w:t>
            </w:r>
            <w:r w:rsidR="004C1042" w:rsidRPr="004D7654">
              <w:rPr>
                <w:rFonts w:eastAsia="Times New Roman" w:cs="Times New Roman"/>
                <w:sz w:val="24"/>
                <w:szCs w:val="24"/>
              </w:rPr>
              <w:t>)</w:t>
            </w:r>
          </w:p>
        </w:tc>
        <w:tc>
          <w:tcPr>
            <w:tcW w:w="421" w:type="pct"/>
            <w:noWrap/>
            <w:hideMark/>
          </w:tcPr>
          <w:p w:rsidR="004C1042" w:rsidRPr="004D7654" w:rsidRDefault="001F7172" w:rsidP="00974A1F">
            <w:pPr>
              <w:ind w:firstLine="720"/>
              <w:jc w:val="center"/>
              <w:rPr>
                <w:rFonts w:eastAsia="Times New Roman" w:cs="Times New Roman"/>
                <w:sz w:val="24"/>
                <w:szCs w:val="24"/>
              </w:rPr>
            </w:pPr>
            <w:r w:rsidRPr="004D7654">
              <w:rPr>
                <w:rFonts w:eastAsia="Times New Roman" w:cs="Times New Roman"/>
                <w:sz w:val="24"/>
                <w:szCs w:val="24"/>
              </w:rPr>
              <w:t>7 (0,5</w:t>
            </w:r>
            <w:r w:rsidR="004C1042" w:rsidRPr="004D7654">
              <w:rPr>
                <w:rFonts w:eastAsia="Times New Roman" w:cs="Times New Roman"/>
                <w:sz w:val="24"/>
                <w:szCs w:val="24"/>
              </w:rPr>
              <w:t>)</w:t>
            </w:r>
          </w:p>
        </w:tc>
        <w:tc>
          <w:tcPr>
            <w:tcW w:w="421" w:type="pct"/>
            <w:noWrap/>
            <w:hideMark/>
          </w:tcPr>
          <w:p w:rsidR="004C1042" w:rsidRPr="004D7654" w:rsidRDefault="001F7172" w:rsidP="00974A1F">
            <w:pPr>
              <w:ind w:firstLine="720"/>
              <w:jc w:val="center"/>
              <w:rPr>
                <w:rFonts w:eastAsia="Times New Roman" w:cs="Times New Roman"/>
                <w:sz w:val="24"/>
                <w:szCs w:val="24"/>
              </w:rPr>
            </w:pPr>
            <w:r w:rsidRPr="004D7654">
              <w:rPr>
                <w:rFonts w:eastAsia="Times New Roman" w:cs="Times New Roman"/>
                <w:sz w:val="24"/>
                <w:szCs w:val="24"/>
              </w:rPr>
              <w:t>19 (1,0</w:t>
            </w:r>
            <w:r w:rsidR="004C1042" w:rsidRPr="004D7654">
              <w:rPr>
                <w:rFonts w:eastAsia="Times New Roman" w:cs="Times New Roman"/>
                <w:sz w:val="24"/>
                <w:szCs w:val="24"/>
              </w:rPr>
              <w:t>)</w:t>
            </w:r>
          </w:p>
        </w:tc>
        <w:tc>
          <w:tcPr>
            <w:tcW w:w="421" w:type="pct"/>
            <w:noWrap/>
            <w:hideMark/>
          </w:tcPr>
          <w:p w:rsidR="004C1042" w:rsidRPr="004D7654" w:rsidRDefault="001F7172" w:rsidP="00974A1F">
            <w:pPr>
              <w:ind w:firstLine="720"/>
              <w:jc w:val="center"/>
              <w:rPr>
                <w:rFonts w:eastAsia="Times New Roman" w:cs="Times New Roman"/>
                <w:sz w:val="24"/>
                <w:szCs w:val="24"/>
              </w:rPr>
            </w:pPr>
            <w:r w:rsidRPr="004D7654">
              <w:rPr>
                <w:rFonts w:eastAsia="Times New Roman" w:cs="Times New Roman"/>
                <w:sz w:val="24"/>
                <w:szCs w:val="24"/>
              </w:rPr>
              <w:t>15 (0,9</w:t>
            </w:r>
            <w:r w:rsidR="004C1042" w:rsidRPr="004D7654">
              <w:rPr>
                <w:rFonts w:eastAsia="Times New Roman" w:cs="Times New Roman"/>
                <w:sz w:val="24"/>
                <w:szCs w:val="24"/>
              </w:rPr>
              <w:t>)</w:t>
            </w:r>
          </w:p>
        </w:tc>
        <w:tc>
          <w:tcPr>
            <w:tcW w:w="375" w:type="pct"/>
            <w:noWrap/>
            <w:hideMark/>
          </w:tcPr>
          <w:p w:rsidR="004C1042" w:rsidRPr="004D7654" w:rsidRDefault="001F7172" w:rsidP="00974A1F">
            <w:pPr>
              <w:jc w:val="center"/>
              <w:rPr>
                <w:rFonts w:eastAsia="Times New Roman" w:cs="Times New Roman"/>
                <w:sz w:val="24"/>
                <w:szCs w:val="24"/>
              </w:rPr>
            </w:pPr>
            <w:r w:rsidRPr="004D7654">
              <w:rPr>
                <w:rFonts w:eastAsia="Times New Roman" w:cs="Times New Roman"/>
                <w:sz w:val="24"/>
                <w:szCs w:val="24"/>
              </w:rPr>
              <w:t>20 (1,3</w:t>
            </w:r>
            <w:r w:rsidR="004C1042" w:rsidRPr="004D7654">
              <w:rPr>
                <w:rFonts w:eastAsia="Times New Roman" w:cs="Times New Roman"/>
                <w:sz w:val="24"/>
                <w:szCs w:val="24"/>
              </w:rPr>
              <w:t>)</w:t>
            </w:r>
          </w:p>
        </w:tc>
      </w:tr>
    </w:tbl>
    <w:p w:rsidR="007C6274" w:rsidRDefault="007C6274" w:rsidP="00255A59">
      <w:pPr>
        <w:ind w:firstLine="720"/>
        <w:jc w:val="both"/>
        <w:rPr>
          <w:rFonts w:eastAsia="Times New Roman" w:cs="Times New Roman"/>
          <w:sz w:val="20"/>
          <w:szCs w:val="20"/>
        </w:rPr>
      </w:pPr>
    </w:p>
    <w:p w:rsidR="00C449E8" w:rsidRDefault="00C449E8" w:rsidP="007E7903">
      <w:pPr>
        <w:ind w:firstLine="720"/>
        <w:jc w:val="both"/>
        <w:rPr>
          <w:rFonts w:eastAsia="Times New Roman" w:cs="Times New Roman"/>
          <w:szCs w:val="28"/>
        </w:rPr>
      </w:pPr>
      <w:r>
        <w:rPr>
          <w:rFonts w:eastAsia="Times New Roman" w:cs="Times New Roman"/>
          <w:szCs w:val="28"/>
        </w:rPr>
        <w:lastRenderedPageBreak/>
        <w:t xml:space="preserve">Dabasgāzes cenu dinamika lielākajās patēriņa grupās – dabasgāzes patēriņā </w:t>
      </w:r>
      <w:r w:rsidR="00F82C00">
        <w:rPr>
          <w:rFonts w:eastAsia="Times New Roman" w:cs="Times New Roman"/>
          <w:szCs w:val="28"/>
        </w:rPr>
        <w:t>rū</w:t>
      </w:r>
      <w:r w:rsidR="00B1266E">
        <w:rPr>
          <w:rFonts w:eastAsia="Times New Roman" w:cs="Times New Roman"/>
          <w:szCs w:val="28"/>
        </w:rPr>
        <w:t>pnieciskajiem</w:t>
      </w:r>
      <w:r>
        <w:rPr>
          <w:rFonts w:eastAsia="Times New Roman" w:cs="Times New Roman"/>
          <w:szCs w:val="28"/>
        </w:rPr>
        <w:t xml:space="preserve"> patērētājiem un mājsaimniecībām, laika posmā no </w:t>
      </w:r>
      <w:r w:rsidR="00A41E1E">
        <w:rPr>
          <w:rFonts w:eastAsia="Times New Roman" w:cs="Times New Roman"/>
          <w:szCs w:val="28"/>
        </w:rPr>
        <w:t>2003.–201</w:t>
      </w:r>
      <w:r w:rsidR="004007FC">
        <w:rPr>
          <w:rFonts w:eastAsia="Times New Roman" w:cs="Times New Roman"/>
          <w:szCs w:val="28"/>
        </w:rPr>
        <w:t>4</w:t>
      </w:r>
      <w:r w:rsidR="00A41E1E">
        <w:rPr>
          <w:rFonts w:eastAsia="Times New Roman" w:cs="Times New Roman"/>
          <w:szCs w:val="28"/>
        </w:rPr>
        <w:t>.gadam</w:t>
      </w:r>
      <w:r>
        <w:rPr>
          <w:rFonts w:eastAsia="Times New Roman" w:cs="Times New Roman"/>
          <w:szCs w:val="28"/>
        </w:rPr>
        <w:t xml:space="preserve">, redzama </w:t>
      </w:r>
      <w:r w:rsidR="00010823">
        <w:rPr>
          <w:rFonts w:eastAsia="Times New Roman" w:cs="Times New Roman"/>
          <w:szCs w:val="28"/>
        </w:rPr>
        <w:t>1</w:t>
      </w:r>
      <w:r w:rsidR="00091F3D">
        <w:rPr>
          <w:rFonts w:eastAsia="Times New Roman" w:cs="Times New Roman"/>
          <w:szCs w:val="28"/>
        </w:rPr>
        <w:t>6</w:t>
      </w:r>
      <w:r w:rsidR="003C425C">
        <w:rPr>
          <w:rFonts w:eastAsia="Times New Roman" w:cs="Times New Roman"/>
          <w:szCs w:val="28"/>
        </w:rPr>
        <w:t>.</w:t>
      </w:r>
      <w:r w:rsidR="00F66D0C">
        <w:rPr>
          <w:rFonts w:eastAsia="Times New Roman" w:cs="Times New Roman"/>
          <w:szCs w:val="28"/>
        </w:rPr>
        <w:t>attēlā</w:t>
      </w:r>
      <w:r w:rsidR="006D619F">
        <w:rPr>
          <w:rFonts w:eastAsia="Times New Roman" w:cs="Times New Roman"/>
          <w:szCs w:val="28"/>
        </w:rPr>
        <w:t>.</w:t>
      </w:r>
      <w:r>
        <w:rPr>
          <w:rFonts w:eastAsia="Times New Roman" w:cs="Times New Roman"/>
          <w:szCs w:val="28"/>
        </w:rPr>
        <w:t xml:space="preserve"> </w:t>
      </w:r>
    </w:p>
    <w:p w:rsidR="00C449E8" w:rsidRDefault="00C449E8" w:rsidP="007E7903">
      <w:pPr>
        <w:ind w:firstLine="720"/>
        <w:jc w:val="both"/>
        <w:rPr>
          <w:rFonts w:eastAsia="Times New Roman" w:cs="Times New Roman"/>
          <w:szCs w:val="28"/>
        </w:rPr>
      </w:pPr>
    </w:p>
    <w:p w:rsidR="00C449E8" w:rsidRDefault="00C449E8" w:rsidP="00010823">
      <w:pPr>
        <w:jc w:val="center"/>
        <w:rPr>
          <w:rFonts w:eastAsia="Times New Roman" w:cs="Times New Roman"/>
          <w:szCs w:val="28"/>
        </w:rPr>
      </w:pPr>
      <w:r w:rsidRPr="00C449E8">
        <w:rPr>
          <w:rFonts w:eastAsia="Times New Roman" w:cs="Times New Roman"/>
          <w:noProof/>
          <w:szCs w:val="28"/>
          <w:lang w:eastAsia="lv-LV"/>
        </w:rPr>
        <w:drawing>
          <wp:inline distT="0" distB="0" distL="0" distR="0" wp14:anchorId="06B17D8C" wp14:editId="622A0CFE">
            <wp:extent cx="5486400" cy="3141345"/>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tretch>
                      <a:fillRect/>
                    </a:stretch>
                  </pic:blipFill>
                  <pic:spPr>
                    <a:xfrm>
                      <a:off x="0" y="0"/>
                      <a:ext cx="5486400" cy="3141345"/>
                    </a:xfrm>
                    <a:prstGeom prst="rect">
                      <a:avLst/>
                    </a:prstGeom>
                  </pic:spPr>
                </pic:pic>
              </a:graphicData>
            </a:graphic>
          </wp:inline>
        </w:drawing>
      </w:r>
    </w:p>
    <w:p w:rsidR="00A41E1E" w:rsidRPr="003C425C" w:rsidRDefault="00A41E1E" w:rsidP="007E7903">
      <w:pPr>
        <w:ind w:firstLine="720"/>
        <w:jc w:val="both"/>
        <w:rPr>
          <w:rFonts w:eastAsia="Times New Roman" w:cs="Times New Roman"/>
          <w:sz w:val="20"/>
          <w:szCs w:val="20"/>
        </w:rPr>
      </w:pPr>
      <w:r w:rsidRPr="003C425C">
        <w:rPr>
          <w:rFonts w:eastAsia="Times New Roman" w:cs="Times New Roman"/>
          <w:sz w:val="20"/>
          <w:szCs w:val="20"/>
        </w:rPr>
        <w:t>Avots: AS „Latvijas Gāze”</w:t>
      </w:r>
    </w:p>
    <w:p w:rsidR="00A41E1E" w:rsidRPr="00010823" w:rsidRDefault="00BB56F8" w:rsidP="00010823">
      <w:pPr>
        <w:rPr>
          <w:rFonts w:eastAsia="Times New Roman" w:cs="Times New Roman"/>
          <w:b/>
          <w:sz w:val="24"/>
          <w:szCs w:val="24"/>
        </w:rPr>
      </w:pPr>
      <w:r w:rsidRPr="00010823">
        <w:rPr>
          <w:rFonts w:eastAsia="Times New Roman" w:cs="Times New Roman"/>
          <w:b/>
          <w:sz w:val="24"/>
          <w:szCs w:val="24"/>
        </w:rPr>
        <w:t>1</w:t>
      </w:r>
      <w:r w:rsidR="00091F3D">
        <w:rPr>
          <w:rFonts w:eastAsia="Times New Roman" w:cs="Times New Roman"/>
          <w:b/>
          <w:sz w:val="24"/>
          <w:szCs w:val="24"/>
        </w:rPr>
        <w:t>6</w:t>
      </w:r>
      <w:r w:rsidRPr="00010823">
        <w:rPr>
          <w:rFonts w:eastAsia="Times New Roman" w:cs="Times New Roman"/>
          <w:b/>
          <w:sz w:val="24"/>
          <w:szCs w:val="24"/>
        </w:rPr>
        <w:t xml:space="preserve">. </w:t>
      </w:r>
      <w:r w:rsidR="00A41E1E" w:rsidRPr="00010823">
        <w:rPr>
          <w:rFonts w:eastAsia="Times New Roman" w:cs="Times New Roman"/>
          <w:b/>
          <w:sz w:val="24"/>
          <w:szCs w:val="24"/>
        </w:rPr>
        <w:t>attēls. Mazuta un dabasgāzes tarifu dinamika Latvijā 2003.–201</w:t>
      </w:r>
      <w:r w:rsidR="004007FC" w:rsidRPr="00010823">
        <w:rPr>
          <w:rFonts w:eastAsia="Times New Roman" w:cs="Times New Roman"/>
          <w:b/>
          <w:sz w:val="24"/>
          <w:szCs w:val="24"/>
        </w:rPr>
        <w:t>4</w:t>
      </w:r>
      <w:r w:rsidR="00A41E1E" w:rsidRPr="00010823">
        <w:rPr>
          <w:rFonts w:eastAsia="Times New Roman" w:cs="Times New Roman"/>
          <w:b/>
          <w:sz w:val="24"/>
          <w:szCs w:val="24"/>
        </w:rPr>
        <w:t xml:space="preserve">.g. </w:t>
      </w:r>
    </w:p>
    <w:p w:rsidR="00CC3E22" w:rsidRPr="00010823" w:rsidRDefault="00E06126" w:rsidP="009133A1">
      <w:pPr>
        <w:pStyle w:val="Heading2"/>
        <w:numPr>
          <w:ilvl w:val="1"/>
          <w:numId w:val="6"/>
        </w:numPr>
        <w:ind w:left="851"/>
        <w:rPr>
          <w:rFonts w:ascii="Times New Roman" w:eastAsia="Times New Roman" w:hAnsi="Times New Roman" w:cs="Times New Roman"/>
          <w:color w:val="auto"/>
          <w:sz w:val="28"/>
          <w:szCs w:val="28"/>
        </w:rPr>
      </w:pPr>
      <w:bookmarkStart w:id="30" w:name="_Toc400714673"/>
      <w:r w:rsidRPr="00010823">
        <w:rPr>
          <w:rFonts w:ascii="Times New Roman" w:eastAsia="Times New Roman" w:hAnsi="Times New Roman" w:cs="Times New Roman"/>
          <w:color w:val="auto"/>
          <w:sz w:val="28"/>
          <w:szCs w:val="28"/>
        </w:rPr>
        <w:t xml:space="preserve">Dabasgāzes </w:t>
      </w:r>
      <w:r w:rsidR="00BF768E" w:rsidRPr="00010823">
        <w:rPr>
          <w:rFonts w:ascii="Times New Roman" w:eastAsia="Times New Roman" w:hAnsi="Times New Roman" w:cs="Times New Roman"/>
          <w:color w:val="auto"/>
          <w:sz w:val="28"/>
          <w:szCs w:val="28"/>
        </w:rPr>
        <w:t>tirdzniecība</w:t>
      </w:r>
      <w:bookmarkEnd w:id="30"/>
      <w:r w:rsidR="00BF768E" w:rsidRPr="00010823">
        <w:rPr>
          <w:rFonts w:ascii="Times New Roman" w:eastAsia="Times New Roman" w:hAnsi="Times New Roman" w:cs="Times New Roman"/>
          <w:color w:val="auto"/>
          <w:sz w:val="28"/>
          <w:szCs w:val="28"/>
        </w:rPr>
        <w:t xml:space="preserve"> </w:t>
      </w:r>
    </w:p>
    <w:p w:rsidR="00163C73" w:rsidRDefault="00163C73" w:rsidP="00163C73">
      <w:pPr>
        <w:ind w:firstLine="567"/>
        <w:jc w:val="both"/>
      </w:pPr>
      <w:r w:rsidRPr="007E7903">
        <w:rPr>
          <w:szCs w:val="28"/>
        </w:rPr>
        <w:t>Latvijas dabasgāzes apgādes sistēma nav savienota ar citu ES dalībvalstu, izņemot Lietuvu un Igauniju, sistēmām, un Latvijai ir tikai viens dabasgāzes piegādātājs – Krievija</w:t>
      </w:r>
      <w:r>
        <w:rPr>
          <w:szCs w:val="28"/>
        </w:rPr>
        <w:t>,</w:t>
      </w:r>
      <w:r w:rsidRPr="007E7903">
        <w:rPr>
          <w:szCs w:val="28"/>
        </w:rPr>
        <w:t xml:space="preserve"> kā rezultātā ir izveidojies izolēts dabasgāzes tirgus jeb tā dēvētā „enerģijas sala”.</w:t>
      </w:r>
    </w:p>
    <w:p w:rsidR="00163C73" w:rsidRDefault="00163C73" w:rsidP="00163C73">
      <w:pPr>
        <w:ind w:firstLine="720"/>
        <w:jc w:val="both"/>
        <w:rPr>
          <w:rFonts w:eastAsia="Times New Roman" w:cs="Times New Roman"/>
          <w:szCs w:val="28"/>
        </w:rPr>
      </w:pPr>
      <w:r w:rsidRPr="007E7903">
        <w:rPr>
          <w:rFonts w:eastAsia="Times New Roman" w:cs="Times New Roman"/>
          <w:szCs w:val="28"/>
        </w:rPr>
        <w:t xml:space="preserve">Vienīgais dabasgāzes piegādes ceļš Latvijas patērētājiem ir maģistrālie gāzes tīkli, kuri atzarojas no Jamalas </w:t>
      </w:r>
      <w:r w:rsidRPr="007E7903">
        <w:rPr>
          <w:rFonts w:eastAsia="Times New Roman" w:cs="Times New Roman"/>
          <w:b/>
          <w:bCs/>
          <w:szCs w:val="28"/>
        </w:rPr>
        <w:t xml:space="preserve">– </w:t>
      </w:r>
      <w:r w:rsidRPr="007E7903">
        <w:rPr>
          <w:rFonts w:eastAsia="Times New Roman" w:cs="Times New Roman"/>
          <w:szCs w:val="28"/>
        </w:rPr>
        <w:t xml:space="preserve">Eiropa gāzes vada Tveras apgabala Krievijā uz Sanktpēterburgu, Pleskavu un tālāk uz Igauniju, Latviju. Baltijas valstu maģistrālie gāzes tīkli ir labi attīstīti un to spēju nodrošināt stabilas piegādes paaugstina Inčukalna pazemes gāzes krātuve (turpmāk – IPGK). </w:t>
      </w:r>
    </w:p>
    <w:p w:rsidR="00003228" w:rsidRDefault="00003228" w:rsidP="00003228">
      <w:pPr>
        <w:ind w:firstLine="720"/>
        <w:jc w:val="both"/>
        <w:rPr>
          <w:rFonts w:eastAsia="Times New Roman" w:cs="Times New Roman"/>
          <w:szCs w:val="28"/>
        </w:rPr>
      </w:pPr>
      <w:r w:rsidRPr="007E7903">
        <w:rPr>
          <w:rFonts w:eastAsia="Times New Roman" w:cs="Times New Roman"/>
          <w:szCs w:val="28"/>
        </w:rPr>
        <w:t>Šobrīd Latvijas dabasgāzes sektorā un tirgū darbojas viens vertikāli integrēts uzņēmums – AS „Latvijas Gāze”, kas nodrošina dabasgāzes iepirkšanu, uzglabāšanu, pārvadi, sadali un tirdzniecību.</w:t>
      </w:r>
      <w:r w:rsidR="008E5241" w:rsidRPr="008E5241">
        <w:t xml:space="preserve"> </w:t>
      </w:r>
      <w:r w:rsidR="008E5241">
        <w:rPr>
          <w:rFonts w:eastAsia="Times New Roman" w:cs="Times New Roman"/>
          <w:szCs w:val="28"/>
        </w:rPr>
        <w:t>D</w:t>
      </w:r>
      <w:r w:rsidR="008E5241" w:rsidRPr="008E5241">
        <w:rPr>
          <w:rFonts w:eastAsia="Times New Roman" w:cs="Times New Roman"/>
          <w:szCs w:val="28"/>
        </w:rPr>
        <w:t xml:space="preserve">abasgāzes pārvades sistēmas operators „Gāzes transports” Latvijā joprojām ir </w:t>
      </w:r>
      <w:r w:rsidR="004A6E97">
        <w:rPr>
          <w:rFonts w:eastAsia="Times New Roman" w:cs="Times New Roman"/>
          <w:szCs w:val="28"/>
        </w:rPr>
        <w:t>AS</w:t>
      </w:r>
      <w:r w:rsidR="008E5241" w:rsidRPr="008E5241">
        <w:rPr>
          <w:rFonts w:eastAsia="Times New Roman" w:cs="Times New Roman"/>
          <w:szCs w:val="28"/>
        </w:rPr>
        <w:t xml:space="preserve"> „Latvijas Gāze” struktūrvienība.</w:t>
      </w:r>
    </w:p>
    <w:p w:rsidR="008E5241" w:rsidRPr="008E5241" w:rsidRDefault="00C44CA2" w:rsidP="008E5241">
      <w:pPr>
        <w:ind w:firstLine="720"/>
        <w:jc w:val="both"/>
        <w:rPr>
          <w:rFonts w:eastAsia="Times New Roman" w:cs="Times New Roman"/>
          <w:szCs w:val="28"/>
        </w:rPr>
      </w:pPr>
      <w:r>
        <w:rPr>
          <w:rFonts w:eastAsia="Times New Roman" w:cs="Times New Roman"/>
          <w:szCs w:val="28"/>
        </w:rPr>
        <w:t>AS</w:t>
      </w:r>
      <w:r w:rsidR="008E5241" w:rsidRPr="008E5241">
        <w:rPr>
          <w:rFonts w:eastAsia="Times New Roman" w:cs="Times New Roman"/>
          <w:szCs w:val="28"/>
        </w:rPr>
        <w:t xml:space="preserve"> „Latvijas Gāze” akcijas tiek kotētas </w:t>
      </w:r>
      <w:r w:rsidR="008E5241" w:rsidRPr="001D47E3">
        <w:rPr>
          <w:rFonts w:eastAsia="Times New Roman" w:cs="Times New Roman"/>
          <w:i/>
          <w:szCs w:val="28"/>
        </w:rPr>
        <w:t>NASDAQ OMX</w:t>
      </w:r>
      <w:r w:rsidR="008E5241" w:rsidRPr="008E5241">
        <w:rPr>
          <w:rFonts w:eastAsia="Times New Roman" w:cs="Times New Roman"/>
          <w:szCs w:val="28"/>
        </w:rPr>
        <w:t xml:space="preserve"> Rīga biržā, un to kopējais skaits ir 39,9 miljoni. </w:t>
      </w:r>
      <w:r w:rsidR="00274D7C">
        <w:rPr>
          <w:rFonts w:eastAsia="Times New Roman" w:cs="Times New Roman"/>
          <w:szCs w:val="28"/>
        </w:rPr>
        <w:t>AS</w:t>
      </w:r>
      <w:r w:rsidR="008E5241" w:rsidRPr="008E5241">
        <w:rPr>
          <w:rFonts w:eastAsia="Times New Roman" w:cs="Times New Roman"/>
          <w:szCs w:val="28"/>
        </w:rPr>
        <w:t xml:space="preserve"> „Latvijas Gāze” lielākie akcionāri ir </w:t>
      </w:r>
      <w:r w:rsidR="00194FC5">
        <w:rPr>
          <w:rFonts w:eastAsia="Times New Roman" w:cs="Times New Roman"/>
          <w:szCs w:val="28"/>
        </w:rPr>
        <w:t>„</w:t>
      </w:r>
      <w:r w:rsidR="008E5241" w:rsidRPr="008E5241">
        <w:rPr>
          <w:rFonts w:eastAsia="Times New Roman" w:cs="Times New Roman"/>
          <w:szCs w:val="28"/>
        </w:rPr>
        <w:t xml:space="preserve">E.ON </w:t>
      </w:r>
      <w:proofErr w:type="spellStart"/>
      <w:r w:rsidR="008E5241" w:rsidRPr="008E5241">
        <w:rPr>
          <w:rFonts w:eastAsia="Times New Roman" w:cs="Times New Roman"/>
          <w:szCs w:val="28"/>
        </w:rPr>
        <w:t>Ruhrgas</w:t>
      </w:r>
      <w:proofErr w:type="spellEnd"/>
      <w:r w:rsidR="008E5241" w:rsidRPr="008E5241">
        <w:rPr>
          <w:rFonts w:eastAsia="Times New Roman" w:cs="Times New Roman"/>
          <w:szCs w:val="28"/>
        </w:rPr>
        <w:t xml:space="preserve"> </w:t>
      </w:r>
      <w:proofErr w:type="spellStart"/>
      <w:r w:rsidR="008E5241" w:rsidRPr="008E5241">
        <w:rPr>
          <w:rFonts w:eastAsia="Times New Roman" w:cs="Times New Roman"/>
          <w:szCs w:val="28"/>
        </w:rPr>
        <w:t>International</w:t>
      </w:r>
      <w:proofErr w:type="spellEnd"/>
      <w:r w:rsidR="008E5241" w:rsidRPr="008E5241">
        <w:rPr>
          <w:rFonts w:eastAsia="Times New Roman" w:cs="Times New Roman"/>
          <w:szCs w:val="28"/>
        </w:rPr>
        <w:t xml:space="preserve"> </w:t>
      </w:r>
      <w:proofErr w:type="spellStart"/>
      <w:r w:rsidR="008E5241" w:rsidRPr="008E5241">
        <w:rPr>
          <w:rFonts w:eastAsia="Times New Roman" w:cs="Times New Roman"/>
          <w:szCs w:val="28"/>
        </w:rPr>
        <w:t>GmbH</w:t>
      </w:r>
      <w:proofErr w:type="spellEnd"/>
      <w:r w:rsidR="00194FC5">
        <w:rPr>
          <w:rFonts w:eastAsia="Times New Roman" w:cs="Times New Roman"/>
          <w:szCs w:val="28"/>
        </w:rPr>
        <w:t xml:space="preserve">”, </w:t>
      </w:r>
      <w:r>
        <w:rPr>
          <w:rFonts w:eastAsia="Times New Roman" w:cs="Times New Roman"/>
          <w:szCs w:val="28"/>
        </w:rPr>
        <w:t>AAS</w:t>
      </w:r>
      <w:r w:rsidR="008E5241" w:rsidRPr="008E5241">
        <w:rPr>
          <w:rFonts w:eastAsia="Times New Roman" w:cs="Times New Roman"/>
          <w:szCs w:val="28"/>
        </w:rPr>
        <w:t xml:space="preserve"> </w:t>
      </w:r>
      <w:proofErr w:type="spellStart"/>
      <w:r w:rsidR="008E5241" w:rsidRPr="008E5241">
        <w:rPr>
          <w:rFonts w:eastAsia="Times New Roman" w:cs="Times New Roman"/>
          <w:szCs w:val="28"/>
        </w:rPr>
        <w:t>Gazprom</w:t>
      </w:r>
      <w:proofErr w:type="spellEnd"/>
      <w:r w:rsidR="008E5241" w:rsidRPr="008E5241">
        <w:rPr>
          <w:rFonts w:eastAsia="Times New Roman" w:cs="Times New Roman"/>
          <w:szCs w:val="28"/>
        </w:rPr>
        <w:t xml:space="preserve"> un SIA </w:t>
      </w:r>
      <w:r w:rsidR="00194FC5">
        <w:rPr>
          <w:rFonts w:eastAsia="Times New Roman" w:cs="Times New Roman"/>
          <w:szCs w:val="28"/>
        </w:rPr>
        <w:t>„</w:t>
      </w:r>
      <w:r w:rsidR="008E5241" w:rsidRPr="008E5241">
        <w:rPr>
          <w:rFonts w:eastAsia="Times New Roman" w:cs="Times New Roman"/>
          <w:szCs w:val="28"/>
        </w:rPr>
        <w:t>ITERA Latvija</w:t>
      </w:r>
      <w:r w:rsidR="00194FC5">
        <w:rPr>
          <w:rFonts w:eastAsia="Times New Roman" w:cs="Times New Roman"/>
          <w:szCs w:val="28"/>
        </w:rPr>
        <w:t>”</w:t>
      </w:r>
      <w:r w:rsidR="00FF1A9B">
        <w:rPr>
          <w:rFonts w:eastAsia="Times New Roman" w:cs="Times New Roman"/>
          <w:szCs w:val="28"/>
        </w:rPr>
        <w:t xml:space="preserve"> (</w:t>
      </w:r>
      <w:proofErr w:type="spellStart"/>
      <w:r w:rsidR="00FF1A9B">
        <w:rPr>
          <w:rFonts w:eastAsia="Times New Roman" w:cs="Times New Roman"/>
          <w:szCs w:val="28"/>
        </w:rPr>
        <w:t>sk</w:t>
      </w:r>
      <w:r w:rsidR="00010823">
        <w:rPr>
          <w:rFonts w:eastAsia="Times New Roman" w:cs="Times New Roman"/>
          <w:szCs w:val="28"/>
        </w:rPr>
        <w:t>at</w:t>
      </w:r>
      <w:proofErr w:type="spellEnd"/>
      <w:r w:rsidR="00FF1A9B">
        <w:rPr>
          <w:rFonts w:eastAsia="Times New Roman" w:cs="Times New Roman"/>
          <w:szCs w:val="28"/>
        </w:rPr>
        <w:t xml:space="preserve">. </w:t>
      </w:r>
      <w:r w:rsidR="00010823">
        <w:rPr>
          <w:rFonts w:eastAsia="Times New Roman" w:cs="Times New Roman"/>
          <w:szCs w:val="28"/>
        </w:rPr>
        <w:t>1</w:t>
      </w:r>
      <w:r w:rsidR="00091F3D">
        <w:rPr>
          <w:rFonts w:eastAsia="Times New Roman" w:cs="Times New Roman"/>
          <w:szCs w:val="28"/>
        </w:rPr>
        <w:t>7</w:t>
      </w:r>
      <w:r w:rsidR="00FF1A9B">
        <w:rPr>
          <w:rFonts w:eastAsia="Times New Roman" w:cs="Times New Roman"/>
          <w:szCs w:val="28"/>
        </w:rPr>
        <w:t>.attēlu)</w:t>
      </w:r>
      <w:r w:rsidR="008E5241" w:rsidRPr="008E5241">
        <w:rPr>
          <w:rFonts w:eastAsia="Times New Roman" w:cs="Times New Roman"/>
          <w:szCs w:val="28"/>
        </w:rPr>
        <w:t>.</w:t>
      </w:r>
    </w:p>
    <w:p w:rsidR="008E5241" w:rsidRPr="008E5241" w:rsidRDefault="008E5241" w:rsidP="00010823">
      <w:pPr>
        <w:spacing w:line="360" w:lineRule="auto"/>
        <w:jc w:val="center"/>
        <w:rPr>
          <w:rFonts w:eastAsia="Times New Roman" w:cs="Times New Roman"/>
          <w:sz w:val="24"/>
          <w:szCs w:val="24"/>
        </w:rPr>
      </w:pPr>
      <w:r w:rsidRPr="008E5241">
        <w:rPr>
          <w:rFonts w:eastAsia="Times New Roman" w:cs="Times New Roman"/>
          <w:noProof/>
          <w:sz w:val="24"/>
          <w:szCs w:val="20"/>
          <w:lang w:eastAsia="lv-LV"/>
        </w:rPr>
        <w:lastRenderedPageBreak/>
        <w:drawing>
          <wp:inline distT="0" distB="0" distL="0" distR="0" wp14:anchorId="7FE42EA9" wp14:editId="6FDEFBE2">
            <wp:extent cx="3324225" cy="2779382"/>
            <wp:effectExtent l="0" t="0" r="0" b="0"/>
            <wp:docPr id="9225" name="Picture 9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a:stretch>
                      <a:fillRect/>
                    </a:stretch>
                  </pic:blipFill>
                  <pic:spPr bwMode="auto">
                    <a:xfrm>
                      <a:off x="0" y="0"/>
                      <a:ext cx="3348620" cy="2799779"/>
                    </a:xfrm>
                    <a:prstGeom prst="rect">
                      <a:avLst/>
                    </a:prstGeom>
                    <a:noFill/>
                    <a:ln w="9525">
                      <a:noFill/>
                      <a:miter lim="800000"/>
                      <a:headEnd/>
                      <a:tailEnd/>
                    </a:ln>
                  </pic:spPr>
                </pic:pic>
              </a:graphicData>
            </a:graphic>
          </wp:inline>
        </w:drawing>
      </w:r>
    </w:p>
    <w:p w:rsidR="008E5241" w:rsidRPr="00010823" w:rsidRDefault="00010823" w:rsidP="00010823">
      <w:pPr>
        <w:rPr>
          <w:rFonts w:eastAsia="Times New Roman" w:cs="Times New Roman"/>
          <w:b/>
          <w:szCs w:val="28"/>
        </w:rPr>
      </w:pPr>
      <w:r w:rsidRPr="00010823">
        <w:rPr>
          <w:rFonts w:eastAsia="Times New Roman" w:cs="Times New Roman"/>
          <w:b/>
          <w:sz w:val="24"/>
          <w:szCs w:val="24"/>
        </w:rPr>
        <w:t>1</w:t>
      </w:r>
      <w:r w:rsidR="00091F3D">
        <w:rPr>
          <w:rFonts w:eastAsia="Times New Roman" w:cs="Times New Roman"/>
          <w:b/>
          <w:sz w:val="24"/>
          <w:szCs w:val="24"/>
        </w:rPr>
        <w:t>7</w:t>
      </w:r>
      <w:r w:rsidR="008E5241" w:rsidRPr="00010823">
        <w:rPr>
          <w:rFonts w:eastAsia="Times New Roman" w:cs="Times New Roman"/>
          <w:b/>
          <w:sz w:val="24"/>
          <w:szCs w:val="24"/>
        </w:rPr>
        <w:t>.att</w:t>
      </w:r>
      <w:r w:rsidRPr="00010823">
        <w:rPr>
          <w:rFonts w:eastAsia="Times New Roman" w:cs="Times New Roman"/>
          <w:b/>
          <w:sz w:val="24"/>
          <w:szCs w:val="24"/>
        </w:rPr>
        <w:t>ēls</w:t>
      </w:r>
      <w:r w:rsidR="008E5241" w:rsidRPr="00010823">
        <w:rPr>
          <w:rFonts w:eastAsia="Times New Roman" w:cs="Times New Roman"/>
          <w:b/>
          <w:sz w:val="24"/>
          <w:szCs w:val="24"/>
        </w:rPr>
        <w:t xml:space="preserve">. </w:t>
      </w:r>
      <w:r w:rsidR="005A4B61" w:rsidRPr="00010823">
        <w:rPr>
          <w:rFonts w:eastAsia="Times New Roman" w:cs="Times New Roman"/>
          <w:b/>
          <w:sz w:val="24"/>
          <w:szCs w:val="24"/>
        </w:rPr>
        <w:t>AS</w:t>
      </w:r>
      <w:r w:rsidR="008E5241" w:rsidRPr="00010823">
        <w:rPr>
          <w:rFonts w:eastAsia="Times New Roman" w:cs="Times New Roman"/>
          <w:b/>
          <w:sz w:val="24"/>
          <w:szCs w:val="24"/>
        </w:rPr>
        <w:t xml:space="preserve"> „Latvijas Gāze” akcionāru struktūra</w:t>
      </w:r>
      <w:r w:rsidR="00422D8F">
        <w:rPr>
          <w:rFonts w:eastAsia="Times New Roman" w:cs="Times New Roman"/>
          <w:b/>
          <w:sz w:val="24"/>
          <w:szCs w:val="24"/>
        </w:rPr>
        <w:t>, uz 31.12.2013</w:t>
      </w:r>
      <w:r w:rsidR="00D75E84" w:rsidRPr="00010823">
        <w:rPr>
          <w:rFonts w:eastAsia="Times New Roman" w:cs="Times New Roman"/>
          <w:b/>
          <w:sz w:val="24"/>
          <w:szCs w:val="24"/>
        </w:rPr>
        <w:t>.</w:t>
      </w:r>
    </w:p>
    <w:p w:rsidR="00091F3D" w:rsidRDefault="00091F3D" w:rsidP="00091F3D">
      <w:pPr>
        <w:ind w:firstLine="720"/>
        <w:jc w:val="both"/>
        <w:rPr>
          <w:rFonts w:eastAsia="Times New Roman" w:cs="Times New Roman"/>
          <w:szCs w:val="28"/>
        </w:rPr>
      </w:pPr>
    </w:p>
    <w:p w:rsidR="00091F3D" w:rsidRDefault="00091F3D" w:rsidP="00091F3D">
      <w:pPr>
        <w:ind w:firstLine="720"/>
        <w:jc w:val="both"/>
        <w:rPr>
          <w:rFonts w:eastAsia="Times New Roman" w:cs="Times New Roman"/>
          <w:szCs w:val="28"/>
        </w:rPr>
      </w:pPr>
      <w:r w:rsidRPr="008E5241">
        <w:rPr>
          <w:rFonts w:eastAsia="Times New Roman" w:cs="Times New Roman"/>
          <w:szCs w:val="28"/>
        </w:rPr>
        <w:t>AS „Latvijas Gāze” ir noslēgusi ilgtermiņa līgumus ar gāzes piegādātājiem AAS „</w:t>
      </w:r>
      <w:proofErr w:type="spellStart"/>
      <w:r w:rsidRPr="008E5241">
        <w:rPr>
          <w:rFonts w:eastAsia="Times New Roman" w:cs="Times New Roman"/>
          <w:szCs w:val="28"/>
        </w:rPr>
        <w:t>Gazprom</w:t>
      </w:r>
      <w:proofErr w:type="spellEnd"/>
      <w:r w:rsidRPr="008E5241">
        <w:rPr>
          <w:rFonts w:eastAsia="Times New Roman" w:cs="Times New Roman"/>
          <w:szCs w:val="28"/>
        </w:rPr>
        <w:t xml:space="preserve">” un SIA „ITERA Latvija” līdz 2030.gadam, kas paredz gāzes piegādes pietiekamā apjomā </w:t>
      </w:r>
      <w:r>
        <w:rPr>
          <w:rFonts w:eastAsia="Times New Roman" w:cs="Times New Roman"/>
          <w:szCs w:val="28"/>
        </w:rPr>
        <w:t>Latvijas lietotājiem. P</w:t>
      </w:r>
      <w:r w:rsidRPr="008E5241">
        <w:rPr>
          <w:rFonts w:eastAsia="Times New Roman" w:cs="Times New Roman"/>
          <w:szCs w:val="28"/>
        </w:rPr>
        <w:t>iegādes un patēriņa atbilstību nodrošina PGK</w:t>
      </w:r>
      <w:r>
        <w:rPr>
          <w:rFonts w:eastAsia="Times New Roman" w:cs="Times New Roman"/>
          <w:szCs w:val="28"/>
        </w:rPr>
        <w:t xml:space="preserve"> (pazemes gāzes krātuves)</w:t>
      </w:r>
      <w:r w:rsidRPr="008E5241">
        <w:rPr>
          <w:rFonts w:eastAsia="Times New Roman" w:cs="Times New Roman"/>
          <w:szCs w:val="28"/>
        </w:rPr>
        <w:t xml:space="preserve">, kuras aktīvās gāzes tilpums ir aptuveni vienāds ar 1,5 gadu gāzes patēriņu Latvijā. </w:t>
      </w:r>
    </w:p>
    <w:p w:rsidR="00091F3D" w:rsidRPr="007E7903" w:rsidRDefault="00091F3D" w:rsidP="00091F3D">
      <w:pPr>
        <w:ind w:firstLine="720"/>
        <w:jc w:val="both"/>
        <w:rPr>
          <w:rFonts w:eastAsia="Times New Roman" w:cs="Times New Roman"/>
          <w:i/>
          <w:szCs w:val="28"/>
        </w:rPr>
      </w:pPr>
      <w:r w:rsidRPr="008E5241">
        <w:rPr>
          <w:rFonts w:eastAsia="Times New Roman" w:cs="Times New Roman"/>
          <w:szCs w:val="28"/>
        </w:rPr>
        <w:t xml:space="preserve">Starpvalstu tirdzniecības ietvaros no Krievijas </w:t>
      </w:r>
      <w:r>
        <w:rPr>
          <w:rFonts w:eastAsia="Times New Roman" w:cs="Times New Roman"/>
          <w:szCs w:val="28"/>
        </w:rPr>
        <w:t xml:space="preserve">iepirktā </w:t>
      </w:r>
      <w:r w:rsidRPr="008E5241">
        <w:rPr>
          <w:rFonts w:eastAsia="Times New Roman" w:cs="Times New Roman"/>
          <w:szCs w:val="28"/>
        </w:rPr>
        <w:t>dabasgāzes</w:t>
      </w:r>
      <w:r>
        <w:rPr>
          <w:rFonts w:eastAsia="Times New Roman" w:cs="Times New Roman"/>
          <w:szCs w:val="28"/>
        </w:rPr>
        <w:t xml:space="preserve"> apjoma dinamika laika posmā no 2005.līdz 2013.gadam redzama  7</w:t>
      </w:r>
      <w:r w:rsidRPr="00486D17">
        <w:rPr>
          <w:rFonts w:eastAsia="Times New Roman" w:cs="Times New Roman"/>
          <w:szCs w:val="28"/>
        </w:rPr>
        <w:t>.tabulā.</w:t>
      </w:r>
    </w:p>
    <w:p w:rsidR="007D30EC" w:rsidRPr="00010823" w:rsidRDefault="00010823" w:rsidP="00010823">
      <w:pPr>
        <w:jc w:val="right"/>
        <w:rPr>
          <w:rFonts w:eastAsia="Times New Roman" w:cs="Times New Roman"/>
          <w:i/>
          <w:szCs w:val="28"/>
        </w:rPr>
      </w:pPr>
      <w:r>
        <w:rPr>
          <w:rFonts w:eastAsia="Times New Roman" w:cs="Times New Roman"/>
          <w:szCs w:val="28"/>
        </w:rPr>
        <w:t>7</w:t>
      </w:r>
      <w:r w:rsidR="007D30EC" w:rsidRPr="00010823">
        <w:rPr>
          <w:rFonts w:eastAsia="Times New Roman" w:cs="Times New Roman"/>
          <w:szCs w:val="28"/>
        </w:rPr>
        <w:t>.tabula</w:t>
      </w:r>
    </w:p>
    <w:p w:rsidR="007D30EC" w:rsidRPr="00F1036B" w:rsidRDefault="008E5241" w:rsidP="00010823">
      <w:pPr>
        <w:ind w:firstLine="720"/>
        <w:jc w:val="center"/>
        <w:rPr>
          <w:rFonts w:eastAsia="Times New Roman" w:cs="Times New Roman"/>
          <w:b/>
          <w:szCs w:val="28"/>
        </w:rPr>
      </w:pPr>
      <w:r w:rsidRPr="00F1036B">
        <w:rPr>
          <w:rFonts w:eastAsia="Times New Roman" w:cs="Times New Roman"/>
          <w:b/>
          <w:szCs w:val="28"/>
        </w:rPr>
        <w:t xml:space="preserve">Starpvalstu tirdzniecības ietvaros </w:t>
      </w:r>
      <w:r w:rsidR="007D30EC" w:rsidRPr="00F1036B">
        <w:rPr>
          <w:rFonts w:eastAsia="Times New Roman" w:cs="Times New Roman"/>
          <w:b/>
          <w:szCs w:val="28"/>
        </w:rPr>
        <w:t xml:space="preserve">no Krievijas </w:t>
      </w:r>
    </w:p>
    <w:p w:rsidR="008E5241" w:rsidRPr="00F1036B" w:rsidRDefault="007D30EC" w:rsidP="00010823">
      <w:pPr>
        <w:ind w:firstLine="720"/>
        <w:jc w:val="center"/>
        <w:rPr>
          <w:rFonts w:eastAsia="Times New Roman" w:cs="Times New Roman"/>
          <w:b/>
          <w:szCs w:val="28"/>
        </w:rPr>
      </w:pPr>
      <w:r w:rsidRPr="00F1036B">
        <w:rPr>
          <w:rFonts w:eastAsia="Times New Roman" w:cs="Times New Roman"/>
          <w:b/>
          <w:szCs w:val="28"/>
        </w:rPr>
        <w:t xml:space="preserve">iepirktās </w:t>
      </w:r>
      <w:r w:rsidR="008E5241" w:rsidRPr="00F1036B">
        <w:rPr>
          <w:rFonts w:eastAsia="Times New Roman" w:cs="Times New Roman"/>
          <w:b/>
          <w:szCs w:val="28"/>
        </w:rPr>
        <w:t>dabasgāzes</w:t>
      </w:r>
      <w:r w:rsidRPr="00F1036B">
        <w:rPr>
          <w:rFonts w:eastAsia="Times New Roman" w:cs="Times New Roman"/>
          <w:b/>
          <w:szCs w:val="28"/>
        </w:rPr>
        <w:t xml:space="preserve"> apjoms (2008.</w:t>
      </w:r>
      <w:r w:rsidR="002451D2" w:rsidRPr="00F1036B">
        <w:rPr>
          <w:rFonts w:eastAsia="Times New Roman" w:cs="Times New Roman"/>
          <w:b/>
          <w:szCs w:val="28"/>
        </w:rPr>
        <w:t>–</w:t>
      </w:r>
      <w:r w:rsidRPr="00F1036B">
        <w:rPr>
          <w:rFonts w:eastAsia="Times New Roman" w:cs="Times New Roman"/>
          <w:b/>
          <w:szCs w:val="28"/>
        </w:rPr>
        <w:t xml:space="preserve">2013.g., </w:t>
      </w:r>
      <w:proofErr w:type="spellStart"/>
      <w:r w:rsidRPr="00F1036B">
        <w:rPr>
          <w:rFonts w:eastAsia="Times New Roman" w:cs="Times New Roman"/>
          <w:b/>
          <w:szCs w:val="28"/>
        </w:rPr>
        <w:t>milj</w:t>
      </w:r>
      <w:proofErr w:type="spellEnd"/>
      <w:r w:rsidRPr="00F1036B">
        <w:rPr>
          <w:rFonts w:eastAsia="Times New Roman" w:cs="Times New Roman"/>
          <w:b/>
          <w:szCs w:val="28"/>
        </w:rPr>
        <w:t>. m</w:t>
      </w:r>
      <w:r w:rsidR="002451D2" w:rsidRPr="00F1036B">
        <w:rPr>
          <w:rFonts w:eastAsia="Times New Roman" w:cs="Times New Roman"/>
          <w:b/>
          <w:szCs w:val="28"/>
          <w:vertAlign w:val="superscript"/>
        </w:rPr>
        <w:t>3</w:t>
      </w:r>
      <w:r w:rsidR="002451D2" w:rsidRPr="00F1036B">
        <w:rPr>
          <w:rFonts w:eastAsia="Times New Roman" w:cs="Times New Roman"/>
          <w:b/>
          <w:szCs w:val="28"/>
        </w:rPr>
        <w:t>)</w:t>
      </w:r>
      <w:r w:rsidR="00010823">
        <w:rPr>
          <w:rStyle w:val="FootnoteReference"/>
          <w:rFonts w:eastAsia="Times New Roman" w:cs="Times New Roman"/>
          <w:b/>
        </w:rPr>
        <w:footnoteReference w:id="18"/>
      </w:r>
    </w:p>
    <w:p w:rsidR="008E5241" w:rsidRDefault="008E5241" w:rsidP="00163C73">
      <w:pPr>
        <w:ind w:firstLine="720"/>
        <w:jc w:val="both"/>
        <w:rPr>
          <w:rFonts w:eastAsia="Times New Roman" w:cs="Times New Roman"/>
          <w:szCs w:val="28"/>
        </w:rPr>
      </w:pPr>
    </w:p>
    <w:tbl>
      <w:tblPr>
        <w:tblStyle w:val="TableGrid"/>
        <w:tblW w:w="0" w:type="auto"/>
        <w:tblInd w:w="2235" w:type="dxa"/>
        <w:tblLook w:val="04A0" w:firstRow="1" w:lastRow="0" w:firstColumn="1" w:lastColumn="0" w:noHBand="0" w:noVBand="1"/>
      </w:tblPr>
      <w:tblGrid>
        <w:gridCol w:w="2408"/>
        <w:gridCol w:w="2836"/>
      </w:tblGrid>
      <w:tr w:rsidR="00BF6490" w:rsidTr="007D30EC">
        <w:tc>
          <w:tcPr>
            <w:tcW w:w="2408" w:type="dxa"/>
          </w:tcPr>
          <w:p w:rsidR="00BF6490" w:rsidRPr="00A9229A" w:rsidRDefault="00BF6490" w:rsidP="002451D2">
            <w:pPr>
              <w:jc w:val="center"/>
              <w:rPr>
                <w:rFonts w:eastAsia="Times New Roman" w:cs="Times New Roman"/>
                <w:b/>
                <w:szCs w:val="28"/>
              </w:rPr>
            </w:pPr>
            <w:r w:rsidRPr="00A9229A">
              <w:rPr>
                <w:rFonts w:eastAsia="Times New Roman" w:cs="Times New Roman"/>
                <w:b/>
                <w:szCs w:val="28"/>
              </w:rPr>
              <w:t>Gads</w:t>
            </w:r>
          </w:p>
        </w:tc>
        <w:tc>
          <w:tcPr>
            <w:tcW w:w="2836" w:type="dxa"/>
          </w:tcPr>
          <w:p w:rsidR="00BF6490" w:rsidRPr="00A9229A" w:rsidRDefault="00BF6490" w:rsidP="002451D2">
            <w:pPr>
              <w:jc w:val="center"/>
              <w:rPr>
                <w:rFonts w:eastAsia="Times New Roman" w:cs="Times New Roman"/>
                <w:b/>
                <w:szCs w:val="28"/>
              </w:rPr>
            </w:pPr>
            <w:r w:rsidRPr="00A9229A">
              <w:rPr>
                <w:rFonts w:eastAsia="Times New Roman" w:cs="Times New Roman"/>
                <w:b/>
                <w:szCs w:val="28"/>
              </w:rPr>
              <w:t xml:space="preserve">Dabasgāzes apjoms, </w:t>
            </w:r>
            <w:proofErr w:type="spellStart"/>
            <w:r w:rsidRPr="00A9229A">
              <w:rPr>
                <w:rFonts w:eastAsia="Times New Roman" w:cs="Times New Roman"/>
                <w:b/>
                <w:szCs w:val="28"/>
              </w:rPr>
              <w:t>milj</w:t>
            </w:r>
            <w:proofErr w:type="spellEnd"/>
            <w:r w:rsidRPr="00A9229A">
              <w:rPr>
                <w:rFonts w:eastAsia="Times New Roman" w:cs="Times New Roman"/>
                <w:b/>
                <w:szCs w:val="28"/>
              </w:rPr>
              <w:t>. m</w:t>
            </w:r>
            <w:r w:rsidRPr="00A9229A">
              <w:rPr>
                <w:rFonts w:eastAsia="Times New Roman" w:cs="Times New Roman"/>
                <w:b/>
                <w:szCs w:val="28"/>
                <w:vertAlign w:val="superscript"/>
              </w:rPr>
              <w:t>3</w:t>
            </w:r>
          </w:p>
        </w:tc>
      </w:tr>
      <w:tr w:rsidR="00BF6490" w:rsidTr="007D30EC">
        <w:tc>
          <w:tcPr>
            <w:tcW w:w="2408" w:type="dxa"/>
          </w:tcPr>
          <w:p w:rsidR="00BF6490" w:rsidRDefault="007D30EC" w:rsidP="007D30EC">
            <w:pPr>
              <w:jc w:val="center"/>
              <w:rPr>
                <w:rFonts w:eastAsia="Times New Roman" w:cs="Times New Roman"/>
                <w:szCs w:val="28"/>
              </w:rPr>
            </w:pPr>
            <w:r>
              <w:rPr>
                <w:rFonts w:eastAsia="Times New Roman" w:cs="Times New Roman"/>
                <w:szCs w:val="28"/>
              </w:rPr>
              <w:t>2013</w:t>
            </w:r>
          </w:p>
        </w:tc>
        <w:tc>
          <w:tcPr>
            <w:tcW w:w="2836" w:type="dxa"/>
          </w:tcPr>
          <w:p w:rsidR="00BF6490" w:rsidRPr="00723CC8" w:rsidRDefault="007D30EC" w:rsidP="00723CC8">
            <w:pPr>
              <w:jc w:val="center"/>
              <w:rPr>
                <w:rFonts w:eastAsia="Times New Roman" w:cs="Times New Roman"/>
                <w:szCs w:val="28"/>
              </w:rPr>
            </w:pPr>
            <w:r w:rsidRPr="00723CC8">
              <w:rPr>
                <w:rFonts w:eastAsia="Times New Roman" w:cs="Times New Roman"/>
                <w:szCs w:val="28"/>
              </w:rPr>
              <w:t>1728</w:t>
            </w:r>
          </w:p>
        </w:tc>
      </w:tr>
      <w:tr w:rsidR="00BF6490" w:rsidTr="007D30EC">
        <w:tc>
          <w:tcPr>
            <w:tcW w:w="2408" w:type="dxa"/>
          </w:tcPr>
          <w:p w:rsidR="00BF6490" w:rsidRDefault="00AD0FC6" w:rsidP="00AD0FC6">
            <w:pPr>
              <w:jc w:val="center"/>
              <w:rPr>
                <w:rFonts w:eastAsia="Times New Roman" w:cs="Times New Roman"/>
                <w:szCs w:val="28"/>
              </w:rPr>
            </w:pPr>
            <w:r>
              <w:rPr>
                <w:rFonts w:eastAsia="Times New Roman" w:cs="Times New Roman"/>
                <w:szCs w:val="28"/>
              </w:rPr>
              <w:t>2012</w:t>
            </w:r>
          </w:p>
        </w:tc>
        <w:tc>
          <w:tcPr>
            <w:tcW w:w="2836" w:type="dxa"/>
          </w:tcPr>
          <w:p w:rsidR="00BF6490" w:rsidRPr="00723CC8" w:rsidRDefault="00AD0FC6" w:rsidP="00723CC8">
            <w:pPr>
              <w:jc w:val="center"/>
              <w:rPr>
                <w:rFonts w:eastAsia="Times New Roman" w:cs="Times New Roman"/>
                <w:szCs w:val="28"/>
              </w:rPr>
            </w:pPr>
            <w:r w:rsidRPr="00723CC8">
              <w:rPr>
                <w:rFonts w:eastAsia="Times New Roman" w:cs="Times New Roman"/>
                <w:szCs w:val="28"/>
              </w:rPr>
              <w:t>1716</w:t>
            </w:r>
          </w:p>
        </w:tc>
      </w:tr>
      <w:tr w:rsidR="00BF6490" w:rsidTr="007D30EC">
        <w:tc>
          <w:tcPr>
            <w:tcW w:w="2408" w:type="dxa"/>
          </w:tcPr>
          <w:p w:rsidR="00BF6490" w:rsidRPr="00BE77B8" w:rsidRDefault="00AD0FC6" w:rsidP="00BE77B8">
            <w:pPr>
              <w:jc w:val="center"/>
              <w:rPr>
                <w:rFonts w:eastAsia="Times New Roman" w:cs="Times New Roman"/>
                <w:szCs w:val="28"/>
              </w:rPr>
            </w:pPr>
            <w:r w:rsidRPr="00BE77B8">
              <w:rPr>
                <w:rFonts w:eastAsia="Times New Roman" w:cs="Times New Roman"/>
                <w:szCs w:val="28"/>
              </w:rPr>
              <w:t>2011</w:t>
            </w:r>
          </w:p>
        </w:tc>
        <w:tc>
          <w:tcPr>
            <w:tcW w:w="2836" w:type="dxa"/>
          </w:tcPr>
          <w:p w:rsidR="00BF6490" w:rsidRPr="00723CC8" w:rsidRDefault="00790659" w:rsidP="00723CC8">
            <w:pPr>
              <w:jc w:val="center"/>
              <w:rPr>
                <w:rFonts w:eastAsia="Times New Roman" w:cs="Times New Roman"/>
                <w:szCs w:val="28"/>
              </w:rPr>
            </w:pPr>
            <w:r w:rsidRPr="00723CC8">
              <w:rPr>
                <w:rFonts w:eastAsia="Times New Roman" w:cs="Times New Roman"/>
                <w:szCs w:val="28"/>
              </w:rPr>
              <w:t>1755</w:t>
            </w:r>
          </w:p>
        </w:tc>
      </w:tr>
      <w:tr w:rsidR="00BF6490" w:rsidTr="007D30EC">
        <w:tc>
          <w:tcPr>
            <w:tcW w:w="2408" w:type="dxa"/>
          </w:tcPr>
          <w:p w:rsidR="00BF6490" w:rsidRPr="00BE77B8" w:rsidRDefault="00AD0FC6" w:rsidP="00BE77B8">
            <w:pPr>
              <w:jc w:val="center"/>
              <w:rPr>
                <w:rFonts w:eastAsia="Times New Roman" w:cs="Times New Roman"/>
                <w:szCs w:val="28"/>
              </w:rPr>
            </w:pPr>
            <w:r w:rsidRPr="00BE77B8">
              <w:rPr>
                <w:rFonts w:eastAsia="Times New Roman" w:cs="Times New Roman"/>
                <w:szCs w:val="28"/>
              </w:rPr>
              <w:t>2010</w:t>
            </w:r>
          </w:p>
        </w:tc>
        <w:tc>
          <w:tcPr>
            <w:tcW w:w="2836" w:type="dxa"/>
          </w:tcPr>
          <w:p w:rsidR="00BF6490" w:rsidRPr="00723CC8" w:rsidRDefault="00723CC8" w:rsidP="00723CC8">
            <w:pPr>
              <w:jc w:val="center"/>
              <w:rPr>
                <w:rFonts w:eastAsia="Times New Roman" w:cs="Times New Roman"/>
                <w:szCs w:val="28"/>
              </w:rPr>
            </w:pPr>
            <w:r w:rsidRPr="00723CC8">
              <w:rPr>
                <w:rFonts w:eastAsia="Times New Roman" w:cs="Times New Roman"/>
                <w:szCs w:val="28"/>
              </w:rPr>
              <w:t>1125</w:t>
            </w:r>
          </w:p>
        </w:tc>
      </w:tr>
      <w:tr w:rsidR="007D30EC" w:rsidRPr="007D30EC" w:rsidTr="007D30EC">
        <w:tc>
          <w:tcPr>
            <w:tcW w:w="2408" w:type="dxa"/>
          </w:tcPr>
          <w:p w:rsidR="00BF6490" w:rsidRPr="00BE77B8" w:rsidRDefault="00AD0FC6" w:rsidP="00BE77B8">
            <w:pPr>
              <w:jc w:val="center"/>
              <w:rPr>
                <w:rFonts w:eastAsia="Times New Roman" w:cs="Times New Roman"/>
                <w:szCs w:val="28"/>
              </w:rPr>
            </w:pPr>
            <w:r w:rsidRPr="00BE77B8">
              <w:rPr>
                <w:rFonts w:eastAsia="Times New Roman" w:cs="Times New Roman"/>
                <w:szCs w:val="28"/>
              </w:rPr>
              <w:t>2009</w:t>
            </w:r>
          </w:p>
        </w:tc>
        <w:tc>
          <w:tcPr>
            <w:tcW w:w="2836" w:type="dxa"/>
          </w:tcPr>
          <w:p w:rsidR="00BF6490" w:rsidRPr="00723CC8" w:rsidRDefault="00723CC8" w:rsidP="00723CC8">
            <w:pPr>
              <w:jc w:val="center"/>
              <w:rPr>
                <w:rFonts w:eastAsia="Times New Roman" w:cs="Times New Roman"/>
                <w:szCs w:val="28"/>
              </w:rPr>
            </w:pPr>
            <w:r w:rsidRPr="00723CC8">
              <w:rPr>
                <w:rFonts w:eastAsia="Times New Roman" w:cs="Times New Roman"/>
                <w:szCs w:val="28"/>
              </w:rPr>
              <w:t>1143</w:t>
            </w:r>
          </w:p>
        </w:tc>
      </w:tr>
      <w:tr w:rsidR="00BF6490" w:rsidTr="007D30EC">
        <w:tc>
          <w:tcPr>
            <w:tcW w:w="2408" w:type="dxa"/>
          </w:tcPr>
          <w:p w:rsidR="00BF6490" w:rsidRPr="00BE77B8" w:rsidRDefault="00AD0FC6" w:rsidP="00BE77B8">
            <w:pPr>
              <w:jc w:val="center"/>
              <w:rPr>
                <w:rFonts w:eastAsia="Times New Roman" w:cs="Times New Roman"/>
                <w:szCs w:val="28"/>
              </w:rPr>
            </w:pPr>
            <w:r w:rsidRPr="00BE77B8">
              <w:rPr>
                <w:rFonts w:eastAsia="Times New Roman" w:cs="Times New Roman"/>
                <w:szCs w:val="28"/>
              </w:rPr>
              <w:t>2008</w:t>
            </w:r>
          </w:p>
        </w:tc>
        <w:tc>
          <w:tcPr>
            <w:tcW w:w="2836" w:type="dxa"/>
          </w:tcPr>
          <w:p w:rsidR="00BF6490" w:rsidRPr="00723CC8" w:rsidRDefault="00723CC8" w:rsidP="00723CC8">
            <w:pPr>
              <w:jc w:val="center"/>
              <w:rPr>
                <w:rFonts w:eastAsia="Times New Roman" w:cs="Times New Roman"/>
                <w:szCs w:val="28"/>
              </w:rPr>
            </w:pPr>
            <w:r w:rsidRPr="00723CC8">
              <w:rPr>
                <w:rFonts w:eastAsia="Times New Roman" w:cs="Times New Roman"/>
                <w:szCs w:val="28"/>
              </w:rPr>
              <w:t>1368</w:t>
            </w:r>
          </w:p>
        </w:tc>
      </w:tr>
      <w:tr w:rsidR="00BF6490" w:rsidTr="007D30EC">
        <w:tc>
          <w:tcPr>
            <w:tcW w:w="2408" w:type="dxa"/>
          </w:tcPr>
          <w:p w:rsidR="00BF6490" w:rsidRPr="00BE77B8" w:rsidRDefault="00AD0FC6" w:rsidP="00BE77B8">
            <w:pPr>
              <w:jc w:val="center"/>
              <w:rPr>
                <w:rFonts w:eastAsia="Times New Roman" w:cs="Times New Roman"/>
                <w:szCs w:val="28"/>
              </w:rPr>
            </w:pPr>
            <w:r w:rsidRPr="00BE77B8">
              <w:rPr>
                <w:rFonts w:eastAsia="Times New Roman" w:cs="Times New Roman"/>
                <w:szCs w:val="28"/>
              </w:rPr>
              <w:t>2007</w:t>
            </w:r>
          </w:p>
        </w:tc>
        <w:tc>
          <w:tcPr>
            <w:tcW w:w="2836" w:type="dxa"/>
          </w:tcPr>
          <w:p w:rsidR="00BF6490" w:rsidRDefault="00723CC8" w:rsidP="00723CC8">
            <w:pPr>
              <w:jc w:val="center"/>
              <w:rPr>
                <w:rFonts w:eastAsia="Times New Roman" w:cs="Times New Roman"/>
                <w:szCs w:val="28"/>
              </w:rPr>
            </w:pPr>
            <w:r>
              <w:rPr>
                <w:rFonts w:eastAsia="Times New Roman" w:cs="Times New Roman"/>
                <w:szCs w:val="28"/>
              </w:rPr>
              <w:t>1645</w:t>
            </w:r>
          </w:p>
        </w:tc>
      </w:tr>
      <w:tr w:rsidR="00723CC8" w:rsidTr="007D30EC">
        <w:tc>
          <w:tcPr>
            <w:tcW w:w="2408" w:type="dxa"/>
          </w:tcPr>
          <w:p w:rsidR="00723CC8" w:rsidRPr="00BE77B8" w:rsidRDefault="00723CC8" w:rsidP="00BE77B8">
            <w:pPr>
              <w:jc w:val="center"/>
              <w:rPr>
                <w:rFonts w:eastAsia="Times New Roman" w:cs="Times New Roman"/>
                <w:szCs w:val="28"/>
              </w:rPr>
            </w:pPr>
            <w:r>
              <w:rPr>
                <w:rFonts w:eastAsia="Times New Roman" w:cs="Times New Roman"/>
                <w:szCs w:val="28"/>
              </w:rPr>
              <w:t>2006</w:t>
            </w:r>
          </w:p>
        </w:tc>
        <w:tc>
          <w:tcPr>
            <w:tcW w:w="2836" w:type="dxa"/>
          </w:tcPr>
          <w:p w:rsidR="00723CC8" w:rsidRDefault="00454A05" w:rsidP="00723CC8">
            <w:pPr>
              <w:jc w:val="center"/>
              <w:rPr>
                <w:rFonts w:eastAsia="Times New Roman" w:cs="Times New Roman"/>
                <w:szCs w:val="28"/>
              </w:rPr>
            </w:pPr>
            <w:r>
              <w:rPr>
                <w:rFonts w:eastAsia="Times New Roman" w:cs="Times New Roman"/>
                <w:szCs w:val="28"/>
              </w:rPr>
              <w:t>1910</w:t>
            </w:r>
          </w:p>
        </w:tc>
      </w:tr>
      <w:tr w:rsidR="00723CC8" w:rsidTr="007D30EC">
        <w:tc>
          <w:tcPr>
            <w:tcW w:w="2408" w:type="dxa"/>
          </w:tcPr>
          <w:p w:rsidR="00723CC8" w:rsidRPr="00BE77B8" w:rsidRDefault="00723CC8" w:rsidP="00BE77B8">
            <w:pPr>
              <w:jc w:val="center"/>
              <w:rPr>
                <w:rFonts w:eastAsia="Times New Roman" w:cs="Times New Roman"/>
                <w:szCs w:val="28"/>
              </w:rPr>
            </w:pPr>
            <w:r>
              <w:rPr>
                <w:rFonts w:eastAsia="Times New Roman" w:cs="Times New Roman"/>
                <w:szCs w:val="28"/>
              </w:rPr>
              <w:t>2005</w:t>
            </w:r>
          </w:p>
        </w:tc>
        <w:tc>
          <w:tcPr>
            <w:tcW w:w="2836" w:type="dxa"/>
          </w:tcPr>
          <w:p w:rsidR="00723CC8" w:rsidRDefault="00454A05" w:rsidP="00723CC8">
            <w:pPr>
              <w:jc w:val="center"/>
              <w:rPr>
                <w:rFonts w:eastAsia="Times New Roman" w:cs="Times New Roman"/>
                <w:szCs w:val="28"/>
              </w:rPr>
            </w:pPr>
            <w:r>
              <w:rPr>
                <w:rFonts w:eastAsia="Times New Roman" w:cs="Times New Roman"/>
                <w:szCs w:val="28"/>
              </w:rPr>
              <w:t>1790</w:t>
            </w:r>
          </w:p>
        </w:tc>
      </w:tr>
    </w:tbl>
    <w:p w:rsidR="008E5241" w:rsidRPr="009133A1" w:rsidRDefault="0050047A" w:rsidP="0050047A">
      <w:pPr>
        <w:pStyle w:val="Heading2"/>
        <w:rPr>
          <w:rFonts w:ascii="Times New Roman" w:eastAsia="Times New Roman" w:hAnsi="Times New Roman" w:cs="Times New Roman"/>
          <w:color w:val="auto"/>
          <w:sz w:val="28"/>
          <w:szCs w:val="28"/>
        </w:rPr>
      </w:pPr>
      <w:bookmarkStart w:id="31" w:name="_Toc400714674"/>
      <w:r w:rsidRPr="009133A1">
        <w:rPr>
          <w:rFonts w:ascii="Times New Roman" w:eastAsia="Times New Roman" w:hAnsi="Times New Roman" w:cs="Times New Roman"/>
          <w:color w:val="auto"/>
          <w:sz w:val="28"/>
          <w:szCs w:val="28"/>
        </w:rPr>
        <w:lastRenderedPageBreak/>
        <w:t xml:space="preserve">4. </w:t>
      </w:r>
      <w:r w:rsidR="007C2F0F" w:rsidRPr="009133A1">
        <w:rPr>
          <w:rFonts w:ascii="Times New Roman" w:eastAsia="Times New Roman" w:hAnsi="Times New Roman" w:cs="Times New Roman"/>
          <w:color w:val="auto"/>
          <w:sz w:val="28"/>
          <w:szCs w:val="28"/>
        </w:rPr>
        <w:t>Dabas</w:t>
      </w:r>
      <w:r w:rsidR="00E06126" w:rsidRPr="009133A1">
        <w:rPr>
          <w:rFonts w:ascii="Times New Roman" w:eastAsia="Times New Roman" w:hAnsi="Times New Roman" w:cs="Times New Roman"/>
          <w:color w:val="auto"/>
          <w:sz w:val="28"/>
          <w:szCs w:val="28"/>
        </w:rPr>
        <w:t>gāzes infrastruktūra</w:t>
      </w:r>
      <w:bookmarkEnd w:id="31"/>
      <w:r w:rsidR="00E06126" w:rsidRPr="009133A1">
        <w:rPr>
          <w:rFonts w:ascii="Times New Roman" w:eastAsia="Times New Roman" w:hAnsi="Times New Roman" w:cs="Times New Roman"/>
          <w:color w:val="auto"/>
          <w:sz w:val="28"/>
          <w:szCs w:val="28"/>
        </w:rPr>
        <w:t xml:space="preserve"> </w:t>
      </w:r>
    </w:p>
    <w:p w:rsidR="00F45BB7" w:rsidRDefault="00F307C1" w:rsidP="00F307C1">
      <w:pPr>
        <w:ind w:firstLine="720"/>
        <w:jc w:val="both"/>
        <w:rPr>
          <w:rFonts w:eastAsia="Times New Roman" w:cs="Times New Roman"/>
          <w:szCs w:val="28"/>
        </w:rPr>
      </w:pPr>
      <w:r w:rsidRPr="00F307C1">
        <w:rPr>
          <w:rFonts w:eastAsia="Times New Roman" w:cs="Times New Roman"/>
          <w:szCs w:val="28"/>
        </w:rPr>
        <w:t xml:space="preserve">Latvijas pārvades gāzesvadi (turpmāk tekstā - PGV) ir Baltijas valstu dabasgāzes pārvades sistēmas sastāvdaļa. Esošā dabasgāzes pārvades sistēma dod iespēju saņemt dabasgāzi no Krievijas pa pārvades gāzesvadiem </w:t>
      </w:r>
      <w:proofErr w:type="spellStart"/>
      <w:r w:rsidRPr="00F307C1">
        <w:rPr>
          <w:rFonts w:eastAsia="Times New Roman" w:cs="Times New Roman"/>
          <w:szCs w:val="28"/>
        </w:rPr>
        <w:t>Valdaja</w:t>
      </w:r>
      <w:proofErr w:type="spellEnd"/>
      <w:r w:rsidRPr="00F307C1">
        <w:rPr>
          <w:rFonts w:eastAsia="Times New Roman" w:cs="Times New Roman"/>
          <w:szCs w:val="28"/>
        </w:rPr>
        <w:t xml:space="preserve"> – Pleskava – Rīga un </w:t>
      </w:r>
      <w:proofErr w:type="spellStart"/>
      <w:r w:rsidRPr="00F307C1">
        <w:rPr>
          <w:rFonts w:eastAsia="Times New Roman" w:cs="Times New Roman"/>
          <w:szCs w:val="28"/>
        </w:rPr>
        <w:t>Izborska</w:t>
      </w:r>
      <w:proofErr w:type="spellEnd"/>
      <w:r w:rsidRPr="00F307C1">
        <w:rPr>
          <w:rFonts w:eastAsia="Times New Roman" w:cs="Times New Roman"/>
          <w:szCs w:val="28"/>
        </w:rPr>
        <w:t xml:space="preserve"> – IPGK. Dabasgāzes piegāde virzienā no Pleskavas līdz Rīgai tiek nodrošināta ar diviem paralēliem gāzesvadiem, starp kuriem ir savienojošās līnijas.</w:t>
      </w:r>
      <w:r w:rsidR="00F45BB7">
        <w:rPr>
          <w:rFonts w:eastAsia="Times New Roman" w:cs="Times New Roman"/>
          <w:szCs w:val="28"/>
        </w:rPr>
        <w:t xml:space="preserve"> </w:t>
      </w:r>
      <w:r w:rsidRPr="00F307C1">
        <w:rPr>
          <w:rFonts w:eastAsia="Times New Roman" w:cs="Times New Roman"/>
          <w:szCs w:val="28"/>
        </w:rPr>
        <w:t>Kopējais maģistrālo tīklu garums Latvijā ir 1239 km.</w:t>
      </w:r>
    </w:p>
    <w:p w:rsidR="00F307C1" w:rsidRPr="00F307C1" w:rsidRDefault="00F307C1" w:rsidP="00F45BB7">
      <w:pPr>
        <w:jc w:val="both"/>
        <w:rPr>
          <w:rFonts w:eastAsia="Times New Roman" w:cs="Times New Roman"/>
          <w:szCs w:val="28"/>
        </w:rPr>
      </w:pPr>
      <w:r>
        <w:rPr>
          <w:rFonts w:eastAsia="Times New Roman" w:cs="Times New Roman"/>
          <w:szCs w:val="28"/>
        </w:rPr>
        <w:t xml:space="preserve"> </w:t>
      </w:r>
    </w:p>
    <w:p w:rsidR="00EA0886" w:rsidRPr="00EA0886" w:rsidRDefault="00F307C1" w:rsidP="0080306F">
      <w:pPr>
        <w:rPr>
          <w:rFonts w:eastAsia="Times New Roman" w:cs="Times New Roman"/>
          <w:sz w:val="24"/>
          <w:szCs w:val="24"/>
        </w:rPr>
      </w:pPr>
      <w:r w:rsidRPr="00F307C1">
        <w:rPr>
          <w:rFonts w:eastAsia="Times New Roman" w:cs="Times New Roman"/>
          <w:noProof/>
          <w:color w:val="FF0000"/>
          <w:sz w:val="24"/>
          <w:szCs w:val="24"/>
          <w:lang w:eastAsia="lv-LV"/>
        </w:rPr>
        <w:drawing>
          <wp:inline distT="0" distB="0" distL="0" distR="0" wp14:anchorId="5871FBEB" wp14:editId="27DA5917">
            <wp:extent cx="5730929" cy="3379304"/>
            <wp:effectExtent l="0" t="0" r="3175" b="0"/>
            <wp:docPr id="9226" name="Picture 9226" descr="Ciparu ka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paru karte"/>
                    <pic:cNvPicPr>
                      <a:picLocks noChangeAspect="1" noChangeArrowheads="1"/>
                    </pic:cNvPicPr>
                  </pic:nvPicPr>
                  <pic:blipFill>
                    <a:blip r:embed="rId28" cstate="print"/>
                    <a:srcRect/>
                    <a:stretch>
                      <a:fillRect/>
                    </a:stretch>
                  </pic:blipFill>
                  <pic:spPr bwMode="auto">
                    <a:xfrm>
                      <a:off x="0" y="0"/>
                      <a:ext cx="5734071" cy="3381157"/>
                    </a:xfrm>
                    <a:prstGeom prst="rect">
                      <a:avLst/>
                    </a:prstGeom>
                    <a:noFill/>
                    <a:ln w="9525">
                      <a:noFill/>
                      <a:miter lim="800000"/>
                      <a:headEnd/>
                      <a:tailEnd/>
                    </a:ln>
                  </pic:spPr>
                </pic:pic>
              </a:graphicData>
            </a:graphic>
          </wp:inline>
        </w:drawing>
      </w:r>
      <w:r w:rsidR="00EA0886" w:rsidRPr="003C425C">
        <w:rPr>
          <w:rFonts w:eastAsia="Times New Roman" w:cs="Times New Roman"/>
          <w:sz w:val="20"/>
          <w:szCs w:val="20"/>
        </w:rPr>
        <w:t>Avots: AS „Latvijas Gāze”</w:t>
      </w:r>
    </w:p>
    <w:p w:rsidR="00F307C1" w:rsidRPr="00F45BB7" w:rsidRDefault="00D75E84" w:rsidP="00F45BB7">
      <w:pPr>
        <w:rPr>
          <w:rFonts w:eastAsia="Times New Roman" w:cs="Times New Roman"/>
          <w:b/>
          <w:sz w:val="24"/>
          <w:szCs w:val="24"/>
        </w:rPr>
      </w:pPr>
      <w:r w:rsidRPr="005945B4">
        <w:rPr>
          <w:rFonts w:eastAsia="Times New Roman" w:cs="Times New Roman"/>
          <w:b/>
          <w:sz w:val="24"/>
          <w:szCs w:val="24"/>
        </w:rPr>
        <w:t>1</w:t>
      </w:r>
      <w:r w:rsidR="00091F3D">
        <w:rPr>
          <w:rFonts w:eastAsia="Times New Roman" w:cs="Times New Roman"/>
          <w:b/>
          <w:sz w:val="24"/>
          <w:szCs w:val="24"/>
        </w:rPr>
        <w:t>8</w:t>
      </w:r>
      <w:r w:rsidRPr="00F45BB7">
        <w:rPr>
          <w:rFonts w:eastAsia="Times New Roman" w:cs="Times New Roman"/>
          <w:b/>
          <w:sz w:val="24"/>
          <w:szCs w:val="24"/>
        </w:rPr>
        <w:t>.</w:t>
      </w:r>
      <w:r w:rsidR="00F307C1" w:rsidRPr="00F45BB7">
        <w:rPr>
          <w:rFonts w:eastAsia="Times New Roman" w:cs="Times New Roman"/>
          <w:b/>
          <w:sz w:val="24"/>
          <w:szCs w:val="24"/>
        </w:rPr>
        <w:t>att</w:t>
      </w:r>
      <w:r w:rsidR="00F45BB7">
        <w:rPr>
          <w:rFonts w:eastAsia="Times New Roman" w:cs="Times New Roman"/>
          <w:b/>
          <w:sz w:val="24"/>
          <w:szCs w:val="24"/>
        </w:rPr>
        <w:t>ēls</w:t>
      </w:r>
      <w:r w:rsidR="00F307C1" w:rsidRPr="00F45BB7">
        <w:rPr>
          <w:rFonts w:eastAsia="Times New Roman" w:cs="Times New Roman"/>
          <w:b/>
          <w:sz w:val="24"/>
          <w:szCs w:val="24"/>
        </w:rPr>
        <w:t>. Dabasgāzes pārvades sistēma Latvijā</w:t>
      </w:r>
      <w:r w:rsidR="0080306F">
        <w:rPr>
          <w:rFonts w:eastAsia="Times New Roman" w:cs="Times New Roman"/>
          <w:b/>
          <w:sz w:val="24"/>
          <w:szCs w:val="24"/>
        </w:rPr>
        <w:t>.</w:t>
      </w:r>
    </w:p>
    <w:p w:rsidR="00F45BB7" w:rsidRDefault="00F45BB7" w:rsidP="00F307C1">
      <w:pPr>
        <w:ind w:firstLine="720"/>
        <w:jc w:val="both"/>
        <w:rPr>
          <w:rFonts w:eastAsia="Times New Roman" w:cs="Times New Roman"/>
          <w:szCs w:val="28"/>
        </w:rPr>
      </w:pPr>
    </w:p>
    <w:p w:rsidR="00F307C1" w:rsidRPr="00F307C1" w:rsidRDefault="00F307C1" w:rsidP="00F307C1">
      <w:pPr>
        <w:ind w:firstLine="720"/>
        <w:jc w:val="both"/>
        <w:rPr>
          <w:rFonts w:eastAsia="Times New Roman" w:cs="Times New Roman"/>
          <w:szCs w:val="28"/>
        </w:rPr>
      </w:pPr>
      <w:r w:rsidRPr="00F307C1">
        <w:rPr>
          <w:rFonts w:eastAsia="Times New Roman" w:cs="Times New Roman"/>
          <w:szCs w:val="28"/>
        </w:rPr>
        <w:t xml:space="preserve">Pārvades sistēma nodrošina valsts lielāko pilsētu – Rīga, Daugavpils, Aizkraukle, Preiļi, Iecava, Liepāja, Dobele, Cēsis, Valmiera, Jelgava, Jūrmala, Bauska, Ogre, Jēkabpils, Līvāni, Rēzekne, Saldus apgādi ar dabasgāzi pilnā apmērā, pastāvot gāzes pārvades un sadales sistēmu savienojošam posmam – gāzes regulēšanas staciju (turpmāk tekstā </w:t>
      </w:r>
      <w:r w:rsidR="0068387F" w:rsidRPr="00F307C1">
        <w:rPr>
          <w:rFonts w:eastAsia="Times New Roman" w:cs="Times New Roman"/>
          <w:szCs w:val="28"/>
        </w:rPr>
        <w:t>–</w:t>
      </w:r>
      <w:r w:rsidRPr="00F307C1">
        <w:rPr>
          <w:rFonts w:eastAsia="Times New Roman" w:cs="Times New Roman"/>
          <w:szCs w:val="28"/>
        </w:rPr>
        <w:t xml:space="preserve"> GRS) caurlaides spēju rezervēm. Rīga, Jelgava, Valmiera un Jūrmala tiek nodrošinātas ar divpusēju gāzes apgādi caur neatkarīgām GRS.</w:t>
      </w:r>
    </w:p>
    <w:p w:rsidR="00F307C1" w:rsidRPr="00F307C1" w:rsidRDefault="00F307C1" w:rsidP="00F307C1">
      <w:pPr>
        <w:ind w:firstLine="720"/>
        <w:jc w:val="both"/>
        <w:rPr>
          <w:rFonts w:eastAsia="Times New Roman" w:cs="Times New Roman"/>
          <w:szCs w:val="28"/>
        </w:rPr>
      </w:pPr>
      <w:r w:rsidRPr="00F307C1">
        <w:rPr>
          <w:rFonts w:eastAsia="Times New Roman" w:cs="Times New Roman"/>
          <w:szCs w:val="28"/>
        </w:rPr>
        <w:t xml:space="preserve">GRS Cēsis, Līgatne, Palsmane, Sigulda, </w:t>
      </w:r>
      <w:proofErr w:type="spellStart"/>
      <w:r w:rsidRPr="00F307C1">
        <w:rPr>
          <w:rFonts w:eastAsia="Times New Roman" w:cs="Times New Roman"/>
          <w:szCs w:val="28"/>
        </w:rPr>
        <w:t>Ezerciems</w:t>
      </w:r>
      <w:proofErr w:type="spellEnd"/>
      <w:r w:rsidRPr="00F307C1">
        <w:rPr>
          <w:rFonts w:eastAsia="Times New Roman" w:cs="Times New Roman"/>
          <w:szCs w:val="28"/>
        </w:rPr>
        <w:t xml:space="preserve">, Krimulda, Vangaži, Zaķumuiža, GRS Rīga-1, GRS Rīga-3, Uzvara, Bauska un Iecava ir pieslēgtas pie diviem neatkarīgiem PGV. </w:t>
      </w:r>
    </w:p>
    <w:p w:rsidR="00F307C1" w:rsidRDefault="00F307C1" w:rsidP="00F307C1">
      <w:pPr>
        <w:ind w:firstLine="720"/>
        <w:jc w:val="both"/>
        <w:rPr>
          <w:rFonts w:eastAsia="Times New Roman" w:cs="Times New Roman"/>
          <w:szCs w:val="28"/>
        </w:rPr>
      </w:pPr>
      <w:r w:rsidRPr="00F307C1">
        <w:rPr>
          <w:rFonts w:eastAsia="Times New Roman" w:cs="Times New Roman"/>
          <w:szCs w:val="28"/>
        </w:rPr>
        <w:t>Lai paaugstinātu ekspluatācijas drošību pārvades gāzesvados Rīga-Daugavpils un Iecava</w:t>
      </w:r>
      <w:r w:rsidR="0068387F" w:rsidRPr="00F307C1">
        <w:rPr>
          <w:rFonts w:eastAsia="Times New Roman" w:cs="Times New Roman"/>
          <w:szCs w:val="28"/>
        </w:rPr>
        <w:t>–</w:t>
      </w:r>
      <w:r w:rsidRPr="00F307C1">
        <w:rPr>
          <w:rFonts w:eastAsia="Times New Roman" w:cs="Times New Roman"/>
          <w:szCs w:val="28"/>
        </w:rPr>
        <w:t>Liepāja sākumos automatizētai darba spiediena samazināšanai tiek izbūvēts gāzes reducēšanas mezgli.</w:t>
      </w:r>
    </w:p>
    <w:p w:rsidR="00F307C1" w:rsidRPr="00F307C1" w:rsidRDefault="00F307C1" w:rsidP="00F307C1">
      <w:pPr>
        <w:ind w:firstLine="720"/>
        <w:jc w:val="both"/>
        <w:rPr>
          <w:rFonts w:eastAsia="Times New Roman" w:cs="Times New Roman"/>
          <w:szCs w:val="28"/>
        </w:rPr>
      </w:pPr>
      <w:r w:rsidRPr="00F307C1">
        <w:rPr>
          <w:rFonts w:eastAsia="Times New Roman" w:cs="Times New Roman"/>
          <w:szCs w:val="28"/>
        </w:rPr>
        <w:lastRenderedPageBreak/>
        <w:t xml:space="preserve">Lai uzlabotu gāzes piegādi un paaugstinātu gāzes apgādes drošību, </w:t>
      </w:r>
      <w:r w:rsidR="004917CC">
        <w:rPr>
          <w:rFonts w:eastAsia="Times New Roman" w:cs="Times New Roman"/>
          <w:szCs w:val="28"/>
        </w:rPr>
        <w:t>AS</w:t>
      </w:r>
      <w:r w:rsidRPr="00F307C1">
        <w:rPr>
          <w:rFonts w:eastAsia="Times New Roman" w:cs="Times New Roman"/>
          <w:szCs w:val="28"/>
        </w:rPr>
        <w:t xml:space="preserve"> „Latvijas Gāze” kopš tās privatizācijas 1997.gadā ir modernizējusi gāzes apgādes sistēmu kopā investējot 270</w:t>
      </w:r>
      <w:r w:rsidR="00B43A3B">
        <w:rPr>
          <w:rFonts w:eastAsia="Times New Roman" w:cs="Times New Roman"/>
          <w:szCs w:val="28"/>
        </w:rPr>
        <w:t>,</w:t>
      </w:r>
      <w:r w:rsidRPr="00F307C1">
        <w:rPr>
          <w:rFonts w:eastAsia="Times New Roman" w:cs="Times New Roman"/>
          <w:szCs w:val="28"/>
        </w:rPr>
        <w:t xml:space="preserve">4 miljonus </w:t>
      </w:r>
      <w:r w:rsidR="00B5707E">
        <w:rPr>
          <w:rFonts w:eastAsia="Times New Roman" w:cs="Times New Roman"/>
          <w:szCs w:val="28"/>
        </w:rPr>
        <w:t>l</w:t>
      </w:r>
      <w:r w:rsidRPr="00F307C1">
        <w:rPr>
          <w:rFonts w:eastAsia="Times New Roman" w:cs="Times New Roman"/>
          <w:szCs w:val="28"/>
        </w:rPr>
        <w:t>atu (384</w:t>
      </w:r>
      <w:r w:rsidR="00B43A3B">
        <w:rPr>
          <w:rFonts w:eastAsia="Times New Roman" w:cs="Times New Roman"/>
          <w:szCs w:val="28"/>
        </w:rPr>
        <w:t>,</w:t>
      </w:r>
      <w:r w:rsidRPr="00F307C1">
        <w:rPr>
          <w:rFonts w:eastAsia="Times New Roman" w:cs="Times New Roman"/>
          <w:szCs w:val="28"/>
        </w:rPr>
        <w:t xml:space="preserve">7 miljonus </w:t>
      </w:r>
      <w:r w:rsidR="00916216">
        <w:rPr>
          <w:rFonts w:eastAsia="Times New Roman" w:cs="Times New Roman"/>
          <w:szCs w:val="28"/>
        </w:rPr>
        <w:t>EUR</w:t>
      </w:r>
      <w:r w:rsidRPr="00F307C1">
        <w:rPr>
          <w:rFonts w:eastAsia="Times New Roman" w:cs="Times New Roman"/>
          <w:szCs w:val="28"/>
        </w:rPr>
        <w:t>). 2013.gadā pilnībā tika pabeigts Latvijas</w:t>
      </w:r>
      <w:r w:rsidR="0068387F">
        <w:rPr>
          <w:rFonts w:eastAsia="Times New Roman" w:cs="Times New Roman"/>
          <w:szCs w:val="28"/>
        </w:rPr>
        <w:t xml:space="preserve"> </w:t>
      </w:r>
      <w:r w:rsidR="0068387F" w:rsidRPr="00F307C1">
        <w:rPr>
          <w:rFonts w:eastAsia="Times New Roman" w:cs="Times New Roman"/>
          <w:szCs w:val="28"/>
        </w:rPr>
        <w:t>–</w:t>
      </w:r>
      <w:r w:rsidR="0068387F">
        <w:rPr>
          <w:rFonts w:eastAsia="Times New Roman" w:cs="Times New Roman"/>
          <w:szCs w:val="28"/>
        </w:rPr>
        <w:t xml:space="preserve"> </w:t>
      </w:r>
      <w:r w:rsidRPr="00F307C1">
        <w:rPr>
          <w:rFonts w:eastAsia="Times New Roman" w:cs="Times New Roman"/>
          <w:szCs w:val="28"/>
        </w:rPr>
        <w:t xml:space="preserve">Lietuvas </w:t>
      </w:r>
      <w:proofErr w:type="spellStart"/>
      <w:r w:rsidRPr="00F307C1">
        <w:rPr>
          <w:rFonts w:eastAsia="Times New Roman" w:cs="Times New Roman"/>
          <w:szCs w:val="28"/>
        </w:rPr>
        <w:t>starpsavienojuma</w:t>
      </w:r>
      <w:proofErr w:type="spellEnd"/>
      <w:r w:rsidRPr="00F307C1">
        <w:rPr>
          <w:rFonts w:eastAsia="Times New Roman" w:cs="Times New Roman"/>
          <w:szCs w:val="28"/>
        </w:rPr>
        <w:t xml:space="preserve"> kapacitātes līdz 6 milj.m3 dienā palielināšanas projekts, kas tika realizēts Eiropas enerģētikas atveseļošanas programmas ietvaros un no ES fondu līdzekļiem </w:t>
      </w:r>
      <w:r w:rsidR="00797925">
        <w:rPr>
          <w:rFonts w:eastAsia="Times New Roman" w:cs="Times New Roman"/>
          <w:szCs w:val="28"/>
        </w:rPr>
        <w:t>AS</w:t>
      </w:r>
      <w:r w:rsidRPr="00F307C1">
        <w:rPr>
          <w:rFonts w:eastAsia="Times New Roman" w:cs="Times New Roman"/>
          <w:szCs w:val="28"/>
        </w:rPr>
        <w:t xml:space="preserve"> „Latvijas Gāze” kopā saņēma 10 </w:t>
      </w:r>
      <w:proofErr w:type="spellStart"/>
      <w:r w:rsidRPr="00F307C1">
        <w:rPr>
          <w:rFonts w:eastAsia="Times New Roman" w:cs="Times New Roman"/>
          <w:szCs w:val="28"/>
        </w:rPr>
        <w:t>milj</w:t>
      </w:r>
      <w:proofErr w:type="spellEnd"/>
      <w:r w:rsidRPr="00F307C1">
        <w:rPr>
          <w:rFonts w:eastAsia="Times New Roman" w:cs="Times New Roman"/>
          <w:szCs w:val="28"/>
        </w:rPr>
        <w:t xml:space="preserve">. </w:t>
      </w:r>
      <w:r w:rsidR="00B5707E">
        <w:rPr>
          <w:rFonts w:eastAsia="Times New Roman" w:cs="Times New Roman"/>
          <w:szCs w:val="28"/>
        </w:rPr>
        <w:t>e</w:t>
      </w:r>
      <w:r w:rsidRPr="00F307C1">
        <w:rPr>
          <w:rFonts w:eastAsia="Times New Roman" w:cs="Times New Roman"/>
          <w:szCs w:val="28"/>
        </w:rPr>
        <w:t xml:space="preserve">iro šī projekta realizācijai. </w:t>
      </w:r>
    </w:p>
    <w:p w:rsidR="00941C8A" w:rsidRDefault="00F45BB7" w:rsidP="00F307C1">
      <w:pPr>
        <w:ind w:firstLine="720"/>
        <w:jc w:val="both"/>
        <w:rPr>
          <w:rFonts w:eastAsia="Times New Roman" w:cs="Times New Roman"/>
          <w:szCs w:val="28"/>
        </w:rPr>
      </w:pPr>
      <w:r>
        <w:rPr>
          <w:rFonts w:eastAsia="Times New Roman" w:cs="Times New Roman"/>
          <w:szCs w:val="28"/>
        </w:rPr>
        <w:t>IPGK</w:t>
      </w:r>
      <w:r w:rsidR="00003228">
        <w:rPr>
          <w:rFonts w:eastAsia="Times New Roman" w:cs="Times New Roman"/>
          <w:szCs w:val="28"/>
        </w:rPr>
        <w:t xml:space="preserve"> ir viens no svarīgākajiem dabas gāzes infrastruktūras elementiem. Tajā </w:t>
      </w:r>
      <w:r w:rsidR="007E7903" w:rsidRPr="007E7903">
        <w:rPr>
          <w:rFonts w:eastAsia="Times New Roman" w:cs="Times New Roman"/>
          <w:szCs w:val="28"/>
        </w:rPr>
        <w:t xml:space="preserve">var uzglabāt līdz 2,32 </w:t>
      </w:r>
      <w:proofErr w:type="spellStart"/>
      <w:r w:rsidR="007E7903" w:rsidRPr="007E7903">
        <w:rPr>
          <w:rFonts w:eastAsia="Times New Roman" w:cs="Times New Roman"/>
          <w:szCs w:val="28"/>
        </w:rPr>
        <w:t>mljrd</w:t>
      </w:r>
      <w:proofErr w:type="spellEnd"/>
      <w:r w:rsidR="007E7903" w:rsidRPr="007E7903">
        <w:rPr>
          <w:rFonts w:eastAsia="Times New Roman" w:cs="Times New Roman"/>
          <w:szCs w:val="28"/>
        </w:rPr>
        <w:t>. m</w:t>
      </w:r>
      <w:r w:rsidR="007E7903" w:rsidRPr="00380D55">
        <w:rPr>
          <w:rFonts w:eastAsia="Times New Roman" w:cs="Times New Roman"/>
          <w:szCs w:val="28"/>
          <w:vertAlign w:val="superscript"/>
        </w:rPr>
        <w:t>3</w:t>
      </w:r>
      <w:r w:rsidR="007E7903" w:rsidRPr="007E7903">
        <w:rPr>
          <w:rFonts w:eastAsia="Times New Roman" w:cs="Times New Roman"/>
          <w:szCs w:val="28"/>
        </w:rPr>
        <w:t xml:space="preserve"> aktīvās gāzes un </w:t>
      </w:r>
      <w:r w:rsidR="00003228">
        <w:rPr>
          <w:rFonts w:eastAsia="Times New Roman" w:cs="Times New Roman"/>
          <w:szCs w:val="28"/>
        </w:rPr>
        <w:t xml:space="preserve">ar tās palīdzību var </w:t>
      </w:r>
      <w:r w:rsidR="007E7903" w:rsidRPr="007E7903">
        <w:rPr>
          <w:rFonts w:eastAsia="Times New Roman" w:cs="Times New Roman"/>
          <w:szCs w:val="28"/>
        </w:rPr>
        <w:t>balansē</w:t>
      </w:r>
      <w:r w:rsidR="00003228">
        <w:rPr>
          <w:rFonts w:eastAsia="Times New Roman" w:cs="Times New Roman"/>
          <w:szCs w:val="28"/>
        </w:rPr>
        <w:t>t</w:t>
      </w:r>
      <w:r w:rsidR="007E7903" w:rsidRPr="007E7903">
        <w:rPr>
          <w:rFonts w:eastAsia="Times New Roman" w:cs="Times New Roman"/>
          <w:szCs w:val="28"/>
        </w:rPr>
        <w:t xml:space="preserve"> pieprasījuma svārstības ne tikai Baltijas valstīs, bet arī Krievijas Ziemeļrietumu reģionā. Ziemas periodā Latvijas patērētāji saņem dabasgāzi tikai no Inčukalna pazemes gāzes krātuves. Tāpat, dabasgāze tiek padota patērētājiem Krievijā, Igaunijā un periodiski arī Lietuvā. </w:t>
      </w:r>
    </w:p>
    <w:p w:rsidR="007E7903" w:rsidRDefault="00091F3D" w:rsidP="007E7903">
      <w:pPr>
        <w:ind w:firstLine="720"/>
        <w:jc w:val="both"/>
        <w:rPr>
          <w:rFonts w:eastAsia="Times New Roman" w:cs="Times New Roman"/>
          <w:szCs w:val="28"/>
        </w:rPr>
      </w:pPr>
      <w:r w:rsidRPr="008F7747">
        <w:rPr>
          <w:rFonts w:eastAsia="Times New Roman" w:cs="Times New Roman"/>
          <w:szCs w:val="28"/>
        </w:rPr>
        <w:t>1</w:t>
      </w:r>
      <w:r w:rsidR="00FF373C">
        <w:rPr>
          <w:rFonts w:eastAsia="Times New Roman" w:cs="Times New Roman"/>
          <w:szCs w:val="28"/>
        </w:rPr>
        <w:t>9</w:t>
      </w:r>
      <w:r w:rsidRPr="008F7747">
        <w:rPr>
          <w:rFonts w:eastAsia="Times New Roman" w:cs="Times New Roman"/>
          <w:szCs w:val="28"/>
        </w:rPr>
        <w:t>.attēlā rādīts</w:t>
      </w:r>
      <w:r w:rsidRPr="007E7903">
        <w:rPr>
          <w:rFonts w:eastAsia="Times New Roman" w:cs="Times New Roman"/>
          <w:szCs w:val="28"/>
        </w:rPr>
        <w:t xml:space="preserve"> procentuālais, no IPGK piegādātās dabasgāzes sadalījums starp patērētājiem trijās Baltijas valstīs un Krievijā laika posmā no 2000.–2012.gadam. </w:t>
      </w:r>
      <w:r>
        <w:rPr>
          <w:rFonts w:eastAsia="Times New Roman" w:cs="Times New Roman"/>
          <w:szCs w:val="28"/>
        </w:rPr>
        <w:t>Š</w:t>
      </w:r>
      <w:r w:rsidRPr="007E7903">
        <w:rPr>
          <w:rFonts w:eastAsia="Times New Roman" w:cs="Times New Roman"/>
          <w:szCs w:val="28"/>
        </w:rPr>
        <w:t xml:space="preserve">ajā periodā lielākā daļa dabasgāzes no IPGK </w:t>
      </w:r>
      <w:r>
        <w:rPr>
          <w:rFonts w:eastAsia="Times New Roman" w:cs="Times New Roman"/>
          <w:szCs w:val="28"/>
        </w:rPr>
        <w:t xml:space="preserve">ir piegādātas Latvijai, Igaunijai un Krievijai. </w:t>
      </w:r>
      <w:r w:rsidRPr="007E7903">
        <w:rPr>
          <w:rFonts w:eastAsia="Times New Roman" w:cs="Times New Roman"/>
          <w:szCs w:val="28"/>
        </w:rPr>
        <w:t>Dabasgāzes piegādes Lietuvai konkrētajā laika periodā attiecināmas tikai uz trim gadiem – 2008. –2010., to procentuālajam īpatsvaram svārstoties 1–7% robežās.</w:t>
      </w:r>
    </w:p>
    <w:p w:rsidR="0080306F" w:rsidRPr="007E7903" w:rsidRDefault="0080306F" w:rsidP="007E7903">
      <w:pPr>
        <w:ind w:firstLine="720"/>
        <w:jc w:val="both"/>
        <w:rPr>
          <w:rFonts w:eastAsia="Times New Roman" w:cs="Times New Roman"/>
          <w:szCs w:val="28"/>
        </w:rPr>
      </w:pPr>
    </w:p>
    <w:p w:rsidR="007E7903" w:rsidRPr="007E7903" w:rsidRDefault="0080306F" w:rsidP="00F45BB7">
      <w:pPr>
        <w:jc w:val="center"/>
        <w:rPr>
          <w:rFonts w:eastAsia="Times New Roman" w:cs="Times New Roman"/>
          <w:szCs w:val="28"/>
        </w:rPr>
      </w:pPr>
      <w:r>
        <w:rPr>
          <w:noProof/>
          <w:lang w:eastAsia="lv-LV"/>
        </w:rPr>
        <w:drawing>
          <wp:inline distT="0" distB="0" distL="0" distR="0" wp14:anchorId="66B071F8" wp14:editId="1A1114E8">
            <wp:extent cx="5274310" cy="3307080"/>
            <wp:effectExtent l="0" t="0" r="2540" b="762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3C425C" w:rsidRPr="003C425C" w:rsidRDefault="003C425C" w:rsidP="003C425C">
      <w:pPr>
        <w:ind w:firstLine="720"/>
        <w:jc w:val="both"/>
        <w:rPr>
          <w:rFonts w:eastAsia="Times New Roman" w:cs="Times New Roman"/>
          <w:sz w:val="20"/>
          <w:szCs w:val="20"/>
        </w:rPr>
      </w:pPr>
      <w:r w:rsidRPr="003C425C">
        <w:rPr>
          <w:rFonts w:eastAsia="Times New Roman" w:cs="Times New Roman"/>
          <w:sz w:val="20"/>
          <w:szCs w:val="20"/>
        </w:rPr>
        <w:t>Avots. AS „Latvijas Gāze”.</w:t>
      </w:r>
    </w:p>
    <w:p w:rsidR="003C425C" w:rsidRPr="00F45BB7" w:rsidRDefault="00F45BB7" w:rsidP="00F45BB7">
      <w:pPr>
        <w:rPr>
          <w:rFonts w:eastAsia="Times New Roman" w:cs="Times New Roman"/>
          <w:b/>
          <w:sz w:val="24"/>
          <w:szCs w:val="24"/>
        </w:rPr>
      </w:pPr>
      <w:r w:rsidRPr="00F45BB7">
        <w:rPr>
          <w:rFonts w:eastAsia="Times New Roman" w:cs="Times New Roman"/>
          <w:b/>
          <w:sz w:val="24"/>
          <w:szCs w:val="24"/>
        </w:rPr>
        <w:t>1</w:t>
      </w:r>
      <w:r w:rsidR="00091F3D">
        <w:rPr>
          <w:rFonts w:eastAsia="Times New Roman" w:cs="Times New Roman"/>
          <w:b/>
          <w:sz w:val="24"/>
          <w:szCs w:val="24"/>
        </w:rPr>
        <w:t>9</w:t>
      </w:r>
      <w:r w:rsidR="00D75E84" w:rsidRPr="00F45BB7">
        <w:rPr>
          <w:rFonts w:eastAsia="Times New Roman" w:cs="Times New Roman"/>
          <w:b/>
          <w:sz w:val="24"/>
          <w:szCs w:val="24"/>
        </w:rPr>
        <w:t>.</w:t>
      </w:r>
      <w:r w:rsidR="007E7903" w:rsidRPr="00F45BB7">
        <w:rPr>
          <w:rFonts w:eastAsia="Times New Roman" w:cs="Times New Roman"/>
          <w:b/>
          <w:sz w:val="24"/>
          <w:szCs w:val="24"/>
        </w:rPr>
        <w:t>attēls. Dabasgāzes piegādes no IPGK 2000.-2012.g</w:t>
      </w:r>
      <w:r w:rsidR="003C425C" w:rsidRPr="00F45BB7">
        <w:rPr>
          <w:rFonts w:eastAsia="Times New Roman" w:cs="Times New Roman"/>
          <w:b/>
          <w:sz w:val="24"/>
          <w:szCs w:val="24"/>
        </w:rPr>
        <w:t>., %, pa valstīm (dabasgāzes</w:t>
      </w:r>
    </w:p>
    <w:p w:rsidR="007E7903" w:rsidRPr="00F45BB7" w:rsidRDefault="003C425C" w:rsidP="00F45BB7">
      <w:pPr>
        <w:rPr>
          <w:rFonts w:eastAsia="Times New Roman" w:cs="Times New Roman"/>
          <w:b/>
          <w:sz w:val="24"/>
          <w:szCs w:val="24"/>
        </w:rPr>
      </w:pPr>
      <w:r w:rsidRPr="00F45BB7">
        <w:rPr>
          <w:rFonts w:eastAsia="Times New Roman" w:cs="Times New Roman"/>
          <w:b/>
          <w:sz w:val="24"/>
          <w:szCs w:val="24"/>
        </w:rPr>
        <w:t>kompānijām</w:t>
      </w:r>
      <w:r w:rsidR="007E7903" w:rsidRPr="00F45BB7">
        <w:rPr>
          <w:rFonts w:eastAsia="Times New Roman" w:cs="Times New Roman"/>
          <w:b/>
          <w:sz w:val="24"/>
          <w:szCs w:val="24"/>
        </w:rPr>
        <w:t>)</w:t>
      </w:r>
      <w:r w:rsidR="0080306F">
        <w:rPr>
          <w:rFonts w:eastAsia="Times New Roman" w:cs="Times New Roman"/>
          <w:b/>
          <w:sz w:val="24"/>
          <w:szCs w:val="24"/>
        </w:rPr>
        <w:t>.</w:t>
      </w:r>
    </w:p>
    <w:p w:rsidR="00F45BB7" w:rsidRDefault="00F45BB7" w:rsidP="00F45BB7">
      <w:pPr>
        <w:ind w:firstLine="720"/>
        <w:jc w:val="both"/>
        <w:rPr>
          <w:rFonts w:eastAsia="Times New Roman" w:cs="Times New Roman"/>
          <w:szCs w:val="28"/>
        </w:rPr>
      </w:pPr>
    </w:p>
    <w:p w:rsidR="00091F3D" w:rsidRPr="007E7903" w:rsidRDefault="00091F3D" w:rsidP="00F45BB7">
      <w:pPr>
        <w:ind w:firstLine="720"/>
        <w:jc w:val="both"/>
        <w:rPr>
          <w:rFonts w:eastAsia="Times New Roman" w:cs="Times New Roman"/>
          <w:szCs w:val="28"/>
        </w:rPr>
      </w:pPr>
    </w:p>
    <w:tbl>
      <w:tblPr>
        <w:tblW w:w="8804" w:type="dxa"/>
        <w:tblLayout w:type="fixed"/>
        <w:tblCellMar>
          <w:left w:w="0" w:type="dxa"/>
          <w:right w:w="0" w:type="dxa"/>
        </w:tblCellMar>
        <w:tblLook w:val="0000" w:firstRow="0" w:lastRow="0" w:firstColumn="0" w:lastColumn="0" w:noHBand="0" w:noVBand="0"/>
      </w:tblPr>
      <w:tblGrid>
        <w:gridCol w:w="3255"/>
        <w:gridCol w:w="2572"/>
        <w:gridCol w:w="2977"/>
      </w:tblGrid>
      <w:tr w:rsidR="00930C00" w:rsidRPr="00930C00" w:rsidTr="006E2CB9">
        <w:trPr>
          <w:trHeight w:val="390"/>
        </w:trPr>
        <w:tc>
          <w:tcPr>
            <w:tcW w:w="8804" w:type="dxa"/>
            <w:gridSpan w:val="3"/>
            <w:tcBorders>
              <w:top w:val="nil"/>
              <w:left w:val="nil"/>
              <w:bottom w:val="nil"/>
              <w:right w:val="nil"/>
            </w:tcBorders>
            <w:noWrap/>
            <w:tcMar>
              <w:top w:w="15" w:type="dxa"/>
              <w:left w:w="15" w:type="dxa"/>
              <w:bottom w:w="0" w:type="dxa"/>
              <w:right w:w="15" w:type="dxa"/>
            </w:tcMar>
            <w:vAlign w:val="bottom"/>
          </w:tcPr>
          <w:p w:rsidR="009A599B" w:rsidRPr="000A76E8" w:rsidRDefault="000A76E8" w:rsidP="00091F3D">
            <w:pPr>
              <w:jc w:val="right"/>
              <w:rPr>
                <w:rFonts w:eastAsia="Times New Roman" w:cs="Times New Roman"/>
                <w:szCs w:val="28"/>
              </w:rPr>
            </w:pPr>
            <w:r w:rsidRPr="000A76E8">
              <w:rPr>
                <w:rFonts w:eastAsia="Times New Roman" w:cs="Times New Roman"/>
                <w:szCs w:val="28"/>
              </w:rPr>
              <w:lastRenderedPageBreak/>
              <w:t>8</w:t>
            </w:r>
            <w:r w:rsidR="009A599B" w:rsidRPr="000A76E8">
              <w:rPr>
                <w:rFonts w:eastAsia="Times New Roman" w:cs="Times New Roman"/>
                <w:szCs w:val="28"/>
              </w:rPr>
              <w:t xml:space="preserve">.tabula </w:t>
            </w:r>
          </w:p>
          <w:p w:rsidR="00930C00" w:rsidRPr="00F1036B" w:rsidRDefault="00930C00" w:rsidP="00091F3D">
            <w:pPr>
              <w:jc w:val="center"/>
              <w:rPr>
                <w:rFonts w:eastAsia="Times New Roman" w:cs="Times New Roman"/>
                <w:b/>
                <w:szCs w:val="28"/>
              </w:rPr>
            </w:pPr>
            <w:r w:rsidRPr="00F1036B">
              <w:rPr>
                <w:rFonts w:eastAsia="Times New Roman" w:cs="Times New Roman"/>
                <w:b/>
                <w:szCs w:val="28"/>
              </w:rPr>
              <w:t>No gāzes krātuves izņemtās dabasgāzes daudzums 2013.gadā</w:t>
            </w:r>
          </w:p>
        </w:tc>
      </w:tr>
      <w:tr w:rsidR="00930C00" w:rsidRPr="00930C00" w:rsidTr="006E2CB9">
        <w:trPr>
          <w:trHeight w:val="330"/>
        </w:trPr>
        <w:tc>
          <w:tcPr>
            <w:tcW w:w="3255" w:type="dxa"/>
            <w:tcBorders>
              <w:top w:val="single" w:sz="8" w:space="0" w:color="auto"/>
              <w:left w:val="single" w:sz="8" w:space="0" w:color="auto"/>
              <w:bottom w:val="single" w:sz="8" w:space="0" w:color="auto"/>
              <w:right w:val="single" w:sz="8" w:space="0" w:color="auto"/>
            </w:tcBorders>
            <w:noWrap/>
            <w:tcMar>
              <w:top w:w="15" w:type="dxa"/>
              <w:left w:w="15" w:type="dxa"/>
              <w:bottom w:w="0" w:type="dxa"/>
              <w:right w:w="15" w:type="dxa"/>
            </w:tcMar>
            <w:vAlign w:val="bottom"/>
          </w:tcPr>
          <w:p w:rsidR="00930C00" w:rsidRPr="00D15886" w:rsidRDefault="00930C00" w:rsidP="00930C00">
            <w:pPr>
              <w:spacing w:line="360" w:lineRule="auto"/>
              <w:jc w:val="center"/>
              <w:rPr>
                <w:rFonts w:eastAsia="Times New Roman" w:cs="Times New Roman"/>
                <w:b/>
                <w:sz w:val="24"/>
                <w:szCs w:val="24"/>
              </w:rPr>
            </w:pPr>
            <w:r w:rsidRPr="00D15886">
              <w:rPr>
                <w:rFonts w:eastAsia="Times New Roman" w:cs="Times New Roman"/>
                <w:b/>
                <w:sz w:val="24"/>
                <w:szCs w:val="24"/>
              </w:rPr>
              <w:t>Kopā</w:t>
            </w:r>
          </w:p>
        </w:tc>
        <w:tc>
          <w:tcPr>
            <w:tcW w:w="2572" w:type="dxa"/>
            <w:tcBorders>
              <w:top w:val="single" w:sz="8" w:space="0" w:color="auto"/>
              <w:left w:val="nil"/>
              <w:bottom w:val="single" w:sz="8" w:space="0" w:color="auto"/>
              <w:right w:val="nil"/>
            </w:tcBorders>
            <w:noWrap/>
            <w:tcMar>
              <w:top w:w="15" w:type="dxa"/>
              <w:left w:w="15" w:type="dxa"/>
              <w:bottom w:w="0" w:type="dxa"/>
              <w:right w:w="15" w:type="dxa"/>
            </w:tcMar>
            <w:vAlign w:val="bottom"/>
          </w:tcPr>
          <w:p w:rsidR="00930C00" w:rsidRPr="00D15886" w:rsidRDefault="00930C00" w:rsidP="00930C00">
            <w:pPr>
              <w:spacing w:line="360" w:lineRule="auto"/>
              <w:jc w:val="center"/>
              <w:rPr>
                <w:rFonts w:eastAsia="Times New Roman" w:cs="Times New Roman"/>
                <w:b/>
                <w:sz w:val="24"/>
                <w:szCs w:val="24"/>
              </w:rPr>
            </w:pPr>
            <w:r w:rsidRPr="00D15886">
              <w:rPr>
                <w:rFonts w:eastAsia="Times New Roman" w:cs="Times New Roman"/>
                <w:b/>
                <w:sz w:val="24"/>
                <w:szCs w:val="24"/>
              </w:rPr>
              <w:t>Latvijai</w:t>
            </w:r>
          </w:p>
        </w:tc>
        <w:tc>
          <w:tcPr>
            <w:tcW w:w="2977" w:type="dxa"/>
            <w:tcBorders>
              <w:top w:val="single" w:sz="8" w:space="0" w:color="auto"/>
              <w:left w:val="single" w:sz="8" w:space="0" w:color="auto"/>
              <w:bottom w:val="single" w:sz="8" w:space="0" w:color="auto"/>
              <w:right w:val="single" w:sz="8" w:space="0" w:color="auto"/>
            </w:tcBorders>
            <w:noWrap/>
            <w:tcMar>
              <w:top w:w="15" w:type="dxa"/>
              <w:left w:w="15" w:type="dxa"/>
              <w:bottom w:w="0" w:type="dxa"/>
              <w:right w:w="15" w:type="dxa"/>
            </w:tcMar>
            <w:vAlign w:val="bottom"/>
          </w:tcPr>
          <w:p w:rsidR="00930C00" w:rsidRPr="00D15886" w:rsidRDefault="00930C00" w:rsidP="00930C00">
            <w:pPr>
              <w:spacing w:line="360" w:lineRule="auto"/>
              <w:jc w:val="center"/>
              <w:rPr>
                <w:rFonts w:eastAsia="Times New Roman" w:cs="Times New Roman"/>
                <w:b/>
                <w:sz w:val="24"/>
                <w:szCs w:val="24"/>
              </w:rPr>
            </w:pPr>
            <w:r w:rsidRPr="00D15886">
              <w:rPr>
                <w:rFonts w:eastAsia="Times New Roman" w:cs="Times New Roman"/>
                <w:b/>
                <w:sz w:val="24"/>
                <w:szCs w:val="24"/>
              </w:rPr>
              <w:t>Citām valstīm</w:t>
            </w:r>
          </w:p>
        </w:tc>
      </w:tr>
      <w:tr w:rsidR="00930C00" w:rsidRPr="00930C00" w:rsidTr="006E2CB9">
        <w:trPr>
          <w:trHeight w:val="315"/>
        </w:trPr>
        <w:tc>
          <w:tcPr>
            <w:tcW w:w="3255" w:type="dxa"/>
            <w:tcBorders>
              <w:top w:val="nil"/>
              <w:left w:val="single" w:sz="8" w:space="0" w:color="auto"/>
              <w:bottom w:val="nil"/>
              <w:right w:val="single" w:sz="8" w:space="0" w:color="auto"/>
            </w:tcBorders>
            <w:noWrap/>
            <w:tcMar>
              <w:top w:w="15" w:type="dxa"/>
              <w:left w:w="15" w:type="dxa"/>
              <w:bottom w:w="0" w:type="dxa"/>
              <w:right w:w="15" w:type="dxa"/>
            </w:tcMar>
            <w:vAlign w:val="bottom"/>
          </w:tcPr>
          <w:p w:rsidR="00930C00" w:rsidRPr="00D15886" w:rsidRDefault="00D37C8F" w:rsidP="00D37C8F">
            <w:pPr>
              <w:spacing w:line="360" w:lineRule="auto"/>
              <w:jc w:val="center"/>
              <w:rPr>
                <w:rFonts w:eastAsia="Times New Roman" w:cs="Times New Roman"/>
                <w:b/>
                <w:sz w:val="24"/>
                <w:szCs w:val="24"/>
              </w:rPr>
            </w:pPr>
            <w:r w:rsidRPr="00D15886">
              <w:rPr>
                <w:rFonts w:eastAsia="Times New Roman" w:cs="Times New Roman"/>
                <w:b/>
                <w:sz w:val="24"/>
                <w:szCs w:val="24"/>
              </w:rPr>
              <w:t>G</w:t>
            </w:r>
            <w:r w:rsidR="00930C00" w:rsidRPr="00D15886">
              <w:rPr>
                <w:rFonts w:eastAsia="Times New Roman" w:cs="Times New Roman"/>
                <w:b/>
                <w:sz w:val="24"/>
                <w:szCs w:val="24"/>
              </w:rPr>
              <w:t>adā</w:t>
            </w:r>
          </w:p>
        </w:tc>
        <w:tc>
          <w:tcPr>
            <w:tcW w:w="2572" w:type="dxa"/>
            <w:tcBorders>
              <w:top w:val="nil"/>
              <w:left w:val="nil"/>
              <w:bottom w:val="nil"/>
              <w:right w:val="nil"/>
            </w:tcBorders>
            <w:noWrap/>
            <w:tcMar>
              <w:top w:w="15" w:type="dxa"/>
              <w:left w:w="15" w:type="dxa"/>
              <w:bottom w:w="0" w:type="dxa"/>
              <w:right w:w="15" w:type="dxa"/>
            </w:tcMar>
            <w:vAlign w:val="bottom"/>
          </w:tcPr>
          <w:p w:rsidR="00930C00" w:rsidRPr="00D15886" w:rsidRDefault="00930C00" w:rsidP="00930C00">
            <w:pPr>
              <w:spacing w:line="360" w:lineRule="auto"/>
              <w:rPr>
                <w:rFonts w:eastAsia="Times New Roman" w:cs="Times New Roman"/>
                <w:b/>
                <w:sz w:val="24"/>
                <w:szCs w:val="24"/>
              </w:rPr>
            </w:pPr>
          </w:p>
        </w:tc>
        <w:tc>
          <w:tcPr>
            <w:tcW w:w="2977" w:type="dxa"/>
            <w:tcBorders>
              <w:top w:val="nil"/>
              <w:left w:val="single" w:sz="8" w:space="0" w:color="auto"/>
              <w:bottom w:val="nil"/>
              <w:right w:val="single" w:sz="8" w:space="0" w:color="auto"/>
            </w:tcBorders>
            <w:noWrap/>
            <w:tcMar>
              <w:top w:w="15" w:type="dxa"/>
              <w:left w:w="15" w:type="dxa"/>
              <w:bottom w:w="0" w:type="dxa"/>
              <w:right w:w="15" w:type="dxa"/>
            </w:tcMar>
            <w:vAlign w:val="bottom"/>
          </w:tcPr>
          <w:p w:rsidR="00930C00" w:rsidRPr="00D15886" w:rsidRDefault="00930C00" w:rsidP="00930C00">
            <w:pPr>
              <w:spacing w:line="360" w:lineRule="auto"/>
              <w:rPr>
                <w:rFonts w:eastAsia="Times New Roman" w:cs="Times New Roman"/>
                <w:b/>
                <w:sz w:val="24"/>
                <w:szCs w:val="24"/>
              </w:rPr>
            </w:pPr>
            <w:r w:rsidRPr="00D15886">
              <w:rPr>
                <w:rFonts w:eastAsia="Times New Roman" w:cs="Times New Roman"/>
                <w:b/>
                <w:sz w:val="24"/>
                <w:szCs w:val="24"/>
              </w:rPr>
              <w:t> </w:t>
            </w:r>
          </w:p>
        </w:tc>
      </w:tr>
      <w:tr w:rsidR="00930C00" w:rsidRPr="00930C00" w:rsidTr="006E2CB9">
        <w:trPr>
          <w:trHeight w:val="330"/>
        </w:trPr>
        <w:tc>
          <w:tcPr>
            <w:tcW w:w="3255" w:type="dxa"/>
            <w:tcBorders>
              <w:top w:val="nil"/>
              <w:left w:val="single" w:sz="8" w:space="0" w:color="auto"/>
              <w:bottom w:val="single" w:sz="8" w:space="0" w:color="auto"/>
              <w:right w:val="single" w:sz="8" w:space="0" w:color="auto"/>
            </w:tcBorders>
            <w:noWrap/>
            <w:tcMar>
              <w:top w:w="15" w:type="dxa"/>
              <w:left w:w="15" w:type="dxa"/>
              <w:bottom w:w="0" w:type="dxa"/>
              <w:right w:w="15" w:type="dxa"/>
            </w:tcMar>
            <w:vAlign w:val="bottom"/>
          </w:tcPr>
          <w:p w:rsidR="00930C00" w:rsidRPr="00930C00" w:rsidRDefault="00930C00" w:rsidP="00D37C8F">
            <w:pPr>
              <w:spacing w:line="360" w:lineRule="auto"/>
              <w:jc w:val="center"/>
              <w:rPr>
                <w:rFonts w:eastAsia="Times New Roman" w:cs="Times New Roman"/>
                <w:sz w:val="24"/>
                <w:szCs w:val="24"/>
              </w:rPr>
            </w:pPr>
            <w:r w:rsidRPr="00930C00">
              <w:rPr>
                <w:rFonts w:eastAsia="Times New Roman" w:cs="Times New Roman"/>
                <w:sz w:val="24"/>
                <w:szCs w:val="24"/>
              </w:rPr>
              <w:t>1 856 milj.m</w:t>
            </w:r>
            <w:r w:rsidRPr="00930C00">
              <w:rPr>
                <w:rFonts w:eastAsia="Times New Roman" w:cs="Times New Roman"/>
                <w:sz w:val="24"/>
                <w:szCs w:val="24"/>
                <w:vertAlign w:val="superscript"/>
              </w:rPr>
              <w:t>3</w:t>
            </w:r>
          </w:p>
        </w:tc>
        <w:tc>
          <w:tcPr>
            <w:tcW w:w="2572" w:type="dxa"/>
            <w:tcBorders>
              <w:top w:val="nil"/>
              <w:left w:val="nil"/>
              <w:bottom w:val="single" w:sz="8" w:space="0" w:color="auto"/>
              <w:right w:val="nil"/>
            </w:tcBorders>
            <w:noWrap/>
            <w:tcMar>
              <w:top w:w="15" w:type="dxa"/>
              <w:left w:w="15" w:type="dxa"/>
              <w:bottom w:w="0" w:type="dxa"/>
              <w:right w:w="15" w:type="dxa"/>
            </w:tcMar>
            <w:vAlign w:val="bottom"/>
          </w:tcPr>
          <w:p w:rsidR="00930C00" w:rsidRPr="00930C00" w:rsidRDefault="00930C00" w:rsidP="00930C00">
            <w:pPr>
              <w:spacing w:line="360" w:lineRule="auto"/>
              <w:jc w:val="center"/>
              <w:rPr>
                <w:rFonts w:eastAsia="Times New Roman" w:cs="Times New Roman"/>
                <w:sz w:val="24"/>
                <w:szCs w:val="24"/>
              </w:rPr>
            </w:pPr>
            <w:r w:rsidRPr="00930C00">
              <w:rPr>
                <w:rFonts w:eastAsia="Times New Roman" w:cs="Times New Roman"/>
                <w:sz w:val="24"/>
                <w:szCs w:val="24"/>
              </w:rPr>
              <w:t>1 032 milj.m</w:t>
            </w:r>
            <w:r w:rsidRPr="00930C00">
              <w:rPr>
                <w:rFonts w:eastAsia="Times New Roman" w:cs="Times New Roman"/>
                <w:sz w:val="24"/>
                <w:szCs w:val="24"/>
                <w:vertAlign w:val="superscript"/>
              </w:rPr>
              <w:t>3</w:t>
            </w:r>
          </w:p>
        </w:tc>
        <w:tc>
          <w:tcPr>
            <w:tcW w:w="2977" w:type="dxa"/>
            <w:tcBorders>
              <w:top w:val="nil"/>
              <w:left w:val="single" w:sz="8" w:space="0" w:color="auto"/>
              <w:bottom w:val="single" w:sz="8" w:space="0" w:color="auto"/>
              <w:right w:val="single" w:sz="8" w:space="0" w:color="auto"/>
            </w:tcBorders>
            <w:noWrap/>
            <w:tcMar>
              <w:top w:w="15" w:type="dxa"/>
              <w:left w:w="15" w:type="dxa"/>
              <w:bottom w:w="0" w:type="dxa"/>
              <w:right w:w="15" w:type="dxa"/>
            </w:tcMar>
            <w:vAlign w:val="bottom"/>
          </w:tcPr>
          <w:p w:rsidR="00930C00" w:rsidRPr="00930C00" w:rsidRDefault="00930C00" w:rsidP="00930C00">
            <w:pPr>
              <w:spacing w:line="360" w:lineRule="auto"/>
              <w:jc w:val="center"/>
              <w:rPr>
                <w:rFonts w:eastAsia="Times New Roman" w:cs="Times New Roman"/>
                <w:sz w:val="24"/>
                <w:szCs w:val="24"/>
              </w:rPr>
            </w:pPr>
            <w:r w:rsidRPr="00930C00">
              <w:rPr>
                <w:rFonts w:eastAsia="Times New Roman" w:cs="Times New Roman"/>
                <w:sz w:val="24"/>
                <w:szCs w:val="24"/>
              </w:rPr>
              <w:t>824 milj.m</w:t>
            </w:r>
            <w:r w:rsidRPr="00930C00">
              <w:rPr>
                <w:rFonts w:eastAsia="Times New Roman" w:cs="Times New Roman"/>
                <w:sz w:val="24"/>
                <w:szCs w:val="24"/>
                <w:vertAlign w:val="superscript"/>
              </w:rPr>
              <w:t>3</w:t>
            </w:r>
            <w:r w:rsidRPr="00930C00">
              <w:rPr>
                <w:rFonts w:eastAsia="Times New Roman" w:cs="Times New Roman"/>
                <w:sz w:val="24"/>
                <w:szCs w:val="24"/>
              </w:rPr>
              <w:t>, tai skaitā</w:t>
            </w:r>
          </w:p>
        </w:tc>
      </w:tr>
      <w:tr w:rsidR="00930C00" w:rsidRPr="00930C00" w:rsidTr="000A76E8">
        <w:trPr>
          <w:trHeight w:val="330"/>
        </w:trPr>
        <w:tc>
          <w:tcPr>
            <w:tcW w:w="3255" w:type="dxa"/>
            <w:tcBorders>
              <w:top w:val="nil"/>
              <w:left w:val="single" w:sz="8" w:space="0" w:color="auto"/>
              <w:bottom w:val="single" w:sz="8" w:space="0" w:color="auto"/>
              <w:right w:val="single" w:sz="8" w:space="0" w:color="auto"/>
            </w:tcBorders>
            <w:noWrap/>
            <w:tcMar>
              <w:top w:w="15" w:type="dxa"/>
              <w:left w:w="15" w:type="dxa"/>
              <w:bottom w:w="0" w:type="dxa"/>
              <w:right w:w="15" w:type="dxa"/>
            </w:tcMar>
            <w:vAlign w:val="bottom"/>
          </w:tcPr>
          <w:p w:rsidR="00930C00" w:rsidRPr="00930C00" w:rsidRDefault="00930C00" w:rsidP="00930C00">
            <w:pPr>
              <w:spacing w:line="360" w:lineRule="auto"/>
              <w:jc w:val="center"/>
              <w:rPr>
                <w:rFonts w:eastAsia="Times New Roman" w:cs="Times New Roman"/>
                <w:sz w:val="24"/>
                <w:szCs w:val="24"/>
              </w:rPr>
            </w:pPr>
          </w:p>
        </w:tc>
        <w:tc>
          <w:tcPr>
            <w:tcW w:w="2572" w:type="dxa"/>
            <w:tcBorders>
              <w:top w:val="nil"/>
              <w:left w:val="nil"/>
              <w:bottom w:val="single" w:sz="8" w:space="0" w:color="auto"/>
              <w:right w:val="nil"/>
            </w:tcBorders>
            <w:noWrap/>
            <w:tcMar>
              <w:top w:w="15" w:type="dxa"/>
              <w:left w:w="15" w:type="dxa"/>
              <w:bottom w:w="0" w:type="dxa"/>
              <w:right w:w="15" w:type="dxa"/>
            </w:tcMar>
            <w:vAlign w:val="center"/>
          </w:tcPr>
          <w:p w:rsidR="00930C00" w:rsidRPr="00930C00" w:rsidRDefault="00930C00" w:rsidP="000A76E8">
            <w:pPr>
              <w:spacing w:line="360" w:lineRule="auto"/>
              <w:jc w:val="center"/>
              <w:rPr>
                <w:rFonts w:eastAsia="Times New Roman" w:cs="Times New Roman"/>
                <w:sz w:val="24"/>
                <w:szCs w:val="24"/>
              </w:rPr>
            </w:pPr>
            <w:r w:rsidRPr="00930C00">
              <w:rPr>
                <w:rFonts w:eastAsia="Times New Roman" w:cs="Times New Roman"/>
                <w:sz w:val="24"/>
                <w:szCs w:val="24"/>
              </w:rPr>
              <w:t>Igaunijai</w:t>
            </w:r>
          </w:p>
        </w:tc>
        <w:tc>
          <w:tcPr>
            <w:tcW w:w="2977" w:type="dxa"/>
            <w:tcBorders>
              <w:top w:val="nil"/>
              <w:left w:val="single" w:sz="8" w:space="0" w:color="auto"/>
              <w:bottom w:val="single" w:sz="8" w:space="0" w:color="auto"/>
              <w:right w:val="single" w:sz="8" w:space="0" w:color="auto"/>
            </w:tcBorders>
            <w:noWrap/>
            <w:tcMar>
              <w:top w:w="15" w:type="dxa"/>
              <w:left w:w="15" w:type="dxa"/>
              <w:bottom w:w="0" w:type="dxa"/>
              <w:right w:w="15" w:type="dxa"/>
            </w:tcMar>
            <w:vAlign w:val="center"/>
          </w:tcPr>
          <w:p w:rsidR="00930C00" w:rsidRPr="00930C00" w:rsidRDefault="00930C00" w:rsidP="000A76E8">
            <w:pPr>
              <w:spacing w:line="360" w:lineRule="auto"/>
              <w:jc w:val="center"/>
              <w:rPr>
                <w:rFonts w:eastAsia="Times New Roman" w:cs="Times New Roman"/>
                <w:sz w:val="24"/>
                <w:szCs w:val="24"/>
              </w:rPr>
            </w:pPr>
            <w:r w:rsidRPr="00930C00">
              <w:rPr>
                <w:rFonts w:eastAsia="Times New Roman" w:cs="Times New Roman"/>
                <w:sz w:val="24"/>
                <w:szCs w:val="24"/>
              </w:rPr>
              <w:t>431,4</w:t>
            </w:r>
          </w:p>
        </w:tc>
      </w:tr>
      <w:tr w:rsidR="00930C00" w:rsidRPr="00930C00" w:rsidTr="000A76E8">
        <w:trPr>
          <w:trHeight w:val="330"/>
        </w:trPr>
        <w:tc>
          <w:tcPr>
            <w:tcW w:w="3255" w:type="dxa"/>
            <w:tcBorders>
              <w:top w:val="nil"/>
              <w:left w:val="single" w:sz="8" w:space="0" w:color="auto"/>
              <w:bottom w:val="single" w:sz="8" w:space="0" w:color="auto"/>
              <w:right w:val="single" w:sz="8" w:space="0" w:color="auto"/>
            </w:tcBorders>
            <w:noWrap/>
            <w:tcMar>
              <w:top w:w="15" w:type="dxa"/>
              <w:left w:w="15" w:type="dxa"/>
              <w:bottom w:w="0" w:type="dxa"/>
              <w:right w:w="15" w:type="dxa"/>
            </w:tcMar>
            <w:vAlign w:val="bottom"/>
          </w:tcPr>
          <w:p w:rsidR="00930C00" w:rsidRPr="00930C00" w:rsidRDefault="00930C00" w:rsidP="00930C00">
            <w:pPr>
              <w:spacing w:line="360" w:lineRule="auto"/>
              <w:jc w:val="center"/>
              <w:rPr>
                <w:rFonts w:eastAsia="Times New Roman" w:cs="Times New Roman"/>
                <w:sz w:val="24"/>
                <w:szCs w:val="24"/>
              </w:rPr>
            </w:pPr>
          </w:p>
        </w:tc>
        <w:tc>
          <w:tcPr>
            <w:tcW w:w="2572" w:type="dxa"/>
            <w:tcBorders>
              <w:top w:val="nil"/>
              <w:left w:val="nil"/>
              <w:bottom w:val="single" w:sz="8" w:space="0" w:color="auto"/>
              <w:right w:val="nil"/>
            </w:tcBorders>
            <w:noWrap/>
            <w:tcMar>
              <w:top w:w="15" w:type="dxa"/>
              <w:left w:w="15" w:type="dxa"/>
              <w:bottom w:w="0" w:type="dxa"/>
              <w:right w:w="15" w:type="dxa"/>
            </w:tcMar>
            <w:vAlign w:val="center"/>
          </w:tcPr>
          <w:p w:rsidR="00930C00" w:rsidRPr="00930C00" w:rsidRDefault="00930C00" w:rsidP="000A76E8">
            <w:pPr>
              <w:spacing w:line="360" w:lineRule="auto"/>
              <w:jc w:val="center"/>
              <w:rPr>
                <w:rFonts w:eastAsia="Times New Roman" w:cs="Times New Roman"/>
                <w:sz w:val="24"/>
                <w:szCs w:val="24"/>
              </w:rPr>
            </w:pPr>
            <w:r w:rsidRPr="00930C00">
              <w:rPr>
                <w:rFonts w:eastAsia="Times New Roman" w:cs="Times New Roman"/>
                <w:sz w:val="24"/>
                <w:szCs w:val="24"/>
              </w:rPr>
              <w:t>Krievijai</w:t>
            </w:r>
          </w:p>
        </w:tc>
        <w:tc>
          <w:tcPr>
            <w:tcW w:w="2977" w:type="dxa"/>
            <w:tcBorders>
              <w:top w:val="nil"/>
              <w:left w:val="single" w:sz="8" w:space="0" w:color="auto"/>
              <w:bottom w:val="single" w:sz="8" w:space="0" w:color="auto"/>
              <w:right w:val="single" w:sz="8" w:space="0" w:color="auto"/>
            </w:tcBorders>
            <w:noWrap/>
            <w:tcMar>
              <w:top w:w="15" w:type="dxa"/>
              <w:left w:w="15" w:type="dxa"/>
              <w:bottom w:w="0" w:type="dxa"/>
              <w:right w:w="15" w:type="dxa"/>
            </w:tcMar>
            <w:vAlign w:val="center"/>
          </w:tcPr>
          <w:p w:rsidR="00930C00" w:rsidRPr="00930C00" w:rsidRDefault="00930C00" w:rsidP="000A76E8">
            <w:pPr>
              <w:spacing w:line="360" w:lineRule="auto"/>
              <w:jc w:val="center"/>
              <w:rPr>
                <w:rFonts w:eastAsia="Times New Roman" w:cs="Times New Roman"/>
                <w:sz w:val="24"/>
                <w:szCs w:val="24"/>
              </w:rPr>
            </w:pPr>
            <w:r w:rsidRPr="00930C00">
              <w:rPr>
                <w:rFonts w:eastAsia="Times New Roman" w:cs="Times New Roman"/>
                <w:sz w:val="24"/>
                <w:szCs w:val="24"/>
              </w:rPr>
              <w:t>386,2</w:t>
            </w:r>
          </w:p>
        </w:tc>
      </w:tr>
      <w:tr w:rsidR="00930C00" w:rsidRPr="00930C00" w:rsidTr="000A76E8">
        <w:trPr>
          <w:trHeight w:val="156"/>
        </w:trPr>
        <w:tc>
          <w:tcPr>
            <w:tcW w:w="3255" w:type="dxa"/>
            <w:tcBorders>
              <w:top w:val="single" w:sz="4" w:space="0" w:color="auto"/>
              <w:left w:val="single" w:sz="8" w:space="0" w:color="auto"/>
              <w:bottom w:val="single" w:sz="4" w:space="0" w:color="auto"/>
              <w:right w:val="single" w:sz="8" w:space="0" w:color="auto"/>
            </w:tcBorders>
            <w:noWrap/>
            <w:tcMar>
              <w:top w:w="15" w:type="dxa"/>
              <w:left w:w="15" w:type="dxa"/>
              <w:bottom w:w="0" w:type="dxa"/>
              <w:right w:w="15" w:type="dxa"/>
            </w:tcMar>
            <w:vAlign w:val="bottom"/>
          </w:tcPr>
          <w:p w:rsidR="00930C00" w:rsidRPr="00930C00" w:rsidRDefault="00930C00" w:rsidP="00930C00">
            <w:pPr>
              <w:spacing w:line="360" w:lineRule="auto"/>
              <w:jc w:val="center"/>
              <w:rPr>
                <w:rFonts w:eastAsia="Times New Roman" w:cs="Times New Roman"/>
                <w:sz w:val="24"/>
                <w:szCs w:val="24"/>
              </w:rPr>
            </w:pPr>
          </w:p>
        </w:tc>
        <w:tc>
          <w:tcPr>
            <w:tcW w:w="2572" w:type="dxa"/>
            <w:tcBorders>
              <w:top w:val="single" w:sz="4" w:space="0" w:color="auto"/>
              <w:left w:val="nil"/>
              <w:bottom w:val="single" w:sz="4" w:space="0" w:color="auto"/>
              <w:right w:val="nil"/>
            </w:tcBorders>
            <w:noWrap/>
            <w:tcMar>
              <w:top w:w="15" w:type="dxa"/>
              <w:left w:w="15" w:type="dxa"/>
              <w:bottom w:w="0" w:type="dxa"/>
              <w:right w:w="15" w:type="dxa"/>
            </w:tcMar>
            <w:vAlign w:val="center"/>
          </w:tcPr>
          <w:p w:rsidR="00930C00" w:rsidRPr="00930C00" w:rsidRDefault="00930C00" w:rsidP="000A76E8">
            <w:pPr>
              <w:spacing w:line="360" w:lineRule="auto"/>
              <w:jc w:val="center"/>
              <w:rPr>
                <w:rFonts w:eastAsia="Times New Roman" w:cs="Times New Roman"/>
                <w:sz w:val="24"/>
                <w:szCs w:val="24"/>
              </w:rPr>
            </w:pPr>
            <w:r w:rsidRPr="00930C00">
              <w:rPr>
                <w:rFonts w:eastAsia="Times New Roman" w:cs="Times New Roman"/>
                <w:sz w:val="24"/>
                <w:szCs w:val="24"/>
              </w:rPr>
              <w:t>Lietuvai</w:t>
            </w:r>
          </w:p>
        </w:tc>
        <w:tc>
          <w:tcPr>
            <w:tcW w:w="2977" w:type="dxa"/>
            <w:tcBorders>
              <w:top w:val="single" w:sz="4" w:space="0" w:color="auto"/>
              <w:left w:val="single" w:sz="8" w:space="0" w:color="auto"/>
              <w:bottom w:val="single" w:sz="4" w:space="0" w:color="auto"/>
              <w:right w:val="single" w:sz="8" w:space="0" w:color="auto"/>
            </w:tcBorders>
            <w:noWrap/>
            <w:tcMar>
              <w:top w:w="15" w:type="dxa"/>
              <w:left w:w="15" w:type="dxa"/>
              <w:bottom w:w="0" w:type="dxa"/>
              <w:right w:w="15" w:type="dxa"/>
            </w:tcMar>
            <w:vAlign w:val="center"/>
          </w:tcPr>
          <w:p w:rsidR="00930C00" w:rsidRPr="00930C00" w:rsidRDefault="00930C00" w:rsidP="000A76E8">
            <w:pPr>
              <w:spacing w:line="360" w:lineRule="auto"/>
              <w:jc w:val="center"/>
              <w:rPr>
                <w:rFonts w:eastAsia="Times New Roman" w:cs="Times New Roman"/>
                <w:sz w:val="24"/>
                <w:szCs w:val="24"/>
              </w:rPr>
            </w:pPr>
            <w:r w:rsidRPr="00930C00">
              <w:rPr>
                <w:rFonts w:eastAsia="Times New Roman" w:cs="Times New Roman"/>
                <w:sz w:val="24"/>
                <w:szCs w:val="24"/>
              </w:rPr>
              <w:t>6,4</w:t>
            </w:r>
          </w:p>
        </w:tc>
      </w:tr>
      <w:tr w:rsidR="00930C00" w:rsidRPr="00930C00" w:rsidTr="000A76E8">
        <w:trPr>
          <w:trHeight w:val="315"/>
        </w:trPr>
        <w:tc>
          <w:tcPr>
            <w:tcW w:w="3255" w:type="dxa"/>
            <w:tcBorders>
              <w:top w:val="single" w:sz="4" w:space="0" w:color="auto"/>
              <w:left w:val="single" w:sz="8" w:space="0" w:color="auto"/>
              <w:bottom w:val="nil"/>
              <w:right w:val="single" w:sz="8" w:space="0" w:color="auto"/>
            </w:tcBorders>
            <w:noWrap/>
            <w:tcMar>
              <w:top w:w="15" w:type="dxa"/>
              <w:left w:w="15" w:type="dxa"/>
              <w:bottom w:w="0" w:type="dxa"/>
              <w:right w:w="15" w:type="dxa"/>
            </w:tcMar>
            <w:vAlign w:val="bottom"/>
          </w:tcPr>
          <w:p w:rsidR="00930C00" w:rsidRPr="00930C00" w:rsidRDefault="00930C00" w:rsidP="00D37C8F">
            <w:pPr>
              <w:jc w:val="center"/>
              <w:rPr>
                <w:rFonts w:eastAsia="Times New Roman" w:cs="Times New Roman"/>
                <w:sz w:val="24"/>
                <w:szCs w:val="24"/>
              </w:rPr>
            </w:pPr>
            <w:r w:rsidRPr="00930C00">
              <w:rPr>
                <w:rFonts w:eastAsia="Times New Roman" w:cs="Times New Roman"/>
                <w:sz w:val="24"/>
                <w:szCs w:val="24"/>
              </w:rPr>
              <w:t>Diennaktī ar maksimālo patēriņu Latvijā</w:t>
            </w:r>
          </w:p>
        </w:tc>
        <w:tc>
          <w:tcPr>
            <w:tcW w:w="2572" w:type="dxa"/>
            <w:tcBorders>
              <w:top w:val="single" w:sz="4" w:space="0" w:color="auto"/>
              <w:left w:val="nil"/>
              <w:bottom w:val="nil"/>
              <w:right w:val="nil"/>
            </w:tcBorders>
            <w:noWrap/>
            <w:tcMar>
              <w:top w:w="15" w:type="dxa"/>
              <w:left w:w="15" w:type="dxa"/>
              <w:bottom w:w="0" w:type="dxa"/>
              <w:right w:w="15" w:type="dxa"/>
            </w:tcMar>
            <w:vAlign w:val="center"/>
          </w:tcPr>
          <w:p w:rsidR="00930C00" w:rsidRPr="00930C00" w:rsidRDefault="00930C00" w:rsidP="000A76E8">
            <w:pPr>
              <w:spacing w:line="360" w:lineRule="auto"/>
              <w:jc w:val="center"/>
              <w:rPr>
                <w:rFonts w:eastAsia="Times New Roman" w:cs="Times New Roman"/>
                <w:sz w:val="24"/>
                <w:szCs w:val="24"/>
              </w:rPr>
            </w:pPr>
          </w:p>
        </w:tc>
        <w:tc>
          <w:tcPr>
            <w:tcW w:w="2977" w:type="dxa"/>
            <w:tcBorders>
              <w:top w:val="single" w:sz="4" w:space="0" w:color="auto"/>
              <w:left w:val="single" w:sz="8" w:space="0" w:color="auto"/>
              <w:bottom w:val="nil"/>
              <w:right w:val="single" w:sz="8" w:space="0" w:color="auto"/>
            </w:tcBorders>
            <w:noWrap/>
            <w:tcMar>
              <w:top w:w="15" w:type="dxa"/>
              <w:left w:w="15" w:type="dxa"/>
              <w:bottom w:w="0" w:type="dxa"/>
              <w:right w:w="15" w:type="dxa"/>
            </w:tcMar>
            <w:vAlign w:val="center"/>
          </w:tcPr>
          <w:p w:rsidR="00930C00" w:rsidRPr="00930C00" w:rsidRDefault="00930C00" w:rsidP="000A76E8">
            <w:pPr>
              <w:spacing w:line="360" w:lineRule="auto"/>
              <w:jc w:val="center"/>
              <w:rPr>
                <w:rFonts w:eastAsia="Times New Roman" w:cs="Times New Roman"/>
                <w:sz w:val="24"/>
                <w:szCs w:val="24"/>
              </w:rPr>
            </w:pPr>
          </w:p>
        </w:tc>
      </w:tr>
      <w:tr w:rsidR="00930C00" w:rsidRPr="00930C00" w:rsidTr="000A76E8">
        <w:trPr>
          <w:trHeight w:val="330"/>
        </w:trPr>
        <w:tc>
          <w:tcPr>
            <w:tcW w:w="3255" w:type="dxa"/>
            <w:tcBorders>
              <w:top w:val="nil"/>
              <w:left w:val="single" w:sz="8" w:space="0" w:color="auto"/>
              <w:bottom w:val="single" w:sz="8" w:space="0" w:color="auto"/>
              <w:right w:val="single" w:sz="8" w:space="0" w:color="auto"/>
            </w:tcBorders>
            <w:noWrap/>
            <w:tcMar>
              <w:top w:w="15" w:type="dxa"/>
              <w:left w:w="15" w:type="dxa"/>
              <w:bottom w:w="0" w:type="dxa"/>
              <w:right w:w="15" w:type="dxa"/>
            </w:tcMar>
            <w:vAlign w:val="bottom"/>
          </w:tcPr>
          <w:p w:rsidR="00930C00" w:rsidRPr="00930C00" w:rsidRDefault="00930C00" w:rsidP="00D37C8F">
            <w:pPr>
              <w:spacing w:line="360" w:lineRule="auto"/>
              <w:jc w:val="center"/>
              <w:rPr>
                <w:rFonts w:eastAsia="Times New Roman" w:cs="Times New Roman"/>
                <w:sz w:val="24"/>
                <w:szCs w:val="24"/>
              </w:rPr>
            </w:pPr>
            <w:r w:rsidRPr="00930C00">
              <w:rPr>
                <w:rFonts w:eastAsia="Times New Roman" w:cs="Times New Roman"/>
                <w:sz w:val="24"/>
                <w:szCs w:val="24"/>
              </w:rPr>
              <w:t>19,5 milj.m</w:t>
            </w:r>
            <w:r w:rsidRPr="00930C00">
              <w:rPr>
                <w:rFonts w:eastAsia="Times New Roman" w:cs="Times New Roman"/>
                <w:sz w:val="24"/>
                <w:szCs w:val="24"/>
                <w:vertAlign w:val="superscript"/>
              </w:rPr>
              <w:t>3</w:t>
            </w:r>
          </w:p>
        </w:tc>
        <w:tc>
          <w:tcPr>
            <w:tcW w:w="2572" w:type="dxa"/>
            <w:tcBorders>
              <w:top w:val="nil"/>
              <w:left w:val="nil"/>
              <w:bottom w:val="single" w:sz="8" w:space="0" w:color="auto"/>
              <w:right w:val="nil"/>
            </w:tcBorders>
            <w:noWrap/>
            <w:tcMar>
              <w:top w:w="15" w:type="dxa"/>
              <w:left w:w="15" w:type="dxa"/>
              <w:bottom w:w="0" w:type="dxa"/>
              <w:right w:w="15" w:type="dxa"/>
            </w:tcMar>
            <w:vAlign w:val="center"/>
          </w:tcPr>
          <w:p w:rsidR="00930C00" w:rsidRPr="00930C00" w:rsidRDefault="00930C00" w:rsidP="000A76E8">
            <w:pPr>
              <w:spacing w:line="360" w:lineRule="auto"/>
              <w:jc w:val="center"/>
              <w:rPr>
                <w:rFonts w:eastAsia="Times New Roman" w:cs="Times New Roman"/>
                <w:sz w:val="24"/>
                <w:szCs w:val="24"/>
              </w:rPr>
            </w:pPr>
            <w:r w:rsidRPr="00930C00">
              <w:rPr>
                <w:rFonts w:eastAsia="Times New Roman" w:cs="Times New Roman"/>
                <w:sz w:val="24"/>
                <w:szCs w:val="24"/>
              </w:rPr>
              <w:t>10,1 milj.m</w:t>
            </w:r>
            <w:r w:rsidRPr="00930C00">
              <w:rPr>
                <w:rFonts w:eastAsia="Times New Roman" w:cs="Times New Roman"/>
                <w:sz w:val="24"/>
                <w:szCs w:val="24"/>
                <w:vertAlign w:val="superscript"/>
              </w:rPr>
              <w:t>3</w:t>
            </w:r>
          </w:p>
        </w:tc>
        <w:tc>
          <w:tcPr>
            <w:tcW w:w="2977" w:type="dxa"/>
            <w:tcBorders>
              <w:top w:val="nil"/>
              <w:left w:val="single" w:sz="8" w:space="0" w:color="auto"/>
              <w:bottom w:val="single" w:sz="8" w:space="0" w:color="auto"/>
              <w:right w:val="single" w:sz="8" w:space="0" w:color="auto"/>
            </w:tcBorders>
            <w:noWrap/>
            <w:tcMar>
              <w:top w:w="15" w:type="dxa"/>
              <w:left w:w="15" w:type="dxa"/>
              <w:bottom w:w="0" w:type="dxa"/>
              <w:right w:w="15" w:type="dxa"/>
            </w:tcMar>
            <w:vAlign w:val="center"/>
          </w:tcPr>
          <w:p w:rsidR="00930C00" w:rsidRPr="00930C00" w:rsidRDefault="00930C00" w:rsidP="000A76E8">
            <w:pPr>
              <w:spacing w:line="360" w:lineRule="auto"/>
              <w:jc w:val="center"/>
              <w:rPr>
                <w:rFonts w:eastAsia="Times New Roman" w:cs="Times New Roman"/>
                <w:sz w:val="24"/>
                <w:szCs w:val="24"/>
              </w:rPr>
            </w:pPr>
            <w:r w:rsidRPr="00930C00">
              <w:rPr>
                <w:rFonts w:eastAsia="Times New Roman" w:cs="Times New Roman"/>
                <w:sz w:val="24"/>
                <w:szCs w:val="24"/>
              </w:rPr>
              <w:t>9,4 milj.m</w:t>
            </w:r>
            <w:r w:rsidRPr="00930C00">
              <w:rPr>
                <w:rFonts w:eastAsia="Times New Roman" w:cs="Times New Roman"/>
                <w:sz w:val="24"/>
                <w:szCs w:val="24"/>
                <w:vertAlign w:val="superscript"/>
              </w:rPr>
              <w:t>3</w:t>
            </w:r>
          </w:p>
        </w:tc>
      </w:tr>
      <w:tr w:rsidR="00930C00" w:rsidRPr="00930C00" w:rsidTr="000A76E8">
        <w:trPr>
          <w:trHeight w:val="315"/>
        </w:trPr>
        <w:tc>
          <w:tcPr>
            <w:tcW w:w="3255" w:type="dxa"/>
            <w:tcBorders>
              <w:top w:val="nil"/>
              <w:left w:val="single" w:sz="8" w:space="0" w:color="auto"/>
              <w:bottom w:val="nil"/>
              <w:right w:val="single" w:sz="8" w:space="0" w:color="auto"/>
            </w:tcBorders>
            <w:noWrap/>
            <w:tcMar>
              <w:top w:w="15" w:type="dxa"/>
              <w:left w:w="15" w:type="dxa"/>
              <w:bottom w:w="0" w:type="dxa"/>
              <w:right w:w="15" w:type="dxa"/>
            </w:tcMar>
            <w:vAlign w:val="bottom"/>
          </w:tcPr>
          <w:p w:rsidR="00930C00" w:rsidRPr="00930C00" w:rsidRDefault="00930C00" w:rsidP="00930C00">
            <w:pPr>
              <w:rPr>
                <w:rFonts w:eastAsia="Times New Roman" w:cs="Times New Roman"/>
                <w:sz w:val="24"/>
                <w:szCs w:val="24"/>
              </w:rPr>
            </w:pPr>
            <w:r w:rsidRPr="00930C00">
              <w:rPr>
                <w:rFonts w:eastAsia="Times New Roman" w:cs="Times New Roman"/>
                <w:sz w:val="24"/>
                <w:szCs w:val="24"/>
              </w:rPr>
              <w:t xml:space="preserve"> Stundā ar maksimālo patēriņu</w:t>
            </w:r>
          </w:p>
        </w:tc>
        <w:tc>
          <w:tcPr>
            <w:tcW w:w="2572" w:type="dxa"/>
            <w:tcBorders>
              <w:top w:val="nil"/>
              <w:left w:val="nil"/>
              <w:bottom w:val="nil"/>
              <w:right w:val="nil"/>
            </w:tcBorders>
            <w:noWrap/>
            <w:tcMar>
              <w:top w:w="15" w:type="dxa"/>
              <w:left w:w="15" w:type="dxa"/>
              <w:bottom w:w="0" w:type="dxa"/>
              <w:right w:w="15" w:type="dxa"/>
            </w:tcMar>
            <w:vAlign w:val="center"/>
          </w:tcPr>
          <w:p w:rsidR="00930C00" w:rsidRPr="00930C00" w:rsidRDefault="00930C00" w:rsidP="000A76E8">
            <w:pPr>
              <w:spacing w:line="360" w:lineRule="auto"/>
              <w:jc w:val="center"/>
              <w:rPr>
                <w:rFonts w:eastAsia="Times New Roman" w:cs="Times New Roman"/>
                <w:sz w:val="24"/>
                <w:szCs w:val="24"/>
              </w:rPr>
            </w:pPr>
          </w:p>
        </w:tc>
        <w:tc>
          <w:tcPr>
            <w:tcW w:w="2977" w:type="dxa"/>
            <w:tcBorders>
              <w:top w:val="nil"/>
              <w:left w:val="single" w:sz="8" w:space="0" w:color="auto"/>
              <w:bottom w:val="nil"/>
              <w:right w:val="single" w:sz="8" w:space="0" w:color="auto"/>
            </w:tcBorders>
            <w:noWrap/>
            <w:tcMar>
              <w:top w:w="15" w:type="dxa"/>
              <w:left w:w="15" w:type="dxa"/>
              <w:bottom w:w="0" w:type="dxa"/>
              <w:right w:w="15" w:type="dxa"/>
            </w:tcMar>
            <w:vAlign w:val="center"/>
          </w:tcPr>
          <w:p w:rsidR="00930C00" w:rsidRPr="00930C00" w:rsidRDefault="00930C00" w:rsidP="000A76E8">
            <w:pPr>
              <w:spacing w:line="360" w:lineRule="auto"/>
              <w:jc w:val="center"/>
              <w:rPr>
                <w:rFonts w:eastAsia="Times New Roman" w:cs="Times New Roman"/>
                <w:sz w:val="24"/>
                <w:szCs w:val="24"/>
              </w:rPr>
            </w:pPr>
          </w:p>
        </w:tc>
      </w:tr>
      <w:tr w:rsidR="00930C00" w:rsidRPr="00930C00" w:rsidTr="000A76E8">
        <w:trPr>
          <w:trHeight w:val="330"/>
        </w:trPr>
        <w:tc>
          <w:tcPr>
            <w:tcW w:w="3255" w:type="dxa"/>
            <w:tcBorders>
              <w:top w:val="nil"/>
              <w:left w:val="single" w:sz="8" w:space="0" w:color="auto"/>
              <w:bottom w:val="single" w:sz="8" w:space="0" w:color="auto"/>
              <w:right w:val="single" w:sz="8" w:space="0" w:color="auto"/>
            </w:tcBorders>
            <w:noWrap/>
            <w:tcMar>
              <w:top w:w="15" w:type="dxa"/>
              <w:left w:w="15" w:type="dxa"/>
              <w:bottom w:w="0" w:type="dxa"/>
              <w:right w:w="15" w:type="dxa"/>
            </w:tcMar>
            <w:vAlign w:val="bottom"/>
          </w:tcPr>
          <w:p w:rsidR="00930C00" w:rsidRPr="00930C00" w:rsidRDefault="00930C00" w:rsidP="00930C00">
            <w:pPr>
              <w:spacing w:line="360" w:lineRule="auto"/>
              <w:jc w:val="center"/>
              <w:rPr>
                <w:rFonts w:eastAsia="Times New Roman" w:cs="Times New Roman"/>
                <w:sz w:val="24"/>
                <w:szCs w:val="24"/>
              </w:rPr>
            </w:pPr>
            <w:r w:rsidRPr="00930C00">
              <w:rPr>
                <w:rFonts w:eastAsia="Times New Roman" w:cs="Times New Roman"/>
                <w:sz w:val="24"/>
                <w:szCs w:val="24"/>
              </w:rPr>
              <w:t>0,820 milj.m</w:t>
            </w:r>
            <w:r w:rsidRPr="00930C00">
              <w:rPr>
                <w:rFonts w:eastAsia="Times New Roman" w:cs="Times New Roman"/>
                <w:sz w:val="24"/>
                <w:szCs w:val="24"/>
                <w:vertAlign w:val="superscript"/>
              </w:rPr>
              <w:t>3</w:t>
            </w:r>
          </w:p>
        </w:tc>
        <w:tc>
          <w:tcPr>
            <w:tcW w:w="2572" w:type="dxa"/>
            <w:tcBorders>
              <w:top w:val="nil"/>
              <w:left w:val="nil"/>
              <w:bottom w:val="single" w:sz="8" w:space="0" w:color="auto"/>
              <w:right w:val="nil"/>
            </w:tcBorders>
            <w:noWrap/>
            <w:tcMar>
              <w:top w:w="15" w:type="dxa"/>
              <w:left w:w="15" w:type="dxa"/>
              <w:bottom w:w="0" w:type="dxa"/>
              <w:right w:w="15" w:type="dxa"/>
            </w:tcMar>
            <w:vAlign w:val="center"/>
          </w:tcPr>
          <w:p w:rsidR="00930C00" w:rsidRPr="00930C00" w:rsidRDefault="00930C00" w:rsidP="000A76E8">
            <w:pPr>
              <w:spacing w:line="360" w:lineRule="auto"/>
              <w:jc w:val="center"/>
              <w:rPr>
                <w:rFonts w:eastAsia="Times New Roman" w:cs="Times New Roman"/>
                <w:sz w:val="24"/>
                <w:szCs w:val="24"/>
              </w:rPr>
            </w:pPr>
            <w:r w:rsidRPr="00930C00">
              <w:rPr>
                <w:rFonts w:eastAsia="Times New Roman" w:cs="Times New Roman"/>
                <w:sz w:val="24"/>
                <w:szCs w:val="24"/>
              </w:rPr>
              <w:t>0, 438 milj.m</w:t>
            </w:r>
            <w:r w:rsidRPr="00930C00">
              <w:rPr>
                <w:rFonts w:eastAsia="Times New Roman" w:cs="Times New Roman"/>
                <w:sz w:val="24"/>
                <w:szCs w:val="24"/>
                <w:vertAlign w:val="superscript"/>
              </w:rPr>
              <w:t>3</w:t>
            </w:r>
          </w:p>
        </w:tc>
        <w:tc>
          <w:tcPr>
            <w:tcW w:w="2977" w:type="dxa"/>
            <w:tcBorders>
              <w:top w:val="nil"/>
              <w:left w:val="single" w:sz="8" w:space="0" w:color="auto"/>
              <w:bottom w:val="single" w:sz="8" w:space="0" w:color="auto"/>
              <w:right w:val="single" w:sz="8" w:space="0" w:color="auto"/>
            </w:tcBorders>
            <w:noWrap/>
            <w:tcMar>
              <w:top w:w="15" w:type="dxa"/>
              <w:left w:w="15" w:type="dxa"/>
              <w:bottom w:w="0" w:type="dxa"/>
              <w:right w:w="15" w:type="dxa"/>
            </w:tcMar>
            <w:vAlign w:val="center"/>
          </w:tcPr>
          <w:p w:rsidR="00930C00" w:rsidRPr="00930C00" w:rsidRDefault="00930C00" w:rsidP="000A76E8">
            <w:pPr>
              <w:spacing w:line="360" w:lineRule="auto"/>
              <w:jc w:val="center"/>
              <w:rPr>
                <w:rFonts w:eastAsia="Times New Roman" w:cs="Times New Roman"/>
                <w:sz w:val="24"/>
                <w:szCs w:val="24"/>
              </w:rPr>
            </w:pPr>
            <w:r w:rsidRPr="00930C00">
              <w:rPr>
                <w:rFonts w:eastAsia="Times New Roman" w:cs="Times New Roman"/>
                <w:sz w:val="24"/>
                <w:szCs w:val="24"/>
              </w:rPr>
              <w:t>0,382 milj.m</w:t>
            </w:r>
            <w:r w:rsidRPr="00930C00">
              <w:rPr>
                <w:rFonts w:eastAsia="Times New Roman" w:cs="Times New Roman"/>
                <w:sz w:val="24"/>
                <w:szCs w:val="24"/>
                <w:vertAlign w:val="superscript"/>
              </w:rPr>
              <w:t>3</w:t>
            </w:r>
          </w:p>
        </w:tc>
      </w:tr>
    </w:tbl>
    <w:p w:rsidR="00091F3D" w:rsidRDefault="00091F3D" w:rsidP="00091F3D">
      <w:pPr>
        <w:ind w:firstLine="567"/>
        <w:jc w:val="both"/>
      </w:pPr>
    </w:p>
    <w:p w:rsidR="00091F3D" w:rsidRPr="007E7903" w:rsidRDefault="00091F3D" w:rsidP="00091F3D">
      <w:pPr>
        <w:ind w:firstLine="567"/>
        <w:jc w:val="both"/>
      </w:pPr>
      <w:r w:rsidRPr="007E7903">
        <w:t xml:space="preserve">Baltijas valstu </w:t>
      </w:r>
      <w:proofErr w:type="spellStart"/>
      <w:r w:rsidRPr="007E7903">
        <w:t>gāzapgādes</w:t>
      </w:r>
      <w:proofErr w:type="spellEnd"/>
      <w:r w:rsidRPr="007E7903">
        <w:t xml:space="preserve"> sistēmas principiālā shēma ar dabasgāzes piegādes virzienu un piegādes apjomu specifikāciju, īpaši izceļot IPGK nozīmi pašreizējās Baltijas dabasgāzes apgādes struktūrā</w:t>
      </w:r>
      <w:r>
        <w:t xml:space="preserve"> redzama </w:t>
      </w:r>
      <w:r w:rsidR="00FF373C">
        <w:t>20</w:t>
      </w:r>
      <w:r>
        <w:t xml:space="preserve">.attēlā. </w:t>
      </w:r>
      <w:r w:rsidRPr="007E7903">
        <w:t xml:space="preserve">Tāpat iezīmēti arī plānoto vai realizācijas stadijā esošo dabasgāzes infrastruktūras </w:t>
      </w:r>
      <w:proofErr w:type="spellStart"/>
      <w:r w:rsidRPr="007E7903">
        <w:t>starpsavienojumu</w:t>
      </w:r>
      <w:proofErr w:type="spellEnd"/>
      <w:r w:rsidRPr="007E7903">
        <w:t xml:space="preserve"> trasējumi.</w:t>
      </w:r>
    </w:p>
    <w:p w:rsidR="007E7903" w:rsidRPr="007E7903" w:rsidRDefault="007E7903" w:rsidP="007E7903">
      <w:pPr>
        <w:ind w:left="1080"/>
        <w:jc w:val="center"/>
        <w:rPr>
          <w:rFonts w:eastAsia="Times New Roman" w:cs="Times New Roman"/>
          <w:sz w:val="24"/>
          <w:szCs w:val="24"/>
        </w:rPr>
      </w:pPr>
      <w:r w:rsidRPr="007E7903">
        <w:rPr>
          <w:rFonts w:eastAsia="Times New Roman" w:cs="Times New Roman"/>
          <w:noProof/>
          <w:szCs w:val="28"/>
          <w:lang w:eastAsia="lv-LV"/>
        </w:rPr>
        <w:drawing>
          <wp:inline distT="0" distB="0" distL="0" distR="0" wp14:anchorId="6E5FD599" wp14:editId="6D923DFF">
            <wp:extent cx="2810631" cy="3514725"/>
            <wp:effectExtent l="0" t="0" r="8890" b="0"/>
            <wp:docPr id="14"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21858" name="Picture 2"/>
                    <pic:cNvPicPr>
                      <a:picLocks noGrp="1" noChangeAspect="1" noChangeArrowheads="1"/>
                    </pic:cNvPicPr>
                  </pic:nvPicPr>
                  <pic:blipFill>
                    <a:blip r:embed="rId30" cstate="print"/>
                    <a:srcRect/>
                    <a:stretch>
                      <a:fillRect/>
                    </a:stretch>
                  </pic:blipFill>
                  <pic:spPr bwMode="auto">
                    <a:xfrm>
                      <a:off x="0" y="0"/>
                      <a:ext cx="2813786" cy="3518670"/>
                    </a:xfrm>
                    <a:prstGeom prst="rect">
                      <a:avLst/>
                    </a:prstGeom>
                    <a:noFill/>
                    <a:ln w="9525">
                      <a:noFill/>
                      <a:miter lim="800000"/>
                      <a:headEnd/>
                      <a:tailEnd/>
                    </a:ln>
                    <a:effectLst/>
                  </pic:spPr>
                </pic:pic>
              </a:graphicData>
            </a:graphic>
          </wp:inline>
        </w:drawing>
      </w:r>
    </w:p>
    <w:p w:rsidR="007E7903" w:rsidRPr="000A76E8" w:rsidRDefault="00FF373C" w:rsidP="000A76E8">
      <w:pPr>
        <w:pStyle w:val="ListParagraph"/>
        <w:ind w:left="0"/>
        <w:rPr>
          <w:rFonts w:eastAsia="Times New Roman" w:cs="Times New Roman"/>
          <w:b/>
          <w:sz w:val="24"/>
          <w:szCs w:val="24"/>
        </w:rPr>
      </w:pPr>
      <w:r>
        <w:rPr>
          <w:rFonts w:eastAsia="Times New Roman" w:cs="Times New Roman"/>
          <w:b/>
          <w:sz w:val="24"/>
          <w:szCs w:val="24"/>
        </w:rPr>
        <w:t>20</w:t>
      </w:r>
      <w:r w:rsidR="008F7747" w:rsidRPr="000A76E8">
        <w:rPr>
          <w:rFonts w:eastAsia="Times New Roman" w:cs="Times New Roman"/>
          <w:b/>
          <w:sz w:val="24"/>
          <w:szCs w:val="24"/>
        </w:rPr>
        <w:t>.</w:t>
      </w:r>
      <w:r w:rsidR="007E7903" w:rsidRPr="000A76E8">
        <w:rPr>
          <w:rFonts w:eastAsia="Times New Roman" w:cs="Times New Roman"/>
          <w:b/>
          <w:sz w:val="24"/>
          <w:szCs w:val="24"/>
        </w:rPr>
        <w:t>attēls. Dabasgāzes piegādes Latvijai un sezonālā dabasgāzes padošana no IPGK</w:t>
      </w:r>
      <w:r w:rsidR="008B78B3">
        <w:rPr>
          <w:rFonts w:eastAsia="Times New Roman" w:cs="Times New Roman"/>
          <w:b/>
          <w:sz w:val="24"/>
          <w:szCs w:val="24"/>
        </w:rPr>
        <w:t>.</w:t>
      </w:r>
    </w:p>
    <w:p w:rsidR="007E7903" w:rsidRPr="007E7903" w:rsidRDefault="00CA69E3" w:rsidP="007E7903">
      <w:pPr>
        <w:ind w:firstLine="720"/>
        <w:jc w:val="both"/>
        <w:rPr>
          <w:rFonts w:eastAsia="Times New Roman" w:cs="Times New Roman"/>
          <w:szCs w:val="28"/>
        </w:rPr>
      </w:pPr>
      <w:r w:rsidRPr="00CA69E3">
        <w:rPr>
          <w:rFonts w:eastAsia="Times New Roman" w:cs="Times New Roman"/>
          <w:szCs w:val="28"/>
        </w:rPr>
        <w:lastRenderedPageBreak/>
        <w:t xml:space="preserve">Latvijas </w:t>
      </w:r>
      <w:proofErr w:type="spellStart"/>
      <w:r w:rsidRPr="00CA69E3">
        <w:rPr>
          <w:rFonts w:eastAsia="Times New Roman" w:cs="Times New Roman"/>
          <w:szCs w:val="28"/>
        </w:rPr>
        <w:t>gāzapgādes</w:t>
      </w:r>
      <w:proofErr w:type="spellEnd"/>
      <w:r w:rsidRPr="00CA69E3">
        <w:rPr>
          <w:rFonts w:eastAsia="Times New Roman" w:cs="Times New Roman"/>
          <w:szCs w:val="28"/>
        </w:rPr>
        <w:t xml:space="preserve"> sistēmas dabasgāzes pārvades </w:t>
      </w:r>
      <w:r w:rsidR="003832E5">
        <w:rPr>
          <w:rFonts w:eastAsia="Times New Roman" w:cs="Times New Roman"/>
          <w:szCs w:val="28"/>
        </w:rPr>
        <w:t>potenciāls</w:t>
      </w:r>
      <w:r w:rsidR="003832E5" w:rsidRPr="00CA69E3" w:rsidDel="00CA69E3">
        <w:rPr>
          <w:rFonts w:eastAsia="Times New Roman" w:cs="Times New Roman"/>
          <w:szCs w:val="28"/>
        </w:rPr>
        <w:t xml:space="preserve"> </w:t>
      </w:r>
      <w:r>
        <w:rPr>
          <w:rFonts w:eastAsia="Times New Roman" w:cs="Times New Roman"/>
          <w:szCs w:val="28"/>
        </w:rPr>
        <w:t xml:space="preserve">redzama </w:t>
      </w:r>
      <w:r w:rsidR="000A76E8">
        <w:rPr>
          <w:rFonts w:eastAsia="Times New Roman" w:cs="Times New Roman"/>
          <w:szCs w:val="28"/>
        </w:rPr>
        <w:t>9</w:t>
      </w:r>
      <w:r w:rsidR="007E7903" w:rsidRPr="007E7903">
        <w:rPr>
          <w:rFonts w:eastAsia="Times New Roman" w:cs="Times New Roman"/>
          <w:szCs w:val="28"/>
        </w:rPr>
        <w:t xml:space="preserve">.tabulā, kur norādīta maksimālā dabasgāzes pārvades jauda uz Latvijas – Krievijas, Latvijas – Lietuvas un Latvijas – Igaunijas robežām caur Kornetu, </w:t>
      </w:r>
      <w:proofErr w:type="spellStart"/>
      <w:r w:rsidR="007E7903" w:rsidRPr="007E7903">
        <w:rPr>
          <w:rFonts w:eastAsia="Times New Roman" w:cs="Times New Roman"/>
          <w:szCs w:val="28"/>
        </w:rPr>
        <w:t>Kiemenai</w:t>
      </w:r>
      <w:proofErr w:type="spellEnd"/>
      <w:r w:rsidR="007E7903" w:rsidRPr="007E7903">
        <w:rPr>
          <w:rFonts w:eastAsia="Times New Roman" w:cs="Times New Roman"/>
          <w:szCs w:val="28"/>
        </w:rPr>
        <w:t xml:space="preserve"> un </w:t>
      </w:r>
      <w:proofErr w:type="spellStart"/>
      <w:r w:rsidR="007E7903" w:rsidRPr="007E7903">
        <w:rPr>
          <w:rFonts w:eastAsia="Times New Roman" w:cs="Times New Roman"/>
          <w:szCs w:val="28"/>
        </w:rPr>
        <w:t>Karksi</w:t>
      </w:r>
      <w:proofErr w:type="spellEnd"/>
      <w:r w:rsidR="007E7903" w:rsidRPr="007E7903">
        <w:rPr>
          <w:rFonts w:eastAsia="Times New Roman" w:cs="Times New Roman"/>
          <w:szCs w:val="28"/>
        </w:rPr>
        <w:t xml:space="preserve"> gāzes mērīšanas stacijām (</w:t>
      </w:r>
      <w:r w:rsidR="003832E5">
        <w:rPr>
          <w:rFonts w:eastAsia="Times New Roman" w:cs="Times New Roman"/>
          <w:szCs w:val="28"/>
        </w:rPr>
        <w:t xml:space="preserve">turpmāk - </w:t>
      </w:r>
      <w:r w:rsidR="007E7903" w:rsidRPr="007E7903">
        <w:rPr>
          <w:rFonts w:eastAsia="Times New Roman" w:cs="Times New Roman"/>
          <w:szCs w:val="28"/>
        </w:rPr>
        <w:t>GMS)</w:t>
      </w:r>
      <w:r w:rsidR="00941C8A">
        <w:rPr>
          <w:rFonts w:eastAsia="Times New Roman" w:cs="Times New Roman"/>
          <w:szCs w:val="28"/>
        </w:rPr>
        <w:t xml:space="preserve">. </w:t>
      </w:r>
    </w:p>
    <w:p w:rsidR="007E7903" w:rsidRPr="000A76E8" w:rsidRDefault="000A76E8" w:rsidP="000A76E8">
      <w:pPr>
        <w:jc w:val="right"/>
        <w:rPr>
          <w:rFonts w:eastAsia="Times New Roman" w:cs="Times New Roman"/>
          <w:szCs w:val="28"/>
        </w:rPr>
      </w:pPr>
      <w:r>
        <w:rPr>
          <w:rFonts w:eastAsia="Times New Roman" w:cs="Times New Roman"/>
          <w:szCs w:val="28"/>
        </w:rPr>
        <w:t>9</w:t>
      </w:r>
      <w:r w:rsidR="007E7903" w:rsidRPr="000A76E8">
        <w:rPr>
          <w:rFonts w:eastAsia="Times New Roman" w:cs="Times New Roman"/>
          <w:szCs w:val="28"/>
        </w:rPr>
        <w:t xml:space="preserve">.tabula. </w:t>
      </w:r>
    </w:p>
    <w:p w:rsidR="007E7903" w:rsidRPr="00F1036B" w:rsidRDefault="007E7903" w:rsidP="007E7903">
      <w:pPr>
        <w:jc w:val="center"/>
        <w:rPr>
          <w:rFonts w:eastAsia="Times New Roman" w:cs="Times New Roman"/>
          <w:b/>
          <w:szCs w:val="28"/>
        </w:rPr>
      </w:pPr>
      <w:r w:rsidRPr="00F1036B">
        <w:rPr>
          <w:rFonts w:eastAsia="Times New Roman" w:cs="Times New Roman"/>
          <w:b/>
          <w:szCs w:val="28"/>
        </w:rPr>
        <w:t xml:space="preserve">Latvijas </w:t>
      </w:r>
      <w:proofErr w:type="spellStart"/>
      <w:r w:rsidRPr="00F1036B">
        <w:rPr>
          <w:rFonts w:eastAsia="Times New Roman" w:cs="Times New Roman"/>
          <w:b/>
          <w:szCs w:val="28"/>
        </w:rPr>
        <w:t>gāzapgādes</w:t>
      </w:r>
      <w:proofErr w:type="spellEnd"/>
      <w:r w:rsidRPr="00F1036B">
        <w:rPr>
          <w:rFonts w:eastAsia="Times New Roman" w:cs="Times New Roman"/>
          <w:b/>
          <w:szCs w:val="28"/>
        </w:rPr>
        <w:t xml:space="preserve"> sistēmas </w:t>
      </w:r>
      <w:r w:rsidR="00F1036B">
        <w:rPr>
          <w:rFonts w:eastAsia="Times New Roman" w:cs="Times New Roman"/>
          <w:b/>
          <w:szCs w:val="28"/>
        </w:rPr>
        <w:t xml:space="preserve">dabasgāzes pārvades iespēja </w:t>
      </w:r>
      <w:r w:rsidR="00F1036B" w:rsidRPr="00F1036B">
        <w:rPr>
          <w:rFonts w:eastAsia="Times New Roman" w:cs="Times New Roman"/>
          <w:b/>
          <w:szCs w:val="28"/>
        </w:rPr>
        <w:t>(</w:t>
      </w:r>
      <w:proofErr w:type="spellStart"/>
      <w:r w:rsidR="00F1036B" w:rsidRPr="00F1036B">
        <w:rPr>
          <w:b/>
          <w:szCs w:val="28"/>
        </w:rPr>
        <w:t>milj</w:t>
      </w:r>
      <w:proofErr w:type="spellEnd"/>
      <w:r w:rsidR="00F1036B" w:rsidRPr="00F1036B">
        <w:rPr>
          <w:b/>
          <w:szCs w:val="28"/>
        </w:rPr>
        <w:t>. m</w:t>
      </w:r>
      <w:r w:rsidR="00F1036B" w:rsidRPr="00F1036B">
        <w:rPr>
          <w:b/>
          <w:szCs w:val="28"/>
          <w:vertAlign w:val="superscript"/>
        </w:rPr>
        <w:t>3</w:t>
      </w:r>
      <w:r w:rsidR="00F1036B" w:rsidRPr="00F1036B">
        <w:rPr>
          <w:b/>
          <w:szCs w:val="28"/>
        </w:rPr>
        <w:t>/dienā)</w:t>
      </w:r>
    </w:p>
    <w:p w:rsidR="007E7903" w:rsidRPr="007E7903" w:rsidRDefault="007E7903" w:rsidP="007E7903">
      <w:pPr>
        <w:jc w:val="both"/>
        <w:rPr>
          <w:rFonts w:eastAsia="Times New Roman" w:cs="Times New Roman"/>
          <w:i/>
          <w:szCs w:val="28"/>
        </w:rPr>
      </w:pPr>
    </w:p>
    <w:tbl>
      <w:tblPr>
        <w:tblW w:w="9356" w:type="dxa"/>
        <w:tblInd w:w="-102" w:type="dxa"/>
        <w:tblLayout w:type="fixed"/>
        <w:tblCellMar>
          <w:left w:w="40" w:type="dxa"/>
          <w:right w:w="40" w:type="dxa"/>
        </w:tblCellMar>
        <w:tblLook w:val="0000" w:firstRow="0" w:lastRow="0" w:firstColumn="0" w:lastColumn="0" w:noHBand="0" w:noVBand="0"/>
      </w:tblPr>
      <w:tblGrid>
        <w:gridCol w:w="5387"/>
        <w:gridCol w:w="3969"/>
      </w:tblGrid>
      <w:tr w:rsidR="007E7903" w:rsidRPr="007E7903" w:rsidTr="007E7903">
        <w:trPr>
          <w:trHeight w:hRule="exact" w:val="747"/>
        </w:trPr>
        <w:tc>
          <w:tcPr>
            <w:tcW w:w="5387" w:type="dxa"/>
            <w:tcBorders>
              <w:top w:val="single" w:sz="6" w:space="0" w:color="auto"/>
              <w:left w:val="single" w:sz="6" w:space="0" w:color="auto"/>
              <w:bottom w:val="single" w:sz="6" w:space="0" w:color="auto"/>
              <w:right w:val="single" w:sz="6" w:space="0" w:color="auto"/>
            </w:tcBorders>
            <w:shd w:val="clear" w:color="auto" w:fill="FFFFFF"/>
            <w:vAlign w:val="center"/>
          </w:tcPr>
          <w:p w:rsidR="007E7903" w:rsidRPr="00D15886" w:rsidRDefault="007E7903" w:rsidP="007E7903">
            <w:pPr>
              <w:jc w:val="center"/>
              <w:rPr>
                <w:b/>
                <w:sz w:val="24"/>
                <w:szCs w:val="24"/>
              </w:rPr>
            </w:pPr>
            <w:r w:rsidRPr="00D15886">
              <w:rPr>
                <w:b/>
                <w:sz w:val="24"/>
                <w:szCs w:val="24"/>
              </w:rPr>
              <w:t>Gāzes mērīšanas stacija</w:t>
            </w:r>
          </w:p>
        </w:tc>
        <w:tc>
          <w:tcPr>
            <w:tcW w:w="3969" w:type="dxa"/>
            <w:tcBorders>
              <w:top w:val="single" w:sz="6" w:space="0" w:color="auto"/>
              <w:left w:val="single" w:sz="6" w:space="0" w:color="auto"/>
              <w:bottom w:val="single" w:sz="6" w:space="0" w:color="auto"/>
              <w:right w:val="single" w:sz="6" w:space="0" w:color="auto"/>
            </w:tcBorders>
            <w:shd w:val="clear" w:color="auto" w:fill="FFFFFF"/>
            <w:vAlign w:val="center"/>
          </w:tcPr>
          <w:p w:rsidR="007E7903" w:rsidRPr="00D15886" w:rsidRDefault="007E7903" w:rsidP="00F1036B">
            <w:pPr>
              <w:jc w:val="center"/>
              <w:rPr>
                <w:b/>
                <w:sz w:val="24"/>
                <w:szCs w:val="24"/>
              </w:rPr>
            </w:pPr>
            <w:r w:rsidRPr="00D15886">
              <w:rPr>
                <w:b/>
                <w:sz w:val="24"/>
                <w:szCs w:val="24"/>
              </w:rPr>
              <w:t>Maksimālā dab</w:t>
            </w:r>
            <w:r w:rsidR="00F1036B" w:rsidRPr="00D15886">
              <w:rPr>
                <w:b/>
                <w:sz w:val="24"/>
                <w:szCs w:val="24"/>
              </w:rPr>
              <w:t>asgāzes pārvades spēja</w:t>
            </w:r>
          </w:p>
        </w:tc>
      </w:tr>
      <w:tr w:rsidR="007E7903" w:rsidRPr="007E7903" w:rsidTr="007E7903">
        <w:trPr>
          <w:trHeight w:hRule="exact" w:val="464"/>
        </w:trPr>
        <w:tc>
          <w:tcPr>
            <w:tcW w:w="5387" w:type="dxa"/>
            <w:tcBorders>
              <w:top w:val="single" w:sz="6" w:space="0" w:color="auto"/>
              <w:left w:val="single" w:sz="6" w:space="0" w:color="auto"/>
              <w:bottom w:val="single" w:sz="6" w:space="0" w:color="auto"/>
              <w:right w:val="single" w:sz="6" w:space="0" w:color="auto"/>
            </w:tcBorders>
            <w:shd w:val="clear" w:color="auto" w:fill="FFFFFF"/>
            <w:vAlign w:val="center"/>
          </w:tcPr>
          <w:p w:rsidR="007E7903" w:rsidRPr="00D15886" w:rsidRDefault="007E7903" w:rsidP="007E7903">
            <w:pPr>
              <w:widowControl w:val="0"/>
              <w:shd w:val="clear" w:color="auto" w:fill="FFFFFF"/>
              <w:autoSpaceDE w:val="0"/>
              <w:autoSpaceDN w:val="0"/>
              <w:adjustRightInd w:val="0"/>
              <w:ind w:left="19"/>
              <w:rPr>
                <w:rFonts w:eastAsia="Times New Roman" w:cs="Times New Roman"/>
                <w:sz w:val="24"/>
                <w:szCs w:val="24"/>
                <w:lang w:eastAsia="ru-RU"/>
              </w:rPr>
            </w:pPr>
            <w:r w:rsidRPr="00D15886">
              <w:rPr>
                <w:rFonts w:eastAsia="Calibri" w:cs="Times New Roman"/>
                <w:sz w:val="24"/>
                <w:szCs w:val="24"/>
              </w:rPr>
              <w:t xml:space="preserve">Korneti GMS (RU </w:t>
            </w:r>
            <w:r w:rsidRPr="00D15886">
              <w:rPr>
                <w:rFonts w:eastAsia="Calibri" w:cs="Times New Roman"/>
                <w:b/>
                <w:sz w:val="24"/>
                <w:szCs w:val="24"/>
              </w:rPr>
              <w:sym w:font="Symbol" w:char="00DB"/>
            </w:r>
            <w:r w:rsidRPr="00D15886">
              <w:rPr>
                <w:rFonts w:eastAsia="Calibri" w:cs="Times New Roman"/>
                <w:b/>
                <w:sz w:val="24"/>
                <w:szCs w:val="24"/>
              </w:rPr>
              <w:t xml:space="preserve"> </w:t>
            </w:r>
            <w:r w:rsidRPr="00D15886">
              <w:rPr>
                <w:rFonts w:eastAsia="Calibri" w:cs="Times New Roman"/>
                <w:sz w:val="24"/>
                <w:szCs w:val="24"/>
              </w:rPr>
              <w:t>LV)</w:t>
            </w:r>
          </w:p>
        </w:tc>
        <w:tc>
          <w:tcPr>
            <w:tcW w:w="3969" w:type="dxa"/>
            <w:tcBorders>
              <w:top w:val="single" w:sz="6" w:space="0" w:color="auto"/>
              <w:left w:val="single" w:sz="6" w:space="0" w:color="auto"/>
              <w:bottom w:val="single" w:sz="6" w:space="0" w:color="auto"/>
              <w:right w:val="single" w:sz="6" w:space="0" w:color="auto"/>
            </w:tcBorders>
            <w:shd w:val="clear" w:color="auto" w:fill="FFFFFF"/>
            <w:vAlign w:val="center"/>
          </w:tcPr>
          <w:p w:rsidR="007E7903" w:rsidRPr="00D15886" w:rsidRDefault="007E7903" w:rsidP="007E7903">
            <w:pPr>
              <w:widowControl w:val="0"/>
              <w:shd w:val="clear" w:color="auto" w:fill="FFFFFF"/>
              <w:autoSpaceDE w:val="0"/>
              <w:autoSpaceDN w:val="0"/>
              <w:adjustRightInd w:val="0"/>
              <w:jc w:val="center"/>
              <w:rPr>
                <w:rFonts w:eastAsia="Times New Roman" w:cs="Times New Roman"/>
                <w:sz w:val="24"/>
                <w:szCs w:val="24"/>
                <w:lang w:eastAsia="ru-RU"/>
              </w:rPr>
            </w:pPr>
            <w:r w:rsidRPr="00D15886">
              <w:rPr>
                <w:rFonts w:eastAsia="Times New Roman" w:cs="Times New Roman"/>
                <w:color w:val="000000"/>
                <w:sz w:val="24"/>
                <w:szCs w:val="24"/>
                <w:lang w:eastAsia="ru-RU"/>
              </w:rPr>
              <w:t>16</w:t>
            </w:r>
          </w:p>
        </w:tc>
      </w:tr>
      <w:tr w:rsidR="007E7903" w:rsidRPr="007E7903" w:rsidTr="007E7903">
        <w:trPr>
          <w:trHeight w:hRule="exact" w:val="430"/>
        </w:trPr>
        <w:tc>
          <w:tcPr>
            <w:tcW w:w="5387" w:type="dxa"/>
            <w:tcBorders>
              <w:top w:val="single" w:sz="6" w:space="0" w:color="auto"/>
              <w:left w:val="single" w:sz="6" w:space="0" w:color="auto"/>
              <w:bottom w:val="single" w:sz="6" w:space="0" w:color="auto"/>
              <w:right w:val="single" w:sz="6" w:space="0" w:color="auto"/>
            </w:tcBorders>
            <w:shd w:val="clear" w:color="auto" w:fill="FFFFFF"/>
            <w:vAlign w:val="center"/>
          </w:tcPr>
          <w:p w:rsidR="007E7903" w:rsidRPr="00D15886" w:rsidRDefault="007E7903" w:rsidP="007E7903">
            <w:pPr>
              <w:widowControl w:val="0"/>
              <w:shd w:val="clear" w:color="auto" w:fill="FFFFFF"/>
              <w:autoSpaceDE w:val="0"/>
              <w:autoSpaceDN w:val="0"/>
              <w:adjustRightInd w:val="0"/>
              <w:ind w:left="19"/>
              <w:rPr>
                <w:rFonts w:eastAsia="Times New Roman" w:cs="Times New Roman"/>
                <w:sz w:val="24"/>
                <w:szCs w:val="24"/>
                <w:lang w:eastAsia="ru-RU"/>
              </w:rPr>
            </w:pPr>
            <w:proofErr w:type="spellStart"/>
            <w:r w:rsidRPr="00D15886">
              <w:rPr>
                <w:rFonts w:eastAsia="Calibri" w:cs="Times New Roman"/>
                <w:sz w:val="24"/>
                <w:szCs w:val="24"/>
              </w:rPr>
              <w:t>Kiemenai</w:t>
            </w:r>
            <w:proofErr w:type="spellEnd"/>
            <w:r w:rsidRPr="00D15886">
              <w:rPr>
                <w:rFonts w:eastAsia="Calibri" w:cs="Times New Roman"/>
                <w:sz w:val="24"/>
                <w:szCs w:val="24"/>
              </w:rPr>
              <w:t xml:space="preserve"> GMS (LT </w:t>
            </w:r>
            <w:r w:rsidRPr="00D15886">
              <w:rPr>
                <w:rFonts w:eastAsia="Calibri" w:cs="Times New Roman"/>
                <w:b/>
                <w:sz w:val="24"/>
                <w:szCs w:val="24"/>
              </w:rPr>
              <w:sym w:font="Symbol" w:char="00DB"/>
            </w:r>
            <w:r w:rsidRPr="00D15886">
              <w:rPr>
                <w:rFonts w:eastAsia="Calibri" w:cs="Times New Roman"/>
                <w:b/>
                <w:sz w:val="24"/>
                <w:szCs w:val="24"/>
              </w:rPr>
              <w:t xml:space="preserve"> </w:t>
            </w:r>
            <w:r w:rsidRPr="00D15886">
              <w:rPr>
                <w:rFonts w:eastAsia="Calibri" w:cs="Times New Roman"/>
                <w:sz w:val="24"/>
                <w:szCs w:val="24"/>
              </w:rPr>
              <w:t>LV)</w:t>
            </w:r>
          </w:p>
        </w:tc>
        <w:tc>
          <w:tcPr>
            <w:tcW w:w="3969" w:type="dxa"/>
            <w:tcBorders>
              <w:top w:val="single" w:sz="6" w:space="0" w:color="auto"/>
              <w:left w:val="single" w:sz="6" w:space="0" w:color="auto"/>
              <w:bottom w:val="single" w:sz="6" w:space="0" w:color="auto"/>
              <w:right w:val="single" w:sz="6" w:space="0" w:color="auto"/>
            </w:tcBorders>
            <w:shd w:val="clear" w:color="auto" w:fill="FFFFFF"/>
            <w:vAlign w:val="center"/>
          </w:tcPr>
          <w:p w:rsidR="007E7903" w:rsidRPr="00D15886" w:rsidRDefault="007E7903" w:rsidP="007E7903">
            <w:pPr>
              <w:widowControl w:val="0"/>
              <w:shd w:val="clear" w:color="auto" w:fill="FFFFFF"/>
              <w:autoSpaceDE w:val="0"/>
              <w:autoSpaceDN w:val="0"/>
              <w:adjustRightInd w:val="0"/>
              <w:jc w:val="center"/>
              <w:rPr>
                <w:rFonts w:eastAsia="Times New Roman" w:cs="Times New Roman"/>
                <w:sz w:val="24"/>
                <w:szCs w:val="24"/>
                <w:lang w:eastAsia="ru-RU"/>
              </w:rPr>
            </w:pPr>
            <w:r w:rsidRPr="00D15886">
              <w:rPr>
                <w:rFonts w:eastAsia="Times New Roman" w:cs="Times New Roman"/>
                <w:sz w:val="24"/>
                <w:szCs w:val="24"/>
                <w:lang w:eastAsia="ru-RU"/>
              </w:rPr>
              <w:t>6</w:t>
            </w:r>
          </w:p>
        </w:tc>
      </w:tr>
      <w:tr w:rsidR="007E7903" w:rsidRPr="007E7903" w:rsidTr="007E7903">
        <w:trPr>
          <w:trHeight w:hRule="exact" w:val="430"/>
        </w:trPr>
        <w:tc>
          <w:tcPr>
            <w:tcW w:w="5387" w:type="dxa"/>
            <w:tcBorders>
              <w:top w:val="single" w:sz="6" w:space="0" w:color="auto"/>
              <w:left w:val="single" w:sz="6" w:space="0" w:color="auto"/>
              <w:bottom w:val="single" w:sz="6" w:space="0" w:color="auto"/>
              <w:right w:val="single" w:sz="6" w:space="0" w:color="auto"/>
            </w:tcBorders>
            <w:shd w:val="clear" w:color="auto" w:fill="FFFFFF"/>
            <w:vAlign w:val="center"/>
          </w:tcPr>
          <w:p w:rsidR="007E7903" w:rsidRPr="00D15886" w:rsidRDefault="007E7903" w:rsidP="007E7903">
            <w:pPr>
              <w:widowControl w:val="0"/>
              <w:shd w:val="clear" w:color="auto" w:fill="FFFFFF"/>
              <w:autoSpaceDE w:val="0"/>
              <w:autoSpaceDN w:val="0"/>
              <w:adjustRightInd w:val="0"/>
              <w:ind w:left="24"/>
              <w:rPr>
                <w:rFonts w:eastAsia="Times New Roman" w:cs="Times New Roman"/>
                <w:sz w:val="24"/>
                <w:szCs w:val="24"/>
                <w:lang w:eastAsia="ru-RU"/>
              </w:rPr>
            </w:pPr>
            <w:proofErr w:type="spellStart"/>
            <w:r w:rsidRPr="00D15886">
              <w:rPr>
                <w:rFonts w:eastAsia="Times New Roman" w:cs="Times New Roman"/>
                <w:color w:val="000000"/>
                <w:sz w:val="24"/>
                <w:szCs w:val="24"/>
                <w:lang w:eastAsia="ru-RU"/>
              </w:rPr>
              <w:t>Karksi</w:t>
            </w:r>
            <w:proofErr w:type="spellEnd"/>
            <w:r w:rsidRPr="00D15886">
              <w:rPr>
                <w:rFonts w:eastAsia="Times New Roman" w:cs="Times New Roman"/>
                <w:color w:val="000000"/>
                <w:sz w:val="24"/>
                <w:szCs w:val="24"/>
                <w:lang w:eastAsia="ru-RU"/>
              </w:rPr>
              <w:t xml:space="preserve"> GMS (LV </w:t>
            </w:r>
            <w:r w:rsidRPr="00D15886">
              <w:rPr>
                <w:rFonts w:eastAsia="Calibri" w:cs="Times New Roman"/>
                <w:b/>
                <w:sz w:val="24"/>
                <w:szCs w:val="24"/>
              </w:rPr>
              <w:sym w:font="Symbol" w:char="F0DE"/>
            </w:r>
            <w:r w:rsidRPr="00D15886">
              <w:rPr>
                <w:rFonts w:eastAsia="Calibri" w:cs="Times New Roman"/>
                <w:b/>
                <w:sz w:val="24"/>
                <w:szCs w:val="24"/>
              </w:rPr>
              <w:t xml:space="preserve"> </w:t>
            </w:r>
            <w:r w:rsidRPr="00D15886">
              <w:rPr>
                <w:rFonts w:eastAsia="Times New Roman" w:cs="Times New Roman"/>
                <w:color w:val="000000"/>
                <w:sz w:val="24"/>
                <w:szCs w:val="24"/>
                <w:lang w:eastAsia="ru-RU"/>
              </w:rPr>
              <w:t>EE)</w:t>
            </w:r>
          </w:p>
        </w:tc>
        <w:tc>
          <w:tcPr>
            <w:tcW w:w="3969" w:type="dxa"/>
            <w:tcBorders>
              <w:top w:val="single" w:sz="6" w:space="0" w:color="auto"/>
              <w:left w:val="single" w:sz="6" w:space="0" w:color="auto"/>
              <w:bottom w:val="single" w:sz="6" w:space="0" w:color="auto"/>
              <w:right w:val="single" w:sz="6" w:space="0" w:color="auto"/>
            </w:tcBorders>
            <w:shd w:val="clear" w:color="auto" w:fill="FFFFFF"/>
            <w:vAlign w:val="center"/>
          </w:tcPr>
          <w:p w:rsidR="007E7903" w:rsidRPr="00D15886" w:rsidRDefault="007E7903" w:rsidP="007E7903">
            <w:pPr>
              <w:widowControl w:val="0"/>
              <w:shd w:val="clear" w:color="auto" w:fill="FFFFFF"/>
              <w:autoSpaceDE w:val="0"/>
              <w:autoSpaceDN w:val="0"/>
              <w:adjustRightInd w:val="0"/>
              <w:jc w:val="center"/>
              <w:rPr>
                <w:rFonts w:eastAsia="Times New Roman" w:cs="Times New Roman"/>
                <w:sz w:val="24"/>
                <w:szCs w:val="24"/>
                <w:lang w:eastAsia="ru-RU"/>
              </w:rPr>
            </w:pPr>
            <w:r w:rsidRPr="00D15886">
              <w:rPr>
                <w:rFonts w:eastAsia="Times New Roman" w:cs="Times New Roman"/>
                <w:color w:val="000000"/>
                <w:sz w:val="24"/>
                <w:szCs w:val="24"/>
                <w:lang w:eastAsia="ru-RU"/>
              </w:rPr>
              <w:t>7</w:t>
            </w:r>
          </w:p>
        </w:tc>
      </w:tr>
    </w:tbl>
    <w:p w:rsidR="007E7903" w:rsidRPr="007E7903" w:rsidRDefault="007E7903" w:rsidP="007E7903">
      <w:pPr>
        <w:tabs>
          <w:tab w:val="right" w:pos="851"/>
        </w:tabs>
        <w:jc w:val="both"/>
        <w:rPr>
          <w:szCs w:val="28"/>
        </w:rPr>
      </w:pPr>
    </w:p>
    <w:p w:rsidR="007E7903" w:rsidRPr="000A76E8" w:rsidRDefault="0050047A" w:rsidP="0050047A">
      <w:pPr>
        <w:pStyle w:val="Heading2"/>
        <w:rPr>
          <w:rFonts w:ascii="Times New Roman" w:eastAsia="Times New Roman" w:hAnsi="Times New Roman" w:cs="Times New Roman"/>
          <w:color w:val="auto"/>
          <w:sz w:val="28"/>
          <w:szCs w:val="28"/>
        </w:rPr>
      </w:pPr>
      <w:bookmarkStart w:id="32" w:name="_Toc400714675"/>
      <w:r w:rsidRPr="000A76E8">
        <w:rPr>
          <w:rFonts w:ascii="Times New Roman" w:eastAsia="Times New Roman" w:hAnsi="Times New Roman" w:cs="Times New Roman"/>
          <w:color w:val="auto"/>
          <w:sz w:val="28"/>
          <w:szCs w:val="28"/>
        </w:rPr>
        <w:t xml:space="preserve">4.1. </w:t>
      </w:r>
      <w:r w:rsidR="007E7903" w:rsidRPr="000A76E8">
        <w:rPr>
          <w:rFonts w:ascii="Times New Roman" w:eastAsia="Times New Roman" w:hAnsi="Times New Roman" w:cs="Times New Roman"/>
          <w:color w:val="auto"/>
          <w:sz w:val="28"/>
          <w:szCs w:val="28"/>
        </w:rPr>
        <w:t xml:space="preserve">Dabasgāzes </w:t>
      </w:r>
      <w:r w:rsidR="0076152B" w:rsidRPr="000A76E8">
        <w:rPr>
          <w:rFonts w:ascii="Times New Roman" w:eastAsia="Times New Roman" w:hAnsi="Times New Roman" w:cs="Times New Roman"/>
          <w:color w:val="auto"/>
          <w:sz w:val="28"/>
          <w:szCs w:val="28"/>
        </w:rPr>
        <w:t xml:space="preserve">infrastruktūras </w:t>
      </w:r>
      <w:r w:rsidR="007E7903" w:rsidRPr="000A76E8">
        <w:rPr>
          <w:rFonts w:ascii="Times New Roman" w:eastAsia="Times New Roman" w:hAnsi="Times New Roman" w:cs="Times New Roman"/>
          <w:color w:val="auto"/>
          <w:sz w:val="28"/>
          <w:szCs w:val="28"/>
        </w:rPr>
        <w:t>apgādes drošība</w:t>
      </w:r>
      <w:bookmarkEnd w:id="32"/>
    </w:p>
    <w:p w:rsidR="007E7903" w:rsidRPr="007E7903" w:rsidRDefault="0076152B" w:rsidP="0076152B">
      <w:pPr>
        <w:spacing w:after="120"/>
        <w:ind w:firstLine="709"/>
        <w:jc w:val="both"/>
        <w:rPr>
          <w:rFonts w:eastAsia="Times New Roman" w:cs="Times New Roman"/>
          <w:szCs w:val="28"/>
        </w:rPr>
      </w:pPr>
      <w:r>
        <w:rPr>
          <w:rFonts w:eastAsia="Times New Roman" w:cs="Times New Roman"/>
          <w:szCs w:val="28"/>
        </w:rPr>
        <w:t xml:space="preserve">Gadījumā, ja rodas traucējumi kādā no </w:t>
      </w:r>
      <w:proofErr w:type="spellStart"/>
      <w:r>
        <w:rPr>
          <w:rFonts w:eastAsia="Times New Roman" w:cs="Times New Roman"/>
          <w:szCs w:val="28"/>
        </w:rPr>
        <w:t>gāzapgādes</w:t>
      </w:r>
      <w:proofErr w:type="spellEnd"/>
      <w:r>
        <w:rPr>
          <w:rFonts w:eastAsia="Times New Roman" w:cs="Times New Roman"/>
          <w:szCs w:val="28"/>
        </w:rPr>
        <w:t xml:space="preserve"> segmenta, ir jā</w:t>
      </w:r>
      <w:r w:rsidR="007E7903" w:rsidRPr="007E7903">
        <w:rPr>
          <w:rFonts w:eastAsia="Times New Roman" w:cs="Times New Roman"/>
          <w:szCs w:val="28"/>
        </w:rPr>
        <w:t>nodrošin</w:t>
      </w:r>
      <w:r>
        <w:rPr>
          <w:rFonts w:eastAsia="Times New Roman" w:cs="Times New Roman"/>
          <w:szCs w:val="28"/>
        </w:rPr>
        <w:t xml:space="preserve">a </w:t>
      </w:r>
      <w:r w:rsidR="007E7903" w:rsidRPr="007E7903">
        <w:rPr>
          <w:rFonts w:eastAsia="Times New Roman" w:cs="Times New Roman"/>
          <w:szCs w:val="28"/>
        </w:rPr>
        <w:t>dabasgāzes infrastruktūras nepārtraukta darbība</w:t>
      </w:r>
      <w:r>
        <w:rPr>
          <w:rFonts w:eastAsia="Times New Roman" w:cs="Times New Roman"/>
          <w:szCs w:val="28"/>
        </w:rPr>
        <w:t xml:space="preserve">. Situāciju gadījumā, ja </w:t>
      </w:r>
      <w:r w:rsidRPr="007E7903">
        <w:rPr>
          <w:szCs w:val="28"/>
        </w:rPr>
        <w:t xml:space="preserve">rodas kritiski traucējumi vienā lielākajā </w:t>
      </w:r>
      <w:proofErr w:type="spellStart"/>
      <w:r w:rsidRPr="007E7903">
        <w:rPr>
          <w:szCs w:val="28"/>
        </w:rPr>
        <w:t>gāzesapgādes</w:t>
      </w:r>
      <w:proofErr w:type="spellEnd"/>
      <w:r w:rsidRPr="007E7903">
        <w:rPr>
          <w:szCs w:val="28"/>
        </w:rPr>
        <w:t xml:space="preserve"> infrastruktūras elementā</w:t>
      </w:r>
      <w:r>
        <w:rPr>
          <w:szCs w:val="28"/>
        </w:rPr>
        <w:t xml:space="preserve"> raksturo i</w:t>
      </w:r>
      <w:r w:rsidR="007E7903" w:rsidRPr="007E7903">
        <w:rPr>
          <w:szCs w:val="28"/>
        </w:rPr>
        <w:t>nfrastruktūras drošības indikators (kritērijs) N–1</w:t>
      </w:r>
      <w:r>
        <w:rPr>
          <w:szCs w:val="28"/>
        </w:rPr>
        <w:t xml:space="preserve">. </w:t>
      </w:r>
      <w:r w:rsidR="007E7903" w:rsidRPr="007E7903">
        <w:rPr>
          <w:szCs w:val="28"/>
        </w:rPr>
        <w:t xml:space="preserve">Ja </w:t>
      </w:r>
      <w:r>
        <w:rPr>
          <w:szCs w:val="28"/>
        </w:rPr>
        <w:t xml:space="preserve">šis </w:t>
      </w:r>
      <w:r w:rsidR="007E7903" w:rsidRPr="007E7903">
        <w:rPr>
          <w:szCs w:val="28"/>
        </w:rPr>
        <w:t xml:space="preserve">kritērijs reģionā ir vienāds vismaz ar 100%, tad gadījumā, ja šajā elementā rodas traucējumi, dabasgāzes piegādes var tikt organizēta tā, lai neveidotos nekādi dabasgāzes apgādes ierobežojumi. Baltijas valstīs N–1 kritērijs šobrīd </w:t>
      </w:r>
      <w:r>
        <w:rPr>
          <w:szCs w:val="28"/>
        </w:rPr>
        <w:t xml:space="preserve">ir </w:t>
      </w:r>
      <w:r w:rsidR="007E7903" w:rsidRPr="007E7903">
        <w:rPr>
          <w:szCs w:val="28"/>
        </w:rPr>
        <w:t>145,94%.</w:t>
      </w:r>
      <w:r w:rsidR="00585C7D">
        <w:rPr>
          <w:szCs w:val="28"/>
        </w:rPr>
        <w:t xml:space="preserve"> </w:t>
      </w:r>
      <w:r w:rsidR="007E7903" w:rsidRPr="007E7903">
        <w:rPr>
          <w:rFonts w:eastAsia="Times New Roman" w:cs="Times New Roman"/>
          <w:szCs w:val="28"/>
        </w:rPr>
        <w:t xml:space="preserve">N˗1 kritērija aprēķina gadījumā tiek ņemts vērā tikai </w:t>
      </w:r>
      <w:proofErr w:type="spellStart"/>
      <w:r w:rsidR="007E7903" w:rsidRPr="007E7903">
        <w:rPr>
          <w:rFonts w:eastAsia="Times New Roman" w:cs="Times New Roman"/>
          <w:szCs w:val="28"/>
        </w:rPr>
        <w:t>gāzapgādes</w:t>
      </w:r>
      <w:proofErr w:type="spellEnd"/>
      <w:r w:rsidR="007E7903" w:rsidRPr="007E7903">
        <w:rPr>
          <w:rFonts w:eastAsia="Times New Roman" w:cs="Times New Roman"/>
          <w:szCs w:val="28"/>
        </w:rPr>
        <w:t xml:space="preserve"> sistēmas ieplūdes punktu jaudas.</w:t>
      </w:r>
    </w:p>
    <w:p w:rsidR="007E7903" w:rsidRPr="007E7903" w:rsidRDefault="007E7903" w:rsidP="007E7903">
      <w:pPr>
        <w:spacing w:after="120"/>
        <w:ind w:firstLine="709"/>
        <w:jc w:val="both"/>
        <w:rPr>
          <w:rFonts w:eastAsia="Times New Roman" w:cs="Times New Roman"/>
          <w:szCs w:val="28"/>
        </w:rPr>
      </w:pPr>
      <w:r w:rsidRPr="007E7903">
        <w:rPr>
          <w:rFonts w:eastAsia="Times New Roman" w:cs="Times New Roman"/>
          <w:szCs w:val="28"/>
        </w:rPr>
        <w:t>Risku novērtējuma raksturlielumi un dabasgāzes piegādes pārtraukumu iemesli, kā arī to ietekmes apjoms katrā no Baltijas valstīm, var tikt vērtēts trīs līmeņos:</w:t>
      </w:r>
    </w:p>
    <w:p w:rsidR="007E7903" w:rsidRPr="007E7903" w:rsidRDefault="007E7903" w:rsidP="00562BCC">
      <w:pPr>
        <w:numPr>
          <w:ilvl w:val="0"/>
          <w:numId w:val="4"/>
        </w:numPr>
        <w:jc w:val="both"/>
        <w:rPr>
          <w:rFonts w:eastAsia="Times New Roman" w:cs="Times New Roman"/>
          <w:szCs w:val="28"/>
        </w:rPr>
      </w:pPr>
      <w:r w:rsidRPr="007E7903">
        <w:rPr>
          <w:rFonts w:eastAsia="Times New Roman" w:cs="Times New Roman"/>
          <w:szCs w:val="28"/>
        </w:rPr>
        <w:t>lokālā mērogā (pārtraukums atsevišķā vienas valsts daļā),</w:t>
      </w:r>
    </w:p>
    <w:p w:rsidR="007E7903" w:rsidRPr="007E7903" w:rsidRDefault="007E7903" w:rsidP="00562BCC">
      <w:pPr>
        <w:numPr>
          <w:ilvl w:val="0"/>
          <w:numId w:val="4"/>
        </w:numPr>
        <w:jc w:val="both"/>
        <w:rPr>
          <w:rFonts w:eastAsia="Times New Roman" w:cs="Times New Roman"/>
          <w:szCs w:val="28"/>
        </w:rPr>
      </w:pPr>
      <w:r w:rsidRPr="007E7903">
        <w:rPr>
          <w:rFonts w:eastAsia="Times New Roman" w:cs="Times New Roman"/>
          <w:szCs w:val="28"/>
        </w:rPr>
        <w:t>nacionālā mērogā (pārtraukums vienā no Baltijas valstīm),</w:t>
      </w:r>
    </w:p>
    <w:p w:rsidR="007E7903" w:rsidRPr="007E7903" w:rsidRDefault="007E7903" w:rsidP="00562BCC">
      <w:pPr>
        <w:numPr>
          <w:ilvl w:val="0"/>
          <w:numId w:val="4"/>
        </w:numPr>
        <w:jc w:val="both"/>
        <w:rPr>
          <w:rFonts w:eastAsia="Times New Roman" w:cs="Times New Roman"/>
          <w:szCs w:val="28"/>
        </w:rPr>
      </w:pPr>
      <w:r w:rsidRPr="007E7903">
        <w:rPr>
          <w:rFonts w:eastAsia="Times New Roman" w:cs="Times New Roman"/>
          <w:szCs w:val="28"/>
        </w:rPr>
        <w:t>reģionālā mērogā (pārtraukums vai ierobežojumi visās valstīs).</w:t>
      </w:r>
    </w:p>
    <w:p w:rsidR="008B78B3" w:rsidRDefault="008B78B3" w:rsidP="007E7903">
      <w:pPr>
        <w:ind w:firstLine="709"/>
        <w:jc w:val="both"/>
        <w:rPr>
          <w:rFonts w:eastAsia="Times New Roman" w:cs="Times New Roman"/>
          <w:szCs w:val="28"/>
        </w:rPr>
      </w:pPr>
    </w:p>
    <w:p w:rsidR="007E7903" w:rsidRPr="007E7903" w:rsidRDefault="007E7903" w:rsidP="007E7903">
      <w:pPr>
        <w:ind w:firstLine="709"/>
        <w:jc w:val="both"/>
        <w:rPr>
          <w:rFonts w:eastAsia="Times New Roman" w:cs="Times New Roman"/>
          <w:szCs w:val="28"/>
        </w:rPr>
      </w:pPr>
      <w:r w:rsidRPr="007E7903">
        <w:rPr>
          <w:rFonts w:eastAsia="Times New Roman" w:cs="Times New Roman"/>
          <w:szCs w:val="28"/>
        </w:rPr>
        <w:t xml:space="preserve">Ņemot vērā Baltijas valstu GMS </w:t>
      </w:r>
      <w:proofErr w:type="spellStart"/>
      <w:r w:rsidRPr="007E7903">
        <w:rPr>
          <w:rFonts w:eastAsia="Times New Roman" w:cs="Times New Roman"/>
          <w:szCs w:val="28"/>
        </w:rPr>
        <w:t>apsaistes</w:t>
      </w:r>
      <w:proofErr w:type="spellEnd"/>
      <w:r w:rsidRPr="007E7903">
        <w:rPr>
          <w:rFonts w:eastAsia="Times New Roman" w:cs="Times New Roman"/>
          <w:szCs w:val="28"/>
        </w:rPr>
        <w:t xml:space="preserve"> kanālus, un to darbības periodus, dabasgāzes piegāžu pārtraukuma GRS varbūtība ārējo faktoru ietekmes  rezultātā jebkurā no Baltijas valstīm var notikt reizi astoņos gados.</w:t>
      </w:r>
    </w:p>
    <w:p w:rsidR="007E7903" w:rsidRPr="007E7903" w:rsidRDefault="007E7903" w:rsidP="007E7903">
      <w:pPr>
        <w:ind w:firstLine="720"/>
        <w:jc w:val="both"/>
        <w:rPr>
          <w:rFonts w:cs="Times New Roman"/>
          <w:szCs w:val="28"/>
        </w:rPr>
      </w:pPr>
      <w:r w:rsidRPr="007E7903">
        <w:rPr>
          <w:rFonts w:cs="Times New Roman"/>
          <w:szCs w:val="28"/>
        </w:rPr>
        <w:t xml:space="preserve">Latvijas teritorijā maģistrālo gāzes vadu avārija varētu būt sagaidāma vidēji vienu reizi 15 gados, Lietuvā vidēji vienu reizi 17 gados, Igaunijā vidēji 18 gados, bet vidēji kādā no Baltijas valstīm maģistrālo cauruļvadu avārijas varētu būt sagaidāmas vienu reizi 6 gados. Aprēķinātās maģistrālo gāzes vadu </w:t>
      </w:r>
      <w:r w:rsidRPr="007E7903">
        <w:rPr>
          <w:rFonts w:cs="Times New Roman"/>
          <w:szCs w:val="28"/>
        </w:rPr>
        <w:lastRenderedPageBreak/>
        <w:t xml:space="preserve">avāriju varbūtības nav augstas, kas liecina par to, ka Baltijas valstīs gāzes apgādes sistēmas ir pietiekami drošas. </w:t>
      </w:r>
    </w:p>
    <w:p w:rsidR="007E7903" w:rsidRPr="007E7903" w:rsidRDefault="007E7903" w:rsidP="007E7903">
      <w:pPr>
        <w:ind w:firstLine="720"/>
        <w:jc w:val="both"/>
        <w:rPr>
          <w:rFonts w:cs="Times New Roman"/>
          <w:szCs w:val="28"/>
        </w:rPr>
      </w:pPr>
      <w:r w:rsidRPr="007E7903">
        <w:rPr>
          <w:rFonts w:cs="Times New Roman"/>
          <w:szCs w:val="28"/>
        </w:rPr>
        <w:t xml:space="preserve">Viens no iemesliem, kas Baltijas valstīs varētu radīt dabasgāzes piegādes traucējumus, ir avārija IPGK. Tomēr šādas avārijas rašanās varbūtība ir ļoti neliela, jo praktiski visas </w:t>
      </w:r>
      <w:r w:rsidR="00E0285F" w:rsidRPr="005945B4">
        <w:rPr>
          <w:rFonts w:cs="Times New Roman"/>
          <w:szCs w:val="28"/>
        </w:rPr>
        <w:t>IPGK</w:t>
      </w:r>
      <w:r w:rsidRPr="007E7903">
        <w:rPr>
          <w:rFonts w:cs="Times New Roman"/>
          <w:szCs w:val="28"/>
        </w:rPr>
        <w:t xml:space="preserve"> sistēmas tiek dublētas. Balstoties uz datiem, kas iekļauti </w:t>
      </w:r>
      <w:r w:rsidR="00E0285F" w:rsidRPr="005945B4">
        <w:rPr>
          <w:rFonts w:cs="Times New Roman"/>
          <w:szCs w:val="28"/>
        </w:rPr>
        <w:t>IPGK</w:t>
      </w:r>
      <w:r w:rsidRPr="007E7903">
        <w:rPr>
          <w:rFonts w:cs="Times New Roman"/>
          <w:szCs w:val="28"/>
        </w:rPr>
        <w:t xml:space="preserve"> drošības ziņojumā, arī urbumu avārijas varbūtība ir ļoti zema.</w:t>
      </w:r>
    </w:p>
    <w:p w:rsidR="007E7903" w:rsidRPr="007E7903" w:rsidRDefault="007E7903" w:rsidP="007E7903">
      <w:pPr>
        <w:ind w:firstLine="720"/>
        <w:jc w:val="both"/>
        <w:rPr>
          <w:rFonts w:cs="Times New Roman"/>
          <w:szCs w:val="28"/>
        </w:rPr>
      </w:pPr>
      <w:r w:rsidRPr="007E7903">
        <w:rPr>
          <w:rFonts w:cs="Times New Roman"/>
          <w:szCs w:val="28"/>
        </w:rPr>
        <w:t>Lielāka problēmas rada IPGK spēja nodrošināt nepieciešamo dabasgāzes daudzumu gadījumos, ja Baltijas reģionā</w:t>
      </w:r>
      <w:r w:rsidRPr="007E7903" w:rsidDel="00617880">
        <w:rPr>
          <w:rFonts w:cs="Times New Roman"/>
          <w:szCs w:val="28"/>
        </w:rPr>
        <w:t xml:space="preserve"> </w:t>
      </w:r>
      <w:r w:rsidRPr="007E7903">
        <w:rPr>
          <w:rFonts w:cs="Times New Roman"/>
          <w:szCs w:val="28"/>
        </w:rPr>
        <w:t xml:space="preserve"> rodas dabasgāzes deficīts. Aizvadītajā dekādē šāda nepieciešamība ir radusies divas reizes – 2004.gadā un 2012.gadā. Abos gadījumos IPGK tehniskās iespējas nespēja nodrošināt nepieciešamā dabasgāzes daudzuma piegādi  Tādējādi, šis risks nevar tikt novērsts pirms ceturtā dabasgāzes savākšanas punkta izbūves. </w:t>
      </w:r>
    </w:p>
    <w:p w:rsidR="007E7903" w:rsidRPr="007E7903" w:rsidRDefault="007E7903" w:rsidP="007E7903">
      <w:pPr>
        <w:ind w:firstLine="720"/>
        <w:jc w:val="both"/>
        <w:rPr>
          <w:rFonts w:cs="Times New Roman"/>
          <w:szCs w:val="28"/>
        </w:rPr>
      </w:pPr>
      <w:r w:rsidRPr="007E7903">
        <w:rPr>
          <w:rFonts w:cs="Times New Roman"/>
          <w:szCs w:val="28"/>
        </w:rPr>
        <w:t xml:space="preserve">Vēl divi iemesli, kāpēc Baltijas </w:t>
      </w:r>
      <w:proofErr w:type="spellStart"/>
      <w:r w:rsidRPr="007E7903">
        <w:rPr>
          <w:rFonts w:cs="Times New Roman"/>
          <w:szCs w:val="28"/>
        </w:rPr>
        <w:t>gāzapgādes</w:t>
      </w:r>
      <w:proofErr w:type="spellEnd"/>
      <w:r w:rsidRPr="007E7903">
        <w:rPr>
          <w:rFonts w:cs="Times New Roman"/>
          <w:szCs w:val="28"/>
        </w:rPr>
        <w:t xml:space="preserve"> sistēmā var rasties piegādes traucējumi, ir avārijas dabasgāzes pārvades sistēmā Baltkrievijas vai Krievijas teritorijā. Aizvadīto divdesmit gadu laikā gāzesvadā </w:t>
      </w:r>
      <w:proofErr w:type="spellStart"/>
      <w:r w:rsidR="008A109A" w:rsidRPr="007E7903">
        <w:rPr>
          <w:rFonts w:cs="Times New Roman"/>
          <w:szCs w:val="28"/>
        </w:rPr>
        <w:t>Valdaj</w:t>
      </w:r>
      <w:r w:rsidR="008A109A">
        <w:rPr>
          <w:rFonts w:cs="Times New Roman"/>
          <w:szCs w:val="28"/>
        </w:rPr>
        <w:t>a</w:t>
      </w:r>
      <w:proofErr w:type="spellEnd"/>
      <w:r w:rsidR="008A109A" w:rsidRPr="007E7903">
        <w:rPr>
          <w:rFonts w:cs="Times New Roman"/>
          <w:szCs w:val="28"/>
        </w:rPr>
        <w:t xml:space="preserve"> </w:t>
      </w:r>
      <w:r w:rsidRPr="007E7903">
        <w:rPr>
          <w:rFonts w:cs="Times New Roman"/>
          <w:szCs w:val="28"/>
        </w:rPr>
        <w:t xml:space="preserve">– Pleskava – Rīga notikušas trīs avārijas. Divas avārijas notika 2000.gadā, bet trešā  – pēc apjoma mazāka – 2005.gadā. Visos trīs gadījumos gāzes lietotāji Krievijā tika apgādāti no IPGK. </w:t>
      </w:r>
    </w:p>
    <w:p w:rsidR="007E7903" w:rsidRPr="007E7903" w:rsidRDefault="007E7903" w:rsidP="007E7903">
      <w:pPr>
        <w:ind w:firstLine="720"/>
        <w:jc w:val="both"/>
        <w:rPr>
          <w:rFonts w:cs="Times New Roman"/>
          <w:szCs w:val="28"/>
        </w:rPr>
      </w:pPr>
      <w:r w:rsidRPr="007E7903">
        <w:rPr>
          <w:rFonts w:cs="Times New Roman"/>
          <w:szCs w:val="28"/>
        </w:rPr>
        <w:t xml:space="preserve">Aizvadīto divdesmit gadu laikā maģistrālajā gāzesvadā Minska – </w:t>
      </w:r>
      <w:proofErr w:type="spellStart"/>
      <w:r w:rsidRPr="007E7903">
        <w:rPr>
          <w:rFonts w:cs="Times New Roman"/>
          <w:szCs w:val="28"/>
        </w:rPr>
        <w:t>Kotlovka</w:t>
      </w:r>
      <w:proofErr w:type="spellEnd"/>
      <w:r w:rsidRPr="007E7903">
        <w:rPr>
          <w:rFonts w:cs="Times New Roman"/>
          <w:szCs w:val="28"/>
        </w:rPr>
        <w:t xml:space="preserve"> nav reģistrēta neviena avārija. Pieņemot, ka avāriju biežums Baltkrievijas maģistrālajos gāzes vados ir tikpat liels kā Baltijas valstu maģistrālajos gāzes vados, un ņemot vērā gāzes vada Minska – </w:t>
      </w:r>
      <w:proofErr w:type="spellStart"/>
      <w:r w:rsidRPr="007E7903">
        <w:rPr>
          <w:rFonts w:cs="Times New Roman"/>
          <w:szCs w:val="28"/>
        </w:rPr>
        <w:t>Kotlovka</w:t>
      </w:r>
      <w:proofErr w:type="spellEnd"/>
      <w:r w:rsidRPr="007E7903">
        <w:rPr>
          <w:rFonts w:cs="Times New Roman"/>
          <w:szCs w:val="28"/>
        </w:rPr>
        <w:t xml:space="preserve"> garumu, var noteikt, ka  gāze piegādes pārtraukuma varbūtība</w:t>
      </w:r>
      <w:r w:rsidR="005E35CE">
        <w:rPr>
          <w:rFonts w:cs="Times New Roman"/>
          <w:szCs w:val="28"/>
        </w:rPr>
        <w:t xml:space="preserve"> ir ļoti neliela</w:t>
      </w:r>
      <w:r w:rsidRPr="007E7903">
        <w:rPr>
          <w:rFonts w:cs="Times New Roman"/>
          <w:szCs w:val="28"/>
        </w:rPr>
        <w:t>.</w:t>
      </w:r>
    </w:p>
    <w:p w:rsidR="007E7903" w:rsidRPr="007E7903" w:rsidRDefault="007E7903" w:rsidP="007E7903">
      <w:pPr>
        <w:ind w:firstLine="720"/>
        <w:jc w:val="both"/>
        <w:rPr>
          <w:rFonts w:cs="Times New Roman"/>
          <w:szCs w:val="28"/>
        </w:rPr>
      </w:pPr>
      <w:r w:rsidRPr="007E7903">
        <w:rPr>
          <w:rFonts w:cs="Times New Roman"/>
          <w:szCs w:val="28"/>
        </w:rPr>
        <w:t xml:space="preserve">Tā kā Lietuvas, Latvijas un Igaunijas </w:t>
      </w:r>
      <w:proofErr w:type="spellStart"/>
      <w:r w:rsidRPr="007E7903">
        <w:rPr>
          <w:rFonts w:cs="Times New Roman"/>
          <w:szCs w:val="28"/>
        </w:rPr>
        <w:t>gāzesapgādes</w:t>
      </w:r>
      <w:proofErr w:type="spellEnd"/>
      <w:r w:rsidRPr="007E7903">
        <w:rPr>
          <w:rFonts w:cs="Times New Roman"/>
          <w:szCs w:val="28"/>
        </w:rPr>
        <w:t xml:space="preserve"> sistēmu veido vairāki  maģistrālie gāzes vadi un IPGK,  un sezonālās dabas gāzes plūsmas katrā valstī ir atšķirīgas, par atskaites referenci tiek ņemti 3 dienu un 15 dienu ilgi  dabasgāzes piegādes no IPGK un </w:t>
      </w:r>
      <w:proofErr w:type="spellStart"/>
      <w:r w:rsidRPr="007E7903">
        <w:rPr>
          <w:rFonts w:cs="Times New Roman"/>
          <w:szCs w:val="28"/>
        </w:rPr>
        <w:t>Kotlovkas</w:t>
      </w:r>
      <w:proofErr w:type="spellEnd"/>
      <w:r w:rsidRPr="007E7903">
        <w:rPr>
          <w:rFonts w:cs="Times New Roman"/>
          <w:szCs w:val="28"/>
        </w:rPr>
        <w:t xml:space="preserve"> GMS traucējumu gada aukstākajā mēnesī operatīvās rīcības scenāriji. </w:t>
      </w:r>
    </w:p>
    <w:p w:rsidR="007E7903" w:rsidRPr="007E7903" w:rsidRDefault="007E7903" w:rsidP="007E7903">
      <w:pPr>
        <w:ind w:firstLine="720"/>
        <w:jc w:val="both"/>
        <w:rPr>
          <w:rFonts w:cs="Times New Roman"/>
          <w:szCs w:val="28"/>
          <w:highlight w:val="yellow"/>
        </w:rPr>
      </w:pPr>
      <w:r w:rsidRPr="007E7903">
        <w:rPr>
          <w:rFonts w:cs="Times New Roman"/>
          <w:szCs w:val="28"/>
        </w:rPr>
        <w:t>Maksimālā dienas dabasgāzes padeves jauda ir 24 miljoni m</w:t>
      </w:r>
      <w:r w:rsidRPr="007E7903">
        <w:rPr>
          <w:rFonts w:cs="Times New Roman"/>
          <w:szCs w:val="28"/>
          <w:vertAlign w:val="superscript"/>
        </w:rPr>
        <w:t>3</w:t>
      </w:r>
      <w:r w:rsidRPr="007E7903">
        <w:rPr>
          <w:rFonts w:cs="Times New Roman"/>
          <w:szCs w:val="28"/>
        </w:rPr>
        <w:t>, no kuriem puse tiek piegādāta Latvijas patērētājiem. Savukārt, Krievijas un Igaunijas patērētāji katrs saņem 6 miljonus m</w:t>
      </w:r>
      <w:r w:rsidRPr="007E7903">
        <w:rPr>
          <w:rFonts w:cs="Times New Roman"/>
          <w:szCs w:val="28"/>
          <w:vertAlign w:val="superscript"/>
        </w:rPr>
        <w:t>3</w:t>
      </w:r>
      <w:r w:rsidRPr="007E7903">
        <w:rPr>
          <w:rFonts w:cs="Times New Roman"/>
          <w:szCs w:val="28"/>
        </w:rPr>
        <w:t xml:space="preserve"> dienā. Gadījumos, ja no IPGK iepriekš apskatīto iemeslu dēļ dabasgāzes padeve nav iespējama, ir iespējama alternatīva gāzes piegāde tieši no Krievijas. Gāzes padeves apjoms, ko būtu iespējams nodrošināt Latvijas virzienā ziemas laikā, maksimāli varētu sasniegt 6 miljonus m</w:t>
      </w:r>
      <w:r w:rsidRPr="007E7903">
        <w:rPr>
          <w:rFonts w:cs="Times New Roman"/>
          <w:szCs w:val="28"/>
          <w:vertAlign w:val="superscript"/>
        </w:rPr>
        <w:t>3</w:t>
      </w:r>
      <w:r w:rsidRPr="007E7903">
        <w:rPr>
          <w:rFonts w:cs="Times New Roman"/>
          <w:szCs w:val="28"/>
        </w:rPr>
        <w:t xml:space="preserve"> dienā, no kuriem 4 miljoni m</w:t>
      </w:r>
      <w:r w:rsidRPr="007E7903">
        <w:rPr>
          <w:rFonts w:cs="Times New Roman"/>
          <w:szCs w:val="28"/>
          <w:vertAlign w:val="superscript"/>
        </w:rPr>
        <w:t>3</w:t>
      </w:r>
      <w:r w:rsidRPr="007E7903">
        <w:rPr>
          <w:rFonts w:cs="Times New Roman"/>
          <w:szCs w:val="28"/>
        </w:rPr>
        <w:t xml:space="preserve"> tiktu novirzīti Igaunijai, bet 2 miljoni m</w:t>
      </w:r>
      <w:r w:rsidRPr="007E7903">
        <w:rPr>
          <w:rFonts w:cs="Times New Roman"/>
          <w:szCs w:val="28"/>
          <w:vertAlign w:val="superscript"/>
        </w:rPr>
        <w:t>3</w:t>
      </w:r>
      <w:r w:rsidRPr="007E7903">
        <w:rPr>
          <w:rFonts w:cs="Times New Roman"/>
          <w:szCs w:val="28"/>
        </w:rPr>
        <w:t xml:space="preserve"> Latvijai. Papildus Krievija varētu par 5 miljoniem m</w:t>
      </w:r>
      <w:r w:rsidRPr="007E7903">
        <w:rPr>
          <w:rFonts w:cs="Times New Roman"/>
          <w:szCs w:val="28"/>
          <w:vertAlign w:val="superscript"/>
        </w:rPr>
        <w:t>3</w:t>
      </w:r>
      <w:r w:rsidRPr="007E7903">
        <w:rPr>
          <w:rFonts w:cs="Times New Roman"/>
          <w:szCs w:val="28"/>
        </w:rPr>
        <w:t xml:space="preserve"> dienā palielināt piegādes Lietuvai, kas tranzītā cauri Lietuvai tiktu piegādāti patērētājiem Latvijā.</w:t>
      </w:r>
    </w:p>
    <w:p w:rsidR="007E7903" w:rsidRDefault="0076152B" w:rsidP="00337C07">
      <w:pPr>
        <w:ind w:firstLine="720"/>
        <w:jc w:val="both"/>
        <w:rPr>
          <w:rFonts w:cs="Times New Roman"/>
          <w:szCs w:val="28"/>
        </w:rPr>
      </w:pPr>
      <w:r w:rsidRPr="007E7903">
        <w:rPr>
          <w:rFonts w:cs="Times New Roman"/>
          <w:szCs w:val="28"/>
        </w:rPr>
        <w:t>N˗1 kritērija aprēķina rezultāti liecina, ka gadījumā</w:t>
      </w:r>
      <w:r w:rsidR="000D4C23">
        <w:rPr>
          <w:rFonts w:cs="Times New Roman"/>
          <w:szCs w:val="28"/>
        </w:rPr>
        <w:t xml:space="preserve"> ja rastos traucējumi, </w:t>
      </w:r>
      <w:r w:rsidRPr="007E7903">
        <w:rPr>
          <w:rFonts w:cs="Times New Roman"/>
          <w:szCs w:val="28"/>
        </w:rPr>
        <w:t xml:space="preserve">Baltijas valstu </w:t>
      </w:r>
      <w:proofErr w:type="spellStart"/>
      <w:r w:rsidRPr="007E7903">
        <w:rPr>
          <w:rFonts w:cs="Times New Roman"/>
          <w:szCs w:val="28"/>
        </w:rPr>
        <w:t>gāzapgādes</w:t>
      </w:r>
      <w:proofErr w:type="spellEnd"/>
      <w:r w:rsidRPr="007E7903">
        <w:rPr>
          <w:rFonts w:cs="Times New Roman"/>
          <w:szCs w:val="28"/>
        </w:rPr>
        <w:t xml:space="preserve"> sistēma var tikt pārkārtota tā, lai dabasgāze lietotājiem tiktu piegādāta pietiekamā apjomā</w:t>
      </w:r>
      <w:r>
        <w:rPr>
          <w:rFonts w:cs="Times New Roman"/>
          <w:szCs w:val="28"/>
        </w:rPr>
        <w:t xml:space="preserve">. </w:t>
      </w:r>
      <w:r w:rsidR="000D4C23">
        <w:rPr>
          <w:rFonts w:cs="Times New Roman"/>
          <w:szCs w:val="28"/>
        </w:rPr>
        <w:t xml:space="preserve">Tomēr šajā gadījumā netiek </w:t>
      </w:r>
      <w:r w:rsidR="000D4C23">
        <w:rPr>
          <w:rFonts w:cs="Times New Roman"/>
          <w:szCs w:val="28"/>
        </w:rPr>
        <w:lastRenderedPageBreak/>
        <w:t xml:space="preserve">ņemts vērā risks, ka dabas gāzi nodrošina viens piegādes avots. Pārtraucot dabas gāzes piegādes </w:t>
      </w:r>
      <w:r w:rsidRPr="007E7903">
        <w:rPr>
          <w:rFonts w:cs="Times New Roman"/>
          <w:szCs w:val="28"/>
        </w:rPr>
        <w:t>reģiona dabasgāzes pieprasījumu nebūs iespējams nosegt</w:t>
      </w:r>
      <w:r w:rsidR="000D4C23">
        <w:rPr>
          <w:rFonts w:cs="Times New Roman"/>
          <w:szCs w:val="28"/>
        </w:rPr>
        <w:t>, jo iztrūkst savienojumi ar citiem piegādes avotiem.</w:t>
      </w:r>
    </w:p>
    <w:p w:rsidR="001D523A" w:rsidRPr="007E7903" w:rsidRDefault="001D523A" w:rsidP="00337C07">
      <w:pPr>
        <w:ind w:firstLine="720"/>
        <w:jc w:val="both"/>
        <w:rPr>
          <w:rFonts w:eastAsia="Times New Roman" w:cs="Times New Roman"/>
          <w:b/>
          <w:szCs w:val="28"/>
        </w:rPr>
      </w:pPr>
      <w:r w:rsidRPr="005945B4">
        <w:rPr>
          <w:rFonts w:cs="Times New Roman"/>
          <w:szCs w:val="28"/>
        </w:rPr>
        <w:t>Pamatoj</w:t>
      </w:r>
      <w:r w:rsidR="00117C29" w:rsidRPr="005945B4">
        <w:rPr>
          <w:rFonts w:cs="Times New Roman"/>
          <w:szCs w:val="28"/>
        </w:rPr>
        <w:t>oties uz Eiropas padomes lēmumu un</w:t>
      </w:r>
      <w:r w:rsidRPr="005945B4">
        <w:rPr>
          <w:rFonts w:cs="Times New Roman"/>
          <w:szCs w:val="28"/>
        </w:rPr>
        <w:t xml:space="preserve"> Eiropas komisija</w:t>
      </w:r>
      <w:r w:rsidR="00117C29" w:rsidRPr="005945B4">
        <w:rPr>
          <w:rFonts w:cs="Times New Roman"/>
          <w:szCs w:val="28"/>
        </w:rPr>
        <w:t>s aicinājumu,</w:t>
      </w:r>
      <w:r w:rsidRPr="005945B4">
        <w:rPr>
          <w:rFonts w:cs="Times New Roman"/>
          <w:szCs w:val="28"/>
        </w:rPr>
        <w:t xml:space="preserve"> visas </w:t>
      </w:r>
      <w:r w:rsidR="00117C29" w:rsidRPr="005945B4">
        <w:rPr>
          <w:rFonts w:cs="Times New Roman"/>
          <w:szCs w:val="28"/>
        </w:rPr>
        <w:t xml:space="preserve">ES </w:t>
      </w:r>
      <w:r w:rsidRPr="005945B4">
        <w:rPr>
          <w:rFonts w:cs="Times New Roman"/>
          <w:szCs w:val="28"/>
        </w:rPr>
        <w:t xml:space="preserve">dalībvalstis </w:t>
      </w:r>
      <w:r w:rsidR="00117C29" w:rsidRPr="005945B4">
        <w:rPr>
          <w:rFonts w:cs="Times New Roman"/>
          <w:szCs w:val="28"/>
        </w:rPr>
        <w:t xml:space="preserve">2014.gada  vasarā veica dabasgāzes </w:t>
      </w:r>
      <w:r w:rsidR="00405B17" w:rsidRPr="005945B4">
        <w:rPr>
          <w:rFonts w:cs="Times New Roman"/>
          <w:szCs w:val="28"/>
        </w:rPr>
        <w:t xml:space="preserve">apgādes </w:t>
      </w:r>
      <w:r w:rsidR="00117C29" w:rsidRPr="005945B4">
        <w:rPr>
          <w:rFonts w:cs="Times New Roman"/>
          <w:szCs w:val="28"/>
        </w:rPr>
        <w:t xml:space="preserve">īstermiņa </w:t>
      </w:r>
      <w:r w:rsidR="00405B17" w:rsidRPr="005945B4">
        <w:rPr>
          <w:rFonts w:cs="Times New Roman"/>
          <w:szCs w:val="28"/>
        </w:rPr>
        <w:t>traucējumu simulāciju</w:t>
      </w:r>
      <w:r w:rsidRPr="005945B4">
        <w:rPr>
          <w:rFonts w:cs="Times New Roman"/>
          <w:szCs w:val="28"/>
        </w:rPr>
        <w:t xml:space="preserve">. Šī treniņa mērķis ir </w:t>
      </w:r>
      <w:r w:rsidR="00117C29" w:rsidRPr="005945B4">
        <w:rPr>
          <w:rFonts w:cs="Times New Roman"/>
          <w:szCs w:val="28"/>
        </w:rPr>
        <w:t xml:space="preserve">identificēt noteiktus risinājumus, kas nepieciešami, lai uzlabotu sistēmas elastīgumu un sagatavot ārkārtas reaģēšanas plānu, kā noteikt potenciālu kā  </w:t>
      </w:r>
      <w:r w:rsidRPr="005945B4">
        <w:rPr>
          <w:rFonts w:cs="Times New Roman"/>
          <w:szCs w:val="28"/>
        </w:rPr>
        <w:t>pilnībā izmantot sinerģijas starp Eiropas valstīm Eiropas un reģionālajos līmeņos.</w:t>
      </w:r>
    </w:p>
    <w:p w:rsidR="007E7903" w:rsidRPr="008A109A" w:rsidRDefault="0050047A" w:rsidP="0050047A">
      <w:pPr>
        <w:pStyle w:val="Heading2"/>
        <w:rPr>
          <w:rFonts w:ascii="Times New Roman" w:eastAsia="Times New Roman" w:hAnsi="Times New Roman" w:cs="Times New Roman"/>
          <w:color w:val="auto"/>
          <w:sz w:val="28"/>
          <w:szCs w:val="28"/>
        </w:rPr>
      </w:pPr>
      <w:bookmarkStart w:id="33" w:name="_Toc400714676"/>
      <w:r w:rsidRPr="008A109A">
        <w:rPr>
          <w:rFonts w:ascii="Times New Roman" w:eastAsia="Times New Roman" w:hAnsi="Times New Roman" w:cs="Times New Roman"/>
          <w:color w:val="auto"/>
          <w:sz w:val="28"/>
          <w:szCs w:val="28"/>
        </w:rPr>
        <w:t xml:space="preserve">4.2 </w:t>
      </w:r>
      <w:r w:rsidR="007E7903" w:rsidRPr="008A109A">
        <w:rPr>
          <w:rFonts w:ascii="Times New Roman" w:eastAsia="Times New Roman" w:hAnsi="Times New Roman" w:cs="Times New Roman"/>
          <w:color w:val="auto"/>
          <w:sz w:val="28"/>
          <w:szCs w:val="28"/>
        </w:rPr>
        <w:t>Dabasgāzes uzglabāšanas potenciāls</w:t>
      </w:r>
      <w:bookmarkEnd w:id="33"/>
    </w:p>
    <w:p w:rsidR="007E7903" w:rsidRPr="007E7903" w:rsidRDefault="007E7903" w:rsidP="007E7903">
      <w:pPr>
        <w:ind w:right="-18" w:firstLine="709"/>
        <w:jc w:val="both"/>
        <w:rPr>
          <w:rFonts w:cs="Times New Roman"/>
          <w:szCs w:val="28"/>
        </w:rPr>
      </w:pPr>
      <w:r w:rsidRPr="007E7903">
        <w:rPr>
          <w:rFonts w:cs="Times New Roman"/>
          <w:szCs w:val="28"/>
        </w:rPr>
        <w:t>Ņemot vērā to, ka Baltijas valstu gāzes apgādes sistēma nav savienota ar ES kopējo gāzes apgādes sistēmu, pazemes gāzes krātuvju pieejamība un pietiekamība reģion</w:t>
      </w:r>
      <w:r w:rsidR="000D4C23">
        <w:rPr>
          <w:rFonts w:cs="Times New Roman"/>
          <w:szCs w:val="28"/>
        </w:rPr>
        <w:t xml:space="preserve">a ir nozīmīga. </w:t>
      </w:r>
      <w:r w:rsidRPr="007E7903">
        <w:rPr>
          <w:rFonts w:cs="Times New Roman"/>
          <w:szCs w:val="28"/>
        </w:rPr>
        <w:t xml:space="preserve">Pazemes gāzes krātuve būtiski uzlabo gāzes piegādes drošību un ļauj regulēt gāzes piegādi atkarībā no sezonas. </w:t>
      </w:r>
    </w:p>
    <w:p w:rsidR="007E7903" w:rsidRPr="007E7903" w:rsidRDefault="000D4C23" w:rsidP="007E7903">
      <w:pPr>
        <w:ind w:firstLine="720"/>
        <w:jc w:val="both"/>
        <w:rPr>
          <w:rFonts w:eastAsia="Times New Roman" w:cs="Times New Roman"/>
          <w:szCs w:val="28"/>
          <w:lang w:eastAsia="lv-LV"/>
        </w:rPr>
      </w:pPr>
      <w:r>
        <w:rPr>
          <w:rFonts w:eastAsia="Times New Roman" w:cs="Times New Roman"/>
          <w:szCs w:val="28"/>
        </w:rPr>
        <w:t xml:space="preserve">IPGK ir iespējas nākotnē paplašināties un </w:t>
      </w:r>
      <w:r w:rsidR="008A109A">
        <w:rPr>
          <w:rFonts w:eastAsia="Times New Roman" w:cs="Times New Roman"/>
          <w:szCs w:val="28"/>
        </w:rPr>
        <w:t xml:space="preserve">tādējādi </w:t>
      </w:r>
      <w:r>
        <w:rPr>
          <w:rFonts w:eastAsia="Times New Roman" w:cs="Times New Roman"/>
          <w:szCs w:val="28"/>
        </w:rPr>
        <w:t>uzglabāt vairāk gāzes. A</w:t>
      </w:r>
      <w:r w:rsidR="007E7903" w:rsidRPr="007E7903">
        <w:rPr>
          <w:rFonts w:eastAsia="Times New Roman" w:cs="Times New Roman"/>
          <w:szCs w:val="28"/>
        </w:rPr>
        <w:t>ktīvās dabasgāzes apjom</w:t>
      </w:r>
      <w:r>
        <w:rPr>
          <w:rFonts w:eastAsia="Times New Roman" w:cs="Times New Roman"/>
          <w:szCs w:val="28"/>
        </w:rPr>
        <w:t xml:space="preserve">a uzglabāšanu iespējams palielināt no </w:t>
      </w:r>
      <w:r w:rsidR="007E7903" w:rsidRPr="007E7903">
        <w:rPr>
          <w:rFonts w:eastAsia="Times New Roman" w:cs="Times New Roman"/>
          <w:szCs w:val="28"/>
        </w:rPr>
        <w:t xml:space="preserve">2,32 </w:t>
      </w:r>
      <w:proofErr w:type="spellStart"/>
      <w:r w:rsidR="007E7903" w:rsidRPr="007E7903">
        <w:rPr>
          <w:rFonts w:eastAsia="Times New Roman" w:cs="Times New Roman"/>
          <w:szCs w:val="28"/>
        </w:rPr>
        <w:t>mljrd</w:t>
      </w:r>
      <w:proofErr w:type="spellEnd"/>
      <w:r w:rsidR="007E7903" w:rsidRPr="007E7903">
        <w:rPr>
          <w:rFonts w:eastAsia="Times New Roman" w:cs="Times New Roman"/>
          <w:szCs w:val="28"/>
        </w:rPr>
        <w:t>. m</w:t>
      </w:r>
      <w:r w:rsidR="007E7903" w:rsidRPr="007E7903">
        <w:rPr>
          <w:rFonts w:eastAsia="Times New Roman" w:cs="Times New Roman"/>
          <w:szCs w:val="28"/>
          <w:vertAlign w:val="superscript"/>
        </w:rPr>
        <w:t>3</w:t>
      </w:r>
      <w:r w:rsidR="007E7903" w:rsidRPr="007E7903">
        <w:rPr>
          <w:rFonts w:eastAsia="Times New Roman" w:cs="Times New Roman"/>
          <w:szCs w:val="28"/>
        </w:rPr>
        <w:t xml:space="preserve"> līdz 2,6 – 2,8 </w:t>
      </w:r>
      <w:proofErr w:type="spellStart"/>
      <w:r w:rsidR="007E7903" w:rsidRPr="007E7903">
        <w:rPr>
          <w:rFonts w:eastAsia="Times New Roman" w:cs="Times New Roman"/>
          <w:szCs w:val="28"/>
        </w:rPr>
        <w:t>mljrd</w:t>
      </w:r>
      <w:proofErr w:type="spellEnd"/>
      <w:r w:rsidR="007E7903" w:rsidRPr="007E7903">
        <w:rPr>
          <w:rFonts w:eastAsia="Times New Roman" w:cs="Times New Roman"/>
          <w:szCs w:val="28"/>
        </w:rPr>
        <w:t>. m</w:t>
      </w:r>
      <w:r w:rsidR="007E7903" w:rsidRPr="007E7903">
        <w:rPr>
          <w:rFonts w:eastAsia="Times New Roman" w:cs="Times New Roman"/>
          <w:szCs w:val="28"/>
          <w:vertAlign w:val="superscript"/>
        </w:rPr>
        <w:t>3</w:t>
      </w:r>
      <w:r w:rsidR="007E7903" w:rsidRPr="007E7903">
        <w:rPr>
          <w:rFonts w:eastAsia="Times New Roman" w:cs="Times New Roman"/>
          <w:szCs w:val="28"/>
        </w:rPr>
        <w:t>. Pēc paplašināšanas arī dabasgāzes padošanas apjoms pieaugs no 28–30 milj.m</w:t>
      </w:r>
      <w:r w:rsidR="007E7903" w:rsidRPr="007E7903">
        <w:rPr>
          <w:rFonts w:eastAsia="Times New Roman" w:cs="Times New Roman"/>
          <w:szCs w:val="28"/>
          <w:vertAlign w:val="superscript"/>
        </w:rPr>
        <w:t>3</w:t>
      </w:r>
      <w:r w:rsidR="007E7903" w:rsidRPr="007E7903">
        <w:rPr>
          <w:rFonts w:eastAsia="Times New Roman" w:cs="Times New Roman"/>
          <w:szCs w:val="28"/>
        </w:rPr>
        <w:t>/dienā līdz 34–35 milj.m</w:t>
      </w:r>
      <w:r w:rsidR="007E7903" w:rsidRPr="007E7903">
        <w:rPr>
          <w:rFonts w:eastAsia="Times New Roman" w:cs="Times New Roman"/>
          <w:szCs w:val="28"/>
          <w:vertAlign w:val="superscript"/>
        </w:rPr>
        <w:t>3</w:t>
      </w:r>
      <w:r w:rsidR="007E7903" w:rsidRPr="007E7903">
        <w:rPr>
          <w:rFonts w:eastAsia="Times New Roman" w:cs="Times New Roman"/>
          <w:szCs w:val="28"/>
        </w:rPr>
        <w:t>/dienā.</w:t>
      </w:r>
    </w:p>
    <w:p w:rsidR="00FF373C" w:rsidRDefault="00FF373C" w:rsidP="00FF373C">
      <w:pPr>
        <w:ind w:firstLine="720"/>
        <w:jc w:val="both"/>
        <w:rPr>
          <w:strike/>
          <w:szCs w:val="28"/>
        </w:rPr>
      </w:pPr>
      <w:r w:rsidRPr="007E7903">
        <w:rPr>
          <w:rFonts w:eastAsia="Times New Roman" w:cs="Times New Roman"/>
          <w:szCs w:val="28"/>
        </w:rPr>
        <w:t>Ir veikti pētījumi par iespējamo pazemes dabas gā</w:t>
      </w:r>
      <w:r>
        <w:rPr>
          <w:rFonts w:eastAsia="Times New Roman" w:cs="Times New Roman"/>
          <w:szCs w:val="28"/>
        </w:rPr>
        <w:t xml:space="preserve">zes krātuves potenciālu Kurzemē. Kopumā </w:t>
      </w:r>
      <w:r>
        <w:rPr>
          <w:bCs/>
          <w:szCs w:val="28"/>
        </w:rPr>
        <w:t xml:space="preserve">Latvijā atrodas vismaz 11 </w:t>
      </w:r>
      <w:r w:rsidRPr="00B95DAC">
        <w:rPr>
          <w:bCs/>
          <w:szCs w:val="28"/>
        </w:rPr>
        <w:t>pazemes struktūras, kuras tika atzītas par perspektīvām tālākai izpētei (</w:t>
      </w:r>
      <w:proofErr w:type="spellStart"/>
      <w:r w:rsidRPr="00B95DAC">
        <w:rPr>
          <w:bCs/>
          <w:szCs w:val="28"/>
        </w:rPr>
        <w:t>skat</w:t>
      </w:r>
      <w:proofErr w:type="spellEnd"/>
      <w:r w:rsidRPr="00B95DAC">
        <w:rPr>
          <w:bCs/>
          <w:szCs w:val="28"/>
        </w:rPr>
        <w:t xml:space="preserve">. </w:t>
      </w:r>
      <w:r>
        <w:rPr>
          <w:bCs/>
          <w:szCs w:val="28"/>
        </w:rPr>
        <w:t>10</w:t>
      </w:r>
      <w:r w:rsidRPr="00B95DAC">
        <w:rPr>
          <w:bCs/>
          <w:szCs w:val="28"/>
        </w:rPr>
        <w:t>.tabulu</w:t>
      </w:r>
      <w:r>
        <w:rPr>
          <w:bCs/>
          <w:szCs w:val="28"/>
        </w:rPr>
        <w:t xml:space="preserve">). </w:t>
      </w:r>
      <w:r w:rsidRPr="007E7903">
        <w:rPr>
          <w:szCs w:val="28"/>
        </w:rPr>
        <w:t xml:space="preserve">Šobrīd </w:t>
      </w:r>
      <w:r>
        <w:rPr>
          <w:szCs w:val="28"/>
        </w:rPr>
        <w:t xml:space="preserve">Dobeles pazemes struktūra </w:t>
      </w:r>
      <w:r w:rsidRPr="007E7903">
        <w:rPr>
          <w:szCs w:val="28"/>
        </w:rPr>
        <w:t xml:space="preserve">ir </w:t>
      </w:r>
      <w:proofErr w:type="spellStart"/>
      <w:r w:rsidRPr="007E7903">
        <w:rPr>
          <w:szCs w:val="28"/>
        </w:rPr>
        <w:t>visdetalizētāk</w:t>
      </w:r>
      <w:proofErr w:type="spellEnd"/>
      <w:r w:rsidRPr="007E7903">
        <w:rPr>
          <w:szCs w:val="28"/>
        </w:rPr>
        <w:t xml:space="preserve"> izpētīt</w:t>
      </w:r>
      <w:r>
        <w:rPr>
          <w:szCs w:val="28"/>
        </w:rPr>
        <w:t>ā no Latvijas potenciālajām PGK.</w:t>
      </w:r>
      <w:r w:rsidRPr="00033385">
        <w:rPr>
          <w:strike/>
          <w:szCs w:val="28"/>
        </w:rPr>
        <w:t xml:space="preserve"> </w:t>
      </w:r>
    </w:p>
    <w:p w:rsidR="00FF373C" w:rsidRPr="00B95DAC" w:rsidRDefault="00FF373C" w:rsidP="00FF373C">
      <w:pPr>
        <w:ind w:firstLine="720"/>
        <w:jc w:val="both"/>
        <w:rPr>
          <w:rFonts w:eastAsia="Times New Roman" w:cs="Times New Roman"/>
          <w:szCs w:val="28"/>
        </w:rPr>
      </w:pPr>
    </w:p>
    <w:p w:rsidR="007E7903" w:rsidRPr="008A109A" w:rsidRDefault="008A109A" w:rsidP="008A109A">
      <w:pPr>
        <w:jc w:val="right"/>
        <w:rPr>
          <w:rFonts w:eastAsia="Calibri"/>
          <w:szCs w:val="28"/>
        </w:rPr>
      </w:pPr>
      <w:r>
        <w:rPr>
          <w:rFonts w:eastAsia="Calibri"/>
          <w:szCs w:val="28"/>
        </w:rPr>
        <w:t>10</w:t>
      </w:r>
      <w:r w:rsidR="007E7903" w:rsidRPr="008A109A">
        <w:rPr>
          <w:rFonts w:eastAsia="Calibri"/>
          <w:szCs w:val="28"/>
        </w:rPr>
        <w:t xml:space="preserve">.tabula </w:t>
      </w:r>
    </w:p>
    <w:p w:rsidR="007E7903" w:rsidRPr="00973BC4" w:rsidRDefault="007E7903" w:rsidP="007E7903">
      <w:pPr>
        <w:jc w:val="center"/>
        <w:rPr>
          <w:rFonts w:eastAsia="Calibri"/>
          <w:b/>
          <w:iCs/>
          <w:szCs w:val="28"/>
        </w:rPr>
      </w:pPr>
      <w:r w:rsidRPr="00973BC4">
        <w:rPr>
          <w:rFonts w:eastAsia="Calibri"/>
          <w:b/>
          <w:iCs/>
          <w:szCs w:val="28"/>
        </w:rPr>
        <w:t xml:space="preserve">Latvijas ģeoloģiskās struktūras, </w:t>
      </w:r>
    </w:p>
    <w:p w:rsidR="007E7903" w:rsidRPr="00973BC4" w:rsidRDefault="007E7903" w:rsidP="007E7903">
      <w:pPr>
        <w:jc w:val="center"/>
        <w:rPr>
          <w:rFonts w:eastAsia="Calibri"/>
          <w:b/>
          <w:iCs/>
          <w:szCs w:val="28"/>
        </w:rPr>
      </w:pPr>
      <w:r w:rsidRPr="00973BC4">
        <w:rPr>
          <w:rFonts w:eastAsia="Calibri"/>
          <w:b/>
          <w:iCs/>
          <w:szCs w:val="28"/>
        </w:rPr>
        <w:t>kas piemērotas pazemes gāzes krātuvju izveidei</w:t>
      </w:r>
    </w:p>
    <w:p w:rsidR="007E7903" w:rsidRPr="007E7903" w:rsidRDefault="007E7903" w:rsidP="007E7903">
      <w:pPr>
        <w:jc w:val="center"/>
        <w:rPr>
          <w:rFonts w:eastAsia="Calibri"/>
          <w:szCs w:val="28"/>
        </w:rPr>
      </w:pPr>
    </w:p>
    <w:tbl>
      <w:tblPr>
        <w:tblStyle w:val="TableGrid11"/>
        <w:tblW w:w="0" w:type="auto"/>
        <w:tblInd w:w="108" w:type="dxa"/>
        <w:tblLook w:val="04A0" w:firstRow="1" w:lastRow="0" w:firstColumn="1" w:lastColumn="0" w:noHBand="0" w:noVBand="1"/>
      </w:tblPr>
      <w:tblGrid>
        <w:gridCol w:w="993"/>
        <w:gridCol w:w="2551"/>
        <w:gridCol w:w="2552"/>
        <w:gridCol w:w="2976"/>
      </w:tblGrid>
      <w:tr w:rsidR="007E7903" w:rsidRPr="007E7903" w:rsidTr="007E7903">
        <w:tc>
          <w:tcPr>
            <w:tcW w:w="993" w:type="dxa"/>
            <w:tcBorders>
              <w:top w:val="single" w:sz="4" w:space="0" w:color="auto"/>
              <w:left w:val="single" w:sz="4" w:space="0" w:color="auto"/>
              <w:bottom w:val="single" w:sz="4" w:space="0" w:color="auto"/>
              <w:right w:val="single" w:sz="4" w:space="0" w:color="auto"/>
            </w:tcBorders>
            <w:hideMark/>
          </w:tcPr>
          <w:p w:rsidR="007E7903" w:rsidRPr="00711F50" w:rsidRDefault="007E7903" w:rsidP="007E7903">
            <w:pPr>
              <w:rPr>
                <w:b/>
                <w:sz w:val="24"/>
                <w:szCs w:val="24"/>
              </w:rPr>
            </w:pPr>
            <w:proofErr w:type="spellStart"/>
            <w:r w:rsidRPr="00711F50">
              <w:rPr>
                <w:b/>
                <w:sz w:val="24"/>
                <w:szCs w:val="24"/>
              </w:rPr>
              <w:t>Nr</w:t>
            </w:r>
            <w:proofErr w:type="spellEnd"/>
            <w:r w:rsidRPr="00711F50">
              <w:rPr>
                <w:b/>
                <w:sz w:val="24"/>
                <w:szCs w:val="24"/>
              </w:rPr>
              <w:t>.</w:t>
            </w:r>
          </w:p>
        </w:tc>
        <w:tc>
          <w:tcPr>
            <w:tcW w:w="2551" w:type="dxa"/>
            <w:tcBorders>
              <w:top w:val="single" w:sz="4" w:space="0" w:color="auto"/>
              <w:left w:val="single" w:sz="4" w:space="0" w:color="auto"/>
              <w:bottom w:val="single" w:sz="4" w:space="0" w:color="auto"/>
              <w:right w:val="single" w:sz="4" w:space="0" w:color="auto"/>
            </w:tcBorders>
            <w:hideMark/>
          </w:tcPr>
          <w:p w:rsidR="007E7903" w:rsidRPr="00711F50" w:rsidRDefault="007E7903" w:rsidP="007E7903">
            <w:pPr>
              <w:rPr>
                <w:b/>
                <w:sz w:val="24"/>
                <w:szCs w:val="24"/>
              </w:rPr>
            </w:pPr>
            <w:r w:rsidRPr="00711F50">
              <w:rPr>
                <w:b/>
                <w:sz w:val="24"/>
                <w:szCs w:val="24"/>
              </w:rPr>
              <w:t>Pazemes krātuve</w:t>
            </w:r>
          </w:p>
        </w:tc>
        <w:tc>
          <w:tcPr>
            <w:tcW w:w="2552" w:type="dxa"/>
            <w:tcBorders>
              <w:top w:val="single" w:sz="4" w:space="0" w:color="auto"/>
              <w:left w:val="single" w:sz="4" w:space="0" w:color="auto"/>
              <w:bottom w:val="single" w:sz="4" w:space="0" w:color="auto"/>
              <w:right w:val="single" w:sz="4" w:space="0" w:color="auto"/>
            </w:tcBorders>
            <w:hideMark/>
          </w:tcPr>
          <w:p w:rsidR="007E7903" w:rsidRPr="00711F50" w:rsidRDefault="007E7903" w:rsidP="007E7903">
            <w:pPr>
              <w:rPr>
                <w:b/>
                <w:sz w:val="24"/>
                <w:szCs w:val="24"/>
              </w:rPr>
            </w:pPr>
            <w:r w:rsidRPr="00711F50">
              <w:rPr>
                <w:b/>
                <w:sz w:val="24"/>
                <w:szCs w:val="24"/>
              </w:rPr>
              <w:t>Laukums, km</w:t>
            </w:r>
            <w:r w:rsidRPr="00711F50">
              <w:rPr>
                <w:b/>
                <w:sz w:val="24"/>
                <w:szCs w:val="24"/>
                <w:vertAlign w:val="superscript"/>
              </w:rPr>
              <w:t>2</w:t>
            </w:r>
          </w:p>
        </w:tc>
        <w:tc>
          <w:tcPr>
            <w:tcW w:w="2976" w:type="dxa"/>
            <w:tcBorders>
              <w:top w:val="single" w:sz="4" w:space="0" w:color="auto"/>
              <w:left w:val="single" w:sz="4" w:space="0" w:color="auto"/>
              <w:bottom w:val="single" w:sz="4" w:space="0" w:color="auto"/>
              <w:right w:val="single" w:sz="4" w:space="0" w:color="auto"/>
            </w:tcBorders>
            <w:hideMark/>
          </w:tcPr>
          <w:p w:rsidR="007E7903" w:rsidRPr="00711F50" w:rsidRDefault="00973BC4" w:rsidP="007E7903">
            <w:pPr>
              <w:autoSpaceDE w:val="0"/>
              <w:autoSpaceDN w:val="0"/>
              <w:adjustRightInd w:val="0"/>
              <w:rPr>
                <w:b/>
                <w:color w:val="000000"/>
                <w:sz w:val="24"/>
                <w:szCs w:val="24"/>
              </w:rPr>
            </w:pPr>
            <w:r w:rsidRPr="00711F50">
              <w:rPr>
                <w:b/>
                <w:color w:val="000000"/>
                <w:sz w:val="24"/>
                <w:szCs w:val="24"/>
              </w:rPr>
              <w:t>Ietilpība</w:t>
            </w:r>
            <w:r w:rsidR="007E7903" w:rsidRPr="00711F50">
              <w:rPr>
                <w:b/>
                <w:color w:val="000000"/>
                <w:sz w:val="24"/>
                <w:szCs w:val="24"/>
              </w:rPr>
              <w:t xml:space="preserve">, </w:t>
            </w:r>
            <w:proofErr w:type="spellStart"/>
            <w:r w:rsidR="007E7903" w:rsidRPr="00711F50">
              <w:rPr>
                <w:b/>
                <w:color w:val="000000"/>
                <w:sz w:val="24"/>
                <w:szCs w:val="24"/>
              </w:rPr>
              <w:t>mljrd</w:t>
            </w:r>
            <w:proofErr w:type="spellEnd"/>
            <w:r w:rsidR="007E7903" w:rsidRPr="00711F50">
              <w:rPr>
                <w:b/>
                <w:color w:val="000000"/>
                <w:sz w:val="24"/>
                <w:szCs w:val="24"/>
              </w:rPr>
              <w:t>. m</w:t>
            </w:r>
            <w:r w:rsidR="007E7903" w:rsidRPr="00711F50">
              <w:rPr>
                <w:b/>
                <w:color w:val="000000"/>
                <w:sz w:val="24"/>
                <w:szCs w:val="24"/>
                <w:vertAlign w:val="superscript"/>
              </w:rPr>
              <w:t>3</w:t>
            </w:r>
            <w:r w:rsidR="007E7903" w:rsidRPr="00711F50">
              <w:rPr>
                <w:b/>
                <w:color w:val="000000"/>
                <w:sz w:val="24"/>
                <w:szCs w:val="24"/>
              </w:rPr>
              <w:t xml:space="preserve"> </w:t>
            </w:r>
          </w:p>
        </w:tc>
      </w:tr>
      <w:tr w:rsidR="007E7903" w:rsidRPr="007E7903" w:rsidTr="007E7903">
        <w:tc>
          <w:tcPr>
            <w:tcW w:w="993" w:type="dxa"/>
            <w:tcBorders>
              <w:top w:val="single" w:sz="4" w:space="0" w:color="auto"/>
              <w:left w:val="single" w:sz="4" w:space="0" w:color="auto"/>
              <w:bottom w:val="single" w:sz="4" w:space="0" w:color="auto"/>
              <w:right w:val="single" w:sz="4" w:space="0" w:color="auto"/>
            </w:tcBorders>
            <w:hideMark/>
          </w:tcPr>
          <w:p w:rsidR="007E7903" w:rsidRPr="00711F50" w:rsidRDefault="007E7903" w:rsidP="007E7903">
            <w:pPr>
              <w:rPr>
                <w:sz w:val="24"/>
                <w:szCs w:val="24"/>
              </w:rPr>
            </w:pPr>
            <w:r w:rsidRPr="00711F50">
              <w:rPr>
                <w:sz w:val="24"/>
                <w:szCs w:val="24"/>
              </w:rPr>
              <w:t>1.</w:t>
            </w:r>
          </w:p>
        </w:tc>
        <w:tc>
          <w:tcPr>
            <w:tcW w:w="2551" w:type="dxa"/>
            <w:tcBorders>
              <w:top w:val="single" w:sz="4" w:space="0" w:color="auto"/>
              <w:left w:val="single" w:sz="4" w:space="0" w:color="auto"/>
              <w:bottom w:val="single" w:sz="4" w:space="0" w:color="auto"/>
              <w:right w:val="single" w:sz="4" w:space="0" w:color="auto"/>
            </w:tcBorders>
            <w:hideMark/>
          </w:tcPr>
          <w:p w:rsidR="007E7903" w:rsidRPr="00711F50" w:rsidRDefault="007E7903" w:rsidP="007E7903">
            <w:pPr>
              <w:rPr>
                <w:sz w:val="24"/>
                <w:szCs w:val="24"/>
              </w:rPr>
            </w:pPr>
            <w:r w:rsidRPr="00711F50">
              <w:rPr>
                <w:sz w:val="24"/>
                <w:szCs w:val="24"/>
              </w:rPr>
              <w:t>Snēpele</w:t>
            </w:r>
          </w:p>
        </w:tc>
        <w:tc>
          <w:tcPr>
            <w:tcW w:w="2552" w:type="dxa"/>
            <w:tcBorders>
              <w:top w:val="single" w:sz="4" w:space="0" w:color="auto"/>
              <w:left w:val="single" w:sz="4" w:space="0" w:color="auto"/>
              <w:bottom w:val="single" w:sz="4" w:space="0" w:color="auto"/>
              <w:right w:val="single" w:sz="4" w:space="0" w:color="auto"/>
            </w:tcBorders>
            <w:hideMark/>
          </w:tcPr>
          <w:p w:rsidR="007E7903" w:rsidRPr="00711F50" w:rsidRDefault="007E7903" w:rsidP="007E7903">
            <w:pPr>
              <w:rPr>
                <w:sz w:val="24"/>
                <w:szCs w:val="24"/>
              </w:rPr>
            </w:pPr>
            <w:r w:rsidRPr="00711F50">
              <w:rPr>
                <w:sz w:val="24"/>
                <w:szCs w:val="24"/>
              </w:rPr>
              <w:t>75</w:t>
            </w:r>
          </w:p>
        </w:tc>
        <w:tc>
          <w:tcPr>
            <w:tcW w:w="2976" w:type="dxa"/>
            <w:tcBorders>
              <w:top w:val="single" w:sz="4" w:space="0" w:color="auto"/>
              <w:left w:val="single" w:sz="4" w:space="0" w:color="auto"/>
              <w:bottom w:val="single" w:sz="4" w:space="0" w:color="auto"/>
              <w:right w:val="single" w:sz="4" w:space="0" w:color="auto"/>
            </w:tcBorders>
            <w:hideMark/>
          </w:tcPr>
          <w:p w:rsidR="007E7903" w:rsidRPr="00711F50" w:rsidRDefault="007E7903" w:rsidP="007E7903">
            <w:pPr>
              <w:rPr>
                <w:sz w:val="24"/>
                <w:szCs w:val="24"/>
              </w:rPr>
            </w:pPr>
            <w:r w:rsidRPr="00711F50">
              <w:rPr>
                <w:sz w:val="24"/>
                <w:szCs w:val="24"/>
              </w:rPr>
              <w:t>17,5</w:t>
            </w:r>
          </w:p>
        </w:tc>
      </w:tr>
      <w:tr w:rsidR="007E7903" w:rsidRPr="007E7903" w:rsidTr="007E7903">
        <w:tc>
          <w:tcPr>
            <w:tcW w:w="993" w:type="dxa"/>
            <w:tcBorders>
              <w:top w:val="single" w:sz="4" w:space="0" w:color="auto"/>
              <w:left w:val="single" w:sz="4" w:space="0" w:color="auto"/>
              <w:bottom w:val="single" w:sz="4" w:space="0" w:color="auto"/>
              <w:right w:val="single" w:sz="4" w:space="0" w:color="auto"/>
            </w:tcBorders>
            <w:hideMark/>
          </w:tcPr>
          <w:p w:rsidR="007E7903" w:rsidRPr="00711F50" w:rsidRDefault="007E7903" w:rsidP="007E7903">
            <w:pPr>
              <w:rPr>
                <w:sz w:val="24"/>
                <w:szCs w:val="24"/>
              </w:rPr>
            </w:pPr>
            <w:r w:rsidRPr="00711F50">
              <w:rPr>
                <w:sz w:val="24"/>
                <w:szCs w:val="24"/>
              </w:rPr>
              <w:t>2.</w:t>
            </w:r>
          </w:p>
        </w:tc>
        <w:tc>
          <w:tcPr>
            <w:tcW w:w="2551" w:type="dxa"/>
            <w:tcBorders>
              <w:top w:val="single" w:sz="4" w:space="0" w:color="auto"/>
              <w:left w:val="single" w:sz="4" w:space="0" w:color="auto"/>
              <w:bottom w:val="single" w:sz="4" w:space="0" w:color="auto"/>
              <w:right w:val="single" w:sz="4" w:space="0" w:color="auto"/>
            </w:tcBorders>
            <w:hideMark/>
          </w:tcPr>
          <w:p w:rsidR="007E7903" w:rsidRPr="00711F50" w:rsidRDefault="007E7903" w:rsidP="007E7903">
            <w:pPr>
              <w:rPr>
                <w:sz w:val="24"/>
                <w:szCs w:val="24"/>
              </w:rPr>
            </w:pPr>
            <w:r w:rsidRPr="00711F50">
              <w:rPr>
                <w:sz w:val="24"/>
                <w:szCs w:val="24"/>
              </w:rPr>
              <w:t>Aizpute</w:t>
            </w:r>
          </w:p>
        </w:tc>
        <w:tc>
          <w:tcPr>
            <w:tcW w:w="2552" w:type="dxa"/>
            <w:tcBorders>
              <w:top w:val="single" w:sz="4" w:space="0" w:color="auto"/>
              <w:left w:val="single" w:sz="4" w:space="0" w:color="auto"/>
              <w:bottom w:val="single" w:sz="4" w:space="0" w:color="auto"/>
              <w:right w:val="single" w:sz="4" w:space="0" w:color="auto"/>
            </w:tcBorders>
            <w:hideMark/>
          </w:tcPr>
          <w:p w:rsidR="007E7903" w:rsidRPr="00711F50" w:rsidRDefault="007E7903" w:rsidP="007E7903">
            <w:pPr>
              <w:rPr>
                <w:sz w:val="24"/>
                <w:szCs w:val="24"/>
              </w:rPr>
            </w:pPr>
            <w:r w:rsidRPr="00711F50">
              <w:rPr>
                <w:sz w:val="24"/>
                <w:szCs w:val="24"/>
              </w:rPr>
              <w:t>95</w:t>
            </w:r>
          </w:p>
        </w:tc>
        <w:tc>
          <w:tcPr>
            <w:tcW w:w="2976" w:type="dxa"/>
            <w:tcBorders>
              <w:top w:val="single" w:sz="4" w:space="0" w:color="auto"/>
              <w:left w:val="single" w:sz="4" w:space="0" w:color="auto"/>
              <w:bottom w:val="single" w:sz="4" w:space="0" w:color="auto"/>
              <w:right w:val="single" w:sz="4" w:space="0" w:color="auto"/>
            </w:tcBorders>
            <w:hideMark/>
          </w:tcPr>
          <w:p w:rsidR="007E7903" w:rsidRPr="00711F50" w:rsidRDefault="007E7903" w:rsidP="007E7903">
            <w:pPr>
              <w:rPr>
                <w:sz w:val="24"/>
                <w:szCs w:val="24"/>
              </w:rPr>
            </w:pPr>
            <w:r w:rsidRPr="00711F50">
              <w:rPr>
                <w:sz w:val="24"/>
                <w:szCs w:val="24"/>
              </w:rPr>
              <w:t>16,0</w:t>
            </w:r>
          </w:p>
        </w:tc>
      </w:tr>
      <w:tr w:rsidR="007E7903" w:rsidRPr="007E7903" w:rsidTr="007E7903">
        <w:tc>
          <w:tcPr>
            <w:tcW w:w="993" w:type="dxa"/>
            <w:tcBorders>
              <w:top w:val="single" w:sz="4" w:space="0" w:color="auto"/>
              <w:left w:val="single" w:sz="4" w:space="0" w:color="auto"/>
              <w:bottom w:val="single" w:sz="4" w:space="0" w:color="auto"/>
              <w:right w:val="single" w:sz="4" w:space="0" w:color="auto"/>
            </w:tcBorders>
            <w:hideMark/>
          </w:tcPr>
          <w:p w:rsidR="007E7903" w:rsidRPr="00711F50" w:rsidRDefault="007E7903" w:rsidP="007E7903">
            <w:pPr>
              <w:rPr>
                <w:b/>
                <w:sz w:val="24"/>
                <w:szCs w:val="24"/>
              </w:rPr>
            </w:pPr>
            <w:r w:rsidRPr="00711F50">
              <w:rPr>
                <w:b/>
                <w:sz w:val="24"/>
                <w:szCs w:val="24"/>
              </w:rPr>
              <w:t>3.</w:t>
            </w:r>
          </w:p>
        </w:tc>
        <w:tc>
          <w:tcPr>
            <w:tcW w:w="2551" w:type="dxa"/>
            <w:tcBorders>
              <w:top w:val="single" w:sz="4" w:space="0" w:color="auto"/>
              <w:left w:val="single" w:sz="4" w:space="0" w:color="auto"/>
              <w:bottom w:val="single" w:sz="4" w:space="0" w:color="auto"/>
              <w:right w:val="single" w:sz="4" w:space="0" w:color="auto"/>
            </w:tcBorders>
            <w:hideMark/>
          </w:tcPr>
          <w:p w:rsidR="007E7903" w:rsidRPr="00711F50" w:rsidRDefault="007E7903" w:rsidP="007E7903">
            <w:pPr>
              <w:rPr>
                <w:b/>
                <w:sz w:val="24"/>
                <w:szCs w:val="24"/>
              </w:rPr>
            </w:pPr>
            <w:r w:rsidRPr="00711F50">
              <w:rPr>
                <w:b/>
                <w:sz w:val="24"/>
                <w:szCs w:val="24"/>
              </w:rPr>
              <w:t>Dobele</w:t>
            </w:r>
          </w:p>
        </w:tc>
        <w:tc>
          <w:tcPr>
            <w:tcW w:w="2552" w:type="dxa"/>
            <w:tcBorders>
              <w:top w:val="single" w:sz="4" w:space="0" w:color="auto"/>
              <w:left w:val="single" w:sz="4" w:space="0" w:color="auto"/>
              <w:bottom w:val="single" w:sz="4" w:space="0" w:color="auto"/>
              <w:right w:val="single" w:sz="4" w:space="0" w:color="auto"/>
            </w:tcBorders>
            <w:hideMark/>
          </w:tcPr>
          <w:p w:rsidR="007E7903" w:rsidRPr="00711F50" w:rsidRDefault="007E7903" w:rsidP="007E7903">
            <w:pPr>
              <w:rPr>
                <w:b/>
                <w:sz w:val="24"/>
                <w:szCs w:val="24"/>
              </w:rPr>
            </w:pPr>
            <w:r w:rsidRPr="00711F50">
              <w:rPr>
                <w:b/>
                <w:sz w:val="24"/>
                <w:szCs w:val="24"/>
              </w:rPr>
              <w:t>47</w:t>
            </w:r>
          </w:p>
        </w:tc>
        <w:tc>
          <w:tcPr>
            <w:tcW w:w="2976" w:type="dxa"/>
            <w:tcBorders>
              <w:top w:val="single" w:sz="4" w:space="0" w:color="auto"/>
              <w:left w:val="single" w:sz="4" w:space="0" w:color="auto"/>
              <w:bottom w:val="single" w:sz="4" w:space="0" w:color="auto"/>
              <w:right w:val="single" w:sz="4" w:space="0" w:color="auto"/>
            </w:tcBorders>
            <w:hideMark/>
          </w:tcPr>
          <w:p w:rsidR="007E7903" w:rsidRPr="00711F50" w:rsidRDefault="007E7903" w:rsidP="007E7903">
            <w:pPr>
              <w:rPr>
                <w:b/>
                <w:sz w:val="24"/>
                <w:szCs w:val="24"/>
              </w:rPr>
            </w:pPr>
            <w:r w:rsidRPr="00711F50">
              <w:rPr>
                <w:b/>
                <w:sz w:val="24"/>
                <w:szCs w:val="24"/>
              </w:rPr>
              <w:t>10,0</w:t>
            </w:r>
          </w:p>
        </w:tc>
      </w:tr>
      <w:tr w:rsidR="007E7903" w:rsidRPr="007E7903" w:rsidTr="007E7903">
        <w:tc>
          <w:tcPr>
            <w:tcW w:w="993" w:type="dxa"/>
            <w:tcBorders>
              <w:top w:val="single" w:sz="4" w:space="0" w:color="auto"/>
              <w:left w:val="single" w:sz="4" w:space="0" w:color="auto"/>
              <w:bottom w:val="single" w:sz="4" w:space="0" w:color="auto"/>
              <w:right w:val="single" w:sz="4" w:space="0" w:color="auto"/>
            </w:tcBorders>
            <w:hideMark/>
          </w:tcPr>
          <w:p w:rsidR="007E7903" w:rsidRPr="00711F50" w:rsidRDefault="007E7903" w:rsidP="007E7903">
            <w:pPr>
              <w:rPr>
                <w:sz w:val="24"/>
                <w:szCs w:val="24"/>
              </w:rPr>
            </w:pPr>
            <w:r w:rsidRPr="00711F50">
              <w:rPr>
                <w:sz w:val="24"/>
                <w:szCs w:val="24"/>
              </w:rPr>
              <w:t>4.</w:t>
            </w:r>
          </w:p>
        </w:tc>
        <w:tc>
          <w:tcPr>
            <w:tcW w:w="2551" w:type="dxa"/>
            <w:tcBorders>
              <w:top w:val="single" w:sz="4" w:space="0" w:color="auto"/>
              <w:left w:val="single" w:sz="4" w:space="0" w:color="auto"/>
              <w:bottom w:val="single" w:sz="4" w:space="0" w:color="auto"/>
              <w:right w:val="single" w:sz="4" w:space="0" w:color="auto"/>
            </w:tcBorders>
            <w:hideMark/>
          </w:tcPr>
          <w:p w:rsidR="007E7903" w:rsidRPr="00711F50" w:rsidRDefault="007E7903" w:rsidP="007E7903">
            <w:pPr>
              <w:rPr>
                <w:sz w:val="24"/>
                <w:szCs w:val="24"/>
              </w:rPr>
            </w:pPr>
            <w:r w:rsidRPr="00711F50">
              <w:rPr>
                <w:sz w:val="24"/>
                <w:szCs w:val="24"/>
              </w:rPr>
              <w:t>Z–Blīdene</w:t>
            </w:r>
          </w:p>
        </w:tc>
        <w:tc>
          <w:tcPr>
            <w:tcW w:w="2552" w:type="dxa"/>
            <w:tcBorders>
              <w:top w:val="single" w:sz="4" w:space="0" w:color="auto"/>
              <w:left w:val="single" w:sz="4" w:space="0" w:color="auto"/>
              <w:bottom w:val="single" w:sz="4" w:space="0" w:color="auto"/>
              <w:right w:val="single" w:sz="4" w:space="0" w:color="auto"/>
            </w:tcBorders>
            <w:hideMark/>
          </w:tcPr>
          <w:p w:rsidR="007E7903" w:rsidRPr="00711F50" w:rsidRDefault="007E7903" w:rsidP="007E7903">
            <w:pPr>
              <w:rPr>
                <w:sz w:val="24"/>
                <w:szCs w:val="24"/>
              </w:rPr>
            </w:pPr>
            <w:r w:rsidRPr="00711F50">
              <w:rPr>
                <w:sz w:val="24"/>
                <w:szCs w:val="24"/>
              </w:rPr>
              <w:t>47</w:t>
            </w:r>
          </w:p>
        </w:tc>
        <w:tc>
          <w:tcPr>
            <w:tcW w:w="2976" w:type="dxa"/>
            <w:tcBorders>
              <w:top w:val="single" w:sz="4" w:space="0" w:color="auto"/>
              <w:left w:val="single" w:sz="4" w:space="0" w:color="auto"/>
              <w:bottom w:val="single" w:sz="4" w:space="0" w:color="auto"/>
              <w:right w:val="single" w:sz="4" w:space="0" w:color="auto"/>
            </w:tcBorders>
            <w:hideMark/>
          </w:tcPr>
          <w:p w:rsidR="007E7903" w:rsidRPr="00711F50" w:rsidRDefault="007E7903" w:rsidP="007E7903">
            <w:pPr>
              <w:rPr>
                <w:sz w:val="24"/>
                <w:szCs w:val="24"/>
              </w:rPr>
            </w:pPr>
            <w:r w:rsidRPr="00711F50">
              <w:rPr>
                <w:sz w:val="24"/>
                <w:szCs w:val="24"/>
              </w:rPr>
              <w:t>9,0</w:t>
            </w:r>
          </w:p>
        </w:tc>
      </w:tr>
      <w:tr w:rsidR="007E7903" w:rsidRPr="007E7903" w:rsidTr="007E7903">
        <w:tc>
          <w:tcPr>
            <w:tcW w:w="993" w:type="dxa"/>
            <w:tcBorders>
              <w:top w:val="single" w:sz="4" w:space="0" w:color="auto"/>
              <w:left w:val="single" w:sz="4" w:space="0" w:color="auto"/>
              <w:bottom w:val="single" w:sz="4" w:space="0" w:color="auto"/>
              <w:right w:val="single" w:sz="4" w:space="0" w:color="auto"/>
            </w:tcBorders>
            <w:hideMark/>
          </w:tcPr>
          <w:p w:rsidR="007E7903" w:rsidRPr="00711F50" w:rsidRDefault="007E7903" w:rsidP="007E7903">
            <w:pPr>
              <w:rPr>
                <w:sz w:val="24"/>
                <w:szCs w:val="24"/>
              </w:rPr>
            </w:pPr>
            <w:r w:rsidRPr="00711F50">
              <w:rPr>
                <w:sz w:val="24"/>
                <w:szCs w:val="24"/>
              </w:rPr>
              <w:t>5.</w:t>
            </w:r>
          </w:p>
        </w:tc>
        <w:tc>
          <w:tcPr>
            <w:tcW w:w="2551" w:type="dxa"/>
            <w:tcBorders>
              <w:top w:val="single" w:sz="4" w:space="0" w:color="auto"/>
              <w:left w:val="single" w:sz="4" w:space="0" w:color="auto"/>
              <w:bottom w:val="single" w:sz="4" w:space="0" w:color="auto"/>
              <w:right w:val="single" w:sz="4" w:space="0" w:color="auto"/>
            </w:tcBorders>
            <w:hideMark/>
          </w:tcPr>
          <w:p w:rsidR="007E7903" w:rsidRPr="00711F50" w:rsidRDefault="007E7903" w:rsidP="007E7903">
            <w:pPr>
              <w:rPr>
                <w:sz w:val="24"/>
                <w:szCs w:val="24"/>
              </w:rPr>
            </w:pPr>
            <w:r w:rsidRPr="00711F50">
              <w:rPr>
                <w:sz w:val="24"/>
                <w:szCs w:val="24"/>
              </w:rPr>
              <w:t>Līči</w:t>
            </w:r>
          </w:p>
        </w:tc>
        <w:tc>
          <w:tcPr>
            <w:tcW w:w="2552" w:type="dxa"/>
            <w:tcBorders>
              <w:top w:val="single" w:sz="4" w:space="0" w:color="auto"/>
              <w:left w:val="single" w:sz="4" w:space="0" w:color="auto"/>
              <w:bottom w:val="single" w:sz="4" w:space="0" w:color="auto"/>
              <w:right w:val="single" w:sz="4" w:space="0" w:color="auto"/>
            </w:tcBorders>
            <w:hideMark/>
          </w:tcPr>
          <w:p w:rsidR="007E7903" w:rsidRPr="00711F50" w:rsidRDefault="007E7903" w:rsidP="007E7903">
            <w:pPr>
              <w:rPr>
                <w:sz w:val="24"/>
                <w:szCs w:val="24"/>
              </w:rPr>
            </w:pPr>
            <w:r w:rsidRPr="00711F50">
              <w:rPr>
                <w:sz w:val="24"/>
                <w:szCs w:val="24"/>
              </w:rPr>
              <w:t>65</w:t>
            </w:r>
          </w:p>
        </w:tc>
        <w:tc>
          <w:tcPr>
            <w:tcW w:w="2976" w:type="dxa"/>
            <w:tcBorders>
              <w:top w:val="single" w:sz="4" w:space="0" w:color="auto"/>
              <w:left w:val="single" w:sz="4" w:space="0" w:color="auto"/>
              <w:bottom w:val="single" w:sz="4" w:space="0" w:color="auto"/>
              <w:right w:val="single" w:sz="4" w:space="0" w:color="auto"/>
            </w:tcBorders>
            <w:hideMark/>
          </w:tcPr>
          <w:p w:rsidR="007E7903" w:rsidRPr="00711F50" w:rsidRDefault="007E7903" w:rsidP="007E7903">
            <w:pPr>
              <w:rPr>
                <w:sz w:val="24"/>
                <w:szCs w:val="24"/>
              </w:rPr>
            </w:pPr>
            <w:r w:rsidRPr="00711F50">
              <w:rPr>
                <w:sz w:val="24"/>
                <w:szCs w:val="24"/>
              </w:rPr>
              <w:t>2,5</w:t>
            </w:r>
          </w:p>
        </w:tc>
      </w:tr>
      <w:tr w:rsidR="007E7903" w:rsidRPr="007E7903" w:rsidTr="007E7903">
        <w:tc>
          <w:tcPr>
            <w:tcW w:w="993" w:type="dxa"/>
            <w:tcBorders>
              <w:top w:val="single" w:sz="4" w:space="0" w:color="auto"/>
              <w:left w:val="single" w:sz="4" w:space="0" w:color="auto"/>
              <w:bottom w:val="single" w:sz="4" w:space="0" w:color="auto"/>
              <w:right w:val="single" w:sz="4" w:space="0" w:color="auto"/>
            </w:tcBorders>
            <w:hideMark/>
          </w:tcPr>
          <w:p w:rsidR="007E7903" w:rsidRPr="00711F50" w:rsidRDefault="007E7903" w:rsidP="007E7903">
            <w:pPr>
              <w:rPr>
                <w:sz w:val="24"/>
                <w:szCs w:val="24"/>
              </w:rPr>
            </w:pPr>
            <w:r w:rsidRPr="00711F50">
              <w:rPr>
                <w:sz w:val="24"/>
                <w:szCs w:val="24"/>
              </w:rPr>
              <w:t>6.</w:t>
            </w:r>
          </w:p>
        </w:tc>
        <w:tc>
          <w:tcPr>
            <w:tcW w:w="2551" w:type="dxa"/>
            <w:tcBorders>
              <w:top w:val="single" w:sz="4" w:space="0" w:color="auto"/>
              <w:left w:val="single" w:sz="4" w:space="0" w:color="auto"/>
              <w:bottom w:val="single" w:sz="4" w:space="0" w:color="auto"/>
              <w:right w:val="single" w:sz="4" w:space="0" w:color="auto"/>
            </w:tcBorders>
            <w:hideMark/>
          </w:tcPr>
          <w:p w:rsidR="007E7903" w:rsidRPr="00711F50" w:rsidRDefault="007E7903" w:rsidP="007E7903">
            <w:pPr>
              <w:rPr>
                <w:sz w:val="24"/>
                <w:szCs w:val="24"/>
              </w:rPr>
            </w:pPr>
            <w:r w:rsidRPr="00711F50">
              <w:rPr>
                <w:sz w:val="24"/>
                <w:szCs w:val="24"/>
              </w:rPr>
              <w:t>Liepāja</w:t>
            </w:r>
          </w:p>
        </w:tc>
        <w:tc>
          <w:tcPr>
            <w:tcW w:w="2552" w:type="dxa"/>
            <w:tcBorders>
              <w:top w:val="single" w:sz="4" w:space="0" w:color="auto"/>
              <w:left w:val="single" w:sz="4" w:space="0" w:color="auto"/>
              <w:bottom w:val="single" w:sz="4" w:space="0" w:color="auto"/>
              <w:right w:val="single" w:sz="4" w:space="0" w:color="auto"/>
            </w:tcBorders>
            <w:hideMark/>
          </w:tcPr>
          <w:p w:rsidR="007E7903" w:rsidRPr="00711F50" w:rsidRDefault="007E7903" w:rsidP="007E7903">
            <w:pPr>
              <w:rPr>
                <w:sz w:val="24"/>
                <w:szCs w:val="24"/>
              </w:rPr>
            </w:pPr>
            <w:r w:rsidRPr="00711F50">
              <w:rPr>
                <w:sz w:val="24"/>
                <w:szCs w:val="24"/>
              </w:rPr>
              <w:t>39</w:t>
            </w:r>
          </w:p>
        </w:tc>
        <w:tc>
          <w:tcPr>
            <w:tcW w:w="2976" w:type="dxa"/>
            <w:tcBorders>
              <w:top w:val="single" w:sz="4" w:space="0" w:color="auto"/>
              <w:left w:val="single" w:sz="4" w:space="0" w:color="auto"/>
              <w:bottom w:val="single" w:sz="4" w:space="0" w:color="auto"/>
              <w:right w:val="single" w:sz="4" w:space="0" w:color="auto"/>
            </w:tcBorders>
            <w:hideMark/>
          </w:tcPr>
          <w:p w:rsidR="007E7903" w:rsidRPr="00711F50" w:rsidRDefault="007E7903" w:rsidP="007E7903">
            <w:pPr>
              <w:rPr>
                <w:sz w:val="24"/>
                <w:szCs w:val="24"/>
              </w:rPr>
            </w:pPr>
            <w:r w:rsidRPr="00711F50">
              <w:rPr>
                <w:sz w:val="24"/>
                <w:szCs w:val="24"/>
              </w:rPr>
              <w:t>2,5</w:t>
            </w:r>
          </w:p>
        </w:tc>
      </w:tr>
      <w:tr w:rsidR="007E7903" w:rsidRPr="007E7903" w:rsidTr="007E7903">
        <w:tc>
          <w:tcPr>
            <w:tcW w:w="993" w:type="dxa"/>
            <w:tcBorders>
              <w:top w:val="single" w:sz="4" w:space="0" w:color="auto"/>
              <w:left w:val="single" w:sz="4" w:space="0" w:color="auto"/>
              <w:bottom w:val="single" w:sz="4" w:space="0" w:color="auto"/>
              <w:right w:val="single" w:sz="4" w:space="0" w:color="auto"/>
            </w:tcBorders>
            <w:hideMark/>
          </w:tcPr>
          <w:p w:rsidR="007E7903" w:rsidRPr="00711F50" w:rsidRDefault="007E7903" w:rsidP="007E7903">
            <w:pPr>
              <w:rPr>
                <w:sz w:val="24"/>
                <w:szCs w:val="24"/>
              </w:rPr>
            </w:pPr>
            <w:r w:rsidRPr="00711F50">
              <w:rPr>
                <w:sz w:val="24"/>
                <w:szCs w:val="24"/>
              </w:rPr>
              <w:t>7.</w:t>
            </w:r>
          </w:p>
        </w:tc>
        <w:tc>
          <w:tcPr>
            <w:tcW w:w="2551" w:type="dxa"/>
            <w:tcBorders>
              <w:top w:val="single" w:sz="4" w:space="0" w:color="auto"/>
              <w:left w:val="single" w:sz="4" w:space="0" w:color="auto"/>
              <w:bottom w:val="single" w:sz="4" w:space="0" w:color="auto"/>
              <w:right w:val="single" w:sz="4" w:space="0" w:color="auto"/>
            </w:tcBorders>
            <w:hideMark/>
          </w:tcPr>
          <w:p w:rsidR="007E7903" w:rsidRPr="00711F50" w:rsidRDefault="007E7903" w:rsidP="007E7903">
            <w:pPr>
              <w:rPr>
                <w:sz w:val="24"/>
                <w:szCs w:val="24"/>
              </w:rPr>
            </w:pPr>
            <w:r w:rsidRPr="00711F50">
              <w:rPr>
                <w:sz w:val="24"/>
                <w:szCs w:val="24"/>
              </w:rPr>
              <w:t>Degoles</w:t>
            </w:r>
          </w:p>
        </w:tc>
        <w:tc>
          <w:tcPr>
            <w:tcW w:w="2552" w:type="dxa"/>
            <w:tcBorders>
              <w:top w:val="single" w:sz="4" w:space="0" w:color="auto"/>
              <w:left w:val="single" w:sz="4" w:space="0" w:color="auto"/>
              <w:bottom w:val="single" w:sz="4" w:space="0" w:color="auto"/>
              <w:right w:val="single" w:sz="4" w:space="0" w:color="auto"/>
            </w:tcBorders>
            <w:hideMark/>
          </w:tcPr>
          <w:p w:rsidR="007E7903" w:rsidRPr="00711F50" w:rsidRDefault="007E7903" w:rsidP="007E7903">
            <w:pPr>
              <w:rPr>
                <w:sz w:val="24"/>
                <w:szCs w:val="24"/>
              </w:rPr>
            </w:pPr>
            <w:r w:rsidRPr="00711F50">
              <w:rPr>
                <w:sz w:val="24"/>
                <w:szCs w:val="24"/>
              </w:rPr>
              <w:t>46</w:t>
            </w:r>
          </w:p>
        </w:tc>
        <w:tc>
          <w:tcPr>
            <w:tcW w:w="2976" w:type="dxa"/>
            <w:tcBorders>
              <w:top w:val="single" w:sz="4" w:space="0" w:color="auto"/>
              <w:left w:val="single" w:sz="4" w:space="0" w:color="auto"/>
              <w:bottom w:val="single" w:sz="4" w:space="0" w:color="auto"/>
              <w:right w:val="single" w:sz="4" w:space="0" w:color="auto"/>
            </w:tcBorders>
            <w:hideMark/>
          </w:tcPr>
          <w:p w:rsidR="007E7903" w:rsidRPr="00711F50" w:rsidRDefault="007E7903" w:rsidP="007E7903">
            <w:pPr>
              <w:rPr>
                <w:sz w:val="24"/>
                <w:szCs w:val="24"/>
              </w:rPr>
            </w:pPr>
            <w:r w:rsidRPr="00711F50">
              <w:rPr>
                <w:sz w:val="24"/>
                <w:szCs w:val="24"/>
              </w:rPr>
              <w:t>3,5</w:t>
            </w:r>
          </w:p>
        </w:tc>
      </w:tr>
      <w:tr w:rsidR="007E7903" w:rsidRPr="007E7903" w:rsidTr="007E7903">
        <w:tc>
          <w:tcPr>
            <w:tcW w:w="993" w:type="dxa"/>
            <w:tcBorders>
              <w:top w:val="single" w:sz="4" w:space="0" w:color="auto"/>
              <w:left w:val="single" w:sz="4" w:space="0" w:color="auto"/>
              <w:bottom w:val="single" w:sz="4" w:space="0" w:color="auto"/>
              <w:right w:val="single" w:sz="4" w:space="0" w:color="auto"/>
            </w:tcBorders>
            <w:hideMark/>
          </w:tcPr>
          <w:p w:rsidR="007E7903" w:rsidRPr="00711F50" w:rsidRDefault="007E7903" w:rsidP="007E7903">
            <w:pPr>
              <w:rPr>
                <w:sz w:val="24"/>
                <w:szCs w:val="24"/>
              </w:rPr>
            </w:pPr>
            <w:r w:rsidRPr="00711F50">
              <w:rPr>
                <w:sz w:val="24"/>
                <w:szCs w:val="24"/>
              </w:rPr>
              <w:t>8.</w:t>
            </w:r>
          </w:p>
        </w:tc>
        <w:tc>
          <w:tcPr>
            <w:tcW w:w="2551" w:type="dxa"/>
            <w:tcBorders>
              <w:top w:val="single" w:sz="4" w:space="0" w:color="auto"/>
              <w:left w:val="single" w:sz="4" w:space="0" w:color="auto"/>
              <w:bottom w:val="single" w:sz="4" w:space="0" w:color="auto"/>
              <w:right w:val="single" w:sz="4" w:space="0" w:color="auto"/>
            </w:tcBorders>
            <w:hideMark/>
          </w:tcPr>
          <w:p w:rsidR="007E7903" w:rsidRPr="00711F50" w:rsidRDefault="007E7903" w:rsidP="007E7903">
            <w:pPr>
              <w:rPr>
                <w:sz w:val="24"/>
                <w:szCs w:val="24"/>
              </w:rPr>
            </w:pPr>
            <w:r w:rsidRPr="00711F50">
              <w:rPr>
                <w:sz w:val="24"/>
                <w:szCs w:val="24"/>
              </w:rPr>
              <w:t>Līgas</w:t>
            </w:r>
          </w:p>
        </w:tc>
        <w:tc>
          <w:tcPr>
            <w:tcW w:w="2552" w:type="dxa"/>
            <w:tcBorders>
              <w:top w:val="single" w:sz="4" w:space="0" w:color="auto"/>
              <w:left w:val="single" w:sz="4" w:space="0" w:color="auto"/>
              <w:bottom w:val="single" w:sz="4" w:space="0" w:color="auto"/>
              <w:right w:val="single" w:sz="4" w:space="0" w:color="auto"/>
            </w:tcBorders>
            <w:hideMark/>
          </w:tcPr>
          <w:p w:rsidR="007E7903" w:rsidRPr="00711F50" w:rsidRDefault="007E7903" w:rsidP="007E7903">
            <w:pPr>
              <w:rPr>
                <w:sz w:val="24"/>
                <w:szCs w:val="24"/>
              </w:rPr>
            </w:pPr>
            <w:r w:rsidRPr="00711F50">
              <w:rPr>
                <w:sz w:val="24"/>
                <w:szCs w:val="24"/>
              </w:rPr>
              <w:t>40</w:t>
            </w:r>
          </w:p>
        </w:tc>
        <w:tc>
          <w:tcPr>
            <w:tcW w:w="2976" w:type="dxa"/>
            <w:tcBorders>
              <w:top w:val="single" w:sz="4" w:space="0" w:color="auto"/>
              <w:left w:val="single" w:sz="4" w:space="0" w:color="auto"/>
              <w:bottom w:val="single" w:sz="4" w:space="0" w:color="auto"/>
              <w:right w:val="single" w:sz="4" w:space="0" w:color="auto"/>
            </w:tcBorders>
            <w:hideMark/>
          </w:tcPr>
          <w:p w:rsidR="007E7903" w:rsidRPr="00711F50" w:rsidRDefault="007E7903" w:rsidP="007E7903">
            <w:pPr>
              <w:rPr>
                <w:sz w:val="24"/>
                <w:szCs w:val="24"/>
              </w:rPr>
            </w:pPr>
            <w:r w:rsidRPr="00711F50">
              <w:rPr>
                <w:sz w:val="24"/>
                <w:szCs w:val="24"/>
              </w:rPr>
              <w:t>2,5</w:t>
            </w:r>
          </w:p>
        </w:tc>
      </w:tr>
      <w:tr w:rsidR="007E7903" w:rsidRPr="007E7903" w:rsidTr="007E7903">
        <w:tc>
          <w:tcPr>
            <w:tcW w:w="993" w:type="dxa"/>
            <w:tcBorders>
              <w:top w:val="single" w:sz="4" w:space="0" w:color="auto"/>
              <w:left w:val="single" w:sz="4" w:space="0" w:color="auto"/>
              <w:bottom w:val="single" w:sz="4" w:space="0" w:color="auto"/>
              <w:right w:val="single" w:sz="4" w:space="0" w:color="auto"/>
            </w:tcBorders>
            <w:hideMark/>
          </w:tcPr>
          <w:p w:rsidR="007E7903" w:rsidRPr="00711F50" w:rsidRDefault="007E7903" w:rsidP="007E7903">
            <w:pPr>
              <w:rPr>
                <w:sz w:val="24"/>
                <w:szCs w:val="24"/>
              </w:rPr>
            </w:pPr>
            <w:r w:rsidRPr="00711F50">
              <w:rPr>
                <w:sz w:val="24"/>
                <w:szCs w:val="24"/>
              </w:rPr>
              <w:t>9.</w:t>
            </w:r>
          </w:p>
        </w:tc>
        <w:tc>
          <w:tcPr>
            <w:tcW w:w="2551" w:type="dxa"/>
            <w:tcBorders>
              <w:top w:val="single" w:sz="4" w:space="0" w:color="auto"/>
              <w:left w:val="single" w:sz="4" w:space="0" w:color="auto"/>
              <w:bottom w:val="single" w:sz="4" w:space="0" w:color="auto"/>
              <w:right w:val="single" w:sz="4" w:space="0" w:color="auto"/>
            </w:tcBorders>
            <w:hideMark/>
          </w:tcPr>
          <w:p w:rsidR="007E7903" w:rsidRPr="00711F50" w:rsidRDefault="007E7903" w:rsidP="007E7903">
            <w:pPr>
              <w:rPr>
                <w:sz w:val="24"/>
                <w:szCs w:val="24"/>
              </w:rPr>
            </w:pPr>
            <w:r w:rsidRPr="00711F50">
              <w:rPr>
                <w:sz w:val="24"/>
                <w:szCs w:val="24"/>
              </w:rPr>
              <w:t>Z-Līgatnes</w:t>
            </w:r>
          </w:p>
        </w:tc>
        <w:tc>
          <w:tcPr>
            <w:tcW w:w="2552" w:type="dxa"/>
            <w:tcBorders>
              <w:top w:val="single" w:sz="4" w:space="0" w:color="auto"/>
              <w:left w:val="single" w:sz="4" w:space="0" w:color="auto"/>
              <w:bottom w:val="single" w:sz="4" w:space="0" w:color="auto"/>
              <w:right w:val="single" w:sz="4" w:space="0" w:color="auto"/>
            </w:tcBorders>
            <w:hideMark/>
          </w:tcPr>
          <w:p w:rsidR="007E7903" w:rsidRPr="00711F50" w:rsidRDefault="007E7903" w:rsidP="007E7903">
            <w:pPr>
              <w:rPr>
                <w:sz w:val="24"/>
                <w:szCs w:val="24"/>
              </w:rPr>
            </w:pPr>
            <w:r w:rsidRPr="00711F50">
              <w:rPr>
                <w:sz w:val="24"/>
                <w:szCs w:val="24"/>
              </w:rPr>
              <w:t>3x8</w:t>
            </w:r>
          </w:p>
        </w:tc>
        <w:tc>
          <w:tcPr>
            <w:tcW w:w="2976" w:type="dxa"/>
            <w:tcBorders>
              <w:top w:val="single" w:sz="4" w:space="0" w:color="auto"/>
              <w:left w:val="single" w:sz="4" w:space="0" w:color="auto"/>
              <w:bottom w:val="single" w:sz="4" w:space="0" w:color="auto"/>
              <w:right w:val="single" w:sz="4" w:space="0" w:color="auto"/>
            </w:tcBorders>
            <w:hideMark/>
          </w:tcPr>
          <w:p w:rsidR="007E7903" w:rsidRPr="00711F50" w:rsidRDefault="007E7903" w:rsidP="007E7903">
            <w:pPr>
              <w:rPr>
                <w:sz w:val="24"/>
                <w:szCs w:val="24"/>
              </w:rPr>
            </w:pPr>
            <w:r w:rsidRPr="00711F50">
              <w:rPr>
                <w:sz w:val="24"/>
                <w:szCs w:val="24"/>
              </w:rPr>
              <w:t>2,5</w:t>
            </w:r>
          </w:p>
        </w:tc>
      </w:tr>
      <w:tr w:rsidR="007E7903" w:rsidRPr="007E7903" w:rsidTr="007E7903">
        <w:tc>
          <w:tcPr>
            <w:tcW w:w="993" w:type="dxa"/>
            <w:tcBorders>
              <w:top w:val="single" w:sz="4" w:space="0" w:color="auto"/>
              <w:left w:val="single" w:sz="4" w:space="0" w:color="auto"/>
              <w:bottom w:val="single" w:sz="4" w:space="0" w:color="auto"/>
              <w:right w:val="single" w:sz="4" w:space="0" w:color="auto"/>
            </w:tcBorders>
            <w:hideMark/>
          </w:tcPr>
          <w:p w:rsidR="007E7903" w:rsidRPr="00711F50" w:rsidRDefault="007E7903" w:rsidP="007E7903">
            <w:pPr>
              <w:rPr>
                <w:sz w:val="24"/>
                <w:szCs w:val="24"/>
              </w:rPr>
            </w:pPr>
            <w:r w:rsidRPr="00711F50">
              <w:rPr>
                <w:sz w:val="24"/>
                <w:szCs w:val="24"/>
              </w:rPr>
              <w:t>10.</w:t>
            </w:r>
          </w:p>
        </w:tc>
        <w:tc>
          <w:tcPr>
            <w:tcW w:w="2551" w:type="dxa"/>
            <w:tcBorders>
              <w:top w:val="single" w:sz="4" w:space="0" w:color="auto"/>
              <w:left w:val="single" w:sz="4" w:space="0" w:color="auto"/>
              <w:bottom w:val="single" w:sz="4" w:space="0" w:color="auto"/>
              <w:right w:val="single" w:sz="4" w:space="0" w:color="auto"/>
            </w:tcBorders>
            <w:hideMark/>
          </w:tcPr>
          <w:p w:rsidR="007E7903" w:rsidRPr="00711F50" w:rsidRDefault="007E7903" w:rsidP="007E7903">
            <w:pPr>
              <w:rPr>
                <w:sz w:val="24"/>
                <w:szCs w:val="24"/>
              </w:rPr>
            </w:pPr>
            <w:proofErr w:type="spellStart"/>
            <w:r w:rsidRPr="00711F50">
              <w:rPr>
                <w:sz w:val="24"/>
                <w:szCs w:val="24"/>
              </w:rPr>
              <w:t>Amatas</w:t>
            </w:r>
            <w:proofErr w:type="spellEnd"/>
          </w:p>
        </w:tc>
        <w:tc>
          <w:tcPr>
            <w:tcW w:w="2552" w:type="dxa"/>
            <w:tcBorders>
              <w:top w:val="single" w:sz="4" w:space="0" w:color="auto"/>
              <w:left w:val="single" w:sz="4" w:space="0" w:color="auto"/>
              <w:bottom w:val="single" w:sz="4" w:space="0" w:color="auto"/>
              <w:right w:val="single" w:sz="4" w:space="0" w:color="auto"/>
            </w:tcBorders>
            <w:hideMark/>
          </w:tcPr>
          <w:p w:rsidR="007E7903" w:rsidRPr="00711F50" w:rsidRDefault="007E7903" w:rsidP="007E7903">
            <w:pPr>
              <w:rPr>
                <w:sz w:val="24"/>
                <w:szCs w:val="24"/>
              </w:rPr>
            </w:pPr>
            <w:r w:rsidRPr="00711F50">
              <w:rPr>
                <w:sz w:val="24"/>
                <w:szCs w:val="24"/>
              </w:rPr>
              <w:t>5x5</w:t>
            </w:r>
          </w:p>
        </w:tc>
        <w:tc>
          <w:tcPr>
            <w:tcW w:w="2976" w:type="dxa"/>
            <w:tcBorders>
              <w:top w:val="single" w:sz="4" w:space="0" w:color="auto"/>
              <w:left w:val="single" w:sz="4" w:space="0" w:color="auto"/>
              <w:bottom w:val="single" w:sz="4" w:space="0" w:color="auto"/>
              <w:right w:val="single" w:sz="4" w:space="0" w:color="auto"/>
            </w:tcBorders>
            <w:hideMark/>
          </w:tcPr>
          <w:p w:rsidR="007E7903" w:rsidRPr="00711F50" w:rsidRDefault="007E7903" w:rsidP="007E7903">
            <w:pPr>
              <w:rPr>
                <w:sz w:val="24"/>
                <w:szCs w:val="24"/>
              </w:rPr>
            </w:pPr>
            <w:r w:rsidRPr="00711F50">
              <w:rPr>
                <w:sz w:val="24"/>
                <w:szCs w:val="24"/>
              </w:rPr>
              <w:t>2,0</w:t>
            </w:r>
          </w:p>
        </w:tc>
      </w:tr>
      <w:tr w:rsidR="007E7903" w:rsidRPr="007E7903" w:rsidTr="007E7903">
        <w:tc>
          <w:tcPr>
            <w:tcW w:w="993" w:type="dxa"/>
            <w:tcBorders>
              <w:top w:val="single" w:sz="4" w:space="0" w:color="auto"/>
              <w:left w:val="single" w:sz="4" w:space="0" w:color="auto"/>
              <w:bottom w:val="single" w:sz="4" w:space="0" w:color="auto"/>
              <w:right w:val="single" w:sz="4" w:space="0" w:color="auto"/>
            </w:tcBorders>
            <w:hideMark/>
          </w:tcPr>
          <w:p w:rsidR="007E7903" w:rsidRPr="00711F50" w:rsidRDefault="007E7903" w:rsidP="007E7903">
            <w:pPr>
              <w:rPr>
                <w:sz w:val="24"/>
                <w:szCs w:val="24"/>
              </w:rPr>
            </w:pPr>
            <w:r w:rsidRPr="00711F50">
              <w:rPr>
                <w:sz w:val="24"/>
                <w:szCs w:val="24"/>
              </w:rPr>
              <w:t>11.</w:t>
            </w:r>
          </w:p>
        </w:tc>
        <w:tc>
          <w:tcPr>
            <w:tcW w:w="2551" w:type="dxa"/>
            <w:tcBorders>
              <w:top w:val="single" w:sz="4" w:space="0" w:color="auto"/>
              <w:left w:val="single" w:sz="4" w:space="0" w:color="auto"/>
              <w:bottom w:val="single" w:sz="4" w:space="0" w:color="auto"/>
              <w:right w:val="single" w:sz="4" w:space="0" w:color="auto"/>
            </w:tcBorders>
            <w:hideMark/>
          </w:tcPr>
          <w:p w:rsidR="007E7903" w:rsidRPr="00711F50" w:rsidRDefault="007E7903" w:rsidP="007E7903">
            <w:pPr>
              <w:rPr>
                <w:sz w:val="24"/>
                <w:szCs w:val="24"/>
              </w:rPr>
            </w:pPr>
            <w:r w:rsidRPr="00711F50">
              <w:rPr>
                <w:sz w:val="24"/>
                <w:szCs w:val="24"/>
              </w:rPr>
              <w:t>Valmieras</w:t>
            </w:r>
          </w:p>
        </w:tc>
        <w:tc>
          <w:tcPr>
            <w:tcW w:w="2552" w:type="dxa"/>
            <w:tcBorders>
              <w:top w:val="single" w:sz="4" w:space="0" w:color="auto"/>
              <w:left w:val="single" w:sz="4" w:space="0" w:color="auto"/>
              <w:bottom w:val="single" w:sz="4" w:space="0" w:color="auto"/>
              <w:right w:val="single" w:sz="4" w:space="0" w:color="auto"/>
            </w:tcBorders>
            <w:hideMark/>
          </w:tcPr>
          <w:p w:rsidR="007E7903" w:rsidRPr="00711F50" w:rsidRDefault="007E7903" w:rsidP="007E7903">
            <w:pPr>
              <w:rPr>
                <w:sz w:val="24"/>
                <w:szCs w:val="24"/>
              </w:rPr>
            </w:pPr>
            <w:r w:rsidRPr="00711F50">
              <w:rPr>
                <w:sz w:val="24"/>
                <w:szCs w:val="24"/>
              </w:rPr>
              <w:t>3x10</w:t>
            </w:r>
          </w:p>
        </w:tc>
        <w:tc>
          <w:tcPr>
            <w:tcW w:w="2976" w:type="dxa"/>
            <w:tcBorders>
              <w:top w:val="single" w:sz="4" w:space="0" w:color="auto"/>
              <w:left w:val="single" w:sz="4" w:space="0" w:color="auto"/>
              <w:bottom w:val="single" w:sz="4" w:space="0" w:color="auto"/>
              <w:right w:val="single" w:sz="4" w:space="0" w:color="auto"/>
            </w:tcBorders>
            <w:hideMark/>
          </w:tcPr>
          <w:p w:rsidR="007E7903" w:rsidRPr="00711F50" w:rsidRDefault="007E7903" w:rsidP="007E7903">
            <w:pPr>
              <w:rPr>
                <w:sz w:val="24"/>
                <w:szCs w:val="24"/>
              </w:rPr>
            </w:pPr>
            <w:r w:rsidRPr="00711F50">
              <w:rPr>
                <w:sz w:val="24"/>
                <w:szCs w:val="24"/>
              </w:rPr>
              <w:t>2,5</w:t>
            </w:r>
          </w:p>
        </w:tc>
      </w:tr>
    </w:tbl>
    <w:p w:rsidR="007C6274" w:rsidRDefault="007C6274" w:rsidP="008A109A">
      <w:pPr>
        <w:ind w:firstLine="720"/>
        <w:jc w:val="both"/>
        <w:rPr>
          <w:rFonts w:eastAsia="Times New Roman" w:cs="Times New Roman"/>
          <w:szCs w:val="28"/>
        </w:rPr>
      </w:pPr>
    </w:p>
    <w:p w:rsidR="007E7903" w:rsidRPr="007E7903" w:rsidRDefault="007E7903" w:rsidP="007E7903">
      <w:pPr>
        <w:autoSpaceDE w:val="0"/>
        <w:autoSpaceDN w:val="0"/>
        <w:adjustRightInd w:val="0"/>
        <w:rPr>
          <w:rFonts w:eastAsia="Calibri"/>
          <w:color w:val="000000"/>
          <w:sz w:val="24"/>
          <w:szCs w:val="24"/>
        </w:rPr>
      </w:pPr>
    </w:p>
    <w:p w:rsidR="00FF373C" w:rsidRDefault="00FF373C" w:rsidP="00FF373C">
      <w:pPr>
        <w:ind w:firstLine="720"/>
        <w:jc w:val="both"/>
      </w:pPr>
      <w:r w:rsidRPr="007E7903">
        <w:lastRenderedPageBreak/>
        <w:t>Pēc 1987.</w:t>
      </w:r>
      <w:r w:rsidRPr="007E7903">
        <w:rPr>
          <w:rFonts w:cs="Times New Roman"/>
        </w:rPr>
        <w:t>–</w:t>
      </w:r>
      <w:r w:rsidRPr="007E7903">
        <w:t>1990.gadu pētījumiem, kurus veica Krievijas uzņēmums “</w:t>
      </w:r>
      <w:proofErr w:type="spellStart"/>
      <w:r w:rsidRPr="007E7903">
        <w:t>Sojuzburgaz</w:t>
      </w:r>
      <w:proofErr w:type="spellEnd"/>
      <w:r w:rsidRPr="007E7903">
        <w:t>”, Dobeles struktūra tika atzīta par piemērotu dabasgāzes krātuves izveidei. 1990.gadā Dobeles struktūras teritorijā tika ierīkoti 24 dziļie urbumi</w:t>
      </w:r>
      <w:r>
        <w:rPr>
          <w:rStyle w:val="FootnoteReference"/>
        </w:rPr>
        <w:footnoteReference w:id="19"/>
      </w:r>
      <w:r w:rsidRPr="007E7903">
        <w:t>, no tiem laika periodā no 2009.</w:t>
      </w:r>
      <w:r w:rsidRPr="007E7903">
        <w:rPr>
          <w:b/>
          <w:bCs/>
          <w:szCs w:val="28"/>
        </w:rPr>
        <w:t>–</w:t>
      </w:r>
      <w:r w:rsidRPr="007E7903">
        <w:t>2010.gadam tika apsekoti vien 18, un tikai 8</w:t>
      </w:r>
      <w:r w:rsidRPr="007E7903">
        <w:rPr>
          <w:b/>
        </w:rPr>
        <w:t xml:space="preserve"> </w:t>
      </w:r>
      <w:r w:rsidRPr="007E7903">
        <w:t>urbumu tehniskais stāvoklis bija apmierinošs, un tie var tikt izmantoti dažādiem mērķiem, tostarp tālākas izpētes un monitoringa veikšanai.</w:t>
      </w:r>
      <w:r>
        <w:rPr>
          <w:rStyle w:val="FootnoteReference"/>
        </w:rPr>
        <w:footnoteReference w:id="20"/>
      </w:r>
      <w:r w:rsidRPr="007E7903">
        <w:t xml:space="preserve"> </w:t>
      </w:r>
    </w:p>
    <w:p w:rsidR="00FF373C" w:rsidRPr="007E7903" w:rsidRDefault="00FF373C" w:rsidP="00FF373C">
      <w:pPr>
        <w:ind w:firstLine="720"/>
        <w:jc w:val="both"/>
      </w:pPr>
    </w:p>
    <w:p w:rsidR="007E7903" w:rsidRPr="007E7903" w:rsidRDefault="007E7903" w:rsidP="008A109A">
      <w:pPr>
        <w:spacing w:before="120" w:after="120"/>
        <w:jc w:val="center"/>
        <w:rPr>
          <w:rFonts w:eastAsia="Calibri"/>
        </w:rPr>
      </w:pPr>
      <w:r w:rsidRPr="007E7903">
        <w:rPr>
          <w:rFonts w:eastAsia="Calibri"/>
          <w:noProof/>
          <w:lang w:eastAsia="lv-LV"/>
        </w:rPr>
        <w:drawing>
          <wp:inline distT="0" distB="0" distL="0" distR="0" wp14:anchorId="1A3F5169" wp14:editId="0A22F8DF">
            <wp:extent cx="4743450" cy="2596409"/>
            <wp:effectExtent l="0" t="0" r="0" b="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751794" cy="2600976"/>
                    </a:xfrm>
                    <a:prstGeom prst="rect">
                      <a:avLst/>
                    </a:prstGeom>
                    <a:noFill/>
                    <a:ln>
                      <a:noFill/>
                    </a:ln>
                  </pic:spPr>
                </pic:pic>
              </a:graphicData>
            </a:graphic>
          </wp:inline>
        </w:drawing>
      </w:r>
    </w:p>
    <w:p w:rsidR="007E7903" w:rsidRPr="008A109A" w:rsidRDefault="008A109A" w:rsidP="008A109A">
      <w:pPr>
        <w:rPr>
          <w:rFonts w:eastAsia="Times New Roman" w:cs="Times New Roman"/>
          <w:b/>
          <w:szCs w:val="28"/>
        </w:rPr>
      </w:pPr>
      <w:r w:rsidRPr="008A109A">
        <w:rPr>
          <w:rFonts w:eastAsia="Calibri" w:cs="Times New Roman"/>
          <w:b/>
          <w:iCs/>
          <w:sz w:val="24"/>
          <w:szCs w:val="24"/>
        </w:rPr>
        <w:t>2</w:t>
      </w:r>
      <w:r w:rsidR="00FF373C">
        <w:rPr>
          <w:rFonts w:eastAsia="Calibri" w:cs="Times New Roman"/>
          <w:b/>
          <w:iCs/>
          <w:sz w:val="24"/>
          <w:szCs w:val="24"/>
        </w:rPr>
        <w:t>1</w:t>
      </w:r>
      <w:r w:rsidR="007E7903" w:rsidRPr="008A109A">
        <w:rPr>
          <w:rFonts w:eastAsia="Calibri" w:cs="Times New Roman"/>
          <w:b/>
          <w:iCs/>
          <w:sz w:val="24"/>
          <w:szCs w:val="24"/>
        </w:rPr>
        <w:t>.attēls. Latvijas esošās un potenciālo pazemes gāzes krātuvju izvietojums</w:t>
      </w:r>
      <w:r w:rsidR="008B78B3">
        <w:rPr>
          <w:rFonts w:eastAsia="Calibri" w:cs="Times New Roman"/>
          <w:b/>
          <w:iCs/>
          <w:sz w:val="24"/>
          <w:szCs w:val="24"/>
        </w:rPr>
        <w:t>.</w:t>
      </w:r>
    </w:p>
    <w:p w:rsidR="007E7903" w:rsidRPr="007E7903" w:rsidRDefault="007E7903" w:rsidP="007E7903">
      <w:pPr>
        <w:ind w:firstLine="720"/>
        <w:jc w:val="both"/>
      </w:pPr>
    </w:p>
    <w:p w:rsidR="007E7903" w:rsidRPr="007E7903" w:rsidRDefault="007E7903" w:rsidP="008A109A">
      <w:pPr>
        <w:ind w:firstLine="720"/>
        <w:jc w:val="both"/>
      </w:pPr>
      <w:r w:rsidRPr="007E7903">
        <w:t xml:space="preserve">Dobeles struktūras ietilpība ir apmēram 7,74 </w:t>
      </w:r>
      <w:proofErr w:type="spellStart"/>
      <w:r w:rsidRPr="007E7903">
        <w:t>milj</w:t>
      </w:r>
      <w:proofErr w:type="spellEnd"/>
      <w:r w:rsidRPr="007E7903">
        <w:t>. m</w:t>
      </w:r>
      <w:r w:rsidRPr="007E7903">
        <w:rPr>
          <w:vertAlign w:val="superscript"/>
        </w:rPr>
        <w:t>3</w:t>
      </w:r>
      <w:r w:rsidRPr="007E7903">
        <w:t>, tomēr visoptimistiskākās aplēses liecina, ka kopējā izbūvētās Dobeles pazemes gāzes krātuves (turpmāk–DPGK) ietilpība varētu sasniegt 20 miljardus m</w:t>
      </w:r>
      <w:r w:rsidRPr="007E7903">
        <w:rPr>
          <w:vertAlign w:val="superscript"/>
        </w:rPr>
        <w:t>3</w:t>
      </w:r>
      <w:r w:rsidRPr="007E7903">
        <w:t xml:space="preserve"> dabasgāzes (no tiem 10 miljardi m</w:t>
      </w:r>
      <w:r w:rsidRPr="007E7903">
        <w:rPr>
          <w:vertAlign w:val="superscript"/>
        </w:rPr>
        <w:t>3</w:t>
      </w:r>
      <w:r w:rsidRPr="007E7903">
        <w:t xml:space="preserve"> </w:t>
      </w:r>
      <w:proofErr w:type="spellStart"/>
      <w:r w:rsidRPr="007E7903">
        <w:t>bufergāzes</w:t>
      </w:r>
      <w:proofErr w:type="spellEnd"/>
      <w:r w:rsidRPr="007E7903">
        <w:t xml:space="preserve">). </w:t>
      </w:r>
    </w:p>
    <w:p w:rsidR="007E7903" w:rsidRPr="007E7903" w:rsidRDefault="007E7903" w:rsidP="008A109A">
      <w:pPr>
        <w:ind w:firstLine="720"/>
        <w:jc w:val="both"/>
      </w:pPr>
      <w:r w:rsidRPr="007E7903">
        <w:t>Reāli gan Dobeles struktūras  dabasgāzes uzglabāšanas apjoms varētu būt 10 miljardi m</w:t>
      </w:r>
      <w:r w:rsidRPr="007E7903">
        <w:rPr>
          <w:vertAlign w:val="superscript"/>
        </w:rPr>
        <w:t>3</w:t>
      </w:r>
      <w:r w:rsidRPr="007E7903">
        <w:t xml:space="preserve"> dabasgāzes (5 miljardi m</w:t>
      </w:r>
      <w:r w:rsidRPr="007E7903">
        <w:rPr>
          <w:vertAlign w:val="superscript"/>
        </w:rPr>
        <w:t>3</w:t>
      </w:r>
      <w:r w:rsidRPr="007E7903">
        <w:t xml:space="preserve"> aktīvās gāzes). Tādā gadījumā būtu nepieciešams ierīkot 80 dziļos urbumus. </w:t>
      </w:r>
    </w:p>
    <w:p w:rsidR="007E7903" w:rsidRPr="007E7903" w:rsidRDefault="007E7903" w:rsidP="008A109A">
      <w:pPr>
        <w:ind w:firstLine="720"/>
        <w:jc w:val="both"/>
      </w:pPr>
      <w:r w:rsidRPr="007E7903">
        <w:t>Kopējās investīcijas DPGK</w:t>
      </w:r>
      <w:r w:rsidRPr="007E7903" w:rsidDel="003230ED">
        <w:t xml:space="preserve"> </w:t>
      </w:r>
      <w:r w:rsidRPr="007E7903">
        <w:t xml:space="preserve">izveidē varētu sastādīt apmēram 1,3 miljardus EUR (ap 947,5 </w:t>
      </w:r>
      <w:proofErr w:type="spellStart"/>
      <w:r w:rsidRPr="007E7903">
        <w:t>milj</w:t>
      </w:r>
      <w:proofErr w:type="spellEnd"/>
      <w:r w:rsidR="00315F7E">
        <w:t>.</w:t>
      </w:r>
      <w:r w:rsidRPr="007E7903">
        <w:t xml:space="preserve"> LVL), ar sekojošu investīciju sadalījumu laika periodam no 1–15 gadiem: </w:t>
      </w:r>
    </w:p>
    <w:p w:rsidR="007E7903" w:rsidRPr="007E7903" w:rsidRDefault="007E7903" w:rsidP="00711F50">
      <w:pPr>
        <w:pStyle w:val="ListParagraph"/>
        <w:numPr>
          <w:ilvl w:val="0"/>
          <w:numId w:val="24"/>
        </w:numPr>
        <w:jc w:val="both"/>
      </w:pPr>
      <w:r w:rsidRPr="007E7903">
        <w:t xml:space="preserve">3.gadam:  ap 21,3 </w:t>
      </w:r>
      <w:proofErr w:type="spellStart"/>
      <w:r w:rsidR="00315F7E" w:rsidRPr="007E7903">
        <w:t>milj</w:t>
      </w:r>
      <w:proofErr w:type="spellEnd"/>
      <w:r w:rsidR="00315F7E">
        <w:t>.</w:t>
      </w:r>
      <w:r w:rsidR="00315F7E" w:rsidRPr="007E7903">
        <w:t xml:space="preserve"> </w:t>
      </w:r>
      <w:r w:rsidR="00AB25C2">
        <w:t>EUR</w:t>
      </w:r>
      <w:r w:rsidRPr="007E7903">
        <w:t xml:space="preserve">/gadā (ap 15 </w:t>
      </w:r>
      <w:proofErr w:type="spellStart"/>
      <w:r w:rsidR="00315F7E" w:rsidRPr="007E7903">
        <w:t>milj</w:t>
      </w:r>
      <w:proofErr w:type="spellEnd"/>
      <w:r w:rsidR="00315F7E">
        <w:t>.</w:t>
      </w:r>
      <w:r w:rsidR="00315F7E" w:rsidRPr="007E7903">
        <w:t xml:space="preserve"> </w:t>
      </w:r>
      <w:r w:rsidRPr="007E7903">
        <w:t>LVL/gadā);</w:t>
      </w:r>
    </w:p>
    <w:p w:rsidR="007E7903" w:rsidRPr="007E7903" w:rsidRDefault="007E7903" w:rsidP="00711F50">
      <w:pPr>
        <w:pStyle w:val="ListParagraph"/>
        <w:numPr>
          <w:ilvl w:val="0"/>
          <w:numId w:val="24"/>
        </w:numPr>
        <w:jc w:val="both"/>
      </w:pPr>
      <w:r w:rsidRPr="007E7903">
        <w:t xml:space="preserve">15.gadam: ap 106,7–109,5 </w:t>
      </w:r>
      <w:proofErr w:type="spellStart"/>
      <w:r w:rsidR="00315F7E" w:rsidRPr="007E7903">
        <w:t>milj</w:t>
      </w:r>
      <w:proofErr w:type="spellEnd"/>
      <w:r w:rsidR="00315F7E">
        <w:t>.</w:t>
      </w:r>
      <w:r w:rsidR="00315F7E" w:rsidRPr="007E7903">
        <w:t xml:space="preserve"> </w:t>
      </w:r>
      <w:r w:rsidR="00AB25C2">
        <w:t>EUR</w:t>
      </w:r>
      <w:r w:rsidRPr="007E7903">
        <w:t xml:space="preserve">/ gadā (ap 75–77 </w:t>
      </w:r>
      <w:proofErr w:type="spellStart"/>
      <w:r w:rsidR="00315F7E" w:rsidRPr="007E7903">
        <w:t>milj</w:t>
      </w:r>
      <w:proofErr w:type="spellEnd"/>
      <w:r w:rsidR="00315F7E">
        <w:t>.</w:t>
      </w:r>
      <w:r w:rsidR="00315F7E" w:rsidRPr="007E7903">
        <w:t xml:space="preserve"> </w:t>
      </w:r>
      <w:r w:rsidRPr="007E7903">
        <w:t>LVL/gadā).</w:t>
      </w:r>
    </w:p>
    <w:p w:rsidR="007E7903" w:rsidRPr="005430B2" w:rsidRDefault="0050047A" w:rsidP="00F26661">
      <w:pPr>
        <w:pStyle w:val="Heading1"/>
      </w:pPr>
      <w:bookmarkStart w:id="34" w:name="_Toc400714677"/>
      <w:r w:rsidRPr="005430B2">
        <w:lastRenderedPageBreak/>
        <w:t>5</w:t>
      </w:r>
      <w:r w:rsidR="00F26661" w:rsidRPr="005430B2">
        <w:t xml:space="preserve">. </w:t>
      </w:r>
      <w:r w:rsidR="00D8595B" w:rsidRPr="005430B2">
        <w:t>S</w:t>
      </w:r>
      <w:r w:rsidR="00E06126" w:rsidRPr="005430B2">
        <w:t>iltumapgāde</w:t>
      </w:r>
      <w:bookmarkEnd w:id="34"/>
      <w:r w:rsidR="00E06126" w:rsidRPr="005430B2">
        <w:t xml:space="preserve"> </w:t>
      </w:r>
    </w:p>
    <w:p w:rsidR="00CA2AE4" w:rsidRPr="005430B2" w:rsidRDefault="0050047A" w:rsidP="00CA2AE4">
      <w:pPr>
        <w:pStyle w:val="Heading2"/>
        <w:rPr>
          <w:rFonts w:ascii="Times New Roman" w:hAnsi="Times New Roman" w:cs="Times New Roman"/>
          <w:color w:val="auto"/>
          <w:sz w:val="28"/>
          <w:szCs w:val="28"/>
        </w:rPr>
      </w:pPr>
      <w:bookmarkStart w:id="35" w:name="_Toc400714678"/>
      <w:r w:rsidRPr="005430B2">
        <w:rPr>
          <w:rFonts w:ascii="Times New Roman" w:hAnsi="Times New Roman" w:cs="Times New Roman"/>
          <w:color w:val="auto"/>
          <w:sz w:val="28"/>
          <w:szCs w:val="28"/>
        </w:rPr>
        <w:t>5</w:t>
      </w:r>
      <w:r w:rsidR="00CA2AE4" w:rsidRPr="005430B2">
        <w:rPr>
          <w:rFonts w:ascii="Times New Roman" w:hAnsi="Times New Roman" w:cs="Times New Roman"/>
          <w:color w:val="auto"/>
          <w:sz w:val="28"/>
          <w:szCs w:val="28"/>
        </w:rPr>
        <w:t>.1. Tiesiskais ietvars</w:t>
      </w:r>
      <w:bookmarkEnd w:id="35"/>
      <w:r w:rsidR="00204735" w:rsidRPr="005430B2">
        <w:rPr>
          <w:rFonts w:ascii="Times New Roman" w:hAnsi="Times New Roman" w:cs="Times New Roman"/>
          <w:color w:val="auto"/>
          <w:sz w:val="28"/>
          <w:szCs w:val="28"/>
        </w:rPr>
        <w:t xml:space="preserve"> </w:t>
      </w:r>
    </w:p>
    <w:p w:rsidR="0089157B" w:rsidRPr="00BC14C4" w:rsidRDefault="0089157B" w:rsidP="0050047A">
      <w:pPr>
        <w:ind w:firstLine="720"/>
        <w:jc w:val="both"/>
        <w:rPr>
          <w:rFonts w:cs="Times New Roman"/>
          <w:szCs w:val="28"/>
        </w:rPr>
      </w:pPr>
      <w:r w:rsidRPr="0089157B">
        <w:rPr>
          <w:rFonts w:cs="Times New Roman"/>
          <w:szCs w:val="28"/>
        </w:rPr>
        <w:t>Latvijā siltumapgāde tiek nodrošināta, izmantojot centralizētās siltumapgādes sistēmas, lokālo siltumapgādi un individuālo siltumapgādi.  Siltumapgādes tiesisko regulējumu nosaka:</w:t>
      </w:r>
      <w:r w:rsidR="0035562F">
        <w:rPr>
          <w:rFonts w:cs="Times New Roman"/>
          <w:szCs w:val="28"/>
        </w:rPr>
        <w:t xml:space="preserve"> </w:t>
      </w:r>
      <w:r w:rsidRPr="00BC14C4">
        <w:rPr>
          <w:rFonts w:cs="Times New Roman"/>
          <w:szCs w:val="28"/>
        </w:rPr>
        <w:t>Enerģētikas likumā, kas nosaka siltumapgādes sistēmas uzbūvi un organizēšanu. P</w:t>
      </w:r>
      <w:r w:rsidRPr="00BC14C4">
        <w:rPr>
          <w:rFonts w:cs="Times New Roman"/>
          <w:color w:val="000000" w:themeColor="text1"/>
          <w:szCs w:val="28"/>
        </w:rPr>
        <w:t>ašvaldības, veicot likumā noteikto pastāvīgo funkciju, organizē siltumapgādi savā administratīvajā teritorijā, kā arī veicina energoefektivitāti un konkurenci siltumapgādes un kurināmā tirgū.</w:t>
      </w:r>
    </w:p>
    <w:p w:rsidR="0089157B" w:rsidRPr="0089157B" w:rsidRDefault="0089157B" w:rsidP="00562BCC">
      <w:pPr>
        <w:pStyle w:val="ListParagraph"/>
        <w:numPr>
          <w:ilvl w:val="0"/>
          <w:numId w:val="11"/>
        </w:numPr>
        <w:spacing w:after="120"/>
        <w:jc w:val="both"/>
        <w:rPr>
          <w:rFonts w:cs="Times New Roman"/>
          <w:szCs w:val="28"/>
        </w:rPr>
      </w:pPr>
      <w:r w:rsidRPr="0089157B">
        <w:rPr>
          <w:rFonts w:cs="Times New Roman"/>
          <w:szCs w:val="28"/>
        </w:rPr>
        <w:t>Likums „Par sabiedrisko pakalpojumu regulatoriem”, kas nosaka siltumapgādes tarifus un izsniedz licences.</w:t>
      </w:r>
    </w:p>
    <w:p w:rsidR="0089157B" w:rsidRPr="0089157B" w:rsidRDefault="0089157B" w:rsidP="00562BCC">
      <w:pPr>
        <w:pStyle w:val="ListParagraph"/>
        <w:numPr>
          <w:ilvl w:val="0"/>
          <w:numId w:val="11"/>
        </w:numPr>
        <w:spacing w:after="120"/>
        <w:jc w:val="both"/>
        <w:rPr>
          <w:rFonts w:cs="Times New Roman"/>
          <w:szCs w:val="28"/>
        </w:rPr>
      </w:pPr>
      <w:r w:rsidRPr="0089157B">
        <w:rPr>
          <w:rFonts w:cs="Times New Roman"/>
          <w:szCs w:val="28"/>
        </w:rPr>
        <w:t xml:space="preserve">2008.gada 21.oktobra Ministru kabineta noteikumi Nr.876 </w:t>
      </w:r>
      <w:r w:rsidR="00CB62C3">
        <w:rPr>
          <w:rFonts w:cs="Times New Roman"/>
          <w:szCs w:val="28"/>
        </w:rPr>
        <w:t>„</w:t>
      </w:r>
      <w:r w:rsidRPr="0089157B">
        <w:rPr>
          <w:rFonts w:cs="Times New Roman"/>
          <w:szCs w:val="28"/>
        </w:rPr>
        <w:t>Siltumenerģijas piegādes un lietošanas noteikumi</w:t>
      </w:r>
      <w:r w:rsidR="00CB62C3">
        <w:rPr>
          <w:rFonts w:cs="Times New Roman"/>
          <w:szCs w:val="28"/>
        </w:rPr>
        <w:t>”</w:t>
      </w:r>
      <w:r w:rsidRPr="0089157B">
        <w:rPr>
          <w:rFonts w:cs="Times New Roman"/>
          <w:szCs w:val="28"/>
        </w:rPr>
        <w:t xml:space="preserve">, kuros noteikta kārtība, kādā energoapgādes komersants piegādā un siltumenerģijas lietotājs lieto siltumenerģiju, un kārtība, kādā piegādātājs ir tiesīgs pārtraukt siltumenerģijas piegādi lietotājam, kurš nav samaksājis par saņemto siltumenerģiju vai nav izpildījis citas saistības pret piegādātāju. </w:t>
      </w:r>
    </w:p>
    <w:p w:rsidR="0089157B" w:rsidRPr="00DC3D06" w:rsidRDefault="0089157B" w:rsidP="00337C07">
      <w:pPr>
        <w:pStyle w:val="ListParagraph"/>
        <w:numPr>
          <w:ilvl w:val="0"/>
          <w:numId w:val="11"/>
        </w:numPr>
        <w:spacing w:after="120"/>
        <w:jc w:val="both"/>
      </w:pPr>
      <w:r w:rsidRPr="00DC3D06">
        <w:rPr>
          <w:rFonts w:cs="Times New Roman"/>
          <w:szCs w:val="28"/>
        </w:rPr>
        <w:t>Sabiedrisko pakalpojumu regulēšanas komisija ir izstrādājusi un apstiprinājusi Siltumenerģijas apgādes pakalpojumu tarifu aprēķināšanas metodiku.</w:t>
      </w:r>
    </w:p>
    <w:p w:rsidR="00204735" w:rsidRPr="00F50C10" w:rsidRDefault="0050047A" w:rsidP="00DC3D06">
      <w:pPr>
        <w:pStyle w:val="Heading2"/>
        <w:rPr>
          <w:rFonts w:ascii="Times New Roman" w:hAnsi="Times New Roman" w:cs="Times New Roman"/>
          <w:color w:val="auto"/>
          <w:sz w:val="28"/>
          <w:szCs w:val="28"/>
        </w:rPr>
      </w:pPr>
      <w:bookmarkStart w:id="36" w:name="_Toc400714679"/>
      <w:r w:rsidRPr="00F50C10">
        <w:rPr>
          <w:rFonts w:ascii="Times New Roman" w:hAnsi="Times New Roman" w:cs="Times New Roman"/>
          <w:color w:val="auto"/>
          <w:sz w:val="28"/>
          <w:szCs w:val="28"/>
        </w:rPr>
        <w:t>5</w:t>
      </w:r>
      <w:r w:rsidR="00204735" w:rsidRPr="00F50C10">
        <w:rPr>
          <w:rFonts w:ascii="Times New Roman" w:hAnsi="Times New Roman" w:cs="Times New Roman"/>
          <w:color w:val="auto"/>
          <w:sz w:val="28"/>
          <w:szCs w:val="28"/>
        </w:rPr>
        <w:t>.</w:t>
      </w:r>
      <w:r w:rsidR="00503963" w:rsidRPr="00F50C10">
        <w:rPr>
          <w:rFonts w:ascii="Times New Roman" w:hAnsi="Times New Roman" w:cs="Times New Roman"/>
          <w:color w:val="auto"/>
          <w:sz w:val="28"/>
          <w:szCs w:val="28"/>
        </w:rPr>
        <w:t>2.</w:t>
      </w:r>
      <w:r w:rsidR="00204735" w:rsidRPr="00F50C10">
        <w:rPr>
          <w:rFonts w:ascii="Times New Roman" w:hAnsi="Times New Roman" w:cs="Times New Roman"/>
          <w:color w:val="auto"/>
          <w:sz w:val="28"/>
          <w:szCs w:val="28"/>
        </w:rPr>
        <w:t xml:space="preserve"> Tiešie norēķini </w:t>
      </w:r>
      <w:r w:rsidRPr="00F50C10">
        <w:rPr>
          <w:rFonts w:ascii="Times New Roman" w:hAnsi="Times New Roman" w:cs="Times New Roman"/>
          <w:color w:val="auto"/>
          <w:sz w:val="28"/>
          <w:szCs w:val="28"/>
        </w:rPr>
        <w:t>par patērēto siltumenerģiju</w:t>
      </w:r>
      <w:bookmarkEnd w:id="36"/>
    </w:p>
    <w:p w:rsidR="000531A5" w:rsidRPr="000531A5" w:rsidRDefault="000531A5" w:rsidP="000531A5">
      <w:pPr>
        <w:ind w:firstLine="720"/>
        <w:jc w:val="both"/>
        <w:rPr>
          <w:rFonts w:cs="Times New Roman"/>
          <w:szCs w:val="28"/>
        </w:rPr>
      </w:pPr>
      <w:r w:rsidRPr="000531A5">
        <w:rPr>
          <w:rFonts w:cs="Times New Roman"/>
          <w:szCs w:val="28"/>
        </w:rPr>
        <w:t>Dzīvojamo māju pārvaldīšanas likums nosaka iespēju iedzīvotājiem par saņemtajiem komunālajiem pakalpojumiem norēķināties bez mājas pārvaldnieka starpniecības un ir noteikts pienākums pakalpojumu sniedzējam nodrošināt tiešo norēķinu ieviešanu.</w:t>
      </w:r>
    </w:p>
    <w:p w:rsidR="000531A5" w:rsidRPr="000531A5" w:rsidRDefault="000531A5" w:rsidP="000531A5">
      <w:pPr>
        <w:ind w:firstLine="720"/>
        <w:jc w:val="both"/>
        <w:rPr>
          <w:rFonts w:eastAsia="Times New Roman" w:cs="Times New Roman"/>
          <w:szCs w:val="28"/>
          <w:lang w:eastAsia="lv-LV"/>
        </w:rPr>
      </w:pPr>
      <w:r w:rsidRPr="000531A5">
        <w:rPr>
          <w:rFonts w:cs="Times New Roman"/>
          <w:szCs w:val="28"/>
        </w:rPr>
        <w:t xml:space="preserve">Dzīvojamo māju pārvaldīšanas likumā </w:t>
      </w:r>
      <w:r w:rsidRPr="000531A5">
        <w:rPr>
          <w:rFonts w:eastAsia="Times New Roman" w:cs="Times New Roman"/>
          <w:szCs w:val="28"/>
          <w:lang w:eastAsia="lv-LV"/>
        </w:rPr>
        <w:t>noteikts, ka par mājas uzturēšanai nepieciešamajiem pakalpojumiem dzīvojamās mājas īpašnieks (dzīvokļu īpašnieki) var patstāvīgi un nepastarpināti norēķināties ar attiecīgā pakalpojuma sniedzēju. Līgumi par siltumenerģijas vai ēkas apkurei nepieciešamās dabasgāzes un ūdens piegādi, par kanalizācijas, atkritumu izvešanas pakalpojumu un koplietošanas vajadzībām paredzētās elektroenerģijas nodrošināšanu dzīvojamai mājai, kā arī par piesaistītā zemesgabala lietošanu tiek slēgti starp pakalpojuma sniedzēju un dzīvojamās mājas īpašnieku, piemēram, dzīvokļu īpašnieku biedrību (</w:t>
      </w:r>
      <w:r>
        <w:rPr>
          <w:rFonts w:eastAsia="Times New Roman" w:cs="Times New Roman"/>
          <w:szCs w:val="28"/>
          <w:lang w:eastAsia="lv-LV"/>
        </w:rPr>
        <w:t xml:space="preserve">turpmāk - </w:t>
      </w:r>
      <w:proofErr w:type="spellStart"/>
      <w:r w:rsidRPr="000531A5">
        <w:rPr>
          <w:rFonts w:eastAsia="Times New Roman" w:cs="Times New Roman"/>
          <w:szCs w:val="28"/>
          <w:lang w:eastAsia="lv-LV"/>
        </w:rPr>
        <w:t>DzĪB</w:t>
      </w:r>
      <w:proofErr w:type="spellEnd"/>
      <w:r w:rsidRPr="000531A5">
        <w:rPr>
          <w:rFonts w:eastAsia="Times New Roman" w:cs="Times New Roman"/>
          <w:szCs w:val="28"/>
          <w:lang w:eastAsia="lv-LV"/>
        </w:rPr>
        <w:t xml:space="preserve">). </w:t>
      </w:r>
    </w:p>
    <w:p w:rsidR="000531A5" w:rsidRPr="008D07EA" w:rsidRDefault="000531A5" w:rsidP="000531A5">
      <w:pPr>
        <w:ind w:firstLine="720"/>
        <w:jc w:val="both"/>
        <w:rPr>
          <w:rFonts w:eastAsia="Times New Roman" w:cs="Times New Roman"/>
          <w:szCs w:val="28"/>
          <w:lang w:eastAsia="lv-LV"/>
        </w:rPr>
      </w:pPr>
      <w:r w:rsidRPr="008D07EA">
        <w:rPr>
          <w:rFonts w:eastAsia="Times New Roman" w:cs="Times New Roman"/>
          <w:szCs w:val="28"/>
          <w:lang w:eastAsia="lv-LV"/>
        </w:rPr>
        <w:t xml:space="preserve">Tajā pašā laikā dzīvojamās mājas īpašnieks ir tiesīgs likumā noteiktā kārtībā pieņemt lēmumu par uzdevuma došanu pilnvarotai personai (kas var būt arī pārvaldnieks) veikt dzīvojamās mājas īpašnieka vārdā maksājumus par mājas uzturēšanai nepieciešamo pakalpojumu klāstu. Ja par šāda uzdevuma došanu </w:t>
      </w:r>
      <w:r w:rsidRPr="008D07EA">
        <w:rPr>
          <w:rFonts w:eastAsia="Times New Roman" w:cs="Times New Roman"/>
          <w:szCs w:val="28"/>
          <w:lang w:eastAsia="lv-LV"/>
        </w:rPr>
        <w:lastRenderedPageBreak/>
        <w:t>pārvaldniekam likumā noteiktajā kārtībā ir lēmuši dzīvojamās mājas kopīpašnieki vai dzīvokļu īpašnieki, akceptētā maksājumu kārtība būs saistoša visiem mājas īpašniekiem.</w:t>
      </w:r>
    </w:p>
    <w:p w:rsidR="000531A5" w:rsidRPr="000531A5" w:rsidRDefault="000531A5" w:rsidP="000531A5">
      <w:pPr>
        <w:ind w:firstLine="720"/>
        <w:jc w:val="both"/>
        <w:rPr>
          <w:rFonts w:eastAsia="Times New Roman" w:cs="Times New Roman"/>
          <w:szCs w:val="28"/>
          <w:lang w:eastAsia="lv-LV"/>
        </w:rPr>
      </w:pPr>
      <w:r w:rsidRPr="000531A5">
        <w:rPr>
          <w:rFonts w:eastAsia="Times New Roman" w:cs="Times New Roman"/>
          <w:szCs w:val="28"/>
          <w:lang w:eastAsia="lv-LV"/>
        </w:rPr>
        <w:t>Ja īpašnieks izvēlējies tiešos norēķinus (norēķināties pats), tad pakalpojuma sniedzējam ir šī vēlme jānodrošina, to darot pašam vai noslēdzot vienošanos ar īpaši izveidotu (normatīvajos aktos noteiktā kārtībā reģistrētu vai licencētu) iestādi maksājumu pakalpojumu sniegšanai jeb maksājumu iestādi.</w:t>
      </w:r>
    </w:p>
    <w:p w:rsidR="000531A5" w:rsidRPr="00AA7323" w:rsidRDefault="000531A5" w:rsidP="00AA7323">
      <w:pPr>
        <w:ind w:firstLine="360"/>
        <w:jc w:val="both"/>
        <w:rPr>
          <w:rFonts w:eastAsia="Times New Roman" w:cs="Times New Roman"/>
          <w:szCs w:val="28"/>
          <w:lang w:eastAsia="lv-LV"/>
        </w:rPr>
      </w:pPr>
      <w:r w:rsidRPr="00AA7323">
        <w:rPr>
          <w:rFonts w:eastAsia="Times New Roman" w:cs="Times New Roman"/>
          <w:szCs w:val="28"/>
          <w:lang w:eastAsia="lv-LV"/>
        </w:rPr>
        <w:t>Turpmāk pakalpojuma sniedzējam vajadzēs kontrolēt dzīvojamās mājas īpašnieka maksājumus par sniegto pakalpojumu, kas paredz vairākas darbības:</w:t>
      </w:r>
    </w:p>
    <w:p w:rsidR="000531A5" w:rsidRPr="00BE3DFA" w:rsidRDefault="000531A5" w:rsidP="00BE3DFA">
      <w:pPr>
        <w:pStyle w:val="ListParagraph"/>
        <w:numPr>
          <w:ilvl w:val="0"/>
          <w:numId w:val="14"/>
        </w:numPr>
        <w:jc w:val="both"/>
        <w:rPr>
          <w:rFonts w:eastAsia="Times New Roman" w:cs="Times New Roman"/>
          <w:szCs w:val="28"/>
          <w:lang w:eastAsia="lv-LV"/>
        </w:rPr>
      </w:pPr>
      <w:r w:rsidRPr="00BE3DFA">
        <w:rPr>
          <w:rFonts w:eastAsia="Times New Roman" w:cs="Times New Roman"/>
          <w:szCs w:val="28"/>
          <w:lang w:eastAsia="lv-LV"/>
        </w:rPr>
        <w:t>sagatavot un izsniegt izziņu par maksājumiem;</w:t>
      </w:r>
    </w:p>
    <w:p w:rsidR="000531A5" w:rsidRPr="00BE3DFA" w:rsidRDefault="000531A5" w:rsidP="00BE3DFA">
      <w:pPr>
        <w:pStyle w:val="ListParagraph"/>
        <w:numPr>
          <w:ilvl w:val="0"/>
          <w:numId w:val="14"/>
        </w:numPr>
        <w:jc w:val="both"/>
        <w:rPr>
          <w:rFonts w:eastAsia="Times New Roman" w:cs="Times New Roman"/>
          <w:szCs w:val="28"/>
          <w:lang w:eastAsia="lv-LV"/>
        </w:rPr>
      </w:pPr>
      <w:r w:rsidRPr="00BE3DFA">
        <w:rPr>
          <w:rFonts w:eastAsia="Times New Roman" w:cs="Times New Roman"/>
          <w:szCs w:val="28"/>
          <w:lang w:eastAsia="lv-LV"/>
        </w:rPr>
        <w:t>sagatavot atgādinājumu par maksājumu saistību neizpildi vai nepienācīgu izpildi un nodot to adresātam;</w:t>
      </w:r>
    </w:p>
    <w:p w:rsidR="000531A5" w:rsidRDefault="000531A5" w:rsidP="00BE3DFA">
      <w:pPr>
        <w:pStyle w:val="ListParagraph"/>
        <w:numPr>
          <w:ilvl w:val="0"/>
          <w:numId w:val="14"/>
        </w:numPr>
        <w:jc w:val="both"/>
        <w:rPr>
          <w:rFonts w:eastAsia="Times New Roman" w:cs="Times New Roman"/>
          <w:szCs w:val="28"/>
          <w:lang w:eastAsia="lv-LV"/>
        </w:rPr>
      </w:pPr>
      <w:r w:rsidRPr="00BE3DFA">
        <w:rPr>
          <w:rFonts w:eastAsia="Times New Roman" w:cs="Times New Roman"/>
          <w:szCs w:val="28"/>
          <w:lang w:eastAsia="lv-LV"/>
        </w:rPr>
        <w:t>savlaicīgi celt tiesā prasību pret dzīvojamās mājas īpašnieku par maksājumu saistību neizpildi vai nepienācīgu izpildi.</w:t>
      </w:r>
    </w:p>
    <w:p w:rsidR="008F0181" w:rsidRPr="008F0181" w:rsidRDefault="008F0181" w:rsidP="008F0181">
      <w:pPr>
        <w:jc w:val="both"/>
        <w:rPr>
          <w:rFonts w:eastAsia="Times New Roman" w:cs="Times New Roman"/>
          <w:szCs w:val="28"/>
          <w:lang w:eastAsia="lv-LV"/>
        </w:rPr>
      </w:pPr>
    </w:p>
    <w:p w:rsidR="000531A5" w:rsidRPr="000531A5" w:rsidRDefault="000531A5" w:rsidP="000531A5">
      <w:pPr>
        <w:ind w:firstLine="709"/>
        <w:jc w:val="both"/>
        <w:rPr>
          <w:rFonts w:eastAsia="Times New Roman" w:cs="Times New Roman"/>
          <w:szCs w:val="28"/>
          <w:lang w:eastAsia="lv-LV"/>
        </w:rPr>
      </w:pPr>
      <w:r w:rsidRPr="000531A5">
        <w:rPr>
          <w:rFonts w:eastAsia="Times New Roman" w:cs="Times New Roman"/>
          <w:szCs w:val="28"/>
          <w:lang w:eastAsia="lv-LV"/>
        </w:rPr>
        <w:t>Tāpat pakalpojuma sniedzēja pienākums ir savlaicīgi informēt dzīvojamās mājas īpašniekus par cita dzīvojamās mājas īpašnieka saistību neizpildi, ja tas skar vai var skart pārējo dzīvojamās mājas īpašnieku intereses, kā arī pēc dzīvojamās mājas īpašnieka pieprasījuma sniegt nepārprotamu un pilnīgu informāciju par pakalpojumu. Ja dzīvojamās mājas īpašniekam konstatēta maksātnespēja vai tas ir miris un parādu piedziņa nav iespējama, pakalpojuma sniedzēja pienākums ir samazināt tā uzskaitē esošo parādsaistību apmēru par neatgūstamā parāda summu.</w:t>
      </w:r>
    </w:p>
    <w:p w:rsidR="000531A5" w:rsidRPr="000531A5" w:rsidRDefault="000531A5" w:rsidP="000531A5">
      <w:pPr>
        <w:ind w:firstLine="709"/>
        <w:jc w:val="both"/>
        <w:rPr>
          <w:rFonts w:eastAsia="Times New Roman" w:cs="Times New Roman"/>
          <w:szCs w:val="28"/>
          <w:lang w:eastAsia="lv-LV"/>
        </w:rPr>
      </w:pPr>
      <w:r w:rsidRPr="000531A5">
        <w:rPr>
          <w:rFonts w:cs="Times New Roman"/>
          <w:szCs w:val="28"/>
        </w:rPr>
        <w:t>Tiešie maksājumi par pakalpojumiem uzsākami ne agrāk kā 2015.gada 1.oktobrī, izņemot gadījumus, kad dzīvojamās mājas īpašnieks un pakalpojuma sniedzējs jau līdz 2015.gada 30.septembrim vienojušies par tiešajiem maksājumiem pakalpojuma līgumā.</w:t>
      </w:r>
    </w:p>
    <w:p w:rsidR="006B7D57" w:rsidRDefault="006B7D57" w:rsidP="00337C07">
      <w:pPr>
        <w:ind w:firstLine="720"/>
        <w:jc w:val="both"/>
      </w:pPr>
      <w:r w:rsidRPr="006B7D57">
        <w:t xml:space="preserve">Ievērojot to, ka tiešo norēķinu izmaksas nav ietvertas pakalpojuma tarifā, par šo pakalpojumu (kas ietver katra dzīvokļu īpašnieka apmaksājamās daļas noteikšanu, rēķinu izstādīšanu katram dzīvokļu īpašniekam </w:t>
      </w:r>
      <w:proofErr w:type="spellStart"/>
      <w:r w:rsidRPr="006B7D57">
        <w:t>u.c</w:t>
      </w:r>
      <w:proofErr w:type="spellEnd"/>
      <w:r w:rsidRPr="006B7D57">
        <w:t>. darbības) dzīvokļu īpašniekam būs jāmaksā papildus.</w:t>
      </w:r>
    </w:p>
    <w:p w:rsidR="00337C07" w:rsidRDefault="00337C07" w:rsidP="00337C07">
      <w:pPr>
        <w:ind w:firstLine="720"/>
        <w:jc w:val="both"/>
        <w:rPr>
          <w:highlight w:val="green"/>
        </w:rPr>
      </w:pPr>
    </w:p>
    <w:p w:rsidR="0050047A" w:rsidRPr="008F0181" w:rsidRDefault="0050047A" w:rsidP="00AC2480">
      <w:pPr>
        <w:pStyle w:val="Heading2"/>
        <w:rPr>
          <w:rFonts w:ascii="Times New Roman" w:hAnsi="Times New Roman" w:cs="Times New Roman"/>
          <w:color w:val="auto"/>
          <w:sz w:val="28"/>
          <w:szCs w:val="28"/>
        </w:rPr>
      </w:pPr>
      <w:bookmarkStart w:id="37" w:name="_Toc400714680"/>
      <w:r w:rsidRPr="008F0181">
        <w:rPr>
          <w:rFonts w:ascii="Times New Roman" w:hAnsi="Times New Roman" w:cs="Times New Roman"/>
          <w:color w:val="auto"/>
          <w:sz w:val="28"/>
          <w:szCs w:val="28"/>
        </w:rPr>
        <w:t xml:space="preserve">5.3. </w:t>
      </w:r>
      <w:r w:rsidR="00204735" w:rsidRPr="008F0181">
        <w:rPr>
          <w:rFonts w:ascii="Times New Roman" w:hAnsi="Times New Roman" w:cs="Times New Roman"/>
          <w:color w:val="auto"/>
          <w:sz w:val="28"/>
          <w:szCs w:val="28"/>
        </w:rPr>
        <w:t xml:space="preserve"> Siltumapgādes raksturojums, darbības novērtējums</w:t>
      </w:r>
      <w:bookmarkEnd w:id="37"/>
    </w:p>
    <w:p w:rsidR="00106F2A" w:rsidRPr="00106F2A" w:rsidRDefault="00106F2A" w:rsidP="0050047A">
      <w:pPr>
        <w:pStyle w:val="NormalWeb"/>
        <w:spacing w:before="0" w:beforeAutospacing="0" w:after="0" w:afterAutospacing="0"/>
        <w:ind w:firstLine="720"/>
        <w:jc w:val="both"/>
        <w:rPr>
          <w:sz w:val="28"/>
          <w:szCs w:val="28"/>
        </w:rPr>
      </w:pPr>
      <w:r w:rsidRPr="00106F2A">
        <w:rPr>
          <w:sz w:val="28"/>
          <w:szCs w:val="28"/>
        </w:rPr>
        <w:t>Centralizētās siltumapgādes patērētāju struktūra pēdējo gadu laikā nav mainījusies, un centrālā apkure ir 65–70%, karstā ūdens apgāde 30–35%. No 2012.gada kopējā centralizētās siltumenerģijas galapatēriņa rūpniecībai realizēti 1,2%, mājsaimniecībām – 72,0%, citiem patērētājiem – 26,8%. Savukārt centralizētās siltumenerģijas galapatēriņa sadalījums pa reģioniem ir šāds: Rīgas reģions – 51,7%, Pierīgas reģions – 11,6%, Vidzeme – 6,1%, Kurzeme – 10,5%, Zemgale – 8,1% un Latgale – 12 procenti.</w:t>
      </w:r>
    </w:p>
    <w:p w:rsidR="00106F2A" w:rsidRPr="00106F2A" w:rsidRDefault="00106F2A" w:rsidP="00BC14C4">
      <w:pPr>
        <w:pStyle w:val="NormalWeb"/>
        <w:spacing w:before="0" w:beforeAutospacing="0" w:after="0" w:afterAutospacing="0"/>
        <w:ind w:firstLine="720"/>
        <w:jc w:val="both"/>
        <w:rPr>
          <w:sz w:val="28"/>
          <w:szCs w:val="28"/>
        </w:rPr>
      </w:pPr>
      <w:r w:rsidRPr="00106F2A">
        <w:rPr>
          <w:sz w:val="28"/>
          <w:szCs w:val="28"/>
        </w:rPr>
        <w:lastRenderedPageBreak/>
        <w:t>Centralizētā siltumapgāde attīstās gan lielajās pilsētās, gan novadu pašvaldībās. Novadu pašvaldību grupā ar lietotāju skaitu līdz 50 ietilpst 31 pašvaldība vai novada teritoriālā vienība</w:t>
      </w:r>
      <w:r w:rsidRPr="00106F2A">
        <w:rPr>
          <w:rStyle w:val="FootnoteReference"/>
          <w:sz w:val="28"/>
          <w:szCs w:val="28"/>
        </w:rPr>
        <w:footnoteReference w:id="21"/>
      </w:r>
      <w:r w:rsidRPr="00106F2A">
        <w:rPr>
          <w:sz w:val="28"/>
          <w:szCs w:val="28"/>
        </w:rPr>
        <w:t>, grupā no 50 līdz 500 – 61 pašvaldība vai novada teritoriālā vienība un grupā ar lietotāju skaitu virs 500 – 46 pašvaldības vai novada teritoriālās vienības, kurās siltumapgāde tiek nodrošināta centralizēti</w:t>
      </w:r>
    </w:p>
    <w:p w:rsidR="00106F2A" w:rsidRPr="00106F2A" w:rsidRDefault="00106F2A" w:rsidP="00BC14C4">
      <w:pPr>
        <w:pStyle w:val="NormalWeb"/>
        <w:spacing w:before="0" w:beforeAutospacing="0" w:after="0" w:afterAutospacing="0"/>
        <w:ind w:firstLine="720"/>
        <w:jc w:val="both"/>
        <w:rPr>
          <w:sz w:val="28"/>
          <w:szCs w:val="28"/>
        </w:rPr>
      </w:pPr>
      <w:r w:rsidRPr="00106F2A">
        <w:rPr>
          <w:sz w:val="28"/>
          <w:szCs w:val="28"/>
        </w:rPr>
        <w:t xml:space="preserve">2012.gadā centralizēto siltumenerģiju pārdošanai ražoja 663 katlumājās un 132 koģenerācijas stacijās, kuras pārdošanai kopā saražoja 7,46 </w:t>
      </w:r>
      <w:proofErr w:type="spellStart"/>
      <w:r w:rsidRPr="00106F2A">
        <w:rPr>
          <w:sz w:val="28"/>
          <w:szCs w:val="28"/>
        </w:rPr>
        <w:t>TWh</w:t>
      </w:r>
      <w:proofErr w:type="spellEnd"/>
      <w:r w:rsidRPr="00106F2A">
        <w:rPr>
          <w:sz w:val="28"/>
          <w:szCs w:val="28"/>
        </w:rPr>
        <w:t xml:space="preserve"> centralizētās siltumenerģijas.</w:t>
      </w:r>
    </w:p>
    <w:p w:rsidR="00106F2A" w:rsidRPr="00106F2A" w:rsidRDefault="00106F2A" w:rsidP="00106F2A">
      <w:pPr>
        <w:ind w:firstLine="720"/>
        <w:jc w:val="both"/>
        <w:rPr>
          <w:rFonts w:eastAsia="Times New Roman" w:cs="Times New Roman"/>
          <w:szCs w:val="28"/>
          <w:lang w:eastAsia="lv-LV"/>
        </w:rPr>
      </w:pPr>
      <w:r w:rsidRPr="00106F2A">
        <w:rPr>
          <w:rFonts w:cs="Times New Roman"/>
          <w:szCs w:val="28"/>
        </w:rPr>
        <w:t xml:space="preserve">Lielākā daļa centralizētās siltumapgādes sistēmās saražotās siltumenerģijas apjomiem tiek saražoti Rīgā, no kuras 90% tiek saražoti augsti efektīvas koģenerācijas procesā. </w:t>
      </w:r>
      <w:r w:rsidRPr="00106F2A">
        <w:rPr>
          <w:rFonts w:eastAsia="Times New Roman" w:cs="Times New Roman"/>
          <w:szCs w:val="28"/>
          <w:lang w:eastAsia="lv-LV"/>
        </w:rPr>
        <w:t xml:space="preserve">Akciju sabiedrība „Rīgas siltums” ir lielākais centralizētās siltumapgādes uzņēmums Latvijā un Baltijas valstīs. Siltumenerģija tiek ražota 43 </w:t>
      </w:r>
      <w:proofErr w:type="spellStart"/>
      <w:r w:rsidRPr="00106F2A">
        <w:rPr>
          <w:rFonts w:eastAsia="Times New Roman" w:cs="Times New Roman"/>
          <w:szCs w:val="28"/>
          <w:lang w:eastAsia="lv-LV"/>
        </w:rPr>
        <w:t>siltumavotos</w:t>
      </w:r>
      <w:proofErr w:type="spellEnd"/>
      <w:r w:rsidRPr="00106F2A">
        <w:rPr>
          <w:rFonts w:eastAsia="Times New Roman" w:cs="Times New Roman"/>
          <w:szCs w:val="28"/>
          <w:lang w:eastAsia="lv-LV"/>
        </w:rPr>
        <w:t xml:space="preserve">, tai skaitā 5 siltumcentrālēs un 38 gāzes katlumājās. AS „Rīgas siltums” paredz paplašināt </w:t>
      </w:r>
      <w:proofErr w:type="spellStart"/>
      <w:r w:rsidRPr="00106F2A">
        <w:rPr>
          <w:rFonts w:eastAsia="Times New Roman" w:cs="Times New Roman"/>
          <w:szCs w:val="28"/>
          <w:lang w:eastAsia="lv-LV"/>
        </w:rPr>
        <w:t>biokurināmā</w:t>
      </w:r>
      <w:proofErr w:type="spellEnd"/>
      <w:r w:rsidRPr="00106F2A">
        <w:rPr>
          <w:rFonts w:eastAsia="Times New Roman" w:cs="Times New Roman"/>
          <w:szCs w:val="28"/>
          <w:lang w:eastAsia="lv-LV"/>
        </w:rPr>
        <w:t xml:space="preserve"> izmantošanu siltumapgādē, kā arī samazināt siltuma zudumus centralizētā siltumapgādes pārvadē.</w:t>
      </w:r>
    </w:p>
    <w:p w:rsidR="00106F2A" w:rsidRPr="00106F2A" w:rsidRDefault="00106F2A" w:rsidP="00106F2A">
      <w:pPr>
        <w:ind w:firstLine="720"/>
        <w:jc w:val="both"/>
        <w:rPr>
          <w:rFonts w:cs="Times New Roman"/>
          <w:szCs w:val="28"/>
        </w:rPr>
      </w:pPr>
      <w:r w:rsidRPr="00106F2A">
        <w:rPr>
          <w:rFonts w:cs="Times New Roman"/>
          <w:szCs w:val="28"/>
        </w:rPr>
        <w:t>P</w:t>
      </w:r>
      <w:r w:rsidR="008F0181">
        <w:rPr>
          <w:rFonts w:cs="Times New Roman"/>
          <w:szCs w:val="28"/>
        </w:rPr>
        <w:t xml:space="preserve">ašvaldības </w:t>
      </w:r>
      <w:r w:rsidRPr="00106F2A">
        <w:rPr>
          <w:rFonts w:cs="Times New Roman"/>
          <w:szCs w:val="28"/>
        </w:rPr>
        <w:t xml:space="preserve">AS </w:t>
      </w:r>
      <w:r w:rsidR="00C34AA9">
        <w:rPr>
          <w:rFonts w:cs="Times New Roman"/>
          <w:szCs w:val="28"/>
        </w:rPr>
        <w:t>„</w:t>
      </w:r>
      <w:r w:rsidRPr="00106F2A">
        <w:rPr>
          <w:rFonts w:cs="Times New Roman"/>
          <w:szCs w:val="28"/>
        </w:rPr>
        <w:t>Daugavpils siltumtīkli</w:t>
      </w:r>
      <w:r w:rsidR="00C34AA9">
        <w:rPr>
          <w:rFonts w:cs="Times New Roman"/>
          <w:szCs w:val="28"/>
        </w:rPr>
        <w:t>”</w:t>
      </w:r>
      <w:r w:rsidRPr="00106F2A">
        <w:rPr>
          <w:rFonts w:cs="Times New Roman"/>
          <w:szCs w:val="28"/>
        </w:rPr>
        <w:t xml:space="preserve"> lielākie siltumenerģijas ražošanas avoti ir 3</w:t>
      </w:r>
      <w:r w:rsidR="00C34AA9">
        <w:rPr>
          <w:rFonts w:cs="Times New Roman"/>
          <w:szCs w:val="28"/>
        </w:rPr>
        <w:t xml:space="preserve"> </w:t>
      </w:r>
      <w:r w:rsidRPr="00106F2A">
        <w:rPr>
          <w:rFonts w:cs="Times New Roman"/>
          <w:szCs w:val="28"/>
        </w:rPr>
        <w:t>siltumcentrāles, kas saražo aptuveni 74% no centralizētās siltumapgādes vajadzībām nepieciešamā siltumenerģijas apjoma. Pilsētas mikrorajonu siltumapgādes vajadzībām tiek darbinātas nelielas jaudas lokālās katlumājas, kas saražo aptuveni 11% no centralizētās siltumapgādes vajadzībām nepieciešamā siltumenerģijas apjoma. Aptuveni 15% no centralizētās siltumapgādes vajadzībām nepieciešamā siltumenerģijas apjoma P</w:t>
      </w:r>
      <w:r w:rsidR="008F0181">
        <w:rPr>
          <w:rFonts w:cs="Times New Roman"/>
          <w:szCs w:val="28"/>
        </w:rPr>
        <w:t xml:space="preserve">ašvaldības </w:t>
      </w:r>
      <w:r w:rsidRPr="00106F2A">
        <w:rPr>
          <w:rFonts w:cs="Times New Roman"/>
          <w:szCs w:val="28"/>
        </w:rPr>
        <w:t xml:space="preserve">AS </w:t>
      </w:r>
      <w:r w:rsidR="00C34AA9">
        <w:rPr>
          <w:rFonts w:cs="Times New Roman"/>
          <w:szCs w:val="28"/>
        </w:rPr>
        <w:t>„</w:t>
      </w:r>
      <w:r w:rsidRPr="00106F2A">
        <w:rPr>
          <w:rFonts w:cs="Times New Roman"/>
          <w:szCs w:val="28"/>
        </w:rPr>
        <w:t>Daugavpils siltumtīkli</w:t>
      </w:r>
      <w:r w:rsidR="00C34AA9">
        <w:rPr>
          <w:rFonts w:cs="Times New Roman"/>
          <w:szCs w:val="28"/>
        </w:rPr>
        <w:t>”</w:t>
      </w:r>
      <w:r w:rsidRPr="00106F2A">
        <w:rPr>
          <w:rFonts w:cs="Times New Roman"/>
          <w:szCs w:val="28"/>
        </w:rPr>
        <w:t xml:space="preserve"> iepērk no citiem siltumenerģijas ražotājiem.</w:t>
      </w:r>
    </w:p>
    <w:p w:rsidR="00106F2A" w:rsidRPr="00106F2A" w:rsidRDefault="00106F2A" w:rsidP="00106F2A">
      <w:pPr>
        <w:ind w:firstLine="720"/>
        <w:jc w:val="both"/>
        <w:rPr>
          <w:rFonts w:eastAsia="Times New Roman" w:cs="Times New Roman"/>
          <w:szCs w:val="28"/>
          <w:lang w:eastAsia="lv-LV"/>
        </w:rPr>
      </w:pPr>
      <w:r w:rsidRPr="00106F2A">
        <w:rPr>
          <w:rFonts w:eastAsia="Times New Roman" w:cs="Times New Roman"/>
          <w:szCs w:val="28"/>
          <w:lang w:eastAsia="lv-LV"/>
        </w:rPr>
        <w:t xml:space="preserve">SIA „Liepājas enerģija” ir siltumapgādes uzņēmums, kas nodarbojas ar siltumenerģijas ražošanu, pārvadi, sadali un tirdzniecību, kā arī elektroenerģijas ražošanu. Siltumenerģijas kopējā efektivitāte 2012.gadā – 75%. Uzņēmuma klienti  ir 677 dzīvojamās mājas un 184 juridisko personu (pašvaldības un valsts iestādes, izglītības iestādes, komercsabiedrības </w:t>
      </w:r>
      <w:proofErr w:type="spellStart"/>
      <w:r w:rsidRPr="00106F2A">
        <w:rPr>
          <w:rFonts w:eastAsia="Times New Roman" w:cs="Times New Roman"/>
          <w:szCs w:val="28"/>
          <w:lang w:eastAsia="lv-LV"/>
        </w:rPr>
        <w:t>u.c</w:t>
      </w:r>
      <w:proofErr w:type="spellEnd"/>
      <w:r w:rsidRPr="00106F2A">
        <w:rPr>
          <w:rFonts w:eastAsia="Times New Roman" w:cs="Times New Roman"/>
          <w:szCs w:val="28"/>
          <w:lang w:eastAsia="lv-LV"/>
        </w:rPr>
        <w:t>.) objekti.</w:t>
      </w:r>
    </w:p>
    <w:p w:rsidR="00106F2A" w:rsidRPr="00106F2A" w:rsidRDefault="00106F2A" w:rsidP="00106F2A">
      <w:pPr>
        <w:ind w:firstLine="720"/>
        <w:jc w:val="both"/>
        <w:rPr>
          <w:rFonts w:eastAsia="Times New Roman" w:cs="Times New Roman"/>
          <w:szCs w:val="28"/>
          <w:lang w:eastAsia="lv-LV"/>
        </w:rPr>
      </w:pPr>
      <w:r w:rsidRPr="00106F2A">
        <w:rPr>
          <w:rFonts w:cs="Times New Roman"/>
          <w:szCs w:val="28"/>
        </w:rPr>
        <w:t xml:space="preserve">Ventspilī centralizēto siltumapgādi nodrošina pašvaldības SIA “Ventspils Siltums”. </w:t>
      </w:r>
      <w:r w:rsidRPr="00106F2A">
        <w:rPr>
          <w:rFonts w:eastAsia="Times New Roman" w:cs="Times New Roman"/>
          <w:szCs w:val="28"/>
          <w:lang w:eastAsia="lv-LV"/>
        </w:rPr>
        <w:t xml:space="preserve">Ventspils pilsētas centralizētās siltumapgādes specifiska iezīme ir tās dalījums divās atsevišķās sistēmās. Ventas labajā krastā atrodas galvenie rūpniecības uzņēmumi un daļa no pilsētas dzīvojamā sektora. Tie tiek apgādāti ar centralizēto siltumu no katlumājas Talsu ielā 69. Ventas kreisajā krastā izvietoti galvenokārt dzīvojamā un komunālā sektora patērētāji, kuru apgāde tiek nodrošināta no katlumājas Brīvības ielā 38. Bez šīm divām pamatsistēmām pastāv vairākas pašvaldības </w:t>
      </w:r>
      <w:proofErr w:type="spellStart"/>
      <w:r w:rsidRPr="00106F2A">
        <w:rPr>
          <w:rFonts w:eastAsia="Times New Roman" w:cs="Times New Roman"/>
          <w:szCs w:val="28"/>
          <w:lang w:eastAsia="lv-LV"/>
        </w:rPr>
        <w:t>pārziņā</w:t>
      </w:r>
      <w:proofErr w:type="spellEnd"/>
      <w:r w:rsidRPr="00106F2A">
        <w:rPr>
          <w:rFonts w:eastAsia="Times New Roman" w:cs="Times New Roman"/>
          <w:szCs w:val="28"/>
          <w:lang w:eastAsia="lv-LV"/>
        </w:rPr>
        <w:t xml:space="preserve"> esošas lokāla rakstura katlu mājas. </w:t>
      </w:r>
    </w:p>
    <w:p w:rsidR="00106F2A" w:rsidRPr="00106F2A" w:rsidRDefault="00106F2A" w:rsidP="00BC14C4">
      <w:pPr>
        <w:pStyle w:val="NormalWeb"/>
        <w:spacing w:before="0" w:beforeAutospacing="0" w:after="0" w:afterAutospacing="0"/>
        <w:ind w:firstLine="720"/>
        <w:jc w:val="both"/>
        <w:rPr>
          <w:sz w:val="28"/>
          <w:szCs w:val="28"/>
        </w:rPr>
      </w:pPr>
      <w:r w:rsidRPr="00106F2A">
        <w:rPr>
          <w:sz w:val="28"/>
          <w:szCs w:val="28"/>
        </w:rPr>
        <w:lastRenderedPageBreak/>
        <w:t xml:space="preserve">Valmierā siltumapgādes funkcijas veic pašvaldības kapitālsabiedrība SIA  „Valmieras ūdens”. </w:t>
      </w:r>
      <w:r w:rsidRPr="00106F2A">
        <w:rPr>
          <w:rStyle w:val="Strong"/>
          <w:rFonts w:eastAsiaTheme="majorEastAsia"/>
          <w:b w:val="0"/>
          <w:sz w:val="28"/>
          <w:szCs w:val="28"/>
        </w:rPr>
        <w:t>Gaujas kreisajā krastā (</w:t>
      </w:r>
      <w:proofErr w:type="spellStart"/>
      <w:r w:rsidRPr="00106F2A">
        <w:rPr>
          <w:rStyle w:val="Strong"/>
          <w:rFonts w:eastAsiaTheme="majorEastAsia"/>
          <w:b w:val="0"/>
          <w:sz w:val="28"/>
          <w:szCs w:val="28"/>
        </w:rPr>
        <w:t>Pārgaujā</w:t>
      </w:r>
      <w:proofErr w:type="spellEnd"/>
      <w:r w:rsidRPr="00106F2A">
        <w:rPr>
          <w:rStyle w:val="Strong"/>
          <w:rFonts w:eastAsiaTheme="majorEastAsia"/>
          <w:b w:val="0"/>
          <w:sz w:val="28"/>
          <w:szCs w:val="28"/>
        </w:rPr>
        <w:t>)</w:t>
      </w:r>
      <w:r w:rsidRPr="00106F2A">
        <w:rPr>
          <w:sz w:val="28"/>
          <w:szCs w:val="28"/>
        </w:rPr>
        <w:t xml:space="preserve"> siltumenerģija tiek ražota katlumājā</w:t>
      </w:r>
      <w:r w:rsidR="00C34AA9">
        <w:rPr>
          <w:sz w:val="28"/>
          <w:szCs w:val="28"/>
        </w:rPr>
        <w:t>,</w:t>
      </w:r>
      <w:r w:rsidRPr="00106F2A">
        <w:rPr>
          <w:sz w:val="28"/>
          <w:szCs w:val="28"/>
        </w:rPr>
        <w:t xml:space="preserve"> kur</w:t>
      </w:r>
      <w:r w:rsidR="00C34AA9">
        <w:rPr>
          <w:sz w:val="28"/>
          <w:szCs w:val="28"/>
        </w:rPr>
        <w:t>ā</w:t>
      </w:r>
      <w:r w:rsidRPr="00106F2A">
        <w:rPr>
          <w:sz w:val="28"/>
          <w:szCs w:val="28"/>
        </w:rPr>
        <w:t xml:space="preserve"> kā kurināmais tiek izmantota dabasgāze, un tā strādā koģenerācijas režīmā</w:t>
      </w:r>
      <w:r w:rsidR="00C34AA9">
        <w:rPr>
          <w:sz w:val="28"/>
          <w:szCs w:val="28"/>
        </w:rPr>
        <w:t xml:space="preserve"> –</w:t>
      </w:r>
      <w:r w:rsidRPr="00106F2A">
        <w:rPr>
          <w:sz w:val="28"/>
          <w:szCs w:val="28"/>
        </w:rPr>
        <w:t xml:space="preserve"> ražo gan siltumu, gan elektroenerģiju. Siltumenerģija tiek piegādāta 93 objektiem. Pilsētas daļā, kas atrodas </w:t>
      </w:r>
      <w:r w:rsidRPr="00106F2A">
        <w:rPr>
          <w:rStyle w:val="Strong"/>
          <w:rFonts w:eastAsiaTheme="majorEastAsia"/>
          <w:b w:val="0"/>
          <w:sz w:val="28"/>
          <w:szCs w:val="28"/>
        </w:rPr>
        <w:t>Gaujas upes labajā pusē</w:t>
      </w:r>
      <w:r w:rsidRPr="00106F2A">
        <w:rPr>
          <w:sz w:val="28"/>
          <w:szCs w:val="28"/>
        </w:rPr>
        <w:t>, siltumenerģija tiek saražota 3 katlumājās.</w:t>
      </w:r>
    </w:p>
    <w:p w:rsidR="00106F2A" w:rsidRPr="00562BCC" w:rsidRDefault="00106F2A" w:rsidP="00106F2A">
      <w:pPr>
        <w:ind w:firstLine="720"/>
        <w:jc w:val="both"/>
        <w:rPr>
          <w:rFonts w:eastAsia="Times New Roman" w:cs="Times New Roman"/>
          <w:szCs w:val="28"/>
          <w:lang w:eastAsia="lv-LV"/>
        </w:rPr>
      </w:pPr>
      <w:r w:rsidRPr="00106F2A">
        <w:rPr>
          <w:rFonts w:eastAsia="Times New Roman" w:cs="Times New Roman"/>
          <w:szCs w:val="28"/>
          <w:lang w:eastAsia="lv-LV"/>
        </w:rPr>
        <w:t>Centralizēto siltumapgādi Jūrmalas pilsētā nodrošina 100% pašvaldībai piederošs uzņēmums</w:t>
      </w:r>
      <w:r w:rsidR="00C34AA9">
        <w:rPr>
          <w:rFonts w:eastAsia="Times New Roman" w:cs="Times New Roman"/>
          <w:szCs w:val="28"/>
          <w:lang w:eastAsia="lv-LV"/>
        </w:rPr>
        <w:t xml:space="preserve"> –</w:t>
      </w:r>
      <w:r w:rsidRPr="00106F2A">
        <w:rPr>
          <w:rFonts w:eastAsia="Times New Roman" w:cs="Times New Roman"/>
          <w:szCs w:val="28"/>
          <w:lang w:eastAsia="lv-LV"/>
        </w:rPr>
        <w:t xml:space="preserve"> sabiedrība ar ierobežotu atbildību </w:t>
      </w:r>
      <w:r w:rsidR="00C34AA9">
        <w:rPr>
          <w:rFonts w:eastAsia="Times New Roman" w:cs="Times New Roman"/>
          <w:szCs w:val="28"/>
          <w:lang w:eastAsia="lv-LV"/>
        </w:rPr>
        <w:t>„</w:t>
      </w:r>
      <w:r w:rsidRPr="00106F2A">
        <w:rPr>
          <w:rFonts w:eastAsia="Times New Roman" w:cs="Times New Roman"/>
          <w:szCs w:val="28"/>
          <w:lang w:eastAsia="lv-LV"/>
        </w:rPr>
        <w:t>Jūrmalas siltums</w:t>
      </w:r>
      <w:r w:rsidR="00C34AA9">
        <w:rPr>
          <w:rFonts w:eastAsia="Times New Roman" w:cs="Times New Roman"/>
          <w:szCs w:val="28"/>
          <w:lang w:eastAsia="lv-LV"/>
        </w:rPr>
        <w:t>”</w:t>
      </w:r>
      <w:r w:rsidRPr="00106F2A">
        <w:rPr>
          <w:rFonts w:eastAsia="Times New Roman" w:cs="Times New Roman"/>
          <w:szCs w:val="28"/>
          <w:lang w:eastAsia="lv-LV"/>
        </w:rPr>
        <w:t xml:space="preserve">. SIA </w:t>
      </w:r>
      <w:r w:rsidR="00C34AA9">
        <w:rPr>
          <w:rFonts w:eastAsia="Times New Roman" w:cs="Times New Roman"/>
          <w:szCs w:val="28"/>
          <w:lang w:eastAsia="lv-LV"/>
        </w:rPr>
        <w:t>„</w:t>
      </w:r>
      <w:r w:rsidRPr="00106F2A">
        <w:rPr>
          <w:rFonts w:eastAsia="Times New Roman" w:cs="Times New Roman"/>
          <w:szCs w:val="28"/>
          <w:lang w:eastAsia="lv-LV"/>
        </w:rPr>
        <w:t>Jūrmalas siltums</w:t>
      </w:r>
      <w:r w:rsidR="00C34AA9">
        <w:rPr>
          <w:rFonts w:eastAsia="Times New Roman" w:cs="Times New Roman"/>
          <w:szCs w:val="28"/>
          <w:lang w:eastAsia="lv-LV"/>
        </w:rPr>
        <w:t>”</w:t>
      </w:r>
      <w:r w:rsidRPr="00106F2A">
        <w:rPr>
          <w:rFonts w:eastAsia="Times New Roman" w:cs="Times New Roman"/>
          <w:szCs w:val="28"/>
          <w:lang w:eastAsia="lv-LV"/>
        </w:rPr>
        <w:t xml:space="preserve"> veido centralizētu siltumapgādes sistēmu, kas lokāli sadalās pēc pilsētas apdzīvotākajiem rajoniem, </w:t>
      </w:r>
      <w:proofErr w:type="spellStart"/>
      <w:r w:rsidRPr="00106F2A">
        <w:rPr>
          <w:rFonts w:eastAsia="Times New Roman" w:cs="Times New Roman"/>
          <w:szCs w:val="28"/>
          <w:lang w:eastAsia="lv-LV"/>
        </w:rPr>
        <w:t>t.i</w:t>
      </w:r>
      <w:proofErr w:type="spellEnd"/>
      <w:r w:rsidRPr="00106F2A">
        <w:rPr>
          <w:rFonts w:eastAsia="Times New Roman" w:cs="Times New Roman"/>
          <w:szCs w:val="28"/>
          <w:lang w:eastAsia="lv-LV"/>
        </w:rPr>
        <w:t xml:space="preserve">. – Kauguri, Sloka, Dubulti, Majori, Bulduri, Lielupe un Ķemeri. Pavisam SIA </w:t>
      </w:r>
      <w:r w:rsidR="00C34AA9">
        <w:rPr>
          <w:rFonts w:eastAsia="Times New Roman" w:cs="Times New Roman"/>
          <w:szCs w:val="28"/>
          <w:lang w:eastAsia="lv-LV"/>
        </w:rPr>
        <w:t>„</w:t>
      </w:r>
      <w:r w:rsidRPr="00106F2A">
        <w:rPr>
          <w:rFonts w:eastAsia="Times New Roman" w:cs="Times New Roman"/>
          <w:szCs w:val="28"/>
          <w:lang w:eastAsia="lv-LV"/>
        </w:rPr>
        <w:t>Jūrmalas siltums</w:t>
      </w:r>
      <w:r w:rsidR="00C34AA9">
        <w:rPr>
          <w:rFonts w:eastAsia="Times New Roman" w:cs="Times New Roman"/>
          <w:szCs w:val="28"/>
          <w:lang w:eastAsia="lv-LV"/>
        </w:rPr>
        <w:t>”</w:t>
      </w:r>
      <w:r w:rsidRPr="00106F2A">
        <w:rPr>
          <w:rFonts w:eastAsia="Times New Roman" w:cs="Times New Roman"/>
          <w:szCs w:val="28"/>
          <w:lang w:eastAsia="lv-LV"/>
        </w:rPr>
        <w:t xml:space="preserve"> </w:t>
      </w:r>
      <w:proofErr w:type="spellStart"/>
      <w:r w:rsidRPr="00106F2A">
        <w:rPr>
          <w:rFonts w:eastAsia="Times New Roman" w:cs="Times New Roman"/>
          <w:szCs w:val="28"/>
          <w:lang w:eastAsia="lv-LV"/>
        </w:rPr>
        <w:t>pārziņā</w:t>
      </w:r>
      <w:proofErr w:type="spellEnd"/>
      <w:r w:rsidRPr="00106F2A">
        <w:rPr>
          <w:rFonts w:eastAsia="Times New Roman" w:cs="Times New Roman"/>
          <w:szCs w:val="28"/>
          <w:lang w:eastAsia="lv-LV"/>
        </w:rPr>
        <w:t xml:space="preserve"> atrodas 12 </w:t>
      </w:r>
      <w:proofErr w:type="spellStart"/>
      <w:r w:rsidRPr="00106F2A">
        <w:rPr>
          <w:rFonts w:eastAsia="Times New Roman" w:cs="Times New Roman"/>
          <w:szCs w:val="28"/>
          <w:lang w:eastAsia="lv-LV"/>
        </w:rPr>
        <w:t>siltumavoti</w:t>
      </w:r>
      <w:proofErr w:type="spellEnd"/>
      <w:r w:rsidRPr="00106F2A">
        <w:rPr>
          <w:rFonts w:eastAsia="Times New Roman" w:cs="Times New Roman"/>
          <w:szCs w:val="28"/>
          <w:lang w:eastAsia="lv-LV"/>
        </w:rPr>
        <w:t xml:space="preserve">, kuros kā kurināmo izmanto dabasgāzi, un siltumtīkli, kuru </w:t>
      </w:r>
      <w:r w:rsidRPr="00562BCC">
        <w:rPr>
          <w:rFonts w:eastAsia="Times New Roman" w:cs="Times New Roman"/>
          <w:szCs w:val="28"/>
          <w:lang w:eastAsia="lv-LV"/>
        </w:rPr>
        <w:t xml:space="preserve">kopējais garums ir nedaudz virs 60 km. </w:t>
      </w:r>
    </w:p>
    <w:p w:rsidR="00562BCC" w:rsidRDefault="00562BCC" w:rsidP="00562BCC">
      <w:pPr>
        <w:ind w:firstLine="709"/>
        <w:jc w:val="both"/>
        <w:rPr>
          <w:rFonts w:eastAsia="Times New Roman" w:cs="Times New Roman"/>
          <w:szCs w:val="28"/>
          <w:lang w:eastAsia="lv-LV"/>
        </w:rPr>
      </w:pPr>
    </w:p>
    <w:p w:rsidR="00562BCC" w:rsidRPr="00562BCC" w:rsidRDefault="00562BCC" w:rsidP="00711F50">
      <w:pPr>
        <w:jc w:val="both"/>
        <w:rPr>
          <w:rFonts w:cs="Times New Roman"/>
          <w:szCs w:val="28"/>
        </w:rPr>
      </w:pPr>
      <w:r w:rsidRPr="00562BCC">
        <w:rPr>
          <w:rFonts w:eastAsia="Times New Roman" w:cs="Times New Roman"/>
          <w:szCs w:val="28"/>
          <w:lang w:eastAsia="lv-LV"/>
        </w:rPr>
        <w:t>Kā piemēri p</w:t>
      </w:r>
      <w:r w:rsidRPr="00562BCC">
        <w:rPr>
          <w:rFonts w:cs="Times New Roman"/>
          <w:szCs w:val="28"/>
        </w:rPr>
        <w:t xml:space="preserve">ārejai  no fosilajiem </w:t>
      </w:r>
      <w:r w:rsidR="00FD23A6">
        <w:rPr>
          <w:rFonts w:cs="Times New Roman"/>
          <w:szCs w:val="28"/>
        </w:rPr>
        <w:t xml:space="preserve">energoresursiem </w:t>
      </w:r>
      <w:r w:rsidRPr="00562BCC">
        <w:rPr>
          <w:rFonts w:cs="Times New Roman"/>
          <w:szCs w:val="28"/>
        </w:rPr>
        <w:t>uz AER minami realizētie projekti:</w:t>
      </w:r>
    </w:p>
    <w:p w:rsidR="00562BCC" w:rsidRPr="00562BCC" w:rsidRDefault="00562BCC" w:rsidP="00562BCC">
      <w:pPr>
        <w:numPr>
          <w:ilvl w:val="0"/>
          <w:numId w:val="5"/>
        </w:numPr>
        <w:ind w:left="709" w:hanging="425"/>
        <w:jc w:val="both"/>
        <w:rPr>
          <w:rFonts w:cs="Times New Roman"/>
          <w:szCs w:val="28"/>
        </w:rPr>
      </w:pPr>
      <w:r w:rsidRPr="00562BCC">
        <w:rPr>
          <w:rFonts w:cs="Times New Roman"/>
          <w:szCs w:val="28"/>
        </w:rPr>
        <w:t>PU „Rīgas Siltums” SC Daugavgrīva, SC Vecmīlgrāvis, SC Ziepniekkalns, SC </w:t>
      </w:r>
      <w:proofErr w:type="spellStart"/>
      <w:r w:rsidRPr="00562BCC">
        <w:rPr>
          <w:rFonts w:cs="Times New Roman"/>
          <w:szCs w:val="28"/>
        </w:rPr>
        <w:t>Zasulauks</w:t>
      </w:r>
      <w:proofErr w:type="spellEnd"/>
      <w:r w:rsidRPr="00562BCC">
        <w:rPr>
          <w:rFonts w:cs="Times New Roman"/>
          <w:szCs w:val="28"/>
        </w:rPr>
        <w:t>,</w:t>
      </w:r>
    </w:p>
    <w:p w:rsidR="00562BCC" w:rsidRPr="00562BCC" w:rsidRDefault="00562BCC" w:rsidP="00562BCC">
      <w:pPr>
        <w:numPr>
          <w:ilvl w:val="0"/>
          <w:numId w:val="5"/>
        </w:numPr>
        <w:ind w:left="709" w:hanging="425"/>
        <w:jc w:val="both"/>
        <w:rPr>
          <w:rFonts w:cs="Times New Roman"/>
          <w:szCs w:val="28"/>
        </w:rPr>
      </w:pPr>
      <w:r w:rsidRPr="00562BCC">
        <w:rPr>
          <w:rFonts w:cs="Times New Roman"/>
          <w:szCs w:val="28"/>
        </w:rPr>
        <w:t>SIA „Salaspils siltums”,</w:t>
      </w:r>
    </w:p>
    <w:p w:rsidR="00562BCC" w:rsidRPr="00562BCC" w:rsidRDefault="00562BCC" w:rsidP="00562BCC">
      <w:pPr>
        <w:numPr>
          <w:ilvl w:val="0"/>
          <w:numId w:val="5"/>
        </w:numPr>
        <w:ind w:left="709" w:hanging="425"/>
        <w:jc w:val="both"/>
        <w:rPr>
          <w:rFonts w:cs="Times New Roman"/>
          <w:szCs w:val="28"/>
        </w:rPr>
      </w:pPr>
      <w:r w:rsidRPr="00562BCC">
        <w:rPr>
          <w:rFonts w:cs="Times New Roman"/>
          <w:szCs w:val="28"/>
        </w:rPr>
        <w:t>SIA „Iecavas siltums”</w:t>
      </w:r>
    </w:p>
    <w:p w:rsidR="00562BCC" w:rsidRPr="00562BCC" w:rsidRDefault="00562BCC" w:rsidP="00562BCC">
      <w:pPr>
        <w:numPr>
          <w:ilvl w:val="0"/>
          <w:numId w:val="5"/>
        </w:numPr>
        <w:ind w:left="709" w:hanging="425"/>
        <w:jc w:val="both"/>
        <w:rPr>
          <w:rFonts w:cs="Times New Roman"/>
          <w:szCs w:val="28"/>
        </w:rPr>
      </w:pPr>
      <w:r w:rsidRPr="00562BCC">
        <w:rPr>
          <w:rFonts w:cs="Times New Roman"/>
          <w:szCs w:val="28"/>
        </w:rPr>
        <w:t xml:space="preserve">SIA „Jūrmalas siltums” Dubultu </w:t>
      </w:r>
      <w:proofErr w:type="spellStart"/>
      <w:r w:rsidRPr="00562BCC">
        <w:rPr>
          <w:rFonts w:cs="Times New Roman"/>
          <w:szCs w:val="28"/>
        </w:rPr>
        <w:t>k.m</w:t>
      </w:r>
      <w:proofErr w:type="spellEnd"/>
      <w:r w:rsidRPr="00562BCC">
        <w:rPr>
          <w:rFonts w:cs="Times New Roman"/>
          <w:szCs w:val="28"/>
        </w:rPr>
        <w:t>.,</w:t>
      </w:r>
    </w:p>
    <w:p w:rsidR="00562BCC" w:rsidRPr="00562BCC" w:rsidRDefault="00562BCC" w:rsidP="00562BCC">
      <w:pPr>
        <w:numPr>
          <w:ilvl w:val="0"/>
          <w:numId w:val="5"/>
        </w:numPr>
        <w:ind w:left="709" w:hanging="425"/>
        <w:jc w:val="both"/>
        <w:rPr>
          <w:rFonts w:cs="Times New Roman"/>
          <w:szCs w:val="28"/>
        </w:rPr>
      </w:pPr>
      <w:r w:rsidRPr="00562BCC">
        <w:rPr>
          <w:rFonts w:cs="Times New Roman"/>
          <w:szCs w:val="28"/>
        </w:rPr>
        <w:t>SIA „Liepājas enerģija” (daļēji),</w:t>
      </w:r>
    </w:p>
    <w:p w:rsidR="00562BCC" w:rsidRPr="00562BCC" w:rsidRDefault="00562BCC" w:rsidP="00562BCC">
      <w:pPr>
        <w:numPr>
          <w:ilvl w:val="0"/>
          <w:numId w:val="5"/>
        </w:numPr>
        <w:ind w:left="709" w:hanging="425"/>
        <w:jc w:val="both"/>
        <w:rPr>
          <w:rFonts w:cs="Times New Roman"/>
          <w:szCs w:val="28"/>
        </w:rPr>
      </w:pPr>
      <w:r w:rsidRPr="00562BCC">
        <w:rPr>
          <w:rFonts w:cs="Times New Roman"/>
          <w:szCs w:val="28"/>
        </w:rPr>
        <w:t>SIA „Jēkabpils siltums”,</w:t>
      </w:r>
    </w:p>
    <w:p w:rsidR="00562BCC" w:rsidRPr="00562BCC" w:rsidRDefault="00562BCC" w:rsidP="00562BCC">
      <w:pPr>
        <w:numPr>
          <w:ilvl w:val="0"/>
          <w:numId w:val="5"/>
        </w:numPr>
        <w:ind w:left="709" w:hanging="425"/>
        <w:jc w:val="both"/>
        <w:rPr>
          <w:rFonts w:cs="Times New Roman"/>
          <w:szCs w:val="28"/>
        </w:rPr>
      </w:pPr>
      <w:r w:rsidRPr="00562BCC">
        <w:rPr>
          <w:rFonts w:cs="Times New Roman"/>
          <w:szCs w:val="28"/>
        </w:rPr>
        <w:t>SIA „Cēsu siltumtīkli”,</w:t>
      </w:r>
    </w:p>
    <w:p w:rsidR="00562BCC" w:rsidRPr="00562BCC" w:rsidRDefault="00562BCC" w:rsidP="00562BCC">
      <w:pPr>
        <w:numPr>
          <w:ilvl w:val="0"/>
          <w:numId w:val="5"/>
        </w:numPr>
        <w:ind w:left="709" w:hanging="425"/>
        <w:jc w:val="both"/>
        <w:rPr>
          <w:rFonts w:cs="Times New Roman"/>
          <w:szCs w:val="28"/>
          <w:u w:color="FFCC66"/>
        </w:rPr>
      </w:pPr>
      <w:r w:rsidRPr="00562BCC">
        <w:rPr>
          <w:rFonts w:cs="Times New Roman"/>
          <w:szCs w:val="28"/>
        </w:rPr>
        <w:t>SIA „</w:t>
      </w:r>
      <w:proofErr w:type="spellStart"/>
      <w:r w:rsidRPr="00562BCC">
        <w:rPr>
          <w:rFonts w:cs="Times New Roman"/>
          <w:szCs w:val="28"/>
        </w:rPr>
        <w:t>Fortum</w:t>
      </w:r>
      <w:proofErr w:type="spellEnd"/>
      <w:r w:rsidRPr="00562BCC">
        <w:rPr>
          <w:rFonts w:cs="Times New Roman"/>
          <w:szCs w:val="28"/>
        </w:rPr>
        <w:t xml:space="preserve"> Jelgava”. </w:t>
      </w:r>
    </w:p>
    <w:p w:rsidR="00562BCC" w:rsidRDefault="00562BCC" w:rsidP="00562BCC">
      <w:pPr>
        <w:ind w:firstLine="720"/>
        <w:jc w:val="both"/>
        <w:rPr>
          <w:rFonts w:cs="Times New Roman"/>
          <w:szCs w:val="28"/>
        </w:rPr>
      </w:pPr>
    </w:p>
    <w:p w:rsidR="00562BCC" w:rsidRPr="00562BCC" w:rsidRDefault="00562BCC" w:rsidP="00562BCC">
      <w:pPr>
        <w:ind w:firstLine="720"/>
        <w:jc w:val="both"/>
        <w:rPr>
          <w:rFonts w:eastAsia="Times New Roman" w:cs="Times New Roman"/>
          <w:szCs w:val="28"/>
          <w:lang w:eastAsia="lv-LV"/>
        </w:rPr>
      </w:pPr>
      <w:r w:rsidRPr="00562BCC">
        <w:rPr>
          <w:rFonts w:cs="Times New Roman"/>
          <w:szCs w:val="28"/>
        </w:rPr>
        <w:t>Energoefektivitātes paaugstināšanas tempus centralizētajā siltumapgādē kavē nepieciešamais lielu investīciju apjoms, pašvaldību ierobežotās spējas ņemt kredītu, kā arī lēnais kapitāla apgrozījuma ātrums. Šo iemeslu dēļ vēl aizvien pašvaldībās tiek darbinātas neefektīvas iekārtas, kas rada paaugstinātu kurināmā pārtēriņu un nespēj nodrošināt siltuma apgādi nepieciešamā kvalitātē. Veicot kompleksu sistēmas atjaunošanu, iespējams optimizēt enerģijas ražošanas procesu un samazināt siltumenerģijas zudumus pārvades sistēmās.</w:t>
      </w:r>
    </w:p>
    <w:p w:rsidR="00204735" w:rsidRPr="009B0E95" w:rsidRDefault="0050047A" w:rsidP="00AC2480">
      <w:pPr>
        <w:pStyle w:val="Heading2"/>
        <w:rPr>
          <w:rFonts w:ascii="Times New Roman" w:hAnsi="Times New Roman" w:cs="Times New Roman"/>
          <w:color w:val="auto"/>
          <w:sz w:val="28"/>
          <w:szCs w:val="28"/>
        </w:rPr>
      </w:pPr>
      <w:bookmarkStart w:id="38" w:name="_Toc400714681"/>
      <w:r w:rsidRPr="009B0E95">
        <w:rPr>
          <w:rFonts w:ascii="Times New Roman" w:hAnsi="Times New Roman" w:cs="Times New Roman"/>
          <w:color w:val="auto"/>
          <w:sz w:val="28"/>
          <w:szCs w:val="28"/>
        </w:rPr>
        <w:t>5.4</w:t>
      </w:r>
      <w:r w:rsidR="00204735" w:rsidRPr="009B0E95">
        <w:rPr>
          <w:rFonts w:ascii="Times New Roman" w:hAnsi="Times New Roman" w:cs="Times New Roman"/>
          <w:color w:val="auto"/>
          <w:sz w:val="28"/>
          <w:szCs w:val="28"/>
        </w:rPr>
        <w:t>. Siltuma tarifi, cenu dinamika</w:t>
      </w:r>
      <w:bookmarkEnd w:id="38"/>
    </w:p>
    <w:p w:rsidR="00FF373C" w:rsidRPr="00562BCC" w:rsidRDefault="00FF373C" w:rsidP="00FF373C">
      <w:pPr>
        <w:shd w:val="clear" w:color="auto" w:fill="FFFFFF"/>
        <w:rPr>
          <w:rFonts w:cs="Times New Roman"/>
          <w:color w:val="000000"/>
          <w:szCs w:val="28"/>
        </w:rPr>
      </w:pPr>
      <w:r w:rsidRPr="00562BCC">
        <w:rPr>
          <w:rFonts w:cs="Times New Roman"/>
          <w:color w:val="000000"/>
          <w:szCs w:val="28"/>
        </w:rPr>
        <w:t>Siltumenerģijas tarifu atšķirības nosaka:</w:t>
      </w:r>
    </w:p>
    <w:p w:rsidR="00FF373C" w:rsidRPr="00BC14C4" w:rsidRDefault="00FF373C" w:rsidP="00FF373C">
      <w:pPr>
        <w:pStyle w:val="ListParagraph"/>
        <w:numPr>
          <w:ilvl w:val="0"/>
          <w:numId w:val="17"/>
        </w:numPr>
        <w:shd w:val="clear" w:color="auto" w:fill="FFFFFF"/>
        <w:jc w:val="both"/>
        <w:rPr>
          <w:rFonts w:cs="Times New Roman"/>
          <w:color w:val="000000"/>
          <w:szCs w:val="28"/>
        </w:rPr>
      </w:pPr>
      <w:r w:rsidRPr="00BC14C4">
        <w:rPr>
          <w:rFonts w:cs="Times New Roman"/>
          <w:color w:val="000000"/>
          <w:szCs w:val="28"/>
        </w:rPr>
        <w:t xml:space="preserve">izmantotais kurināmā veids, jo </w:t>
      </w:r>
      <w:r w:rsidRPr="00BC14C4">
        <w:rPr>
          <w:rFonts w:cs="Times New Roman"/>
          <w:szCs w:val="28"/>
        </w:rPr>
        <w:t>līdz</w:t>
      </w:r>
      <w:r w:rsidRPr="00BC14C4">
        <w:rPr>
          <w:rFonts w:cs="Times New Roman"/>
          <w:color w:val="000000"/>
          <w:szCs w:val="28"/>
        </w:rPr>
        <w:t xml:space="preserve"> 90% siltumenerģijas ražošanas mainīgajās izmaksās veido tieši kurināmā izmaksas;</w:t>
      </w:r>
    </w:p>
    <w:p w:rsidR="00FF373C" w:rsidRPr="00562BCC" w:rsidRDefault="00FF373C" w:rsidP="00FF373C">
      <w:pPr>
        <w:pStyle w:val="ListParagraph"/>
        <w:numPr>
          <w:ilvl w:val="0"/>
          <w:numId w:val="17"/>
        </w:numPr>
        <w:shd w:val="clear" w:color="auto" w:fill="FFFFFF"/>
        <w:contextualSpacing w:val="0"/>
        <w:jc w:val="both"/>
        <w:rPr>
          <w:rFonts w:cs="Times New Roman"/>
          <w:color w:val="000000"/>
          <w:szCs w:val="28"/>
        </w:rPr>
      </w:pPr>
      <w:r w:rsidRPr="00562BCC">
        <w:rPr>
          <w:rFonts w:cs="Times New Roman"/>
          <w:color w:val="000000"/>
          <w:szCs w:val="28"/>
        </w:rPr>
        <w:t>siltumapgādes sistēmas lielums un tehniskais stāvoklis;</w:t>
      </w:r>
    </w:p>
    <w:p w:rsidR="00FF373C" w:rsidRPr="00562BCC" w:rsidRDefault="00FF373C" w:rsidP="00FF373C">
      <w:pPr>
        <w:pStyle w:val="ListParagraph"/>
        <w:numPr>
          <w:ilvl w:val="0"/>
          <w:numId w:val="17"/>
        </w:numPr>
        <w:shd w:val="clear" w:color="auto" w:fill="FFFFFF"/>
        <w:contextualSpacing w:val="0"/>
        <w:jc w:val="both"/>
        <w:rPr>
          <w:rFonts w:cs="Times New Roman"/>
          <w:color w:val="000000"/>
          <w:szCs w:val="28"/>
        </w:rPr>
      </w:pPr>
      <w:proofErr w:type="spellStart"/>
      <w:r w:rsidRPr="00562BCC">
        <w:rPr>
          <w:rFonts w:cs="Times New Roman"/>
          <w:color w:val="000000"/>
          <w:szCs w:val="28"/>
        </w:rPr>
        <w:lastRenderedPageBreak/>
        <w:t>siltumslodzes</w:t>
      </w:r>
      <w:proofErr w:type="spellEnd"/>
      <w:r w:rsidRPr="00562BCC">
        <w:rPr>
          <w:rFonts w:cs="Times New Roman"/>
          <w:color w:val="000000"/>
          <w:szCs w:val="28"/>
        </w:rPr>
        <w:t xml:space="preserve"> blīvums, </w:t>
      </w:r>
      <w:proofErr w:type="spellStart"/>
      <w:r w:rsidRPr="00562BCC">
        <w:rPr>
          <w:rFonts w:cs="Times New Roman"/>
          <w:color w:val="000000"/>
          <w:szCs w:val="28"/>
        </w:rPr>
        <w:t>t.i</w:t>
      </w:r>
      <w:proofErr w:type="spellEnd"/>
      <w:r w:rsidRPr="00562BCC">
        <w:rPr>
          <w:rFonts w:cs="Times New Roman"/>
          <w:color w:val="000000"/>
          <w:szCs w:val="28"/>
        </w:rPr>
        <w:t>., siltumenerģijas patēriņa attiecība pret siltumapgādes sistēmas aptvertās teritorijas lielumu;</w:t>
      </w:r>
    </w:p>
    <w:p w:rsidR="00FF373C" w:rsidRPr="00562BCC" w:rsidRDefault="00FF373C" w:rsidP="00FF373C">
      <w:pPr>
        <w:pStyle w:val="ListParagraph"/>
        <w:numPr>
          <w:ilvl w:val="0"/>
          <w:numId w:val="17"/>
        </w:numPr>
        <w:shd w:val="clear" w:color="auto" w:fill="FFFFFF"/>
        <w:contextualSpacing w:val="0"/>
        <w:jc w:val="both"/>
        <w:rPr>
          <w:rFonts w:cs="Times New Roman"/>
          <w:color w:val="000000"/>
          <w:szCs w:val="28"/>
        </w:rPr>
      </w:pPr>
      <w:r w:rsidRPr="00562BCC">
        <w:rPr>
          <w:rFonts w:cs="Times New Roman"/>
          <w:color w:val="000000"/>
          <w:szCs w:val="28"/>
        </w:rPr>
        <w:t>centralizētās siltumapgādes sistēmas jaudas atbilstība pieprasītajai slodzei;</w:t>
      </w:r>
    </w:p>
    <w:p w:rsidR="00FF373C" w:rsidRPr="00562BCC" w:rsidRDefault="00FF373C" w:rsidP="00FF373C">
      <w:pPr>
        <w:pStyle w:val="ListParagraph"/>
        <w:numPr>
          <w:ilvl w:val="0"/>
          <w:numId w:val="17"/>
        </w:numPr>
        <w:shd w:val="clear" w:color="auto" w:fill="FFFFFF"/>
        <w:contextualSpacing w:val="0"/>
        <w:jc w:val="both"/>
        <w:rPr>
          <w:rFonts w:cs="Times New Roman"/>
          <w:color w:val="000000"/>
          <w:szCs w:val="28"/>
        </w:rPr>
      </w:pPr>
      <w:r w:rsidRPr="00562BCC">
        <w:rPr>
          <w:rFonts w:cs="Times New Roman"/>
          <w:color w:val="000000"/>
          <w:szCs w:val="28"/>
        </w:rPr>
        <w:t>apdzīvotās vietas ģeogrāfiskās īpatnības;</w:t>
      </w:r>
    </w:p>
    <w:p w:rsidR="00FF373C" w:rsidRPr="00562BCC" w:rsidRDefault="00FF373C" w:rsidP="00FF373C">
      <w:pPr>
        <w:pStyle w:val="ListParagraph"/>
        <w:numPr>
          <w:ilvl w:val="0"/>
          <w:numId w:val="17"/>
        </w:numPr>
        <w:shd w:val="clear" w:color="auto" w:fill="FFFFFF"/>
        <w:contextualSpacing w:val="0"/>
        <w:jc w:val="both"/>
        <w:rPr>
          <w:rFonts w:cs="Times New Roman"/>
          <w:color w:val="000000"/>
          <w:szCs w:val="28"/>
        </w:rPr>
      </w:pPr>
      <w:r w:rsidRPr="00562BCC">
        <w:rPr>
          <w:rFonts w:cs="Times New Roman"/>
          <w:color w:val="000000"/>
          <w:szCs w:val="28"/>
        </w:rPr>
        <w:t xml:space="preserve">dažādie vēsturiski izvēlētie risinājumi centralizētās siltumapgādes sistēmas darbības ieviešanai un nodrošināšanai. </w:t>
      </w:r>
    </w:p>
    <w:p w:rsidR="008B78B3" w:rsidRDefault="008B78B3" w:rsidP="009B0E95">
      <w:pPr>
        <w:shd w:val="clear" w:color="auto" w:fill="FFFFFF"/>
        <w:jc w:val="center"/>
        <w:rPr>
          <w:rFonts w:cs="Times New Roman"/>
          <w:color w:val="000000"/>
          <w:sz w:val="20"/>
          <w:szCs w:val="20"/>
        </w:rPr>
      </w:pPr>
    </w:p>
    <w:p w:rsidR="008B78B3" w:rsidRDefault="008B78B3" w:rsidP="009B0E95">
      <w:pPr>
        <w:shd w:val="clear" w:color="auto" w:fill="FFFFFF"/>
        <w:jc w:val="center"/>
        <w:rPr>
          <w:rFonts w:cs="Times New Roman"/>
          <w:color w:val="000000"/>
          <w:sz w:val="20"/>
          <w:szCs w:val="20"/>
        </w:rPr>
      </w:pPr>
      <w:r>
        <w:rPr>
          <w:noProof/>
          <w:lang w:eastAsia="lv-LV"/>
        </w:rPr>
        <w:drawing>
          <wp:inline distT="0" distB="0" distL="0" distR="0" wp14:anchorId="7E86D578" wp14:editId="15B85874">
            <wp:extent cx="5760085" cy="2717228"/>
            <wp:effectExtent l="0" t="0" r="12065" b="26035"/>
            <wp:docPr id="1120" name="Chart 11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5513F3" w:rsidRPr="00F21A91" w:rsidRDefault="005513F3" w:rsidP="008B78B3">
      <w:pPr>
        <w:shd w:val="clear" w:color="auto" w:fill="FFFFFF"/>
        <w:rPr>
          <w:rFonts w:cs="Times New Roman"/>
          <w:sz w:val="20"/>
          <w:szCs w:val="20"/>
        </w:rPr>
      </w:pPr>
      <w:r w:rsidRPr="00F21A91">
        <w:rPr>
          <w:rFonts w:cs="Times New Roman"/>
          <w:color w:val="000000"/>
          <w:sz w:val="20"/>
          <w:szCs w:val="20"/>
        </w:rPr>
        <w:t xml:space="preserve">Avots: Latvijas </w:t>
      </w:r>
      <w:proofErr w:type="spellStart"/>
      <w:r w:rsidRPr="00F21A91">
        <w:rPr>
          <w:rFonts w:cs="Times New Roman"/>
          <w:color w:val="000000"/>
          <w:sz w:val="20"/>
          <w:szCs w:val="20"/>
        </w:rPr>
        <w:t>Siltumuzņēmumu</w:t>
      </w:r>
      <w:proofErr w:type="spellEnd"/>
      <w:r w:rsidRPr="00F21A91">
        <w:rPr>
          <w:rFonts w:cs="Times New Roman"/>
          <w:color w:val="000000"/>
          <w:sz w:val="20"/>
          <w:szCs w:val="20"/>
        </w:rPr>
        <w:t xml:space="preserve"> asociācija</w:t>
      </w:r>
    </w:p>
    <w:p w:rsidR="00562BCC" w:rsidRPr="009B0E95" w:rsidRDefault="009B0E95" w:rsidP="009B0E95">
      <w:pPr>
        <w:rPr>
          <w:rFonts w:cs="Times New Roman"/>
          <w:b/>
          <w:bCs/>
          <w:i/>
          <w:color w:val="000000"/>
          <w:sz w:val="20"/>
          <w:szCs w:val="20"/>
        </w:rPr>
      </w:pPr>
      <w:r w:rsidRPr="009B0E95">
        <w:rPr>
          <w:rFonts w:cs="Times New Roman"/>
          <w:b/>
          <w:bCs/>
          <w:color w:val="000000"/>
          <w:sz w:val="24"/>
          <w:szCs w:val="24"/>
        </w:rPr>
        <w:t>2</w:t>
      </w:r>
      <w:r w:rsidR="00FF373C">
        <w:rPr>
          <w:rFonts w:cs="Times New Roman"/>
          <w:b/>
          <w:bCs/>
          <w:color w:val="000000"/>
          <w:sz w:val="24"/>
          <w:szCs w:val="24"/>
        </w:rPr>
        <w:t>2</w:t>
      </w:r>
      <w:r w:rsidR="00562BCC" w:rsidRPr="009B0E95">
        <w:rPr>
          <w:rFonts w:cs="Times New Roman"/>
          <w:b/>
          <w:bCs/>
          <w:color w:val="000000"/>
          <w:sz w:val="24"/>
          <w:szCs w:val="24"/>
        </w:rPr>
        <w:t xml:space="preserve">.attēls. Siltumenerģijas tarifi 2014.gada martā, </w:t>
      </w:r>
      <w:r w:rsidR="00AB25C2" w:rsidRPr="009B0E95">
        <w:rPr>
          <w:rFonts w:cs="Times New Roman"/>
          <w:b/>
          <w:bCs/>
          <w:color w:val="000000"/>
          <w:sz w:val="24"/>
          <w:szCs w:val="24"/>
        </w:rPr>
        <w:t>LVL</w:t>
      </w:r>
      <w:r w:rsidR="00562BCC" w:rsidRPr="009B0E95">
        <w:rPr>
          <w:rFonts w:cs="Times New Roman"/>
          <w:b/>
          <w:bCs/>
          <w:color w:val="000000"/>
          <w:sz w:val="24"/>
          <w:szCs w:val="24"/>
        </w:rPr>
        <w:t>/</w:t>
      </w:r>
      <w:proofErr w:type="spellStart"/>
      <w:r w:rsidR="00562BCC" w:rsidRPr="009B0E95">
        <w:rPr>
          <w:rFonts w:cs="Times New Roman"/>
          <w:b/>
          <w:bCs/>
          <w:color w:val="000000"/>
          <w:sz w:val="24"/>
          <w:szCs w:val="24"/>
        </w:rPr>
        <w:t>MWh</w:t>
      </w:r>
      <w:proofErr w:type="spellEnd"/>
      <w:r w:rsidR="008B78B3">
        <w:rPr>
          <w:rFonts w:cs="Times New Roman"/>
          <w:b/>
          <w:bCs/>
          <w:color w:val="000000"/>
          <w:sz w:val="24"/>
          <w:szCs w:val="24"/>
        </w:rPr>
        <w:t>.</w:t>
      </w:r>
    </w:p>
    <w:p w:rsidR="00562BCC" w:rsidRPr="00562BCC" w:rsidRDefault="00562BCC" w:rsidP="00562BCC">
      <w:pPr>
        <w:shd w:val="clear" w:color="auto" w:fill="FFFFFF"/>
        <w:rPr>
          <w:rFonts w:cs="Times New Roman"/>
          <w:b/>
          <w:bCs/>
          <w:color w:val="000000"/>
          <w:szCs w:val="28"/>
        </w:rPr>
      </w:pPr>
    </w:p>
    <w:p w:rsidR="00562BCC" w:rsidRPr="0050047A" w:rsidRDefault="00562BCC" w:rsidP="0050047A">
      <w:pPr>
        <w:ind w:firstLine="709"/>
        <w:jc w:val="both"/>
        <w:rPr>
          <w:rFonts w:cs="Times New Roman"/>
          <w:color w:val="000000"/>
          <w:szCs w:val="28"/>
        </w:rPr>
      </w:pPr>
      <w:r w:rsidRPr="00562BCC">
        <w:rPr>
          <w:rFonts w:cs="Times New Roman"/>
          <w:color w:val="000000"/>
          <w:szCs w:val="28"/>
        </w:rPr>
        <w:t xml:space="preserve">Saskaņā ar </w:t>
      </w:r>
      <w:r w:rsidR="009B0E95">
        <w:rPr>
          <w:rFonts w:cs="Times New Roman"/>
          <w:color w:val="000000"/>
          <w:szCs w:val="28"/>
        </w:rPr>
        <w:t>Sabiedrisko pakalpojumu regulēšanas komisijas</w:t>
      </w:r>
      <w:r w:rsidR="009B0E95" w:rsidRPr="00562BCC">
        <w:rPr>
          <w:rFonts w:cs="Times New Roman"/>
          <w:color w:val="000000"/>
          <w:szCs w:val="28"/>
        </w:rPr>
        <w:t xml:space="preserve"> </w:t>
      </w:r>
      <w:r w:rsidRPr="00562BCC">
        <w:rPr>
          <w:rFonts w:cs="Times New Roman"/>
          <w:color w:val="000000"/>
          <w:szCs w:val="28"/>
        </w:rPr>
        <w:t>prognozēm</w:t>
      </w:r>
      <w:r w:rsidR="00711F50">
        <w:rPr>
          <w:rFonts w:cs="Times New Roman"/>
          <w:color w:val="000000"/>
          <w:szCs w:val="28"/>
        </w:rPr>
        <w:t>,</w:t>
      </w:r>
      <w:r w:rsidRPr="00562BCC">
        <w:rPr>
          <w:rFonts w:cs="Times New Roman"/>
          <w:color w:val="000000"/>
          <w:szCs w:val="28"/>
        </w:rPr>
        <w:t xml:space="preserve"> atšķirības starp siltumenerģijas augstākajiem un zemākajiem tarifiem pakāpeniski mazinās. Turklāt tarifu izmaiņas notiks divos virzienos – zemākie tarifi vairumā gadījumu tiks paaugstināti, ja tie nesedz siltumenerģijas ražošanas un piegādes izmaksas, savukārt augstākie tarifi tiks samazināti, jo notiek nozīmīgi pilsētu siltumapgādes sistēmu optimizācijas pasākumi, piemēram, Liepājā un Rīgā. 2013.gada 1.jūlijā stājās spēkā  jaunie AS „Rīgas siltums” siltumenerģijas apgādes pakalpojumu tarifi.  Salīdzinājumā ar iepriekš spēkā esošajiem tarifiem samazinājums ir robežās no 2,2% līdz 4,2% atkarībā no dabasgāzes tirdzniecības cenas. Tarifu samazinājums bija iespējams, pateicoties „Rīgas siltuma” veiktajiem modernizācijas pasākumiem un pieaugošajam </w:t>
      </w:r>
      <w:proofErr w:type="spellStart"/>
      <w:r w:rsidRPr="0050047A">
        <w:rPr>
          <w:rFonts w:cs="Times New Roman"/>
          <w:color w:val="000000"/>
          <w:szCs w:val="28"/>
        </w:rPr>
        <w:t>biokurināmā</w:t>
      </w:r>
      <w:proofErr w:type="spellEnd"/>
      <w:r w:rsidRPr="0050047A">
        <w:rPr>
          <w:rFonts w:cs="Times New Roman"/>
          <w:color w:val="000000"/>
          <w:szCs w:val="28"/>
        </w:rPr>
        <w:t xml:space="preserve"> izmantošanas īpatsvaram.</w:t>
      </w:r>
    </w:p>
    <w:p w:rsidR="0050047A" w:rsidRPr="0050047A" w:rsidRDefault="00562BCC" w:rsidP="00A11D1C">
      <w:pPr>
        <w:ind w:firstLine="709"/>
        <w:jc w:val="both"/>
        <w:rPr>
          <w:b/>
          <w:bCs/>
        </w:rPr>
      </w:pPr>
      <w:r w:rsidRPr="0050047A">
        <w:t xml:space="preserve">Siltumapgādes uzņēmumiem, kas par kurināmo izmanto dabasgāzi, siltumenerģijas tarifi mainās atkarībā no dabasgāzes tirdzniecības cenas. Ņemot  vērā siltumenerģijas tarifa piesaisti dabasgāzes cenai, siltumenerģijas patērētāji, kas pieslēgti centralizētās siltumapgādes uzņēmumam, kas siltumenerģijas ražošanai izmanto dabasgāzi,  dabasgāzes tirdzniecības cenas </w:t>
      </w:r>
      <w:r w:rsidRPr="0050047A">
        <w:lastRenderedPageBreak/>
        <w:t>pieauguma gadījumā ir neizdevīgākā situācijā, nekā lietotāji, kas pieslēgti centralizētās siltumapgādes uzņēmumiem, kas siltumenerģijas ražošanai ir izmantojuši, piemēram, šķeldu. Tā kā nav vērojamas būtiskas šķeldas cenas svārstības, un siltumenerģijas tarifs nav piesaistīts šķeldas cenas izmaiņām,  tad iespējami mēneši, kad kurināmā izmaksas uz vienu siltumenerģijas vienību, kas nodots gala lietotājiem, ir pat par piekto daļu zemākas, kā tiem uzņēmumiem, kas kā kurināmo izmanto dabasgāzi. Tomēr, ņemot vērā augstās šķeldas katlu māju ekspluatācijas izmaksas, siltumenerģijas tarifu atšķirības minētajiem lietotājiem nav tik būtiskas.</w:t>
      </w:r>
    </w:p>
    <w:p w:rsidR="00204735" w:rsidRPr="009B0E95" w:rsidRDefault="0050047A" w:rsidP="00AC2480">
      <w:pPr>
        <w:pStyle w:val="Heading2"/>
        <w:rPr>
          <w:rFonts w:ascii="Times New Roman" w:hAnsi="Times New Roman" w:cs="Times New Roman"/>
          <w:color w:val="auto"/>
          <w:sz w:val="28"/>
          <w:szCs w:val="28"/>
        </w:rPr>
      </w:pPr>
      <w:bookmarkStart w:id="39" w:name="_Toc400714682"/>
      <w:r w:rsidRPr="009B0E95">
        <w:rPr>
          <w:rFonts w:ascii="Times New Roman" w:hAnsi="Times New Roman" w:cs="Times New Roman"/>
          <w:color w:val="auto"/>
          <w:sz w:val="28"/>
          <w:szCs w:val="28"/>
        </w:rPr>
        <w:t>5.5</w:t>
      </w:r>
      <w:r w:rsidR="00204735" w:rsidRPr="009B0E95">
        <w:rPr>
          <w:rFonts w:ascii="Times New Roman" w:hAnsi="Times New Roman" w:cs="Times New Roman"/>
          <w:color w:val="auto"/>
          <w:sz w:val="28"/>
          <w:szCs w:val="28"/>
        </w:rPr>
        <w:t xml:space="preserve">. Parādu </w:t>
      </w:r>
      <w:r w:rsidR="006248F9" w:rsidRPr="009B0E95">
        <w:rPr>
          <w:rFonts w:ascii="Times New Roman" w:hAnsi="Times New Roman" w:cs="Times New Roman"/>
          <w:color w:val="auto"/>
          <w:sz w:val="28"/>
          <w:szCs w:val="28"/>
        </w:rPr>
        <w:t xml:space="preserve">par siltumenerģiju </w:t>
      </w:r>
      <w:r w:rsidR="00204735" w:rsidRPr="009B0E95">
        <w:rPr>
          <w:rFonts w:ascii="Times New Roman" w:hAnsi="Times New Roman" w:cs="Times New Roman"/>
          <w:color w:val="auto"/>
          <w:sz w:val="28"/>
          <w:szCs w:val="28"/>
        </w:rPr>
        <w:t>raksturojums</w:t>
      </w:r>
      <w:bookmarkEnd w:id="39"/>
    </w:p>
    <w:p w:rsidR="00541155" w:rsidRDefault="00541155" w:rsidP="00BC14C4">
      <w:pPr>
        <w:ind w:firstLine="720"/>
        <w:jc w:val="both"/>
        <w:rPr>
          <w:szCs w:val="28"/>
        </w:rPr>
      </w:pPr>
      <w:r>
        <w:rPr>
          <w:szCs w:val="28"/>
        </w:rPr>
        <w:t>Gandrīz visās Latvijas pašvaldībās 2012./2013.gada apkures sezonā bija vērojams siltumenerģijas tarifu pieaugums, tomēr, neskatoties uz to, bija vērojams uzlabojums 2012./2013.gada apkures sezonā izsniegto rēķinu apmaksas disciplīnā.  Republikas nozīmes pilsētās tiek apmaksāti 94,5 procenti, bet novadu pašvaldībās 92,5 procenti no rēķinos izsniegtās summas. Attiecīgi 2011./2012.gada apkures sezonā republikas nozīmes pilsētās tika apmaksāti 93,7 procenti, bet novadu pašvaldībās 88,9 procenti no rēķinos izsniegtās summas</w:t>
      </w:r>
      <w:r w:rsidR="00BC14C4">
        <w:rPr>
          <w:szCs w:val="28"/>
        </w:rPr>
        <w:t>.</w:t>
      </w:r>
    </w:p>
    <w:p w:rsidR="00D8595B" w:rsidRDefault="000A6422" w:rsidP="006B7D57">
      <w:pPr>
        <w:ind w:firstLine="720"/>
        <w:jc w:val="both"/>
        <w:rPr>
          <w:szCs w:val="28"/>
        </w:rPr>
      </w:pPr>
      <w:r>
        <w:rPr>
          <w:szCs w:val="28"/>
        </w:rPr>
        <w:t>S</w:t>
      </w:r>
      <w:r w:rsidR="00D43418">
        <w:rPr>
          <w:szCs w:val="28"/>
        </w:rPr>
        <w:t xml:space="preserve">iltumenerģijas parādu dati Latvijā </w:t>
      </w:r>
      <w:r w:rsidR="006B7D57">
        <w:rPr>
          <w:szCs w:val="28"/>
        </w:rPr>
        <w:t>par 2012./2013.gada apkures sezonu</w:t>
      </w:r>
      <w:r>
        <w:rPr>
          <w:szCs w:val="28"/>
        </w:rPr>
        <w:t xml:space="preserve">  s</w:t>
      </w:r>
      <w:r w:rsidR="00D43418">
        <w:rPr>
          <w:szCs w:val="28"/>
        </w:rPr>
        <w:t>aņemti no 94 pašvaldībām.</w:t>
      </w:r>
    </w:p>
    <w:p w:rsidR="008A7573" w:rsidRDefault="008A7573" w:rsidP="008A7573">
      <w:pPr>
        <w:tabs>
          <w:tab w:val="left" w:pos="851"/>
          <w:tab w:val="left" w:pos="8222"/>
        </w:tabs>
        <w:ind w:firstLine="709"/>
        <w:jc w:val="both"/>
        <w:rPr>
          <w:szCs w:val="28"/>
        </w:rPr>
      </w:pPr>
      <w:r>
        <w:rPr>
          <w:szCs w:val="28"/>
        </w:rPr>
        <w:t xml:space="preserve">Aplūkojot </w:t>
      </w:r>
      <w:r w:rsidR="00D43418">
        <w:rPr>
          <w:szCs w:val="28"/>
        </w:rPr>
        <w:t>sniegto informāciju</w:t>
      </w:r>
      <w:r>
        <w:rPr>
          <w:szCs w:val="28"/>
        </w:rPr>
        <w:t xml:space="preserve"> par situāciju republikas nozīmes pilsētās, vērojams, ka atsevišķās pilsētās 2012./2013.gada apkures sezonā parādu apmērs par piegādāto siltumenerģiju, salīdzinot ar iepriekšējo apkures sezonu, pakāpeniski </w:t>
      </w:r>
      <w:r w:rsidR="00D43418">
        <w:rPr>
          <w:szCs w:val="28"/>
        </w:rPr>
        <w:t>samazinājies</w:t>
      </w:r>
      <w:r>
        <w:rPr>
          <w:szCs w:val="28"/>
        </w:rPr>
        <w:t xml:space="preserve">, savukārt </w:t>
      </w:r>
      <w:r w:rsidR="00D43418">
        <w:rPr>
          <w:szCs w:val="28"/>
        </w:rPr>
        <w:t xml:space="preserve">citur - </w:t>
      </w:r>
      <w:r>
        <w:rPr>
          <w:szCs w:val="28"/>
        </w:rPr>
        <w:t xml:space="preserve">nedaudz </w:t>
      </w:r>
      <w:r w:rsidR="00D43418">
        <w:rPr>
          <w:szCs w:val="28"/>
        </w:rPr>
        <w:t>pieaudzis.</w:t>
      </w:r>
    </w:p>
    <w:p w:rsidR="00EB4563" w:rsidRDefault="00EB4563" w:rsidP="00EB4563">
      <w:pPr>
        <w:ind w:firstLine="720"/>
        <w:jc w:val="both"/>
        <w:rPr>
          <w:szCs w:val="28"/>
        </w:rPr>
      </w:pPr>
      <w:r>
        <w:rPr>
          <w:szCs w:val="28"/>
        </w:rPr>
        <w:t>Parādu apmērs par visām apkures sezonām uz 2013.</w:t>
      </w:r>
      <w:r w:rsidR="006C13D0">
        <w:rPr>
          <w:szCs w:val="28"/>
        </w:rPr>
        <w:t>gada 1.septembri</w:t>
      </w:r>
      <w:r>
        <w:rPr>
          <w:szCs w:val="28"/>
        </w:rPr>
        <w:t xml:space="preserve"> republikas nozīmes pilsētās kopā sastāda 18,7 miljonus latu (</w:t>
      </w:r>
      <w:proofErr w:type="spellStart"/>
      <w:r>
        <w:rPr>
          <w:szCs w:val="28"/>
        </w:rPr>
        <w:t>t.sk</w:t>
      </w:r>
      <w:proofErr w:type="spellEnd"/>
      <w:r>
        <w:rPr>
          <w:szCs w:val="28"/>
        </w:rPr>
        <w:t xml:space="preserve">. pēdējās apkures sezonas nenomaksātie parādi). Vislielākais vidējais parāda apmērs uz vienu dzīvojamo māju, kā arī vislielākais parāda apmērs uz vienu parādnieku </w:t>
      </w:r>
      <w:r w:rsidR="006C13D0">
        <w:rPr>
          <w:szCs w:val="28"/>
        </w:rPr>
        <w:t xml:space="preserve">bija </w:t>
      </w:r>
      <w:r>
        <w:rPr>
          <w:szCs w:val="28"/>
        </w:rPr>
        <w:t xml:space="preserve">Jūrmalā, bet mazākais vidējais parāda apmērs uz vienu dzīvojamo māju – Liepājā.  Mazākais vidējais parāda apmērs un vienu parādnieku </w:t>
      </w:r>
      <w:r w:rsidR="006C13D0">
        <w:rPr>
          <w:szCs w:val="28"/>
        </w:rPr>
        <w:t xml:space="preserve">fiksēts </w:t>
      </w:r>
      <w:r>
        <w:rPr>
          <w:szCs w:val="28"/>
        </w:rPr>
        <w:t xml:space="preserve">Rīgā. </w:t>
      </w:r>
    </w:p>
    <w:p w:rsidR="008A7573" w:rsidRDefault="008A7573" w:rsidP="008A7573">
      <w:pPr>
        <w:tabs>
          <w:tab w:val="left" w:pos="851"/>
          <w:tab w:val="left" w:pos="8222"/>
        </w:tabs>
        <w:ind w:firstLine="709"/>
        <w:jc w:val="both"/>
        <w:rPr>
          <w:szCs w:val="28"/>
        </w:rPr>
      </w:pPr>
      <w:r>
        <w:rPr>
          <w:szCs w:val="28"/>
        </w:rPr>
        <w:t>Parādu apmērs ir samazinājies Jēkabpilī, Jūrmalā, Liepājā un Jelgavā. Ievērojams samazinājums vērojams Jēkabpilī (</w:t>
      </w:r>
      <w:r>
        <w:rPr>
          <w:szCs w:val="28"/>
        </w:rPr>
        <w:noBreakHyphen/>
        <w:t>59,99%).</w:t>
      </w:r>
    </w:p>
    <w:p w:rsidR="008A7573" w:rsidRDefault="008A7573" w:rsidP="008A7573">
      <w:pPr>
        <w:tabs>
          <w:tab w:val="left" w:pos="851"/>
          <w:tab w:val="left" w:pos="8222"/>
        </w:tabs>
        <w:ind w:firstLine="709"/>
        <w:jc w:val="both"/>
        <w:rPr>
          <w:szCs w:val="28"/>
        </w:rPr>
      </w:pPr>
      <w:r>
        <w:rPr>
          <w:szCs w:val="28"/>
        </w:rPr>
        <w:t>Savukārt Valmierā, Rēzeknē, Rīgā, Daugavpilī un Ventspilī 2012./2013.gada apkures sezonā parādu apmērs par piegādāto siltumenerģiju, salīdzinot ar iepriekšējo apkures sezonu, ir pieaudzis. Vislielākais parāda apmēra pieaugums vērojams Ventspilī. Parāda apmēra pieaugums lielākoties skaidrojams ar siltumenerģijas tarifu pieaugumu (piem</w:t>
      </w:r>
      <w:r w:rsidR="00D43418">
        <w:rPr>
          <w:szCs w:val="28"/>
        </w:rPr>
        <w:t>ēram,</w:t>
      </w:r>
      <w:r>
        <w:rPr>
          <w:szCs w:val="28"/>
        </w:rPr>
        <w:t xml:space="preserve"> vidējais siltumenerģijas tarifs Ventspilī 2012./2013.gada apkures sezonā palielinājās par 13,76%, salīdzinot ar iepriekšējo apkures sezonu). </w:t>
      </w:r>
    </w:p>
    <w:p w:rsidR="008B78B3" w:rsidRDefault="008B78B3" w:rsidP="008A7573">
      <w:pPr>
        <w:tabs>
          <w:tab w:val="left" w:pos="851"/>
          <w:tab w:val="left" w:pos="8222"/>
        </w:tabs>
        <w:ind w:firstLine="709"/>
        <w:jc w:val="both"/>
        <w:rPr>
          <w:szCs w:val="28"/>
        </w:rPr>
      </w:pPr>
    </w:p>
    <w:p w:rsidR="008B78B3" w:rsidRDefault="008B78B3" w:rsidP="008A7573">
      <w:pPr>
        <w:tabs>
          <w:tab w:val="left" w:pos="851"/>
          <w:tab w:val="left" w:pos="8222"/>
        </w:tabs>
        <w:ind w:firstLine="709"/>
        <w:jc w:val="both"/>
        <w:rPr>
          <w:szCs w:val="28"/>
        </w:rPr>
      </w:pPr>
    </w:p>
    <w:p w:rsidR="0063322D" w:rsidRPr="009B0E95" w:rsidRDefault="0063322D" w:rsidP="009B0E95">
      <w:pPr>
        <w:jc w:val="right"/>
        <w:rPr>
          <w:rFonts w:eastAsia="Calibri"/>
          <w:szCs w:val="28"/>
        </w:rPr>
      </w:pPr>
      <w:r w:rsidRPr="009B0E95">
        <w:rPr>
          <w:rFonts w:eastAsia="Calibri"/>
          <w:szCs w:val="28"/>
        </w:rPr>
        <w:lastRenderedPageBreak/>
        <w:t>1</w:t>
      </w:r>
      <w:r w:rsidR="009B0E95">
        <w:rPr>
          <w:rFonts w:eastAsia="Calibri"/>
          <w:szCs w:val="28"/>
        </w:rPr>
        <w:t>1</w:t>
      </w:r>
      <w:r w:rsidRPr="009B0E95">
        <w:rPr>
          <w:rFonts w:eastAsia="Calibri"/>
          <w:szCs w:val="28"/>
        </w:rPr>
        <w:t xml:space="preserve">.tabula </w:t>
      </w:r>
    </w:p>
    <w:p w:rsidR="00D43418" w:rsidRDefault="00F32329" w:rsidP="00FF373C">
      <w:pPr>
        <w:tabs>
          <w:tab w:val="left" w:pos="851"/>
          <w:tab w:val="left" w:pos="8222"/>
        </w:tabs>
        <w:jc w:val="center"/>
        <w:rPr>
          <w:rFonts w:cs="Times New Roman"/>
          <w:b/>
          <w:szCs w:val="28"/>
        </w:rPr>
      </w:pPr>
      <w:r w:rsidRPr="00F32329">
        <w:rPr>
          <w:rFonts w:cs="Times New Roman"/>
          <w:b/>
          <w:szCs w:val="28"/>
        </w:rPr>
        <w:t xml:space="preserve">Siltumenerģijas parādu apmērs </w:t>
      </w:r>
      <w:r w:rsidR="00D43418" w:rsidRPr="00D43418">
        <w:rPr>
          <w:rFonts w:cs="Times New Roman"/>
          <w:b/>
          <w:szCs w:val="28"/>
        </w:rPr>
        <w:t>republikas nozīmes pilsētās</w:t>
      </w:r>
      <w:r w:rsidR="00D43418" w:rsidRPr="00D43418" w:rsidDel="00D43418">
        <w:rPr>
          <w:rFonts w:cs="Times New Roman"/>
          <w:b/>
          <w:szCs w:val="28"/>
        </w:rPr>
        <w:t xml:space="preserve"> </w:t>
      </w:r>
    </w:p>
    <w:p w:rsidR="00F32329" w:rsidRDefault="00F32329" w:rsidP="00FF373C">
      <w:pPr>
        <w:tabs>
          <w:tab w:val="left" w:pos="851"/>
          <w:tab w:val="left" w:pos="8222"/>
        </w:tabs>
        <w:jc w:val="center"/>
        <w:rPr>
          <w:rFonts w:cs="Times New Roman"/>
          <w:b/>
          <w:szCs w:val="28"/>
        </w:rPr>
      </w:pPr>
      <w:r w:rsidRPr="00F32329">
        <w:rPr>
          <w:rFonts w:cs="Times New Roman"/>
          <w:b/>
          <w:szCs w:val="28"/>
        </w:rPr>
        <w:t>(2008./2009.g. apkures sezona  - 2012./2013.g. apkures sezona, LVL)</w:t>
      </w:r>
    </w:p>
    <w:p w:rsidR="00FF373C" w:rsidRPr="00F32329" w:rsidRDefault="00FF373C" w:rsidP="00FF373C">
      <w:pPr>
        <w:tabs>
          <w:tab w:val="left" w:pos="851"/>
          <w:tab w:val="left" w:pos="8222"/>
        </w:tabs>
        <w:jc w:val="center"/>
        <w:rPr>
          <w:rFonts w:cs="Times New Roman"/>
          <w:b/>
          <w:i/>
          <w:szCs w:val="28"/>
        </w:rPr>
      </w:pPr>
    </w:p>
    <w:tbl>
      <w:tblPr>
        <w:tblW w:w="921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1275"/>
        <w:gridCol w:w="1276"/>
        <w:gridCol w:w="1274"/>
        <w:gridCol w:w="1277"/>
        <w:gridCol w:w="1131"/>
        <w:gridCol w:w="1417"/>
      </w:tblGrid>
      <w:tr w:rsidR="008A7573" w:rsidRPr="008A7573" w:rsidTr="00CC4EFF">
        <w:trPr>
          <w:trHeight w:val="1054"/>
        </w:trPr>
        <w:tc>
          <w:tcPr>
            <w:tcW w:w="1560"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8A7573" w:rsidRPr="008A7573" w:rsidRDefault="008A7573">
            <w:pPr>
              <w:jc w:val="center"/>
              <w:rPr>
                <w:rFonts w:cs="Times New Roman"/>
                <w:bCs/>
                <w:sz w:val="24"/>
                <w:szCs w:val="24"/>
              </w:rPr>
            </w:pPr>
            <w:r w:rsidRPr="008A7573">
              <w:rPr>
                <w:rFonts w:cs="Times New Roman"/>
                <w:bCs/>
                <w:sz w:val="24"/>
                <w:szCs w:val="24"/>
              </w:rPr>
              <w:t>Pašvaldība</w:t>
            </w:r>
          </w:p>
        </w:tc>
        <w:tc>
          <w:tcPr>
            <w:tcW w:w="1275"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F32329" w:rsidRDefault="008A7573">
            <w:pPr>
              <w:jc w:val="center"/>
              <w:rPr>
                <w:rFonts w:cs="Times New Roman"/>
                <w:b/>
                <w:bCs/>
                <w:sz w:val="24"/>
                <w:szCs w:val="24"/>
              </w:rPr>
            </w:pPr>
            <w:r w:rsidRPr="008A7573">
              <w:rPr>
                <w:rFonts w:cs="Times New Roman"/>
                <w:b/>
                <w:bCs/>
                <w:sz w:val="24"/>
                <w:szCs w:val="24"/>
              </w:rPr>
              <w:t>01.10.</w:t>
            </w:r>
          </w:p>
          <w:p w:rsidR="00F32329" w:rsidRDefault="008A7573">
            <w:pPr>
              <w:jc w:val="center"/>
              <w:rPr>
                <w:rFonts w:cs="Times New Roman"/>
                <w:b/>
                <w:bCs/>
                <w:sz w:val="24"/>
                <w:szCs w:val="24"/>
              </w:rPr>
            </w:pPr>
            <w:r w:rsidRPr="008A7573">
              <w:rPr>
                <w:rFonts w:cs="Times New Roman"/>
                <w:b/>
                <w:bCs/>
                <w:sz w:val="24"/>
                <w:szCs w:val="24"/>
              </w:rPr>
              <w:t>2008-01.10.</w:t>
            </w:r>
          </w:p>
          <w:p w:rsidR="008A7573" w:rsidRPr="008A7573" w:rsidRDefault="008A7573">
            <w:pPr>
              <w:jc w:val="center"/>
              <w:rPr>
                <w:rFonts w:cs="Times New Roman"/>
                <w:b/>
                <w:bCs/>
                <w:sz w:val="24"/>
                <w:szCs w:val="24"/>
              </w:rPr>
            </w:pPr>
            <w:r w:rsidRPr="008A7573">
              <w:rPr>
                <w:rFonts w:cs="Times New Roman"/>
                <w:b/>
                <w:bCs/>
                <w:sz w:val="24"/>
                <w:szCs w:val="24"/>
              </w:rPr>
              <w:t>2009</w:t>
            </w:r>
          </w:p>
        </w:tc>
        <w:tc>
          <w:tcPr>
            <w:tcW w:w="1276"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F32329" w:rsidRDefault="008A7573">
            <w:pPr>
              <w:jc w:val="center"/>
              <w:rPr>
                <w:rFonts w:cs="Times New Roman"/>
                <w:b/>
                <w:bCs/>
                <w:sz w:val="24"/>
                <w:szCs w:val="24"/>
              </w:rPr>
            </w:pPr>
            <w:r w:rsidRPr="008A7573">
              <w:rPr>
                <w:rFonts w:cs="Times New Roman"/>
                <w:b/>
                <w:bCs/>
                <w:sz w:val="24"/>
                <w:szCs w:val="24"/>
              </w:rPr>
              <w:t>01.10.</w:t>
            </w:r>
          </w:p>
          <w:p w:rsidR="00F32329" w:rsidRDefault="008A7573">
            <w:pPr>
              <w:jc w:val="center"/>
              <w:rPr>
                <w:rFonts w:cs="Times New Roman"/>
                <w:b/>
                <w:bCs/>
                <w:sz w:val="24"/>
                <w:szCs w:val="24"/>
              </w:rPr>
            </w:pPr>
            <w:r w:rsidRPr="008A7573">
              <w:rPr>
                <w:rFonts w:cs="Times New Roman"/>
                <w:b/>
                <w:bCs/>
                <w:sz w:val="24"/>
                <w:szCs w:val="24"/>
              </w:rPr>
              <w:t>2009-01.10.</w:t>
            </w:r>
          </w:p>
          <w:p w:rsidR="008A7573" w:rsidRPr="008A7573" w:rsidRDefault="008A7573">
            <w:pPr>
              <w:jc w:val="center"/>
              <w:rPr>
                <w:rFonts w:cs="Times New Roman"/>
                <w:b/>
                <w:bCs/>
                <w:sz w:val="24"/>
                <w:szCs w:val="24"/>
              </w:rPr>
            </w:pPr>
            <w:r w:rsidRPr="008A7573">
              <w:rPr>
                <w:rFonts w:cs="Times New Roman"/>
                <w:b/>
                <w:bCs/>
                <w:sz w:val="24"/>
                <w:szCs w:val="24"/>
              </w:rPr>
              <w:t>2010</w:t>
            </w:r>
          </w:p>
        </w:tc>
        <w:tc>
          <w:tcPr>
            <w:tcW w:w="1274"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F32329" w:rsidRDefault="008A7573">
            <w:pPr>
              <w:jc w:val="center"/>
              <w:rPr>
                <w:rFonts w:cs="Times New Roman"/>
                <w:b/>
                <w:bCs/>
                <w:sz w:val="24"/>
                <w:szCs w:val="24"/>
              </w:rPr>
            </w:pPr>
            <w:r w:rsidRPr="008A7573">
              <w:rPr>
                <w:rFonts w:cs="Times New Roman"/>
                <w:b/>
                <w:bCs/>
                <w:sz w:val="24"/>
                <w:szCs w:val="24"/>
              </w:rPr>
              <w:t>01.10.</w:t>
            </w:r>
          </w:p>
          <w:p w:rsidR="00F32329" w:rsidRDefault="008A7573">
            <w:pPr>
              <w:jc w:val="center"/>
              <w:rPr>
                <w:rFonts w:cs="Times New Roman"/>
                <w:b/>
                <w:bCs/>
                <w:sz w:val="24"/>
                <w:szCs w:val="24"/>
              </w:rPr>
            </w:pPr>
            <w:r w:rsidRPr="008A7573">
              <w:rPr>
                <w:rFonts w:cs="Times New Roman"/>
                <w:b/>
                <w:bCs/>
                <w:sz w:val="24"/>
                <w:szCs w:val="24"/>
              </w:rPr>
              <w:t>2010- 01.09.</w:t>
            </w:r>
          </w:p>
          <w:p w:rsidR="008A7573" w:rsidRPr="008A7573" w:rsidRDefault="008A7573">
            <w:pPr>
              <w:jc w:val="center"/>
              <w:rPr>
                <w:rFonts w:cs="Times New Roman"/>
                <w:b/>
                <w:bCs/>
                <w:sz w:val="24"/>
                <w:szCs w:val="24"/>
              </w:rPr>
            </w:pPr>
            <w:r w:rsidRPr="008A7573">
              <w:rPr>
                <w:rFonts w:cs="Times New Roman"/>
                <w:b/>
                <w:bCs/>
                <w:sz w:val="24"/>
                <w:szCs w:val="24"/>
              </w:rPr>
              <w:t>2011</w:t>
            </w:r>
          </w:p>
        </w:tc>
        <w:tc>
          <w:tcPr>
            <w:tcW w:w="1277"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F32329" w:rsidRDefault="008A7573">
            <w:pPr>
              <w:jc w:val="center"/>
              <w:rPr>
                <w:rFonts w:cs="Times New Roman"/>
                <w:b/>
                <w:bCs/>
                <w:sz w:val="24"/>
                <w:szCs w:val="24"/>
              </w:rPr>
            </w:pPr>
            <w:r w:rsidRPr="008A7573">
              <w:rPr>
                <w:rFonts w:cs="Times New Roman"/>
                <w:b/>
                <w:bCs/>
                <w:sz w:val="24"/>
                <w:szCs w:val="24"/>
              </w:rPr>
              <w:t>01.10.</w:t>
            </w:r>
          </w:p>
          <w:p w:rsidR="00F32329" w:rsidRDefault="008A7573">
            <w:pPr>
              <w:jc w:val="center"/>
              <w:rPr>
                <w:rFonts w:cs="Times New Roman"/>
                <w:b/>
                <w:bCs/>
                <w:sz w:val="24"/>
                <w:szCs w:val="24"/>
              </w:rPr>
            </w:pPr>
            <w:r w:rsidRPr="008A7573">
              <w:rPr>
                <w:rFonts w:cs="Times New Roman"/>
                <w:b/>
                <w:bCs/>
                <w:sz w:val="24"/>
                <w:szCs w:val="24"/>
              </w:rPr>
              <w:t>2011- 01.09.</w:t>
            </w:r>
          </w:p>
          <w:p w:rsidR="008A7573" w:rsidRPr="008A7573" w:rsidRDefault="008A7573">
            <w:pPr>
              <w:jc w:val="center"/>
              <w:rPr>
                <w:rFonts w:cs="Times New Roman"/>
                <w:b/>
                <w:bCs/>
                <w:sz w:val="24"/>
                <w:szCs w:val="24"/>
              </w:rPr>
            </w:pPr>
            <w:r w:rsidRPr="008A7573">
              <w:rPr>
                <w:rFonts w:cs="Times New Roman"/>
                <w:b/>
                <w:bCs/>
                <w:sz w:val="24"/>
                <w:szCs w:val="24"/>
              </w:rPr>
              <w:t>2012</w:t>
            </w:r>
          </w:p>
        </w:tc>
        <w:tc>
          <w:tcPr>
            <w:tcW w:w="1131"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F32329" w:rsidRDefault="008A7573">
            <w:pPr>
              <w:jc w:val="center"/>
              <w:rPr>
                <w:rFonts w:cs="Times New Roman"/>
                <w:b/>
                <w:bCs/>
                <w:sz w:val="24"/>
                <w:szCs w:val="24"/>
              </w:rPr>
            </w:pPr>
            <w:r w:rsidRPr="008A7573">
              <w:rPr>
                <w:rFonts w:cs="Times New Roman"/>
                <w:b/>
                <w:bCs/>
                <w:sz w:val="24"/>
                <w:szCs w:val="24"/>
              </w:rPr>
              <w:t>01.10.</w:t>
            </w:r>
          </w:p>
          <w:p w:rsidR="00F32329" w:rsidRDefault="008A7573">
            <w:pPr>
              <w:jc w:val="center"/>
              <w:rPr>
                <w:rFonts w:cs="Times New Roman"/>
                <w:b/>
                <w:bCs/>
                <w:sz w:val="24"/>
                <w:szCs w:val="24"/>
              </w:rPr>
            </w:pPr>
            <w:r w:rsidRPr="008A7573">
              <w:rPr>
                <w:rFonts w:cs="Times New Roman"/>
                <w:b/>
                <w:bCs/>
                <w:sz w:val="24"/>
                <w:szCs w:val="24"/>
              </w:rPr>
              <w:t>2012- 01.09.</w:t>
            </w:r>
          </w:p>
          <w:p w:rsidR="008A7573" w:rsidRPr="008A7573" w:rsidRDefault="008A7573">
            <w:pPr>
              <w:jc w:val="center"/>
              <w:rPr>
                <w:rFonts w:cs="Times New Roman"/>
                <w:b/>
                <w:bCs/>
                <w:sz w:val="24"/>
                <w:szCs w:val="24"/>
              </w:rPr>
            </w:pPr>
            <w:r w:rsidRPr="008A7573">
              <w:rPr>
                <w:rFonts w:cs="Times New Roman"/>
                <w:b/>
                <w:bCs/>
                <w:sz w:val="24"/>
                <w:szCs w:val="24"/>
              </w:rPr>
              <w:t>2013</w:t>
            </w:r>
          </w:p>
        </w:tc>
        <w:tc>
          <w:tcPr>
            <w:tcW w:w="1417"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8A7573" w:rsidRPr="008A7573" w:rsidRDefault="008A7573">
            <w:pPr>
              <w:jc w:val="center"/>
              <w:rPr>
                <w:rFonts w:cs="Times New Roman"/>
                <w:color w:val="000000"/>
                <w:sz w:val="24"/>
                <w:szCs w:val="24"/>
              </w:rPr>
            </w:pPr>
            <w:r w:rsidRPr="008A7573">
              <w:rPr>
                <w:rFonts w:cs="Times New Roman"/>
                <w:color w:val="000000"/>
                <w:sz w:val="24"/>
                <w:szCs w:val="24"/>
              </w:rPr>
              <w:t>Izmaiņas 2013. gadā attiecībā pret 2012.gadu (%)</w:t>
            </w:r>
          </w:p>
        </w:tc>
      </w:tr>
      <w:tr w:rsidR="008A7573" w:rsidRPr="008A7573" w:rsidTr="00CC4EFF">
        <w:tc>
          <w:tcPr>
            <w:tcW w:w="1560"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8A7573" w:rsidRPr="008A7573" w:rsidRDefault="008A7573">
            <w:pPr>
              <w:jc w:val="center"/>
              <w:rPr>
                <w:rFonts w:cs="Times New Roman"/>
                <w:b/>
                <w:color w:val="000000"/>
                <w:sz w:val="24"/>
                <w:szCs w:val="24"/>
              </w:rPr>
            </w:pPr>
            <w:r w:rsidRPr="008A7573">
              <w:rPr>
                <w:rFonts w:cs="Times New Roman"/>
                <w:b/>
                <w:color w:val="000000"/>
                <w:sz w:val="24"/>
                <w:szCs w:val="24"/>
              </w:rPr>
              <w:t xml:space="preserve">Jēkabpils </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8A7573" w:rsidRPr="008A7573" w:rsidRDefault="008A7573">
            <w:pPr>
              <w:jc w:val="center"/>
              <w:rPr>
                <w:rFonts w:cs="Times New Roman"/>
                <w:sz w:val="24"/>
                <w:szCs w:val="24"/>
              </w:rPr>
            </w:pPr>
            <w:r w:rsidRPr="008A7573">
              <w:rPr>
                <w:rFonts w:cs="Times New Roman"/>
                <w:sz w:val="24"/>
                <w:szCs w:val="24"/>
              </w:rPr>
              <w:t>313 759</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8A7573" w:rsidRPr="008A7573" w:rsidRDefault="008A7573">
            <w:pPr>
              <w:jc w:val="center"/>
              <w:rPr>
                <w:rFonts w:cs="Times New Roman"/>
                <w:sz w:val="24"/>
                <w:szCs w:val="24"/>
              </w:rPr>
            </w:pPr>
            <w:r w:rsidRPr="008A7573">
              <w:rPr>
                <w:rFonts w:cs="Times New Roman"/>
                <w:sz w:val="24"/>
                <w:szCs w:val="24"/>
              </w:rPr>
              <w:t>342 098</w:t>
            </w:r>
          </w:p>
        </w:tc>
        <w:tc>
          <w:tcPr>
            <w:tcW w:w="1274" w:type="dxa"/>
            <w:tcBorders>
              <w:top w:val="single" w:sz="4" w:space="0" w:color="000000"/>
              <w:left w:val="single" w:sz="4" w:space="0" w:color="000000"/>
              <w:bottom w:val="single" w:sz="4" w:space="0" w:color="000000"/>
              <w:right w:val="single" w:sz="4" w:space="0" w:color="000000"/>
            </w:tcBorders>
            <w:vAlign w:val="center"/>
            <w:hideMark/>
          </w:tcPr>
          <w:p w:rsidR="008A7573" w:rsidRPr="008A7573" w:rsidRDefault="008A7573">
            <w:pPr>
              <w:jc w:val="center"/>
              <w:rPr>
                <w:rFonts w:cs="Times New Roman"/>
                <w:sz w:val="24"/>
                <w:szCs w:val="24"/>
              </w:rPr>
            </w:pPr>
            <w:r w:rsidRPr="008A7573">
              <w:rPr>
                <w:rFonts w:cs="Times New Roman"/>
                <w:sz w:val="24"/>
                <w:szCs w:val="24"/>
              </w:rPr>
              <w:t>457 151</w:t>
            </w:r>
          </w:p>
        </w:tc>
        <w:tc>
          <w:tcPr>
            <w:tcW w:w="1277" w:type="dxa"/>
            <w:tcBorders>
              <w:top w:val="single" w:sz="4" w:space="0" w:color="000000"/>
              <w:left w:val="single" w:sz="4" w:space="0" w:color="000000"/>
              <w:bottom w:val="single" w:sz="4" w:space="0" w:color="000000"/>
              <w:right w:val="single" w:sz="4" w:space="0" w:color="000000"/>
            </w:tcBorders>
            <w:vAlign w:val="center"/>
            <w:hideMark/>
          </w:tcPr>
          <w:p w:rsidR="008A7573" w:rsidRPr="008A7573" w:rsidRDefault="008A7573">
            <w:pPr>
              <w:jc w:val="center"/>
              <w:rPr>
                <w:rFonts w:cs="Times New Roman"/>
                <w:sz w:val="24"/>
                <w:szCs w:val="24"/>
              </w:rPr>
            </w:pPr>
            <w:r w:rsidRPr="008A7573">
              <w:rPr>
                <w:rFonts w:cs="Times New Roman"/>
                <w:sz w:val="24"/>
                <w:szCs w:val="24"/>
              </w:rPr>
              <w:t>464 080</w:t>
            </w:r>
          </w:p>
        </w:tc>
        <w:tc>
          <w:tcPr>
            <w:tcW w:w="1131" w:type="dxa"/>
            <w:tcBorders>
              <w:top w:val="single" w:sz="4" w:space="0" w:color="000000"/>
              <w:left w:val="single" w:sz="4" w:space="0" w:color="000000"/>
              <w:bottom w:val="single" w:sz="4" w:space="0" w:color="000000"/>
              <w:right w:val="single" w:sz="4" w:space="0" w:color="000000"/>
            </w:tcBorders>
            <w:vAlign w:val="center"/>
            <w:hideMark/>
          </w:tcPr>
          <w:p w:rsidR="008A7573" w:rsidRPr="008A7573" w:rsidRDefault="008A7573">
            <w:pPr>
              <w:jc w:val="center"/>
              <w:rPr>
                <w:rFonts w:cs="Times New Roman"/>
                <w:b/>
                <w:sz w:val="24"/>
                <w:szCs w:val="24"/>
              </w:rPr>
            </w:pPr>
            <w:r w:rsidRPr="008A7573">
              <w:rPr>
                <w:rFonts w:cs="Times New Roman"/>
                <w:b/>
                <w:sz w:val="24"/>
                <w:szCs w:val="24"/>
              </w:rPr>
              <w:t>185 670</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8A7573" w:rsidRPr="008A7573" w:rsidRDefault="008A7573">
            <w:pPr>
              <w:jc w:val="center"/>
              <w:rPr>
                <w:rFonts w:cs="Times New Roman"/>
                <w:color w:val="000000"/>
                <w:sz w:val="24"/>
                <w:szCs w:val="24"/>
              </w:rPr>
            </w:pPr>
            <w:r w:rsidRPr="008A7573">
              <w:rPr>
                <w:rFonts w:cs="Times New Roman"/>
                <w:color w:val="000000"/>
                <w:sz w:val="24"/>
                <w:szCs w:val="24"/>
              </w:rPr>
              <w:t xml:space="preserve">-59.99  </w:t>
            </w:r>
            <w:r w:rsidRPr="008A7573">
              <w:rPr>
                <w:rFonts w:cs="Times New Roman"/>
                <w:b/>
                <w:color w:val="000000"/>
                <w:sz w:val="24"/>
                <w:szCs w:val="24"/>
              </w:rPr>
              <w:sym w:font="Symbol" w:char="F0AF"/>
            </w:r>
          </w:p>
        </w:tc>
      </w:tr>
      <w:tr w:rsidR="008A7573" w:rsidRPr="008A7573" w:rsidTr="00CC4EFF">
        <w:tc>
          <w:tcPr>
            <w:tcW w:w="1560"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8A7573" w:rsidRPr="008A7573" w:rsidRDefault="008A7573">
            <w:pPr>
              <w:jc w:val="center"/>
              <w:rPr>
                <w:rFonts w:cs="Times New Roman"/>
                <w:b/>
                <w:color w:val="000000"/>
                <w:sz w:val="24"/>
                <w:szCs w:val="24"/>
              </w:rPr>
            </w:pPr>
            <w:r w:rsidRPr="008A7573">
              <w:rPr>
                <w:rFonts w:cs="Times New Roman"/>
                <w:b/>
                <w:color w:val="000000"/>
                <w:sz w:val="24"/>
                <w:szCs w:val="24"/>
              </w:rPr>
              <w:t xml:space="preserve">Valmiera </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8A7573" w:rsidRPr="008A7573" w:rsidRDefault="008A7573">
            <w:pPr>
              <w:jc w:val="center"/>
              <w:rPr>
                <w:rFonts w:cs="Times New Roman"/>
                <w:sz w:val="24"/>
                <w:szCs w:val="24"/>
              </w:rPr>
            </w:pPr>
            <w:r w:rsidRPr="008A7573">
              <w:rPr>
                <w:rFonts w:cs="Times New Roman"/>
                <w:sz w:val="24"/>
                <w:szCs w:val="24"/>
              </w:rPr>
              <w:t>575 055</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8A7573" w:rsidRPr="008A7573" w:rsidRDefault="008A7573">
            <w:pPr>
              <w:jc w:val="center"/>
              <w:rPr>
                <w:rFonts w:cs="Times New Roman"/>
                <w:sz w:val="24"/>
                <w:szCs w:val="24"/>
              </w:rPr>
            </w:pPr>
            <w:r w:rsidRPr="008A7573">
              <w:rPr>
                <w:rFonts w:cs="Times New Roman"/>
                <w:sz w:val="24"/>
                <w:szCs w:val="24"/>
              </w:rPr>
              <w:t>581 049</w:t>
            </w:r>
          </w:p>
        </w:tc>
        <w:tc>
          <w:tcPr>
            <w:tcW w:w="1274" w:type="dxa"/>
            <w:tcBorders>
              <w:top w:val="single" w:sz="4" w:space="0" w:color="000000"/>
              <w:left w:val="single" w:sz="4" w:space="0" w:color="000000"/>
              <w:bottom w:val="single" w:sz="4" w:space="0" w:color="000000"/>
              <w:right w:val="single" w:sz="4" w:space="0" w:color="000000"/>
            </w:tcBorders>
            <w:vAlign w:val="center"/>
            <w:hideMark/>
          </w:tcPr>
          <w:p w:rsidR="008A7573" w:rsidRPr="008A7573" w:rsidRDefault="008A7573">
            <w:pPr>
              <w:jc w:val="center"/>
              <w:rPr>
                <w:rFonts w:cs="Times New Roman"/>
                <w:sz w:val="24"/>
                <w:szCs w:val="24"/>
              </w:rPr>
            </w:pPr>
            <w:r w:rsidRPr="008A7573">
              <w:rPr>
                <w:rFonts w:cs="Times New Roman"/>
                <w:sz w:val="24"/>
                <w:szCs w:val="24"/>
              </w:rPr>
              <w:t>467 302</w:t>
            </w:r>
          </w:p>
        </w:tc>
        <w:tc>
          <w:tcPr>
            <w:tcW w:w="1277" w:type="dxa"/>
            <w:tcBorders>
              <w:top w:val="single" w:sz="4" w:space="0" w:color="000000"/>
              <w:left w:val="single" w:sz="4" w:space="0" w:color="000000"/>
              <w:bottom w:val="single" w:sz="4" w:space="0" w:color="000000"/>
              <w:right w:val="single" w:sz="4" w:space="0" w:color="000000"/>
            </w:tcBorders>
            <w:vAlign w:val="center"/>
            <w:hideMark/>
          </w:tcPr>
          <w:p w:rsidR="008A7573" w:rsidRPr="008A7573" w:rsidRDefault="008A7573">
            <w:pPr>
              <w:jc w:val="center"/>
              <w:rPr>
                <w:rFonts w:cs="Times New Roman"/>
                <w:sz w:val="24"/>
                <w:szCs w:val="24"/>
              </w:rPr>
            </w:pPr>
            <w:r w:rsidRPr="008A7573">
              <w:rPr>
                <w:rFonts w:cs="Times New Roman"/>
                <w:sz w:val="24"/>
                <w:szCs w:val="24"/>
              </w:rPr>
              <w:t>229 720</w:t>
            </w:r>
          </w:p>
        </w:tc>
        <w:tc>
          <w:tcPr>
            <w:tcW w:w="1131" w:type="dxa"/>
            <w:tcBorders>
              <w:top w:val="single" w:sz="4" w:space="0" w:color="000000"/>
              <w:left w:val="single" w:sz="4" w:space="0" w:color="000000"/>
              <w:bottom w:val="single" w:sz="4" w:space="0" w:color="000000"/>
              <w:right w:val="single" w:sz="4" w:space="0" w:color="000000"/>
            </w:tcBorders>
            <w:vAlign w:val="center"/>
            <w:hideMark/>
          </w:tcPr>
          <w:p w:rsidR="008A7573" w:rsidRPr="008A7573" w:rsidRDefault="008A7573">
            <w:pPr>
              <w:jc w:val="center"/>
              <w:rPr>
                <w:rFonts w:cs="Times New Roman"/>
                <w:b/>
                <w:sz w:val="24"/>
                <w:szCs w:val="24"/>
              </w:rPr>
            </w:pPr>
            <w:r w:rsidRPr="008A7573">
              <w:rPr>
                <w:rFonts w:cs="Times New Roman"/>
                <w:b/>
                <w:sz w:val="24"/>
                <w:szCs w:val="24"/>
              </w:rPr>
              <w:t>239 299</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8A7573" w:rsidRPr="008A7573" w:rsidRDefault="008A7573">
            <w:pPr>
              <w:jc w:val="center"/>
              <w:rPr>
                <w:rFonts w:cs="Times New Roman"/>
                <w:color w:val="000000"/>
                <w:sz w:val="24"/>
                <w:szCs w:val="24"/>
              </w:rPr>
            </w:pPr>
            <w:r w:rsidRPr="008A7573">
              <w:rPr>
                <w:rFonts w:cs="Times New Roman"/>
                <w:color w:val="000000"/>
                <w:sz w:val="24"/>
                <w:szCs w:val="24"/>
              </w:rPr>
              <w:t xml:space="preserve">4.17  </w:t>
            </w:r>
            <w:r w:rsidRPr="008A7573">
              <w:rPr>
                <w:rFonts w:cs="Times New Roman"/>
                <w:b/>
                <w:color w:val="000000"/>
                <w:sz w:val="24"/>
                <w:szCs w:val="24"/>
              </w:rPr>
              <w:sym w:font="Symbol" w:char="F0AD"/>
            </w:r>
          </w:p>
        </w:tc>
      </w:tr>
      <w:tr w:rsidR="008A7573" w:rsidRPr="008A7573" w:rsidTr="00CC4EFF">
        <w:tc>
          <w:tcPr>
            <w:tcW w:w="1560"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8A7573" w:rsidRPr="008A7573" w:rsidRDefault="008A7573">
            <w:pPr>
              <w:jc w:val="center"/>
              <w:rPr>
                <w:rFonts w:cs="Times New Roman"/>
                <w:b/>
                <w:color w:val="000000"/>
                <w:sz w:val="24"/>
                <w:szCs w:val="24"/>
              </w:rPr>
            </w:pPr>
            <w:r w:rsidRPr="008A7573">
              <w:rPr>
                <w:rFonts w:cs="Times New Roman"/>
                <w:b/>
                <w:color w:val="000000"/>
                <w:sz w:val="24"/>
                <w:szCs w:val="24"/>
              </w:rPr>
              <w:t xml:space="preserve">Jūrmala </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8A7573" w:rsidRPr="008A7573" w:rsidRDefault="008A7573">
            <w:pPr>
              <w:jc w:val="center"/>
              <w:rPr>
                <w:rFonts w:cs="Times New Roman"/>
                <w:sz w:val="24"/>
                <w:szCs w:val="24"/>
              </w:rPr>
            </w:pPr>
            <w:r w:rsidRPr="008A7573">
              <w:rPr>
                <w:rFonts w:cs="Times New Roman"/>
                <w:sz w:val="24"/>
                <w:szCs w:val="24"/>
              </w:rPr>
              <w:t>897 132</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8A7573" w:rsidRPr="008A7573" w:rsidRDefault="008A7573">
            <w:pPr>
              <w:jc w:val="center"/>
              <w:rPr>
                <w:rFonts w:cs="Times New Roman"/>
                <w:sz w:val="24"/>
                <w:szCs w:val="24"/>
              </w:rPr>
            </w:pPr>
            <w:r w:rsidRPr="008A7573">
              <w:rPr>
                <w:rFonts w:cs="Times New Roman"/>
                <w:sz w:val="24"/>
                <w:szCs w:val="24"/>
              </w:rPr>
              <w:t>472 675</w:t>
            </w:r>
          </w:p>
        </w:tc>
        <w:tc>
          <w:tcPr>
            <w:tcW w:w="1274" w:type="dxa"/>
            <w:tcBorders>
              <w:top w:val="single" w:sz="4" w:space="0" w:color="000000"/>
              <w:left w:val="single" w:sz="4" w:space="0" w:color="000000"/>
              <w:bottom w:val="single" w:sz="4" w:space="0" w:color="000000"/>
              <w:right w:val="single" w:sz="4" w:space="0" w:color="000000"/>
            </w:tcBorders>
            <w:vAlign w:val="center"/>
            <w:hideMark/>
          </w:tcPr>
          <w:p w:rsidR="008A7573" w:rsidRPr="008A7573" w:rsidRDefault="008A7573">
            <w:pPr>
              <w:jc w:val="center"/>
              <w:rPr>
                <w:rFonts w:cs="Times New Roman"/>
                <w:sz w:val="24"/>
                <w:szCs w:val="24"/>
              </w:rPr>
            </w:pPr>
            <w:r w:rsidRPr="008A7573">
              <w:rPr>
                <w:rFonts w:cs="Times New Roman"/>
                <w:sz w:val="24"/>
                <w:szCs w:val="24"/>
              </w:rPr>
              <w:t>644 890</w:t>
            </w:r>
          </w:p>
        </w:tc>
        <w:tc>
          <w:tcPr>
            <w:tcW w:w="1277" w:type="dxa"/>
            <w:tcBorders>
              <w:top w:val="single" w:sz="4" w:space="0" w:color="000000"/>
              <w:left w:val="single" w:sz="4" w:space="0" w:color="000000"/>
              <w:bottom w:val="single" w:sz="4" w:space="0" w:color="000000"/>
              <w:right w:val="single" w:sz="4" w:space="0" w:color="000000"/>
            </w:tcBorders>
            <w:vAlign w:val="center"/>
            <w:hideMark/>
          </w:tcPr>
          <w:p w:rsidR="008A7573" w:rsidRPr="008A7573" w:rsidRDefault="008A7573">
            <w:pPr>
              <w:jc w:val="center"/>
              <w:rPr>
                <w:rFonts w:cs="Times New Roman"/>
                <w:sz w:val="24"/>
                <w:szCs w:val="24"/>
              </w:rPr>
            </w:pPr>
            <w:r w:rsidRPr="008A7573">
              <w:rPr>
                <w:rFonts w:cs="Times New Roman"/>
                <w:sz w:val="24"/>
                <w:szCs w:val="24"/>
              </w:rPr>
              <w:t>871 318</w:t>
            </w:r>
          </w:p>
        </w:tc>
        <w:tc>
          <w:tcPr>
            <w:tcW w:w="1131" w:type="dxa"/>
            <w:tcBorders>
              <w:top w:val="single" w:sz="4" w:space="0" w:color="000000"/>
              <w:left w:val="single" w:sz="4" w:space="0" w:color="000000"/>
              <w:bottom w:val="single" w:sz="4" w:space="0" w:color="000000"/>
              <w:right w:val="single" w:sz="4" w:space="0" w:color="000000"/>
            </w:tcBorders>
            <w:vAlign w:val="center"/>
            <w:hideMark/>
          </w:tcPr>
          <w:p w:rsidR="008A7573" w:rsidRPr="008A7573" w:rsidRDefault="008A7573">
            <w:pPr>
              <w:jc w:val="center"/>
              <w:rPr>
                <w:rFonts w:cs="Times New Roman"/>
                <w:b/>
                <w:sz w:val="24"/>
                <w:szCs w:val="24"/>
              </w:rPr>
            </w:pPr>
            <w:r w:rsidRPr="008A7573">
              <w:rPr>
                <w:rFonts w:cs="Times New Roman"/>
                <w:b/>
                <w:sz w:val="24"/>
                <w:szCs w:val="24"/>
              </w:rPr>
              <w:t>489 325</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8A7573" w:rsidRPr="008A7573" w:rsidRDefault="008A7573">
            <w:pPr>
              <w:jc w:val="center"/>
              <w:rPr>
                <w:rFonts w:cs="Times New Roman"/>
                <w:color w:val="000000"/>
                <w:sz w:val="24"/>
                <w:szCs w:val="24"/>
              </w:rPr>
            </w:pPr>
            <w:r w:rsidRPr="008A7573">
              <w:rPr>
                <w:rFonts w:cs="Times New Roman"/>
                <w:color w:val="000000"/>
                <w:sz w:val="24"/>
                <w:szCs w:val="24"/>
              </w:rPr>
              <w:t xml:space="preserve">-43.84   </w:t>
            </w:r>
            <w:r w:rsidRPr="008A7573">
              <w:rPr>
                <w:rFonts w:cs="Times New Roman"/>
                <w:b/>
                <w:color w:val="000000"/>
                <w:sz w:val="24"/>
                <w:szCs w:val="24"/>
              </w:rPr>
              <w:sym w:font="Symbol" w:char="F0AF"/>
            </w:r>
          </w:p>
        </w:tc>
      </w:tr>
      <w:tr w:rsidR="008A7573" w:rsidRPr="008A7573" w:rsidTr="00CC4EFF">
        <w:tc>
          <w:tcPr>
            <w:tcW w:w="1560"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8A7573" w:rsidRPr="008A7573" w:rsidRDefault="008A7573">
            <w:pPr>
              <w:jc w:val="center"/>
              <w:rPr>
                <w:rFonts w:cs="Times New Roman"/>
                <w:b/>
                <w:color w:val="000000"/>
                <w:sz w:val="24"/>
                <w:szCs w:val="24"/>
              </w:rPr>
            </w:pPr>
            <w:r w:rsidRPr="008A7573">
              <w:rPr>
                <w:rFonts w:cs="Times New Roman"/>
                <w:b/>
                <w:color w:val="000000"/>
                <w:sz w:val="24"/>
                <w:szCs w:val="24"/>
              </w:rPr>
              <w:t xml:space="preserve">Rēzekne </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8A7573" w:rsidRPr="008A7573" w:rsidRDefault="008A7573">
            <w:pPr>
              <w:jc w:val="center"/>
              <w:rPr>
                <w:rFonts w:cs="Times New Roman"/>
                <w:sz w:val="24"/>
                <w:szCs w:val="24"/>
              </w:rPr>
            </w:pPr>
            <w:r w:rsidRPr="008A7573">
              <w:rPr>
                <w:rFonts w:cs="Times New Roman"/>
                <w:sz w:val="24"/>
                <w:szCs w:val="24"/>
              </w:rPr>
              <w:t>577 770</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8A7573" w:rsidRPr="008A7573" w:rsidRDefault="008A7573">
            <w:pPr>
              <w:jc w:val="center"/>
              <w:rPr>
                <w:rFonts w:cs="Times New Roman"/>
                <w:sz w:val="24"/>
                <w:szCs w:val="24"/>
              </w:rPr>
            </w:pPr>
            <w:r w:rsidRPr="008A7573">
              <w:rPr>
                <w:rFonts w:cs="Times New Roman"/>
                <w:sz w:val="24"/>
                <w:szCs w:val="24"/>
              </w:rPr>
              <w:t>448 109</w:t>
            </w:r>
          </w:p>
        </w:tc>
        <w:tc>
          <w:tcPr>
            <w:tcW w:w="1274" w:type="dxa"/>
            <w:tcBorders>
              <w:top w:val="single" w:sz="4" w:space="0" w:color="000000"/>
              <w:left w:val="single" w:sz="4" w:space="0" w:color="000000"/>
              <w:bottom w:val="single" w:sz="4" w:space="0" w:color="000000"/>
              <w:right w:val="single" w:sz="4" w:space="0" w:color="000000"/>
            </w:tcBorders>
            <w:vAlign w:val="center"/>
            <w:hideMark/>
          </w:tcPr>
          <w:p w:rsidR="008A7573" w:rsidRPr="008A7573" w:rsidRDefault="008A7573">
            <w:pPr>
              <w:jc w:val="center"/>
              <w:rPr>
                <w:rFonts w:cs="Times New Roman"/>
                <w:sz w:val="24"/>
                <w:szCs w:val="24"/>
              </w:rPr>
            </w:pPr>
            <w:r w:rsidRPr="008A7573">
              <w:rPr>
                <w:rFonts w:cs="Times New Roman"/>
                <w:sz w:val="24"/>
                <w:szCs w:val="24"/>
              </w:rPr>
              <w:t>135 885</w:t>
            </w:r>
          </w:p>
        </w:tc>
        <w:tc>
          <w:tcPr>
            <w:tcW w:w="1277" w:type="dxa"/>
            <w:tcBorders>
              <w:top w:val="single" w:sz="4" w:space="0" w:color="000000"/>
              <w:left w:val="single" w:sz="4" w:space="0" w:color="000000"/>
              <w:bottom w:val="single" w:sz="4" w:space="0" w:color="000000"/>
              <w:right w:val="single" w:sz="4" w:space="0" w:color="000000"/>
            </w:tcBorders>
            <w:vAlign w:val="center"/>
            <w:hideMark/>
          </w:tcPr>
          <w:p w:rsidR="008A7573" w:rsidRPr="008A7573" w:rsidRDefault="008A7573">
            <w:pPr>
              <w:jc w:val="center"/>
              <w:rPr>
                <w:rFonts w:cs="Times New Roman"/>
                <w:sz w:val="24"/>
                <w:szCs w:val="24"/>
              </w:rPr>
            </w:pPr>
            <w:r w:rsidRPr="008A7573">
              <w:rPr>
                <w:rFonts w:cs="Times New Roman"/>
                <w:sz w:val="24"/>
                <w:szCs w:val="24"/>
              </w:rPr>
              <w:t>85 489</w:t>
            </w:r>
          </w:p>
        </w:tc>
        <w:tc>
          <w:tcPr>
            <w:tcW w:w="1131" w:type="dxa"/>
            <w:tcBorders>
              <w:top w:val="single" w:sz="4" w:space="0" w:color="000000"/>
              <w:left w:val="single" w:sz="4" w:space="0" w:color="000000"/>
              <w:bottom w:val="single" w:sz="4" w:space="0" w:color="000000"/>
              <w:right w:val="single" w:sz="4" w:space="0" w:color="000000"/>
            </w:tcBorders>
            <w:vAlign w:val="center"/>
            <w:hideMark/>
          </w:tcPr>
          <w:p w:rsidR="008A7573" w:rsidRPr="008A7573" w:rsidRDefault="008A7573">
            <w:pPr>
              <w:jc w:val="center"/>
              <w:rPr>
                <w:rFonts w:cs="Times New Roman"/>
                <w:b/>
                <w:sz w:val="24"/>
                <w:szCs w:val="24"/>
              </w:rPr>
            </w:pPr>
            <w:r w:rsidRPr="008A7573">
              <w:rPr>
                <w:rFonts w:cs="Times New Roman"/>
                <w:b/>
                <w:sz w:val="24"/>
                <w:szCs w:val="24"/>
              </w:rPr>
              <w:t>118 490</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8A7573" w:rsidRPr="008A7573" w:rsidRDefault="008A7573">
            <w:pPr>
              <w:jc w:val="center"/>
              <w:rPr>
                <w:rFonts w:cs="Times New Roman"/>
                <w:color w:val="000000"/>
                <w:sz w:val="24"/>
                <w:szCs w:val="24"/>
              </w:rPr>
            </w:pPr>
            <w:r w:rsidRPr="008A7573">
              <w:rPr>
                <w:rFonts w:cs="Times New Roman"/>
                <w:color w:val="000000"/>
                <w:sz w:val="24"/>
                <w:szCs w:val="24"/>
              </w:rPr>
              <w:t xml:space="preserve">38.60   </w:t>
            </w:r>
            <w:r w:rsidRPr="008A7573">
              <w:rPr>
                <w:rFonts w:cs="Times New Roman"/>
                <w:b/>
                <w:color w:val="000000"/>
                <w:sz w:val="24"/>
                <w:szCs w:val="24"/>
              </w:rPr>
              <w:sym w:font="Symbol" w:char="F0AD"/>
            </w:r>
          </w:p>
        </w:tc>
      </w:tr>
      <w:tr w:rsidR="008A7573" w:rsidRPr="008A7573" w:rsidTr="00CC4EFF">
        <w:tc>
          <w:tcPr>
            <w:tcW w:w="1560"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8A7573" w:rsidRPr="008A7573" w:rsidRDefault="008A7573">
            <w:pPr>
              <w:jc w:val="center"/>
              <w:rPr>
                <w:rFonts w:cs="Times New Roman"/>
                <w:b/>
                <w:color w:val="000000"/>
                <w:sz w:val="24"/>
                <w:szCs w:val="24"/>
              </w:rPr>
            </w:pPr>
            <w:r w:rsidRPr="008A7573">
              <w:rPr>
                <w:rFonts w:cs="Times New Roman"/>
                <w:b/>
                <w:color w:val="000000"/>
                <w:sz w:val="24"/>
                <w:szCs w:val="24"/>
              </w:rPr>
              <w:t xml:space="preserve">Rīga </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8A7573" w:rsidRPr="008A7573" w:rsidRDefault="008A7573">
            <w:pPr>
              <w:jc w:val="center"/>
              <w:rPr>
                <w:rFonts w:cs="Times New Roman"/>
                <w:sz w:val="24"/>
                <w:szCs w:val="24"/>
              </w:rPr>
            </w:pPr>
            <w:r w:rsidRPr="008A7573">
              <w:rPr>
                <w:rFonts w:cs="Times New Roman"/>
                <w:sz w:val="24"/>
                <w:szCs w:val="24"/>
              </w:rPr>
              <w:t>3 856 702</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8A7573" w:rsidRPr="008A7573" w:rsidRDefault="008A7573">
            <w:pPr>
              <w:jc w:val="center"/>
              <w:rPr>
                <w:rFonts w:cs="Times New Roman"/>
                <w:sz w:val="24"/>
                <w:szCs w:val="24"/>
              </w:rPr>
            </w:pPr>
            <w:r w:rsidRPr="008A7573">
              <w:rPr>
                <w:rFonts w:cs="Times New Roman"/>
                <w:sz w:val="24"/>
                <w:szCs w:val="24"/>
              </w:rPr>
              <w:t>6 018 433</w:t>
            </w:r>
          </w:p>
        </w:tc>
        <w:tc>
          <w:tcPr>
            <w:tcW w:w="1274" w:type="dxa"/>
            <w:tcBorders>
              <w:top w:val="single" w:sz="4" w:space="0" w:color="000000"/>
              <w:left w:val="single" w:sz="4" w:space="0" w:color="000000"/>
              <w:bottom w:val="single" w:sz="4" w:space="0" w:color="000000"/>
              <w:right w:val="single" w:sz="4" w:space="0" w:color="000000"/>
            </w:tcBorders>
            <w:vAlign w:val="center"/>
            <w:hideMark/>
          </w:tcPr>
          <w:p w:rsidR="008A7573" w:rsidRPr="008A7573" w:rsidRDefault="008A7573">
            <w:pPr>
              <w:jc w:val="center"/>
              <w:rPr>
                <w:rFonts w:cs="Times New Roman"/>
                <w:sz w:val="24"/>
                <w:szCs w:val="24"/>
              </w:rPr>
            </w:pPr>
            <w:r w:rsidRPr="008A7573">
              <w:rPr>
                <w:rFonts w:cs="Times New Roman"/>
                <w:sz w:val="24"/>
                <w:szCs w:val="24"/>
              </w:rPr>
              <w:t>6 736 597</w:t>
            </w:r>
          </w:p>
        </w:tc>
        <w:tc>
          <w:tcPr>
            <w:tcW w:w="1277" w:type="dxa"/>
            <w:tcBorders>
              <w:top w:val="single" w:sz="4" w:space="0" w:color="000000"/>
              <w:left w:val="single" w:sz="4" w:space="0" w:color="000000"/>
              <w:bottom w:val="single" w:sz="4" w:space="0" w:color="000000"/>
              <w:right w:val="single" w:sz="4" w:space="0" w:color="000000"/>
            </w:tcBorders>
            <w:vAlign w:val="center"/>
            <w:hideMark/>
          </w:tcPr>
          <w:p w:rsidR="008A7573" w:rsidRPr="008A7573" w:rsidRDefault="008A7573">
            <w:pPr>
              <w:jc w:val="center"/>
              <w:rPr>
                <w:rFonts w:cs="Times New Roman"/>
                <w:sz w:val="24"/>
                <w:szCs w:val="24"/>
              </w:rPr>
            </w:pPr>
            <w:r w:rsidRPr="008A7573">
              <w:rPr>
                <w:rFonts w:cs="Times New Roman"/>
                <w:sz w:val="24"/>
                <w:szCs w:val="24"/>
              </w:rPr>
              <w:t>5 267 711</w:t>
            </w:r>
          </w:p>
        </w:tc>
        <w:tc>
          <w:tcPr>
            <w:tcW w:w="1131" w:type="dxa"/>
            <w:tcBorders>
              <w:top w:val="single" w:sz="4" w:space="0" w:color="000000"/>
              <w:left w:val="single" w:sz="4" w:space="0" w:color="000000"/>
              <w:bottom w:val="single" w:sz="4" w:space="0" w:color="000000"/>
              <w:right w:val="single" w:sz="4" w:space="0" w:color="000000"/>
            </w:tcBorders>
            <w:vAlign w:val="center"/>
            <w:hideMark/>
          </w:tcPr>
          <w:p w:rsidR="008A7573" w:rsidRPr="0082114C" w:rsidRDefault="008A7573">
            <w:pPr>
              <w:jc w:val="center"/>
              <w:rPr>
                <w:rFonts w:cs="Times New Roman"/>
                <w:b/>
                <w:sz w:val="22"/>
              </w:rPr>
            </w:pPr>
            <w:r w:rsidRPr="0082114C">
              <w:rPr>
                <w:rFonts w:cs="Times New Roman"/>
                <w:b/>
                <w:sz w:val="22"/>
              </w:rPr>
              <w:t>5 596 455</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8A7573" w:rsidRPr="008A7573" w:rsidRDefault="008A7573">
            <w:pPr>
              <w:jc w:val="center"/>
              <w:rPr>
                <w:rFonts w:cs="Times New Roman"/>
                <w:color w:val="000000"/>
                <w:sz w:val="24"/>
                <w:szCs w:val="24"/>
              </w:rPr>
            </w:pPr>
            <w:r w:rsidRPr="008A7573">
              <w:rPr>
                <w:rFonts w:cs="Times New Roman"/>
                <w:color w:val="000000"/>
                <w:sz w:val="24"/>
                <w:szCs w:val="24"/>
              </w:rPr>
              <w:t xml:space="preserve">6.24  </w:t>
            </w:r>
            <w:r w:rsidRPr="008A7573">
              <w:rPr>
                <w:rFonts w:cs="Times New Roman"/>
                <w:b/>
                <w:color w:val="000000"/>
                <w:sz w:val="24"/>
                <w:szCs w:val="24"/>
              </w:rPr>
              <w:sym w:font="Symbol" w:char="F0AD"/>
            </w:r>
          </w:p>
        </w:tc>
      </w:tr>
      <w:tr w:rsidR="00E0285F" w:rsidRPr="008A7573" w:rsidTr="00405B17">
        <w:tc>
          <w:tcPr>
            <w:tcW w:w="1560"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E0285F" w:rsidRPr="008A7573" w:rsidRDefault="00E0285F" w:rsidP="00405B17">
            <w:pPr>
              <w:jc w:val="center"/>
              <w:rPr>
                <w:rFonts w:cs="Times New Roman"/>
                <w:b/>
                <w:color w:val="000000"/>
                <w:sz w:val="24"/>
                <w:szCs w:val="24"/>
              </w:rPr>
            </w:pPr>
            <w:r w:rsidRPr="008A7573">
              <w:rPr>
                <w:rFonts w:cs="Times New Roman"/>
                <w:b/>
                <w:color w:val="000000"/>
                <w:sz w:val="24"/>
                <w:szCs w:val="24"/>
              </w:rPr>
              <w:t xml:space="preserve">Liepāja </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E0285F" w:rsidRPr="008A7573" w:rsidRDefault="00E0285F" w:rsidP="00405B17">
            <w:pPr>
              <w:jc w:val="center"/>
              <w:rPr>
                <w:rFonts w:cs="Times New Roman"/>
                <w:sz w:val="24"/>
                <w:szCs w:val="24"/>
              </w:rPr>
            </w:pPr>
            <w:r w:rsidRPr="008A7573">
              <w:rPr>
                <w:rFonts w:cs="Times New Roman"/>
                <w:sz w:val="24"/>
                <w:szCs w:val="24"/>
              </w:rPr>
              <w:t>929 621</w:t>
            </w:r>
          </w:p>
        </w:tc>
        <w:tc>
          <w:tcPr>
            <w:tcW w:w="1276" w:type="dxa"/>
            <w:tcBorders>
              <w:top w:val="single" w:sz="4" w:space="0" w:color="000000"/>
              <w:left w:val="single" w:sz="4" w:space="0" w:color="000000"/>
              <w:bottom w:val="single" w:sz="4" w:space="0" w:color="000000"/>
              <w:right w:val="single" w:sz="4" w:space="0" w:color="000000"/>
            </w:tcBorders>
            <w:vAlign w:val="bottom"/>
            <w:hideMark/>
          </w:tcPr>
          <w:p w:rsidR="00E0285F" w:rsidRPr="008A7573" w:rsidRDefault="00E0285F" w:rsidP="00405B17">
            <w:pPr>
              <w:jc w:val="center"/>
              <w:rPr>
                <w:rFonts w:cs="Times New Roman"/>
                <w:color w:val="000000"/>
                <w:sz w:val="24"/>
                <w:szCs w:val="24"/>
              </w:rPr>
            </w:pPr>
            <w:r w:rsidRPr="008A7573">
              <w:rPr>
                <w:rFonts w:cs="Times New Roman"/>
                <w:color w:val="000000"/>
                <w:sz w:val="24"/>
                <w:szCs w:val="24"/>
              </w:rPr>
              <w:t>475 487</w:t>
            </w:r>
          </w:p>
        </w:tc>
        <w:tc>
          <w:tcPr>
            <w:tcW w:w="1274" w:type="dxa"/>
            <w:tcBorders>
              <w:top w:val="single" w:sz="4" w:space="0" w:color="000000"/>
              <w:left w:val="single" w:sz="4" w:space="0" w:color="000000"/>
              <w:bottom w:val="single" w:sz="4" w:space="0" w:color="000000"/>
              <w:right w:val="single" w:sz="4" w:space="0" w:color="000000"/>
            </w:tcBorders>
            <w:vAlign w:val="center"/>
            <w:hideMark/>
          </w:tcPr>
          <w:p w:rsidR="00E0285F" w:rsidRPr="008A7573" w:rsidRDefault="00E0285F" w:rsidP="00405B17">
            <w:pPr>
              <w:jc w:val="center"/>
              <w:rPr>
                <w:rFonts w:cs="Times New Roman"/>
                <w:sz w:val="24"/>
                <w:szCs w:val="24"/>
              </w:rPr>
            </w:pPr>
            <w:r w:rsidRPr="008A7573">
              <w:rPr>
                <w:rFonts w:cs="Times New Roman"/>
                <w:sz w:val="24"/>
                <w:szCs w:val="24"/>
              </w:rPr>
              <w:t>301 667</w:t>
            </w:r>
          </w:p>
        </w:tc>
        <w:tc>
          <w:tcPr>
            <w:tcW w:w="1277" w:type="dxa"/>
            <w:tcBorders>
              <w:top w:val="single" w:sz="4" w:space="0" w:color="000000"/>
              <w:left w:val="single" w:sz="4" w:space="0" w:color="000000"/>
              <w:bottom w:val="single" w:sz="4" w:space="0" w:color="000000"/>
              <w:right w:val="single" w:sz="4" w:space="0" w:color="000000"/>
            </w:tcBorders>
            <w:vAlign w:val="center"/>
            <w:hideMark/>
          </w:tcPr>
          <w:p w:rsidR="00E0285F" w:rsidRPr="008A7573" w:rsidRDefault="00E0285F" w:rsidP="00405B17">
            <w:pPr>
              <w:jc w:val="center"/>
              <w:rPr>
                <w:rFonts w:cs="Times New Roman"/>
                <w:sz w:val="24"/>
                <w:szCs w:val="24"/>
              </w:rPr>
            </w:pPr>
            <w:r w:rsidRPr="008A7573">
              <w:rPr>
                <w:rFonts w:cs="Times New Roman"/>
                <w:sz w:val="24"/>
                <w:szCs w:val="24"/>
              </w:rPr>
              <w:t>604 808</w:t>
            </w:r>
          </w:p>
        </w:tc>
        <w:tc>
          <w:tcPr>
            <w:tcW w:w="1131" w:type="dxa"/>
            <w:tcBorders>
              <w:top w:val="single" w:sz="4" w:space="0" w:color="000000"/>
              <w:left w:val="single" w:sz="4" w:space="0" w:color="000000"/>
              <w:bottom w:val="single" w:sz="4" w:space="0" w:color="000000"/>
              <w:right w:val="single" w:sz="4" w:space="0" w:color="000000"/>
            </w:tcBorders>
            <w:vAlign w:val="center"/>
            <w:hideMark/>
          </w:tcPr>
          <w:p w:rsidR="00E0285F" w:rsidRPr="008A7573" w:rsidRDefault="00E0285F" w:rsidP="00405B17">
            <w:pPr>
              <w:jc w:val="center"/>
              <w:rPr>
                <w:rFonts w:cs="Times New Roman"/>
                <w:b/>
                <w:sz w:val="24"/>
                <w:szCs w:val="24"/>
              </w:rPr>
            </w:pPr>
            <w:r w:rsidRPr="008A7573">
              <w:rPr>
                <w:rFonts w:cs="Times New Roman"/>
                <w:b/>
                <w:sz w:val="24"/>
                <w:szCs w:val="24"/>
              </w:rPr>
              <w:t>504 653</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E0285F" w:rsidRPr="008A7573" w:rsidRDefault="00E0285F" w:rsidP="00405B17">
            <w:pPr>
              <w:jc w:val="center"/>
              <w:rPr>
                <w:rFonts w:cs="Times New Roman"/>
                <w:color w:val="000000"/>
                <w:sz w:val="24"/>
                <w:szCs w:val="24"/>
              </w:rPr>
            </w:pPr>
            <w:r w:rsidRPr="008A7573">
              <w:rPr>
                <w:rFonts w:cs="Times New Roman"/>
                <w:color w:val="000000"/>
                <w:sz w:val="24"/>
                <w:szCs w:val="24"/>
              </w:rPr>
              <w:t xml:space="preserve">-16.56 </w:t>
            </w:r>
            <w:r w:rsidRPr="008A7573">
              <w:rPr>
                <w:rFonts w:cs="Times New Roman"/>
                <w:b/>
                <w:color w:val="000000"/>
                <w:sz w:val="24"/>
                <w:szCs w:val="24"/>
              </w:rPr>
              <w:sym w:font="Symbol" w:char="F0AF"/>
            </w:r>
          </w:p>
        </w:tc>
      </w:tr>
      <w:tr w:rsidR="00E0285F" w:rsidRPr="008A7573" w:rsidTr="00405B17">
        <w:tc>
          <w:tcPr>
            <w:tcW w:w="1560"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E0285F" w:rsidRPr="008A7573" w:rsidRDefault="00E0285F" w:rsidP="00405B17">
            <w:pPr>
              <w:jc w:val="center"/>
              <w:rPr>
                <w:rFonts w:cs="Times New Roman"/>
                <w:b/>
                <w:color w:val="000000"/>
                <w:sz w:val="24"/>
                <w:szCs w:val="24"/>
              </w:rPr>
            </w:pPr>
            <w:r w:rsidRPr="008A7573">
              <w:rPr>
                <w:rFonts w:cs="Times New Roman"/>
                <w:b/>
                <w:color w:val="000000"/>
                <w:sz w:val="24"/>
                <w:szCs w:val="24"/>
              </w:rPr>
              <w:t xml:space="preserve">Ventspils </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E0285F" w:rsidRPr="008A7573" w:rsidRDefault="00E0285F" w:rsidP="00405B17">
            <w:pPr>
              <w:jc w:val="center"/>
              <w:rPr>
                <w:rFonts w:cs="Times New Roman"/>
                <w:sz w:val="24"/>
                <w:szCs w:val="24"/>
              </w:rPr>
            </w:pPr>
            <w:r w:rsidRPr="008A7573">
              <w:rPr>
                <w:rFonts w:cs="Times New Roman"/>
                <w:sz w:val="24"/>
                <w:szCs w:val="24"/>
              </w:rPr>
              <w:t>540 046</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E0285F" w:rsidRPr="008A7573" w:rsidRDefault="00E0285F" w:rsidP="00405B17">
            <w:pPr>
              <w:jc w:val="center"/>
              <w:rPr>
                <w:rFonts w:cs="Times New Roman"/>
                <w:sz w:val="24"/>
                <w:szCs w:val="24"/>
              </w:rPr>
            </w:pPr>
            <w:r w:rsidRPr="008A7573">
              <w:rPr>
                <w:rFonts w:cs="Times New Roman"/>
                <w:sz w:val="24"/>
                <w:szCs w:val="24"/>
              </w:rPr>
              <w:t>825 823</w:t>
            </w:r>
          </w:p>
        </w:tc>
        <w:tc>
          <w:tcPr>
            <w:tcW w:w="1274" w:type="dxa"/>
            <w:tcBorders>
              <w:top w:val="single" w:sz="4" w:space="0" w:color="000000"/>
              <w:left w:val="single" w:sz="4" w:space="0" w:color="000000"/>
              <w:bottom w:val="single" w:sz="4" w:space="0" w:color="000000"/>
              <w:right w:val="single" w:sz="4" w:space="0" w:color="000000"/>
            </w:tcBorders>
            <w:vAlign w:val="center"/>
            <w:hideMark/>
          </w:tcPr>
          <w:p w:rsidR="00E0285F" w:rsidRPr="008A7573" w:rsidRDefault="00E0285F" w:rsidP="00405B17">
            <w:pPr>
              <w:jc w:val="center"/>
              <w:rPr>
                <w:rFonts w:cs="Times New Roman"/>
                <w:sz w:val="24"/>
                <w:szCs w:val="24"/>
              </w:rPr>
            </w:pPr>
            <w:r w:rsidRPr="008A7573">
              <w:rPr>
                <w:rFonts w:cs="Times New Roman"/>
                <w:sz w:val="24"/>
                <w:szCs w:val="24"/>
              </w:rPr>
              <w:t>336 697</w:t>
            </w:r>
          </w:p>
        </w:tc>
        <w:tc>
          <w:tcPr>
            <w:tcW w:w="1277" w:type="dxa"/>
            <w:tcBorders>
              <w:top w:val="single" w:sz="4" w:space="0" w:color="000000"/>
              <w:left w:val="single" w:sz="4" w:space="0" w:color="000000"/>
              <w:bottom w:val="single" w:sz="4" w:space="0" w:color="000000"/>
              <w:right w:val="single" w:sz="4" w:space="0" w:color="000000"/>
            </w:tcBorders>
            <w:vAlign w:val="center"/>
            <w:hideMark/>
          </w:tcPr>
          <w:p w:rsidR="00E0285F" w:rsidRPr="008A7573" w:rsidRDefault="00E0285F" w:rsidP="00405B17">
            <w:pPr>
              <w:jc w:val="center"/>
              <w:rPr>
                <w:rFonts w:cs="Times New Roman"/>
                <w:sz w:val="24"/>
                <w:szCs w:val="24"/>
              </w:rPr>
            </w:pPr>
            <w:r w:rsidRPr="008A7573">
              <w:rPr>
                <w:rFonts w:cs="Times New Roman"/>
                <w:sz w:val="24"/>
                <w:szCs w:val="24"/>
              </w:rPr>
              <w:t>185 750</w:t>
            </w:r>
          </w:p>
        </w:tc>
        <w:tc>
          <w:tcPr>
            <w:tcW w:w="1131" w:type="dxa"/>
            <w:tcBorders>
              <w:top w:val="single" w:sz="4" w:space="0" w:color="000000"/>
              <w:left w:val="single" w:sz="4" w:space="0" w:color="000000"/>
              <w:bottom w:val="single" w:sz="4" w:space="0" w:color="000000"/>
              <w:right w:val="single" w:sz="4" w:space="0" w:color="000000"/>
            </w:tcBorders>
            <w:vAlign w:val="center"/>
            <w:hideMark/>
          </w:tcPr>
          <w:p w:rsidR="00E0285F" w:rsidRPr="008A7573" w:rsidRDefault="00E0285F" w:rsidP="00405B17">
            <w:pPr>
              <w:jc w:val="center"/>
              <w:rPr>
                <w:rFonts w:cs="Times New Roman"/>
                <w:b/>
                <w:sz w:val="24"/>
                <w:szCs w:val="24"/>
              </w:rPr>
            </w:pPr>
            <w:r w:rsidRPr="008A7573">
              <w:rPr>
                <w:rFonts w:cs="Times New Roman"/>
                <w:b/>
                <w:sz w:val="24"/>
                <w:szCs w:val="24"/>
              </w:rPr>
              <w:t>284 412</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E0285F" w:rsidRPr="008A7573" w:rsidRDefault="00E0285F" w:rsidP="00405B17">
            <w:pPr>
              <w:jc w:val="center"/>
              <w:rPr>
                <w:rFonts w:cs="Times New Roman"/>
                <w:color w:val="000000"/>
                <w:sz w:val="24"/>
                <w:szCs w:val="24"/>
              </w:rPr>
            </w:pPr>
            <w:r w:rsidRPr="008A7573">
              <w:rPr>
                <w:rFonts w:cs="Times New Roman"/>
                <w:color w:val="000000"/>
                <w:sz w:val="24"/>
                <w:szCs w:val="24"/>
              </w:rPr>
              <w:t xml:space="preserve">53.12  </w:t>
            </w:r>
            <w:r w:rsidRPr="008A7573">
              <w:rPr>
                <w:rFonts w:cs="Times New Roman"/>
                <w:b/>
                <w:color w:val="000000"/>
                <w:sz w:val="24"/>
                <w:szCs w:val="24"/>
              </w:rPr>
              <w:sym w:font="Symbol" w:char="F0AD"/>
            </w:r>
          </w:p>
        </w:tc>
      </w:tr>
      <w:tr w:rsidR="00E0285F" w:rsidRPr="008A7573" w:rsidTr="00405B17">
        <w:tc>
          <w:tcPr>
            <w:tcW w:w="1560"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E0285F" w:rsidRPr="008A7573" w:rsidRDefault="00E0285F" w:rsidP="00405B17">
            <w:pPr>
              <w:jc w:val="center"/>
              <w:rPr>
                <w:rFonts w:cs="Times New Roman"/>
                <w:b/>
                <w:color w:val="000000"/>
                <w:sz w:val="24"/>
                <w:szCs w:val="24"/>
              </w:rPr>
            </w:pPr>
            <w:r w:rsidRPr="008A7573">
              <w:rPr>
                <w:rFonts w:cs="Times New Roman"/>
                <w:b/>
                <w:color w:val="000000"/>
                <w:sz w:val="24"/>
                <w:szCs w:val="24"/>
              </w:rPr>
              <w:t xml:space="preserve">Jelgava </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E0285F" w:rsidRPr="008A7573" w:rsidRDefault="00E0285F" w:rsidP="00405B17">
            <w:pPr>
              <w:jc w:val="center"/>
              <w:rPr>
                <w:rFonts w:cs="Times New Roman"/>
                <w:sz w:val="24"/>
                <w:szCs w:val="24"/>
              </w:rPr>
            </w:pPr>
            <w:r w:rsidRPr="008A7573">
              <w:rPr>
                <w:rFonts w:cs="Times New Roman"/>
                <w:sz w:val="24"/>
                <w:szCs w:val="24"/>
              </w:rPr>
              <w:t>724 451</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E0285F" w:rsidRPr="008A7573" w:rsidRDefault="00E0285F" w:rsidP="00405B17">
            <w:pPr>
              <w:jc w:val="center"/>
              <w:rPr>
                <w:rFonts w:cs="Times New Roman"/>
                <w:sz w:val="24"/>
                <w:szCs w:val="24"/>
              </w:rPr>
            </w:pPr>
            <w:r w:rsidRPr="008A7573">
              <w:rPr>
                <w:rFonts w:cs="Times New Roman"/>
                <w:sz w:val="24"/>
                <w:szCs w:val="24"/>
              </w:rPr>
              <w:t>604 021</w:t>
            </w:r>
          </w:p>
        </w:tc>
        <w:tc>
          <w:tcPr>
            <w:tcW w:w="1274" w:type="dxa"/>
            <w:tcBorders>
              <w:top w:val="single" w:sz="4" w:space="0" w:color="000000"/>
              <w:left w:val="single" w:sz="4" w:space="0" w:color="000000"/>
              <w:bottom w:val="single" w:sz="4" w:space="0" w:color="000000"/>
              <w:right w:val="single" w:sz="4" w:space="0" w:color="000000"/>
            </w:tcBorders>
            <w:vAlign w:val="center"/>
            <w:hideMark/>
          </w:tcPr>
          <w:p w:rsidR="00E0285F" w:rsidRPr="008A7573" w:rsidRDefault="00E0285F" w:rsidP="00405B17">
            <w:pPr>
              <w:jc w:val="center"/>
              <w:rPr>
                <w:rFonts w:cs="Times New Roman"/>
                <w:sz w:val="24"/>
                <w:szCs w:val="24"/>
              </w:rPr>
            </w:pPr>
            <w:r w:rsidRPr="008A7573">
              <w:rPr>
                <w:rFonts w:cs="Times New Roman"/>
                <w:sz w:val="24"/>
                <w:szCs w:val="24"/>
              </w:rPr>
              <w:t>433 600</w:t>
            </w:r>
          </w:p>
        </w:tc>
        <w:tc>
          <w:tcPr>
            <w:tcW w:w="1277" w:type="dxa"/>
            <w:tcBorders>
              <w:top w:val="single" w:sz="4" w:space="0" w:color="000000"/>
              <w:left w:val="single" w:sz="4" w:space="0" w:color="000000"/>
              <w:bottom w:val="single" w:sz="4" w:space="0" w:color="000000"/>
              <w:right w:val="single" w:sz="4" w:space="0" w:color="000000"/>
            </w:tcBorders>
            <w:vAlign w:val="center"/>
            <w:hideMark/>
          </w:tcPr>
          <w:p w:rsidR="00E0285F" w:rsidRPr="008A7573" w:rsidRDefault="00E0285F" w:rsidP="00405B17">
            <w:pPr>
              <w:jc w:val="center"/>
              <w:rPr>
                <w:rFonts w:cs="Times New Roman"/>
                <w:sz w:val="24"/>
                <w:szCs w:val="24"/>
              </w:rPr>
            </w:pPr>
            <w:r w:rsidRPr="008A7573">
              <w:rPr>
                <w:rFonts w:cs="Times New Roman"/>
                <w:sz w:val="24"/>
                <w:szCs w:val="24"/>
              </w:rPr>
              <w:t>661 806</w:t>
            </w:r>
          </w:p>
        </w:tc>
        <w:tc>
          <w:tcPr>
            <w:tcW w:w="1131" w:type="dxa"/>
            <w:tcBorders>
              <w:top w:val="single" w:sz="4" w:space="0" w:color="000000"/>
              <w:left w:val="single" w:sz="4" w:space="0" w:color="000000"/>
              <w:bottom w:val="single" w:sz="4" w:space="0" w:color="000000"/>
              <w:right w:val="single" w:sz="4" w:space="0" w:color="000000"/>
            </w:tcBorders>
            <w:vAlign w:val="center"/>
            <w:hideMark/>
          </w:tcPr>
          <w:p w:rsidR="00E0285F" w:rsidRPr="008A7573" w:rsidRDefault="00E0285F" w:rsidP="00405B17">
            <w:pPr>
              <w:jc w:val="center"/>
              <w:rPr>
                <w:rFonts w:cs="Times New Roman"/>
                <w:b/>
                <w:sz w:val="24"/>
                <w:szCs w:val="24"/>
              </w:rPr>
            </w:pPr>
            <w:r w:rsidRPr="008A7573">
              <w:rPr>
                <w:rFonts w:cs="Times New Roman"/>
                <w:b/>
                <w:sz w:val="24"/>
                <w:szCs w:val="24"/>
              </w:rPr>
              <w:t>631 002</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E0285F" w:rsidRPr="008A7573" w:rsidRDefault="00E0285F" w:rsidP="00405B17">
            <w:pPr>
              <w:jc w:val="center"/>
              <w:rPr>
                <w:rFonts w:cs="Times New Roman"/>
                <w:color w:val="000000"/>
                <w:sz w:val="24"/>
                <w:szCs w:val="24"/>
              </w:rPr>
            </w:pPr>
            <w:r w:rsidRPr="008A7573">
              <w:rPr>
                <w:rFonts w:cs="Times New Roman"/>
                <w:color w:val="000000"/>
                <w:sz w:val="24"/>
                <w:szCs w:val="24"/>
              </w:rPr>
              <w:t xml:space="preserve">-4.65  </w:t>
            </w:r>
            <w:r w:rsidRPr="008A7573">
              <w:rPr>
                <w:rFonts w:cs="Times New Roman"/>
                <w:b/>
                <w:color w:val="000000"/>
                <w:sz w:val="24"/>
                <w:szCs w:val="24"/>
              </w:rPr>
              <w:sym w:font="Symbol" w:char="F0AF"/>
            </w:r>
          </w:p>
        </w:tc>
      </w:tr>
      <w:tr w:rsidR="00E0285F" w:rsidRPr="008A7573" w:rsidTr="00405B17">
        <w:tc>
          <w:tcPr>
            <w:tcW w:w="1560"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E0285F" w:rsidRPr="008A7573" w:rsidRDefault="00E0285F" w:rsidP="00405B17">
            <w:pPr>
              <w:jc w:val="center"/>
              <w:rPr>
                <w:rFonts w:cs="Times New Roman"/>
                <w:b/>
                <w:color w:val="000000"/>
                <w:sz w:val="24"/>
                <w:szCs w:val="24"/>
              </w:rPr>
            </w:pPr>
            <w:r w:rsidRPr="008A7573">
              <w:rPr>
                <w:rFonts w:cs="Times New Roman"/>
                <w:b/>
                <w:color w:val="000000"/>
                <w:sz w:val="24"/>
                <w:szCs w:val="24"/>
              </w:rPr>
              <w:t xml:space="preserve">Daugavpils </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E0285F" w:rsidRPr="008A7573" w:rsidRDefault="00E0285F" w:rsidP="00405B17">
            <w:pPr>
              <w:jc w:val="center"/>
              <w:rPr>
                <w:rFonts w:cs="Times New Roman"/>
                <w:sz w:val="24"/>
                <w:szCs w:val="24"/>
              </w:rPr>
            </w:pPr>
            <w:r w:rsidRPr="008A7573">
              <w:rPr>
                <w:rFonts w:cs="Times New Roman"/>
                <w:sz w:val="24"/>
                <w:szCs w:val="24"/>
              </w:rPr>
              <w:t>2 145 000</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E0285F" w:rsidRPr="008A7573" w:rsidRDefault="00E0285F" w:rsidP="00405B17">
            <w:pPr>
              <w:jc w:val="center"/>
              <w:rPr>
                <w:rFonts w:cs="Times New Roman"/>
                <w:sz w:val="24"/>
                <w:szCs w:val="24"/>
              </w:rPr>
            </w:pPr>
            <w:r w:rsidRPr="008A7573">
              <w:rPr>
                <w:rFonts w:cs="Times New Roman"/>
                <w:sz w:val="24"/>
                <w:szCs w:val="24"/>
              </w:rPr>
              <w:t>1 568 462</w:t>
            </w:r>
          </w:p>
        </w:tc>
        <w:tc>
          <w:tcPr>
            <w:tcW w:w="1274" w:type="dxa"/>
            <w:tcBorders>
              <w:top w:val="single" w:sz="4" w:space="0" w:color="000000"/>
              <w:left w:val="single" w:sz="4" w:space="0" w:color="000000"/>
              <w:bottom w:val="single" w:sz="4" w:space="0" w:color="000000"/>
              <w:right w:val="single" w:sz="4" w:space="0" w:color="000000"/>
            </w:tcBorders>
            <w:vAlign w:val="center"/>
            <w:hideMark/>
          </w:tcPr>
          <w:p w:rsidR="00E0285F" w:rsidRPr="008A7573" w:rsidRDefault="00E0285F" w:rsidP="00405B17">
            <w:pPr>
              <w:jc w:val="center"/>
              <w:rPr>
                <w:rFonts w:cs="Times New Roman"/>
                <w:sz w:val="24"/>
                <w:szCs w:val="24"/>
              </w:rPr>
            </w:pPr>
            <w:r w:rsidRPr="008A7573">
              <w:rPr>
                <w:rFonts w:cs="Times New Roman"/>
                <w:sz w:val="24"/>
                <w:szCs w:val="24"/>
              </w:rPr>
              <w:t>1 545 215</w:t>
            </w:r>
          </w:p>
        </w:tc>
        <w:tc>
          <w:tcPr>
            <w:tcW w:w="1277" w:type="dxa"/>
            <w:tcBorders>
              <w:top w:val="single" w:sz="4" w:space="0" w:color="000000"/>
              <w:left w:val="single" w:sz="4" w:space="0" w:color="000000"/>
              <w:bottom w:val="single" w:sz="4" w:space="0" w:color="000000"/>
              <w:right w:val="single" w:sz="4" w:space="0" w:color="000000"/>
            </w:tcBorders>
            <w:vAlign w:val="center"/>
            <w:hideMark/>
          </w:tcPr>
          <w:p w:rsidR="00E0285F" w:rsidRPr="008A7573" w:rsidRDefault="00E0285F" w:rsidP="00405B17">
            <w:pPr>
              <w:jc w:val="center"/>
              <w:rPr>
                <w:rFonts w:cs="Times New Roman"/>
                <w:sz w:val="24"/>
                <w:szCs w:val="24"/>
              </w:rPr>
            </w:pPr>
            <w:r w:rsidRPr="008A7573">
              <w:rPr>
                <w:rFonts w:cs="Times New Roman"/>
                <w:sz w:val="24"/>
                <w:szCs w:val="24"/>
              </w:rPr>
              <w:t>1 233 893</w:t>
            </w:r>
          </w:p>
        </w:tc>
        <w:tc>
          <w:tcPr>
            <w:tcW w:w="1131" w:type="dxa"/>
            <w:tcBorders>
              <w:top w:val="single" w:sz="4" w:space="0" w:color="000000"/>
              <w:left w:val="single" w:sz="4" w:space="0" w:color="000000"/>
              <w:bottom w:val="single" w:sz="4" w:space="0" w:color="000000"/>
              <w:right w:val="single" w:sz="4" w:space="0" w:color="000000"/>
            </w:tcBorders>
            <w:vAlign w:val="center"/>
            <w:hideMark/>
          </w:tcPr>
          <w:p w:rsidR="00E0285F" w:rsidRPr="008A7573" w:rsidRDefault="00E0285F" w:rsidP="00405B17">
            <w:pPr>
              <w:jc w:val="center"/>
              <w:rPr>
                <w:rFonts w:cs="Times New Roman"/>
                <w:b/>
                <w:sz w:val="24"/>
                <w:szCs w:val="24"/>
              </w:rPr>
            </w:pPr>
            <w:r w:rsidRPr="008A7573">
              <w:rPr>
                <w:rFonts w:cs="Times New Roman"/>
                <w:b/>
                <w:sz w:val="24"/>
                <w:szCs w:val="24"/>
              </w:rPr>
              <w:t>1 345 907</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E0285F" w:rsidRPr="008A7573" w:rsidRDefault="00E0285F" w:rsidP="00405B17">
            <w:pPr>
              <w:jc w:val="center"/>
              <w:rPr>
                <w:rFonts w:cs="Times New Roman"/>
                <w:color w:val="000000"/>
                <w:sz w:val="24"/>
                <w:szCs w:val="24"/>
              </w:rPr>
            </w:pPr>
            <w:r w:rsidRPr="008A7573">
              <w:rPr>
                <w:rFonts w:cs="Times New Roman"/>
                <w:color w:val="000000"/>
                <w:sz w:val="24"/>
                <w:szCs w:val="24"/>
              </w:rPr>
              <w:t xml:space="preserve">9.08 </w:t>
            </w:r>
            <w:r w:rsidRPr="008A7573">
              <w:rPr>
                <w:rFonts w:cs="Times New Roman"/>
                <w:b/>
                <w:color w:val="000000"/>
                <w:sz w:val="24"/>
                <w:szCs w:val="24"/>
              </w:rPr>
              <w:sym w:font="Symbol" w:char="F0AD"/>
            </w:r>
          </w:p>
        </w:tc>
      </w:tr>
    </w:tbl>
    <w:p w:rsidR="00E0285F" w:rsidRDefault="00E0285F" w:rsidP="00F32329">
      <w:pPr>
        <w:pStyle w:val="BodyTextIndent3"/>
        <w:spacing w:after="60"/>
        <w:ind w:left="0"/>
        <w:rPr>
          <w:sz w:val="28"/>
          <w:szCs w:val="28"/>
        </w:rPr>
      </w:pPr>
    </w:p>
    <w:p w:rsidR="008A7573" w:rsidRDefault="00F44FA4" w:rsidP="00CC4EFF">
      <w:pPr>
        <w:pStyle w:val="BodyTextIndent3"/>
        <w:spacing w:after="0"/>
        <w:ind w:left="0" w:firstLine="720"/>
        <w:jc w:val="both"/>
        <w:rPr>
          <w:sz w:val="28"/>
          <w:szCs w:val="28"/>
        </w:rPr>
      </w:pPr>
      <w:r>
        <w:rPr>
          <w:sz w:val="28"/>
          <w:szCs w:val="28"/>
        </w:rPr>
        <w:t xml:space="preserve">Ievērojami </w:t>
      </w:r>
      <w:r w:rsidR="008A7573">
        <w:rPr>
          <w:sz w:val="28"/>
          <w:szCs w:val="28"/>
        </w:rPr>
        <w:t>siltumenerģiju apmaksas disciplīna</w:t>
      </w:r>
      <w:r>
        <w:rPr>
          <w:sz w:val="28"/>
          <w:szCs w:val="28"/>
        </w:rPr>
        <w:t>s</w:t>
      </w:r>
      <w:r w:rsidR="00F32329">
        <w:rPr>
          <w:sz w:val="28"/>
          <w:szCs w:val="28"/>
        </w:rPr>
        <w:t xml:space="preserve"> </w:t>
      </w:r>
      <w:r>
        <w:rPr>
          <w:sz w:val="28"/>
          <w:szCs w:val="28"/>
        </w:rPr>
        <w:t xml:space="preserve">uzlabojumi </w:t>
      </w:r>
      <w:r w:rsidR="00F32329">
        <w:rPr>
          <w:sz w:val="28"/>
          <w:szCs w:val="28"/>
        </w:rPr>
        <w:t>2012./2013.gada apkures sezonā</w:t>
      </w:r>
      <w:r w:rsidR="008A7573">
        <w:rPr>
          <w:sz w:val="28"/>
          <w:szCs w:val="28"/>
        </w:rPr>
        <w:t xml:space="preserve">, salīdzinot ar </w:t>
      </w:r>
      <w:r w:rsidR="00F32329">
        <w:rPr>
          <w:sz w:val="28"/>
          <w:szCs w:val="28"/>
        </w:rPr>
        <w:t>2011./2012.gada apkures sezonu</w:t>
      </w:r>
      <w:r w:rsidR="008A7573">
        <w:rPr>
          <w:sz w:val="28"/>
          <w:szCs w:val="28"/>
        </w:rPr>
        <w:t xml:space="preserve">, </w:t>
      </w:r>
      <w:r>
        <w:rPr>
          <w:sz w:val="28"/>
          <w:szCs w:val="28"/>
        </w:rPr>
        <w:t>bija vērojami</w:t>
      </w:r>
      <w:r w:rsidR="008A7573">
        <w:rPr>
          <w:sz w:val="28"/>
          <w:szCs w:val="28"/>
        </w:rPr>
        <w:t xml:space="preserve"> gandrīz visās republikas nozīmes pilsētās</w:t>
      </w:r>
      <w:r>
        <w:rPr>
          <w:sz w:val="28"/>
          <w:szCs w:val="28"/>
        </w:rPr>
        <w:t xml:space="preserve"> – īpaši </w:t>
      </w:r>
      <w:r w:rsidR="008A7573">
        <w:rPr>
          <w:sz w:val="28"/>
          <w:szCs w:val="28"/>
        </w:rPr>
        <w:t xml:space="preserve">Jēkabpilī un Jūrmalā. Savukārt Rēzeknē un Ventspilī rēķinu apmaksas disciplīna nedaudz </w:t>
      </w:r>
      <w:r w:rsidR="000A6422">
        <w:rPr>
          <w:sz w:val="28"/>
          <w:szCs w:val="28"/>
        </w:rPr>
        <w:t>pasliktinājās</w:t>
      </w:r>
      <w:r w:rsidR="008A7573">
        <w:rPr>
          <w:sz w:val="28"/>
          <w:szCs w:val="28"/>
        </w:rPr>
        <w:t>.</w:t>
      </w:r>
    </w:p>
    <w:p w:rsidR="00CC4EFF" w:rsidRDefault="00CC4EFF" w:rsidP="00CC4EFF">
      <w:pPr>
        <w:spacing w:after="60"/>
        <w:ind w:firstLine="567"/>
        <w:jc w:val="both"/>
        <w:rPr>
          <w:szCs w:val="28"/>
        </w:rPr>
      </w:pPr>
      <w:r>
        <w:rPr>
          <w:szCs w:val="28"/>
        </w:rPr>
        <w:t xml:space="preserve">Vidējais parādu apmērs par siltumenerģiju 2012/2013. apkures sezonā </w:t>
      </w:r>
      <w:r w:rsidR="000A6422">
        <w:rPr>
          <w:szCs w:val="28"/>
        </w:rPr>
        <w:t xml:space="preserve">samazinājās </w:t>
      </w:r>
      <w:r w:rsidR="00F44FA4">
        <w:rPr>
          <w:szCs w:val="28"/>
        </w:rPr>
        <w:t xml:space="preserve">arī </w:t>
      </w:r>
      <w:r>
        <w:rPr>
          <w:szCs w:val="28"/>
        </w:rPr>
        <w:t>visās pašvaldību grupās</w:t>
      </w:r>
      <w:r w:rsidR="00F44FA4">
        <w:rPr>
          <w:rStyle w:val="FootnoteReference"/>
        </w:rPr>
        <w:footnoteReference w:id="22"/>
      </w:r>
      <w:r>
        <w:rPr>
          <w:szCs w:val="28"/>
        </w:rPr>
        <w:t xml:space="preserve">, kā arī visās pašvaldību grupās 2012./2013.gada apkures sezonā pēdējo piecu gadu laikā </w:t>
      </w:r>
      <w:r w:rsidR="000A6422">
        <w:rPr>
          <w:szCs w:val="28"/>
        </w:rPr>
        <w:t xml:space="preserve">bija fiksēts </w:t>
      </w:r>
      <w:r>
        <w:rPr>
          <w:szCs w:val="28"/>
        </w:rPr>
        <w:t>zemākais vidējais parāda par siltumenerģiju apmērs vienā pašvaldībā</w:t>
      </w:r>
      <w:r w:rsidR="00F44FA4">
        <w:rPr>
          <w:szCs w:val="28"/>
        </w:rPr>
        <w:t xml:space="preserve"> (</w:t>
      </w:r>
      <w:proofErr w:type="spellStart"/>
      <w:r w:rsidR="00F44FA4">
        <w:rPr>
          <w:szCs w:val="28"/>
        </w:rPr>
        <w:t>sk</w:t>
      </w:r>
      <w:proofErr w:type="spellEnd"/>
      <w:r w:rsidR="00F44FA4">
        <w:rPr>
          <w:szCs w:val="28"/>
        </w:rPr>
        <w:t xml:space="preserve">. </w:t>
      </w:r>
      <w:r w:rsidR="009B0E95">
        <w:rPr>
          <w:szCs w:val="28"/>
        </w:rPr>
        <w:t>12</w:t>
      </w:r>
      <w:r w:rsidR="0063322D">
        <w:rPr>
          <w:szCs w:val="28"/>
        </w:rPr>
        <w:t>.</w:t>
      </w:r>
      <w:r w:rsidR="00F44FA4">
        <w:rPr>
          <w:szCs w:val="28"/>
        </w:rPr>
        <w:t>tabulu)</w:t>
      </w:r>
      <w:r>
        <w:rPr>
          <w:szCs w:val="28"/>
        </w:rPr>
        <w:t xml:space="preserve">. </w:t>
      </w:r>
    </w:p>
    <w:p w:rsidR="00FF373C" w:rsidRDefault="00FF373C" w:rsidP="00FF373C">
      <w:pPr>
        <w:spacing w:after="60"/>
        <w:ind w:firstLine="567"/>
        <w:jc w:val="both"/>
        <w:rPr>
          <w:rFonts w:cs="Times New Roman"/>
          <w:i/>
          <w:szCs w:val="28"/>
        </w:rPr>
      </w:pPr>
      <w:r>
        <w:rPr>
          <w:szCs w:val="28"/>
        </w:rPr>
        <w:t>Tomēr iepriekšējās apkures sezonās uzkrātā parāda summa saglabājās 11,2 miljonu latu līmenī.</w:t>
      </w:r>
    </w:p>
    <w:p w:rsidR="009B0E95" w:rsidRDefault="009B0E95" w:rsidP="009B0E95">
      <w:pPr>
        <w:ind w:firstLine="567"/>
        <w:jc w:val="both"/>
        <w:rPr>
          <w:szCs w:val="28"/>
        </w:rPr>
      </w:pPr>
    </w:p>
    <w:p w:rsidR="00FF373C" w:rsidRDefault="00FF373C" w:rsidP="009B0E95">
      <w:pPr>
        <w:ind w:firstLine="567"/>
        <w:jc w:val="both"/>
        <w:rPr>
          <w:szCs w:val="28"/>
        </w:rPr>
      </w:pPr>
    </w:p>
    <w:p w:rsidR="00FF373C" w:rsidRDefault="00FF373C" w:rsidP="009B0E95">
      <w:pPr>
        <w:ind w:firstLine="567"/>
        <w:jc w:val="both"/>
        <w:rPr>
          <w:szCs w:val="28"/>
        </w:rPr>
      </w:pPr>
    </w:p>
    <w:p w:rsidR="008B78B3" w:rsidRDefault="008B78B3" w:rsidP="009B0E95">
      <w:pPr>
        <w:ind w:firstLine="567"/>
        <w:jc w:val="both"/>
        <w:rPr>
          <w:szCs w:val="28"/>
        </w:rPr>
      </w:pPr>
    </w:p>
    <w:p w:rsidR="008B78B3" w:rsidRDefault="008B78B3" w:rsidP="009B0E95">
      <w:pPr>
        <w:ind w:firstLine="567"/>
        <w:jc w:val="both"/>
        <w:rPr>
          <w:szCs w:val="28"/>
        </w:rPr>
      </w:pPr>
    </w:p>
    <w:p w:rsidR="00FF373C" w:rsidRDefault="00FF373C" w:rsidP="009B0E95">
      <w:pPr>
        <w:ind w:firstLine="567"/>
        <w:jc w:val="both"/>
        <w:rPr>
          <w:szCs w:val="28"/>
        </w:rPr>
      </w:pPr>
    </w:p>
    <w:p w:rsidR="0063322D" w:rsidRPr="009B0E95" w:rsidRDefault="0063322D" w:rsidP="009B0E95">
      <w:pPr>
        <w:jc w:val="right"/>
        <w:rPr>
          <w:rFonts w:eastAsia="Calibri"/>
          <w:szCs w:val="28"/>
        </w:rPr>
      </w:pPr>
      <w:r w:rsidRPr="009B0E95">
        <w:rPr>
          <w:rFonts w:eastAsia="Calibri"/>
          <w:szCs w:val="28"/>
        </w:rPr>
        <w:lastRenderedPageBreak/>
        <w:t>1</w:t>
      </w:r>
      <w:r w:rsidR="009B0E95">
        <w:rPr>
          <w:rFonts w:eastAsia="Calibri"/>
          <w:szCs w:val="28"/>
        </w:rPr>
        <w:t>2</w:t>
      </w:r>
      <w:r w:rsidRPr="009B0E95">
        <w:rPr>
          <w:rFonts w:eastAsia="Calibri"/>
          <w:szCs w:val="28"/>
        </w:rPr>
        <w:t xml:space="preserve">.tabula </w:t>
      </w:r>
    </w:p>
    <w:p w:rsidR="00F44FA4" w:rsidRDefault="00F44FA4" w:rsidP="007268AF">
      <w:pPr>
        <w:tabs>
          <w:tab w:val="left" w:pos="851"/>
          <w:tab w:val="left" w:pos="8222"/>
        </w:tabs>
        <w:jc w:val="center"/>
        <w:rPr>
          <w:rFonts w:cs="Times New Roman"/>
          <w:b/>
          <w:szCs w:val="28"/>
        </w:rPr>
      </w:pPr>
      <w:r>
        <w:rPr>
          <w:rFonts w:cs="Times New Roman"/>
          <w:b/>
          <w:szCs w:val="28"/>
        </w:rPr>
        <w:t>V</w:t>
      </w:r>
      <w:r w:rsidRPr="008D5317">
        <w:rPr>
          <w:rFonts w:cs="Times New Roman"/>
          <w:b/>
          <w:szCs w:val="28"/>
        </w:rPr>
        <w:t xml:space="preserve">idējais parāda apmērs vienā pašvaldībā </w:t>
      </w:r>
    </w:p>
    <w:p w:rsidR="00F44FA4" w:rsidRPr="00F32329" w:rsidRDefault="00F44FA4" w:rsidP="007268AF">
      <w:pPr>
        <w:tabs>
          <w:tab w:val="left" w:pos="851"/>
          <w:tab w:val="left" w:pos="8222"/>
        </w:tabs>
        <w:jc w:val="center"/>
        <w:rPr>
          <w:rFonts w:cs="Times New Roman"/>
          <w:b/>
          <w:i/>
          <w:szCs w:val="28"/>
        </w:rPr>
      </w:pPr>
      <w:r w:rsidRPr="00F32329">
        <w:rPr>
          <w:rFonts w:cs="Times New Roman"/>
          <w:b/>
          <w:szCs w:val="28"/>
        </w:rPr>
        <w:t>(2008./2009.g. apkures sezona  - 2012./2013.g. apkures sezona, LVL)</w:t>
      </w:r>
    </w:p>
    <w:p w:rsidR="00F44FA4" w:rsidRDefault="00F44FA4" w:rsidP="00F44FA4">
      <w:pPr>
        <w:spacing w:after="60"/>
        <w:jc w:val="right"/>
        <w:rPr>
          <w:sz w:val="20"/>
          <w:szCs w:val="20"/>
        </w:rPr>
      </w:pPr>
    </w:p>
    <w:tbl>
      <w:tblPr>
        <w:tblW w:w="9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18"/>
        <w:gridCol w:w="1134"/>
        <w:gridCol w:w="1133"/>
        <w:gridCol w:w="1275"/>
        <w:gridCol w:w="1275"/>
        <w:gridCol w:w="1275"/>
        <w:gridCol w:w="1700"/>
      </w:tblGrid>
      <w:tr w:rsidR="00F44FA4" w:rsidTr="005945B4">
        <w:tc>
          <w:tcPr>
            <w:tcW w:w="1418"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F44FA4" w:rsidRPr="007268AF" w:rsidRDefault="00F44FA4" w:rsidP="0070076F">
            <w:pPr>
              <w:spacing w:after="60"/>
              <w:jc w:val="center"/>
              <w:rPr>
                <w:b/>
                <w:sz w:val="24"/>
                <w:szCs w:val="24"/>
              </w:rPr>
            </w:pPr>
            <w:r w:rsidRPr="007268AF">
              <w:rPr>
                <w:b/>
                <w:sz w:val="24"/>
                <w:szCs w:val="24"/>
              </w:rPr>
              <w:t>Novadu pašvaldības</w:t>
            </w:r>
          </w:p>
        </w:tc>
        <w:tc>
          <w:tcPr>
            <w:tcW w:w="1134"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F44FA4" w:rsidRDefault="00F44FA4" w:rsidP="0070076F">
            <w:pPr>
              <w:jc w:val="center"/>
              <w:rPr>
                <w:b/>
                <w:bCs/>
                <w:sz w:val="24"/>
                <w:szCs w:val="24"/>
              </w:rPr>
            </w:pPr>
            <w:r w:rsidRPr="008D5317">
              <w:rPr>
                <w:b/>
                <w:bCs/>
                <w:sz w:val="24"/>
                <w:szCs w:val="24"/>
              </w:rPr>
              <w:t>01.10.</w:t>
            </w:r>
          </w:p>
          <w:p w:rsidR="00F44FA4" w:rsidRDefault="00F44FA4" w:rsidP="0070076F">
            <w:pPr>
              <w:jc w:val="center"/>
              <w:rPr>
                <w:b/>
                <w:bCs/>
                <w:sz w:val="24"/>
                <w:szCs w:val="24"/>
              </w:rPr>
            </w:pPr>
            <w:r w:rsidRPr="008D5317">
              <w:rPr>
                <w:b/>
                <w:bCs/>
                <w:sz w:val="24"/>
                <w:szCs w:val="24"/>
              </w:rPr>
              <w:t>2008-01.10.</w:t>
            </w:r>
          </w:p>
          <w:p w:rsidR="00F44FA4" w:rsidRPr="008D5317" w:rsidRDefault="00F44FA4" w:rsidP="0070076F">
            <w:pPr>
              <w:jc w:val="center"/>
              <w:rPr>
                <w:b/>
                <w:bCs/>
                <w:sz w:val="24"/>
                <w:szCs w:val="24"/>
              </w:rPr>
            </w:pPr>
            <w:r w:rsidRPr="008D5317">
              <w:rPr>
                <w:b/>
                <w:bCs/>
                <w:sz w:val="24"/>
                <w:szCs w:val="24"/>
              </w:rPr>
              <w:t>2009</w:t>
            </w:r>
          </w:p>
        </w:tc>
        <w:tc>
          <w:tcPr>
            <w:tcW w:w="1133"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F44FA4" w:rsidRDefault="00F44FA4" w:rsidP="0070076F">
            <w:pPr>
              <w:jc w:val="center"/>
              <w:rPr>
                <w:b/>
                <w:bCs/>
                <w:sz w:val="24"/>
                <w:szCs w:val="24"/>
              </w:rPr>
            </w:pPr>
            <w:r w:rsidRPr="008D5317">
              <w:rPr>
                <w:b/>
                <w:bCs/>
                <w:sz w:val="24"/>
                <w:szCs w:val="24"/>
              </w:rPr>
              <w:t>01.10.</w:t>
            </w:r>
          </w:p>
          <w:p w:rsidR="00F44FA4" w:rsidRDefault="00F44FA4" w:rsidP="0070076F">
            <w:pPr>
              <w:jc w:val="center"/>
              <w:rPr>
                <w:b/>
                <w:bCs/>
                <w:sz w:val="24"/>
                <w:szCs w:val="24"/>
              </w:rPr>
            </w:pPr>
            <w:r w:rsidRPr="008D5317">
              <w:rPr>
                <w:b/>
                <w:bCs/>
                <w:sz w:val="24"/>
                <w:szCs w:val="24"/>
              </w:rPr>
              <w:t>2009-01.10.</w:t>
            </w:r>
          </w:p>
          <w:p w:rsidR="00F44FA4" w:rsidRPr="008D5317" w:rsidRDefault="00F44FA4" w:rsidP="0070076F">
            <w:pPr>
              <w:jc w:val="center"/>
              <w:rPr>
                <w:b/>
                <w:bCs/>
                <w:sz w:val="24"/>
                <w:szCs w:val="24"/>
              </w:rPr>
            </w:pPr>
            <w:r w:rsidRPr="008D5317">
              <w:rPr>
                <w:b/>
                <w:bCs/>
                <w:sz w:val="24"/>
                <w:szCs w:val="24"/>
              </w:rPr>
              <w:t>2010</w:t>
            </w:r>
          </w:p>
        </w:tc>
        <w:tc>
          <w:tcPr>
            <w:tcW w:w="1275"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F44FA4" w:rsidRDefault="00F44FA4" w:rsidP="0070076F">
            <w:pPr>
              <w:jc w:val="center"/>
              <w:rPr>
                <w:b/>
                <w:color w:val="000000"/>
                <w:sz w:val="24"/>
                <w:szCs w:val="24"/>
              </w:rPr>
            </w:pPr>
            <w:r w:rsidRPr="008D5317">
              <w:rPr>
                <w:b/>
                <w:color w:val="000000"/>
                <w:sz w:val="24"/>
                <w:szCs w:val="24"/>
              </w:rPr>
              <w:t>01.10.</w:t>
            </w:r>
          </w:p>
          <w:p w:rsidR="00F44FA4" w:rsidRDefault="00F44FA4" w:rsidP="0070076F">
            <w:pPr>
              <w:jc w:val="center"/>
              <w:rPr>
                <w:b/>
                <w:color w:val="000000"/>
                <w:sz w:val="24"/>
                <w:szCs w:val="24"/>
              </w:rPr>
            </w:pPr>
            <w:r w:rsidRPr="008D5317">
              <w:rPr>
                <w:b/>
                <w:color w:val="000000"/>
                <w:sz w:val="24"/>
                <w:szCs w:val="24"/>
              </w:rPr>
              <w:t>2010- 01.09.</w:t>
            </w:r>
          </w:p>
          <w:p w:rsidR="00F44FA4" w:rsidRPr="008D5317" w:rsidRDefault="00F44FA4" w:rsidP="0070076F">
            <w:pPr>
              <w:jc w:val="center"/>
              <w:rPr>
                <w:b/>
                <w:color w:val="000000"/>
                <w:sz w:val="24"/>
                <w:szCs w:val="24"/>
              </w:rPr>
            </w:pPr>
            <w:r w:rsidRPr="008D5317">
              <w:rPr>
                <w:b/>
                <w:color w:val="000000"/>
                <w:sz w:val="24"/>
                <w:szCs w:val="24"/>
              </w:rPr>
              <w:t>2011</w:t>
            </w:r>
          </w:p>
        </w:tc>
        <w:tc>
          <w:tcPr>
            <w:tcW w:w="1275"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F44FA4" w:rsidRDefault="00F44FA4" w:rsidP="0070076F">
            <w:pPr>
              <w:jc w:val="center"/>
              <w:rPr>
                <w:b/>
                <w:color w:val="000000"/>
                <w:sz w:val="24"/>
                <w:szCs w:val="24"/>
              </w:rPr>
            </w:pPr>
            <w:r w:rsidRPr="008D5317">
              <w:rPr>
                <w:b/>
                <w:color w:val="000000"/>
                <w:sz w:val="24"/>
                <w:szCs w:val="24"/>
              </w:rPr>
              <w:t>01.10.</w:t>
            </w:r>
          </w:p>
          <w:p w:rsidR="00F44FA4" w:rsidRDefault="00F44FA4" w:rsidP="0070076F">
            <w:pPr>
              <w:jc w:val="center"/>
              <w:rPr>
                <w:b/>
                <w:color w:val="000000"/>
                <w:sz w:val="24"/>
                <w:szCs w:val="24"/>
              </w:rPr>
            </w:pPr>
            <w:r w:rsidRPr="008D5317">
              <w:rPr>
                <w:b/>
                <w:color w:val="000000"/>
                <w:sz w:val="24"/>
                <w:szCs w:val="24"/>
              </w:rPr>
              <w:t>2011- 01.09.</w:t>
            </w:r>
          </w:p>
          <w:p w:rsidR="00F44FA4" w:rsidRPr="008D5317" w:rsidRDefault="00F44FA4" w:rsidP="0070076F">
            <w:pPr>
              <w:jc w:val="center"/>
              <w:rPr>
                <w:b/>
                <w:color w:val="000000"/>
                <w:sz w:val="24"/>
                <w:szCs w:val="24"/>
              </w:rPr>
            </w:pPr>
            <w:r w:rsidRPr="008D5317">
              <w:rPr>
                <w:b/>
                <w:color w:val="000000"/>
                <w:sz w:val="24"/>
                <w:szCs w:val="24"/>
              </w:rPr>
              <w:t>2012</w:t>
            </w:r>
          </w:p>
        </w:tc>
        <w:tc>
          <w:tcPr>
            <w:tcW w:w="1275"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F44FA4" w:rsidRDefault="00F44FA4" w:rsidP="0070076F">
            <w:pPr>
              <w:jc w:val="center"/>
              <w:rPr>
                <w:b/>
                <w:bCs/>
                <w:sz w:val="24"/>
                <w:szCs w:val="24"/>
              </w:rPr>
            </w:pPr>
            <w:r w:rsidRPr="008D5317">
              <w:rPr>
                <w:b/>
                <w:bCs/>
                <w:sz w:val="24"/>
                <w:szCs w:val="24"/>
              </w:rPr>
              <w:t>01.10.</w:t>
            </w:r>
          </w:p>
          <w:p w:rsidR="00F44FA4" w:rsidRDefault="00F44FA4" w:rsidP="0070076F">
            <w:pPr>
              <w:jc w:val="center"/>
              <w:rPr>
                <w:b/>
                <w:bCs/>
                <w:sz w:val="24"/>
                <w:szCs w:val="24"/>
              </w:rPr>
            </w:pPr>
            <w:r w:rsidRPr="008D5317">
              <w:rPr>
                <w:b/>
                <w:bCs/>
                <w:sz w:val="24"/>
                <w:szCs w:val="24"/>
              </w:rPr>
              <w:t>2012- 01.09.</w:t>
            </w:r>
          </w:p>
          <w:p w:rsidR="00F44FA4" w:rsidRPr="008D5317" w:rsidRDefault="00F44FA4" w:rsidP="0070076F">
            <w:pPr>
              <w:jc w:val="center"/>
              <w:rPr>
                <w:color w:val="000000"/>
                <w:sz w:val="24"/>
                <w:szCs w:val="24"/>
              </w:rPr>
            </w:pPr>
            <w:r w:rsidRPr="008D5317">
              <w:rPr>
                <w:b/>
                <w:bCs/>
                <w:sz w:val="24"/>
                <w:szCs w:val="24"/>
              </w:rPr>
              <w:t>2013</w:t>
            </w:r>
          </w:p>
        </w:tc>
        <w:tc>
          <w:tcPr>
            <w:tcW w:w="1700" w:type="dxa"/>
            <w:tcBorders>
              <w:top w:val="single" w:sz="4" w:space="0" w:color="000000"/>
              <w:left w:val="single" w:sz="4" w:space="0" w:color="000000"/>
              <w:bottom w:val="single" w:sz="4" w:space="0" w:color="000000"/>
              <w:right w:val="single" w:sz="4" w:space="0" w:color="000000"/>
            </w:tcBorders>
            <w:shd w:val="clear" w:color="auto" w:fill="F2F2F2"/>
            <w:hideMark/>
          </w:tcPr>
          <w:p w:rsidR="00F44FA4" w:rsidRPr="008D5317" w:rsidRDefault="00F44FA4" w:rsidP="0070076F">
            <w:pPr>
              <w:jc w:val="center"/>
              <w:rPr>
                <w:color w:val="000000"/>
                <w:sz w:val="24"/>
                <w:szCs w:val="24"/>
              </w:rPr>
            </w:pPr>
            <w:r w:rsidRPr="008D5317">
              <w:rPr>
                <w:color w:val="000000"/>
                <w:sz w:val="24"/>
                <w:szCs w:val="24"/>
              </w:rPr>
              <w:t>Izmaiņas 2013. gadā attiecībā pret 2012.gadu (%)</w:t>
            </w:r>
          </w:p>
        </w:tc>
      </w:tr>
      <w:tr w:rsidR="00F44FA4" w:rsidTr="005945B4">
        <w:tc>
          <w:tcPr>
            <w:tcW w:w="1418" w:type="dxa"/>
            <w:tcBorders>
              <w:top w:val="single" w:sz="4" w:space="0" w:color="000000"/>
              <w:left w:val="single" w:sz="4" w:space="0" w:color="000000"/>
              <w:bottom w:val="single" w:sz="4" w:space="0" w:color="000000"/>
              <w:right w:val="single" w:sz="4" w:space="0" w:color="000000"/>
            </w:tcBorders>
            <w:shd w:val="clear" w:color="auto" w:fill="F2F2F2"/>
            <w:hideMark/>
          </w:tcPr>
          <w:p w:rsidR="00F44FA4" w:rsidRPr="007268AF" w:rsidRDefault="00F44FA4" w:rsidP="0070076F">
            <w:pPr>
              <w:spacing w:after="60"/>
              <w:jc w:val="both"/>
              <w:rPr>
                <w:b/>
                <w:sz w:val="24"/>
                <w:szCs w:val="24"/>
              </w:rPr>
            </w:pPr>
            <w:r w:rsidRPr="007268AF">
              <w:rPr>
                <w:b/>
                <w:sz w:val="24"/>
                <w:szCs w:val="24"/>
              </w:rPr>
              <w:t>Lietotāju skaits līdz 50</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F44FA4" w:rsidRPr="008D5317" w:rsidRDefault="00F44FA4" w:rsidP="0070076F">
            <w:pPr>
              <w:jc w:val="center"/>
              <w:rPr>
                <w:color w:val="000000"/>
                <w:sz w:val="24"/>
                <w:szCs w:val="24"/>
              </w:rPr>
            </w:pPr>
            <w:r w:rsidRPr="008D5317">
              <w:rPr>
                <w:color w:val="000000"/>
                <w:sz w:val="24"/>
                <w:szCs w:val="24"/>
              </w:rPr>
              <w:t>3 006</w:t>
            </w:r>
          </w:p>
        </w:tc>
        <w:tc>
          <w:tcPr>
            <w:tcW w:w="1133" w:type="dxa"/>
            <w:tcBorders>
              <w:top w:val="single" w:sz="4" w:space="0" w:color="000000"/>
              <w:left w:val="single" w:sz="4" w:space="0" w:color="000000"/>
              <w:bottom w:val="single" w:sz="4" w:space="0" w:color="000000"/>
              <w:right w:val="single" w:sz="4" w:space="0" w:color="000000"/>
            </w:tcBorders>
            <w:vAlign w:val="center"/>
            <w:hideMark/>
          </w:tcPr>
          <w:p w:rsidR="00F44FA4" w:rsidRPr="008D5317" w:rsidRDefault="00F44FA4" w:rsidP="0070076F">
            <w:pPr>
              <w:jc w:val="center"/>
              <w:rPr>
                <w:color w:val="000000"/>
                <w:sz w:val="24"/>
                <w:szCs w:val="24"/>
              </w:rPr>
            </w:pPr>
            <w:r w:rsidRPr="008D5317">
              <w:rPr>
                <w:color w:val="000000"/>
                <w:sz w:val="24"/>
                <w:szCs w:val="24"/>
              </w:rPr>
              <w:t>3 835</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F44FA4" w:rsidRPr="008D5317" w:rsidRDefault="00F44FA4" w:rsidP="0070076F">
            <w:pPr>
              <w:jc w:val="center"/>
              <w:rPr>
                <w:color w:val="000000"/>
                <w:sz w:val="24"/>
                <w:szCs w:val="24"/>
              </w:rPr>
            </w:pPr>
            <w:r w:rsidRPr="008D5317">
              <w:rPr>
                <w:color w:val="000000"/>
                <w:sz w:val="24"/>
                <w:szCs w:val="24"/>
              </w:rPr>
              <w:t>3 858</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F44FA4" w:rsidRPr="008D5317" w:rsidRDefault="00F44FA4" w:rsidP="0070076F">
            <w:pPr>
              <w:jc w:val="center"/>
              <w:rPr>
                <w:color w:val="000000"/>
                <w:sz w:val="24"/>
                <w:szCs w:val="24"/>
              </w:rPr>
            </w:pPr>
            <w:r w:rsidRPr="008D5317">
              <w:rPr>
                <w:color w:val="000000"/>
                <w:sz w:val="24"/>
                <w:szCs w:val="24"/>
              </w:rPr>
              <w:t>2 228</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F44FA4" w:rsidRPr="007268AF" w:rsidRDefault="00F44FA4" w:rsidP="0070076F">
            <w:pPr>
              <w:jc w:val="center"/>
              <w:rPr>
                <w:b/>
                <w:color w:val="000000"/>
                <w:sz w:val="24"/>
                <w:szCs w:val="24"/>
              </w:rPr>
            </w:pPr>
            <w:r w:rsidRPr="007268AF">
              <w:rPr>
                <w:b/>
                <w:color w:val="000000"/>
                <w:sz w:val="24"/>
                <w:szCs w:val="24"/>
              </w:rPr>
              <w:t>1 953</w:t>
            </w:r>
          </w:p>
        </w:tc>
        <w:tc>
          <w:tcPr>
            <w:tcW w:w="1700" w:type="dxa"/>
            <w:tcBorders>
              <w:top w:val="single" w:sz="4" w:space="0" w:color="000000"/>
              <w:left w:val="single" w:sz="4" w:space="0" w:color="000000"/>
              <w:bottom w:val="single" w:sz="4" w:space="0" w:color="000000"/>
              <w:right w:val="single" w:sz="4" w:space="0" w:color="000000"/>
            </w:tcBorders>
            <w:vAlign w:val="center"/>
            <w:hideMark/>
          </w:tcPr>
          <w:p w:rsidR="00F44FA4" w:rsidRPr="008D5317" w:rsidRDefault="00F44FA4" w:rsidP="0070076F">
            <w:pPr>
              <w:jc w:val="center"/>
              <w:rPr>
                <w:b/>
                <w:color w:val="000000"/>
                <w:sz w:val="24"/>
                <w:szCs w:val="24"/>
              </w:rPr>
            </w:pPr>
            <w:r w:rsidRPr="008D5317">
              <w:rPr>
                <w:b/>
                <w:color w:val="000000"/>
                <w:sz w:val="24"/>
                <w:szCs w:val="24"/>
              </w:rPr>
              <w:t xml:space="preserve">-12,34 </w:t>
            </w:r>
            <w:r w:rsidRPr="008D5317">
              <w:rPr>
                <w:b/>
                <w:color w:val="000000"/>
                <w:sz w:val="24"/>
                <w:szCs w:val="24"/>
              </w:rPr>
              <w:sym w:font="Symbol" w:char="F0AF"/>
            </w:r>
          </w:p>
        </w:tc>
      </w:tr>
      <w:tr w:rsidR="00F44FA4" w:rsidTr="005945B4">
        <w:tc>
          <w:tcPr>
            <w:tcW w:w="1418" w:type="dxa"/>
            <w:tcBorders>
              <w:top w:val="single" w:sz="4" w:space="0" w:color="000000"/>
              <w:left w:val="single" w:sz="4" w:space="0" w:color="000000"/>
              <w:bottom w:val="single" w:sz="4" w:space="0" w:color="000000"/>
              <w:right w:val="single" w:sz="4" w:space="0" w:color="000000"/>
            </w:tcBorders>
            <w:shd w:val="clear" w:color="auto" w:fill="F2F2F2"/>
            <w:hideMark/>
          </w:tcPr>
          <w:p w:rsidR="00F44FA4" w:rsidRPr="007268AF" w:rsidRDefault="00F44FA4" w:rsidP="0070076F">
            <w:pPr>
              <w:spacing w:after="60"/>
              <w:jc w:val="both"/>
              <w:rPr>
                <w:b/>
                <w:sz w:val="24"/>
                <w:szCs w:val="24"/>
              </w:rPr>
            </w:pPr>
            <w:r w:rsidRPr="007268AF">
              <w:rPr>
                <w:b/>
                <w:sz w:val="24"/>
                <w:szCs w:val="24"/>
              </w:rPr>
              <w:t>Lietotāju skaits no 50 līdz 500</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F44FA4" w:rsidRPr="008D5317" w:rsidRDefault="00F44FA4" w:rsidP="0070076F">
            <w:pPr>
              <w:jc w:val="center"/>
              <w:rPr>
                <w:color w:val="000000"/>
                <w:sz w:val="24"/>
                <w:szCs w:val="24"/>
              </w:rPr>
            </w:pPr>
            <w:r w:rsidRPr="008D5317">
              <w:rPr>
                <w:color w:val="000000"/>
                <w:sz w:val="24"/>
                <w:szCs w:val="24"/>
              </w:rPr>
              <w:t>8 846</w:t>
            </w:r>
          </w:p>
        </w:tc>
        <w:tc>
          <w:tcPr>
            <w:tcW w:w="1133" w:type="dxa"/>
            <w:tcBorders>
              <w:top w:val="single" w:sz="4" w:space="0" w:color="000000"/>
              <w:left w:val="single" w:sz="4" w:space="0" w:color="000000"/>
              <w:bottom w:val="single" w:sz="4" w:space="0" w:color="000000"/>
              <w:right w:val="single" w:sz="4" w:space="0" w:color="000000"/>
            </w:tcBorders>
            <w:vAlign w:val="center"/>
            <w:hideMark/>
          </w:tcPr>
          <w:p w:rsidR="00F44FA4" w:rsidRPr="008D5317" w:rsidRDefault="00F44FA4" w:rsidP="0070076F">
            <w:pPr>
              <w:jc w:val="center"/>
              <w:rPr>
                <w:color w:val="000000"/>
                <w:sz w:val="24"/>
                <w:szCs w:val="24"/>
              </w:rPr>
            </w:pPr>
            <w:r w:rsidRPr="008D5317">
              <w:rPr>
                <w:color w:val="000000"/>
                <w:sz w:val="24"/>
                <w:szCs w:val="24"/>
              </w:rPr>
              <w:t>13 247</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F44FA4" w:rsidRPr="008D5317" w:rsidRDefault="00F44FA4" w:rsidP="0070076F">
            <w:pPr>
              <w:jc w:val="center"/>
              <w:rPr>
                <w:color w:val="000000"/>
                <w:sz w:val="24"/>
                <w:szCs w:val="24"/>
              </w:rPr>
            </w:pPr>
            <w:r w:rsidRPr="008D5317">
              <w:rPr>
                <w:color w:val="000000"/>
                <w:sz w:val="24"/>
                <w:szCs w:val="24"/>
              </w:rPr>
              <w:t>15 182</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F44FA4" w:rsidRPr="008D5317" w:rsidRDefault="00F44FA4" w:rsidP="0070076F">
            <w:pPr>
              <w:jc w:val="center"/>
              <w:rPr>
                <w:color w:val="000000"/>
                <w:sz w:val="24"/>
                <w:szCs w:val="24"/>
              </w:rPr>
            </w:pPr>
            <w:r w:rsidRPr="008D5317">
              <w:rPr>
                <w:color w:val="000000"/>
                <w:sz w:val="24"/>
                <w:szCs w:val="24"/>
              </w:rPr>
              <w:t>11 271</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F44FA4" w:rsidRPr="007268AF" w:rsidRDefault="00F44FA4" w:rsidP="0070076F">
            <w:pPr>
              <w:jc w:val="center"/>
              <w:rPr>
                <w:b/>
                <w:color w:val="000000"/>
                <w:sz w:val="24"/>
                <w:szCs w:val="24"/>
              </w:rPr>
            </w:pPr>
            <w:r w:rsidRPr="007268AF">
              <w:rPr>
                <w:b/>
                <w:color w:val="000000"/>
                <w:sz w:val="24"/>
                <w:szCs w:val="24"/>
              </w:rPr>
              <w:t>7 631</w:t>
            </w:r>
          </w:p>
        </w:tc>
        <w:tc>
          <w:tcPr>
            <w:tcW w:w="1700" w:type="dxa"/>
            <w:tcBorders>
              <w:top w:val="single" w:sz="4" w:space="0" w:color="000000"/>
              <w:left w:val="single" w:sz="4" w:space="0" w:color="000000"/>
              <w:bottom w:val="single" w:sz="4" w:space="0" w:color="000000"/>
              <w:right w:val="single" w:sz="4" w:space="0" w:color="000000"/>
            </w:tcBorders>
            <w:vAlign w:val="center"/>
            <w:hideMark/>
          </w:tcPr>
          <w:p w:rsidR="00F44FA4" w:rsidRPr="008D5317" w:rsidRDefault="00F44FA4" w:rsidP="0070076F">
            <w:pPr>
              <w:jc w:val="center"/>
              <w:rPr>
                <w:b/>
                <w:color w:val="000000"/>
                <w:sz w:val="24"/>
                <w:szCs w:val="24"/>
              </w:rPr>
            </w:pPr>
            <w:r w:rsidRPr="008D5317">
              <w:rPr>
                <w:b/>
                <w:color w:val="000000"/>
                <w:sz w:val="24"/>
                <w:szCs w:val="24"/>
              </w:rPr>
              <w:t xml:space="preserve">-32,30  </w:t>
            </w:r>
            <w:r w:rsidRPr="008D5317">
              <w:rPr>
                <w:b/>
                <w:color w:val="000000"/>
                <w:sz w:val="24"/>
                <w:szCs w:val="24"/>
              </w:rPr>
              <w:sym w:font="Symbol" w:char="F0AF"/>
            </w:r>
          </w:p>
        </w:tc>
      </w:tr>
      <w:tr w:rsidR="00F44FA4" w:rsidTr="005945B4">
        <w:tc>
          <w:tcPr>
            <w:tcW w:w="1418" w:type="dxa"/>
            <w:tcBorders>
              <w:top w:val="single" w:sz="4" w:space="0" w:color="000000"/>
              <w:left w:val="single" w:sz="4" w:space="0" w:color="000000"/>
              <w:bottom w:val="single" w:sz="4" w:space="0" w:color="000000"/>
              <w:right w:val="single" w:sz="4" w:space="0" w:color="000000"/>
            </w:tcBorders>
            <w:shd w:val="clear" w:color="auto" w:fill="F2F2F2"/>
            <w:hideMark/>
          </w:tcPr>
          <w:p w:rsidR="00F44FA4" w:rsidRPr="007268AF" w:rsidRDefault="00F44FA4" w:rsidP="0070076F">
            <w:pPr>
              <w:spacing w:after="60"/>
              <w:jc w:val="both"/>
              <w:rPr>
                <w:b/>
                <w:sz w:val="24"/>
                <w:szCs w:val="24"/>
              </w:rPr>
            </w:pPr>
            <w:r w:rsidRPr="007268AF">
              <w:rPr>
                <w:b/>
                <w:sz w:val="24"/>
                <w:szCs w:val="24"/>
              </w:rPr>
              <w:t>Lietotāju skaits virs 500</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F44FA4" w:rsidRPr="008D5317" w:rsidRDefault="00F44FA4" w:rsidP="0070076F">
            <w:pPr>
              <w:jc w:val="center"/>
              <w:rPr>
                <w:color w:val="000000"/>
                <w:sz w:val="24"/>
                <w:szCs w:val="24"/>
              </w:rPr>
            </w:pPr>
            <w:r w:rsidRPr="008D5317">
              <w:rPr>
                <w:color w:val="000000"/>
                <w:sz w:val="24"/>
                <w:szCs w:val="24"/>
              </w:rPr>
              <w:t>94 694</w:t>
            </w:r>
          </w:p>
        </w:tc>
        <w:tc>
          <w:tcPr>
            <w:tcW w:w="1133" w:type="dxa"/>
            <w:tcBorders>
              <w:top w:val="single" w:sz="4" w:space="0" w:color="000000"/>
              <w:left w:val="single" w:sz="4" w:space="0" w:color="000000"/>
              <w:bottom w:val="single" w:sz="4" w:space="0" w:color="000000"/>
              <w:right w:val="single" w:sz="4" w:space="0" w:color="000000"/>
            </w:tcBorders>
            <w:vAlign w:val="center"/>
            <w:hideMark/>
          </w:tcPr>
          <w:p w:rsidR="00F44FA4" w:rsidRPr="008D5317" w:rsidRDefault="00F44FA4" w:rsidP="0070076F">
            <w:pPr>
              <w:jc w:val="center"/>
              <w:rPr>
                <w:color w:val="000000"/>
                <w:sz w:val="24"/>
                <w:szCs w:val="24"/>
              </w:rPr>
            </w:pPr>
            <w:r w:rsidRPr="008D5317">
              <w:rPr>
                <w:color w:val="000000"/>
                <w:sz w:val="24"/>
                <w:szCs w:val="24"/>
              </w:rPr>
              <w:t>100 963</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F44FA4" w:rsidRPr="008D5317" w:rsidRDefault="00F44FA4" w:rsidP="0070076F">
            <w:pPr>
              <w:jc w:val="center"/>
              <w:rPr>
                <w:color w:val="000000"/>
                <w:sz w:val="24"/>
                <w:szCs w:val="24"/>
              </w:rPr>
            </w:pPr>
            <w:r w:rsidRPr="008D5317">
              <w:rPr>
                <w:color w:val="000000"/>
                <w:sz w:val="24"/>
                <w:szCs w:val="24"/>
              </w:rPr>
              <w:t>92 146</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F44FA4" w:rsidRPr="008D5317" w:rsidRDefault="00F44FA4" w:rsidP="0070076F">
            <w:pPr>
              <w:jc w:val="center"/>
              <w:rPr>
                <w:color w:val="000000"/>
                <w:sz w:val="24"/>
                <w:szCs w:val="24"/>
              </w:rPr>
            </w:pPr>
            <w:r w:rsidRPr="008D5317">
              <w:rPr>
                <w:color w:val="000000"/>
                <w:sz w:val="24"/>
                <w:szCs w:val="24"/>
              </w:rPr>
              <w:t>65 216</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F44FA4" w:rsidRPr="007268AF" w:rsidRDefault="00F44FA4" w:rsidP="0070076F">
            <w:pPr>
              <w:jc w:val="center"/>
              <w:rPr>
                <w:b/>
                <w:color w:val="000000"/>
                <w:sz w:val="24"/>
                <w:szCs w:val="24"/>
              </w:rPr>
            </w:pPr>
            <w:r w:rsidRPr="007268AF">
              <w:rPr>
                <w:b/>
                <w:color w:val="000000"/>
                <w:sz w:val="24"/>
                <w:szCs w:val="24"/>
              </w:rPr>
              <w:t>51 768</w:t>
            </w:r>
          </w:p>
        </w:tc>
        <w:tc>
          <w:tcPr>
            <w:tcW w:w="1700" w:type="dxa"/>
            <w:tcBorders>
              <w:top w:val="single" w:sz="4" w:space="0" w:color="000000"/>
              <w:left w:val="single" w:sz="4" w:space="0" w:color="000000"/>
              <w:bottom w:val="single" w:sz="4" w:space="0" w:color="000000"/>
              <w:right w:val="single" w:sz="4" w:space="0" w:color="000000"/>
            </w:tcBorders>
            <w:vAlign w:val="center"/>
            <w:hideMark/>
          </w:tcPr>
          <w:p w:rsidR="00F44FA4" w:rsidRPr="008D5317" w:rsidRDefault="00F44FA4" w:rsidP="0070076F">
            <w:pPr>
              <w:jc w:val="center"/>
              <w:rPr>
                <w:b/>
                <w:color w:val="000000"/>
                <w:sz w:val="24"/>
                <w:szCs w:val="24"/>
              </w:rPr>
            </w:pPr>
            <w:r w:rsidRPr="008D5317">
              <w:rPr>
                <w:b/>
                <w:color w:val="000000"/>
                <w:sz w:val="24"/>
                <w:szCs w:val="24"/>
              </w:rPr>
              <w:t xml:space="preserve">-20,62 </w:t>
            </w:r>
            <w:r w:rsidRPr="008D5317">
              <w:rPr>
                <w:b/>
                <w:color w:val="000000"/>
                <w:sz w:val="24"/>
                <w:szCs w:val="24"/>
              </w:rPr>
              <w:sym w:font="Symbol" w:char="F0AF"/>
            </w:r>
          </w:p>
        </w:tc>
      </w:tr>
    </w:tbl>
    <w:p w:rsidR="00F44FA4" w:rsidRDefault="00F44FA4" w:rsidP="00F44FA4">
      <w:pPr>
        <w:pStyle w:val="BodyTextIndent3"/>
        <w:spacing w:after="60"/>
        <w:ind w:left="0" w:firstLine="720"/>
        <w:jc w:val="both"/>
        <w:rPr>
          <w:sz w:val="28"/>
          <w:szCs w:val="28"/>
        </w:rPr>
      </w:pPr>
    </w:p>
    <w:p w:rsidR="008A7573" w:rsidRPr="006B7D57" w:rsidRDefault="00541155" w:rsidP="006B7D57">
      <w:pPr>
        <w:ind w:firstLine="720"/>
        <w:jc w:val="both"/>
        <w:rPr>
          <w:szCs w:val="24"/>
        </w:rPr>
      </w:pPr>
      <w:r w:rsidRPr="00541155">
        <w:rPr>
          <w:szCs w:val="24"/>
        </w:rPr>
        <w:t xml:space="preserve">Parāda atgūšanai </w:t>
      </w:r>
      <w:r w:rsidR="00030A57">
        <w:rPr>
          <w:szCs w:val="24"/>
        </w:rPr>
        <w:t>gan republikas nozīmes pilsētās, gan visās pašvaldību grupās tika</w:t>
      </w:r>
      <w:r w:rsidRPr="00541155">
        <w:rPr>
          <w:szCs w:val="24"/>
        </w:rPr>
        <w:t xml:space="preserve"> izmantoti ārpustiesas parādu piedziņas un parāda apmaksas grafiku sastādīšanas instrumenti</w:t>
      </w:r>
      <w:r w:rsidR="00030A57">
        <w:rPr>
          <w:szCs w:val="24"/>
        </w:rPr>
        <w:t>, t</w:t>
      </w:r>
      <w:r w:rsidR="00030A57" w:rsidRPr="00541155">
        <w:rPr>
          <w:szCs w:val="24"/>
        </w:rPr>
        <w:t>iesvedīb</w:t>
      </w:r>
      <w:r w:rsidR="00030A57">
        <w:rPr>
          <w:szCs w:val="24"/>
        </w:rPr>
        <w:t>u</w:t>
      </w:r>
      <w:r w:rsidR="00030A57" w:rsidRPr="00541155">
        <w:rPr>
          <w:szCs w:val="24"/>
        </w:rPr>
        <w:t xml:space="preserve"> </w:t>
      </w:r>
      <w:r w:rsidR="00030A57">
        <w:rPr>
          <w:szCs w:val="24"/>
        </w:rPr>
        <w:t>atzīstot</w:t>
      </w:r>
      <w:r w:rsidRPr="00541155">
        <w:rPr>
          <w:szCs w:val="24"/>
        </w:rPr>
        <w:t xml:space="preserve"> par ilgstošu</w:t>
      </w:r>
      <w:r w:rsidR="00030A57">
        <w:rPr>
          <w:szCs w:val="24"/>
        </w:rPr>
        <w:t xml:space="preserve"> un</w:t>
      </w:r>
      <w:r w:rsidRPr="00541155">
        <w:rPr>
          <w:szCs w:val="24"/>
        </w:rPr>
        <w:t xml:space="preserve"> dārgu procesu.</w:t>
      </w:r>
    </w:p>
    <w:p w:rsidR="00D8595B" w:rsidRPr="007E7903" w:rsidRDefault="00D8595B" w:rsidP="007E7903">
      <w:pPr>
        <w:rPr>
          <w:highlight w:val="yellow"/>
        </w:rPr>
      </w:pPr>
    </w:p>
    <w:p w:rsidR="00E06126" w:rsidRPr="008A6262" w:rsidRDefault="0050047A" w:rsidP="0050047A">
      <w:pPr>
        <w:pStyle w:val="Heading1"/>
      </w:pPr>
      <w:bookmarkStart w:id="40" w:name="_Toc400714683"/>
      <w:r w:rsidRPr="008A6262">
        <w:t>6</w:t>
      </w:r>
      <w:r w:rsidR="00FC01FE" w:rsidRPr="008A6262">
        <w:t xml:space="preserve">. </w:t>
      </w:r>
      <w:r w:rsidR="00E06126" w:rsidRPr="008A6262">
        <w:t>Atjaunojamie energoresursi</w:t>
      </w:r>
      <w:bookmarkEnd w:id="40"/>
    </w:p>
    <w:p w:rsidR="004B6E3A" w:rsidRPr="008A6262" w:rsidRDefault="0050047A" w:rsidP="004B6E3A">
      <w:pPr>
        <w:pStyle w:val="Heading2"/>
        <w:rPr>
          <w:rFonts w:ascii="Times New Roman" w:hAnsi="Times New Roman" w:cs="Times New Roman"/>
          <w:color w:val="auto"/>
          <w:sz w:val="28"/>
          <w:szCs w:val="28"/>
        </w:rPr>
      </w:pPr>
      <w:bookmarkStart w:id="41" w:name="_Toc400714684"/>
      <w:r w:rsidRPr="008A6262">
        <w:rPr>
          <w:rFonts w:ascii="Times New Roman" w:hAnsi="Times New Roman" w:cs="Times New Roman"/>
          <w:color w:val="auto"/>
          <w:sz w:val="28"/>
          <w:szCs w:val="28"/>
        </w:rPr>
        <w:t>6</w:t>
      </w:r>
      <w:r w:rsidR="004B6E3A" w:rsidRPr="008A6262">
        <w:rPr>
          <w:rFonts w:ascii="Times New Roman" w:hAnsi="Times New Roman" w:cs="Times New Roman"/>
          <w:color w:val="auto"/>
          <w:sz w:val="28"/>
          <w:szCs w:val="28"/>
        </w:rPr>
        <w:t>.1. Tiesiskais ietvars</w:t>
      </w:r>
      <w:bookmarkEnd w:id="41"/>
    </w:p>
    <w:p w:rsidR="00562BCC" w:rsidRPr="00562BCC" w:rsidRDefault="00562BCC" w:rsidP="0050047A">
      <w:pPr>
        <w:ind w:firstLine="720"/>
        <w:jc w:val="both"/>
        <w:rPr>
          <w:rFonts w:cs="Times New Roman"/>
          <w:szCs w:val="28"/>
        </w:rPr>
      </w:pPr>
      <w:r w:rsidRPr="00562BCC">
        <w:rPr>
          <w:rFonts w:cs="Times New Roman"/>
          <w:color w:val="000000"/>
          <w:szCs w:val="28"/>
        </w:rPr>
        <w:t xml:space="preserve">Latvijā </w:t>
      </w:r>
      <w:r w:rsidRPr="00562BCC">
        <w:rPr>
          <w:rFonts w:cs="Times New Roman"/>
          <w:szCs w:val="28"/>
        </w:rPr>
        <w:t>AER</w:t>
      </w:r>
      <w:r w:rsidRPr="00562BCC">
        <w:rPr>
          <w:rFonts w:cs="Times New Roman"/>
          <w:color w:val="000000"/>
          <w:szCs w:val="28"/>
        </w:rPr>
        <w:t xml:space="preserve"> izmantošanas veicināšanu regulē Elektroenerģijas tirgus likums, Enerģētikas likums, uz šo likumu pamata izdotie Ministru kabineta noteikumi, Likums „Par sabiedrisko pakalpojumu regulatoriem”, kā arī uz tā pamata izdotie  Sabiedrisko pakalpojumu regulēšanas komisijas lēmumi un metodikas.</w:t>
      </w:r>
    </w:p>
    <w:p w:rsidR="00562BCC" w:rsidRPr="00562BCC" w:rsidRDefault="00562BCC" w:rsidP="0050047A">
      <w:pPr>
        <w:ind w:firstLine="720"/>
        <w:jc w:val="both"/>
        <w:rPr>
          <w:rFonts w:eastAsia="Calibri" w:cs="Times New Roman"/>
          <w:szCs w:val="28"/>
        </w:rPr>
      </w:pPr>
      <w:r w:rsidRPr="00562BCC">
        <w:rPr>
          <w:rFonts w:cs="Times New Roman"/>
          <w:szCs w:val="28"/>
        </w:rPr>
        <w:t>Saskaņā ar Elektroenerģijas tirgus likuma 29.panta otro, ceturto, kā arī 29.</w:t>
      </w:r>
      <w:r w:rsidRPr="00562BCC">
        <w:rPr>
          <w:rFonts w:cs="Times New Roman"/>
          <w:szCs w:val="28"/>
          <w:vertAlign w:val="superscript"/>
        </w:rPr>
        <w:t>1</w:t>
      </w:r>
      <w:r w:rsidRPr="00562BCC">
        <w:rPr>
          <w:rFonts w:cs="Times New Roman"/>
          <w:szCs w:val="28"/>
        </w:rPr>
        <w:t xml:space="preserve">panta otro daļu izdoti </w:t>
      </w:r>
      <w:r w:rsidRPr="00562BCC">
        <w:rPr>
          <w:rFonts w:cs="Times New Roman"/>
          <w:color w:val="000000"/>
          <w:szCs w:val="28"/>
        </w:rPr>
        <w:t>Ministru kabineta 2010.gada 16.marta noteikumi Nr.262 „</w:t>
      </w:r>
      <w:r w:rsidRPr="00562BCC">
        <w:rPr>
          <w:rFonts w:cs="Times New Roman"/>
          <w:bCs/>
          <w:color w:val="000000"/>
          <w:szCs w:val="28"/>
        </w:rPr>
        <w:t>Noteikumi par elektroenerģijas ražošanu, izmantojot atjaunojamos energoresursus, un cenu noteikšanas kārtību</w:t>
      </w:r>
      <w:r w:rsidRPr="00562BCC">
        <w:rPr>
          <w:rFonts w:cs="Times New Roman"/>
          <w:color w:val="000000"/>
          <w:szCs w:val="28"/>
        </w:rPr>
        <w:t>” (turpmāk – MK noteikumi Nr.262)</w:t>
      </w:r>
      <w:r w:rsidRPr="00562BCC">
        <w:rPr>
          <w:rFonts w:cs="Times New Roman"/>
          <w:szCs w:val="28"/>
        </w:rPr>
        <w:t xml:space="preserve"> ietver nosacījumus elektroenerģijas ražotājiem tiesību iegūšanai pārdot no AER saražoto elektroenerģiju obligātā iepirkuma ietvaros.</w:t>
      </w:r>
      <w:r w:rsidRPr="00562BCC">
        <w:rPr>
          <w:rStyle w:val="FootnoteReference"/>
          <w:rFonts w:cs="Times New Roman"/>
          <w:sz w:val="28"/>
          <w:szCs w:val="28"/>
        </w:rPr>
        <w:footnoteReference w:id="23"/>
      </w:r>
      <w:r w:rsidRPr="00562BCC">
        <w:rPr>
          <w:rFonts w:cs="Times New Roman"/>
          <w:szCs w:val="28"/>
        </w:rPr>
        <w:t xml:space="preserve"> </w:t>
      </w:r>
    </w:p>
    <w:p w:rsidR="00562BCC" w:rsidRPr="00562BCC" w:rsidRDefault="00562BCC" w:rsidP="0050047A">
      <w:pPr>
        <w:tabs>
          <w:tab w:val="left" w:pos="4536"/>
        </w:tabs>
        <w:ind w:firstLine="720"/>
        <w:jc w:val="both"/>
        <w:rPr>
          <w:rFonts w:cs="Times New Roman"/>
          <w:szCs w:val="28"/>
        </w:rPr>
      </w:pPr>
      <w:r w:rsidRPr="00562BCC">
        <w:rPr>
          <w:rFonts w:cs="Times New Roman"/>
          <w:szCs w:val="28"/>
        </w:rPr>
        <w:t xml:space="preserve">Saskaņā ar Elektroenerģijas tirgus likuma 28.panta otro un septīto daļu un </w:t>
      </w:r>
      <w:r w:rsidRPr="00562BCC">
        <w:rPr>
          <w:rFonts w:cs="Times New Roman"/>
          <w:iCs/>
          <w:szCs w:val="28"/>
        </w:rPr>
        <w:t>28.</w:t>
      </w:r>
      <w:r w:rsidRPr="00562BCC">
        <w:rPr>
          <w:rFonts w:cs="Times New Roman"/>
          <w:iCs/>
          <w:szCs w:val="28"/>
          <w:vertAlign w:val="superscript"/>
        </w:rPr>
        <w:t>1</w:t>
      </w:r>
      <w:r w:rsidRPr="00562BCC">
        <w:rPr>
          <w:rFonts w:cs="Times New Roman"/>
          <w:iCs/>
          <w:szCs w:val="28"/>
        </w:rPr>
        <w:t>panta otro un piekto daļu</w:t>
      </w:r>
      <w:r w:rsidRPr="00562BCC">
        <w:rPr>
          <w:rFonts w:cs="Times New Roman"/>
          <w:szCs w:val="28"/>
        </w:rPr>
        <w:t xml:space="preserve"> izdoti Ministru kabineta 2009.gada 10.marta noteikumi Nr.221 „Noteikumi par elektroenerģijas ražošanu un cenu noteikšanu, </w:t>
      </w:r>
      <w:r w:rsidRPr="00562BCC">
        <w:rPr>
          <w:rFonts w:cs="Times New Roman"/>
          <w:szCs w:val="28"/>
        </w:rPr>
        <w:lastRenderedPageBreak/>
        <w:t>ražojot elektroenerģiju koģenerācijā” (turpmāk</w:t>
      </w:r>
      <w:r w:rsidRPr="00562BCC">
        <w:rPr>
          <w:rFonts w:cs="Times New Roman"/>
          <w:color w:val="000000"/>
          <w:szCs w:val="28"/>
        </w:rPr>
        <w:t>–</w:t>
      </w:r>
      <w:r w:rsidRPr="00562BCC">
        <w:rPr>
          <w:rFonts w:cs="Times New Roman"/>
          <w:szCs w:val="28"/>
        </w:rPr>
        <w:t>MK noteikumi Nr.221), kas regulē koģenerācijas procesā saražotas elektroenerģijas obligāto iepirkumu par noteiktu cenu, kā arī tiesības uz garantētas maksas par koģenerācijas elektrostacijā uzstādīto elektrisko jaudu saņemšanu.</w:t>
      </w:r>
      <w:r w:rsidRPr="00562BCC">
        <w:rPr>
          <w:rStyle w:val="FootnoteReference"/>
          <w:rFonts w:cs="Times New Roman"/>
          <w:sz w:val="28"/>
          <w:szCs w:val="28"/>
        </w:rPr>
        <w:footnoteReference w:id="24"/>
      </w:r>
    </w:p>
    <w:p w:rsidR="00562BCC" w:rsidRPr="00562BCC" w:rsidRDefault="00562BCC" w:rsidP="0050047A">
      <w:pPr>
        <w:pStyle w:val="BodyText"/>
        <w:spacing w:after="0"/>
        <w:ind w:firstLine="714"/>
        <w:jc w:val="both"/>
        <w:rPr>
          <w:sz w:val="28"/>
          <w:szCs w:val="28"/>
        </w:rPr>
      </w:pPr>
      <w:r w:rsidRPr="00562BCC">
        <w:rPr>
          <w:sz w:val="28"/>
          <w:szCs w:val="28"/>
        </w:rPr>
        <w:t xml:space="preserve">AER izmantojošu katlumāju jaudas pieaugums laika posmā no 2007.-2013.gadam tika sekmēts, novirzot ES fondu līdzekļus šādu projektu līdzfinansēšanai. Arī nākošajā plānošanas periodā paredzēts novirzīt struktūrfondu atbalstu fosilos energoresursus izmantojošo </w:t>
      </w:r>
      <w:proofErr w:type="spellStart"/>
      <w:r w:rsidRPr="00562BCC">
        <w:rPr>
          <w:sz w:val="28"/>
          <w:szCs w:val="28"/>
        </w:rPr>
        <w:t>siltumavotu</w:t>
      </w:r>
      <w:proofErr w:type="spellEnd"/>
      <w:r w:rsidRPr="00562BCC">
        <w:rPr>
          <w:sz w:val="28"/>
          <w:szCs w:val="28"/>
        </w:rPr>
        <w:t xml:space="preserve"> nomaiņai pret AER izmantojošiem </w:t>
      </w:r>
      <w:proofErr w:type="spellStart"/>
      <w:r w:rsidRPr="00562BCC">
        <w:rPr>
          <w:sz w:val="28"/>
          <w:szCs w:val="28"/>
        </w:rPr>
        <w:t>siltumavotiem</w:t>
      </w:r>
      <w:proofErr w:type="spellEnd"/>
      <w:r w:rsidRPr="00562BCC">
        <w:rPr>
          <w:sz w:val="28"/>
          <w:szCs w:val="28"/>
        </w:rPr>
        <w:t>. Vienlaikus arī atbalsts tehnoloģiju pārejai no fosilajiem energoresursiem uz AER un koģenerācijas staciju atbalstam tika sniegts Klimata pārmaiņu finanšu instrumenta un Lauku attīstības programmas ietvaros.</w:t>
      </w:r>
    </w:p>
    <w:p w:rsidR="00562BCC" w:rsidRPr="00562BCC" w:rsidRDefault="00562BCC" w:rsidP="0050047A">
      <w:pPr>
        <w:pStyle w:val="BodyText"/>
        <w:spacing w:after="0"/>
        <w:ind w:firstLine="714"/>
        <w:jc w:val="both"/>
        <w:rPr>
          <w:sz w:val="28"/>
          <w:szCs w:val="28"/>
        </w:rPr>
      </w:pPr>
      <w:r w:rsidRPr="00562BCC">
        <w:rPr>
          <w:sz w:val="28"/>
          <w:szCs w:val="28"/>
        </w:rPr>
        <w:t>Ņemot vērā, ka ēku energoapgādē lielu siltuma īpatsvaru nodrošina tieši centralizētas siltumapgādes sistēmas, kas izmanto fosilos kurināmā resursus, siltumenerģijas patēriņa samazinājums ēkās samazinās fosilās enerģijas patēriņu ļaujot palielināt atjaunojamās enerģijas īpatsvaru enerģijas bruto galapatēriņā, kā arī samazināt valsts kopējo SEG emisiju apjomu.</w:t>
      </w:r>
    </w:p>
    <w:p w:rsidR="004B6E3A" w:rsidRPr="008C4049" w:rsidRDefault="0050047A" w:rsidP="004B6E3A">
      <w:pPr>
        <w:pStyle w:val="Heading3"/>
        <w:rPr>
          <w:rFonts w:ascii="Times New Roman" w:hAnsi="Times New Roman" w:cs="Times New Roman"/>
          <w:color w:val="auto"/>
          <w:szCs w:val="28"/>
        </w:rPr>
      </w:pPr>
      <w:bookmarkStart w:id="42" w:name="_Toc400714685"/>
      <w:r w:rsidRPr="008C4049">
        <w:rPr>
          <w:rFonts w:ascii="Times New Roman" w:hAnsi="Times New Roman" w:cs="Times New Roman"/>
          <w:color w:val="auto"/>
          <w:szCs w:val="28"/>
        </w:rPr>
        <w:t>6</w:t>
      </w:r>
      <w:r w:rsidR="004B6E3A" w:rsidRPr="008C4049">
        <w:rPr>
          <w:rFonts w:ascii="Times New Roman" w:hAnsi="Times New Roman" w:cs="Times New Roman"/>
          <w:color w:val="auto"/>
          <w:szCs w:val="28"/>
        </w:rPr>
        <w:t xml:space="preserve">.1.1. AER mērķi </w:t>
      </w:r>
      <w:r w:rsidR="008A6CC8" w:rsidRPr="008C4049">
        <w:rPr>
          <w:rFonts w:ascii="Times New Roman" w:hAnsi="Times New Roman" w:cs="Times New Roman"/>
          <w:color w:val="auto"/>
          <w:szCs w:val="28"/>
        </w:rPr>
        <w:t>un izmantošanas veicināšana</w:t>
      </w:r>
      <w:bookmarkEnd w:id="42"/>
    </w:p>
    <w:p w:rsidR="00562BCC" w:rsidRPr="00562BCC" w:rsidRDefault="00562BCC" w:rsidP="008C4049">
      <w:pPr>
        <w:ind w:firstLine="720"/>
        <w:jc w:val="both"/>
        <w:rPr>
          <w:rFonts w:cs="Times New Roman"/>
          <w:szCs w:val="28"/>
        </w:rPr>
      </w:pPr>
      <w:r w:rsidRPr="00562BCC">
        <w:rPr>
          <w:rFonts w:cs="Times New Roman"/>
          <w:szCs w:val="28"/>
        </w:rPr>
        <w:t>Vērtējot energoapgādes drošību reģionā, nozīmīgu lomu ieņem AER. Saskaņā ar Eiropas Parlament</w:t>
      </w:r>
      <w:r w:rsidR="00A34A2D">
        <w:rPr>
          <w:rFonts w:cs="Times New Roman"/>
          <w:szCs w:val="28"/>
        </w:rPr>
        <w:t>a</w:t>
      </w:r>
      <w:r w:rsidRPr="00562BCC">
        <w:rPr>
          <w:rFonts w:cs="Times New Roman"/>
          <w:szCs w:val="28"/>
        </w:rPr>
        <w:t xml:space="preserve"> un Padom</w:t>
      </w:r>
      <w:r w:rsidR="00A34A2D">
        <w:rPr>
          <w:rFonts w:cs="Times New Roman"/>
          <w:szCs w:val="28"/>
        </w:rPr>
        <w:t>es</w:t>
      </w:r>
      <w:r w:rsidRPr="00562BCC">
        <w:rPr>
          <w:rFonts w:cs="Times New Roman"/>
          <w:szCs w:val="28"/>
        </w:rPr>
        <w:t xml:space="preserve"> 2009.gada 23.aprīļa Direktīvas 2009/28/EK par atjaunojamo energoresursu izmantošanas veicināšanu un ar ko groza un sekojoši atceļ Direktīvas 2001/77/EK un 2003/30/EK (turpmāk - Direktīva 2009/28/EK) 1.pielikumu Latvijai ir apņēmusies līdz 2020.gadam palielināt no AER saražotās enerģijas īpatsvaru enerģijas bruto galapatēriņā līdz 40%, un no AER saražotās enerģijas īpatsvaru transporta sektorā jāsasniedz vismaz 10% no enerģijas bruto galapatēriņa transportā. Statistikas dati liecina, ka Latvijā 2011.–2012.gadā ir panākts progress </w:t>
      </w:r>
      <w:r w:rsidR="00AB25C2">
        <w:rPr>
          <w:rFonts w:cs="Times New Roman"/>
          <w:szCs w:val="28"/>
        </w:rPr>
        <w:t>atjaunojamās enerģijas</w:t>
      </w:r>
      <w:r w:rsidR="00AB25C2" w:rsidRPr="00562BCC">
        <w:rPr>
          <w:rFonts w:cs="Times New Roman"/>
          <w:szCs w:val="28"/>
        </w:rPr>
        <w:t xml:space="preserve"> </w:t>
      </w:r>
      <w:r w:rsidRPr="00562BCC">
        <w:rPr>
          <w:rFonts w:cs="Times New Roman"/>
          <w:szCs w:val="28"/>
        </w:rPr>
        <w:t xml:space="preserve">plašākā izmantošanā. </w:t>
      </w:r>
    </w:p>
    <w:p w:rsidR="00562BCC" w:rsidRPr="00562BCC" w:rsidRDefault="00562BCC" w:rsidP="008C4049">
      <w:pPr>
        <w:ind w:firstLine="720"/>
        <w:jc w:val="both"/>
        <w:rPr>
          <w:rFonts w:cs="Times New Roman"/>
          <w:szCs w:val="28"/>
        </w:rPr>
      </w:pPr>
      <w:r w:rsidRPr="00562BCC">
        <w:rPr>
          <w:rFonts w:cs="Times New Roman"/>
          <w:szCs w:val="28"/>
        </w:rPr>
        <w:t>Enerģētikas likuma 3.pants nosaka, ka viens no šī likuma mērķiem ir AER izmantošana veicināšana. Savukārt  Enerģētikas likuma 84.pants, kurā noteiktas regulatora funkcijas, paredz, ka viena no tā funkcijām ir sekmēt vietējo un AER izmantošanu energoapgādē.</w:t>
      </w:r>
    </w:p>
    <w:p w:rsidR="00562BCC" w:rsidRPr="00562BCC" w:rsidRDefault="00562BCC" w:rsidP="008C4049">
      <w:pPr>
        <w:ind w:firstLine="720"/>
        <w:jc w:val="both"/>
        <w:rPr>
          <w:rFonts w:cs="Times New Roman"/>
          <w:szCs w:val="28"/>
        </w:rPr>
      </w:pPr>
      <w:r w:rsidRPr="00562BCC">
        <w:rPr>
          <w:rFonts w:cs="Times New Roman"/>
          <w:szCs w:val="28"/>
        </w:rPr>
        <w:t>Arī Elektroenerģijas tirgus likuma 2.pants nosaka, ka viens no tā mērķiem ir veicināt elektroenerģijas ražošanu, izmantojot AER. Elektroenerģijas tirgus likuma 29.</w:t>
      </w:r>
      <w:r w:rsidRPr="00562BCC">
        <w:rPr>
          <w:rFonts w:cs="Times New Roman"/>
          <w:szCs w:val="28"/>
          <w:vertAlign w:val="superscript"/>
        </w:rPr>
        <w:t>2</w:t>
      </w:r>
      <w:r w:rsidRPr="00562BCC">
        <w:rPr>
          <w:rFonts w:cs="Times New Roman"/>
          <w:szCs w:val="28"/>
        </w:rPr>
        <w:t>pants nosaka, ka elektroenerģijas ražotāji, kuri elektroenerģijas ražošanai izmanto AER, par saražotās elektroenerģijas daudzumu var saņemt izcelsmes apliecinājumu.</w:t>
      </w:r>
    </w:p>
    <w:p w:rsidR="00161152" w:rsidRPr="008C4049" w:rsidRDefault="0050047A" w:rsidP="00161152">
      <w:pPr>
        <w:pStyle w:val="Heading3"/>
        <w:rPr>
          <w:rFonts w:ascii="Times New Roman" w:hAnsi="Times New Roman" w:cs="Times New Roman"/>
          <w:color w:val="auto"/>
          <w:szCs w:val="28"/>
        </w:rPr>
      </w:pPr>
      <w:bookmarkStart w:id="43" w:name="_Toc400714686"/>
      <w:r w:rsidRPr="008C4049">
        <w:rPr>
          <w:rFonts w:ascii="Times New Roman" w:hAnsi="Times New Roman" w:cs="Times New Roman"/>
          <w:color w:val="auto"/>
          <w:szCs w:val="28"/>
        </w:rPr>
        <w:lastRenderedPageBreak/>
        <w:t>6</w:t>
      </w:r>
      <w:r w:rsidR="00161152" w:rsidRPr="008C4049">
        <w:rPr>
          <w:rFonts w:ascii="Times New Roman" w:hAnsi="Times New Roman" w:cs="Times New Roman"/>
          <w:color w:val="auto"/>
          <w:szCs w:val="28"/>
        </w:rPr>
        <w:t>.1.</w:t>
      </w:r>
      <w:r w:rsidR="008A6CC8" w:rsidRPr="008C4049">
        <w:rPr>
          <w:rFonts w:ascii="Times New Roman" w:hAnsi="Times New Roman" w:cs="Times New Roman"/>
          <w:color w:val="auto"/>
          <w:szCs w:val="28"/>
        </w:rPr>
        <w:t>2</w:t>
      </w:r>
      <w:r w:rsidR="00161152" w:rsidRPr="008C4049">
        <w:rPr>
          <w:rFonts w:ascii="Times New Roman" w:hAnsi="Times New Roman" w:cs="Times New Roman"/>
          <w:color w:val="auto"/>
          <w:szCs w:val="28"/>
        </w:rPr>
        <w:t>. Neto uzskaite</w:t>
      </w:r>
      <w:bookmarkEnd w:id="43"/>
    </w:p>
    <w:p w:rsidR="00161152" w:rsidRPr="00161152" w:rsidRDefault="00161152" w:rsidP="008C4049">
      <w:pPr>
        <w:ind w:firstLine="720"/>
        <w:jc w:val="both"/>
      </w:pPr>
      <w:r w:rsidRPr="00161152">
        <w:t xml:space="preserve">Lai sasniegtu AER mērķi, Latvija papildu citiem pasākumiem elektroenerģijas tirgū no 2014.gada 1.janvāra ir ieviesusi neto uzskaites sistēmu. Tās mērķis ir veicināt AE izmantošanu mājsaimniecību sektorā. Neto uzskaites sistēma paredz nosacījumus, kā nodrošināt mājsaimniecību galvenokārt savam patēriņam no AER saražotās elektroenerģijas nodošanu elektroenerģijas tīklā un nepieciešamības gadījumā tāda paša daudzuma saņemšanu atpakaļ. </w:t>
      </w:r>
    </w:p>
    <w:p w:rsidR="00161152" w:rsidRPr="00161152" w:rsidRDefault="00161152" w:rsidP="008C4049">
      <w:pPr>
        <w:ind w:firstLine="720"/>
        <w:jc w:val="both"/>
      </w:pPr>
      <w:r w:rsidRPr="00161152">
        <w:t>Tiesības slēgt līgumu par neto norēķinu sistēmas izmantošanu ir mājsaimniecības lietotājiem, ja elektroenerģija mājsaimniecībā tiek ražota, izmantojot AER, tā tiek ražota un izlietota viena sistēmas pieslēguma ietvaros, mājsaimniecībā uzstādīto elektroenerģijas ražošanas iekārtu darba spriegums nepārsniedz 400 voltus un kopējā darba strāva vienfāzes vai trīsfāzu pieslēgumā nepārsniedz 16 ampērus.</w:t>
      </w:r>
    </w:p>
    <w:p w:rsidR="00161152" w:rsidRPr="00161152" w:rsidRDefault="00161152" w:rsidP="008C4049">
      <w:pPr>
        <w:ind w:firstLine="720"/>
        <w:jc w:val="both"/>
      </w:pPr>
      <w:r w:rsidRPr="00161152">
        <w:t xml:space="preserve">Sistēma paredz, ka sadales sistēmas operators (turpmāk – SSO), ņemot vērā ar lietotāju noslēgto vienošanos, veic ieskaitu par patērēto elektroenerģiju un to saražoto elektroenerģiju, kas nodota sadales sistēmas operatora tīklā. Ja pēc aprēķina lietotājs elektroenerģijas sadales sistēmas operatora tīklā ir nodevis vairāk elektroenerģijas nekā patērējis, to elektroenerģijas apjomu ieskaita nākamajā patērētās elektroenerģijas norēķinu periodā. </w:t>
      </w:r>
    </w:p>
    <w:p w:rsidR="00161152" w:rsidRDefault="00161152" w:rsidP="008C4049">
      <w:pPr>
        <w:ind w:firstLine="720"/>
        <w:jc w:val="both"/>
      </w:pPr>
      <w:r w:rsidRPr="00161152">
        <w:t>Elektroenerģijas neto norēķinu sistēmas aprēķina periods ir viens kalendārais mēnesis, un elektroenerģijas neto norēķinu sistēma darbojas viena kalendārā gada laikā, proti, uzskaite par tīklā nodoto elektroenerģiju tiek sākta no sākuma.</w:t>
      </w:r>
    </w:p>
    <w:p w:rsidR="004B6E3A" w:rsidRPr="008C4049" w:rsidRDefault="0050047A" w:rsidP="00AC2480">
      <w:pPr>
        <w:pStyle w:val="Heading2"/>
        <w:rPr>
          <w:rFonts w:ascii="Times New Roman" w:hAnsi="Times New Roman" w:cs="Times New Roman"/>
          <w:color w:val="auto"/>
          <w:sz w:val="28"/>
          <w:szCs w:val="28"/>
        </w:rPr>
      </w:pPr>
      <w:bookmarkStart w:id="44" w:name="_Toc400714687"/>
      <w:r w:rsidRPr="008C4049">
        <w:rPr>
          <w:rFonts w:ascii="Times New Roman" w:hAnsi="Times New Roman" w:cs="Times New Roman"/>
          <w:color w:val="auto"/>
          <w:sz w:val="28"/>
          <w:szCs w:val="28"/>
        </w:rPr>
        <w:t>6.2</w:t>
      </w:r>
      <w:r w:rsidR="004B6E3A" w:rsidRPr="008C4049">
        <w:rPr>
          <w:rFonts w:ascii="Times New Roman" w:hAnsi="Times New Roman" w:cs="Times New Roman"/>
          <w:color w:val="auto"/>
          <w:sz w:val="28"/>
          <w:szCs w:val="28"/>
        </w:rPr>
        <w:t>. Biodegviela</w:t>
      </w:r>
      <w:r w:rsidR="003647FD" w:rsidRPr="008C4049">
        <w:rPr>
          <w:rFonts w:ascii="Times New Roman" w:hAnsi="Times New Roman" w:cs="Times New Roman"/>
          <w:color w:val="auto"/>
          <w:sz w:val="28"/>
          <w:szCs w:val="28"/>
        </w:rPr>
        <w:t>s</w:t>
      </w:r>
      <w:bookmarkEnd w:id="44"/>
    </w:p>
    <w:p w:rsidR="00841DDA" w:rsidRPr="00F26661" w:rsidRDefault="00841DDA" w:rsidP="00841DDA">
      <w:pPr>
        <w:ind w:firstLine="720"/>
        <w:jc w:val="both"/>
        <w:rPr>
          <w:rFonts w:eastAsia="Times New Roman" w:cs="Times New Roman"/>
          <w:szCs w:val="28"/>
        </w:rPr>
      </w:pPr>
      <w:r>
        <w:rPr>
          <w:rFonts w:eastAsia="Times New Roman" w:cs="Times New Roman"/>
          <w:szCs w:val="28"/>
        </w:rPr>
        <w:t>Visp</w:t>
      </w:r>
      <w:r w:rsidRPr="00F26661">
        <w:rPr>
          <w:rFonts w:eastAsia="Times New Roman" w:cs="Times New Roman"/>
          <w:szCs w:val="28"/>
        </w:rPr>
        <w:t xml:space="preserve">lašāk pazīstamie biodegvielas veidi ir bioetanols un biodīzeļdegviela, </w:t>
      </w:r>
      <w:r>
        <w:rPr>
          <w:rFonts w:eastAsia="Times New Roman" w:cs="Times New Roman"/>
          <w:szCs w:val="28"/>
        </w:rPr>
        <w:t>tomēr pasaulē kā autotransporta degvielu</w:t>
      </w:r>
      <w:r w:rsidRPr="00F26661">
        <w:rPr>
          <w:rFonts w:eastAsia="Times New Roman" w:cs="Times New Roman"/>
          <w:szCs w:val="28"/>
        </w:rPr>
        <w:t xml:space="preserve"> izmanto arī tīru augu eļļu. </w:t>
      </w:r>
    </w:p>
    <w:p w:rsidR="00841DDA" w:rsidRPr="00F26661" w:rsidRDefault="00841DDA" w:rsidP="008C4049">
      <w:pPr>
        <w:ind w:firstLine="720"/>
        <w:jc w:val="both"/>
        <w:rPr>
          <w:rFonts w:eastAsia="Calibri" w:cs="Times New Roman"/>
          <w:szCs w:val="28"/>
        </w:rPr>
      </w:pPr>
      <w:r w:rsidRPr="00F26661">
        <w:rPr>
          <w:rFonts w:eastAsia="Calibri" w:cs="Times New Roman"/>
          <w:szCs w:val="28"/>
        </w:rPr>
        <w:t xml:space="preserve">Latvijā </w:t>
      </w:r>
      <w:r>
        <w:rPr>
          <w:rFonts w:eastAsia="Calibri" w:cs="Times New Roman"/>
          <w:szCs w:val="28"/>
        </w:rPr>
        <w:t>b</w:t>
      </w:r>
      <w:r w:rsidRPr="00F26661">
        <w:rPr>
          <w:rFonts w:eastAsia="Calibri" w:cs="Times New Roman"/>
          <w:szCs w:val="28"/>
        </w:rPr>
        <w:t xml:space="preserve">ioetanola ražošanai izmanto </w:t>
      </w:r>
      <w:r>
        <w:rPr>
          <w:rFonts w:eastAsia="Calibri" w:cs="Times New Roman"/>
          <w:szCs w:val="28"/>
        </w:rPr>
        <w:t xml:space="preserve">graudaugus - </w:t>
      </w:r>
      <w:r w:rsidRPr="00F26661">
        <w:rPr>
          <w:rFonts w:eastAsia="Calibri" w:cs="Times New Roman"/>
          <w:szCs w:val="28"/>
        </w:rPr>
        <w:t xml:space="preserve">kviešus, rudzus un tritikāli, bet tīras augu eļļas un biodīzeļdegvielas ražošanai </w:t>
      </w:r>
      <w:r>
        <w:rPr>
          <w:rFonts w:eastAsia="Calibri" w:cs="Times New Roman"/>
          <w:szCs w:val="28"/>
        </w:rPr>
        <w:t>-</w:t>
      </w:r>
      <w:r w:rsidRPr="00F26661">
        <w:rPr>
          <w:rFonts w:eastAsia="Calibri" w:cs="Times New Roman"/>
          <w:szCs w:val="28"/>
        </w:rPr>
        <w:t xml:space="preserve"> rapsi.</w:t>
      </w:r>
      <w:r w:rsidR="00263F10">
        <w:rPr>
          <w:rFonts w:eastAsia="Calibri" w:cs="Times New Roman"/>
          <w:szCs w:val="28"/>
        </w:rPr>
        <w:t xml:space="preserve"> </w:t>
      </w:r>
      <w:r w:rsidRPr="00F26661">
        <w:rPr>
          <w:rFonts w:eastAsia="Calibri" w:cs="Times New Roman"/>
          <w:szCs w:val="28"/>
        </w:rPr>
        <w:t xml:space="preserve">Daļa no </w:t>
      </w:r>
      <w:r>
        <w:rPr>
          <w:rFonts w:eastAsia="Calibri" w:cs="Times New Roman"/>
          <w:szCs w:val="28"/>
        </w:rPr>
        <w:t xml:space="preserve">Latvijā </w:t>
      </w:r>
      <w:r w:rsidRPr="00F26661">
        <w:rPr>
          <w:rFonts w:eastAsia="Calibri" w:cs="Times New Roman"/>
          <w:szCs w:val="28"/>
        </w:rPr>
        <w:t xml:space="preserve">saražotās biodegvielas tiek izvesta uz Mažeiķu naftas pārstrādes rūpnīcu, kur biodegviela tiek sajaukta ar fosilo degvielu atbilstoši Latvijas prasībai, ka fosilo degvielu atļauts realizēt tikai ar 5% biodegvielu piejaukumu, un pēc tam ievesta atpakaļ </w:t>
      </w:r>
      <w:r>
        <w:rPr>
          <w:rFonts w:eastAsia="Calibri" w:cs="Times New Roman"/>
          <w:szCs w:val="28"/>
        </w:rPr>
        <w:t>realizācijai</w:t>
      </w:r>
      <w:r w:rsidRPr="00F26661">
        <w:rPr>
          <w:rFonts w:eastAsia="Calibri" w:cs="Times New Roman"/>
          <w:szCs w:val="28"/>
        </w:rPr>
        <w:t xml:space="preserve"> Latvijas tirgū. </w:t>
      </w:r>
    </w:p>
    <w:p w:rsidR="00841DDA" w:rsidRPr="00F26661" w:rsidRDefault="00841DDA" w:rsidP="00841DDA">
      <w:pPr>
        <w:ind w:firstLine="720"/>
        <w:jc w:val="both"/>
        <w:rPr>
          <w:rFonts w:eastAsia="Times New Roman" w:cs="Times New Roman"/>
          <w:szCs w:val="28"/>
        </w:rPr>
      </w:pPr>
      <w:r w:rsidRPr="00C277CD">
        <w:rPr>
          <w:rFonts w:eastAsia="Times New Roman" w:cs="Times New Roman"/>
          <w:szCs w:val="28"/>
        </w:rPr>
        <w:t>Biodegviel</w:t>
      </w:r>
      <w:r w:rsidR="00C277CD">
        <w:rPr>
          <w:rFonts w:eastAsia="Times New Roman" w:cs="Times New Roman"/>
          <w:szCs w:val="28"/>
        </w:rPr>
        <w:t>u</w:t>
      </w:r>
      <w:r w:rsidRPr="00C277CD">
        <w:rPr>
          <w:rFonts w:eastAsia="Times New Roman" w:cs="Times New Roman"/>
          <w:szCs w:val="28"/>
        </w:rPr>
        <w:t xml:space="preserve"> </w:t>
      </w:r>
      <w:r w:rsidR="00C277CD">
        <w:rPr>
          <w:rFonts w:eastAsia="Times New Roman" w:cs="Times New Roman"/>
          <w:szCs w:val="28"/>
        </w:rPr>
        <w:t>patēriņš</w:t>
      </w:r>
      <w:r w:rsidRPr="00C277CD">
        <w:rPr>
          <w:rFonts w:eastAsia="Times New Roman" w:cs="Times New Roman"/>
          <w:szCs w:val="28"/>
        </w:rPr>
        <w:t xml:space="preserve"> </w:t>
      </w:r>
      <w:r w:rsidR="00C277CD">
        <w:rPr>
          <w:rFonts w:eastAsia="Times New Roman" w:cs="Times New Roman"/>
          <w:szCs w:val="28"/>
        </w:rPr>
        <w:t xml:space="preserve">2012.gada </w:t>
      </w:r>
      <w:r w:rsidRPr="00C277CD">
        <w:rPr>
          <w:rFonts w:eastAsia="Times New Roman" w:cs="Times New Roman"/>
          <w:szCs w:val="28"/>
        </w:rPr>
        <w:t xml:space="preserve">Latvijas </w:t>
      </w:r>
      <w:r w:rsidR="00C277CD">
        <w:rPr>
          <w:rFonts w:eastAsia="Times New Roman" w:cs="Times New Roman"/>
          <w:szCs w:val="28"/>
        </w:rPr>
        <w:t xml:space="preserve">kopējā </w:t>
      </w:r>
      <w:r w:rsidRPr="00C277CD">
        <w:rPr>
          <w:rFonts w:eastAsia="Times New Roman" w:cs="Times New Roman"/>
          <w:szCs w:val="28"/>
        </w:rPr>
        <w:t xml:space="preserve">primāro energoresursu patēriņā </w:t>
      </w:r>
      <w:r w:rsidR="00976EE2">
        <w:rPr>
          <w:rFonts w:eastAsia="Times New Roman" w:cs="Times New Roman"/>
          <w:szCs w:val="28"/>
        </w:rPr>
        <w:t xml:space="preserve">bija 28 </w:t>
      </w:r>
      <w:proofErr w:type="spellStart"/>
      <w:r w:rsidR="00976EE2">
        <w:rPr>
          <w:rFonts w:eastAsia="Times New Roman" w:cs="Times New Roman"/>
          <w:szCs w:val="28"/>
        </w:rPr>
        <w:t>tūkst</w:t>
      </w:r>
      <w:proofErr w:type="spellEnd"/>
      <w:r w:rsidR="00976EE2">
        <w:rPr>
          <w:rFonts w:eastAsia="Times New Roman" w:cs="Times New Roman"/>
          <w:szCs w:val="28"/>
        </w:rPr>
        <w:t>. t jeb 0,9</w:t>
      </w:r>
      <w:r w:rsidR="00B1766F">
        <w:rPr>
          <w:rFonts w:eastAsia="Times New Roman" w:cs="Times New Roman"/>
          <w:szCs w:val="28"/>
        </w:rPr>
        <w:t>4</w:t>
      </w:r>
      <w:r w:rsidR="00976EE2">
        <w:rPr>
          <w:rFonts w:eastAsia="Times New Roman" w:cs="Times New Roman"/>
          <w:szCs w:val="28"/>
        </w:rPr>
        <w:t xml:space="preserve"> PJ (2010.gadā </w:t>
      </w:r>
      <w:r w:rsidR="00B1766F">
        <w:rPr>
          <w:rFonts w:eastAsia="Times New Roman" w:cs="Times New Roman"/>
          <w:szCs w:val="28"/>
        </w:rPr>
        <w:t xml:space="preserve">– 35 </w:t>
      </w:r>
      <w:proofErr w:type="spellStart"/>
      <w:r w:rsidR="00B1766F">
        <w:rPr>
          <w:rFonts w:eastAsia="Times New Roman" w:cs="Times New Roman"/>
          <w:szCs w:val="28"/>
        </w:rPr>
        <w:t>tūkst</w:t>
      </w:r>
      <w:proofErr w:type="spellEnd"/>
      <w:r w:rsidR="00B1766F">
        <w:rPr>
          <w:rFonts w:eastAsia="Times New Roman" w:cs="Times New Roman"/>
          <w:szCs w:val="28"/>
        </w:rPr>
        <w:t xml:space="preserve">. t jeb 1,16 PJ, 2011.gadā – 32 </w:t>
      </w:r>
      <w:proofErr w:type="spellStart"/>
      <w:r w:rsidR="00B1766F">
        <w:rPr>
          <w:rFonts w:eastAsia="Times New Roman" w:cs="Times New Roman"/>
          <w:szCs w:val="28"/>
        </w:rPr>
        <w:t>tūkst</w:t>
      </w:r>
      <w:proofErr w:type="spellEnd"/>
      <w:r w:rsidR="00B1766F">
        <w:rPr>
          <w:rFonts w:eastAsia="Times New Roman" w:cs="Times New Roman"/>
          <w:szCs w:val="28"/>
        </w:rPr>
        <w:t>. t jeb 1,07 PJ).</w:t>
      </w:r>
    </w:p>
    <w:p w:rsidR="00841DDA" w:rsidRPr="00841DDA" w:rsidRDefault="00841DDA" w:rsidP="00841DDA">
      <w:pPr>
        <w:ind w:firstLine="720"/>
        <w:jc w:val="both"/>
        <w:rPr>
          <w:rFonts w:eastAsia="Times New Roman" w:cs="Times New Roman"/>
          <w:szCs w:val="28"/>
        </w:rPr>
      </w:pPr>
      <w:r w:rsidRPr="00F26661">
        <w:rPr>
          <w:rFonts w:eastAsia="Times New Roman" w:cs="Times New Roman"/>
          <w:szCs w:val="28"/>
        </w:rPr>
        <w:t xml:space="preserve">Pašlaik Latvijā netiek ražotas un izmantotas otrās paaudzes biodegvielas, kas ražotas no atkritumiem, atlikumiem, nepārtikas celulozes izejvielām un </w:t>
      </w:r>
      <w:proofErr w:type="spellStart"/>
      <w:r w:rsidRPr="00F26661">
        <w:rPr>
          <w:rFonts w:eastAsia="Times New Roman" w:cs="Times New Roman"/>
          <w:szCs w:val="28"/>
        </w:rPr>
        <w:t>lignocelulozes</w:t>
      </w:r>
      <w:proofErr w:type="spellEnd"/>
      <w:r w:rsidRPr="00F26661">
        <w:rPr>
          <w:rFonts w:eastAsia="Times New Roman" w:cs="Times New Roman"/>
          <w:szCs w:val="28"/>
        </w:rPr>
        <w:t xml:space="preserve"> izejvielām.</w:t>
      </w:r>
    </w:p>
    <w:p w:rsidR="003647FD" w:rsidRPr="003647FD" w:rsidRDefault="003647FD" w:rsidP="008C4049">
      <w:pPr>
        <w:ind w:firstLine="720"/>
        <w:jc w:val="both"/>
      </w:pPr>
      <w:r w:rsidRPr="003647FD">
        <w:t>Enerģētikas attīstības pamatnostādņu 2006.-2016. gadam īstenošanas laikā ir īstenoti šādi pasākumi biodegvielu izmantošanas veicināšanai:</w:t>
      </w:r>
    </w:p>
    <w:p w:rsidR="003647FD" w:rsidRPr="003647FD" w:rsidRDefault="003647FD" w:rsidP="00E0606B">
      <w:pPr>
        <w:pStyle w:val="ListParagraph"/>
        <w:numPr>
          <w:ilvl w:val="0"/>
          <w:numId w:val="18"/>
        </w:numPr>
        <w:jc w:val="both"/>
      </w:pPr>
      <w:r w:rsidRPr="003647FD">
        <w:lastRenderedPageBreak/>
        <w:t>Lai atbalstītu biodegvielas izmantošanu un īstenotu Kioto protokolā noteiktās prasības, kā arī pildītu Latvijas saistības attiecībā uz klimata pārmaiņām, vides aizsardzību, piegādes drošību un atjaunojamo enerģijas avotu izmantošanas veicināšanu</w:t>
      </w:r>
      <w:r w:rsidR="008C4049">
        <w:t>.</w:t>
      </w:r>
      <w:r w:rsidR="008C4049" w:rsidRPr="003647FD">
        <w:t xml:space="preserve"> </w:t>
      </w:r>
      <w:r w:rsidRPr="003647FD">
        <w:t>ZM 2005.gadā izstrādāja un ieviesa valsts atbalsta programmu „Atbalsts biodegvielas ražošanai” (N 540/2005; ar grozījumiem N254/2007 un grozījumiem N26/a/2010), kuras ietvaros laika posmā no 2005.gada līdz 2010.gadam tika sniegts valsts atbalsts (finansiāli atbalstāmās kvotas) biodegvielas ražošanai.</w:t>
      </w:r>
    </w:p>
    <w:p w:rsidR="003647FD" w:rsidRPr="003647FD" w:rsidRDefault="003647FD" w:rsidP="00E0606B">
      <w:pPr>
        <w:pStyle w:val="ListParagraph"/>
        <w:numPr>
          <w:ilvl w:val="0"/>
          <w:numId w:val="18"/>
        </w:numPr>
        <w:jc w:val="both"/>
      </w:pPr>
      <w:r w:rsidRPr="003647FD">
        <w:t>Ņemot vērā, ka biodegvielu ražošanas izmaksas un tādējādi cenas mazumtirdzniecībā līdz šim ir bijušas augstākas kā fosilajai degvielai, saskaņā ar likumu „Par akcīzes nodokli” no 2006.gada biodegvielai un tās maisījumiem ar fosilo degvielu (B100, E85, B30) atkarībā no biodegvielas daudzuma degvielā piemēro samazinātas akcīzes nodokļa likmes (</w:t>
      </w:r>
      <w:r w:rsidR="00956F6B">
        <w:t>13</w:t>
      </w:r>
      <w:r w:rsidR="00263F10">
        <w:t>.tabulu</w:t>
      </w:r>
      <w:r w:rsidRPr="00E0606B">
        <w:rPr>
          <w:i/>
        </w:rPr>
        <w:t>).</w:t>
      </w:r>
      <w:r w:rsidRPr="003647FD">
        <w:t xml:space="preserve"> Samazinātās akcīzes nodokļa likmes vienādi tiek piemērotas kā iekšzemē saražotajai, tā arī no citām ES dalībvalstīm ievestajai biodegvielai un tās maisījumiem ar fosilo degvielu. </w:t>
      </w:r>
    </w:p>
    <w:p w:rsidR="008B78B3" w:rsidRDefault="008B78B3" w:rsidP="008B78B3">
      <w:pPr>
        <w:jc w:val="both"/>
      </w:pPr>
    </w:p>
    <w:p w:rsidR="00117C29" w:rsidRPr="003647FD" w:rsidRDefault="008B78B3" w:rsidP="008B78B3">
      <w:pPr>
        <w:ind w:firstLine="720"/>
        <w:jc w:val="both"/>
      </w:pPr>
      <w:r w:rsidRPr="003647FD">
        <w:t>Saskaņā ar Eiropas Komisijas (turpmāk – EK) 2012.gada 18.jūnija lēmumu valsts atbalsta lietā Nr.SA.33517 (2011/N) – Akcīzes nodokļa samazināto likmju biodegvielai grozījumi un to darbības termiņa pagarināšana (N 540/2005 grozīts ar N 254/2007) Latvijai līdz 2013.gada 31.decembrim tika atļauts piemērot diferencētus nodokļus līmeņus biodegvielai un biodegvielas un fosilās degvielas maisījumiem ar augstu biodegvielas koncentrāciju (B100, E85, B30).</w:t>
      </w:r>
    </w:p>
    <w:p w:rsidR="00A062E0" w:rsidRPr="00956F6B" w:rsidRDefault="00956F6B" w:rsidP="00956F6B">
      <w:pPr>
        <w:jc w:val="right"/>
        <w:rPr>
          <w:rFonts w:eastAsia="Calibri"/>
          <w:szCs w:val="28"/>
        </w:rPr>
      </w:pPr>
      <w:r w:rsidRPr="00956F6B">
        <w:rPr>
          <w:rFonts w:eastAsia="Calibri"/>
          <w:szCs w:val="28"/>
        </w:rPr>
        <w:t>1</w:t>
      </w:r>
      <w:r>
        <w:rPr>
          <w:rFonts w:eastAsia="Calibri"/>
          <w:szCs w:val="28"/>
        </w:rPr>
        <w:t>3</w:t>
      </w:r>
      <w:r w:rsidR="00A062E0" w:rsidRPr="00956F6B">
        <w:rPr>
          <w:rFonts w:eastAsia="Calibri"/>
          <w:szCs w:val="28"/>
        </w:rPr>
        <w:t xml:space="preserve">.tabula </w:t>
      </w:r>
    </w:p>
    <w:p w:rsidR="00D15886" w:rsidRDefault="003647FD" w:rsidP="00D15886">
      <w:pPr>
        <w:ind w:firstLine="360"/>
        <w:jc w:val="center"/>
        <w:rPr>
          <w:b/>
        </w:rPr>
      </w:pPr>
      <w:r w:rsidRPr="003647FD">
        <w:rPr>
          <w:b/>
        </w:rPr>
        <w:t>Akcīzes nodokļa likmes degvielām Latvijā,</w:t>
      </w:r>
    </w:p>
    <w:p w:rsidR="003647FD" w:rsidRDefault="00E004C4" w:rsidP="00D15886">
      <w:pPr>
        <w:ind w:firstLine="360"/>
        <w:jc w:val="center"/>
        <w:rPr>
          <w:b/>
        </w:rPr>
      </w:pPr>
      <w:r>
        <w:rPr>
          <w:b/>
        </w:rPr>
        <w:t>EUR</w:t>
      </w:r>
      <w:r w:rsidR="003647FD" w:rsidRPr="003647FD">
        <w:rPr>
          <w:b/>
        </w:rPr>
        <w:t>/1000</w:t>
      </w:r>
      <w:r w:rsidR="003647FD" w:rsidRPr="003647FD">
        <w:t> </w:t>
      </w:r>
      <w:r w:rsidR="003647FD" w:rsidRPr="003647FD">
        <w:rPr>
          <w:b/>
        </w:rPr>
        <w:t>litriem</w:t>
      </w:r>
      <w:r w:rsidR="00956F6B">
        <w:rPr>
          <w:rStyle w:val="FootnoteReference"/>
          <w:b/>
        </w:rPr>
        <w:footnoteReference w:id="25"/>
      </w:r>
    </w:p>
    <w:p w:rsidR="007268AF" w:rsidRPr="003647FD" w:rsidRDefault="007268AF" w:rsidP="00D15886">
      <w:pPr>
        <w:ind w:firstLine="360"/>
        <w:jc w:val="center"/>
        <w:rPr>
          <w:b/>
        </w:rPr>
      </w:pPr>
    </w:p>
    <w:tbl>
      <w:tblPr>
        <w:tblW w:w="7670" w:type="dxa"/>
        <w:jc w:val="center"/>
        <w:tblInd w:w="-3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6"/>
        <w:gridCol w:w="1424"/>
      </w:tblGrid>
      <w:tr w:rsidR="003647FD" w:rsidRPr="003647FD" w:rsidTr="000753E5">
        <w:trPr>
          <w:jc w:val="center"/>
        </w:trPr>
        <w:tc>
          <w:tcPr>
            <w:tcW w:w="6246" w:type="dxa"/>
            <w:tcBorders>
              <w:top w:val="single" w:sz="12" w:space="0" w:color="auto"/>
              <w:left w:val="single" w:sz="12" w:space="0" w:color="auto"/>
            </w:tcBorders>
            <w:shd w:val="clear" w:color="auto" w:fill="auto"/>
            <w:vAlign w:val="center"/>
          </w:tcPr>
          <w:p w:rsidR="003647FD" w:rsidRPr="00282027" w:rsidRDefault="003647FD" w:rsidP="000753E5">
            <w:pPr>
              <w:ind w:firstLine="360"/>
              <w:jc w:val="both"/>
              <w:rPr>
                <w:sz w:val="24"/>
                <w:szCs w:val="24"/>
              </w:rPr>
            </w:pPr>
            <w:r w:rsidRPr="00282027">
              <w:rPr>
                <w:sz w:val="24"/>
                <w:szCs w:val="24"/>
              </w:rPr>
              <w:t>Svinu nesaturošs benzīns</w:t>
            </w:r>
          </w:p>
        </w:tc>
        <w:tc>
          <w:tcPr>
            <w:tcW w:w="1424" w:type="dxa"/>
            <w:tcBorders>
              <w:top w:val="single" w:sz="12" w:space="0" w:color="auto"/>
              <w:right w:val="single" w:sz="12" w:space="0" w:color="auto"/>
            </w:tcBorders>
            <w:vAlign w:val="center"/>
          </w:tcPr>
          <w:p w:rsidR="003647FD" w:rsidRPr="00282027" w:rsidRDefault="003647FD" w:rsidP="000753E5">
            <w:pPr>
              <w:ind w:firstLine="360"/>
              <w:jc w:val="both"/>
              <w:rPr>
                <w:sz w:val="24"/>
                <w:szCs w:val="24"/>
              </w:rPr>
            </w:pPr>
            <w:r w:rsidRPr="00282027">
              <w:rPr>
                <w:sz w:val="24"/>
                <w:szCs w:val="24"/>
              </w:rPr>
              <w:t>411,21</w:t>
            </w:r>
          </w:p>
        </w:tc>
      </w:tr>
      <w:tr w:rsidR="003647FD" w:rsidRPr="003647FD" w:rsidTr="000753E5">
        <w:trPr>
          <w:jc w:val="center"/>
        </w:trPr>
        <w:tc>
          <w:tcPr>
            <w:tcW w:w="6246" w:type="dxa"/>
            <w:tcBorders>
              <w:left w:val="single" w:sz="12" w:space="0" w:color="auto"/>
            </w:tcBorders>
            <w:vAlign w:val="center"/>
          </w:tcPr>
          <w:p w:rsidR="003647FD" w:rsidRPr="00282027" w:rsidRDefault="003647FD" w:rsidP="000753E5">
            <w:pPr>
              <w:ind w:firstLine="360"/>
              <w:jc w:val="both"/>
              <w:rPr>
                <w:sz w:val="24"/>
                <w:szCs w:val="24"/>
              </w:rPr>
            </w:pPr>
            <w:r w:rsidRPr="00282027">
              <w:rPr>
                <w:bCs/>
                <w:sz w:val="24"/>
                <w:szCs w:val="24"/>
              </w:rPr>
              <w:t>Svinu nesaturošais benzīns, kuram tiek pievienots etilspirts (</w:t>
            </w:r>
            <w:proofErr w:type="spellStart"/>
            <w:r w:rsidRPr="00282027">
              <w:rPr>
                <w:bCs/>
                <w:sz w:val="24"/>
                <w:szCs w:val="24"/>
              </w:rPr>
              <w:t>bio</w:t>
            </w:r>
            <w:proofErr w:type="spellEnd"/>
            <w:r w:rsidRPr="00282027">
              <w:rPr>
                <w:bCs/>
                <w:sz w:val="24"/>
                <w:szCs w:val="24"/>
              </w:rPr>
              <w:t xml:space="preserve"> 5%) (E5)</w:t>
            </w:r>
          </w:p>
        </w:tc>
        <w:tc>
          <w:tcPr>
            <w:tcW w:w="1424" w:type="dxa"/>
            <w:tcBorders>
              <w:right w:val="single" w:sz="12" w:space="0" w:color="auto"/>
            </w:tcBorders>
            <w:vAlign w:val="center"/>
          </w:tcPr>
          <w:p w:rsidR="003647FD" w:rsidRPr="00282027" w:rsidRDefault="003647FD" w:rsidP="000753E5">
            <w:pPr>
              <w:ind w:firstLine="360"/>
              <w:jc w:val="both"/>
              <w:rPr>
                <w:sz w:val="24"/>
                <w:szCs w:val="24"/>
              </w:rPr>
            </w:pPr>
            <w:r w:rsidRPr="00282027">
              <w:rPr>
                <w:sz w:val="24"/>
                <w:szCs w:val="24"/>
              </w:rPr>
              <w:t>411,21</w:t>
            </w:r>
          </w:p>
        </w:tc>
      </w:tr>
      <w:tr w:rsidR="003647FD" w:rsidRPr="003647FD" w:rsidTr="000753E5">
        <w:trPr>
          <w:jc w:val="center"/>
        </w:trPr>
        <w:tc>
          <w:tcPr>
            <w:tcW w:w="6246" w:type="dxa"/>
            <w:tcBorders>
              <w:left w:val="single" w:sz="12" w:space="0" w:color="auto"/>
            </w:tcBorders>
            <w:vAlign w:val="center"/>
          </w:tcPr>
          <w:p w:rsidR="003647FD" w:rsidRPr="00282027" w:rsidRDefault="003647FD" w:rsidP="000753E5">
            <w:pPr>
              <w:ind w:firstLine="360"/>
              <w:jc w:val="both"/>
              <w:rPr>
                <w:sz w:val="24"/>
                <w:szCs w:val="24"/>
              </w:rPr>
            </w:pPr>
            <w:r w:rsidRPr="00282027">
              <w:rPr>
                <w:bCs/>
                <w:sz w:val="24"/>
                <w:szCs w:val="24"/>
              </w:rPr>
              <w:t>Svinu nesaturošais benzīns, kuram tiek pievienots etilspirts (</w:t>
            </w:r>
            <w:proofErr w:type="spellStart"/>
            <w:r w:rsidRPr="00282027">
              <w:rPr>
                <w:bCs/>
                <w:sz w:val="24"/>
                <w:szCs w:val="24"/>
              </w:rPr>
              <w:t>bio</w:t>
            </w:r>
            <w:proofErr w:type="spellEnd"/>
            <w:r w:rsidRPr="00282027">
              <w:rPr>
                <w:bCs/>
                <w:sz w:val="24"/>
                <w:szCs w:val="24"/>
              </w:rPr>
              <w:t xml:space="preserve"> 85%) (E85)</w:t>
            </w:r>
          </w:p>
        </w:tc>
        <w:tc>
          <w:tcPr>
            <w:tcW w:w="1424" w:type="dxa"/>
            <w:tcBorders>
              <w:right w:val="single" w:sz="12" w:space="0" w:color="auto"/>
            </w:tcBorders>
            <w:vAlign w:val="center"/>
          </w:tcPr>
          <w:p w:rsidR="003647FD" w:rsidRPr="00282027" w:rsidRDefault="003647FD" w:rsidP="000753E5">
            <w:pPr>
              <w:ind w:firstLine="360"/>
              <w:jc w:val="both"/>
              <w:rPr>
                <w:sz w:val="24"/>
                <w:szCs w:val="24"/>
              </w:rPr>
            </w:pPr>
            <w:r w:rsidRPr="00282027">
              <w:rPr>
                <w:sz w:val="24"/>
                <w:szCs w:val="24"/>
              </w:rPr>
              <w:t>123,36</w:t>
            </w:r>
          </w:p>
        </w:tc>
      </w:tr>
      <w:tr w:rsidR="003647FD" w:rsidRPr="003647FD" w:rsidTr="000753E5">
        <w:trPr>
          <w:jc w:val="center"/>
        </w:trPr>
        <w:tc>
          <w:tcPr>
            <w:tcW w:w="6246" w:type="dxa"/>
            <w:tcBorders>
              <w:top w:val="single" w:sz="18" w:space="0" w:color="auto"/>
              <w:left w:val="single" w:sz="12" w:space="0" w:color="auto"/>
              <w:bottom w:val="single" w:sz="2" w:space="0" w:color="auto"/>
              <w:right w:val="single" w:sz="2" w:space="0" w:color="auto"/>
            </w:tcBorders>
            <w:vAlign w:val="center"/>
          </w:tcPr>
          <w:p w:rsidR="003647FD" w:rsidRPr="00282027" w:rsidRDefault="003647FD" w:rsidP="000753E5">
            <w:pPr>
              <w:ind w:firstLine="360"/>
              <w:jc w:val="both"/>
              <w:rPr>
                <w:sz w:val="24"/>
                <w:szCs w:val="24"/>
              </w:rPr>
            </w:pPr>
            <w:r w:rsidRPr="00282027">
              <w:rPr>
                <w:sz w:val="24"/>
                <w:szCs w:val="24"/>
              </w:rPr>
              <w:t>Dīzeļdegviela</w:t>
            </w:r>
          </w:p>
        </w:tc>
        <w:tc>
          <w:tcPr>
            <w:tcW w:w="1424" w:type="dxa"/>
            <w:tcBorders>
              <w:top w:val="single" w:sz="18" w:space="0" w:color="auto"/>
              <w:left w:val="single" w:sz="2" w:space="0" w:color="auto"/>
              <w:bottom w:val="single" w:sz="2" w:space="0" w:color="auto"/>
              <w:right w:val="single" w:sz="12" w:space="0" w:color="auto"/>
            </w:tcBorders>
            <w:vAlign w:val="center"/>
          </w:tcPr>
          <w:p w:rsidR="003647FD" w:rsidRPr="00282027" w:rsidRDefault="003647FD" w:rsidP="000753E5">
            <w:pPr>
              <w:ind w:firstLine="360"/>
              <w:jc w:val="both"/>
              <w:rPr>
                <w:sz w:val="24"/>
                <w:szCs w:val="24"/>
              </w:rPr>
            </w:pPr>
            <w:r w:rsidRPr="00282027">
              <w:rPr>
                <w:sz w:val="24"/>
                <w:szCs w:val="24"/>
              </w:rPr>
              <w:t>332,95</w:t>
            </w:r>
          </w:p>
        </w:tc>
      </w:tr>
      <w:tr w:rsidR="003647FD" w:rsidRPr="003647FD" w:rsidTr="000753E5">
        <w:trPr>
          <w:jc w:val="center"/>
        </w:trPr>
        <w:tc>
          <w:tcPr>
            <w:tcW w:w="6246" w:type="dxa"/>
            <w:tcBorders>
              <w:top w:val="single" w:sz="2" w:space="0" w:color="auto"/>
              <w:left w:val="single" w:sz="12" w:space="0" w:color="auto"/>
            </w:tcBorders>
            <w:vAlign w:val="center"/>
          </w:tcPr>
          <w:p w:rsidR="003647FD" w:rsidRPr="00282027" w:rsidRDefault="003647FD" w:rsidP="000753E5">
            <w:pPr>
              <w:ind w:firstLine="360"/>
              <w:jc w:val="both"/>
              <w:rPr>
                <w:sz w:val="24"/>
                <w:szCs w:val="24"/>
              </w:rPr>
            </w:pPr>
            <w:r w:rsidRPr="00282027">
              <w:rPr>
                <w:bCs/>
                <w:sz w:val="24"/>
                <w:szCs w:val="24"/>
              </w:rPr>
              <w:t>Dīzeļdegviela (</w:t>
            </w:r>
            <w:proofErr w:type="spellStart"/>
            <w:r w:rsidRPr="00282027">
              <w:rPr>
                <w:bCs/>
                <w:sz w:val="24"/>
                <w:szCs w:val="24"/>
              </w:rPr>
              <w:t>bio</w:t>
            </w:r>
            <w:proofErr w:type="spellEnd"/>
            <w:r w:rsidRPr="00282027">
              <w:rPr>
                <w:bCs/>
                <w:sz w:val="24"/>
                <w:szCs w:val="24"/>
              </w:rPr>
              <w:t xml:space="preserve"> 5-30%) (B5)</w:t>
            </w:r>
          </w:p>
        </w:tc>
        <w:tc>
          <w:tcPr>
            <w:tcW w:w="1424" w:type="dxa"/>
            <w:tcBorders>
              <w:top w:val="single" w:sz="2" w:space="0" w:color="auto"/>
              <w:right w:val="single" w:sz="12" w:space="0" w:color="auto"/>
            </w:tcBorders>
            <w:vAlign w:val="center"/>
          </w:tcPr>
          <w:p w:rsidR="003647FD" w:rsidRPr="00282027" w:rsidRDefault="003647FD" w:rsidP="000753E5">
            <w:pPr>
              <w:ind w:firstLine="360"/>
              <w:jc w:val="both"/>
              <w:rPr>
                <w:sz w:val="24"/>
                <w:szCs w:val="24"/>
              </w:rPr>
            </w:pPr>
            <w:r w:rsidRPr="00282027">
              <w:rPr>
                <w:sz w:val="24"/>
                <w:szCs w:val="24"/>
              </w:rPr>
              <w:t>332,95</w:t>
            </w:r>
          </w:p>
        </w:tc>
      </w:tr>
      <w:tr w:rsidR="003647FD" w:rsidRPr="003647FD" w:rsidTr="000753E5">
        <w:trPr>
          <w:jc w:val="center"/>
        </w:trPr>
        <w:tc>
          <w:tcPr>
            <w:tcW w:w="6246" w:type="dxa"/>
            <w:tcBorders>
              <w:left w:val="single" w:sz="12" w:space="0" w:color="auto"/>
            </w:tcBorders>
            <w:vAlign w:val="center"/>
          </w:tcPr>
          <w:p w:rsidR="003647FD" w:rsidRPr="00282027" w:rsidRDefault="003647FD" w:rsidP="000753E5">
            <w:pPr>
              <w:ind w:firstLine="360"/>
              <w:jc w:val="both"/>
              <w:rPr>
                <w:sz w:val="24"/>
                <w:szCs w:val="24"/>
              </w:rPr>
            </w:pPr>
            <w:r w:rsidRPr="00282027">
              <w:rPr>
                <w:bCs/>
                <w:sz w:val="24"/>
                <w:szCs w:val="24"/>
              </w:rPr>
              <w:t>Dīzeļdegviela (</w:t>
            </w:r>
            <w:proofErr w:type="spellStart"/>
            <w:r w:rsidRPr="00282027">
              <w:rPr>
                <w:bCs/>
                <w:sz w:val="24"/>
                <w:szCs w:val="24"/>
              </w:rPr>
              <w:t>bio</w:t>
            </w:r>
            <w:proofErr w:type="spellEnd"/>
            <w:r w:rsidRPr="00282027">
              <w:rPr>
                <w:bCs/>
                <w:sz w:val="24"/>
                <w:szCs w:val="24"/>
              </w:rPr>
              <w:t xml:space="preserve"> vismaz 30%) (</w:t>
            </w:r>
            <w:r w:rsidRPr="00282027">
              <w:rPr>
                <w:sz w:val="24"/>
                <w:szCs w:val="24"/>
              </w:rPr>
              <w:t>B30)</w:t>
            </w:r>
          </w:p>
        </w:tc>
        <w:tc>
          <w:tcPr>
            <w:tcW w:w="1424" w:type="dxa"/>
            <w:tcBorders>
              <w:right w:val="single" w:sz="12" w:space="0" w:color="auto"/>
            </w:tcBorders>
            <w:vAlign w:val="center"/>
          </w:tcPr>
          <w:p w:rsidR="003647FD" w:rsidRPr="00282027" w:rsidRDefault="003647FD" w:rsidP="000753E5">
            <w:pPr>
              <w:ind w:firstLine="360"/>
              <w:jc w:val="both"/>
              <w:rPr>
                <w:sz w:val="24"/>
                <w:szCs w:val="24"/>
              </w:rPr>
            </w:pPr>
            <w:r w:rsidRPr="00282027">
              <w:rPr>
                <w:sz w:val="24"/>
                <w:szCs w:val="24"/>
              </w:rPr>
              <w:t>233,35</w:t>
            </w:r>
          </w:p>
        </w:tc>
      </w:tr>
      <w:tr w:rsidR="003647FD" w:rsidRPr="003647FD" w:rsidTr="000753E5">
        <w:trPr>
          <w:jc w:val="center"/>
        </w:trPr>
        <w:tc>
          <w:tcPr>
            <w:tcW w:w="6246" w:type="dxa"/>
            <w:tcBorders>
              <w:left w:val="single" w:sz="12" w:space="0" w:color="auto"/>
              <w:bottom w:val="single" w:sz="12" w:space="0" w:color="auto"/>
            </w:tcBorders>
            <w:vAlign w:val="center"/>
          </w:tcPr>
          <w:p w:rsidR="003647FD" w:rsidRPr="00282027" w:rsidRDefault="003647FD" w:rsidP="000753E5">
            <w:pPr>
              <w:ind w:firstLine="360"/>
              <w:jc w:val="both"/>
              <w:rPr>
                <w:sz w:val="24"/>
                <w:szCs w:val="24"/>
              </w:rPr>
            </w:pPr>
            <w:r w:rsidRPr="00282027">
              <w:rPr>
                <w:bCs/>
                <w:sz w:val="24"/>
                <w:szCs w:val="24"/>
              </w:rPr>
              <w:t xml:space="preserve">Biodīzeļdegviela </w:t>
            </w:r>
            <w:r w:rsidRPr="00282027">
              <w:rPr>
                <w:sz w:val="24"/>
                <w:szCs w:val="24"/>
              </w:rPr>
              <w:t>(B100)</w:t>
            </w:r>
          </w:p>
        </w:tc>
        <w:tc>
          <w:tcPr>
            <w:tcW w:w="1424" w:type="dxa"/>
            <w:tcBorders>
              <w:bottom w:val="single" w:sz="12" w:space="0" w:color="auto"/>
              <w:right w:val="single" w:sz="12" w:space="0" w:color="auto"/>
            </w:tcBorders>
            <w:vAlign w:val="center"/>
          </w:tcPr>
          <w:p w:rsidR="003647FD" w:rsidRPr="00282027" w:rsidRDefault="003647FD" w:rsidP="000753E5">
            <w:pPr>
              <w:ind w:firstLine="360"/>
              <w:jc w:val="both"/>
              <w:rPr>
                <w:sz w:val="24"/>
                <w:szCs w:val="24"/>
              </w:rPr>
            </w:pPr>
            <w:r w:rsidRPr="00282027">
              <w:rPr>
                <w:sz w:val="24"/>
                <w:szCs w:val="24"/>
              </w:rPr>
              <w:t>0</w:t>
            </w:r>
          </w:p>
        </w:tc>
      </w:tr>
    </w:tbl>
    <w:p w:rsidR="00226A8E" w:rsidRDefault="003647FD" w:rsidP="00956F6B">
      <w:pPr>
        <w:ind w:firstLine="720"/>
        <w:jc w:val="both"/>
        <w:rPr>
          <w:sz w:val="22"/>
        </w:rPr>
      </w:pPr>
      <w:r w:rsidRPr="00A062E0">
        <w:rPr>
          <w:sz w:val="22"/>
        </w:rPr>
        <w:t xml:space="preserve">   </w:t>
      </w:r>
    </w:p>
    <w:p w:rsidR="00282027" w:rsidRDefault="003647FD" w:rsidP="00282027">
      <w:pPr>
        <w:ind w:firstLine="720"/>
        <w:jc w:val="both"/>
      </w:pPr>
      <w:r w:rsidRPr="003647FD">
        <w:lastRenderedPageBreak/>
        <w:t xml:space="preserve">Lai veicinātu biodegvielas patēriņu Latvijā atbilstoši Biodegvielas likuma nosacījumiem, ar 2009.gada 1.oktobri tika ieviests obligātais 5% biodegvielas piejaukums fosilajai degvielai. Saskaņā ar MK 2000.gada 26.septembra noteikumiem Nr.332 „Noteikumi par benzīna un dīzeļdegvielas atbilstības novērtēšanu” (turpmāk–MK noteikumi Nr.332) Latvijā 95.markas benzīnu, atļauts realizēt tikai tad, ja pievienotā bioetanola saturs ir 4,5–5 </w:t>
      </w:r>
      <w:proofErr w:type="spellStart"/>
      <w:r w:rsidRPr="003647FD">
        <w:t>tilpumprocenti</w:t>
      </w:r>
      <w:proofErr w:type="spellEnd"/>
      <w:r w:rsidRPr="003647FD">
        <w:t xml:space="preserve"> no kopējā benzīna tilpuma un dīzeļdegvielu (tai skaitā mērenā klimata apstākļos izmantojamu A, B, C, D, E, F kategorijas dīzeļdegvielu atbilstoši standartam LVS EN 590+A1:2011) tikai ar biodīzeļdegvielas (kas iegūta no rapšu sēklu eļļas) saturu 4,5-5 </w:t>
      </w:r>
      <w:proofErr w:type="spellStart"/>
      <w:r w:rsidRPr="003647FD">
        <w:t>tilpumprocenti</w:t>
      </w:r>
      <w:proofErr w:type="spellEnd"/>
      <w:r w:rsidRPr="003647FD">
        <w:t xml:space="preserve"> no kopējā galaprodukta daudzuma. Šīs prasības gan neattiecas uz:</w:t>
      </w:r>
    </w:p>
    <w:p w:rsidR="003647FD" w:rsidRPr="003647FD" w:rsidRDefault="003647FD" w:rsidP="00282027">
      <w:pPr>
        <w:pStyle w:val="ListParagraph"/>
        <w:numPr>
          <w:ilvl w:val="0"/>
          <w:numId w:val="27"/>
        </w:numPr>
        <w:jc w:val="both"/>
      </w:pPr>
      <w:r w:rsidRPr="003647FD">
        <w:t>98.markas benzīnu;</w:t>
      </w:r>
    </w:p>
    <w:p w:rsidR="009F4F21" w:rsidRDefault="003647FD" w:rsidP="00282027">
      <w:pPr>
        <w:pStyle w:val="ListParagraph"/>
        <w:numPr>
          <w:ilvl w:val="0"/>
          <w:numId w:val="27"/>
        </w:numPr>
        <w:jc w:val="both"/>
      </w:pPr>
      <w:r w:rsidRPr="003647FD">
        <w:t>benzīnu, kuru izmanto sacīkšu sporta automašīnu iekšdedzes dzinējos ar dzirksteles aizdedzi, ja sacīkšu sporta automašīna noteiktā kārībā ir reģistrēta Ceļu satiksmes drošības direkcijā un transportlīdzekļa reģistrācijas apliecībā ir atzīme “sporta”;</w:t>
      </w:r>
      <w:r w:rsidR="00927178">
        <w:t xml:space="preserve"> </w:t>
      </w:r>
    </w:p>
    <w:p w:rsidR="003647FD" w:rsidRPr="003647FD" w:rsidRDefault="003647FD" w:rsidP="00282027">
      <w:pPr>
        <w:pStyle w:val="ListParagraph"/>
        <w:numPr>
          <w:ilvl w:val="0"/>
          <w:numId w:val="27"/>
        </w:numPr>
        <w:jc w:val="both"/>
      </w:pPr>
      <w:r w:rsidRPr="003647FD">
        <w:t>benzīnu, kuru izmanto aviācijas transporta dzinējos;</w:t>
      </w:r>
    </w:p>
    <w:p w:rsidR="003647FD" w:rsidRPr="003647FD" w:rsidRDefault="003647FD" w:rsidP="00282027">
      <w:pPr>
        <w:pStyle w:val="ListParagraph"/>
        <w:numPr>
          <w:ilvl w:val="0"/>
          <w:numId w:val="27"/>
        </w:numPr>
        <w:jc w:val="both"/>
      </w:pPr>
      <w:r w:rsidRPr="003647FD">
        <w:t>dīzeļdegvielu, kuru izmanto jūras transporta flotes kuģu dzinējos;</w:t>
      </w:r>
    </w:p>
    <w:p w:rsidR="003647FD" w:rsidRPr="003647FD" w:rsidRDefault="003647FD" w:rsidP="00282027">
      <w:pPr>
        <w:pStyle w:val="ListParagraph"/>
        <w:numPr>
          <w:ilvl w:val="0"/>
          <w:numId w:val="27"/>
        </w:numPr>
        <w:jc w:val="both"/>
      </w:pPr>
      <w:r w:rsidRPr="003647FD">
        <w:t>dīzeļdegvielu, kuru izmanto aviācijas transporta dzinējos;</w:t>
      </w:r>
    </w:p>
    <w:p w:rsidR="003647FD" w:rsidRPr="003647FD" w:rsidRDefault="003647FD" w:rsidP="00282027">
      <w:pPr>
        <w:pStyle w:val="ListParagraph"/>
        <w:numPr>
          <w:ilvl w:val="0"/>
          <w:numId w:val="27"/>
        </w:numPr>
        <w:jc w:val="both"/>
      </w:pPr>
      <w:r w:rsidRPr="003647FD">
        <w:t>arktiskos un bargos ziemas apstākļos izmantojamu 0., 1., 2., 3. un 4.klases dīzeļdegvielu atbilstoši standartam LVS EN 590+A1:2011.</w:t>
      </w:r>
    </w:p>
    <w:p w:rsidR="00E0606B" w:rsidRDefault="00E0606B" w:rsidP="003647FD">
      <w:pPr>
        <w:ind w:firstLine="360"/>
        <w:jc w:val="both"/>
      </w:pPr>
    </w:p>
    <w:p w:rsidR="003647FD" w:rsidRPr="003647FD" w:rsidRDefault="003647FD" w:rsidP="009F4F21">
      <w:pPr>
        <w:ind w:firstLine="720"/>
        <w:jc w:val="both"/>
        <w:rPr>
          <w:bCs/>
        </w:rPr>
      </w:pPr>
      <w:r w:rsidRPr="003647FD">
        <w:t>Līdzšinējā biodegvielu ražošanas nozares attīstība Latvijā un valsts atbalsta instrumentu efektivitātes analīze</w:t>
      </w:r>
      <w:r w:rsidRPr="003647FD">
        <w:rPr>
          <w:vertAlign w:val="superscript"/>
        </w:rPr>
        <w:footnoteReference w:id="26"/>
      </w:r>
      <w:r w:rsidRPr="003647FD">
        <w:t xml:space="preserve"> rāda, ka pieprasījuma pieaugumu vislabāk stimulē tieši ar patēriņu saistīti politikas instrumenti, tāpēc biodegvielas izmantošanu būtu nepieciešams veicināt ar dažādiem netiešā atbalsta pasākumiem.</w:t>
      </w:r>
    </w:p>
    <w:p w:rsidR="004B6E3A" w:rsidRPr="009F4F21" w:rsidRDefault="0050047A" w:rsidP="004B6E3A">
      <w:pPr>
        <w:pStyle w:val="Heading2"/>
        <w:rPr>
          <w:rFonts w:ascii="Times New Roman" w:hAnsi="Times New Roman" w:cs="Times New Roman"/>
          <w:color w:val="auto"/>
          <w:sz w:val="28"/>
          <w:szCs w:val="28"/>
        </w:rPr>
      </w:pPr>
      <w:bookmarkStart w:id="45" w:name="_Toc400714688"/>
      <w:r w:rsidRPr="009F4F21">
        <w:rPr>
          <w:rFonts w:ascii="Times New Roman" w:hAnsi="Times New Roman" w:cs="Times New Roman"/>
          <w:color w:val="auto"/>
          <w:sz w:val="28"/>
          <w:szCs w:val="28"/>
        </w:rPr>
        <w:lastRenderedPageBreak/>
        <w:t>6.3</w:t>
      </w:r>
      <w:r w:rsidR="004B6E3A" w:rsidRPr="009F4F21">
        <w:rPr>
          <w:rFonts w:ascii="Times New Roman" w:hAnsi="Times New Roman" w:cs="Times New Roman"/>
          <w:color w:val="auto"/>
          <w:sz w:val="28"/>
          <w:szCs w:val="28"/>
        </w:rPr>
        <w:t>. Enerģijas ražošana no atjaunojamiem energoresursiem un patēriņš</w:t>
      </w:r>
      <w:bookmarkEnd w:id="45"/>
      <w:r w:rsidR="004B6E3A" w:rsidRPr="009F4F21">
        <w:rPr>
          <w:rFonts w:ascii="Times New Roman" w:hAnsi="Times New Roman" w:cs="Times New Roman"/>
          <w:color w:val="auto"/>
          <w:sz w:val="28"/>
          <w:szCs w:val="28"/>
        </w:rPr>
        <w:t xml:space="preserve"> </w:t>
      </w:r>
    </w:p>
    <w:p w:rsidR="005E37AC" w:rsidRPr="0023652C" w:rsidRDefault="005E37AC" w:rsidP="0050047A">
      <w:pPr>
        <w:keepNext/>
        <w:spacing w:after="240"/>
        <w:ind w:firstLine="426"/>
        <w:jc w:val="both"/>
        <w:rPr>
          <w:rFonts w:eastAsia="Times New Roman" w:cs="Times New Roman"/>
          <w:b/>
          <w:szCs w:val="28"/>
        </w:rPr>
      </w:pPr>
      <w:r w:rsidRPr="0023652C">
        <w:rPr>
          <w:rFonts w:cs="Times New Roman"/>
          <w:szCs w:val="28"/>
          <w:lang w:eastAsia="lv-LV"/>
        </w:rPr>
        <w:t xml:space="preserve">Faktiskais atjaunojamo energoresursu (turpmāk–AER) īpatsvars kopējā primāro energoresursu patēriņā laika periodā no 1990. līdz 2012.gadam atspoguļots </w:t>
      </w:r>
      <w:r w:rsidR="00B21485">
        <w:rPr>
          <w:rFonts w:cs="Times New Roman"/>
          <w:szCs w:val="28"/>
          <w:lang w:eastAsia="lv-LV"/>
        </w:rPr>
        <w:t>2</w:t>
      </w:r>
      <w:r w:rsidR="00226A8E">
        <w:rPr>
          <w:rFonts w:cs="Times New Roman"/>
          <w:szCs w:val="28"/>
          <w:lang w:eastAsia="lv-LV"/>
        </w:rPr>
        <w:t>3</w:t>
      </w:r>
      <w:r w:rsidRPr="0023652C">
        <w:rPr>
          <w:rFonts w:cs="Times New Roman"/>
          <w:szCs w:val="28"/>
          <w:lang w:eastAsia="lv-LV"/>
        </w:rPr>
        <w:t xml:space="preserve">.attēlā. </w:t>
      </w:r>
    </w:p>
    <w:p w:rsidR="005E37AC" w:rsidRPr="00685C02" w:rsidRDefault="005E37AC" w:rsidP="00B21485">
      <w:pPr>
        <w:pStyle w:val="ListParagraph"/>
        <w:keepNext/>
        <w:ind w:left="0"/>
        <w:jc w:val="center"/>
        <w:rPr>
          <w:rFonts w:eastAsia="Times New Roman" w:cs="Times New Roman"/>
          <w:b/>
          <w:szCs w:val="28"/>
        </w:rPr>
      </w:pPr>
      <w:r>
        <w:rPr>
          <w:noProof/>
          <w:lang w:eastAsia="lv-LV"/>
        </w:rPr>
        <w:drawing>
          <wp:inline distT="0" distB="0" distL="0" distR="0" wp14:anchorId="42FF6823" wp14:editId="5B4AD59D">
            <wp:extent cx="4495800" cy="2028825"/>
            <wp:effectExtent l="0" t="0" r="19050" b="952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D15886" w:rsidRDefault="00D15886" w:rsidP="005E37AC">
      <w:pPr>
        <w:pStyle w:val="BodyText"/>
        <w:spacing w:after="0"/>
        <w:ind w:left="426"/>
        <w:jc w:val="both"/>
        <w:rPr>
          <w:szCs w:val="28"/>
          <w:lang w:eastAsia="lv-LV"/>
        </w:rPr>
      </w:pPr>
      <w:r w:rsidRPr="000A2A09">
        <w:rPr>
          <w:sz w:val="20"/>
          <w:szCs w:val="28"/>
          <w:lang w:eastAsia="lv-LV"/>
        </w:rPr>
        <w:t>Avots:</w:t>
      </w:r>
      <w:r>
        <w:rPr>
          <w:sz w:val="20"/>
          <w:szCs w:val="28"/>
          <w:lang w:eastAsia="lv-LV"/>
        </w:rPr>
        <w:t xml:space="preserve">  C</w:t>
      </w:r>
      <w:r w:rsidRPr="000A2A09">
        <w:rPr>
          <w:sz w:val="20"/>
          <w:szCs w:val="28"/>
          <w:lang w:eastAsia="lv-LV"/>
        </w:rPr>
        <w:t>SP</w:t>
      </w:r>
      <w:r>
        <w:rPr>
          <w:szCs w:val="28"/>
          <w:lang w:eastAsia="lv-LV"/>
        </w:rPr>
        <w:t xml:space="preserve"> </w:t>
      </w:r>
    </w:p>
    <w:p w:rsidR="005E37AC" w:rsidRPr="00B21485" w:rsidRDefault="005513F3" w:rsidP="00B21485">
      <w:pPr>
        <w:pStyle w:val="BodyText"/>
        <w:spacing w:after="0"/>
        <w:jc w:val="both"/>
        <w:rPr>
          <w:b/>
          <w:szCs w:val="28"/>
          <w:lang w:eastAsia="lv-LV"/>
        </w:rPr>
      </w:pPr>
      <w:r w:rsidRPr="00B21485">
        <w:rPr>
          <w:b/>
          <w:szCs w:val="28"/>
          <w:lang w:eastAsia="lv-LV"/>
        </w:rPr>
        <w:t>2</w:t>
      </w:r>
      <w:r w:rsidR="00226A8E">
        <w:rPr>
          <w:b/>
          <w:szCs w:val="28"/>
          <w:lang w:eastAsia="lv-LV"/>
        </w:rPr>
        <w:t>3</w:t>
      </w:r>
      <w:r w:rsidR="005E37AC" w:rsidRPr="00B21485">
        <w:rPr>
          <w:b/>
          <w:szCs w:val="28"/>
          <w:lang w:eastAsia="lv-LV"/>
        </w:rPr>
        <w:t>.attēls. Faktiskais AER īpatsvars kopējā primāro energoresursu patēriņā</w:t>
      </w:r>
      <w:r w:rsidR="00B21485">
        <w:rPr>
          <w:b/>
          <w:szCs w:val="28"/>
          <w:lang w:eastAsia="lv-LV"/>
        </w:rPr>
        <w:t>, %</w:t>
      </w:r>
      <w:r w:rsidR="008B78B3">
        <w:rPr>
          <w:b/>
          <w:szCs w:val="28"/>
          <w:lang w:eastAsia="lv-LV"/>
        </w:rPr>
        <w:t>.</w:t>
      </w:r>
    </w:p>
    <w:p w:rsidR="005E37AC" w:rsidRDefault="005E37AC" w:rsidP="005E37AC">
      <w:pPr>
        <w:pStyle w:val="BodyText"/>
        <w:spacing w:after="0"/>
        <w:ind w:left="426"/>
        <w:rPr>
          <w:sz w:val="20"/>
          <w:szCs w:val="28"/>
          <w:lang w:eastAsia="lv-LV"/>
        </w:rPr>
      </w:pPr>
      <w:r>
        <w:rPr>
          <w:sz w:val="20"/>
          <w:szCs w:val="28"/>
          <w:lang w:eastAsia="lv-LV"/>
        </w:rPr>
        <w:t>.</w:t>
      </w:r>
    </w:p>
    <w:p w:rsidR="00161152" w:rsidRDefault="00161152" w:rsidP="00312732">
      <w:pPr>
        <w:ind w:firstLine="360"/>
        <w:jc w:val="both"/>
      </w:pPr>
      <w:r w:rsidRPr="0026080B">
        <w:t xml:space="preserve">Sasniegtais AER īpatsvars </w:t>
      </w:r>
      <w:r w:rsidR="005E37AC" w:rsidRPr="004B6E3A">
        <w:t xml:space="preserve">enerģijas bruto galapatēriņā </w:t>
      </w:r>
      <w:r w:rsidRPr="0026080B">
        <w:t>2011.–2012.gadā bija</w:t>
      </w:r>
      <w:r w:rsidRPr="004B6E3A">
        <w:t xml:space="preserve"> 34,7% (2011.gadā – 33,55% un 2012.gadā – 35,78%).</w:t>
      </w:r>
      <w:r>
        <w:t xml:space="preserve"> </w:t>
      </w:r>
    </w:p>
    <w:p w:rsidR="00D56413" w:rsidRDefault="00D56413" w:rsidP="00D56413">
      <w:pPr>
        <w:jc w:val="center"/>
      </w:pPr>
      <w:r>
        <w:rPr>
          <w:noProof/>
          <w:lang w:eastAsia="lv-LV"/>
        </w:rPr>
        <w:drawing>
          <wp:inline distT="0" distB="0" distL="0" distR="0" wp14:anchorId="78E283F8" wp14:editId="24EDAF17">
            <wp:extent cx="2978429" cy="2948940"/>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78429" cy="2948940"/>
                    </a:xfrm>
                    <a:prstGeom prst="rect">
                      <a:avLst/>
                    </a:prstGeom>
                    <a:noFill/>
                    <a:ln>
                      <a:noFill/>
                    </a:ln>
                  </pic:spPr>
                </pic:pic>
              </a:graphicData>
            </a:graphic>
          </wp:inline>
        </w:drawing>
      </w:r>
    </w:p>
    <w:p w:rsidR="00D15886" w:rsidRDefault="00D15886" w:rsidP="00D15886">
      <w:pPr>
        <w:pStyle w:val="BodyText"/>
        <w:spacing w:after="0"/>
        <w:ind w:left="426"/>
        <w:rPr>
          <w:sz w:val="20"/>
          <w:szCs w:val="28"/>
          <w:lang w:eastAsia="lv-LV"/>
        </w:rPr>
      </w:pPr>
      <w:r w:rsidRPr="000A2A09">
        <w:rPr>
          <w:sz w:val="20"/>
          <w:szCs w:val="28"/>
          <w:lang w:eastAsia="lv-LV"/>
        </w:rPr>
        <w:t>Avots:</w:t>
      </w:r>
      <w:r>
        <w:rPr>
          <w:sz w:val="20"/>
          <w:szCs w:val="28"/>
          <w:lang w:eastAsia="lv-LV"/>
        </w:rPr>
        <w:t xml:space="preserve"> C</w:t>
      </w:r>
      <w:r w:rsidRPr="000A2A09">
        <w:rPr>
          <w:sz w:val="20"/>
          <w:szCs w:val="28"/>
          <w:lang w:eastAsia="lv-LV"/>
        </w:rPr>
        <w:t>SP</w:t>
      </w:r>
    </w:p>
    <w:p w:rsidR="00D56413" w:rsidRPr="00B21485" w:rsidRDefault="005513F3" w:rsidP="00B21485">
      <w:pPr>
        <w:pStyle w:val="BodyText"/>
        <w:spacing w:after="0"/>
        <w:rPr>
          <w:b/>
          <w:szCs w:val="28"/>
          <w:lang w:eastAsia="lv-LV"/>
        </w:rPr>
      </w:pPr>
      <w:r w:rsidRPr="00B21485">
        <w:rPr>
          <w:b/>
          <w:szCs w:val="28"/>
          <w:lang w:eastAsia="lv-LV"/>
        </w:rPr>
        <w:t>2</w:t>
      </w:r>
      <w:r w:rsidR="00226A8E">
        <w:rPr>
          <w:b/>
          <w:szCs w:val="28"/>
          <w:lang w:eastAsia="lv-LV"/>
        </w:rPr>
        <w:t>4</w:t>
      </w:r>
      <w:r w:rsidR="00D56413" w:rsidRPr="00B21485">
        <w:rPr>
          <w:b/>
          <w:szCs w:val="28"/>
          <w:lang w:eastAsia="lv-LV"/>
        </w:rPr>
        <w:t>.attēls. Enerģijas galapatēriņš 2011.gadā</w:t>
      </w:r>
      <w:r w:rsidR="008B78B3">
        <w:rPr>
          <w:b/>
          <w:szCs w:val="28"/>
          <w:lang w:eastAsia="lv-LV"/>
        </w:rPr>
        <w:t>.</w:t>
      </w:r>
    </w:p>
    <w:p w:rsidR="00D56413" w:rsidRDefault="00D56413" w:rsidP="00312732">
      <w:pPr>
        <w:ind w:firstLine="360"/>
        <w:jc w:val="both"/>
      </w:pPr>
    </w:p>
    <w:p w:rsidR="003B368C" w:rsidRDefault="003B368C" w:rsidP="00B21485">
      <w:pPr>
        <w:ind w:firstLine="720"/>
        <w:jc w:val="both"/>
      </w:pPr>
      <w:r>
        <w:t xml:space="preserve">Latvijā Enerģētikas attīstības pamatnostādņu 2006.-2016. gadam īstenošanas laikā ir panākts progress enerģijas izmantošanā, kas ražota, izmantojot AER. 2005.gadā tādas enerģijas, kas ražota, izmantojot AER, īpatsvars kopējā enerģijas bruto galapatēriņā bija 32,6%. 2010.gadā bruto </w:t>
      </w:r>
      <w:r>
        <w:lastRenderedPageBreak/>
        <w:t>iekšzemes patēriņa 190,1 PJ apjomā enerģijas, kas ražota no AER, īpatsvars sasniedza 34,6%, kamēr vidēji ES – 9,8%. Sasniegtais īpatsvars 2011.gadā bija 33,55% un 2012.gadā - 35,78%.</w:t>
      </w:r>
    </w:p>
    <w:p w:rsidR="003B368C" w:rsidRDefault="003B368C" w:rsidP="00B21485">
      <w:pPr>
        <w:ind w:firstLine="720"/>
        <w:jc w:val="both"/>
      </w:pPr>
      <w:r>
        <w:t xml:space="preserve">Saskaņā ar CSP datiem AER izmantojošu elektrostaciju uzstādītā elektriskā jauda kopš 2008.gada pieauga par 127 MW, 2012.gadā sasniedzot 1701 MW, tostarp 1576 MW hidroelektrostacijas, 59 MW vēja elektrostacijas, 43 MW biogāzes elektrostacijas un 23 MW biomasas elektrostacijas. Joprojām lielāko daļu no Latvijas </w:t>
      </w:r>
      <w:r w:rsidR="009E168B">
        <w:t xml:space="preserve">bruto </w:t>
      </w:r>
      <w:r>
        <w:t>elektroenerģijas</w:t>
      </w:r>
      <w:r w:rsidR="009E168B">
        <w:t xml:space="preserve"> </w:t>
      </w:r>
      <w:r>
        <w:t>patēriņa nodrošina Daugavas kaskādē esošās lielās hidroelektrostacijas</w:t>
      </w:r>
      <w:r w:rsidR="009E168B">
        <w:t xml:space="preserve"> (2012.gadā – 46,2%)</w:t>
      </w:r>
      <w:r>
        <w:t>, kuru kopējā jauda ir 1536 MW.</w:t>
      </w:r>
    </w:p>
    <w:p w:rsidR="003B368C" w:rsidRDefault="003B368C" w:rsidP="00B21485">
      <w:pPr>
        <w:ind w:firstLine="720"/>
        <w:jc w:val="both"/>
      </w:pPr>
      <w:r w:rsidRPr="0017011F">
        <w:t>AER izmantojošu avotu uzstādītā siltumenerģijas jauda šajā periodā pieauga par 292 MW, 2012.gadā sasniedzot 1356 MW, tostarp 355 MW koģenerācijas stacijās un 1001 MW katlumājās.</w:t>
      </w:r>
    </w:p>
    <w:p w:rsidR="003B368C" w:rsidRDefault="003B368C" w:rsidP="00B21485">
      <w:pPr>
        <w:ind w:firstLine="720"/>
        <w:jc w:val="both"/>
      </w:pPr>
      <w:r>
        <w:t>Elektroenerģijas izstrāde Latvijā kopumā, izmantojot biomasu (</w:t>
      </w:r>
      <w:proofErr w:type="spellStart"/>
      <w:r>
        <w:t>t.sk</w:t>
      </w:r>
      <w:proofErr w:type="spellEnd"/>
      <w:r>
        <w:t>., arī biogāzi), pieaugusi no 119,4</w:t>
      </w:r>
      <w:r w:rsidR="001D2B36">
        <w:t> </w:t>
      </w:r>
      <w:proofErr w:type="spellStart"/>
      <w:r>
        <w:t>GWh</w:t>
      </w:r>
      <w:proofErr w:type="spellEnd"/>
      <w:r>
        <w:t xml:space="preserve"> 2011.gadā līdz 288,6 </w:t>
      </w:r>
      <w:proofErr w:type="spellStart"/>
      <w:r>
        <w:t>GWh</w:t>
      </w:r>
      <w:proofErr w:type="spellEnd"/>
      <w:r>
        <w:t xml:space="preserve"> 2012.gadā.</w:t>
      </w:r>
    </w:p>
    <w:p w:rsidR="00D46310" w:rsidRDefault="0048773B" w:rsidP="00B21485">
      <w:pPr>
        <w:ind w:firstLine="567"/>
        <w:jc w:val="both"/>
        <w:rPr>
          <w:rFonts w:eastAsia="Times New Roman"/>
          <w:b/>
          <w:szCs w:val="28"/>
        </w:rPr>
      </w:pPr>
      <w:r w:rsidRPr="004B6E3A">
        <w:t xml:space="preserve">Latvijā 2011.gadā sasniegti 3,24% AER enerģijas īpatsvara transporta sektorā, 2012.gadā – 3,10%. ES noteiktais  dalībvalstu saistošais mērķis līdz 2020.gadu ir 10%. Tas Latvijai ir pamatā tehnoloģiju izaicinājums (to ietekmē novecojušais autoparks un jaunākās paaudzes biodegvielu ražošanas joprojām ierobežotās iespējas, kā arī degvielas patēriņa samazināšanās kopumā). </w:t>
      </w:r>
    </w:p>
    <w:p w:rsidR="00456B40" w:rsidRPr="0063735A" w:rsidRDefault="00456B40" w:rsidP="00B21485">
      <w:pPr>
        <w:ind w:firstLine="720"/>
        <w:jc w:val="both"/>
        <w:rPr>
          <w:rFonts w:eastAsia="Times New Roman"/>
          <w:szCs w:val="28"/>
        </w:rPr>
      </w:pPr>
      <w:r w:rsidRPr="0063735A">
        <w:rPr>
          <w:rFonts w:eastAsia="Times New Roman"/>
          <w:szCs w:val="28"/>
        </w:rPr>
        <w:t xml:space="preserve">Latvijā elektroenerģija tiek ražota arī mazajās HES, kuru skaits 2013.gadā sasniedza 146, bet elektroenerģijas izstrāde 2012.gadā – 80 </w:t>
      </w:r>
      <w:proofErr w:type="spellStart"/>
      <w:r w:rsidRPr="0063735A">
        <w:rPr>
          <w:rFonts w:eastAsia="Times New Roman"/>
          <w:szCs w:val="28"/>
        </w:rPr>
        <w:t>GWh</w:t>
      </w:r>
      <w:proofErr w:type="spellEnd"/>
      <w:r w:rsidRPr="0063735A">
        <w:rPr>
          <w:rFonts w:eastAsia="Times New Roman"/>
          <w:szCs w:val="28"/>
        </w:rPr>
        <w:t>.</w:t>
      </w:r>
    </w:p>
    <w:p w:rsidR="001B07A1" w:rsidRDefault="00456B40" w:rsidP="00456B40">
      <w:pPr>
        <w:ind w:firstLine="720"/>
        <w:jc w:val="both"/>
        <w:rPr>
          <w:rFonts w:asciiTheme="majorHAnsi" w:eastAsia="Times New Roman" w:hAnsiTheme="majorHAnsi"/>
          <w:b/>
          <w:color w:val="0070C0"/>
          <w:sz w:val="26"/>
          <w:szCs w:val="26"/>
        </w:rPr>
      </w:pPr>
      <w:r w:rsidRPr="0063735A">
        <w:rPr>
          <w:rFonts w:eastAsia="Times New Roman"/>
          <w:szCs w:val="28"/>
        </w:rPr>
        <w:t xml:space="preserve">Mazo upju hidroenerģijas resursi tiek lēsti robežās no 150 – 300 </w:t>
      </w:r>
      <w:proofErr w:type="spellStart"/>
      <w:r w:rsidRPr="0063735A">
        <w:rPr>
          <w:rFonts w:eastAsia="Times New Roman"/>
          <w:szCs w:val="28"/>
        </w:rPr>
        <w:t>GWh</w:t>
      </w:r>
      <w:proofErr w:type="spellEnd"/>
      <w:r w:rsidRPr="0063735A">
        <w:rPr>
          <w:rFonts w:eastAsia="Times New Roman"/>
          <w:color w:val="000000"/>
          <w:position w:val="6"/>
          <w:szCs w:val="28"/>
          <w:vertAlign w:val="superscript"/>
        </w:rPr>
        <w:footnoteReference w:id="27"/>
      </w:r>
      <w:r w:rsidRPr="0063735A">
        <w:rPr>
          <w:rFonts w:eastAsia="Times New Roman"/>
          <w:szCs w:val="28"/>
        </w:rPr>
        <w:t xml:space="preserve"> elektroenerģijas gadā. Praktiski izmantojamais potenciāls ir ievērojami mazāks, jo noteiktus ierobežojumus hidroenerģijas izmantošanai nosaka dabas un ainavu aizsardzības prasības. Ir noteikta m</w:t>
      </w:r>
      <w:r w:rsidRPr="0063735A">
        <w:rPr>
          <w:rFonts w:eastAsia="Times New Roman"/>
          <w:color w:val="000000"/>
          <w:szCs w:val="28"/>
        </w:rPr>
        <w:t>azo HES celtniecības ierobežošana uz zivju sugu migrācijai būtiskām upē</w:t>
      </w:r>
    </w:p>
    <w:p w:rsidR="00456B40" w:rsidRPr="0063735A" w:rsidRDefault="001B07A1" w:rsidP="00456B40">
      <w:pPr>
        <w:ind w:firstLine="720"/>
        <w:jc w:val="both"/>
        <w:rPr>
          <w:rFonts w:eastAsia="Times New Roman"/>
          <w:szCs w:val="28"/>
        </w:rPr>
      </w:pPr>
      <w:r>
        <w:rPr>
          <w:rFonts w:eastAsia="Times New Roman"/>
          <w:color w:val="000000"/>
          <w:szCs w:val="28"/>
        </w:rPr>
        <w:t>Savukārt, v</w:t>
      </w:r>
      <w:r w:rsidR="00456B40" w:rsidRPr="0063735A">
        <w:rPr>
          <w:rFonts w:eastAsia="Times New Roman"/>
          <w:szCs w:val="28"/>
        </w:rPr>
        <w:t>ēja energoresursu sadalījums Latvijā ir izteikti nevienmērīgs (</w:t>
      </w:r>
      <w:proofErr w:type="spellStart"/>
      <w:r w:rsidR="00456B40" w:rsidRPr="0063735A">
        <w:rPr>
          <w:rFonts w:eastAsia="Times New Roman"/>
          <w:szCs w:val="28"/>
        </w:rPr>
        <w:t>sk</w:t>
      </w:r>
      <w:r w:rsidR="00127D28">
        <w:rPr>
          <w:rFonts w:eastAsia="Times New Roman"/>
          <w:szCs w:val="28"/>
        </w:rPr>
        <w:t>at</w:t>
      </w:r>
      <w:proofErr w:type="spellEnd"/>
      <w:r w:rsidR="00456B40" w:rsidRPr="0063735A">
        <w:rPr>
          <w:rFonts w:eastAsia="Times New Roman"/>
          <w:szCs w:val="28"/>
        </w:rPr>
        <w:t xml:space="preserve">. </w:t>
      </w:r>
      <w:r w:rsidR="00127D28">
        <w:rPr>
          <w:rFonts w:eastAsia="Times New Roman"/>
          <w:szCs w:val="28"/>
        </w:rPr>
        <w:t>2</w:t>
      </w:r>
      <w:r w:rsidR="00D16CC5">
        <w:rPr>
          <w:rFonts w:eastAsia="Times New Roman"/>
          <w:szCs w:val="28"/>
        </w:rPr>
        <w:t>5</w:t>
      </w:r>
      <w:r w:rsidR="00456B40" w:rsidRPr="0063735A">
        <w:rPr>
          <w:rFonts w:eastAsia="Times New Roman"/>
          <w:szCs w:val="28"/>
        </w:rPr>
        <w:t>.attēlu). Latvijas vēju atlasā ir iezīmētas zonas ar dažādiem gada vidējiem vēja ātruma intervāliem – no 3,5 m/s līdz pat vairāk kā 5,0 m/</w:t>
      </w:r>
      <w:proofErr w:type="spellStart"/>
      <w:r w:rsidR="00456B40" w:rsidRPr="0063735A">
        <w:rPr>
          <w:rFonts w:eastAsia="Times New Roman"/>
          <w:szCs w:val="28"/>
        </w:rPr>
        <w:t>s</w:t>
      </w:r>
      <w:proofErr w:type="spellEnd"/>
      <w:r w:rsidR="00456B40" w:rsidRPr="0063735A">
        <w:rPr>
          <w:rFonts w:eastAsia="Times New Roman"/>
          <w:szCs w:val="28"/>
        </w:rPr>
        <w:t xml:space="preserve">. Vidējais teorētiskais potenciāls gadā ir no 250 – 1250 </w:t>
      </w:r>
      <w:proofErr w:type="spellStart"/>
      <w:r w:rsidR="00456B40" w:rsidRPr="0063735A">
        <w:rPr>
          <w:rFonts w:eastAsia="Times New Roman"/>
          <w:szCs w:val="28"/>
        </w:rPr>
        <w:t>milj</w:t>
      </w:r>
      <w:proofErr w:type="spellEnd"/>
      <w:r w:rsidR="00456B40" w:rsidRPr="0063735A">
        <w:rPr>
          <w:rFonts w:eastAsia="Times New Roman"/>
          <w:szCs w:val="28"/>
        </w:rPr>
        <w:t>. kWh</w:t>
      </w:r>
      <w:r w:rsidR="00456B40" w:rsidRPr="0063735A">
        <w:rPr>
          <w:rFonts w:eastAsia="Times New Roman"/>
          <w:color w:val="000000"/>
          <w:position w:val="6"/>
          <w:szCs w:val="28"/>
          <w:vertAlign w:val="superscript"/>
        </w:rPr>
        <w:footnoteReference w:id="28"/>
      </w:r>
      <w:r w:rsidR="00456B40" w:rsidRPr="0063735A">
        <w:rPr>
          <w:rFonts w:eastAsia="Times New Roman"/>
          <w:szCs w:val="28"/>
        </w:rPr>
        <w:t>.</w:t>
      </w:r>
    </w:p>
    <w:p w:rsidR="00456B40" w:rsidRPr="0063735A" w:rsidRDefault="00456B40" w:rsidP="00456B40">
      <w:pPr>
        <w:ind w:firstLine="720"/>
        <w:jc w:val="both"/>
        <w:rPr>
          <w:rFonts w:eastAsia="Times New Roman"/>
          <w:szCs w:val="28"/>
        </w:rPr>
      </w:pPr>
      <w:r w:rsidRPr="0063735A">
        <w:rPr>
          <w:rFonts w:eastAsia="Times New Roman"/>
          <w:szCs w:val="28"/>
        </w:rPr>
        <w:t>2012.gadā Latvijā uzstādīto vēja ģeneratoru kopējā jauda pieaugusi līdz 59 MW, un to elektroen</w:t>
      </w:r>
      <w:r>
        <w:rPr>
          <w:rFonts w:eastAsia="Times New Roman"/>
          <w:szCs w:val="28"/>
        </w:rPr>
        <w:t>erģijas izstrāde sasniegusi 114</w:t>
      </w:r>
      <w:r w:rsidR="00A11608">
        <w:rPr>
          <w:rFonts w:eastAsia="Times New Roman"/>
          <w:szCs w:val="28"/>
        </w:rPr>
        <w:t> </w:t>
      </w:r>
      <w:proofErr w:type="spellStart"/>
      <w:r w:rsidRPr="0063735A">
        <w:rPr>
          <w:rFonts w:eastAsia="Times New Roman"/>
          <w:szCs w:val="28"/>
        </w:rPr>
        <w:t>GWh</w:t>
      </w:r>
      <w:proofErr w:type="spellEnd"/>
      <w:r w:rsidRPr="0063735A">
        <w:rPr>
          <w:rFonts w:eastAsia="Times New Roman"/>
          <w:szCs w:val="28"/>
        </w:rPr>
        <w:t xml:space="preserve">. </w:t>
      </w:r>
    </w:p>
    <w:p w:rsidR="00456B40" w:rsidRDefault="00456B40" w:rsidP="00456B40">
      <w:pPr>
        <w:ind w:firstLine="567"/>
        <w:jc w:val="both"/>
        <w:rPr>
          <w:rFonts w:eastAsia="Times New Roman"/>
          <w:szCs w:val="28"/>
        </w:rPr>
      </w:pPr>
      <w:r w:rsidRPr="0063735A">
        <w:rPr>
          <w:rFonts w:eastAsia="Times New Roman"/>
          <w:szCs w:val="28"/>
        </w:rPr>
        <w:t>Savukārt, 2010.gada sākumā Baltijas valstīs uzstādītā vēja enerģijas jauda sasniedza 260 MW, no kuriem Latvijā bija uzstādīts vien 31 MW, kamēr Igaunijā  – 149 MW, Lietuvā – 154 MW</w:t>
      </w:r>
      <w:r w:rsidRPr="0063735A">
        <w:rPr>
          <w:rFonts w:ascii="Arial" w:eastAsia="Times New Roman" w:hAnsi="Arial" w:cs="Arial"/>
          <w:sz w:val="20"/>
          <w:szCs w:val="20"/>
        </w:rPr>
        <w:t>.</w:t>
      </w:r>
      <w:r w:rsidRPr="0063735A">
        <w:rPr>
          <w:rFonts w:eastAsia="Times New Roman"/>
          <w:szCs w:val="28"/>
        </w:rPr>
        <w:t xml:space="preserve"> Baltijas vēja enerģijas potenci</w:t>
      </w:r>
      <w:r>
        <w:rPr>
          <w:rFonts w:eastAsia="Times New Roman"/>
          <w:szCs w:val="28"/>
        </w:rPr>
        <w:t xml:space="preserve">ālu vērtē </w:t>
      </w:r>
      <w:r>
        <w:rPr>
          <w:rFonts w:eastAsia="Times New Roman"/>
          <w:szCs w:val="28"/>
        </w:rPr>
        <w:lastRenderedPageBreak/>
        <w:t>robežās no 4,5 līdz 7</w:t>
      </w:r>
      <w:r w:rsidR="00A11608">
        <w:rPr>
          <w:rFonts w:eastAsia="Times New Roman"/>
          <w:szCs w:val="28"/>
        </w:rPr>
        <w:t> </w:t>
      </w:r>
      <w:proofErr w:type="spellStart"/>
      <w:r>
        <w:rPr>
          <w:rFonts w:eastAsia="Times New Roman"/>
          <w:szCs w:val="28"/>
        </w:rPr>
        <w:t>TWh</w:t>
      </w:r>
      <w:proofErr w:type="spellEnd"/>
      <w:r>
        <w:rPr>
          <w:rFonts w:eastAsia="Times New Roman"/>
          <w:szCs w:val="28"/>
        </w:rPr>
        <w:t xml:space="preserve"> gadā (Igaunijā – 4</w:t>
      </w:r>
      <w:r w:rsidR="00A11608">
        <w:rPr>
          <w:rFonts w:eastAsia="Times New Roman"/>
          <w:szCs w:val="28"/>
        </w:rPr>
        <w:t> </w:t>
      </w:r>
      <w:proofErr w:type="spellStart"/>
      <w:r w:rsidRPr="0063735A">
        <w:rPr>
          <w:rFonts w:eastAsia="Times New Roman"/>
          <w:szCs w:val="28"/>
        </w:rPr>
        <w:t>TWh</w:t>
      </w:r>
      <w:proofErr w:type="spellEnd"/>
      <w:r w:rsidRPr="0063735A">
        <w:rPr>
          <w:rFonts w:eastAsia="Times New Roman"/>
          <w:szCs w:val="28"/>
        </w:rPr>
        <w:t>, Latv</w:t>
      </w:r>
      <w:r>
        <w:rPr>
          <w:rFonts w:eastAsia="Times New Roman"/>
          <w:szCs w:val="28"/>
        </w:rPr>
        <w:t>ijā līdz 1,5</w:t>
      </w:r>
      <w:r w:rsidR="00A11608">
        <w:rPr>
          <w:rFonts w:eastAsia="Times New Roman"/>
          <w:szCs w:val="28"/>
        </w:rPr>
        <w:t> </w:t>
      </w:r>
      <w:proofErr w:type="spellStart"/>
      <w:r>
        <w:rPr>
          <w:rFonts w:eastAsia="Times New Roman"/>
          <w:szCs w:val="28"/>
        </w:rPr>
        <w:t>TWh</w:t>
      </w:r>
      <w:proofErr w:type="spellEnd"/>
      <w:r>
        <w:rPr>
          <w:rFonts w:eastAsia="Times New Roman"/>
          <w:szCs w:val="28"/>
        </w:rPr>
        <w:t>, Lietuvā – 1,5</w:t>
      </w:r>
      <w:r w:rsidR="00A11608">
        <w:rPr>
          <w:rFonts w:eastAsia="Times New Roman"/>
          <w:szCs w:val="28"/>
        </w:rPr>
        <w:t> </w:t>
      </w:r>
      <w:proofErr w:type="spellStart"/>
      <w:r w:rsidRPr="0063735A">
        <w:rPr>
          <w:rFonts w:eastAsia="Times New Roman"/>
          <w:szCs w:val="28"/>
        </w:rPr>
        <w:t>TWh</w:t>
      </w:r>
      <w:proofErr w:type="spellEnd"/>
      <w:r w:rsidRPr="0063735A">
        <w:rPr>
          <w:rFonts w:eastAsia="Times New Roman"/>
          <w:szCs w:val="28"/>
        </w:rPr>
        <w:t xml:space="preserve">).  </w:t>
      </w:r>
    </w:p>
    <w:p w:rsidR="00456B40" w:rsidRPr="0063735A" w:rsidRDefault="00456B40" w:rsidP="00456B40">
      <w:pPr>
        <w:jc w:val="center"/>
        <w:rPr>
          <w:rFonts w:eastAsia="Times New Roman"/>
          <w:szCs w:val="28"/>
        </w:rPr>
      </w:pPr>
      <w:r>
        <w:rPr>
          <w:rFonts w:eastAsia="Times New Roman"/>
          <w:noProof/>
          <w:szCs w:val="28"/>
          <w:lang w:eastAsia="lv-LV"/>
        </w:rPr>
        <w:drawing>
          <wp:inline distT="0" distB="0" distL="0" distR="0" wp14:anchorId="4C5F81A2" wp14:editId="06FD0E2E">
            <wp:extent cx="5553075" cy="3429000"/>
            <wp:effectExtent l="19050" t="0" r="9525" b="0"/>
            <wp:docPr id="6" name="Picture 1122" descr="karte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2" descr="karte01.gif"/>
                    <pic:cNvPicPr>
                      <a:picLocks noChangeAspect="1" noChangeArrowheads="1"/>
                    </pic:cNvPicPr>
                  </pic:nvPicPr>
                  <pic:blipFill>
                    <a:blip r:embed="rId35" cstate="print"/>
                    <a:srcRect/>
                    <a:stretch>
                      <a:fillRect/>
                    </a:stretch>
                  </pic:blipFill>
                  <pic:spPr bwMode="auto">
                    <a:xfrm>
                      <a:off x="0" y="0"/>
                      <a:ext cx="5553075" cy="3429000"/>
                    </a:xfrm>
                    <a:prstGeom prst="rect">
                      <a:avLst/>
                    </a:prstGeom>
                    <a:noFill/>
                    <a:ln w="9525">
                      <a:noFill/>
                      <a:miter lim="800000"/>
                      <a:headEnd/>
                      <a:tailEnd/>
                    </a:ln>
                  </pic:spPr>
                </pic:pic>
              </a:graphicData>
            </a:graphic>
          </wp:inline>
        </w:drawing>
      </w:r>
    </w:p>
    <w:p w:rsidR="00456B40" w:rsidRPr="0063735A" w:rsidRDefault="00456B40" w:rsidP="00456B40">
      <w:pPr>
        <w:rPr>
          <w:rFonts w:eastAsia="Times New Roman"/>
          <w:szCs w:val="28"/>
        </w:rPr>
      </w:pPr>
      <w:r w:rsidRPr="0063735A">
        <w:rPr>
          <w:rFonts w:eastAsia="Times New Roman"/>
          <w:sz w:val="20"/>
          <w:szCs w:val="20"/>
        </w:rPr>
        <w:t xml:space="preserve">Avots: </w:t>
      </w:r>
      <w:proofErr w:type="spellStart"/>
      <w:r w:rsidRPr="0063735A">
        <w:rPr>
          <w:rFonts w:eastAsia="Times New Roman"/>
          <w:i/>
          <w:sz w:val="20"/>
          <w:szCs w:val="20"/>
        </w:rPr>
        <w:t>naturepower.lv</w:t>
      </w:r>
      <w:proofErr w:type="spellEnd"/>
      <w:r w:rsidRPr="0063735A">
        <w:rPr>
          <w:rFonts w:eastAsia="Times New Roman"/>
          <w:sz w:val="20"/>
          <w:szCs w:val="20"/>
        </w:rPr>
        <w:t xml:space="preserve"> </w:t>
      </w:r>
    </w:p>
    <w:p w:rsidR="00456B40" w:rsidRPr="00127D28" w:rsidRDefault="005513F3" w:rsidP="00127D28">
      <w:pPr>
        <w:tabs>
          <w:tab w:val="left" w:pos="0"/>
        </w:tabs>
        <w:rPr>
          <w:rFonts w:eastAsia="Times New Roman"/>
          <w:b/>
          <w:sz w:val="24"/>
          <w:szCs w:val="24"/>
        </w:rPr>
      </w:pPr>
      <w:r w:rsidRPr="00127D28">
        <w:rPr>
          <w:rFonts w:eastAsia="Times New Roman"/>
          <w:b/>
          <w:sz w:val="24"/>
          <w:szCs w:val="24"/>
        </w:rPr>
        <w:t>2</w:t>
      </w:r>
      <w:r w:rsidR="00D16CC5">
        <w:rPr>
          <w:rFonts w:eastAsia="Times New Roman"/>
          <w:b/>
          <w:sz w:val="24"/>
          <w:szCs w:val="24"/>
        </w:rPr>
        <w:t>5</w:t>
      </w:r>
      <w:r w:rsidR="00456B40" w:rsidRPr="00127D28">
        <w:rPr>
          <w:rFonts w:eastAsia="Times New Roman"/>
          <w:b/>
          <w:sz w:val="24"/>
          <w:szCs w:val="24"/>
        </w:rPr>
        <w:t>.attēls. Latvijas vēju atlass</w:t>
      </w:r>
      <w:r w:rsidR="008B78B3">
        <w:rPr>
          <w:rFonts w:eastAsia="Times New Roman"/>
          <w:b/>
          <w:sz w:val="24"/>
          <w:szCs w:val="24"/>
        </w:rPr>
        <w:t>.</w:t>
      </w:r>
    </w:p>
    <w:p w:rsidR="008A6CC8" w:rsidRPr="00127D28" w:rsidRDefault="0050047A" w:rsidP="008A6CC8">
      <w:pPr>
        <w:pStyle w:val="Heading2"/>
        <w:rPr>
          <w:rFonts w:ascii="Times New Roman" w:hAnsi="Times New Roman" w:cs="Times New Roman"/>
          <w:color w:val="auto"/>
          <w:sz w:val="28"/>
          <w:szCs w:val="28"/>
        </w:rPr>
      </w:pPr>
      <w:bookmarkStart w:id="46" w:name="_Toc400714689"/>
      <w:r w:rsidRPr="00127D28">
        <w:rPr>
          <w:rFonts w:ascii="Times New Roman" w:hAnsi="Times New Roman" w:cs="Times New Roman"/>
          <w:color w:val="auto"/>
          <w:sz w:val="28"/>
          <w:szCs w:val="28"/>
        </w:rPr>
        <w:t>6.</w:t>
      </w:r>
      <w:r w:rsidR="00F25869" w:rsidRPr="00127D28">
        <w:rPr>
          <w:rFonts w:ascii="Times New Roman" w:hAnsi="Times New Roman" w:cs="Times New Roman"/>
          <w:color w:val="auto"/>
          <w:sz w:val="28"/>
          <w:szCs w:val="28"/>
        </w:rPr>
        <w:t>4</w:t>
      </w:r>
      <w:r w:rsidR="008A6CC8" w:rsidRPr="00127D28">
        <w:rPr>
          <w:rFonts w:ascii="Times New Roman" w:hAnsi="Times New Roman" w:cs="Times New Roman"/>
          <w:color w:val="auto"/>
          <w:sz w:val="28"/>
          <w:szCs w:val="28"/>
        </w:rPr>
        <w:t>. Elektroenerģijas obligātais iepirkums, subsidētās elektroenerģijas nodoklis</w:t>
      </w:r>
      <w:bookmarkEnd w:id="46"/>
    </w:p>
    <w:p w:rsidR="00562BCC" w:rsidRPr="00562BCC" w:rsidRDefault="00562BCC" w:rsidP="00562BCC">
      <w:pPr>
        <w:ind w:firstLine="709"/>
        <w:jc w:val="both"/>
        <w:rPr>
          <w:rFonts w:cs="Times New Roman"/>
          <w:szCs w:val="28"/>
        </w:rPr>
      </w:pPr>
      <w:r w:rsidRPr="00562BCC">
        <w:rPr>
          <w:rFonts w:cs="Times New Roman"/>
          <w:szCs w:val="28"/>
        </w:rPr>
        <w:t xml:space="preserve">AER īpatsvara pieaugumu sekmē elektroenerģijas obligātais iepirkums (turpmāk–OI), kas vērst uz tādas elektroenerģijas ražošanas veicināšanu, kas izmanto AER, kā arī pieaugumu sekmē elektroenerģijas obligātais iepirkums no augstas efektivitātes koģenerācijas stacijām. </w:t>
      </w:r>
    </w:p>
    <w:p w:rsidR="00562BCC" w:rsidRPr="00562BCC" w:rsidRDefault="00562BCC" w:rsidP="00562BCC">
      <w:pPr>
        <w:ind w:firstLine="709"/>
        <w:jc w:val="both"/>
        <w:rPr>
          <w:rFonts w:cs="Times New Roman"/>
          <w:szCs w:val="28"/>
        </w:rPr>
      </w:pPr>
      <w:r w:rsidRPr="00562BCC">
        <w:rPr>
          <w:rFonts w:cs="Times New Roman"/>
          <w:szCs w:val="28"/>
        </w:rPr>
        <w:t>Ekonomikas ministrijas dati liecina, ka 2013.gadā OI ietvaros no AER izmantojošiem elektroenerģijas ražotājiem tika iepirkts 613,5 </w:t>
      </w:r>
      <w:proofErr w:type="spellStart"/>
      <w:r w:rsidRPr="00562BCC">
        <w:rPr>
          <w:rFonts w:cs="Times New Roman"/>
          <w:szCs w:val="28"/>
        </w:rPr>
        <w:t>GWh</w:t>
      </w:r>
      <w:proofErr w:type="spellEnd"/>
      <w:r w:rsidRPr="00562BCC">
        <w:rPr>
          <w:rFonts w:cs="Times New Roman"/>
          <w:szCs w:val="28"/>
        </w:rPr>
        <w:t xml:space="preserve"> elektroenerģijas. Pēdējos gados ir palielinājušās elektrostaciju, kas izmanto AER, uzstādītās elektriskās jaudas, tai skaitā tādu staciju jaudas, kas izmanto biogāzi un biomasu. </w:t>
      </w:r>
    </w:p>
    <w:p w:rsidR="00562BCC" w:rsidRPr="00562BCC" w:rsidRDefault="00562BCC" w:rsidP="00562BCC">
      <w:pPr>
        <w:ind w:firstLine="709"/>
        <w:jc w:val="both"/>
        <w:rPr>
          <w:rFonts w:cs="Times New Roman"/>
          <w:szCs w:val="28"/>
        </w:rPr>
      </w:pPr>
      <w:r w:rsidRPr="00562BCC">
        <w:rPr>
          <w:rFonts w:cs="Times New Roman"/>
          <w:szCs w:val="28"/>
        </w:rPr>
        <w:t xml:space="preserve">OI komponente (turpmāk–OIK) ar katru gadu pieauga, </w:t>
      </w:r>
      <w:r w:rsidR="00826E2F" w:rsidRPr="00562BCC">
        <w:rPr>
          <w:rFonts w:cs="Times New Roman"/>
          <w:szCs w:val="28"/>
        </w:rPr>
        <w:t>tād</w:t>
      </w:r>
      <w:r w:rsidR="00826E2F">
        <w:rPr>
          <w:rFonts w:cs="Times New Roman"/>
          <w:szCs w:val="28"/>
        </w:rPr>
        <w:t>ē</w:t>
      </w:r>
      <w:r w:rsidR="00826E2F" w:rsidRPr="00562BCC">
        <w:rPr>
          <w:rFonts w:cs="Times New Roman"/>
          <w:szCs w:val="28"/>
        </w:rPr>
        <w:t xml:space="preserve">jādi </w:t>
      </w:r>
      <w:r w:rsidRPr="00562BCC">
        <w:rPr>
          <w:rFonts w:cs="Times New Roman"/>
          <w:szCs w:val="28"/>
        </w:rPr>
        <w:t xml:space="preserve">radot papildu slogu elektroenerģijas lietotājiem. Kā redzams </w:t>
      </w:r>
      <w:r w:rsidR="00826E2F">
        <w:rPr>
          <w:rFonts w:cs="Times New Roman"/>
          <w:szCs w:val="28"/>
        </w:rPr>
        <w:t>2</w:t>
      </w:r>
      <w:r w:rsidR="00D16CC5">
        <w:rPr>
          <w:rFonts w:cs="Times New Roman"/>
          <w:szCs w:val="28"/>
        </w:rPr>
        <w:t>6</w:t>
      </w:r>
      <w:r w:rsidR="00826E2F">
        <w:rPr>
          <w:rFonts w:cs="Times New Roman"/>
          <w:szCs w:val="28"/>
        </w:rPr>
        <w:t>.attēlā</w:t>
      </w:r>
      <w:r w:rsidRPr="00562BCC">
        <w:rPr>
          <w:rFonts w:cs="Times New Roman"/>
          <w:szCs w:val="28"/>
        </w:rPr>
        <w:t xml:space="preserve">, ja 2008.gadā aprēķinātā kopējā OIK bija 0,80 centi/kWh, tad no 2010.gada 1.aprīļa </w:t>
      </w:r>
      <w:r w:rsidR="00826E2F" w:rsidRPr="00562BCC">
        <w:rPr>
          <w:rFonts w:cs="Times New Roman"/>
          <w:szCs w:val="28"/>
        </w:rPr>
        <w:t>S</w:t>
      </w:r>
      <w:r w:rsidR="00826E2F">
        <w:rPr>
          <w:rFonts w:cs="Times New Roman"/>
          <w:szCs w:val="28"/>
        </w:rPr>
        <w:t>abiedrisko pakalpojumu regulēšanas komisijas</w:t>
      </w:r>
      <w:r w:rsidR="00826E2F" w:rsidRPr="00562BCC">
        <w:rPr>
          <w:rFonts w:cs="Times New Roman"/>
          <w:szCs w:val="28"/>
        </w:rPr>
        <w:t xml:space="preserve"> </w:t>
      </w:r>
      <w:r w:rsidRPr="00562BCC">
        <w:rPr>
          <w:rFonts w:cs="Times New Roman"/>
          <w:szCs w:val="28"/>
        </w:rPr>
        <w:t xml:space="preserve">aprēķinātā OIK bija 1,63 centi/kWh. 2012.gadā OIK bija pieaudzis līdz 1,75 centi/kWh un 2013.gadā kopējā OIK pieauga līdz 2,69 centi/kWh. </w:t>
      </w:r>
    </w:p>
    <w:p w:rsidR="00562BCC" w:rsidRPr="00562BCC" w:rsidRDefault="00562BCC" w:rsidP="00562BCC">
      <w:pPr>
        <w:ind w:firstLine="709"/>
        <w:jc w:val="both"/>
        <w:rPr>
          <w:rFonts w:cs="Times New Roman"/>
          <w:szCs w:val="28"/>
        </w:rPr>
      </w:pPr>
      <w:r w:rsidRPr="00562BCC">
        <w:rPr>
          <w:rFonts w:cs="Times New Roman"/>
          <w:szCs w:val="28"/>
        </w:rPr>
        <w:t xml:space="preserve">2013.gadā tika pieņemts lēmums par elektroenerģijas lietotāju atbalsta mehānisma izveidošanu un ieviešanu, lai OIK maksājums turpmākajiem gadiem </w:t>
      </w:r>
      <w:r w:rsidRPr="00562BCC">
        <w:rPr>
          <w:rFonts w:cs="Times New Roman"/>
          <w:szCs w:val="28"/>
        </w:rPr>
        <w:lastRenderedPageBreak/>
        <w:t>tiktu saglabāts nemainīgs – tas ir 2,69 centi/kWh apmērā. Papildus tika nolemts ar 2014.gada 1.janvāri ieviest subsidētās elektroenerģijas nodokli (turpmāk–SEN), kas tiktu piemērots ieņēmumiem par elektroenerģiju, kas pārdota OI ietvaros, kā arī ieņēmumiem no garantētās maksas par stacijā uzstādīto elektrisko jaudu. Pateicoties veiktajiem pasākumiem no 2014.gada 1.aprīļa OIK komponente nedaudz samazinājās līdz 2,68 centi/kWh.</w:t>
      </w:r>
    </w:p>
    <w:p w:rsidR="00562BCC" w:rsidRPr="00562BCC" w:rsidRDefault="00562BCC" w:rsidP="00562BCC">
      <w:pPr>
        <w:suppressAutoHyphens/>
        <w:spacing w:after="120"/>
        <w:ind w:left="720"/>
        <w:rPr>
          <w:rFonts w:cs="Times New Roman"/>
          <w:color w:val="000000" w:themeColor="text1"/>
          <w:szCs w:val="28"/>
        </w:rPr>
      </w:pPr>
    </w:p>
    <w:p w:rsidR="00562BCC" w:rsidRPr="00562BCC" w:rsidRDefault="008B78B3" w:rsidP="00562BCC">
      <w:pPr>
        <w:suppressAutoHyphens/>
        <w:spacing w:after="120"/>
        <w:jc w:val="center"/>
        <w:rPr>
          <w:rFonts w:eastAsia="Times New Roman" w:cs="Times New Roman"/>
          <w:color w:val="000000" w:themeColor="text1"/>
          <w:szCs w:val="28"/>
        </w:rPr>
      </w:pPr>
      <w:r w:rsidRPr="00562BCC">
        <w:rPr>
          <w:rFonts w:cs="Times New Roman"/>
          <w:noProof/>
          <w:szCs w:val="28"/>
          <w:lang w:eastAsia="lv-LV"/>
        </w:rPr>
        <w:drawing>
          <wp:inline distT="0" distB="0" distL="0" distR="0" wp14:anchorId="0A9E24F8" wp14:editId="6FFCFE88">
            <wp:extent cx="4701540" cy="2118360"/>
            <wp:effectExtent l="0" t="0" r="22860" b="15240"/>
            <wp:docPr id="1121" name="Chart 92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562BCC" w:rsidRPr="00826E2F" w:rsidRDefault="005513F3" w:rsidP="00282027">
      <w:pPr>
        <w:tabs>
          <w:tab w:val="left" w:pos="142"/>
          <w:tab w:val="left" w:pos="284"/>
        </w:tabs>
        <w:suppressAutoHyphens/>
        <w:spacing w:after="120"/>
        <w:rPr>
          <w:rFonts w:cs="Times New Roman"/>
          <w:b/>
          <w:color w:val="000000"/>
          <w:sz w:val="24"/>
          <w:szCs w:val="24"/>
        </w:rPr>
      </w:pPr>
      <w:r w:rsidRPr="00826E2F">
        <w:rPr>
          <w:rFonts w:cs="Times New Roman"/>
          <w:b/>
          <w:color w:val="000000"/>
          <w:sz w:val="24"/>
          <w:szCs w:val="24"/>
        </w:rPr>
        <w:t>2</w:t>
      </w:r>
      <w:r w:rsidR="00D16CC5">
        <w:rPr>
          <w:rFonts w:cs="Times New Roman"/>
          <w:b/>
          <w:color w:val="000000"/>
          <w:sz w:val="24"/>
          <w:szCs w:val="24"/>
        </w:rPr>
        <w:t>6</w:t>
      </w:r>
      <w:r w:rsidR="00562BCC" w:rsidRPr="00826E2F">
        <w:rPr>
          <w:rFonts w:cs="Times New Roman"/>
          <w:b/>
          <w:color w:val="000000"/>
          <w:sz w:val="24"/>
          <w:szCs w:val="24"/>
        </w:rPr>
        <w:t xml:space="preserve">.attēls. Obligātā iepirkuma komponentes dinamika </w:t>
      </w:r>
    </w:p>
    <w:p w:rsidR="00826E2F" w:rsidRDefault="00826E2F" w:rsidP="00562BCC">
      <w:pPr>
        <w:ind w:firstLine="644"/>
        <w:jc w:val="both"/>
        <w:rPr>
          <w:rFonts w:cs="Times New Roman"/>
          <w:szCs w:val="28"/>
        </w:rPr>
      </w:pPr>
    </w:p>
    <w:p w:rsidR="00562BCC" w:rsidRPr="00562BCC" w:rsidRDefault="00562BCC" w:rsidP="00562BCC">
      <w:pPr>
        <w:ind w:firstLine="644"/>
        <w:jc w:val="both"/>
        <w:rPr>
          <w:rFonts w:cs="Times New Roman"/>
          <w:szCs w:val="28"/>
        </w:rPr>
      </w:pPr>
      <w:r w:rsidRPr="00562BCC">
        <w:rPr>
          <w:rFonts w:cs="Times New Roman"/>
          <w:szCs w:val="28"/>
        </w:rPr>
        <w:t>Lai saglabātu atbalstu elektroenerģijas ražošanai, izmantojot AER vai augstas efektivitātes koģenerācijas iekārtas, tajā pat laikā nepieļaujot būtisku OIK palielinājumu un atstātu to 2013.gada līmenī (2,69 centi/kWh), ir ieviests SEN. Subsidētās elektroenerģijas nodokļa likums, kas Latvijas Republikas Saeimā pieņemts 2013.gada 6.novembrī un ir stājies spēkā 2014.gada 1.janvārī, nosaka SEN objektu, SEN maksātājus, SEN likmi, subsidētās elektroenerģijas ražotāju reģistra</w:t>
      </w:r>
      <w:r w:rsidRPr="00562BCC">
        <w:rPr>
          <w:rStyle w:val="FootnoteReference"/>
          <w:rFonts w:cs="Times New Roman"/>
          <w:sz w:val="28"/>
          <w:szCs w:val="28"/>
        </w:rPr>
        <w:footnoteReference w:id="29"/>
      </w:r>
      <w:r w:rsidRPr="00562BCC">
        <w:rPr>
          <w:rFonts w:cs="Times New Roman"/>
          <w:szCs w:val="28"/>
        </w:rPr>
        <w:t xml:space="preserve"> izveidošanas un uzturēšanas kārtību, SEN aprēķināšanas, maksāšanas un administrēšanas kārtību, kā arī atbildību par šā likuma pārkāpumiem.</w:t>
      </w:r>
    </w:p>
    <w:p w:rsidR="00562BCC" w:rsidRPr="00562BCC" w:rsidRDefault="00562BCC" w:rsidP="00562BCC">
      <w:pPr>
        <w:ind w:firstLine="644"/>
        <w:jc w:val="both"/>
        <w:rPr>
          <w:rFonts w:cs="Times New Roman"/>
          <w:szCs w:val="28"/>
        </w:rPr>
      </w:pPr>
      <w:r w:rsidRPr="00562BCC">
        <w:rPr>
          <w:rFonts w:cs="Times New Roman"/>
          <w:szCs w:val="28"/>
        </w:rPr>
        <w:t>Subsidētās elektroenerģijas nodokļa likums paredz SEN piemērot no 2014.gada 1.janvāra līdz 2017.gada 31.decembrim. Šim nodoklim ir noteiktas trīs dažādas likmes:</w:t>
      </w:r>
    </w:p>
    <w:p w:rsidR="00826E2F" w:rsidRDefault="00562BCC" w:rsidP="00826E2F">
      <w:pPr>
        <w:pStyle w:val="ListParagraph"/>
        <w:numPr>
          <w:ilvl w:val="1"/>
          <w:numId w:val="12"/>
        </w:numPr>
        <w:jc w:val="both"/>
        <w:rPr>
          <w:rFonts w:cs="Times New Roman"/>
          <w:szCs w:val="28"/>
        </w:rPr>
      </w:pPr>
      <w:r w:rsidRPr="00826E2F">
        <w:rPr>
          <w:rFonts w:cs="Times New Roman"/>
          <w:szCs w:val="28"/>
        </w:rPr>
        <w:t>15% dabasgāzes koģenerācijas stacijām;</w:t>
      </w:r>
    </w:p>
    <w:p w:rsidR="00562BCC" w:rsidRPr="00826E2F" w:rsidRDefault="00562BCC" w:rsidP="00826E2F">
      <w:pPr>
        <w:pStyle w:val="ListParagraph"/>
        <w:numPr>
          <w:ilvl w:val="1"/>
          <w:numId w:val="12"/>
        </w:numPr>
        <w:jc w:val="both"/>
        <w:rPr>
          <w:rFonts w:cs="Times New Roman"/>
          <w:szCs w:val="28"/>
        </w:rPr>
      </w:pPr>
      <w:r w:rsidRPr="00826E2F">
        <w:rPr>
          <w:rFonts w:cs="Times New Roman"/>
          <w:szCs w:val="28"/>
        </w:rPr>
        <w:t>10% AER izmantojošām stacijām;</w:t>
      </w:r>
    </w:p>
    <w:p w:rsidR="00562BCC" w:rsidRPr="00562BCC" w:rsidRDefault="00562BCC" w:rsidP="00562BCC">
      <w:pPr>
        <w:pStyle w:val="ListParagraph"/>
        <w:numPr>
          <w:ilvl w:val="1"/>
          <w:numId w:val="12"/>
        </w:numPr>
        <w:jc w:val="both"/>
        <w:rPr>
          <w:rFonts w:cs="Times New Roman"/>
          <w:szCs w:val="28"/>
        </w:rPr>
      </w:pPr>
      <w:r w:rsidRPr="00562BCC">
        <w:rPr>
          <w:rFonts w:cs="Times New Roman"/>
          <w:szCs w:val="28"/>
        </w:rPr>
        <w:t>5% stacijām, kas atbilst zemāk minētajiem nosacījumiem:</w:t>
      </w:r>
    </w:p>
    <w:p w:rsidR="00562BCC" w:rsidRPr="009E6F60" w:rsidRDefault="00562BCC" w:rsidP="008B78B3">
      <w:pPr>
        <w:pStyle w:val="ListParagraph"/>
        <w:numPr>
          <w:ilvl w:val="0"/>
          <w:numId w:val="20"/>
        </w:numPr>
        <w:ind w:left="2127"/>
        <w:jc w:val="both"/>
        <w:rPr>
          <w:rFonts w:cs="Times New Roman"/>
          <w:szCs w:val="28"/>
        </w:rPr>
      </w:pPr>
      <w:r w:rsidRPr="009E6F60">
        <w:rPr>
          <w:rFonts w:cs="Times New Roman"/>
          <w:szCs w:val="28"/>
        </w:rPr>
        <w:t xml:space="preserve">augstas efektivitātes dabas gāzes koģenerācijas stacijas ar elektrisko jaudu līdz 4 MW vai arī stacijas, kas izmanto AER </w:t>
      </w:r>
      <w:r w:rsidRPr="009E6F60">
        <w:rPr>
          <w:rFonts w:cs="Times New Roman"/>
          <w:szCs w:val="28"/>
        </w:rPr>
        <w:lastRenderedPageBreak/>
        <w:t>bez jaudas ierobežojuma, kuras nodrošina ar siltumenerģiju centralizētās siltumapgādes sistēmas;</w:t>
      </w:r>
    </w:p>
    <w:p w:rsidR="00562BCC" w:rsidRPr="00562BCC" w:rsidRDefault="00562BCC" w:rsidP="00103BD6">
      <w:pPr>
        <w:pStyle w:val="ListParagraph"/>
        <w:numPr>
          <w:ilvl w:val="0"/>
          <w:numId w:val="20"/>
        </w:numPr>
        <w:ind w:left="2127"/>
        <w:jc w:val="both"/>
        <w:rPr>
          <w:rFonts w:cs="Times New Roman"/>
          <w:szCs w:val="28"/>
        </w:rPr>
      </w:pPr>
      <w:r w:rsidRPr="00562BCC">
        <w:rPr>
          <w:rFonts w:cs="Times New Roman"/>
          <w:szCs w:val="28"/>
        </w:rPr>
        <w:t>augstas efektivitātes koģenerācijas stacijas ar elektrisko jaudu līdz 4 MW, kas vismaz 30% elektroenerģijas ražošanas nodrošina ar dzīvnieku izcelsmes blakusproduktiem vai to atvasinājumiem un, kas vismaz 70% no izejvielām nodrošina pats vai iegādājas no ražotāja, kam pieder vairāk nekā 50% no nodokļa maksātāja pamatkapitāla, turklāt saražotā siltumenerģija tiek izmantota savas produkcijas ražošanā;</w:t>
      </w:r>
    </w:p>
    <w:p w:rsidR="00562BCC" w:rsidRPr="009E6F60" w:rsidRDefault="00562BCC" w:rsidP="00103BD6">
      <w:pPr>
        <w:pStyle w:val="ListParagraph"/>
        <w:numPr>
          <w:ilvl w:val="0"/>
          <w:numId w:val="20"/>
        </w:numPr>
        <w:ind w:left="2127"/>
        <w:jc w:val="both"/>
        <w:rPr>
          <w:rFonts w:cs="Times New Roman"/>
          <w:szCs w:val="28"/>
        </w:rPr>
      </w:pPr>
      <w:r w:rsidRPr="009E6F60">
        <w:rPr>
          <w:rFonts w:cs="Times New Roman"/>
          <w:szCs w:val="28"/>
        </w:rPr>
        <w:t>augstas efektivitātes koksnes biomasas koģenerācijas stacijas ar elektrisko jaudu līdz 4 MW un vismaz 70% no koģenerācijas procesā iegūtās siltumenerģijas izmanto savas produkcijas ražošanā;</w:t>
      </w:r>
    </w:p>
    <w:p w:rsidR="00562BCC" w:rsidRDefault="00562BCC" w:rsidP="00103BD6">
      <w:pPr>
        <w:pStyle w:val="ListParagraph"/>
        <w:numPr>
          <w:ilvl w:val="0"/>
          <w:numId w:val="20"/>
        </w:numPr>
        <w:ind w:left="2127"/>
        <w:jc w:val="both"/>
        <w:rPr>
          <w:rFonts w:cs="Times New Roman"/>
          <w:szCs w:val="28"/>
        </w:rPr>
      </w:pPr>
      <w:r w:rsidRPr="00562BCC">
        <w:rPr>
          <w:rFonts w:cs="Times New Roman"/>
          <w:szCs w:val="28"/>
        </w:rPr>
        <w:t>augstas efektivitātes dabasgāzes koģenerācijas stacijas ar elektrisko jaudu līdz 4 MW vai bez uzstādītās elektriskās jaudas ierobežojuma AER koģenerācijas stacijās, kas vismaz 70% no saražotās siltumenerģijas izmanto augu veģetācijas procesa nodrošināšanai segtajās platībās, kuru kopējā platība ir ne mazāka kā 5000 m</w:t>
      </w:r>
      <w:r w:rsidRPr="00562BCC">
        <w:rPr>
          <w:rFonts w:cs="Times New Roman"/>
          <w:szCs w:val="28"/>
          <w:vertAlign w:val="superscript"/>
        </w:rPr>
        <w:t>2</w:t>
      </w:r>
      <w:r w:rsidRPr="00562BCC">
        <w:rPr>
          <w:rFonts w:cs="Times New Roman"/>
          <w:szCs w:val="28"/>
        </w:rPr>
        <w:t xml:space="preserve">. </w:t>
      </w:r>
    </w:p>
    <w:p w:rsidR="009E6F60" w:rsidRPr="00562BCC" w:rsidRDefault="009E6F60" w:rsidP="009E6F60">
      <w:pPr>
        <w:pStyle w:val="ListParagraph"/>
        <w:ind w:left="2160"/>
        <w:jc w:val="both"/>
        <w:rPr>
          <w:rFonts w:cs="Times New Roman"/>
          <w:szCs w:val="28"/>
        </w:rPr>
      </w:pPr>
    </w:p>
    <w:p w:rsidR="00562BCC" w:rsidRPr="00562BCC" w:rsidRDefault="00562BCC" w:rsidP="00562BCC">
      <w:pPr>
        <w:ind w:firstLine="708"/>
        <w:jc w:val="both"/>
        <w:rPr>
          <w:rFonts w:cs="Times New Roman"/>
          <w:szCs w:val="28"/>
        </w:rPr>
      </w:pPr>
      <w:r w:rsidRPr="00562BCC">
        <w:rPr>
          <w:rFonts w:cs="Times New Roman"/>
          <w:szCs w:val="28"/>
        </w:rPr>
        <w:t xml:space="preserve">SEN ieviešana bija nepieciešama, lai novērstu izmaksu palielināšanos gan elektroenerģijas lietotājiem, gan valsts budžetam, kas var apdraudēt atbalstu videi draudzīgas elektroenerģijas ražošanai esošajā apmērā. Pie tam jāņem vērā, ka elektroenerģijas ražošanai no AER izmantoto tehnoloģiju izmaksas ar laiku samazinās, palielinoties to izplatībai, savukārt izmaksājamais atbalsta apjoms līdzšinējā atbalsta mehānismā palielinās, jo tā lielums ir piesaistīts dabasgāzes tirdzniecības tarifam. </w:t>
      </w:r>
    </w:p>
    <w:p w:rsidR="00562BCC" w:rsidRPr="00562BCC" w:rsidRDefault="00562BCC" w:rsidP="00562BCC">
      <w:pPr>
        <w:ind w:firstLine="720"/>
        <w:jc w:val="both"/>
        <w:rPr>
          <w:rFonts w:cs="Times New Roman"/>
          <w:szCs w:val="28"/>
        </w:rPr>
      </w:pPr>
      <w:r w:rsidRPr="00562BCC">
        <w:rPr>
          <w:rFonts w:cs="Times New Roman"/>
          <w:szCs w:val="28"/>
        </w:rPr>
        <w:t xml:space="preserve">Kopumā laika posmā no 2014.gada 1.janvāra līdz 2017.gada 31.martam tiek prognozēts, ka no valsts budžeta papildus būs nepieciešami 202,16 </w:t>
      </w:r>
      <w:proofErr w:type="spellStart"/>
      <w:r w:rsidRPr="00562BCC">
        <w:rPr>
          <w:rFonts w:cs="Times New Roman"/>
          <w:szCs w:val="28"/>
        </w:rPr>
        <w:t>milj</w:t>
      </w:r>
      <w:proofErr w:type="spellEnd"/>
      <w:r w:rsidRPr="00562BCC">
        <w:rPr>
          <w:rFonts w:cs="Times New Roman"/>
          <w:szCs w:val="28"/>
        </w:rPr>
        <w:t>. EUR, nosedzot visus OI maksājumus – gan ietverot jaudas komponenti, gan enerģijas komponenti. Nepieciešamais finansējums no valsts budžeta, kurā ienākumi šim mērķim tiks gūti no SEN darbības.</w:t>
      </w:r>
    </w:p>
    <w:p w:rsidR="00D000E8" w:rsidRDefault="00D000E8" w:rsidP="006E7786">
      <w:pPr>
        <w:jc w:val="both"/>
      </w:pPr>
    </w:p>
    <w:p w:rsidR="006E7786" w:rsidRPr="00045A0D" w:rsidRDefault="0050047A" w:rsidP="0050047A">
      <w:pPr>
        <w:pStyle w:val="Heading2"/>
        <w:spacing w:before="0"/>
        <w:rPr>
          <w:rFonts w:ascii="Times New Roman" w:hAnsi="Times New Roman" w:cs="Times New Roman"/>
          <w:color w:val="auto"/>
          <w:sz w:val="28"/>
          <w:szCs w:val="28"/>
        </w:rPr>
      </w:pPr>
      <w:bookmarkStart w:id="47" w:name="_Toc400714690"/>
      <w:r w:rsidRPr="00045A0D">
        <w:rPr>
          <w:rFonts w:ascii="Times New Roman" w:hAnsi="Times New Roman" w:cs="Times New Roman"/>
          <w:color w:val="auto"/>
          <w:sz w:val="28"/>
          <w:szCs w:val="28"/>
        </w:rPr>
        <w:t>6.</w:t>
      </w:r>
      <w:r w:rsidR="00F25869" w:rsidRPr="00045A0D">
        <w:rPr>
          <w:rFonts w:ascii="Times New Roman" w:hAnsi="Times New Roman" w:cs="Times New Roman"/>
          <w:color w:val="auto"/>
          <w:sz w:val="28"/>
          <w:szCs w:val="28"/>
        </w:rPr>
        <w:t>5</w:t>
      </w:r>
      <w:r w:rsidR="006E7786" w:rsidRPr="00045A0D">
        <w:rPr>
          <w:rFonts w:ascii="Times New Roman" w:hAnsi="Times New Roman" w:cs="Times New Roman"/>
          <w:color w:val="auto"/>
          <w:sz w:val="28"/>
          <w:szCs w:val="28"/>
        </w:rPr>
        <w:t>. Investīciju atbalsts</w:t>
      </w:r>
      <w:bookmarkEnd w:id="47"/>
    </w:p>
    <w:p w:rsidR="006E7786" w:rsidRPr="006E7786" w:rsidRDefault="006E7786" w:rsidP="0050047A">
      <w:pPr>
        <w:ind w:firstLine="851"/>
        <w:jc w:val="both"/>
        <w:rPr>
          <w:rFonts w:cs="Times New Roman"/>
          <w:szCs w:val="28"/>
        </w:rPr>
      </w:pPr>
      <w:r w:rsidRPr="006E7786">
        <w:rPr>
          <w:rFonts w:cs="Times New Roman"/>
          <w:szCs w:val="28"/>
        </w:rPr>
        <w:t xml:space="preserve">Līdz šim investīciju atbalsts enerģijas ražošanai no AER tika nodrošināts gan no ES Kohēzijas fonda, no ES Eiropas Lauksaimniecības fonda lauku attīstībai, gan Klimata pārmaiņu finanšu instrumenta. Papildus tam bija iespējams saņemt atbalstu arī obligātā iepirkuma vai maksas par uzstādīto jaudu ietvaros. </w:t>
      </w:r>
    </w:p>
    <w:p w:rsidR="006E7786" w:rsidRPr="006E7786" w:rsidRDefault="006E7786" w:rsidP="006E7786">
      <w:pPr>
        <w:ind w:firstLine="851"/>
        <w:jc w:val="both"/>
        <w:rPr>
          <w:rFonts w:cs="Times New Roman"/>
          <w:szCs w:val="28"/>
        </w:rPr>
      </w:pPr>
      <w:r w:rsidRPr="006E7786">
        <w:rPr>
          <w:rFonts w:cs="Times New Roman"/>
          <w:szCs w:val="28"/>
        </w:rPr>
        <w:lastRenderedPageBreak/>
        <w:t xml:space="preserve">Latvijai nozīmīga ir plašāka AER izmantošana siltuma ražošanai, kurai attiecīgi ir svarīga vieta Latvijas mērķu sasniegšanai līdz 2020.gadam. Vienlaikus centralizētā siltumapgāde ir </w:t>
      </w:r>
      <w:proofErr w:type="spellStart"/>
      <w:r w:rsidRPr="006E7786">
        <w:rPr>
          <w:rFonts w:cs="Times New Roman"/>
          <w:szCs w:val="28"/>
        </w:rPr>
        <w:t>energoefektīvākais</w:t>
      </w:r>
      <w:proofErr w:type="spellEnd"/>
      <w:r w:rsidRPr="006E7786">
        <w:rPr>
          <w:rFonts w:cs="Times New Roman"/>
          <w:szCs w:val="28"/>
        </w:rPr>
        <w:t xml:space="preserve"> siltumapgādes veids, kuru plaši izmanto sabiedrisko un  dzīvojamo ēku apsildei. Pašlaik būtiska daļa no kurināmā, kas tiek izmantoti centralizētā siltumapgādē, tiek importēti – 2011.gadā 62,9% katlumājās izmantoja dabasgāzi, kas norāda uz nozares lielo atkarību no importētā fosilā kurināmā. </w:t>
      </w:r>
    </w:p>
    <w:p w:rsidR="006E7786" w:rsidRPr="004B506D" w:rsidRDefault="006E7786" w:rsidP="006E7786">
      <w:pPr>
        <w:jc w:val="both"/>
      </w:pPr>
    </w:p>
    <w:p w:rsidR="00E06126" w:rsidRPr="00045A0D" w:rsidRDefault="0050047A" w:rsidP="0050047A">
      <w:pPr>
        <w:pStyle w:val="Heading1"/>
      </w:pPr>
      <w:bookmarkStart w:id="48" w:name="_Toc400714691"/>
      <w:r w:rsidRPr="00045A0D">
        <w:t>7</w:t>
      </w:r>
      <w:r w:rsidR="00FC01FE" w:rsidRPr="00045A0D">
        <w:t xml:space="preserve">. </w:t>
      </w:r>
      <w:r w:rsidR="00E06126" w:rsidRPr="00045A0D">
        <w:t>Energoefektivitāte</w:t>
      </w:r>
      <w:bookmarkEnd w:id="48"/>
    </w:p>
    <w:p w:rsidR="00566BAE" w:rsidRPr="00045A0D" w:rsidRDefault="00566BAE" w:rsidP="00566BAE">
      <w:pPr>
        <w:spacing w:after="120"/>
        <w:ind w:firstLine="360"/>
        <w:jc w:val="both"/>
        <w:rPr>
          <w:rFonts w:cs="Times New Roman"/>
          <w:b/>
          <w:szCs w:val="28"/>
        </w:rPr>
      </w:pPr>
      <w:r w:rsidRPr="00045A0D">
        <w:rPr>
          <w:rFonts w:cs="Times New Roman"/>
          <w:b/>
          <w:szCs w:val="28"/>
        </w:rPr>
        <w:t xml:space="preserve">7.1. Tiesiskais ietvars </w:t>
      </w:r>
    </w:p>
    <w:p w:rsidR="006E7786" w:rsidRPr="006E7786" w:rsidRDefault="006E7786" w:rsidP="006E7786">
      <w:pPr>
        <w:spacing w:after="120"/>
        <w:ind w:firstLine="360"/>
        <w:jc w:val="both"/>
        <w:rPr>
          <w:rFonts w:cs="Times New Roman"/>
          <w:szCs w:val="28"/>
        </w:rPr>
      </w:pPr>
      <w:r w:rsidRPr="006E7786">
        <w:rPr>
          <w:rFonts w:cs="Times New Roman"/>
          <w:szCs w:val="28"/>
        </w:rPr>
        <w:t>Saskaņā ar Eiropas Parlamenta un Padomes Direktīvas 2006/32/EK (2006.gada 5.aprīlis) par enerģijas galapatēriņa efektivitāti un energoefektivitātes pakalpojumiem un ar ko atceļ Padomes Direktīvu 93/76/EEK prasībām Latvijai ir jāsasniedz sekojoši energoefektivitātes (turpmāk – EE) mērķi:</w:t>
      </w:r>
    </w:p>
    <w:p w:rsidR="006E7786" w:rsidRPr="009E6F60" w:rsidRDefault="006E7786" w:rsidP="009E6F60">
      <w:pPr>
        <w:pStyle w:val="ListParagraph"/>
        <w:numPr>
          <w:ilvl w:val="0"/>
          <w:numId w:val="21"/>
        </w:numPr>
        <w:spacing w:after="120"/>
        <w:jc w:val="both"/>
        <w:rPr>
          <w:rFonts w:cs="Times New Roman"/>
          <w:szCs w:val="28"/>
        </w:rPr>
      </w:pPr>
      <w:r w:rsidRPr="009E6F60">
        <w:rPr>
          <w:rFonts w:cs="Times New Roman"/>
          <w:szCs w:val="28"/>
        </w:rPr>
        <w:t xml:space="preserve">valsts indikatīvas enerģijas galapatēriņa ietaupījuma mērķis 2016.gadam,  atbilstoši Direktīvas 2006/32/EK 4.panta 1.punkta prasībām – 3483 </w:t>
      </w:r>
      <w:proofErr w:type="spellStart"/>
      <w:r w:rsidRPr="009E6F60">
        <w:rPr>
          <w:rFonts w:cs="Times New Roman"/>
          <w:szCs w:val="28"/>
        </w:rPr>
        <w:t>GWh</w:t>
      </w:r>
      <w:proofErr w:type="spellEnd"/>
      <w:r w:rsidRPr="009E6F60">
        <w:rPr>
          <w:rFonts w:cs="Times New Roman"/>
          <w:szCs w:val="28"/>
        </w:rPr>
        <w:t>;</w:t>
      </w:r>
    </w:p>
    <w:p w:rsidR="006E7786" w:rsidRPr="009E6F60" w:rsidRDefault="006E7786" w:rsidP="009E6F60">
      <w:pPr>
        <w:pStyle w:val="ListParagraph"/>
        <w:numPr>
          <w:ilvl w:val="0"/>
          <w:numId w:val="21"/>
        </w:numPr>
        <w:spacing w:after="120"/>
        <w:jc w:val="both"/>
        <w:rPr>
          <w:rFonts w:cs="Times New Roman"/>
          <w:szCs w:val="28"/>
        </w:rPr>
      </w:pPr>
      <w:r w:rsidRPr="009E6F60">
        <w:rPr>
          <w:rFonts w:cs="Times New Roman"/>
          <w:szCs w:val="28"/>
        </w:rPr>
        <w:t xml:space="preserve">kopējais valsts indikatīvais EE mērķis - primārās enerģijas ietaupījums 2020.gadā – 0,670 </w:t>
      </w:r>
      <w:proofErr w:type="spellStart"/>
      <w:r w:rsidRPr="009E6F60">
        <w:rPr>
          <w:rFonts w:cs="Times New Roman"/>
          <w:szCs w:val="28"/>
        </w:rPr>
        <w:t>Mtoe</w:t>
      </w:r>
      <w:proofErr w:type="spellEnd"/>
      <w:r w:rsidRPr="009E6F60">
        <w:rPr>
          <w:rFonts w:cs="Times New Roman"/>
          <w:szCs w:val="28"/>
        </w:rPr>
        <w:t xml:space="preserve"> (28 PJ);</w:t>
      </w:r>
    </w:p>
    <w:p w:rsidR="006E7786" w:rsidRPr="009E6F60" w:rsidRDefault="006E7786" w:rsidP="009E6F60">
      <w:pPr>
        <w:pStyle w:val="ListParagraph"/>
        <w:numPr>
          <w:ilvl w:val="0"/>
          <w:numId w:val="21"/>
        </w:numPr>
        <w:spacing w:after="120"/>
        <w:jc w:val="both"/>
        <w:rPr>
          <w:rFonts w:cs="Times New Roman"/>
          <w:szCs w:val="28"/>
        </w:rPr>
      </w:pPr>
      <w:r w:rsidRPr="009E6F60">
        <w:rPr>
          <w:rFonts w:cs="Times New Roman"/>
          <w:szCs w:val="28"/>
        </w:rPr>
        <w:t xml:space="preserve">obligātais ikgadējais 1,5% gala enerģijas ietaupījuma kumulatīvais mērķis  – 1,5% apjomā no galalietotājiem piegādātās enerģijas – kopā līdz 2020.gadam –  0,213 </w:t>
      </w:r>
      <w:proofErr w:type="spellStart"/>
      <w:r w:rsidRPr="009E6F60">
        <w:rPr>
          <w:rFonts w:cs="Times New Roman"/>
          <w:szCs w:val="28"/>
        </w:rPr>
        <w:t>Mtoe</w:t>
      </w:r>
      <w:proofErr w:type="spellEnd"/>
      <w:r w:rsidRPr="009E6F60">
        <w:rPr>
          <w:rFonts w:cs="Times New Roman"/>
          <w:szCs w:val="28"/>
        </w:rPr>
        <w:t xml:space="preserve"> (8,9 PJ); </w:t>
      </w:r>
    </w:p>
    <w:p w:rsidR="006E7786" w:rsidRPr="009E6F60" w:rsidRDefault="006E7786" w:rsidP="009E6F60">
      <w:pPr>
        <w:pStyle w:val="ListParagraph"/>
        <w:numPr>
          <w:ilvl w:val="0"/>
          <w:numId w:val="21"/>
        </w:numPr>
        <w:spacing w:after="120"/>
        <w:jc w:val="both"/>
        <w:rPr>
          <w:rFonts w:cs="Times New Roman"/>
          <w:szCs w:val="28"/>
        </w:rPr>
      </w:pPr>
      <w:r w:rsidRPr="009E6F60">
        <w:rPr>
          <w:rFonts w:cs="Times New Roman"/>
          <w:szCs w:val="28"/>
        </w:rPr>
        <w:t xml:space="preserve">ikgada </w:t>
      </w:r>
      <w:r w:rsidR="0079494C">
        <w:rPr>
          <w:rFonts w:cs="Times New Roman"/>
          <w:szCs w:val="28"/>
        </w:rPr>
        <w:t>tiešās valsts pārvaldes</w:t>
      </w:r>
      <w:r w:rsidRPr="009E6F60">
        <w:rPr>
          <w:rFonts w:cs="Times New Roman"/>
          <w:szCs w:val="28"/>
        </w:rPr>
        <w:t xml:space="preserve">  ēku 3% platības renovācijas mērķis (maksimālās aplēses – kopā 678 460 m</w:t>
      </w:r>
      <w:r w:rsidRPr="00045A0D">
        <w:rPr>
          <w:rFonts w:cs="Times New Roman"/>
          <w:szCs w:val="28"/>
          <w:vertAlign w:val="superscript"/>
        </w:rPr>
        <w:t>2</w:t>
      </w:r>
      <w:r w:rsidRPr="009E6F60">
        <w:rPr>
          <w:rFonts w:cs="Times New Roman"/>
          <w:szCs w:val="28"/>
        </w:rPr>
        <w:t xml:space="preserve">), kas kopā ar pašvaldību ēku renovāciju dod 0,016 </w:t>
      </w:r>
      <w:proofErr w:type="spellStart"/>
      <w:r w:rsidRPr="009E6F60">
        <w:rPr>
          <w:rFonts w:cs="Times New Roman"/>
          <w:szCs w:val="28"/>
        </w:rPr>
        <w:t>Mtoe</w:t>
      </w:r>
      <w:proofErr w:type="spellEnd"/>
      <w:r w:rsidRPr="009E6F60">
        <w:rPr>
          <w:rFonts w:cs="Times New Roman"/>
          <w:szCs w:val="28"/>
        </w:rPr>
        <w:t xml:space="preserve"> (0,67 PJ</w:t>
      </w:r>
      <w:r w:rsidR="00BF6276">
        <w:rPr>
          <w:rFonts w:cs="Times New Roman"/>
          <w:szCs w:val="28"/>
        </w:rPr>
        <w:t xml:space="preserve"> jeb</w:t>
      </w:r>
      <w:r w:rsidRPr="009E6F60">
        <w:rPr>
          <w:rFonts w:cs="Times New Roman"/>
          <w:szCs w:val="28"/>
        </w:rPr>
        <w:t xml:space="preserve"> 186 </w:t>
      </w:r>
      <w:proofErr w:type="spellStart"/>
      <w:r w:rsidRPr="009E6F60">
        <w:rPr>
          <w:rFonts w:cs="Times New Roman"/>
          <w:szCs w:val="28"/>
        </w:rPr>
        <w:t>GWh</w:t>
      </w:r>
      <w:proofErr w:type="spellEnd"/>
      <w:r w:rsidRPr="009E6F60">
        <w:rPr>
          <w:rFonts w:cs="Times New Roman"/>
          <w:szCs w:val="28"/>
        </w:rPr>
        <w:t>) enerģijas ietaupījumu visā 2014.–2020. gada periodā;</w:t>
      </w:r>
    </w:p>
    <w:p w:rsidR="006E7786" w:rsidRPr="009E6F60" w:rsidRDefault="006E7786" w:rsidP="009E6F60">
      <w:pPr>
        <w:pStyle w:val="ListParagraph"/>
        <w:numPr>
          <w:ilvl w:val="0"/>
          <w:numId w:val="21"/>
        </w:numPr>
        <w:spacing w:after="120"/>
        <w:jc w:val="both"/>
        <w:rPr>
          <w:rFonts w:cs="Times New Roman"/>
          <w:szCs w:val="28"/>
        </w:rPr>
      </w:pPr>
      <w:r w:rsidRPr="009E6F60">
        <w:rPr>
          <w:rFonts w:cs="Times New Roman"/>
          <w:szCs w:val="28"/>
        </w:rPr>
        <w:t>līdz 2030.gadam vidējais siltumenerģijas patēriņš apkurei tiek samazināts par 50% pret pašreizējo rādītāju, kas ar klimata korekciju ir aptuveni 200 kWh/m</w:t>
      </w:r>
      <w:r w:rsidRPr="00045A0D">
        <w:rPr>
          <w:rFonts w:cs="Times New Roman"/>
          <w:szCs w:val="28"/>
          <w:vertAlign w:val="superscript"/>
        </w:rPr>
        <w:t>2</w:t>
      </w:r>
      <w:r w:rsidRPr="009E6F60">
        <w:rPr>
          <w:rFonts w:cs="Times New Roman"/>
          <w:szCs w:val="28"/>
        </w:rPr>
        <w:t xml:space="preserve"> gadā (noteikts Stratēģijā 2030).</w:t>
      </w:r>
    </w:p>
    <w:p w:rsidR="006E7786" w:rsidRPr="009E6F60" w:rsidRDefault="006E7786" w:rsidP="009E6F60">
      <w:pPr>
        <w:pStyle w:val="ListParagraph"/>
        <w:numPr>
          <w:ilvl w:val="0"/>
          <w:numId w:val="21"/>
        </w:numPr>
        <w:spacing w:after="120"/>
        <w:jc w:val="both"/>
        <w:rPr>
          <w:rFonts w:cs="Times New Roman"/>
          <w:szCs w:val="28"/>
        </w:rPr>
      </w:pPr>
      <w:r w:rsidRPr="009E6F60">
        <w:rPr>
          <w:rFonts w:cs="Times New Roman"/>
          <w:szCs w:val="28"/>
        </w:rPr>
        <w:t xml:space="preserve">samazināt enerģijas patēriņu iekšzemes kopprodukta radīšanai no 0,37 </w:t>
      </w:r>
      <w:proofErr w:type="spellStart"/>
      <w:r w:rsidRPr="009E6F60">
        <w:rPr>
          <w:rFonts w:cs="Times New Roman"/>
          <w:szCs w:val="28"/>
        </w:rPr>
        <w:t>toe</w:t>
      </w:r>
      <w:proofErr w:type="spellEnd"/>
      <w:r w:rsidRPr="009E6F60">
        <w:rPr>
          <w:rFonts w:cs="Times New Roman"/>
          <w:szCs w:val="28"/>
        </w:rPr>
        <w:t>/1000</w:t>
      </w:r>
      <w:r w:rsidR="00C15DC2">
        <w:rPr>
          <w:rFonts w:cs="Times New Roman"/>
          <w:szCs w:val="28"/>
        </w:rPr>
        <w:t> </w:t>
      </w:r>
      <w:r w:rsidRPr="009E6F60">
        <w:rPr>
          <w:rFonts w:cs="Times New Roman"/>
          <w:szCs w:val="28"/>
        </w:rPr>
        <w:t xml:space="preserve">EUR (2010.gadā) līdz 0,28 </w:t>
      </w:r>
      <w:proofErr w:type="spellStart"/>
      <w:r w:rsidRPr="009E6F60">
        <w:rPr>
          <w:rFonts w:cs="Times New Roman"/>
          <w:szCs w:val="28"/>
        </w:rPr>
        <w:t>toe</w:t>
      </w:r>
      <w:proofErr w:type="spellEnd"/>
      <w:r w:rsidRPr="009E6F60">
        <w:rPr>
          <w:rFonts w:cs="Times New Roman"/>
          <w:szCs w:val="28"/>
        </w:rPr>
        <w:t>/1000</w:t>
      </w:r>
      <w:r w:rsidR="00C15DC2">
        <w:rPr>
          <w:rFonts w:cs="Times New Roman"/>
          <w:szCs w:val="28"/>
        </w:rPr>
        <w:t> </w:t>
      </w:r>
      <w:r w:rsidRPr="009E6F60">
        <w:rPr>
          <w:rFonts w:cs="Times New Roman"/>
          <w:szCs w:val="28"/>
        </w:rPr>
        <w:t>EUR (2020.gadā) (noteikts NAP2020).</w:t>
      </w:r>
    </w:p>
    <w:p w:rsidR="006E7786" w:rsidRPr="006E7786" w:rsidRDefault="006E7786" w:rsidP="00045A0D">
      <w:pPr>
        <w:spacing w:after="120"/>
        <w:ind w:firstLine="720"/>
        <w:jc w:val="both"/>
        <w:rPr>
          <w:rFonts w:cs="Times New Roman"/>
          <w:szCs w:val="28"/>
        </w:rPr>
      </w:pPr>
      <w:r w:rsidRPr="006E7786">
        <w:rPr>
          <w:rFonts w:cs="Times New Roman"/>
          <w:szCs w:val="28"/>
        </w:rPr>
        <w:t>Uz doto brīdi Latvija strādā pie EE direktīvas pārņemšanas nacionālajā likumdošanā, un nav pieņemts lēmums par to, uz kuriem enerģijas pārvades, sadales, ražošanas un galapatēriņā tiks uzlikts pienākums iesaistīties Energoefektivitātes pienākumu shēmā.</w:t>
      </w:r>
    </w:p>
    <w:p w:rsidR="00730920" w:rsidRPr="0079494C" w:rsidRDefault="0050047A" w:rsidP="00730920">
      <w:pPr>
        <w:pStyle w:val="Heading2"/>
        <w:rPr>
          <w:rFonts w:ascii="Times New Roman" w:hAnsi="Times New Roman" w:cs="Times New Roman"/>
          <w:color w:val="auto"/>
          <w:sz w:val="28"/>
          <w:szCs w:val="28"/>
        </w:rPr>
      </w:pPr>
      <w:bookmarkStart w:id="49" w:name="_Toc400714692"/>
      <w:r w:rsidRPr="0079494C">
        <w:rPr>
          <w:rFonts w:ascii="Times New Roman" w:hAnsi="Times New Roman" w:cs="Times New Roman"/>
          <w:color w:val="auto"/>
          <w:sz w:val="28"/>
          <w:szCs w:val="28"/>
        </w:rPr>
        <w:lastRenderedPageBreak/>
        <w:t>7.</w:t>
      </w:r>
      <w:r w:rsidR="00566BAE" w:rsidRPr="0079494C">
        <w:rPr>
          <w:rFonts w:ascii="Times New Roman" w:hAnsi="Times New Roman" w:cs="Times New Roman"/>
          <w:color w:val="auto"/>
          <w:sz w:val="28"/>
          <w:szCs w:val="28"/>
        </w:rPr>
        <w:t>2</w:t>
      </w:r>
      <w:r w:rsidR="00204735" w:rsidRPr="0079494C">
        <w:rPr>
          <w:rFonts w:ascii="Times New Roman" w:hAnsi="Times New Roman" w:cs="Times New Roman"/>
          <w:color w:val="auto"/>
          <w:sz w:val="28"/>
          <w:szCs w:val="28"/>
        </w:rPr>
        <w:t xml:space="preserve">. </w:t>
      </w:r>
      <w:r w:rsidR="00730920" w:rsidRPr="0079494C">
        <w:rPr>
          <w:rFonts w:ascii="Times New Roman" w:hAnsi="Times New Roman" w:cs="Times New Roman"/>
          <w:color w:val="auto"/>
          <w:sz w:val="28"/>
          <w:szCs w:val="28"/>
        </w:rPr>
        <w:t>Energoefektivitāte apstrādes rūpniecībā</w:t>
      </w:r>
      <w:bookmarkEnd w:id="49"/>
    </w:p>
    <w:p w:rsidR="002A6CF5" w:rsidRDefault="00730920" w:rsidP="0079494C">
      <w:pPr>
        <w:ind w:firstLine="720"/>
        <w:jc w:val="both"/>
      </w:pPr>
      <w:r>
        <w:t xml:space="preserve">Šī pasākuma mērķis ir veicināt efektīvu energoresursu izmantošanu un enerģijas patēriņa samazināšanu apstrādes rūpniecības nozarē. Nacionālās industriālās politikas pamatnostādnēs izmaksu, jo īpaši enerģijas izmaksu, sadārdzinājums ir noteikts kā kritisks šķērslis Latvijas konkurētspējai vidējā termiņā, jo ir identificējams risks cenas priekšrocības uzturēšanai pie nosacījuma, ka paredzams dažādu resursu izmaksu sadārdzinājums. Tādējādi energoresursu tālāka sadārdzināšanās var ietekmēt vairākas ekonomikā būtiskas nozares.  Enerģijas izmaksas ir tās, kuras atšķiras atkarībā no valsts, tai skaitā ņemot vērā izmantoto enerģijas resursu veidu un valsts īstenotās atbalsta programmas AER izmantošanas veicināšanai. </w:t>
      </w:r>
    </w:p>
    <w:p w:rsidR="00730920" w:rsidRDefault="00730920" w:rsidP="0079494C">
      <w:pPr>
        <w:ind w:firstLine="720"/>
        <w:jc w:val="both"/>
      </w:pPr>
      <w:r>
        <w:t xml:space="preserve">Līdz ar to svarīga loma rūpniecības konkurētspējas uzlabošanā ir energoefektivitātes pasākumiem. </w:t>
      </w:r>
    </w:p>
    <w:p w:rsidR="00730920" w:rsidRDefault="00730920" w:rsidP="0079494C">
      <w:pPr>
        <w:ind w:firstLine="720"/>
        <w:jc w:val="both"/>
      </w:pPr>
      <w:r>
        <w:t xml:space="preserve">Kā prioritārais sektors ES fondu piesaistīšanā energoefektivitātes paaugstināšanā ir apstrādes rūpniecība. Enerģijas patēriņam apstrādes rūpniecībā ir būtiska nozīme kopējā enerģijas intensitātes uzlabošanā, lai sasniegtu vienu no energoefektivitātes mērķiem: samazināt enerģijas patēriņu iekšzemes kopprodukta radīšanai no 0,37 </w:t>
      </w:r>
      <w:proofErr w:type="spellStart"/>
      <w:r>
        <w:t>toe</w:t>
      </w:r>
      <w:proofErr w:type="spellEnd"/>
      <w:r>
        <w:t xml:space="preserve">/1000EUR (2010.gadā) līdz 0,28 </w:t>
      </w:r>
      <w:proofErr w:type="spellStart"/>
      <w:r>
        <w:t>toe</w:t>
      </w:r>
      <w:proofErr w:type="spellEnd"/>
      <w:r>
        <w:t>/1000EUR (2020.gadā) (noteikts NAP2020).</w:t>
      </w:r>
    </w:p>
    <w:p w:rsidR="00122315" w:rsidRPr="0079494C" w:rsidRDefault="0050047A" w:rsidP="00730920">
      <w:pPr>
        <w:pStyle w:val="Heading2"/>
        <w:rPr>
          <w:rFonts w:ascii="Times New Roman" w:hAnsi="Times New Roman" w:cs="Times New Roman"/>
          <w:color w:val="auto"/>
          <w:sz w:val="28"/>
          <w:szCs w:val="28"/>
        </w:rPr>
      </w:pPr>
      <w:bookmarkStart w:id="50" w:name="_Toc400714693"/>
      <w:r w:rsidRPr="0079494C">
        <w:rPr>
          <w:rFonts w:ascii="Times New Roman" w:hAnsi="Times New Roman" w:cs="Times New Roman"/>
          <w:color w:val="auto"/>
          <w:sz w:val="28"/>
          <w:szCs w:val="28"/>
        </w:rPr>
        <w:t>7.</w:t>
      </w:r>
      <w:r w:rsidR="00566BAE" w:rsidRPr="0079494C">
        <w:rPr>
          <w:rFonts w:ascii="Times New Roman" w:hAnsi="Times New Roman" w:cs="Times New Roman"/>
          <w:color w:val="auto"/>
          <w:sz w:val="28"/>
          <w:szCs w:val="28"/>
        </w:rPr>
        <w:t>3</w:t>
      </w:r>
      <w:r w:rsidR="00122315" w:rsidRPr="0079494C">
        <w:rPr>
          <w:rFonts w:ascii="Times New Roman" w:hAnsi="Times New Roman" w:cs="Times New Roman"/>
          <w:color w:val="auto"/>
          <w:sz w:val="28"/>
          <w:szCs w:val="28"/>
        </w:rPr>
        <w:t>. Ēku energoefektivitāte</w:t>
      </w:r>
      <w:bookmarkEnd w:id="50"/>
      <w:r w:rsidR="00122315" w:rsidRPr="0079494C">
        <w:rPr>
          <w:rFonts w:ascii="Times New Roman" w:hAnsi="Times New Roman" w:cs="Times New Roman"/>
          <w:color w:val="auto"/>
          <w:sz w:val="28"/>
          <w:szCs w:val="28"/>
        </w:rPr>
        <w:t xml:space="preserve"> </w:t>
      </w:r>
    </w:p>
    <w:p w:rsidR="00730920" w:rsidRPr="0079494C" w:rsidRDefault="0050047A" w:rsidP="00122315">
      <w:pPr>
        <w:pStyle w:val="Heading3"/>
        <w:rPr>
          <w:rFonts w:ascii="Times New Roman" w:hAnsi="Times New Roman" w:cs="Times New Roman"/>
          <w:color w:val="auto"/>
          <w:szCs w:val="28"/>
        </w:rPr>
      </w:pPr>
      <w:bookmarkStart w:id="51" w:name="_Toc400714694"/>
      <w:r w:rsidRPr="0079494C">
        <w:rPr>
          <w:rFonts w:ascii="Times New Roman" w:hAnsi="Times New Roman" w:cs="Times New Roman"/>
          <w:color w:val="auto"/>
          <w:szCs w:val="28"/>
        </w:rPr>
        <w:t>7.</w:t>
      </w:r>
      <w:r w:rsidR="00566BAE" w:rsidRPr="0079494C">
        <w:rPr>
          <w:rFonts w:ascii="Times New Roman" w:hAnsi="Times New Roman" w:cs="Times New Roman"/>
          <w:color w:val="auto"/>
          <w:szCs w:val="28"/>
        </w:rPr>
        <w:t>3</w:t>
      </w:r>
      <w:r w:rsidRPr="0079494C">
        <w:rPr>
          <w:rFonts w:ascii="Times New Roman" w:hAnsi="Times New Roman" w:cs="Times New Roman"/>
          <w:color w:val="auto"/>
          <w:szCs w:val="28"/>
        </w:rPr>
        <w:t>.1.</w:t>
      </w:r>
      <w:r w:rsidR="00122315" w:rsidRPr="0079494C">
        <w:rPr>
          <w:rFonts w:ascii="Times New Roman" w:hAnsi="Times New Roman" w:cs="Times New Roman"/>
          <w:color w:val="auto"/>
          <w:szCs w:val="28"/>
        </w:rPr>
        <w:t xml:space="preserve">. </w:t>
      </w:r>
      <w:r w:rsidR="00730920" w:rsidRPr="0079494C">
        <w:rPr>
          <w:rFonts w:ascii="Times New Roman" w:hAnsi="Times New Roman" w:cs="Times New Roman"/>
          <w:color w:val="auto"/>
          <w:szCs w:val="28"/>
        </w:rPr>
        <w:t>Energoefektivitāte valsts un dzīvojamās ēkās</w:t>
      </w:r>
      <w:bookmarkEnd w:id="51"/>
    </w:p>
    <w:p w:rsidR="00730920" w:rsidRDefault="00730920" w:rsidP="0079494C">
      <w:pPr>
        <w:ind w:firstLine="720"/>
        <w:jc w:val="both"/>
      </w:pPr>
      <w:r>
        <w:t xml:space="preserve">Saskaņā ar ES Padomes dalībvalstu specifiskajām rekomendācijām Latvijai jāturpina energoefektivitātes uzlabošana, īpaši attiecībā uz dzīvojamajām ēkām. Ar šo aktivitāti tiek paredzēts finansējums valsts īpašumā vai izmantošanā esošu un dzīvojamo ēku </w:t>
      </w:r>
      <w:proofErr w:type="spellStart"/>
      <w:r>
        <w:t>energoefektīvai</w:t>
      </w:r>
      <w:proofErr w:type="spellEnd"/>
      <w:r>
        <w:t xml:space="preserve"> renovācijai, kas ir būtisks plašai mērķa grupai visā Latvijas teritorijā. Plānots atbalstīts vairāk kā 10 000 mājsaimniecības, uzlabojot energoefektivitāti dzīvojamās mājās.</w:t>
      </w:r>
    </w:p>
    <w:p w:rsidR="00122315" w:rsidRDefault="00730920" w:rsidP="0079494C">
      <w:pPr>
        <w:ind w:firstLine="720"/>
        <w:jc w:val="both"/>
      </w:pPr>
      <w:r>
        <w:t xml:space="preserve"> Izmaksu efektīvā veidā var renovēt 60 – 70% no Latvijas ēku sektora – dzīvojamo ēku sektorā tie ir ap 25 tūkstoši daudzdzīvokļu māju kopplatībā 38 </w:t>
      </w:r>
      <w:proofErr w:type="spellStart"/>
      <w:r>
        <w:t>milj</w:t>
      </w:r>
      <w:proofErr w:type="spellEnd"/>
      <w:r>
        <w:t>. m</w:t>
      </w:r>
      <w:r w:rsidRPr="0079494C">
        <w:rPr>
          <w:vertAlign w:val="superscript"/>
        </w:rPr>
        <w:t>2</w:t>
      </w:r>
      <w:r>
        <w:t>. Lielākā daļa mājokļu ir ar zemu energoefektivitātes līmeni. Investīcijas daudzdzīvokļu ēku energoefektivitātes paaugstināšanai ir būtiskas resursu efektivitātes un kopējās labklājības veicināšanai.</w:t>
      </w:r>
    </w:p>
    <w:p w:rsidR="00730920" w:rsidRDefault="00730920" w:rsidP="0079494C">
      <w:pPr>
        <w:ind w:firstLine="720"/>
        <w:jc w:val="both"/>
      </w:pPr>
      <w:r>
        <w:t xml:space="preserve">Šobrīd izstrādē esošajā likumprojektā “Energoefektivitātes likums” ir plānots iekļaut Direktīvas 2012/27/ES 9.panta 1.daļas prasības attiecībā uz individuālo skaitītāju uzstādīšanu. </w:t>
      </w:r>
    </w:p>
    <w:p w:rsidR="00730920" w:rsidRDefault="00730920" w:rsidP="0079494C">
      <w:pPr>
        <w:ind w:firstLine="720"/>
        <w:jc w:val="both"/>
      </w:pPr>
      <w:r>
        <w:t xml:space="preserve">Pašlaik jau realizēti vairāki projekti viedo skaitītāju uzstādīšanai rekonstruētajās ēkās. Piemēram, 2012.gadā uz modernu skaitītāju bāzes 8078 siltuma mezglos (7423 ēkās) ir ieviesta automātiskā </w:t>
      </w:r>
      <w:proofErr w:type="spellStart"/>
      <w:r>
        <w:t>energopatēriņa</w:t>
      </w:r>
      <w:proofErr w:type="spellEnd"/>
      <w:r>
        <w:t xml:space="preserve"> datu </w:t>
      </w:r>
      <w:r>
        <w:lastRenderedPageBreak/>
        <w:t xml:space="preserve">nolasīšanas sistēma Rīgas pilsētas centralizētā siltumapgādē ar bezvadu </w:t>
      </w:r>
      <w:r w:rsidRPr="0079494C">
        <w:rPr>
          <w:rFonts w:cs="Times New Roman"/>
        </w:rPr>
        <w:t>distances</w:t>
      </w:r>
      <w:r>
        <w:t xml:space="preserve"> datu pārraidi uz vienotu </w:t>
      </w:r>
      <w:proofErr w:type="spellStart"/>
      <w:r>
        <w:t>dispičercentru</w:t>
      </w:r>
      <w:proofErr w:type="spellEnd"/>
      <w:r>
        <w:t xml:space="preserve">, ko veica AS „Rīgas siltums”. </w:t>
      </w:r>
    </w:p>
    <w:p w:rsidR="00730920" w:rsidRDefault="00730920" w:rsidP="0079494C">
      <w:pPr>
        <w:ind w:firstLine="720"/>
        <w:jc w:val="both"/>
      </w:pPr>
      <w:r>
        <w:t xml:space="preserve">Papildus Direktīvā 2012/27/ES  ir noteikts ikgadējais pienākums renovēt 3% </w:t>
      </w:r>
      <w:r w:rsidR="0079494C">
        <w:t>tiešās valsts pārvaldes</w:t>
      </w:r>
      <w:r>
        <w:t xml:space="preserve"> ēku, lai nodrošinātu to atbilstību minimālām energoefektivitātes prasībām. Plānotais ietaupījums renovētajās valsts ēkās ir 52 </w:t>
      </w:r>
      <w:proofErr w:type="spellStart"/>
      <w:r>
        <w:t>GWh</w:t>
      </w:r>
      <w:proofErr w:type="spellEnd"/>
      <w:r>
        <w:t xml:space="preserve">/gadā. </w:t>
      </w:r>
    </w:p>
    <w:p w:rsidR="00730920" w:rsidRPr="0079494C" w:rsidRDefault="0050047A" w:rsidP="00122315">
      <w:pPr>
        <w:pStyle w:val="Heading3"/>
        <w:rPr>
          <w:rFonts w:ascii="Times New Roman" w:hAnsi="Times New Roman" w:cs="Times New Roman"/>
          <w:color w:val="auto"/>
          <w:szCs w:val="28"/>
        </w:rPr>
      </w:pPr>
      <w:bookmarkStart w:id="52" w:name="_Toc400714695"/>
      <w:r w:rsidRPr="0079494C">
        <w:rPr>
          <w:rFonts w:ascii="Times New Roman" w:hAnsi="Times New Roman" w:cs="Times New Roman"/>
          <w:color w:val="auto"/>
          <w:szCs w:val="28"/>
        </w:rPr>
        <w:t>7.</w:t>
      </w:r>
      <w:r w:rsidR="00566BAE" w:rsidRPr="0079494C">
        <w:rPr>
          <w:rFonts w:ascii="Times New Roman" w:hAnsi="Times New Roman" w:cs="Times New Roman"/>
          <w:color w:val="auto"/>
          <w:szCs w:val="28"/>
        </w:rPr>
        <w:t>3</w:t>
      </w:r>
      <w:r w:rsidRPr="0079494C">
        <w:rPr>
          <w:rFonts w:ascii="Times New Roman" w:hAnsi="Times New Roman" w:cs="Times New Roman"/>
          <w:color w:val="auto"/>
          <w:szCs w:val="28"/>
        </w:rPr>
        <w:t>.2.</w:t>
      </w:r>
      <w:r w:rsidR="00122315" w:rsidRPr="0079494C">
        <w:rPr>
          <w:rFonts w:ascii="Times New Roman" w:hAnsi="Times New Roman" w:cs="Times New Roman"/>
          <w:color w:val="auto"/>
          <w:szCs w:val="28"/>
        </w:rPr>
        <w:t xml:space="preserve"> </w:t>
      </w:r>
      <w:proofErr w:type="spellStart"/>
      <w:r w:rsidR="00730920" w:rsidRPr="0079494C">
        <w:rPr>
          <w:rFonts w:ascii="Times New Roman" w:hAnsi="Times New Roman" w:cs="Times New Roman"/>
          <w:color w:val="auto"/>
          <w:szCs w:val="28"/>
        </w:rPr>
        <w:t>Energoefektivitā</w:t>
      </w:r>
      <w:proofErr w:type="spellEnd"/>
      <w:r w:rsidR="0079494C">
        <w:rPr>
          <w:rFonts w:ascii="Times New Roman" w:hAnsi="Times New Roman" w:cs="Times New Roman"/>
          <w:color w:val="auto"/>
          <w:szCs w:val="28"/>
        </w:rPr>
        <w:t xml:space="preserve"> </w:t>
      </w:r>
      <w:proofErr w:type="spellStart"/>
      <w:r w:rsidR="00730920" w:rsidRPr="0079494C">
        <w:rPr>
          <w:rFonts w:ascii="Times New Roman" w:hAnsi="Times New Roman" w:cs="Times New Roman"/>
          <w:color w:val="auto"/>
          <w:szCs w:val="28"/>
        </w:rPr>
        <w:t>tes</w:t>
      </w:r>
      <w:proofErr w:type="spellEnd"/>
      <w:r w:rsidR="00730920" w:rsidRPr="0079494C">
        <w:rPr>
          <w:rFonts w:ascii="Times New Roman" w:hAnsi="Times New Roman" w:cs="Times New Roman"/>
          <w:color w:val="auto"/>
          <w:szCs w:val="28"/>
        </w:rPr>
        <w:t xml:space="preserve"> paaugstināšana pašvaldību ēkās</w:t>
      </w:r>
      <w:bookmarkEnd w:id="52"/>
    </w:p>
    <w:p w:rsidR="00730920" w:rsidRDefault="00730920" w:rsidP="0079494C">
      <w:pPr>
        <w:ind w:firstLine="720"/>
        <w:jc w:val="both"/>
      </w:pPr>
      <w:r>
        <w:t xml:space="preserve">Uzlabojot energoefektivitāti un sekmējot AER izmantošanu publiskajā infrastruktūrā, tajā skaitā pašvaldību ēkās, vienlaikus tiks samazināti pašvaldību izdevumi un iegūtos ietaupījumus varēs investēt, lai pildītu citas pašvaldības funkcijas. </w:t>
      </w:r>
    </w:p>
    <w:p w:rsidR="00730920" w:rsidRDefault="00730920" w:rsidP="0079494C">
      <w:pPr>
        <w:ind w:firstLine="720"/>
        <w:jc w:val="both"/>
      </w:pPr>
      <w:r>
        <w:t>Pēc piederības statusa Valsts kadastra Informācijas sistēmā reģistrētas 4967 pašvaldībām piederošas ēkas 6</w:t>
      </w:r>
      <w:r w:rsidR="00807FD0">
        <w:t>,</w:t>
      </w:r>
      <w:r>
        <w:t xml:space="preserve">29 </w:t>
      </w:r>
      <w:proofErr w:type="spellStart"/>
      <w:r>
        <w:t>milj</w:t>
      </w:r>
      <w:proofErr w:type="spellEnd"/>
      <w:r>
        <w:t>.</w:t>
      </w:r>
      <w:r w:rsidR="00807FD0">
        <w:t> </w:t>
      </w:r>
      <w:r>
        <w:t>m</w:t>
      </w:r>
      <w:r w:rsidRPr="00841E16">
        <w:rPr>
          <w:vertAlign w:val="superscript"/>
        </w:rPr>
        <w:t>2</w:t>
      </w:r>
      <w:r>
        <w:t xml:space="preserve"> platībā, </w:t>
      </w:r>
      <w:proofErr w:type="spellStart"/>
      <w:r>
        <w:t>t.sk</w:t>
      </w:r>
      <w:proofErr w:type="spellEnd"/>
      <w:r>
        <w:t xml:space="preserve">. izglītības un veselības aprūpes iestāžu ēkas. Izvērtējot Valsts kadastra informācijas sistēmas datus par publiskajām (valsts un pašvaldību) ēkām, gadā renovējamā platības (3%) veido 280 </w:t>
      </w:r>
      <w:proofErr w:type="spellStart"/>
      <w:r>
        <w:t>tūkst</w:t>
      </w:r>
      <w:proofErr w:type="spellEnd"/>
      <w:r>
        <w:t>.</w:t>
      </w:r>
      <w:r w:rsidR="00807FD0">
        <w:t> </w:t>
      </w:r>
      <w:r>
        <w:t>m</w:t>
      </w:r>
      <w:r w:rsidRPr="0079494C">
        <w:rPr>
          <w:vertAlign w:val="superscript"/>
        </w:rPr>
        <w:t>2</w:t>
      </w:r>
      <w:r>
        <w:t xml:space="preserve">. Prioritāri plānots atbalstīt tos projektus, kas noteikti kā pašvaldību prioritātes, un saistīti ar citiem integrēto attīstību veicinošiem projektiem, tiešā veidā vērsti uz pašvaldību izdevumu samazināšanu. Tiek plānots ietaupītas 26,7 </w:t>
      </w:r>
      <w:proofErr w:type="spellStart"/>
      <w:r>
        <w:t>GWh</w:t>
      </w:r>
      <w:proofErr w:type="spellEnd"/>
      <w:r>
        <w:t>/gadā pašvaldību sektora ēkās.</w:t>
      </w:r>
    </w:p>
    <w:p w:rsidR="00730920" w:rsidRPr="0079494C" w:rsidRDefault="0050047A" w:rsidP="00AC2480">
      <w:pPr>
        <w:pStyle w:val="Heading3"/>
        <w:rPr>
          <w:rFonts w:ascii="Times New Roman" w:hAnsi="Times New Roman" w:cs="Times New Roman"/>
          <w:color w:val="auto"/>
        </w:rPr>
      </w:pPr>
      <w:bookmarkStart w:id="53" w:name="_Toc400714696"/>
      <w:r w:rsidRPr="0079494C">
        <w:rPr>
          <w:rFonts w:ascii="Times New Roman" w:hAnsi="Times New Roman" w:cs="Times New Roman"/>
          <w:color w:val="auto"/>
        </w:rPr>
        <w:t>7.</w:t>
      </w:r>
      <w:r w:rsidR="00566BAE" w:rsidRPr="0079494C">
        <w:rPr>
          <w:rFonts w:ascii="Times New Roman" w:hAnsi="Times New Roman" w:cs="Times New Roman"/>
          <w:color w:val="auto"/>
        </w:rPr>
        <w:t>3</w:t>
      </w:r>
      <w:r w:rsidRPr="0079494C">
        <w:rPr>
          <w:rFonts w:ascii="Times New Roman" w:hAnsi="Times New Roman" w:cs="Times New Roman"/>
          <w:color w:val="auto"/>
        </w:rPr>
        <w:t xml:space="preserve">.3 </w:t>
      </w:r>
      <w:r w:rsidR="00FC01FE" w:rsidRPr="0079494C">
        <w:rPr>
          <w:rFonts w:ascii="Times New Roman" w:hAnsi="Times New Roman" w:cs="Times New Roman"/>
          <w:color w:val="auto"/>
        </w:rPr>
        <w:t xml:space="preserve"> </w:t>
      </w:r>
      <w:r w:rsidR="00730920" w:rsidRPr="0079494C">
        <w:rPr>
          <w:rFonts w:ascii="Times New Roman" w:hAnsi="Times New Roman" w:cs="Times New Roman"/>
          <w:color w:val="auto"/>
        </w:rPr>
        <w:t>Siltumtrašu rekonstrukciju un pāreja uz AER katlu mājās</w:t>
      </w:r>
      <w:bookmarkEnd w:id="53"/>
    </w:p>
    <w:p w:rsidR="00730920" w:rsidRDefault="00730920" w:rsidP="0079494C">
      <w:pPr>
        <w:ind w:firstLine="720"/>
        <w:jc w:val="both"/>
      </w:pPr>
      <w:r>
        <w:t>Latvijas centralizētās siltumapgādes sistēma ir būvēta pirms vairāk nekā 25 gadiem, tā ir novecojusi un joprojām ar ievērojamiem siltuma zudumiem. Kopējais siltumtīklu garums Latvijā ir apmēram 2000 km, no kuriem 676 km ir Rīgas pilsētas siltumtīkli. Pēdējos gados veiktie energoefektivitātes pasākumi ļāvuši siltumenerģijas zudumus tīklos samazināt, piemēram, Rīgā līdz 13%, kamēr citās siltumapgādes sistēmās siltumenerģijas zudumi sasniedz pat 30%.  Pilnībā no šiem zudumiem un izdevumiem izvairīties nav iespējams, kā arī investīcijām siltumtīklos ir raksturīgs ilgs investīciju atmaksāšanās laiks. Gadījumā, ja papildu finansējumu siltumapgādes komersantiem šādām investīcijām nav iespējams piesaistīt, izmaksas sedz siltumenerģijas lietotāji. Tādēļ viens no svarīgākajiem virzieniem efektivitātes paaugstināšanai aizvien ir siltumenerģijas piegādes zudumu samazināšana.</w:t>
      </w:r>
    </w:p>
    <w:p w:rsidR="00D74987" w:rsidRDefault="00D74987" w:rsidP="00730920">
      <w:pPr>
        <w:ind w:firstLine="360"/>
        <w:jc w:val="both"/>
      </w:pPr>
    </w:p>
    <w:p w:rsidR="00D74987" w:rsidRPr="0079494C" w:rsidRDefault="0050047A" w:rsidP="0050047A">
      <w:pPr>
        <w:pStyle w:val="Heading1"/>
      </w:pPr>
      <w:bookmarkStart w:id="54" w:name="_Toc400714697"/>
      <w:r w:rsidRPr="0079494C">
        <w:t>8</w:t>
      </w:r>
      <w:r w:rsidR="00FC01FE" w:rsidRPr="0079494C">
        <w:t xml:space="preserve">. </w:t>
      </w:r>
      <w:r w:rsidR="00D74987" w:rsidRPr="0079494C">
        <w:t>Zemes dzīļu izmantošana</w:t>
      </w:r>
      <w:bookmarkEnd w:id="54"/>
    </w:p>
    <w:p w:rsidR="00D74987" w:rsidRPr="0079494C" w:rsidRDefault="0050047A" w:rsidP="00D74987">
      <w:pPr>
        <w:pStyle w:val="Heading2"/>
        <w:rPr>
          <w:rFonts w:ascii="Times New Roman" w:eastAsia="Times New Roman" w:hAnsi="Times New Roman" w:cs="Times New Roman"/>
          <w:color w:val="auto"/>
          <w:sz w:val="28"/>
          <w:szCs w:val="28"/>
        </w:rPr>
      </w:pPr>
      <w:bookmarkStart w:id="55" w:name="_Toc400714698"/>
      <w:r w:rsidRPr="0079494C">
        <w:rPr>
          <w:rFonts w:ascii="Times New Roman" w:eastAsia="Times New Roman" w:hAnsi="Times New Roman" w:cs="Times New Roman"/>
          <w:color w:val="auto"/>
          <w:sz w:val="28"/>
          <w:szCs w:val="28"/>
        </w:rPr>
        <w:t>8</w:t>
      </w:r>
      <w:r w:rsidR="00D74987" w:rsidRPr="0079494C">
        <w:rPr>
          <w:rFonts w:ascii="Times New Roman" w:eastAsia="Times New Roman" w:hAnsi="Times New Roman" w:cs="Times New Roman"/>
          <w:color w:val="auto"/>
          <w:sz w:val="28"/>
          <w:szCs w:val="28"/>
        </w:rPr>
        <w:t>.1. Naftas ieguve</w:t>
      </w:r>
      <w:bookmarkEnd w:id="55"/>
    </w:p>
    <w:p w:rsidR="00312732" w:rsidRDefault="00D74987" w:rsidP="00D74987">
      <w:pPr>
        <w:ind w:firstLine="720"/>
        <w:jc w:val="both"/>
        <w:rPr>
          <w:rFonts w:eastAsia="Times New Roman" w:cs="Times New Roman"/>
          <w:szCs w:val="28"/>
        </w:rPr>
      </w:pPr>
      <w:r w:rsidRPr="00F26661">
        <w:rPr>
          <w:rFonts w:eastAsia="Times New Roman" w:cs="Times New Roman"/>
          <w:szCs w:val="28"/>
        </w:rPr>
        <w:t xml:space="preserve">Pamatojoties uz veiktajiem ģeoloģiskiem pētījumiem par naftas iespējamību Baltijas jūras Austrumu daļā un Latvijas sauszemes teritorijas Rietumu daļā, iespējamie naftas resursi Latvijas jurisdikcijā tiek vērtēti līdz 250 </w:t>
      </w:r>
      <w:proofErr w:type="spellStart"/>
      <w:r w:rsidRPr="00F26661">
        <w:rPr>
          <w:rFonts w:eastAsia="Times New Roman" w:cs="Times New Roman"/>
          <w:szCs w:val="28"/>
        </w:rPr>
        <w:t>milj</w:t>
      </w:r>
      <w:proofErr w:type="spellEnd"/>
      <w:r w:rsidRPr="00F26661">
        <w:rPr>
          <w:rFonts w:eastAsia="Times New Roman" w:cs="Times New Roman"/>
          <w:szCs w:val="28"/>
        </w:rPr>
        <w:t xml:space="preserve">. barelu vai 33 – 35 </w:t>
      </w:r>
      <w:proofErr w:type="spellStart"/>
      <w:r w:rsidRPr="00F26661">
        <w:rPr>
          <w:rFonts w:eastAsia="Times New Roman" w:cs="Times New Roman"/>
          <w:szCs w:val="28"/>
        </w:rPr>
        <w:t>milj</w:t>
      </w:r>
      <w:proofErr w:type="spellEnd"/>
      <w:r w:rsidRPr="00F26661">
        <w:rPr>
          <w:rFonts w:eastAsia="Times New Roman" w:cs="Times New Roman"/>
          <w:szCs w:val="28"/>
        </w:rPr>
        <w:t xml:space="preserve">. t. Sauszemes daļā krājumi varētu būt ap 60 – 65 </w:t>
      </w:r>
      <w:proofErr w:type="spellStart"/>
      <w:r w:rsidRPr="00F26661">
        <w:rPr>
          <w:rFonts w:eastAsia="Times New Roman" w:cs="Times New Roman"/>
          <w:szCs w:val="28"/>
        </w:rPr>
        <w:lastRenderedPageBreak/>
        <w:t>milj</w:t>
      </w:r>
      <w:proofErr w:type="spellEnd"/>
      <w:r w:rsidRPr="00F26661">
        <w:rPr>
          <w:rFonts w:eastAsia="Times New Roman" w:cs="Times New Roman"/>
          <w:szCs w:val="28"/>
        </w:rPr>
        <w:t xml:space="preserve">. barelu (8,5 </w:t>
      </w:r>
      <w:proofErr w:type="spellStart"/>
      <w:r w:rsidRPr="00F26661">
        <w:rPr>
          <w:rFonts w:eastAsia="Times New Roman" w:cs="Times New Roman"/>
          <w:szCs w:val="28"/>
        </w:rPr>
        <w:t>milj</w:t>
      </w:r>
      <w:proofErr w:type="spellEnd"/>
      <w:r w:rsidRPr="00F26661">
        <w:rPr>
          <w:rFonts w:eastAsia="Times New Roman" w:cs="Times New Roman"/>
          <w:szCs w:val="28"/>
        </w:rPr>
        <w:t xml:space="preserve">. t), bet pārējā – lielākā naftas resursu krājumu daļa – Latvijas ekonomiskajā zonā Baltijas jūrā. </w:t>
      </w:r>
    </w:p>
    <w:p w:rsidR="00D74987" w:rsidRPr="0026080B" w:rsidRDefault="00D74987" w:rsidP="00D74987">
      <w:pPr>
        <w:ind w:firstLine="720"/>
        <w:jc w:val="both"/>
        <w:rPr>
          <w:rFonts w:eastAsia="Times New Roman" w:cs="Times New Roman"/>
          <w:szCs w:val="28"/>
          <w:lang w:eastAsia="lv-LV"/>
        </w:rPr>
      </w:pPr>
      <w:r w:rsidRPr="00F26661">
        <w:rPr>
          <w:rFonts w:eastAsia="Times New Roman" w:cs="Times New Roman"/>
          <w:szCs w:val="28"/>
          <w:lang w:eastAsia="lv-LV"/>
        </w:rPr>
        <w:t xml:space="preserve">Līdz šim Latvijā ir </w:t>
      </w:r>
      <w:r w:rsidRPr="0026080B">
        <w:rPr>
          <w:rFonts w:eastAsia="Times New Roman" w:cs="Times New Roman"/>
          <w:szCs w:val="28"/>
          <w:lang w:eastAsia="lv-LV"/>
        </w:rPr>
        <w:t>izsniegtas četras licences ogļūd</w:t>
      </w:r>
      <w:r w:rsidR="00E0285F">
        <w:rPr>
          <w:rFonts w:eastAsia="Times New Roman" w:cs="Times New Roman"/>
          <w:szCs w:val="28"/>
          <w:lang w:eastAsia="lv-LV"/>
        </w:rPr>
        <w:t xml:space="preserve">eņražu izpētei un ieguvei jūrā </w:t>
      </w:r>
      <w:r w:rsidRPr="0026080B">
        <w:rPr>
          <w:rFonts w:eastAsia="Times New Roman" w:cs="Times New Roman"/>
          <w:szCs w:val="28"/>
          <w:lang w:eastAsia="lv-LV"/>
        </w:rPr>
        <w:t>, no kurām viena nav stājusies spēkā, jo nav parakstīts Latvijas un Lietuvas jūras robežas līgums. Vienā licences laukumā jūrā 2013.gada maijā un jūnijā ir izveidots ogļūdeņražu izpētes urbums, kas bija nesekmīgs, un tā rezultātā attiecīgajā ģeoloģiskajā struktūrā ogļūdeņraži netika konstatēti.</w:t>
      </w:r>
    </w:p>
    <w:p w:rsidR="00D74987" w:rsidRPr="00F26661" w:rsidRDefault="00312732" w:rsidP="00312732">
      <w:pPr>
        <w:ind w:firstLine="720"/>
        <w:jc w:val="both"/>
        <w:rPr>
          <w:rFonts w:eastAsia="Times New Roman" w:cs="Times New Roman"/>
          <w:szCs w:val="28"/>
          <w:lang w:eastAsia="lv-LV"/>
        </w:rPr>
      </w:pPr>
      <w:r w:rsidRPr="0026080B">
        <w:rPr>
          <w:rFonts w:eastAsia="Times New Roman" w:cs="Times New Roman"/>
          <w:szCs w:val="28"/>
          <w:lang w:eastAsia="lv-LV"/>
        </w:rPr>
        <w:t>Sa</w:t>
      </w:r>
      <w:r w:rsidR="00D74987" w:rsidRPr="0026080B">
        <w:rPr>
          <w:rFonts w:eastAsia="Times New Roman" w:cs="Times New Roman"/>
          <w:szCs w:val="28"/>
          <w:lang w:eastAsia="lv-LV"/>
        </w:rPr>
        <w:t>vukārt uz sauszemes līdz šim ir izsniegtas trīs licences ogļūdeņražu izpētei un ieguvei, no kurām vienā gadījumā ir notikusi aktīva ogļūdeņražu izpēte.</w:t>
      </w:r>
    </w:p>
    <w:p w:rsidR="00D74987" w:rsidRPr="00315F7E" w:rsidRDefault="0050047A" w:rsidP="00D74987">
      <w:pPr>
        <w:pStyle w:val="Heading2"/>
        <w:rPr>
          <w:rFonts w:ascii="Times New Roman" w:eastAsia="Calibri" w:hAnsi="Times New Roman" w:cs="Times New Roman"/>
          <w:color w:val="auto"/>
          <w:sz w:val="28"/>
          <w:szCs w:val="28"/>
        </w:rPr>
      </w:pPr>
      <w:bookmarkStart w:id="56" w:name="_Toc400714699"/>
      <w:r w:rsidRPr="00315F7E">
        <w:rPr>
          <w:rFonts w:ascii="Times New Roman" w:eastAsia="Calibri" w:hAnsi="Times New Roman" w:cs="Times New Roman"/>
          <w:color w:val="auto"/>
          <w:sz w:val="28"/>
          <w:szCs w:val="28"/>
        </w:rPr>
        <w:t>8</w:t>
      </w:r>
      <w:r w:rsidR="00D74987" w:rsidRPr="00315F7E">
        <w:rPr>
          <w:rFonts w:ascii="Times New Roman" w:eastAsia="Calibri" w:hAnsi="Times New Roman" w:cs="Times New Roman"/>
          <w:color w:val="auto"/>
          <w:sz w:val="28"/>
          <w:szCs w:val="28"/>
        </w:rPr>
        <w:t>.2. Kūdras ieguve</w:t>
      </w:r>
      <w:bookmarkEnd w:id="56"/>
    </w:p>
    <w:p w:rsidR="00D74987" w:rsidRPr="00F26661" w:rsidRDefault="00D74987" w:rsidP="0079494C">
      <w:pPr>
        <w:ind w:firstLine="720"/>
        <w:jc w:val="both"/>
        <w:rPr>
          <w:rFonts w:eastAsia="Calibri" w:cs="Times New Roman"/>
          <w:szCs w:val="28"/>
        </w:rPr>
      </w:pPr>
      <w:r w:rsidRPr="00F26661">
        <w:rPr>
          <w:rFonts w:eastAsia="Calibri" w:cs="Times New Roman"/>
          <w:szCs w:val="28"/>
        </w:rPr>
        <w:t>Kopējā kūdras purvu platība Latvijā ir aptuveni 645 100 ha – 10% no valsts teritorijas un tās krājumi arī ir ievērojami – aptuveni 1,7 miljard</w:t>
      </w:r>
      <w:r w:rsidR="00807FD0">
        <w:rPr>
          <w:rFonts w:eastAsia="Calibri" w:cs="Times New Roman"/>
          <w:szCs w:val="28"/>
        </w:rPr>
        <w:t>i</w:t>
      </w:r>
      <w:r w:rsidRPr="00F26661">
        <w:rPr>
          <w:rFonts w:eastAsia="Calibri" w:cs="Times New Roman"/>
          <w:szCs w:val="28"/>
        </w:rPr>
        <w:t xml:space="preserve"> tonnu. 70% no Latvijas purviem ir dabiski purvi un tikai 3,9 % no visām purvu platībām notiek kūdras ieguve. </w:t>
      </w:r>
      <w:r w:rsidRPr="00F26661">
        <w:rPr>
          <w:rFonts w:eastAsia="Calibri" w:cs="Times New Roman"/>
          <w:color w:val="1A1A1A"/>
          <w:szCs w:val="28"/>
        </w:rPr>
        <w:t>Jau esošajās licencētajās platībās aptuveni 4000</w:t>
      </w:r>
      <w:r w:rsidR="00807FD0">
        <w:rPr>
          <w:rFonts w:eastAsia="Calibri" w:cs="Times New Roman"/>
          <w:color w:val="1A1A1A"/>
          <w:szCs w:val="28"/>
        </w:rPr>
        <w:t> </w:t>
      </w:r>
      <w:r w:rsidRPr="00F26661">
        <w:rPr>
          <w:rFonts w:eastAsia="Calibri" w:cs="Times New Roman"/>
          <w:color w:val="1A1A1A"/>
          <w:szCs w:val="28"/>
        </w:rPr>
        <w:t>ha, ir lauki, kuros var iegūt kurināmo kūdru, šādā platībā var iegūt aptuveni 700</w:t>
      </w:r>
      <w:r w:rsidR="00807FD0">
        <w:rPr>
          <w:rFonts w:eastAsia="Calibri" w:cs="Times New Roman"/>
          <w:color w:val="1A1A1A"/>
          <w:szCs w:val="28"/>
        </w:rPr>
        <w:t> </w:t>
      </w:r>
      <w:r w:rsidRPr="00F26661">
        <w:rPr>
          <w:rFonts w:eastAsia="Calibri" w:cs="Times New Roman"/>
          <w:color w:val="1A1A1A"/>
          <w:szCs w:val="28"/>
        </w:rPr>
        <w:t>000 t kūdras gadā.</w:t>
      </w:r>
      <w:r w:rsidRPr="00F26661">
        <w:rPr>
          <w:rFonts w:eastAsia="Calibri" w:cs="Times New Roman"/>
          <w:szCs w:val="28"/>
        </w:rPr>
        <w:t xml:space="preserve"> </w:t>
      </w:r>
    </w:p>
    <w:p w:rsidR="00D74987" w:rsidRPr="00F26661" w:rsidRDefault="00D74987" w:rsidP="00D74987">
      <w:pPr>
        <w:spacing w:line="264" w:lineRule="auto"/>
        <w:ind w:firstLine="720"/>
        <w:jc w:val="both"/>
        <w:rPr>
          <w:rFonts w:eastAsia="Calibri" w:cs="Times New Roman"/>
          <w:szCs w:val="28"/>
        </w:rPr>
      </w:pPr>
    </w:p>
    <w:p w:rsidR="00D74987" w:rsidRPr="00F26661" w:rsidRDefault="008B78B3" w:rsidP="00D74987">
      <w:pPr>
        <w:spacing w:line="264" w:lineRule="auto"/>
        <w:ind w:firstLine="720"/>
        <w:jc w:val="center"/>
        <w:rPr>
          <w:rFonts w:eastAsia="Calibri" w:cs="Times New Roman"/>
          <w:szCs w:val="28"/>
        </w:rPr>
      </w:pPr>
      <w:r>
        <w:rPr>
          <w:noProof/>
          <w:lang w:eastAsia="lv-LV"/>
        </w:rPr>
        <w:drawing>
          <wp:inline distT="0" distB="0" distL="0" distR="0" wp14:anchorId="75E269FC" wp14:editId="0A08D4E6">
            <wp:extent cx="5274310" cy="3460750"/>
            <wp:effectExtent l="0" t="0" r="2540" b="6350"/>
            <wp:docPr id="1122" name="Chart 11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D74987" w:rsidRPr="0079494C" w:rsidRDefault="00A64AD0" w:rsidP="0079494C">
      <w:pPr>
        <w:rPr>
          <w:rFonts w:eastAsia="Calibri" w:cs="Times New Roman"/>
          <w:b/>
          <w:bCs/>
          <w:sz w:val="24"/>
          <w:szCs w:val="24"/>
        </w:rPr>
      </w:pPr>
      <w:r w:rsidRPr="0079494C">
        <w:rPr>
          <w:rFonts w:eastAsia="Calibri" w:cs="Times New Roman"/>
          <w:b/>
          <w:sz w:val="24"/>
          <w:szCs w:val="24"/>
        </w:rPr>
        <w:t>2</w:t>
      </w:r>
      <w:r w:rsidR="00D16CC5">
        <w:rPr>
          <w:rFonts w:eastAsia="Calibri" w:cs="Times New Roman"/>
          <w:b/>
          <w:sz w:val="24"/>
          <w:szCs w:val="24"/>
        </w:rPr>
        <w:t>7</w:t>
      </w:r>
      <w:r w:rsidR="00D74987" w:rsidRPr="0079494C">
        <w:rPr>
          <w:rFonts w:eastAsia="Calibri" w:cs="Times New Roman"/>
          <w:b/>
          <w:sz w:val="24"/>
          <w:szCs w:val="24"/>
        </w:rPr>
        <w:t xml:space="preserve">.attēls. </w:t>
      </w:r>
      <w:r w:rsidR="00D74987" w:rsidRPr="0079494C">
        <w:rPr>
          <w:rFonts w:eastAsia="Calibri" w:cs="Times New Roman"/>
          <w:b/>
          <w:bCs/>
          <w:sz w:val="24"/>
          <w:szCs w:val="24"/>
        </w:rPr>
        <w:t>Purvu sadalījums pēc to izmantošanas veida</w:t>
      </w:r>
      <w:r w:rsidR="008B78B3">
        <w:rPr>
          <w:rFonts w:eastAsia="Calibri" w:cs="Times New Roman"/>
          <w:b/>
          <w:bCs/>
          <w:sz w:val="24"/>
          <w:szCs w:val="24"/>
        </w:rPr>
        <w:t>.</w:t>
      </w:r>
    </w:p>
    <w:p w:rsidR="00D74987" w:rsidRPr="00F26661" w:rsidRDefault="00D74987" w:rsidP="00D74987">
      <w:pPr>
        <w:spacing w:line="264" w:lineRule="auto"/>
        <w:jc w:val="both"/>
        <w:rPr>
          <w:rFonts w:eastAsia="Calibri" w:cs="Times New Roman"/>
          <w:szCs w:val="28"/>
        </w:rPr>
      </w:pPr>
    </w:p>
    <w:p w:rsidR="00D74987" w:rsidRDefault="00D74987" w:rsidP="0079494C">
      <w:pPr>
        <w:ind w:firstLine="720"/>
        <w:jc w:val="both"/>
        <w:rPr>
          <w:rFonts w:eastAsia="Calibri" w:cs="Times New Roman"/>
          <w:szCs w:val="28"/>
        </w:rPr>
      </w:pPr>
      <w:r w:rsidRPr="00F26661">
        <w:rPr>
          <w:rFonts w:eastAsia="Calibri" w:cs="Times New Roman"/>
          <w:szCs w:val="28"/>
        </w:rPr>
        <w:t xml:space="preserve">Ekonomiski pamatoti ir vispirms atsākt kūdras ieguvi tajās platībās, kurās tika iegūta dedzināmā kūdra un kūdras ieguve ir apturēta. Šajās platībās </w:t>
      </w:r>
      <w:r w:rsidRPr="00F26661">
        <w:rPr>
          <w:rFonts w:eastAsia="Calibri" w:cs="Times New Roman"/>
          <w:szCs w:val="28"/>
        </w:rPr>
        <w:lastRenderedPageBreak/>
        <w:t>ražošanu iespējams uzsākt, ieguldot būtiski mazākus līdzekļus, salīdzinot ar jaunu kūdras ieguves vietas izveidošanu.</w:t>
      </w:r>
    </w:p>
    <w:p w:rsidR="00D74987" w:rsidRPr="00AC7825" w:rsidRDefault="0050047A" w:rsidP="00D74987">
      <w:pPr>
        <w:pStyle w:val="Heading2"/>
        <w:rPr>
          <w:rFonts w:ascii="Times New Roman" w:eastAsia="Calibri" w:hAnsi="Times New Roman" w:cs="Times New Roman"/>
          <w:color w:val="auto"/>
          <w:sz w:val="28"/>
          <w:szCs w:val="28"/>
        </w:rPr>
      </w:pPr>
      <w:bookmarkStart w:id="57" w:name="_Toc400714700"/>
      <w:r w:rsidRPr="00AC7825">
        <w:rPr>
          <w:rFonts w:ascii="Times New Roman" w:eastAsia="Calibri" w:hAnsi="Times New Roman" w:cs="Times New Roman"/>
          <w:color w:val="auto"/>
          <w:sz w:val="28"/>
          <w:szCs w:val="28"/>
        </w:rPr>
        <w:t>8</w:t>
      </w:r>
      <w:r w:rsidR="00D74987" w:rsidRPr="00AC7825">
        <w:rPr>
          <w:rFonts w:ascii="Times New Roman" w:eastAsia="Calibri" w:hAnsi="Times New Roman" w:cs="Times New Roman"/>
          <w:color w:val="auto"/>
          <w:sz w:val="28"/>
          <w:szCs w:val="28"/>
        </w:rPr>
        <w:t>.3. Slānekļa gāzes ieguve</w:t>
      </w:r>
      <w:bookmarkEnd w:id="57"/>
    </w:p>
    <w:p w:rsidR="00312732" w:rsidRPr="00312732" w:rsidRDefault="00312732" w:rsidP="00312732">
      <w:pPr>
        <w:pStyle w:val="CommentText"/>
        <w:ind w:firstLine="720"/>
        <w:jc w:val="both"/>
        <w:rPr>
          <w:sz w:val="28"/>
          <w:szCs w:val="28"/>
        </w:rPr>
      </w:pPr>
      <w:r w:rsidRPr="00312732">
        <w:rPr>
          <w:sz w:val="28"/>
          <w:szCs w:val="28"/>
        </w:rPr>
        <w:t>Līdz šim Latvijā nav tikuši veikti pētījumi, kas orientēti uz slānekļa gāzes</w:t>
      </w:r>
      <w:r w:rsidR="00F5044D">
        <w:rPr>
          <w:sz w:val="28"/>
          <w:szCs w:val="28"/>
        </w:rPr>
        <w:t xml:space="preserve"> un </w:t>
      </w:r>
      <w:r w:rsidRPr="00312732">
        <w:rPr>
          <w:sz w:val="28"/>
          <w:szCs w:val="28"/>
        </w:rPr>
        <w:t>naftas potenciāla izpēti un šo resursu ieguves tehniski ekonomisko iespēju izvērtējumu.</w:t>
      </w:r>
    </w:p>
    <w:p w:rsidR="001C608F" w:rsidRPr="00AC7825" w:rsidRDefault="0050047A" w:rsidP="001C608F">
      <w:pPr>
        <w:pStyle w:val="Heading2"/>
        <w:rPr>
          <w:rFonts w:ascii="Times New Roman" w:hAnsi="Times New Roman" w:cs="Times New Roman"/>
          <w:color w:val="auto"/>
          <w:sz w:val="28"/>
          <w:szCs w:val="28"/>
        </w:rPr>
      </w:pPr>
      <w:bookmarkStart w:id="58" w:name="_Toc400714701"/>
      <w:r w:rsidRPr="00AC7825">
        <w:rPr>
          <w:rFonts w:ascii="Times New Roman" w:hAnsi="Times New Roman" w:cs="Times New Roman"/>
          <w:color w:val="auto"/>
          <w:sz w:val="28"/>
          <w:szCs w:val="28"/>
        </w:rPr>
        <w:t>8</w:t>
      </w:r>
      <w:r w:rsidR="001C608F" w:rsidRPr="00AC7825">
        <w:rPr>
          <w:rFonts w:ascii="Times New Roman" w:hAnsi="Times New Roman" w:cs="Times New Roman"/>
          <w:color w:val="auto"/>
          <w:sz w:val="28"/>
          <w:szCs w:val="28"/>
        </w:rPr>
        <w:t>.4. Dabas gāzes uzglabāšanas iespējas</w:t>
      </w:r>
      <w:bookmarkEnd w:id="58"/>
      <w:r w:rsidR="001C608F" w:rsidRPr="00AC7825">
        <w:rPr>
          <w:rFonts w:ascii="Times New Roman" w:hAnsi="Times New Roman" w:cs="Times New Roman"/>
          <w:color w:val="auto"/>
          <w:sz w:val="28"/>
          <w:szCs w:val="28"/>
        </w:rPr>
        <w:t xml:space="preserve"> </w:t>
      </w:r>
    </w:p>
    <w:p w:rsidR="001C608F" w:rsidRPr="007E7903" w:rsidRDefault="001C608F" w:rsidP="001C608F">
      <w:pPr>
        <w:ind w:firstLine="720"/>
        <w:jc w:val="both"/>
        <w:rPr>
          <w:rFonts w:eastAsia="Times New Roman" w:cs="Times New Roman"/>
          <w:szCs w:val="28"/>
          <w:lang w:eastAsia="lv-LV"/>
        </w:rPr>
      </w:pPr>
      <w:r>
        <w:rPr>
          <w:rFonts w:eastAsia="Times New Roman" w:cs="Times New Roman"/>
          <w:szCs w:val="28"/>
        </w:rPr>
        <w:t xml:space="preserve">IPGK ir iespējas nākotnē paplašināties un </w:t>
      </w:r>
      <w:r w:rsidR="00AC7825">
        <w:rPr>
          <w:rFonts w:eastAsia="Times New Roman" w:cs="Times New Roman"/>
          <w:szCs w:val="28"/>
        </w:rPr>
        <w:t xml:space="preserve">tādējādi </w:t>
      </w:r>
      <w:r>
        <w:rPr>
          <w:rFonts w:eastAsia="Times New Roman" w:cs="Times New Roman"/>
          <w:szCs w:val="28"/>
        </w:rPr>
        <w:t>uzglabāt vairāk gāzes. A</w:t>
      </w:r>
      <w:r w:rsidRPr="007E7903">
        <w:rPr>
          <w:rFonts w:eastAsia="Times New Roman" w:cs="Times New Roman"/>
          <w:szCs w:val="28"/>
        </w:rPr>
        <w:t>ktīvās dabasgāzes apjom</w:t>
      </w:r>
      <w:r>
        <w:rPr>
          <w:rFonts w:eastAsia="Times New Roman" w:cs="Times New Roman"/>
          <w:szCs w:val="28"/>
        </w:rPr>
        <w:t xml:space="preserve">a uzglabāšanu iespējams palielināt no </w:t>
      </w:r>
      <w:r w:rsidRPr="007E7903">
        <w:rPr>
          <w:rFonts w:eastAsia="Times New Roman" w:cs="Times New Roman"/>
          <w:szCs w:val="28"/>
        </w:rPr>
        <w:t xml:space="preserve">2,32 </w:t>
      </w:r>
      <w:proofErr w:type="spellStart"/>
      <w:r w:rsidRPr="007E7903">
        <w:rPr>
          <w:rFonts w:eastAsia="Times New Roman" w:cs="Times New Roman"/>
          <w:szCs w:val="28"/>
        </w:rPr>
        <w:t>mljrd</w:t>
      </w:r>
      <w:proofErr w:type="spellEnd"/>
      <w:r w:rsidRPr="007E7903">
        <w:rPr>
          <w:rFonts w:eastAsia="Times New Roman" w:cs="Times New Roman"/>
          <w:szCs w:val="28"/>
        </w:rPr>
        <w:t>. m</w:t>
      </w:r>
      <w:r w:rsidRPr="007E7903">
        <w:rPr>
          <w:rFonts w:eastAsia="Times New Roman" w:cs="Times New Roman"/>
          <w:szCs w:val="28"/>
          <w:vertAlign w:val="superscript"/>
        </w:rPr>
        <w:t>3</w:t>
      </w:r>
      <w:r w:rsidRPr="007E7903">
        <w:rPr>
          <w:rFonts w:eastAsia="Times New Roman" w:cs="Times New Roman"/>
          <w:szCs w:val="28"/>
        </w:rPr>
        <w:t xml:space="preserve"> līdz 2,6 – 2,8 </w:t>
      </w:r>
      <w:proofErr w:type="spellStart"/>
      <w:r w:rsidRPr="007E7903">
        <w:rPr>
          <w:rFonts w:eastAsia="Times New Roman" w:cs="Times New Roman"/>
          <w:szCs w:val="28"/>
        </w:rPr>
        <w:t>mljrd</w:t>
      </w:r>
      <w:proofErr w:type="spellEnd"/>
      <w:r w:rsidRPr="007E7903">
        <w:rPr>
          <w:rFonts w:eastAsia="Times New Roman" w:cs="Times New Roman"/>
          <w:szCs w:val="28"/>
        </w:rPr>
        <w:t>. m</w:t>
      </w:r>
      <w:r w:rsidRPr="007E7903">
        <w:rPr>
          <w:rFonts w:eastAsia="Times New Roman" w:cs="Times New Roman"/>
          <w:szCs w:val="28"/>
          <w:vertAlign w:val="superscript"/>
        </w:rPr>
        <w:t>3</w:t>
      </w:r>
      <w:r w:rsidRPr="007E7903">
        <w:rPr>
          <w:rFonts w:eastAsia="Times New Roman" w:cs="Times New Roman"/>
          <w:szCs w:val="28"/>
        </w:rPr>
        <w:t xml:space="preserve">. Pēc paplašināšanas arī dabasgāzes padošanas apjoms pieaugs no 28–30 </w:t>
      </w:r>
      <w:proofErr w:type="spellStart"/>
      <w:r w:rsidRPr="007E7903">
        <w:rPr>
          <w:rFonts w:eastAsia="Times New Roman" w:cs="Times New Roman"/>
          <w:szCs w:val="28"/>
        </w:rPr>
        <w:t>milj</w:t>
      </w:r>
      <w:proofErr w:type="spellEnd"/>
      <w:r w:rsidRPr="007E7903">
        <w:rPr>
          <w:rFonts w:eastAsia="Times New Roman" w:cs="Times New Roman"/>
          <w:szCs w:val="28"/>
        </w:rPr>
        <w:t>.</w:t>
      </w:r>
      <w:r w:rsidR="00807FD0">
        <w:rPr>
          <w:rFonts w:eastAsia="Times New Roman" w:cs="Times New Roman"/>
          <w:szCs w:val="28"/>
        </w:rPr>
        <w:t> </w:t>
      </w:r>
      <w:r w:rsidRPr="007E7903">
        <w:rPr>
          <w:rFonts w:eastAsia="Times New Roman" w:cs="Times New Roman"/>
          <w:szCs w:val="28"/>
        </w:rPr>
        <w:t>m</w:t>
      </w:r>
      <w:r w:rsidRPr="007E7903">
        <w:rPr>
          <w:rFonts w:eastAsia="Times New Roman" w:cs="Times New Roman"/>
          <w:szCs w:val="28"/>
          <w:vertAlign w:val="superscript"/>
        </w:rPr>
        <w:t>3</w:t>
      </w:r>
      <w:r w:rsidRPr="007E7903">
        <w:rPr>
          <w:rFonts w:eastAsia="Times New Roman" w:cs="Times New Roman"/>
          <w:szCs w:val="28"/>
        </w:rPr>
        <w:t xml:space="preserve">/dienā līdz 34–35 </w:t>
      </w:r>
      <w:proofErr w:type="spellStart"/>
      <w:r w:rsidRPr="007E7903">
        <w:rPr>
          <w:rFonts w:eastAsia="Times New Roman" w:cs="Times New Roman"/>
          <w:szCs w:val="28"/>
        </w:rPr>
        <w:t>milj</w:t>
      </w:r>
      <w:proofErr w:type="spellEnd"/>
      <w:r w:rsidRPr="007E7903">
        <w:rPr>
          <w:rFonts w:eastAsia="Times New Roman" w:cs="Times New Roman"/>
          <w:szCs w:val="28"/>
        </w:rPr>
        <w:t>.</w:t>
      </w:r>
      <w:r w:rsidR="00807FD0">
        <w:rPr>
          <w:rFonts w:eastAsia="Times New Roman" w:cs="Times New Roman"/>
          <w:szCs w:val="28"/>
        </w:rPr>
        <w:t> </w:t>
      </w:r>
      <w:r w:rsidRPr="007E7903">
        <w:rPr>
          <w:rFonts w:eastAsia="Times New Roman" w:cs="Times New Roman"/>
          <w:szCs w:val="28"/>
        </w:rPr>
        <w:t>m</w:t>
      </w:r>
      <w:r w:rsidRPr="007E7903">
        <w:rPr>
          <w:rFonts w:eastAsia="Times New Roman" w:cs="Times New Roman"/>
          <w:szCs w:val="28"/>
          <w:vertAlign w:val="superscript"/>
        </w:rPr>
        <w:t>3</w:t>
      </w:r>
      <w:r w:rsidRPr="007E7903">
        <w:rPr>
          <w:rFonts w:eastAsia="Times New Roman" w:cs="Times New Roman"/>
          <w:szCs w:val="28"/>
        </w:rPr>
        <w:t>/dienā.</w:t>
      </w:r>
    </w:p>
    <w:p w:rsidR="001C608F" w:rsidRPr="007E7903" w:rsidRDefault="001C608F" w:rsidP="00D371C8">
      <w:pPr>
        <w:ind w:firstLine="720"/>
        <w:jc w:val="both"/>
        <w:rPr>
          <w:szCs w:val="28"/>
        </w:rPr>
      </w:pPr>
      <w:r>
        <w:rPr>
          <w:bCs/>
          <w:szCs w:val="28"/>
        </w:rPr>
        <w:t>Latvijā ir vismaz 11 pazemes s</w:t>
      </w:r>
      <w:r w:rsidRPr="007E7903">
        <w:rPr>
          <w:bCs/>
          <w:szCs w:val="28"/>
        </w:rPr>
        <w:t xml:space="preserve">truktūras, </w:t>
      </w:r>
      <w:r w:rsidR="00B95DAC">
        <w:rPr>
          <w:bCs/>
          <w:szCs w:val="28"/>
        </w:rPr>
        <w:t>un</w:t>
      </w:r>
      <w:r w:rsidRPr="007E7903">
        <w:rPr>
          <w:szCs w:val="28"/>
        </w:rPr>
        <w:t xml:space="preserve"> </w:t>
      </w:r>
      <w:r>
        <w:rPr>
          <w:szCs w:val="28"/>
        </w:rPr>
        <w:t xml:space="preserve">Dobeles pazemes struktūra </w:t>
      </w:r>
      <w:r w:rsidRPr="007E7903">
        <w:rPr>
          <w:szCs w:val="28"/>
        </w:rPr>
        <w:t xml:space="preserve">ir </w:t>
      </w:r>
      <w:proofErr w:type="spellStart"/>
      <w:r w:rsidRPr="007E7903">
        <w:rPr>
          <w:szCs w:val="28"/>
        </w:rPr>
        <w:t>visdetalizētāk</w:t>
      </w:r>
      <w:proofErr w:type="spellEnd"/>
      <w:r w:rsidRPr="007E7903">
        <w:rPr>
          <w:szCs w:val="28"/>
        </w:rPr>
        <w:t xml:space="preserve"> izpētīt</w:t>
      </w:r>
      <w:r w:rsidR="00B95DAC">
        <w:rPr>
          <w:szCs w:val="28"/>
        </w:rPr>
        <w:t>ā no tām.</w:t>
      </w:r>
    </w:p>
    <w:p w:rsidR="001C608F" w:rsidRPr="007E7903" w:rsidRDefault="001C608F" w:rsidP="00AC7825">
      <w:pPr>
        <w:ind w:firstLine="720"/>
        <w:jc w:val="both"/>
      </w:pPr>
      <w:r w:rsidRPr="007E7903">
        <w:t xml:space="preserve">Dobeles struktūras ietilpība ir apmēram 7,74 </w:t>
      </w:r>
      <w:proofErr w:type="spellStart"/>
      <w:r w:rsidRPr="007E7903">
        <w:t>milj</w:t>
      </w:r>
      <w:proofErr w:type="spellEnd"/>
      <w:r w:rsidRPr="007E7903">
        <w:t>. m</w:t>
      </w:r>
      <w:r w:rsidRPr="007E7903">
        <w:rPr>
          <w:vertAlign w:val="superscript"/>
        </w:rPr>
        <w:t>3</w:t>
      </w:r>
      <w:r w:rsidRPr="007E7903">
        <w:t xml:space="preserve">, tomēr visoptimistiskākās aplēses liecina, ka kopējā izbūvētās </w:t>
      </w:r>
      <w:r w:rsidR="00B95DAC">
        <w:t>DPGK</w:t>
      </w:r>
      <w:r w:rsidRPr="007E7903">
        <w:t xml:space="preserve"> ietilpība varētu sasniegt 20 miljardus m</w:t>
      </w:r>
      <w:r w:rsidRPr="007E7903">
        <w:rPr>
          <w:vertAlign w:val="superscript"/>
        </w:rPr>
        <w:t>3</w:t>
      </w:r>
      <w:r w:rsidRPr="007E7903">
        <w:t xml:space="preserve"> dabasgāzes. </w:t>
      </w:r>
    </w:p>
    <w:p w:rsidR="00B95DAC" w:rsidRDefault="001C608F" w:rsidP="00AC7825">
      <w:pPr>
        <w:ind w:firstLine="720"/>
        <w:jc w:val="both"/>
      </w:pPr>
      <w:r w:rsidRPr="007E7903">
        <w:t>Reāli gan Dobeles struktūras  dabasgāzes uzglabāšanas apjoms varētu būt 10 miljardi m</w:t>
      </w:r>
      <w:r w:rsidRPr="007E7903">
        <w:rPr>
          <w:vertAlign w:val="superscript"/>
        </w:rPr>
        <w:t>3</w:t>
      </w:r>
      <w:r w:rsidRPr="007E7903">
        <w:t xml:space="preserve"> dabasgāzes. </w:t>
      </w:r>
    </w:p>
    <w:p w:rsidR="001C608F" w:rsidRDefault="001C608F" w:rsidP="00AC7825">
      <w:pPr>
        <w:ind w:firstLine="720"/>
        <w:jc w:val="both"/>
      </w:pPr>
      <w:r w:rsidRPr="007E7903">
        <w:t>Tādā gadījumā būtu nepiecieš</w:t>
      </w:r>
      <w:r w:rsidR="00B95DAC">
        <w:t>ams ierīkot 80 dziļos urbumus, kopējām DPGK</w:t>
      </w:r>
      <w:r w:rsidR="00B95DAC" w:rsidRPr="007E7903">
        <w:t xml:space="preserve"> </w:t>
      </w:r>
      <w:r w:rsidR="00B95DAC">
        <w:t>izbūves investīcijām sastādot</w:t>
      </w:r>
      <w:r w:rsidRPr="007E7903">
        <w:t xml:space="preserve"> 1,3 miljard</w:t>
      </w:r>
      <w:r w:rsidR="00D371C8">
        <w:t>us EUR.</w:t>
      </w:r>
    </w:p>
    <w:p w:rsidR="00D74987" w:rsidRDefault="00D74987" w:rsidP="008F5AA8">
      <w:pPr>
        <w:jc w:val="both"/>
      </w:pPr>
    </w:p>
    <w:p w:rsidR="00D74987" w:rsidRPr="00AC7825" w:rsidRDefault="0050047A" w:rsidP="0050047A">
      <w:pPr>
        <w:pStyle w:val="Heading1"/>
      </w:pPr>
      <w:bookmarkStart w:id="59" w:name="_Toc400714702"/>
      <w:r w:rsidRPr="00AC7825">
        <w:t>9</w:t>
      </w:r>
      <w:r w:rsidR="00FC01FE" w:rsidRPr="00AC7825">
        <w:t xml:space="preserve">. </w:t>
      </w:r>
      <w:r w:rsidR="00D74987" w:rsidRPr="00AC7825">
        <w:t>Saikne ar horizontālajām politikām</w:t>
      </w:r>
      <w:bookmarkEnd w:id="59"/>
      <w:r w:rsidR="00D74987" w:rsidRPr="00AC7825">
        <w:t xml:space="preserve"> </w:t>
      </w:r>
    </w:p>
    <w:p w:rsidR="00D74987" w:rsidRPr="00AC7825" w:rsidRDefault="0050047A" w:rsidP="00586AFF">
      <w:pPr>
        <w:pStyle w:val="Heading2"/>
        <w:rPr>
          <w:rFonts w:ascii="Times New Roman" w:hAnsi="Times New Roman" w:cs="Times New Roman"/>
          <w:color w:val="auto"/>
          <w:sz w:val="28"/>
          <w:szCs w:val="28"/>
        </w:rPr>
      </w:pPr>
      <w:bookmarkStart w:id="60" w:name="_Toc400714703"/>
      <w:r w:rsidRPr="00AC7825">
        <w:rPr>
          <w:rFonts w:ascii="Times New Roman" w:hAnsi="Times New Roman" w:cs="Times New Roman"/>
          <w:color w:val="auto"/>
          <w:sz w:val="28"/>
          <w:szCs w:val="28"/>
        </w:rPr>
        <w:t>9</w:t>
      </w:r>
      <w:r w:rsidR="00D74987" w:rsidRPr="00AC7825">
        <w:rPr>
          <w:rFonts w:ascii="Times New Roman" w:hAnsi="Times New Roman" w:cs="Times New Roman"/>
          <w:color w:val="auto"/>
          <w:sz w:val="28"/>
          <w:szCs w:val="28"/>
        </w:rPr>
        <w:t>.1. Klimata politika</w:t>
      </w:r>
      <w:bookmarkEnd w:id="60"/>
      <w:r w:rsidR="00D74987" w:rsidRPr="00AC7825">
        <w:rPr>
          <w:rFonts w:ascii="Times New Roman" w:hAnsi="Times New Roman" w:cs="Times New Roman"/>
          <w:color w:val="auto"/>
          <w:sz w:val="28"/>
          <w:szCs w:val="28"/>
        </w:rPr>
        <w:t xml:space="preserve"> </w:t>
      </w:r>
    </w:p>
    <w:p w:rsidR="006D39BF" w:rsidRPr="006D39BF" w:rsidRDefault="006D39BF" w:rsidP="006D39BF">
      <w:pPr>
        <w:ind w:firstLine="720"/>
        <w:jc w:val="both"/>
        <w:rPr>
          <w:rFonts w:cs="Times New Roman"/>
          <w:szCs w:val="28"/>
        </w:rPr>
      </w:pPr>
      <w:r w:rsidRPr="006D39BF">
        <w:rPr>
          <w:rFonts w:cs="Times New Roman"/>
          <w:szCs w:val="28"/>
        </w:rPr>
        <w:t xml:space="preserve">Klimata pārmaiņu ierobežošanas pasākumi vienlaicīgi arī dod pienesumu energoefektivitātes uzlabošanai. Līdz 2014.gadam tiek īstenota Eiropas Ekonomiskā zonas finanšu instrumenta programma „Nacionālā klimata politika”, kuras mērķis ir atbalstīt Latviju visaptverošas nacionālās klimata politikas izstrādē, kas ietver ES emisiju tirdzniecības sistēmā neiekļautos sektoru emisijas jautājumus un pārējos sektoru klimata pārmaiņām pielāgošanās jautājumus. </w:t>
      </w:r>
    </w:p>
    <w:p w:rsidR="006D39BF" w:rsidRPr="006D39BF" w:rsidRDefault="006D39BF" w:rsidP="006D39BF">
      <w:pPr>
        <w:ind w:firstLine="720"/>
        <w:jc w:val="both"/>
        <w:rPr>
          <w:rFonts w:cs="Times New Roman"/>
          <w:szCs w:val="28"/>
        </w:rPr>
      </w:pPr>
      <w:r w:rsidRPr="006D39BF">
        <w:rPr>
          <w:rFonts w:cs="Times New Roman"/>
          <w:szCs w:val="28"/>
        </w:rPr>
        <w:t>Programmas ietvaros Latvijā ir ieviesti un tiek demonstrēti zema CO</w:t>
      </w:r>
      <w:r w:rsidRPr="006D39BF">
        <w:rPr>
          <w:rFonts w:cs="Times New Roman"/>
          <w:szCs w:val="28"/>
          <w:vertAlign w:val="subscript"/>
        </w:rPr>
        <w:t>2</w:t>
      </w:r>
      <w:r w:rsidRPr="006D39BF">
        <w:rPr>
          <w:rFonts w:cs="Times New Roman"/>
          <w:szCs w:val="28"/>
        </w:rPr>
        <w:t xml:space="preserve"> risinājumi – </w:t>
      </w:r>
      <w:proofErr w:type="spellStart"/>
      <w:r w:rsidRPr="006D39BF">
        <w:rPr>
          <w:rFonts w:cs="Times New Roman"/>
          <w:szCs w:val="28"/>
        </w:rPr>
        <w:t>energoefektīvas</w:t>
      </w:r>
      <w:proofErr w:type="spellEnd"/>
      <w:r w:rsidRPr="006D39BF">
        <w:rPr>
          <w:rFonts w:cs="Times New Roman"/>
          <w:szCs w:val="28"/>
        </w:rPr>
        <w:t xml:space="preserve"> tehnoloģijas un risinājumus ilgtspējīgām ēkām, AER tehnoloģiju izmantošanu enerģijas ražošanai un citas jaunās (inovatīvas) tehnoloģijas (tai skaitā tehnoloģiskos procesus) vai produktus (tai skaitā preces un pakalpojumus), kas samazina CO</w:t>
      </w:r>
      <w:r w:rsidRPr="001D2986">
        <w:rPr>
          <w:rFonts w:cs="Times New Roman"/>
          <w:szCs w:val="28"/>
          <w:vertAlign w:val="subscript"/>
        </w:rPr>
        <w:t>2</w:t>
      </w:r>
      <w:r w:rsidRPr="006D39BF">
        <w:rPr>
          <w:rFonts w:cs="Times New Roman"/>
          <w:szCs w:val="28"/>
        </w:rPr>
        <w:t xml:space="preserve"> emisijas.</w:t>
      </w:r>
    </w:p>
    <w:p w:rsidR="006D39BF" w:rsidRPr="006D39BF" w:rsidRDefault="006D39BF" w:rsidP="006D39BF">
      <w:pPr>
        <w:spacing w:after="120"/>
        <w:ind w:firstLine="720"/>
        <w:jc w:val="both"/>
        <w:rPr>
          <w:rFonts w:cs="Times New Roman"/>
          <w:szCs w:val="28"/>
        </w:rPr>
      </w:pPr>
      <w:r w:rsidRPr="006D39BF">
        <w:rPr>
          <w:rFonts w:cs="Times New Roman"/>
          <w:szCs w:val="28"/>
        </w:rPr>
        <w:t xml:space="preserve">Ēku sektorā līdz 2014.gadam ieskaitot tiek īstenotas vairākas programmas, kas paredz energoefektivitātes paaugstināšanu gan pašvaldību ēkās, gan izglītības ēkās, kā arī kompleksus risinājumus SEG samazināšanai gan </w:t>
      </w:r>
      <w:r w:rsidRPr="006D39BF">
        <w:rPr>
          <w:rFonts w:cs="Times New Roman"/>
          <w:szCs w:val="28"/>
        </w:rPr>
        <w:lastRenderedPageBreak/>
        <w:t>pašvaldību ēkās, gan profesionālās izglītības iestāžu ēkās, gan ražošanas ēkās, projektu konkursu sarakstu, kas tiek īstenoti 2014.gadā.</w:t>
      </w:r>
    </w:p>
    <w:p w:rsidR="00E06126" w:rsidRPr="00AC7825" w:rsidRDefault="0050047A" w:rsidP="00D74987">
      <w:pPr>
        <w:pStyle w:val="Heading2"/>
        <w:rPr>
          <w:rFonts w:ascii="Times New Roman" w:hAnsi="Times New Roman" w:cs="Times New Roman"/>
          <w:color w:val="auto"/>
          <w:sz w:val="28"/>
          <w:szCs w:val="28"/>
        </w:rPr>
      </w:pPr>
      <w:bookmarkStart w:id="61" w:name="_Toc400714704"/>
      <w:r w:rsidRPr="00AC7825">
        <w:rPr>
          <w:rFonts w:ascii="Times New Roman" w:hAnsi="Times New Roman" w:cs="Times New Roman"/>
          <w:color w:val="auto"/>
          <w:sz w:val="28"/>
          <w:szCs w:val="28"/>
        </w:rPr>
        <w:t>9</w:t>
      </w:r>
      <w:r w:rsidR="00D74987" w:rsidRPr="00AC7825">
        <w:rPr>
          <w:rFonts w:ascii="Times New Roman" w:hAnsi="Times New Roman" w:cs="Times New Roman"/>
          <w:color w:val="auto"/>
          <w:sz w:val="28"/>
          <w:szCs w:val="28"/>
        </w:rPr>
        <w:t xml:space="preserve">.2. </w:t>
      </w:r>
      <w:r w:rsidR="00E06126" w:rsidRPr="00AC7825">
        <w:rPr>
          <w:rFonts w:ascii="Times New Roman" w:hAnsi="Times New Roman" w:cs="Times New Roman"/>
          <w:color w:val="auto"/>
          <w:sz w:val="28"/>
          <w:szCs w:val="28"/>
        </w:rPr>
        <w:t>Transport</w:t>
      </w:r>
      <w:r w:rsidR="00D74987" w:rsidRPr="00AC7825">
        <w:rPr>
          <w:rFonts w:ascii="Times New Roman" w:hAnsi="Times New Roman" w:cs="Times New Roman"/>
          <w:color w:val="auto"/>
          <w:sz w:val="28"/>
          <w:szCs w:val="28"/>
        </w:rPr>
        <w:t>a politika</w:t>
      </w:r>
      <w:bookmarkEnd w:id="61"/>
      <w:r w:rsidR="00D74987" w:rsidRPr="00AC7825">
        <w:rPr>
          <w:rFonts w:ascii="Times New Roman" w:hAnsi="Times New Roman" w:cs="Times New Roman"/>
          <w:color w:val="auto"/>
          <w:sz w:val="28"/>
          <w:szCs w:val="28"/>
        </w:rPr>
        <w:t xml:space="preserve"> </w:t>
      </w:r>
    </w:p>
    <w:p w:rsidR="008A734F" w:rsidRPr="008A734F" w:rsidRDefault="008A734F" w:rsidP="008A734F">
      <w:pPr>
        <w:ind w:firstLine="684"/>
        <w:jc w:val="both"/>
        <w:rPr>
          <w:rFonts w:eastAsia="Times New Roman" w:cs="Times New Roman"/>
          <w:szCs w:val="28"/>
          <w:lang w:eastAsia="lv-LV"/>
        </w:rPr>
      </w:pPr>
      <w:r w:rsidRPr="008A734F">
        <w:rPr>
          <w:szCs w:val="28"/>
        </w:rPr>
        <w:t xml:space="preserve">Transporta attīstības pamatnostādnes 2014.-2020.gadam izvirza mērķi </w:t>
      </w:r>
      <w:r w:rsidRPr="008A734F">
        <w:rPr>
          <w:rFonts w:eastAsia="Times New Roman" w:cs="Times New Roman"/>
          <w:szCs w:val="28"/>
          <w:lang w:eastAsia="lv-LV"/>
        </w:rPr>
        <w:t xml:space="preserve">nodrošināt konkurētspējīgu, ilgtspējīgu, </w:t>
      </w:r>
      <w:proofErr w:type="spellStart"/>
      <w:r w:rsidRPr="008A734F">
        <w:rPr>
          <w:rFonts w:eastAsia="Times New Roman" w:cs="Times New Roman"/>
          <w:szCs w:val="28"/>
          <w:lang w:eastAsia="lv-LV"/>
        </w:rPr>
        <w:t>komodālu</w:t>
      </w:r>
      <w:proofErr w:type="spellEnd"/>
      <w:r w:rsidRPr="008A734F">
        <w:rPr>
          <w:rFonts w:eastAsia="Times New Roman" w:cs="Times New Roman"/>
          <w:szCs w:val="28"/>
          <w:lang w:eastAsia="lv-LV"/>
        </w:rPr>
        <w:t xml:space="preserve"> transporta sistēmu, kas garantē augstas kvalitātes mobilitāti, efektīvi izmantojot resursus, </w:t>
      </w:r>
      <w:r w:rsidR="00346A85">
        <w:rPr>
          <w:rFonts w:eastAsia="Times New Roman" w:cs="Times New Roman"/>
          <w:szCs w:val="28"/>
          <w:lang w:eastAsia="lv-LV"/>
        </w:rPr>
        <w:t>- tajā skaitā</w:t>
      </w:r>
      <w:r w:rsidRPr="008A734F">
        <w:rPr>
          <w:rFonts w:eastAsia="Times New Roman" w:cs="Times New Roman"/>
          <w:szCs w:val="28"/>
          <w:lang w:eastAsia="lv-LV"/>
        </w:rPr>
        <w:t xml:space="preserve"> ES fondus. </w:t>
      </w:r>
    </w:p>
    <w:p w:rsidR="008A734F" w:rsidRPr="008A734F" w:rsidRDefault="008A734F" w:rsidP="008A734F">
      <w:pPr>
        <w:ind w:firstLine="684"/>
        <w:jc w:val="both"/>
        <w:rPr>
          <w:rFonts w:eastAsia="Times New Roman" w:cs="Times New Roman"/>
          <w:szCs w:val="28"/>
          <w:lang w:eastAsia="lv-LV"/>
        </w:rPr>
      </w:pPr>
      <w:r w:rsidRPr="008A734F">
        <w:rPr>
          <w:rFonts w:eastAsia="Times New Roman" w:cs="Times New Roman"/>
          <w:szCs w:val="28"/>
          <w:lang w:eastAsia="lv-LV"/>
        </w:rPr>
        <w:t>Šajā dokumentā līdz 2020.gadam definēta virkne prioritāšu, kas tieši vai pastarpināti sasaucas ar enerģētikas politikas uzstādījumiem. Šīs prioritātes ir: dzelzceļa elektrifikācija, politikas rezultāts – par 20% palielināts elektrificēto dzelzceļa līniju garums</w:t>
      </w:r>
      <w:r w:rsidR="00346A85">
        <w:rPr>
          <w:rFonts w:eastAsia="Times New Roman" w:cs="Times New Roman"/>
          <w:szCs w:val="28"/>
          <w:lang w:eastAsia="lv-LV"/>
        </w:rPr>
        <w:t>,</w:t>
      </w:r>
      <w:r w:rsidRPr="008A734F">
        <w:rPr>
          <w:rFonts w:eastAsia="Times New Roman" w:cs="Times New Roman"/>
          <w:szCs w:val="28"/>
          <w:lang w:eastAsia="lv-LV"/>
        </w:rPr>
        <w:t xml:space="preserve"> kā arī ilgtspējīga transporta – </w:t>
      </w:r>
      <w:r w:rsidR="004469DE">
        <w:rPr>
          <w:rFonts w:eastAsia="Times New Roman" w:cs="Times New Roman"/>
          <w:szCs w:val="28"/>
          <w:lang w:eastAsia="lv-LV"/>
        </w:rPr>
        <w:t>piemēram</w:t>
      </w:r>
      <w:r w:rsidRPr="008A734F">
        <w:rPr>
          <w:rFonts w:eastAsia="Times New Roman" w:cs="Times New Roman"/>
          <w:szCs w:val="28"/>
          <w:lang w:eastAsia="lv-LV"/>
        </w:rPr>
        <w:t xml:space="preserve">, </w:t>
      </w:r>
      <w:proofErr w:type="spellStart"/>
      <w:r w:rsidRPr="008A734F">
        <w:rPr>
          <w:rFonts w:eastAsia="Times New Roman" w:cs="Times New Roman"/>
          <w:szCs w:val="28"/>
          <w:lang w:eastAsia="lv-LV"/>
        </w:rPr>
        <w:t>elektromobilitātes</w:t>
      </w:r>
      <w:proofErr w:type="spellEnd"/>
      <w:r w:rsidRPr="008A734F">
        <w:rPr>
          <w:rFonts w:eastAsia="Times New Roman" w:cs="Times New Roman"/>
          <w:szCs w:val="28"/>
          <w:lang w:eastAsia="lv-LV"/>
        </w:rPr>
        <w:t>, atbalsts.</w:t>
      </w:r>
    </w:p>
    <w:p w:rsidR="00321C5C" w:rsidRDefault="00321C5C" w:rsidP="00321C5C">
      <w:pPr>
        <w:autoSpaceDE w:val="0"/>
        <w:autoSpaceDN w:val="0"/>
        <w:adjustRightInd w:val="0"/>
        <w:ind w:firstLine="684"/>
        <w:jc w:val="both"/>
        <w:rPr>
          <w:noProof/>
          <w:szCs w:val="28"/>
        </w:rPr>
      </w:pPr>
      <w:r w:rsidRPr="008A734F">
        <w:rPr>
          <w:szCs w:val="28"/>
        </w:rPr>
        <w:t>Transporta attīstības pamatnostādn</w:t>
      </w:r>
      <w:r>
        <w:rPr>
          <w:szCs w:val="28"/>
        </w:rPr>
        <w:t>ē</w:t>
      </w:r>
      <w:r w:rsidRPr="008A734F">
        <w:rPr>
          <w:szCs w:val="28"/>
        </w:rPr>
        <w:t>s 2014.</w:t>
      </w:r>
      <w:r w:rsidR="007974F4" w:rsidRPr="008A734F">
        <w:rPr>
          <w:rFonts w:eastAsia="Times New Roman" w:cs="Times New Roman"/>
          <w:szCs w:val="28"/>
          <w:lang w:eastAsia="lv-LV"/>
        </w:rPr>
        <w:t>–</w:t>
      </w:r>
      <w:r w:rsidRPr="008A734F">
        <w:rPr>
          <w:szCs w:val="28"/>
        </w:rPr>
        <w:t xml:space="preserve">2020.gadam </w:t>
      </w:r>
      <w:r w:rsidRPr="00321C5C">
        <w:rPr>
          <w:noProof/>
          <w:szCs w:val="28"/>
        </w:rPr>
        <w:t>ietverts uzstādījums, ka i</w:t>
      </w:r>
      <w:r w:rsidR="00876309" w:rsidRPr="00321C5C">
        <w:rPr>
          <w:noProof/>
          <w:szCs w:val="28"/>
        </w:rPr>
        <w:t>lgtspējīgam transportam jābūt maksimāli nepiesārņojošam.</w:t>
      </w:r>
      <w:r w:rsidR="00876309" w:rsidRPr="008A734F">
        <w:rPr>
          <w:noProof/>
          <w:szCs w:val="28"/>
        </w:rPr>
        <w:t xml:space="preserve"> </w:t>
      </w:r>
      <w:r w:rsidR="00876309" w:rsidRPr="008A734F">
        <w:rPr>
          <w:color w:val="000000"/>
          <w:szCs w:val="28"/>
        </w:rPr>
        <w:t>Atbilstoši Sabiedriskā transporta pakalpojumu likumam</w:t>
      </w:r>
      <w:r w:rsidR="00876309" w:rsidRPr="008A734F">
        <w:rPr>
          <w:rStyle w:val="FootnoteReference"/>
          <w:sz w:val="28"/>
          <w:szCs w:val="28"/>
        </w:rPr>
        <w:footnoteReference w:id="30"/>
      </w:r>
      <w:r w:rsidR="00876309" w:rsidRPr="008A734F">
        <w:rPr>
          <w:color w:val="000000"/>
          <w:szCs w:val="28"/>
        </w:rPr>
        <w:t>, plānojot reģionālo starppilsētu nozīmes maršrutu tīkla maršrutus ar lielu pasažieru plūsmu, vispirms jāizveido maršruti pa sliežu ceļiem.</w:t>
      </w:r>
      <w:r w:rsidR="00876309" w:rsidRPr="008A734F" w:rsidDel="00811434">
        <w:rPr>
          <w:noProof/>
          <w:szCs w:val="28"/>
        </w:rPr>
        <w:t xml:space="preserve"> </w:t>
      </w:r>
    </w:p>
    <w:p w:rsidR="00A75B02" w:rsidRDefault="00876309" w:rsidP="00321C5C">
      <w:pPr>
        <w:autoSpaceDE w:val="0"/>
        <w:autoSpaceDN w:val="0"/>
        <w:adjustRightInd w:val="0"/>
        <w:ind w:firstLine="684"/>
        <w:jc w:val="both"/>
        <w:rPr>
          <w:szCs w:val="28"/>
        </w:rPr>
      </w:pPr>
      <w:r w:rsidRPr="008A734F">
        <w:rPr>
          <w:noProof/>
          <w:szCs w:val="28"/>
        </w:rPr>
        <w:t xml:space="preserve">Attiecībā uz autotransportu jāapzinās, ka </w:t>
      </w:r>
      <w:r w:rsidRPr="008A734F">
        <w:rPr>
          <w:szCs w:val="28"/>
        </w:rPr>
        <w:t>„tradicionālās degvielas” transportlīdzekļu (auto ar benzīna vai dīzeļdegvielas dzinējiem) izņemšana no apgrozības būtu jākompensē ar videi draudzīgu cita tipa transportlīdzekļu (</w:t>
      </w:r>
      <w:proofErr w:type="spellStart"/>
      <w:r w:rsidRPr="008A734F">
        <w:rPr>
          <w:szCs w:val="28"/>
        </w:rPr>
        <w:t>elektro</w:t>
      </w:r>
      <w:proofErr w:type="spellEnd"/>
      <w:r w:rsidRPr="008A734F">
        <w:rPr>
          <w:szCs w:val="28"/>
        </w:rPr>
        <w:t xml:space="preserve">, </w:t>
      </w:r>
      <w:proofErr w:type="spellStart"/>
      <w:r w:rsidRPr="008A734F">
        <w:rPr>
          <w:szCs w:val="28"/>
        </w:rPr>
        <w:t>hibrīddzinēji</w:t>
      </w:r>
      <w:proofErr w:type="spellEnd"/>
      <w:r w:rsidRPr="008A734F">
        <w:rPr>
          <w:szCs w:val="28"/>
        </w:rPr>
        <w:t xml:space="preserve">, ūdeņraža, saspiesta gaisa) plašāku izmantošanu. </w:t>
      </w:r>
      <w:r w:rsidRPr="005E7464">
        <w:rPr>
          <w:szCs w:val="28"/>
        </w:rPr>
        <w:t>Taču šādi „zaļie” transportlīdzekļi pašreiz ir un tuvākajos gados būs ievērojami dārgāki par tradicionālajiem transportlīdzekļiem gan iegādē, gan ekspluatācijā.</w:t>
      </w:r>
      <w:r w:rsidRPr="008A734F">
        <w:rPr>
          <w:szCs w:val="28"/>
        </w:rPr>
        <w:t xml:space="preserve"> Tādēļ mērķis ir cieši saistīts ar sabiedrības finansiālajām iespējām, valsts rokās ir maz instrumentu, lai to ietekmētu, vai arī tie ir maz efektīvi. Tomēr arvien plašāk tiek ieviesti tādi emisiju samazināšanas pasākumi kā transportlīdzekļu energoefektivitāte un degvielas patēriņa samazināšana, kas bieži vien ir izmaksu ziņā draudzīgi pasākumi.</w:t>
      </w:r>
    </w:p>
    <w:p w:rsidR="00C97510" w:rsidRPr="00E0285F" w:rsidRDefault="00A75B02">
      <w:pPr>
        <w:ind w:firstLine="684"/>
        <w:jc w:val="both"/>
        <w:rPr>
          <w:rFonts w:eastAsia="Times New Roman" w:cs="Times New Roman"/>
          <w:szCs w:val="28"/>
          <w:lang w:eastAsia="lv-LV"/>
        </w:rPr>
      </w:pPr>
      <w:r w:rsidRPr="00E0285F">
        <w:rPr>
          <w:rFonts w:eastAsia="Times New Roman" w:cs="Times New Roman"/>
          <w:szCs w:val="28"/>
          <w:lang w:eastAsia="lv-LV"/>
        </w:rPr>
        <w:t xml:space="preserve">Šobrīd </w:t>
      </w:r>
      <w:proofErr w:type="spellStart"/>
      <w:r w:rsidRPr="00E0285F">
        <w:rPr>
          <w:rFonts w:eastAsia="Times New Roman" w:cs="Times New Roman"/>
          <w:szCs w:val="28"/>
          <w:lang w:eastAsia="lv-LV"/>
        </w:rPr>
        <w:t>elektromobilitāte</w:t>
      </w:r>
      <w:proofErr w:type="spellEnd"/>
      <w:r w:rsidRPr="00E0285F">
        <w:rPr>
          <w:rFonts w:eastAsia="Times New Roman" w:cs="Times New Roman"/>
          <w:szCs w:val="28"/>
          <w:lang w:eastAsia="lv-LV"/>
        </w:rPr>
        <w:t xml:space="preserve"> Latvijā tiek īstenota galvenokārt pateicoties komercuzņēmumu un sabiedrisko organizāciju  iniciatīvām, bet, ņemot vērā </w:t>
      </w:r>
      <w:proofErr w:type="spellStart"/>
      <w:r w:rsidRPr="00E0285F">
        <w:rPr>
          <w:rFonts w:eastAsia="Times New Roman" w:cs="Times New Roman"/>
          <w:szCs w:val="28"/>
          <w:lang w:eastAsia="lv-LV"/>
        </w:rPr>
        <w:t>elektromobilitātes</w:t>
      </w:r>
      <w:proofErr w:type="spellEnd"/>
      <w:r w:rsidRPr="00E0285F">
        <w:rPr>
          <w:rFonts w:eastAsia="Times New Roman" w:cs="Times New Roman"/>
          <w:szCs w:val="28"/>
          <w:lang w:eastAsia="lv-LV"/>
        </w:rPr>
        <w:t xml:space="preserve"> attīstības tendences pasaulē, ES transporta politikas uzstādījumus, kā arī šīs jomas potenciālu,</w:t>
      </w:r>
      <w:r w:rsidR="00300E41" w:rsidRPr="00E0285F">
        <w:rPr>
          <w:rFonts w:eastAsia="Times New Roman" w:cs="Times New Roman"/>
          <w:szCs w:val="28"/>
          <w:lang w:eastAsia="lv-LV"/>
        </w:rPr>
        <w:t xml:space="preserve"> </w:t>
      </w:r>
      <w:r w:rsidRPr="00E0285F">
        <w:rPr>
          <w:rFonts w:eastAsia="Times New Roman" w:cs="Times New Roman"/>
          <w:szCs w:val="28"/>
          <w:lang w:eastAsia="lv-LV"/>
        </w:rPr>
        <w:t xml:space="preserve">valstij nepieciešams noteikt konkrētas rīcības </w:t>
      </w:r>
      <w:proofErr w:type="spellStart"/>
      <w:r w:rsidRPr="00E0285F">
        <w:rPr>
          <w:rFonts w:eastAsia="Times New Roman" w:cs="Times New Roman"/>
          <w:szCs w:val="28"/>
          <w:lang w:eastAsia="lv-LV"/>
        </w:rPr>
        <w:t>elektromobilitātes</w:t>
      </w:r>
      <w:proofErr w:type="spellEnd"/>
      <w:r w:rsidRPr="00E0285F">
        <w:rPr>
          <w:rFonts w:eastAsia="Times New Roman" w:cs="Times New Roman"/>
          <w:szCs w:val="28"/>
          <w:lang w:eastAsia="lv-LV"/>
        </w:rPr>
        <w:t xml:space="preserve"> straujākai attīstībai Latvijā. </w:t>
      </w:r>
    </w:p>
    <w:p w:rsidR="00D74987" w:rsidRPr="00AC7825" w:rsidRDefault="0050047A" w:rsidP="00D74987">
      <w:pPr>
        <w:pStyle w:val="Heading2"/>
        <w:rPr>
          <w:rFonts w:ascii="Times New Roman" w:hAnsi="Times New Roman" w:cs="Times New Roman"/>
          <w:color w:val="auto"/>
          <w:sz w:val="28"/>
          <w:szCs w:val="28"/>
        </w:rPr>
      </w:pPr>
      <w:bookmarkStart w:id="62" w:name="_Toc400714705"/>
      <w:r w:rsidRPr="00AC7825">
        <w:rPr>
          <w:rFonts w:ascii="Times New Roman" w:hAnsi="Times New Roman" w:cs="Times New Roman"/>
          <w:color w:val="auto"/>
          <w:sz w:val="28"/>
          <w:szCs w:val="28"/>
        </w:rPr>
        <w:t>9</w:t>
      </w:r>
      <w:r w:rsidR="00D74987" w:rsidRPr="00AC7825">
        <w:rPr>
          <w:rFonts w:ascii="Times New Roman" w:hAnsi="Times New Roman" w:cs="Times New Roman"/>
          <w:color w:val="auto"/>
          <w:sz w:val="28"/>
          <w:szCs w:val="28"/>
        </w:rPr>
        <w:t>.3. Rūpniecības politika</w:t>
      </w:r>
      <w:bookmarkEnd w:id="62"/>
    </w:p>
    <w:p w:rsidR="004356C1" w:rsidRDefault="006D39BF" w:rsidP="004356C1">
      <w:pPr>
        <w:ind w:firstLine="720"/>
        <w:jc w:val="both"/>
        <w:rPr>
          <w:rFonts w:cs="Times New Roman"/>
          <w:szCs w:val="28"/>
        </w:rPr>
      </w:pPr>
      <w:r w:rsidRPr="006D39BF">
        <w:rPr>
          <w:rFonts w:cs="Times New Roman"/>
          <w:szCs w:val="28"/>
        </w:rPr>
        <w:t xml:space="preserve">Elektrības kopējas cenas pieauguma rezultātā nākotnē aizvien vairāk samazināsies uzņēmumu konkurētspēja. Ja pašlaik vidējā elektroenerģijas cena ir tuvu ES dalībvalstu cenai, tad nākotnē sagaidāms, ka Latvijā elektroenerģijas </w:t>
      </w:r>
      <w:r w:rsidRPr="006D39BF">
        <w:rPr>
          <w:rFonts w:cs="Times New Roman"/>
          <w:szCs w:val="28"/>
        </w:rPr>
        <w:lastRenderedPageBreak/>
        <w:t xml:space="preserve">cena pieaugs straujāk. Īpaši problemātiska būs </w:t>
      </w:r>
      <w:proofErr w:type="spellStart"/>
      <w:r w:rsidRPr="006D39BF">
        <w:rPr>
          <w:rFonts w:cs="Times New Roman"/>
          <w:szCs w:val="28"/>
        </w:rPr>
        <w:t>energointensīvu</w:t>
      </w:r>
      <w:proofErr w:type="spellEnd"/>
      <w:r w:rsidRPr="006D39BF">
        <w:rPr>
          <w:rFonts w:cs="Times New Roman"/>
          <w:szCs w:val="28"/>
        </w:rPr>
        <w:t xml:space="preserve"> ražošanas uzņēmumu konkurētspēja, kas attiecīgi izraisīs gan tiešu, gan netiešu ietekmi kā uz tautsaimniecību, kā arī sociālo vidi. Vienlīdz sagaidāms visu preču un pakalpojumu cenu pieaugums, jo elektroenerģija ir svarīgs izdevumu postenis visos ražošanas un pakalpojumu sniedzēju uzņēmumu izdevumos. </w:t>
      </w:r>
    </w:p>
    <w:p w:rsidR="003D38E9" w:rsidRPr="003D38E9" w:rsidRDefault="006D39BF" w:rsidP="004356C1">
      <w:pPr>
        <w:ind w:firstLine="720"/>
        <w:jc w:val="both"/>
      </w:pPr>
      <w:r w:rsidRPr="003D38E9">
        <w:t xml:space="preserve">Pašlaik OIK izmaksas sedz visi galalietotāji proporcionāli patērētajai elektroenerģijai. Turpmāk šo jautājumu būtu jāskata dalīti, izšķirot uzņēmumu, it īpaši </w:t>
      </w:r>
      <w:proofErr w:type="spellStart"/>
      <w:r w:rsidRPr="003D38E9">
        <w:t>energointensīvo</w:t>
      </w:r>
      <w:proofErr w:type="spellEnd"/>
      <w:r w:rsidRPr="003D38E9">
        <w:t xml:space="preserve">, un mājsaimniecību, it īpaši nabadzīgo,  spēju norēķināties par elektroenerģiju. Vadoties pēc elektroenerģijas cenu prognozēm, lielajiem lietotājiem elektroenerģijas cenas jau </w:t>
      </w:r>
      <w:proofErr w:type="spellStart"/>
      <w:r w:rsidRPr="003D38E9">
        <w:t>īstermiņā</w:t>
      </w:r>
      <w:proofErr w:type="spellEnd"/>
      <w:r w:rsidRPr="003D38E9">
        <w:t xml:space="preserve"> varētu ievērojami pārsniegt ES dalībvalstu elektroenerģijas tirgus cenas. Tai pat laikā valstī aizvien saasināsies enerģētiskās nabadzības jautājums.   </w:t>
      </w:r>
    </w:p>
    <w:p w:rsidR="00C31238" w:rsidRPr="00AC7825" w:rsidRDefault="0050047A" w:rsidP="00C31238">
      <w:pPr>
        <w:pStyle w:val="Heading2"/>
        <w:rPr>
          <w:rFonts w:ascii="Times New Roman" w:hAnsi="Times New Roman" w:cs="Times New Roman"/>
          <w:color w:val="auto"/>
          <w:sz w:val="28"/>
          <w:szCs w:val="28"/>
        </w:rPr>
      </w:pPr>
      <w:bookmarkStart w:id="63" w:name="_Toc400714706"/>
      <w:r w:rsidRPr="00AC7825">
        <w:rPr>
          <w:rFonts w:ascii="Times New Roman" w:hAnsi="Times New Roman" w:cs="Times New Roman"/>
          <w:color w:val="auto"/>
          <w:sz w:val="28"/>
          <w:szCs w:val="28"/>
        </w:rPr>
        <w:t>9</w:t>
      </w:r>
      <w:r w:rsidR="00C31238" w:rsidRPr="00AC7825">
        <w:rPr>
          <w:rFonts w:ascii="Times New Roman" w:hAnsi="Times New Roman" w:cs="Times New Roman"/>
          <w:color w:val="auto"/>
          <w:sz w:val="28"/>
          <w:szCs w:val="28"/>
        </w:rPr>
        <w:t>.4. Mežsaimniecība un lauksaimniecība</w:t>
      </w:r>
      <w:bookmarkEnd w:id="63"/>
      <w:r w:rsidR="00C31238" w:rsidRPr="00AC7825">
        <w:rPr>
          <w:rFonts w:ascii="Times New Roman" w:hAnsi="Times New Roman" w:cs="Times New Roman"/>
          <w:color w:val="auto"/>
          <w:sz w:val="28"/>
          <w:szCs w:val="28"/>
        </w:rPr>
        <w:t xml:space="preserve"> </w:t>
      </w:r>
    </w:p>
    <w:p w:rsidR="006D39BF" w:rsidRPr="006D39BF" w:rsidRDefault="006D39BF" w:rsidP="001D2986">
      <w:pPr>
        <w:pStyle w:val="naisf"/>
        <w:spacing w:before="0" w:after="0"/>
        <w:ind w:firstLine="709"/>
        <w:rPr>
          <w:sz w:val="28"/>
          <w:szCs w:val="28"/>
        </w:rPr>
      </w:pPr>
      <w:r w:rsidRPr="006D39BF">
        <w:rPr>
          <w:sz w:val="28"/>
          <w:szCs w:val="28"/>
        </w:rPr>
        <w:t>Ņemot vērā Latvijā pieejamo ekonomiski izmantojamo AER potenciālu, galvenie izmantojamie AER veidi aizvien būs cietā biomasa, galvenokārt koksne, kā arī biogāze, vēja enerģija un hidroenerģija.</w:t>
      </w:r>
    </w:p>
    <w:p w:rsidR="00C90FC8" w:rsidRPr="00AC7825" w:rsidRDefault="00C90FC8" w:rsidP="00AC7825">
      <w:pPr>
        <w:jc w:val="right"/>
        <w:rPr>
          <w:rFonts w:cs="Times New Roman"/>
          <w:b/>
          <w:szCs w:val="28"/>
        </w:rPr>
      </w:pPr>
      <w:r w:rsidRPr="00AC7825">
        <w:rPr>
          <w:rFonts w:eastAsia="Calibri"/>
          <w:szCs w:val="28"/>
        </w:rPr>
        <w:t>1</w:t>
      </w:r>
      <w:r w:rsidR="00AC7825">
        <w:rPr>
          <w:rFonts w:eastAsia="Calibri"/>
          <w:szCs w:val="28"/>
        </w:rPr>
        <w:t>4</w:t>
      </w:r>
      <w:r w:rsidRPr="00AC7825">
        <w:rPr>
          <w:rFonts w:eastAsia="Calibri"/>
          <w:szCs w:val="28"/>
        </w:rPr>
        <w:t xml:space="preserve">.tabula </w:t>
      </w:r>
    </w:p>
    <w:p w:rsidR="00C90FC8" w:rsidRDefault="006D39BF" w:rsidP="00AC7825">
      <w:pPr>
        <w:jc w:val="center"/>
        <w:rPr>
          <w:rFonts w:cs="Times New Roman"/>
          <w:b/>
          <w:szCs w:val="28"/>
        </w:rPr>
      </w:pPr>
      <w:r w:rsidRPr="006D39BF">
        <w:rPr>
          <w:rFonts w:cs="Times New Roman"/>
          <w:b/>
          <w:szCs w:val="28"/>
        </w:rPr>
        <w:t>Biomasas piedāvājums enerģijas nolūkos</w:t>
      </w:r>
      <w:r w:rsidR="00AC7825">
        <w:rPr>
          <w:rStyle w:val="FootnoteReference"/>
          <w:rFonts w:cs="Times New Roman"/>
          <w:b/>
        </w:rPr>
        <w:footnoteReference w:id="31"/>
      </w:r>
    </w:p>
    <w:p w:rsidR="00AC7825" w:rsidRPr="006D39BF" w:rsidRDefault="00AC7825" w:rsidP="00E0285F">
      <w:pPr>
        <w:jc w:val="center"/>
        <w:rPr>
          <w:rFonts w:cs="Times New Roman"/>
          <w:b/>
          <w:szCs w:val="28"/>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625"/>
        <w:gridCol w:w="625"/>
        <w:gridCol w:w="642"/>
        <w:gridCol w:w="642"/>
        <w:gridCol w:w="628"/>
        <w:gridCol w:w="628"/>
        <w:gridCol w:w="650"/>
        <w:gridCol w:w="650"/>
        <w:gridCol w:w="630"/>
        <w:gridCol w:w="630"/>
        <w:gridCol w:w="652"/>
        <w:gridCol w:w="652"/>
      </w:tblGrid>
      <w:tr w:rsidR="00D61515" w:rsidRPr="00956B3D" w:rsidTr="00AC7825">
        <w:tc>
          <w:tcPr>
            <w:tcW w:w="1951" w:type="dxa"/>
            <w:tcBorders>
              <w:top w:val="single" w:sz="4" w:space="0" w:color="auto"/>
              <w:left w:val="single" w:sz="4" w:space="0" w:color="auto"/>
              <w:bottom w:val="single" w:sz="4" w:space="0" w:color="auto"/>
              <w:right w:val="single" w:sz="4" w:space="0" w:color="auto"/>
            </w:tcBorders>
            <w:shd w:val="clear" w:color="auto" w:fill="E6E6E6"/>
          </w:tcPr>
          <w:p w:rsidR="006D39BF" w:rsidRPr="00AC7825" w:rsidRDefault="006D39BF" w:rsidP="00D61515">
            <w:pPr>
              <w:suppressAutoHyphens/>
              <w:snapToGrid w:val="0"/>
              <w:rPr>
                <w:rFonts w:cs="Times New Roman"/>
                <w:b/>
                <w:sz w:val="20"/>
                <w:szCs w:val="20"/>
                <w:lang w:val="en-US" w:eastAsia="en-GB"/>
              </w:rPr>
            </w:pPr>
          </w:p>
        </w:tc>
        <w:tc>
          <w:tcPr>
            <w:tcW w:w="1250" w:type="dxa"/>
            <w:gridSpan w:val="2"/>
            <w:tcBorders>
              <w:top w:val="single" w:sz="4" w:space="0" w:color="auto"/>
              <w:left w:val="single" w:sz="4" w:space="0" w:color="auto"/>
              <w:bottom w:val="single" w:sz="4" w:space="0" w:color="auto"/>
              <w:right w:val="single" w:sz="4" w:space="0" w:color="auto"/>
            </w:tcBorders>
            <w:shd w:val="clear" w:color="auto" w:fill="E6E6E6"/>
            <w:hideMark/>
          </w:tcPr>
          <w:p w:rsidR="006D39BF" w:rsidRPr="00AC7825" w:rsidRDefault="006D39BF" w:rsidP="00803728">
            <w:pPr>
              <w:suppressAutoHyphens/>
              <w:snapToGrid w:val="0"/>
              <w:rPr>
                <w:rFonts w:cs="Times New Roman"/>
                <w:sz w:val="20"/>
                <w:szCs w:val="20"/>
                <w:lang w:val="en-GB" w:eastAsia="en-GB"/>
              </w:rPr>
            </w:pPr>
            <w:r w:rsidRPr="00AC7825">
              <w:rPr>
                <w:rFonts w:cs="Times New Roman"/>
                <w:b/>
                <w:sz w:val="20"/>
                <w:szCs w:val="20"/>
              </w:rPr>
              <w:t>Iekšzemes izejvielu apjoms</w:t>
            </w:r>
          </w:p>
        </w:tc>
        <w:tc>
          <w:tcPr>
            <w:tcW w:w="1284" w:type="dxa"/>
            <w:gridSpan w:val="2"/>
            <w:tcBorders>
              <w:top w:val="single" w:sz="4" w:space="0" w:color="auto"/>
              <w:left w:val="single" w:sz="4" w:space="0" w:color="auto"/>
              <w:bottom w:val="single" w:sz="4" w:space="0" w:color="auto"/>
              <w:right w:val="single" w:sz="4" w:space="0" w:color="auto"/>
            </w:tcBorders>
            <w:shd w:val="clear" w:color="auto" w:fill="E6E6E6"/>
            <w:hideMark/>
          </w:tcPr>
          <w:p w:rsidR="006D39BF" w:rsidRPr="00AC7825" w:rsidRDefault="006D39BF" w:rsidP="00803728">
            <w:pPr>
              <w:suppressAutoHyphens/>
              <w:snapToGrid w:val="0"/>
              <w:rPr>
                <w:rFonts w:cs="Times New Roman"/>
                <w:sz w:val="20"/>
                <w:szCs w:val="20"/>
                <w:lang w:val="en-GB" w:eastAsia="en-GB"/>
              </w:rPr>
            </w:pPr>
            <w:r w:rsidRPr="00AC7825">
              <w:rPr>
                <w:rFonts w:cs="Times New Roman"/>
                <w:b/>
                <w:sz w:val="20"/>
                <w:szCs w:val="20"/>
              </w:rPr>
              <w:t>Primārā enerģija iekšzemes izejvielās (</w:t>
            </w:r>
            <w:proofErr w:type="spellStart"/>
            <w:r w:rsidRPr="00AC7825">
              <w:rPr>
                <w:rFonts w:cs="Times New Roman"/>
                <w:b/>
                <w:sz w:val="20"/>
                <w:szCs w:val="20"/>
              </w:rPr>
              <w:t>tūkst</w:t>
            </w:r>
            <w:proofErr w:type="spellEnd"/>
            <w:r w:rsidRPr="00AC7825">
              <w:rPr>
                <w:rFonts w:cs="Times New Roman"/>
                <w:b/>
                <w:sz w:val="20"/>
                <w:szCs w:val="20"/>
              </w:rPr>
              <w:t xml:space="preserve">. t naftas </w:t>
            </w:r>
            <w:proofErr w:type="spellStart"/>
            <w:r w:rsidRPr="00AC7825">
              <w:rPr>
                <w:rFonts w:cs="Times New Roman"/>
                <w:b/>
                <w:sz w:val="20"/>
                <w:szCs w:val="20"/>
              </w:rPr>
              <w:t>ekv</w:t>
            </w:r>
            <w:proofErr w:type="spellEnd"/>
            <w:r w:rsidRPr="00AC7825">
              <w:rPr>
                <w:rFonts w:cs="Times New Roman"/>
                <w:b/>
                <w:sz w:val="20"/>
                <w:szCs w:val="20"/>
              </w:rPr>
              <w:t>.)</w:t>
            </w:r>
          </w:p>
        </w:tc>
        <w:tc>
          <w:tcPr>
            <w:tcW w:w="1256" w:type="dxa"/>
            <w:gridSpan w:val="2"/>
            <w:tcBorders>
              <w:top w:val="single" w:sz="4" w:space="0" w:color="auto"/>
              <w:left w:val="single" w:sz="4" w:space="0" w:color="auto"/>
              <w:bottom w:val="single" w:sz="4" w:space="0" w:color="auto"/>
              <w:right w:val="single" w:sz="4" w:space="0" w:color="auto"/>
            </w:tcBorders>
            <w:shd w:val="clear" w:color="auto" w:fill="E6E6E6"/>
            <w:hideMark/>
          </w:tcPr>
          <w:p w:rsidR="006D39BF" w:rsidRPr="00AC7825" w:rsidRDefault="006D39BF" w:rsidP="00803728">
            <w:pPr>
              <w:suppressAutoHyphens/>
              <w:snapToGrid w:val="0"/>
              <w:rPr>
                <w:rFonts w:cs="Times New Roman"/>
                <w:sz w:val="20"/>
                <w:szCs w:val="20"/>
                <w:lang w:val="es-ES" w:eastAsia="en-GB"/>
              </w:rPr>
            </w:pPr>
            <w:r w:rsidRPr="00AC7825">
              <w:rPr>
                <w:rFonts w:cs="Times New Roman"/>
                <w:b/>
                <w:sz w:val="20"/>
                <w:szCs w:val="20"/>
              </w:rPr>
              <w:t>No ES importēto izejvielu apjoms</w:t>
            </w:r>
          </w:p>
        </w:tc>
        <w:tc>
          <w:tcPr>
            <w:tcW w:w="1300" w:type="dxa"/>
            <w:gridSpan w:val="2"/>
            <w:tcBorders>
              <w:top w:val="single" w:sz="4" w:space="0" w:color="auto"/>
              <w:left w:val="single" w:sz="4" w:space="0" w:color="auto"/>
              <w:bottom w:val="single" w:sz="4" w:space="0" w:color="auto"/>
              <w:right w:val="single" w:sz="4" w:space="0" w:color="auto"/>
            </w:tcBorders>
            <w:shd w:val="clear" w:color="auto" w:fill="E6E6E6"/>
            <w:hideMark/>
          </w:tcPr>
          <w:p w:rsidR="006D39BF" w:rsidRPr="00AC7825" w:rsidRDefault="006D39BF" w:rsidP="00803728">
            <w:pPr>
              <w:suppressAutoHyphens/>
              <w:snapToGrid w:val="0"/>
              <w:rPr>
                <w:rFonts w:cs="Times New Roman"/>
                <w:sz w:val="20"/>
                <w:szCs w:val="20"/>
                <w:lang w:val="es-ES" w:eastAsia="en-GB"/>
              </w:rPr>
            </w:pPr>
            <w:r w:rsidRPr="00AC7825">
              <w:rPr>
                <w:rFonts w:cs="Times New Roman"/>
                <w:b/>
                <w:sz w:val="20"/>
                <w:szCs w:val="20"/>
              </w:rPr>
              <w:t>Primārā enerģija no ES importēto izejvielu apjomā (</w:t>
            </w:r>
            <w:proofErr w:type="spellStart"/>
            <w:r w:rsidRPr="00AC7825">
              <w:rPr>
                <w:rFonts w:cs="Times New Roman"/>
                <w:b/>
                <w:sz w:val="20"/>
                <w:szCs w:val="20"/>
              </w:rPr>
              <w:t>tūkst</w:t>
            </w:r>
            <w:proofErr w:type="spellEnd"/>
            <w:r w:rsidRPr="00AC7825">
              <w:rPr>
                <w:rFonts w:cs="Times New Roman"/>
                <w:b/>
                <w:sz w:val="20"/>
                <w:szCs w:val="20"/>
              </w:rPr>
              <w:t xml:space="preserve">. t naftas </w:t>
            </w:r>
            <w:proofErr w:type="spellStart"/>
            <w:r w:rsidRPr="00AC7825">
              <w:rPr>
                <w:rFonts w:cs="Times New Roman"/>
                <w:b/>
                <w:sz w:val="20"/>
                <w:szCs w:val="20"/>
              </w:rPr>
              <w:t>ekv</w:t>
            </w:r>
            <w:proofErr w:type="spellEnd"/>
            <w:r w:rsidRPr="00AC7825">
              <w:rPr>
                <w:rFonts w:cs="Times New Roman"/>
                <w:b/>
                <w:sz w:val="20"/>
                <w:szCs w:val="20"/>
              </w:rPr>
              <w:t>.)</w:t>
            </w:r>
          </w:p>
        </w:tc>
        <w:tc>
          <w:tcPr>
            <w:tcW w:w="1260" w:type="dxa"/>
            <w:gridSpan w:val="2"/>
            <w:tcBorders>
              <w:top w:val="single" w:sz="4" w:space="0" w:color="auto"/>
              <w:left w:val="single" w:sz="4" w:space="0" w:color="auto"/>
              <w:bottom w:val="single" w:sz="4" w:space="0" w:color="auto"/>
              <w:right w:val="single" w:sz="4" w:space="0" w:color="auto"/>
            </w:tcBorders>
            <w:shd w:val="clear" w:color="auto" w:fill="E6E6E6"/>
            <w:hideMark/>
          </w:tcPr>
          <w:p w:rsidR="006D39BF" w:rsidRPr="00AC7825" w:rsidRDefault="006D39BF" w:rsidP="00803728">
            <w:pPr>
              <w:suppressAutoHyphens/>
              <w:snapToGrid w:val="0"/>
              <w:rPr>
                <w:rFonts w:cs="Times New Roman"/>
                <w:sz w:val="20"/>
                <w:szCs w:val="20"/>
                <w:lang w:val="es-ES" w:eastAsia="en-GB"/>
              </w:rPr>
            </w:pPr>
            <w:r w:rsidRPr="00AC7825">
              <w:rPr>
                <w:rFonts w:cs="Times New Roman"/>
                <w:b/>
                <w:sz w:val="20"/>
                <w:szCs w:val="20"/>
              </w:rPr>
              <w:t>No ne-ES importēto izejvielu apjoms</w:t>
            </w:r>
          </w:p>
        </w:tc>
        <w:tc>
          <w:tcPr>
            <w:tcW w:w="1304" w:type="dxa"/>
            <w:gridSpan w:val="2"/>
            <w:tcBorders>
              <w:top w:val="single" w:sz="4" w:space="0" w:color="auto"/>
              <w:left w:val="single" w:sz="4" w:space="0" w:color="auto"/>
              <w:bottom w:val="single" w:sz="4" w:space="0" w:color="auto"/>
              <w:right w:val="single" w:sz="4" w:space="0" w:color="auto"/>
            </w:tcBorders>
            <w:shd w:val="clear" w:color="auto" w:fill="E6E6E6"/>
            <w:hideMark/>
          </w:tcPr>
          <w:p w:rsidR="006D39BF" w:rsidRPr="00AC7825" w:rsidRDefault="006D39BF">
            <w:pPr>
              <w:suppressAutoHyphens/>
              <w:snapToGrid w:val="0"/>
              <w:rPr>
                <w:rFonts w:cs="Times New Roman"/>
                <w:sz w:val="20"/>
                <w:szCs w:val="20"/>
                <w:lang w:val="es-ES" w:eastAsia="en-GB"/>
              </w:rPr>
            </w:pPr>
            <w:r w:rsidRPr="00AC7825">
              <w:rPr>
                <w:rFonts w:cs="Times New Roman"/>
                <w:b/>
                <w:sz w:val="20"/>
                <w:szCs w:val="20"/>
              </w:rPr>
              <w:t>Primārā enerģija no ne-ES importēto izejvielu apjomā (</w:t>
            </w:r>
            <w:proofErr w:type="spellStart"/>
            <w:r w:rsidRPr="00AC7825">
              <w:rPr>
                <w:rFonts w:cs="Times New Roman"/>
                <w:b/>
                <w:sz w:val="20"/>
                <w:szCs w:val="20"/>
              </w:rPr>
              <w:t>tūkst</w:t>
            </w:r>
            <w:proofErr w:type="spellEnd"/>
            <w:r w:rsidRPr="00AC7825">
              <w:rPr>
                <w:rFonts w:cs="Times New Roman"/>
                <w:b/>
                <w:sz w:val="20"/>
                <w:szCs w:val="20"/>
              </w:rPr>
              <w:t xml:space="preserve">. t naftas </w:t>
            </w:r>
            <w:proofErr w:type="spellStart"/>
            <w:r w:rsidRPr="00AC7825">
              <w:rPr>
                <w:rFonts w:cs="Times New Roman"/>
                <w:b/>
                <w:sz w:val="20"/>
                <w:szCs w:val="20"/>
              </w:rPr>
              <w:t>ekv</w:t>
            </w:r>
            <w:proofErr w:type="spellEnd"/>
            <w:r w:rsidRPr="00AC7825">
              <w:rPr>
                <w:rFonts w:cs="Times New Roman"/>
                <w:b/>
                <w:sz w:val="20"/>
                <w:szCs w:val="20"/>
              </w:rPr>
              <w:t>.)</w:t>
            </w:r>
          </w:p>
        </w:tc>
      </w:tr>
      <w:tr w:rsidR="00956B3D" w:rsidRPr="00956B3D" w:rsidTr="00AC7825">
        <w:tc>
          <w:tcPr>
            <w:tcW w:w="1951" w:type="dxa"/>
            <w:tcBorders>
              <w:top w:val="single" w:sz="4" w:space="0" w:color="auto"/>
              <w:left w:val="single" w:sz="4" w:space="0" w:color="auto"/>
              <w:bottom w:val="single" w:sz="4" w:space="0" w:color="auto"/>
              <w:right w:val="single" w:sz="4" w:space="0" w:color="auto"/>
            </w:tcBorders>
            <w:shd w:val="clear" w:color="auto" w:fill="E6E6E6"/>
          </w:tcPr>
          <w:p w:rsidR="006D39BF" w:rsidRPr="00AC7825" w:rsidRDefault="006D39BF" w:rsidP="00D61515">
            <w:pPr>
              <w:suppressAutoHyphens/>
              <w:snapToGrid w:val="0"/>
              <w:rPr>
                <w:rFonts w:cs="Times New Roman"/>
                <w:b/>
                <w:sz w:val="20"/>
                <w:szCs w:val="20"/>
                <w:lang w:val="es-ES" w:eastAsia="en-GB"/>
              </w:rPr>
            </w:pPr>
          </w:p>
        </w:tc>
        <w:tc>
          <w:tcPr>
            <w:tcW w:w="625" w:type="dxa"/>
            <w:tcBorders>
              <w:top w:val="single" w:sz="4" w:space="0" w:color="auto"/>
              <w:left w:val="single" w:sz="4" w:space="0" w:color="auto"/>
              <w:bottom w:val="single" w:sz="4" w:space="0" w:color="auto"/>
              <w:right w:val="single" w:sz="4" w:space="0" w:color="auto"/>
            </w:tcBorders>
            <w:shd w:val="clear" w:color="auto" w:fill="E6E6E6"/>
            <w:hideMark/>
          </w:tcPr>
          <w:p w:rsidR="006D39BF" w:rsidRPr="00AC7825" w:rsidRDefault="006D39BF" w:rsidP="00803728">
            <w:pPr>
              <w:suppressAutoHyphens/>
              <w:snapToGrid w:val="0"/>
              <w:rPr>
                <w:rFonts w:cs="Times New Roman"/>
                <w:sz w:val="20"/>
                <w:szCs w:val="20"/>
                <w:lang w:val="en-GB" w:eastAsia="en-GB"/>
              </w:rPr>
            </w:pPr>
            <w:r w:rsidRPr="00AC7825">
              <w:rPr>
                <w:rFonts w:cs="Times New Roman"/>
                <w:b/>
                <w:sz w:val="20"/>
                <w:szCs w:val="20"/>
              </w:rPr>
              <w:t>2011</w:t>
            </w:r>
          </w:p>
        </w:tc>
        <w:tc>
          <w:tcPr>
            <w:tcW w:w="625" w:type="dxa"/>
            <w:tcBorders>
              <w:top w:val="single" w:sz="4" w:space="0" w:color="auto"/>
              <w:left w:val="single" w:sz="4" w:space="0" w:color="auto"/>
              <w:bottom w:val="single" w:sz="4" w:space="0" w:color="auto"/>
              <w:right w:val="single" w:sz="4" w:space="0" w:color="auto"/>
            </w:tcBorders>
            <w:shd w:val="clear" w:color="auto" w:fill="E6E6E6"/>
            <w:hideMark/>
          </w:tcPr>
          <w:p w:rsidR="006D39BF" w:rsidRPr="00AC7825" w:rsidRDefault="006D39BF" w:rsidP="00803728">
            <w:pPr>
              <w:suppressAutoHyphens/>
              <w:snapToGrid w:val="0"/>
              <w:rPr>
                <w:rFonts w:cs="Times New Roman"/>
                <w:sz w:val="20"/>
                <w:szCs w:val="20"/>
                <w:lang w:val="en-GB" w:eastAsia="en-GB"/>
              </w:rPr>
            </w:pPr>
            <w:r w:rsidRPr="00AC7825">
              <w:rPr>
                <w:rFonts w:cs="Times New Roman"/>
                <w:b/>
                <w:sz w:val="20"/>
                <w:szCs w:val="20"/>
              </w:rPr>
              <w:t>2012</w:t>
            </w:r>
          </w:p>
        </w:tc>
        <w:tc>
          <w:tcPr>
            <w:tcW w:w="642" w:type="dxa"/>
            <w:tcBorders>
              <w:top w:val="single" w:sz="4" w:space="0" w:color="auto"/>
              <w:left w:val="single" w:sz="4" w:space="0" w:color="auto"/>
              <w:bottom w:val="single" w:sz="4" w:space="0" w:color="auto"/>
              <w:right w:val="single" w:sz="4" w:space="0" w:color="auto"/>
            </w:tcBorders>
            <w:shd w:val="clear" w:color="auto" w:fill="E6E6E6"/>
            <w:hideMark/>
          </w:tcPr>
          <w:p w:rsidR="006D39BF" w:rsidRPr="00AC7825" w:rsidRDefault="006D39BF" w:rsidP="00803728">
            <w:pPr>
              <w:suppressAutoHyphens/>
              <w:snapToGrid w:val="0"/>
              <w:rPr>
                <w:rFonts w:cs="Times New Roman"/>
                <w:sz w:val="20"/>
                <w:szCs w:val="20"/>
                <w:lang w:val="en-GB" w:eastAsia="en-GB"/>
              </w:rPr>
            </w:pPr>
            <w:r w:rsidRPr="00AC7825">
              <w:rPr>
                <w:rFonts w:cs="Times New Roman"/>
                <w:b/>
                <w:sz w:val="20"/>
                <w:szCs w:val="20"/>
              </w:rPr>
              <w:t>2011</w:t>
            </w:r>
          </w:p>
        </w:tc>
        <w:tc>
          <w:tcPr>
            <w:tcW w:w="642" w:type="dxa"/>
            <w:tcBorders>
              <w:top w:val="single" w:sz="4" w:space="0" w:color="auto"/>
              <w:left w:val="single" w:sz="4" w:space="0" w:color="auto"/>
              <w:bottom w:val="single" w:sz="4" w:space="0" w:color="auto"/>
              <w:right w:val="single" w:sz="4" w:space="0" w:color="auto"/>
            </w:tcBorders>
            <w:shd w:val="clear" w:color="auto" w:fill="E6E6E6"/>
            <w:hideMark/>
          </w:tcPr>
          <w:p w:rsidR="006D39BF" w:rsidRPr="00AC7825" w:rsidRDefault="006D39BF" w:rsidP="00803728">
            <w:pPr>
              <w:suppressAutoHyphens/>
              <w:snapToGrid w:val="0"/>
              <w:rPr>
                <w:rFonts w:cs="Times New Roman"/>
                <w:sz w:val="20"/>
                <w:szCs w:val="20"/>
                <w:lang w:val="en-GB" w:eastAsia="en-GB"/>
              </w:rPr>
            </w:pPr>
            <w:r w:rsidRPr="00AC7825">
              <w:rPr>
                <w:rFonts w:cs="Times New Roman"/>
                <w:b/>
                <w:sz w:val="20"/>
                <w:szCs w:val="20"/>
              </w:rPr>
              <w:t>2012</w:t>
            </w:r>
          </w:p>
        </w:tc>
        <w:tc>
          <w:tcPr>
            <w:tcW w:w="628" w:type="dxa"/>
            <w:tcBorders>
              <w:top w:val="single" w:sz="4" w:space="0" w:color="auto"/>
              <w:left w:val="single" w:sz="4" w:space="0" w:color="auto"/>
              <w:bottom w:val="single" w:sz="4" w:space="0" w:color="auto"/>
              <w:right w:val="single" w:sz="4" w:space="0" w:color="auto"/>
            </w:tcBorders>
            <w:shd w:val="clear" w:color="auto" w:fill="E6E6E6"/>
            <w:hideMark/>
          </w:tcPr>
          <w:p w:rsidR="006D39BF" w:rsidRPr="00AC7825" w:rsidRDefault="006D39BF" w:rsidP="00803728">
            <w:pPr>
              <w:suppressAutoHyphens/>
              <w:snapToGrid w:val="0"/>
              <w:rPr>
                <w:rFonts w:cs="Times New Roman"/>
                <w:sz w:val="20"/>
                <w:szCs w:val="20"/>
                <w:lang w:val="en-GB" w:eastAsia="en-GB"/>
              </w:rPr>
            </w:pPr>
            <w:r w:rsidRPr="00AC7825">
              <w:rPr>
                <w:rFonts w:cs="Times New Roman"/>
                <w:b/>
                <w:sz w:val="20"/>
                <w:szCs w:val="20"/>
              </w:rPr>
              <w:t>2011</w:t>
            </w:r>
          </w:p>
        </w:tc>
        <w:tc>
          <w:tcPr>
            <w:tcW w:w="628" w:type="dxa"/>
            <w:tcBorders>
              <w:top w:val="single" w:sz="4" w:space="0" w:color="auto"/>
              <w:left w:val="single" w:sz="4" w:space="0" w:color="auto"/>
              <w:bottom w:val="single" w:sz="4" w:space="0" w:color="auto"/>
              <w:right w:val="single" w:sz="4" w:space="0" w:color="auto"/>
            </w:tcBorders>
            <w:shd w:val="clear" w:color="auto" w:fill="E6E6E6"/>
            <w:hideMark/>
          </w:tcPr>
          <w:p w:rsidR="006D39BF" w:rsidRPr="00AC7825" w:rsidRDefault="006D39BF">
            <w:pPr>
              <w:suppressAutoHyphens/>
              <w:snapToGrid w:val="0"/>
              <w:rPr>
                <w:rFonts w:cs="Times New Roman"/>
                <w:sz w:val="20"/>
                <w:szCs w:val="20"/>
                <w:lang w:val="en-GB" w:eastAsia="en-GB"/>
              </w:rPr>
            </w:pPr>
            <w:r w:rsidRPr="00AC7825">
              <w:rPr>
                <w:rFonts w:cs="Times New Roman"/>
                <w:b/>
                <w:sz w:val="20"/>
                <w:szCs w:val="20"/>
              </w:rPr>
              <w:t>2012</w:t>
            </w:r>
          </w:p>
        </w:tc>
        <w:tc>
          <w:tcPr>
            <w:tcW w:w="650" w:type="dxa"/>
            <w:tcBorders>
              <w:top w:val="single" w:sz="4" w:space="0" w:color="auto"/>
              <w:left w:val="single" w:sz="4" w:space="0" w:color="auto"/>
              <w:bottom w:val="single" w:sz="4" w:space="0" w:color="auto"/>
              <w:right w:val="single" w:sz="4" w:space="0" w:color="auto"/>
            </w:tcBorders>
            <w:shd w:val="clear" w:color="auto" w:fill="E6E6E6"/>
            <w:hideMark/>
          </w:tcPr>
          <w:p w:rsidR="006D39BF" w:rsidRPr="00AC7825" w:rsidRDefault="006D39BF">
            <w:pPr>
              <w:suppressAutoHyphens/>
              <w:snapToGrid w:val="0"/>
              <w:rPr>
                <w:rFonts w:cs="Times New Roman"/>
                <w:sz w:val="20"/>
                <w:szCs w:val="20"/>
                <w:lang w:val="en-GB" w:eastAsia="en-GB"/>
              </w:rPr>
            </w:pPr>
            <w:r w:rsidRPr="00AC7825">
              <w:rPr>
                <w:rFonts w:cs="Times New Roman"/>
                <w:b/>
                <w:sz w:val="20"/>
                <w:szCs w:val="20"/>
              </w:rPr>
              <w:t>2011</w:t>
            </w:r>
          </w:p>
        </w:tc>
        <w:tc>
          <w:tcPr>
            <w:tcW w:w="650" w:type="dxa"/>
            <w:tcBorders>
              <w:top w:val="single" w:sz="4" w:space="0" w:color="auto"/>
              <w:left w:val="single" w:sz="4" w:space="0" w:color="auto"/>
              <w:bottom w:val="single" w:sz="4" w:space="0" w:color="auto"/>
              <w:right w:val="single" w:sz="4" w:space="0" w:color="auto"/>
            </w:tcBorders>
            <w:shd w:val="clear" w:color="auto" w:fill="E6E6E6"/>
            <w:hideMark/>
          </w:tcPr>
          <w:p w:rsidR="006D39BF" w:rsidRPr="00AC7825" w:rsidRDefault="006D39BF">
            <w:pPr>
              <w:suppressAutoHyphens/>
              <w:snapToGrid w:val="0"/>
              <w:rPr>
                <w:rFonts w:cs="Times New Roman"/>
                <w:sz w:val="20"/>
                <w:szCs w:val="20"/>
                <w:lang w:val="en-GB" w:eastAsia="en-GB"/>
              </w:rPr>
            </w:pPr>
            <w:r w:rsidRPr="00AC7825">
              <w:rPr>
                <w:rFonts w:cs="Times New Roman"/>
                <w:b/>
                <w:sz w:val="20"/>
                <w:szCs w:val="20"/>
              </w:rPr>
              <w:t>2012</w:t>
            </w:r>
          </w:p>
        </w:tc>
        <w:tc>
          <w:tcPr>
            <w:tcW w:w="630" w:type="dxa"/>
            <w:tcBorders>
              <w:top w:val="single" w:sz="4" w:space="0" w:color="auto"/>
              <w:left w:val="single" w:sz="4" w:space="0" w:color="auto"/>
              <w:bottom w:val="single" w:sz="4" w:space="0" w:color="auto"/>
              <w:right w:val="single" w:sz="4" w:space="0" w:color="auto"/>
            </w:tcBorders>
            <w:shd w:val="clear" w:color="auto" w:fill="E6E6E6"/>
            <w:hideMark/>
          </w:tcPr>
          <w:p w:rsidR="006D39BF" w:rsidRPr="00AC7825" w:rsidRDefault="006D39BF">
            <w:pPr>
              <w:suppressAutoHyphens/>
              <w:snapToGrid w:val="0"/>
              <w:rPr>
                <w:rFonts w:cs="Times New Roman"/>
                <w:sz w:val="20"/>
                <w:szCs w:val="20"/>
                <w:lang w:val="en-GB" w:eastAsia="en-GB"/>
              </w:rPr>
            </w:pPr>
            <w:r w:rsidRPr="00AC7825">
              <w:rPr>
                <w:rFonts w:cs="Times New Roman"/>
                <w:b/>
                <w:sz w:val="20"/>
                <w:szCs w:val="20"/>
              </w:rPr>
              <w:t>2011</w:t>
            </w:r>
          </w:p>
        </w:tc>
        <w:tc>
          <w:tcPr>
            <w:tcW w:w="630" w:type="dxa"/>
            <w:tcBorders>
              <w:top w:val="single" w:sz="4" w:space="0" w:color="auto"/>
              <w:left w:val="single" w:sz="4" w:space="0" w:color="auto"/>
              <w:bottom w:val="single" w:sz="4" w:space="0" w:color="auto"/>
              <w:right w:val="single" w:sz="4" w:space="0" w:color="auto"/>
            </w:tcBorders>
            <w:shd w:val="clear" w:color="auto" w:fill="E6E6E6"/>
            <w:hideMark/>
          </w:tcPr>
          <w:p w:rsidR="006D39BF" w:rsidRPr="00AC7825" w:rsidRDefault="006D39BF">
            <w:pPr>
              <w:suppressAutoHyphens/>
              <w:snapToGrid w:val="0"/>
              <w:rPr>
                <w:rFonts w:cs="Times New Roman"/>
                <w:sz w:val="20"/>
                <w:szCs w:val="20"/>
                <w:lang w:val="en-GB" w:eastAsia="en-GB"/>
              </w:rPr>
            </w:pPr>
            <w:r w:rsidRPr="00AC7825">
              <w:rPr>
                <w:rFonts w:cs="Times New Roman"/>
                <w:b/>
                <w:sz w:val="20"/>
                <w:szCs w:val="20"/>
              </w:rPr>
              <w:t>2012</w:t>
            </w:r>
          </w:p>
        </w:tc>
        <w:tc>
          <w:tcPr>
            <w:tcW w:w="652" w:type="dxa"/>
            <w:tcBorders>
              <w:top w:val="single" w:sz="4" w:space="0" w:color="auto"/>
              <w:left w:val="single" w:sz="4" w:space="0" w:color="auto"/>
              <w:bottom w:val="single" w:sz="4" w:space="0" w:color="auto"/>
              <w:right w:val="single" w:sz="4" w:space="0" w:color="auto"/>
            </w:tcBorders>
            <w:shd w:val="clear" w:color="auto" w:fill="E6E6E6"/>
            <w:hideMark/>
          </w:tcPr>
          <w:p w:rsidR="006D39BF" w:rsidRPr="00AC7825" w:rsidRDefault="006D39BF">
            <w:pPr>
              <w:suppressAutoHyphens/>
              <w:snapToGrid w:val="0"/>
              <w:rPr>
                <w:rFonts w:cs="Times New Roman"/>
                <w:sz w:val="20"/>
                <w:szCs w:val="20"/>
                <w:lang w:val="en-GB" w:eastAsia="en-GB"/>
              </w:rPr>
            </w:pPr>
            <w:r w:rsidRPr="00AC7825">
              <w:rPr>
                <w:rFonts w:cs="Times New Roman"/>
                <w:b/>
                <w:sz w:val="20"/>
                <w:szCs w:val="20"/>
              </w:rPr>
              <w:t>2011</w:t>
            </w:r>
          </w:p>
        </w:tc>
        <w:tc>
          <w:tcPr>
            <w:tcW w:w="652" w:type="dxa"/>
            <w:tcBorders>
              <w:top w:val="single" w:sz="4" w:space="0" w:color="auto"/>
              <w:left w:val="single" w:sz="4" w:space="0" w:color="auto"/>
              <w:bottom w:val="single" w:sz="4" w:space="0" w:color="auto"/>
              <w:right w:val="single" w:sz="4" w:space="0" w:color="auto"/>
            </w:tcBorders>
            <w:shd w:val="clear" w:color="auto" w:fill="E6E6E6"/>
            <w:hideMark/>
          </w:tcPr>
          <w:p w:rsidR="006D39BF" w:rsidRPr="00AC7825" w:rsidRDefault="006D39BF">
            <w:pPr>
              <w:suppressAutoHyphens/>
              <w:snapToGrid w:val="0"/>
              <w:rPr>
                <w:rFonts w:cs="Times New Roman"/>
                <w:sz w:val="20"/>
                <w:szCs w:val="20"/>
                <w:lang w:val="en-GB" w:eastAsia="en-GB"/>
              </w:rPr>
            </w:pPr>
            <w:r w:rsidRPr="00AC7825">
              <w:rPr>
                <w:rFonts w:cs="Times New Roman"/>
                <w:b/>
                <w:sz w:val="20"/>
                <w:szCs w:val="20"/>
              </w:rPr>
              <w:t>2012</w:t>
            </w:r>
          </w:p>
        </w:tc>
      </w:tr>
      <w:tr w:rsidR="006D39BF" w:rsidRPr="00956B3D" w:rsidTr="00AC7825">
        <w:tc>
          <w:tcPr>
            <w:tcW w:w="9605" w:type="dxa"/>
            <w:gridSpan w:val="13"/>
            <w:tcBorders>
              <w:top w:val="single" w:sz="4" w:space="0" w:color="auto"/>
              <w:left w:val="single" w:sz="4" w:space="0" w:color="auto"/>
              <w:bottom w:val="single" w:sz="4" w:space="0" w:color="auto"/>
              <w:right w:val="single" w:sz="4" w:space="0" w:color="auto"/>
            </w:tcBorders>
            <w:shd w:val="clear" w:color="auto" w:fill="F3F3F3"/>
            <w:hideMark/>
          </w:tcPr>
          <w:p w:rsidR="006D39BF" w:rsidRPr="00AC7825" w:rsidRDefault="006D39BF" w:rsidP="00D61515">
            <w:pPr>
              <w:suppressAutoHyphens/>
              <w:snapToGrid w:val="0"/>
              <w:rPr>
                <w:rFonts w:cs="Times New Roman"/>
                <w:sz w:val="20"/>
                <w:szCs w:val="20"/>
                <w:lang w:eastAsia="en-GB"/>
              </w:rPr>
            </w:pPr>
            <w:r w:rsidRPr="00AC7825">
              <w:rPr>
                <w:rFonts w:cs="Times New Roman"/>
                <w:b/>
                <w:i/>
                <w:sz w:val="20"/>
                <w:szCs w:val="20"/>
              </w:rPr>
              <w:t>Biomasas piedāvājums siltumapgādei un elektroenerģijai:</w:t>
            </w:r>
          </w:p>
        </w:tc>
      </w:tr>
      <w:tr w:rsidR="00956B3D" w:rsidRPr="00956B3D" w:rsidTr="00AC7825">
        <w:tc>
          <w:tcPr>
            <w:tcW w:w="1951" w:type="dxa"/>
            <w:tcBorders>
              <w:top w:val="single" w:sz="4" w:space="0" w:color="auto"/>
              <w:left w:val="single" w:sz="4" w:space="0" w:color="auto"/>
              <w:bottom w:val="single" w:sz="4" w:space="0" w:color="auto"/>
              <w:right w:val="single" w:sz="4" w:space="0" w:color="auto"/>
            </w:tcBorders>
            <w:hideMark/>
          </w:tcPr>
          <w:p w:rsidR="006D39BF" w:rsidRPr="00AC7825" w:rsidRDefault="006D39BF" w:rsidP="00D61515">
            <w:pPr>
              <w:suppressAutoHyphens/>
              <w:snapToGrid w:val="0"/>
              <w:rPr>
                <w:rFonts w:cs="Times New Roman"/>
                <w:sz w:val="20"/>
                <w:szCs w:val="20"/>
                <w:lang w:eastAsia="en-GB"/>
              </w:rPr>
            </w:pPr>
            <w:r w:rsidRPr="00AC7825">
              <w:rPr>
                <w:rFonts w:cs="Times New Roman"/>
                <w:sz w:val="20"/>
                <w:szCs w:val="20"/>
              </w:rPr>
              <w:t xml:space="preserve">Koksnes biomasa, ko enerģijas ražošanai tieši piegādā no mežiem un citām ar kokaugiem klātām platībām (cirsmas </w:t>
            </w:r>
            <w:proofErr w:type="spellStart"/>
            <w:r w:rsidRPr="00AC7825">
              <w:rPr>
                <w:rFonts w:cs="Times New Roman"/>
                <w:sz w:val="20"/>
                <w:szCs w:val="20"/>
              </w:rPr>
              <w:t>utt</w:t>
            </w:r>
            <w:proofErr w:type="spellEnd"/>
            <w:r w:rsidRPr="00AC7825">
              <w:rPr>
                <w:rFonts w:cs="Times New Roman"/>
                <w:sz w:val="20"/>
                <w:szCs w:val="20"/>
              </w:rPr>
              <w:t>.)*,</w:t>
            </w:r>
            <w:r w:rsidR="00956B3D">
              <w:rPr>
                <w:rFonts w:cs="Times New Roman"/>
                <w:sz w:val="20"/>
                <w:szCs w:val="20"/>
              </w:rPr>
              <w:t xml:space="preserve"> </w:t>
            </w:r>
            <w:proofErr w:type="spellStart"/>
            <w:r w:rsidRPr="00AC7825">
              <w:rPr>
                <w:rFonts w:cs="Times New Roman"/>
                <w:sz w:val="20"/>
                <w:szCs w:val="20"/>
              </w:rPr>
              <w:t>tūkst</w:t>
            </w:r>
            <w:r w:rsidR="00956B3D">
              <w:rPr>
                <w:rFonts w:cs="Times New Roman"/>
                <w:sz w:val="20"/>
                <w:szCs w:val="20"/>
              </w:rPr>
              <w:t>.</w:t>
            </w:r>
            <w:r w:rsidRPr="00AC7825">
              <w:rPr>
                <w:rFonts w:cs="Times New Roman"/>
                <w:sz w:val="20"/>
                <w:szCs w:val="20"/>
              </w:rPr>
              <w:t>cieš</w:t>
            </w:r>
            <w:proofErr w:type="spellEnd"/>
            <w:r w:rsidRPr="00AC7825">
              <w:rPr>
                <w:rFonts w:cs="Times New Roman"/>
                <w:sz w:val="20"/>
                <w:szCs w:val="20"/>
              </w:rPr>
              <w:t>.</w:t>
            </w:r>
            <w:r w:rsidR="00956B3D">
              <w:rPr>
                <w:rFonts w:cs="Times New Roman"/>
                <w:sz w:val="20"/>
                <w:szCs w:val="20"/>
              </w:rPr>
              <w:t> </w:t>
            </w:r>
            <w:r w:rsidRPr="00AC7825">
              <w:rPr>
                <w:rFonts w:cs="Times New Roman"/>
                <w:sz w:val="20"/>
                <w:szCs w:val="20"/>
              </w:rPr>
              <w:t>m</w:t>
            </w:r>
            <w:r w:rsidRPr="00AC7825">
              <w:rPr>
                <w:rFonts w:cs="Times New Roman"/>
                <w:sz w:val="20"/>
                <w:szCs w:val="20"/>
                <w:vertAlign w:val="superscript"/>
              </w:rPr>
              <w:t>3</w:t>
            </w:r>
          </w:p>
        </w:tc>
        <w:tc>
          <w:tcPr>
            <w:tcW w:w="625" w:type="dxa"/>
            <w:tcBorders>
              <w:top w:val="single" w:sz="4" w:space="0" w:color="auto"/>
              <w:left w:val="single" w:sz="4" w:space="0" w:color="auto"/>
              <w:bottom w:val="single" w:sz="4" w:space="0" w:color="auto"/>
              <w:right w:val="single" w:sz="4" w:space="0" w:color="auto"/>
            </w:tcBorders>
            <w:vAlign w:val="center"/>
            <w:hideMark/>
          </w:tcPr>
          <w:p w:rsidR="006D39BF" w:rsidRPr="00AC7825" w:rsidRDefault="006D39BF" w:rsidP="00AC7825">
            <w:pPr>
              <w:suppressAutoHyphens/>
              <w:snapToGrid w:val="0"/>
              <w:jc w:val="center"/>
              <w:rPr>
                <w:rFonts w:cs="Times New Roman"/>
                <w:sz w:val="20"/>
                <w:szCs w:val="20"/>
                <w:lang w:val="en-US" w:eastAsia="en-GB"/>
              </w:rPr>
            </w:pPr>
            <w:r w:rsidRPr="00AC7825">
              <w:rPr>
                <w:rFonts w:cs="Times New Roman"/>
                <w:sz w:val="20"/>
                <w:szCs w:val="20"/>
                <w:lang w:val="en-US"/>
              </w:rPr>
              <w:t>5399</w:t>
            </w:r>
          </w:p>
        </w:tc>
        <w:tc>
          <w:tcPr>
            <w:tcW w:w="625" w:type="dxa"/>
            <w:tcBorders>
              <w:top w:val="single" w:sz="4" w:space="0" w:color="auto"/>
              <w:left w:val="single" w:sz="4" w:space="0" w:color="auto"/>
              <w:bottom w:val="single" w:sz="4" w:space="0" w:color="auto"/>
              <w:right w:val="single" w:sz="4" w:space="0" w:color="auto"/>
            </w:tcBorders>
            <w:vAlign w:val="center"/>
            <w:hideMark/>
          </w:tcPr>
          <w:p w:rsidR="006D39BF" w:rsidRPr="00AC7825" w:rsidRDefault="006D39BF" w:rsidP="00AC7825">
            <w:pPr>
              <w:suppressAutoHyphens/>
              <w:snapToGrid w:val="0"/>
              <w:jc w:val="center"/>
              <w:rPr>
                <w:rFonts w:cs="Times New Roman"/>
                <w:sz w:val="20"/>
                <w:szCs w:val="20"/>
                <w:lang w:val="en-US" w:eastAsia="en-GB"/>
              </w:rPr>
            </w:pPr>
            <w:r w:rsidRPr="00AC7825">
              <w:rPr>
                <w:rFonts w:cs="Times New Roman"/>
                <w:sz w:val="20"/>
                <w:szCs w:val="20"/>
                <w:lang w:val="en-US"/>
              </w:rPr>
              <w:t>5222</w:t>
            </w:r>
          </w:p>
        </w:tc>
        <w:tc>
          <w:tcPr>
            <w:tcW w:w="642" w:type="dxa"/>
            <w:tcBorders>
              <w:top w:val="single" w:sz="4" w:space="0" w:color="auto"/>
              <w:left w:val="single" w:sz="4" w:space="0" w:color="auto"/>
              <w:bottom w:val="single" w:sz="4" w:space="0" w:color="auto"/>
              <w:right w:val="single" w:sz="4" w:space="0" w:color="auto"/>
            </w:tcBorders>
            <w:vAlign w:val="center"/>
            <w:hideMark/>
          </w:tcPr>
          <w:p w:rsidR="006D39BF" w:rsidRPr="00AC7825" w:rsidRDefault="006D39BF" w:rsidP="00AC7825">
            <w:pPr>
              <w:suppressAutoHyphens/>
              <w:snapToGrid w:val="0"/>
              <w:jc w:val="center"/>
              <w:rPr>
                <w:rFonts w:cs="Times New Roman"/>
                <w:sz w:val="20"/>
                <w:szCs w:val="20"/>
                <w:lang w:val="en-US" w:eastAsia="en-GB"/>
              </w:rPr>
            </w:pPr>
            <w:r w:rsidRPr="00AC7825">
              <w:rPr>
                <w:rFonts w:cs="Times New Roman"/>
                <w:sz w:val="20"/>
                <w:szCs w:val="20"/>
                <w:lang w:val="en-US"/>
              </w:rPr>
              <w:t>864</w:t>
            </w:r>
          </w:p>
        </w:tc>
        <w:tc>
          <w:tcPr>
            <w:tcW w:w="642" w:type="dxa"/>
            <w:tcBorders>
              <w:top w:val="single" w:sz="4" w:space="0" w:color="auto"/>
              <w:left w:val="single" w:sz="4" w:space="0" w:color="auto"/>
              <w:bottom w:val="single" w:sz="4" w:space="0" w:color="auto"/>
              <w:right w:val="single" w:sz="4" w:space="0" w:color="auto"/>
            </w:tcBorders>
            <w:vAlign w:val="center"/>
            <w:hideMark/>
          </w:tcPr>
          <w:p w:rsidR="006D39BF" w:rsidRPr="00AC7825" w:rsidRDefault="006D39BF" w:rsidP="00AC7825">
            <w:pPr>
              <w:suppressAutoHyphens/>
              <w:snapToGrid w:val="0"/>
              <w:jc w:val="center"/>
              <w:rPr>
                <w:rFonts w:cs="Times New Roman"/>
                <w:sz w:val="20"/>
                <w:szCs w:val="20"/>
                <w:lang w:val="en-US" w:eastAsia="en-GB"/>
              </w:rPr>
            </w:pPr>
            <w:r w:rsidRPr="00AC7825">
              <w:rPr>
                <w:rFonts w:cs="Times New Roman"/>
                <w:sz w:val="20"/>
                <w:szCs w:val="20"/>
                <w:lang w:val="en-US"/>
              </w:rPr>
              <w:t>836</w:t>
            </w:r>
          </w:p>
        </w:tc>
        <w:tc>
          <w:tcPr>
            <w:tcW w:w="628" w:type="dxa"/>
            <w:tcBorders>
              <w:top w:val="single" w:sz="4" w:space="0" w:color="auto"/>
              <w:left w:val="single" w:sz="4" w:space="0" w:color="auto"/>
              <w:bottom w:val="single" w:sz="4" w:space="0" w:color="auto"/>
              <w:right w:val="single" w:sz="4" w:space="0" w:color="auto"/>
            </w:tcBorders>
            <w:vAlign w:val="center"/>
            <w:hideMark/>
          </w:tcPr>
          <w:p w:rsidR="006D39BF" w:rsidRPr="00AC7825" w:rsidRDefault="006D39BF" w:rsidP="00AC7825">
            <w:pPr>
              <w:suppressAutoHyphens/>
              <w:snapToGrid w:val="0"/>
              <w:jc w:val="center"/>
              <w:rPr>
                <w:rFonts w:cs="Times New Roman"/>
                <w:sz w:val="20"/>
                <w:szCs w:val="20"/>
                <w:lang w:val="en-US" w:eastAsia="en-GB"/>
              </w:rPr>
            </w:pPr>
            <w:r w:rsidRPr="00AC7825">
              <w:rPr>
                <w:rFonts w:cs="Times New Roman"/>
                <w:sz w:val="20"/>
                <w:szCs w:val="20"/>
                <w:lang w:val="en-US"/>
              </w:rPr>
              <w:t>3</w:t>
            </w:r>
          </w:p>
        </w:tc>
        <w:tc>
          <w:tcPr>
            <w:tcW w:w="628" w:type="dxa"/>
            <w:tcBorders>
              <w:top w:val="single" w:sz="4" w:space="0" w:color="auto"/>
              <w:left w:val="single" w:sz="4" w:space="0" w:color="auto"/>
              <w:bottom w:val="single" w:sz="4" w:space="0" w:color="auto"/>
              <w:right w:val="single" w:sz="4" w:space="0" w:color="auto"/>
            </w:tcBorders>
            <w:vAlign w:val="center"/>
            <w:hideMark/>
          </w:tcPr>
          <w:p w:rsidR="006D39BF" w:rsidRPr="00AC7825" w:rsidRDefault="006D39BF" w:rsidP="00AC7825">
            <w:pPr>
              <w:suppressAutoHyphens/>
              <w:snapToGrid w:val="0"/>
              <w:jc w:val="center"/>
              <w:rPr>
                <w:rFonts w:cs="Times New Roman"/>
                <w:sz w:val="20"/>
                <w:szCs w:val="20"/>
                <w:lang w:val="en-US" w:eastAsia="en-GB"/>
              </w:rPr>
            </w:pPr>
            <w:r w:rsidRPr="00AC7825">
              <w:rPr>
                <w:rFonts w:cs="Times New Roman"/>
                <w:sz w:val="20"/>
                <w:szCs w:val="20"/>
                <w:lang w:val="en-US"/>
              </w:rPr>
              <w:t>4</w:t>
            </w:r>
          </w:p>
        </w:tc>
        <w:tc>
          <w:tcPr>
            <w:tcW w:w="650" w:type="dxa"/>
            <w:tcBorders>
              <w:top w:val="single" w:sz="4" w:space="0" w:color="auto"/>
              <w:left w:val="single" w:sz="4" w:space="0" w:color="auto"/>
              <w:bottom w:val="single" w:sz="4" w:space="0" w:color="auto"/>
              <w:right w:val="single" w:sz="4" w:space="0" w:color="auto"/>
            </w:tcBorders>
            <w:vAlign w:val="center"/>
            <w:hideMark/>
          </w:tcPr>
          <w:p w:rsidR="006D39BF" w:rsidRPr="00AC7825" w:rsidRDefault="006D39BF" w:rsidP="00AC7825">
            <w:pPr>
              <w:suppressAutoHyphens/>
              <w:snapToGrid w:val="0"/>
              <w:jc w:val="center"/>
              <w:rPr>
                <w:rFonts w:cs="Times New Roman"/>
                <w:sz w:val="20"/>
                <w:szCs w:val="20"/>
                <w:lang w:val="en-US" w:eastAsia="en-GB"/>
              </w:rPr>
            </w:pPr>
            <w:r w:rsidRPr="00AC7825">
              <w:rPr>
                <w:rFonts w:cs="Times New Roman"/>
                <w:sz w:val="20"/>
                <w:szCs w:val="20"/>
                <w:lang w:val="en-US"/>
              </w:rPr>
              <w:t>0</w:t>
            </w:r>
          </w:p>
        </w:tc>
        <w:tc>
          <w:tcPr>
            <w:tcW w:w="650" w:type="dxa"/>
            <w:tcBorders>
              <w:top w:val="single" w:sz="4" w:space="0" w:color="auto"/>
              <w:left w:val="single" w:sz="4" w:space="0" w:color="auto"/>
              <w:bottom w:val="single" w:sz="4" w:space="0" w:color="auto"/>
              <w:right w:val="single" w:sz="4" w:space="0" w:color="auto"/>
            </w:tcBorders>
            <w:vAlign w:val="center"/>
            <w:hideMark/>
          </w:tcPr>
          <w:p w:rsidR="006D39BF" w:rsidRPr="00AC7825" w:rsidRDefault="006D39BF" w:rsidP="00AC7825">
            <w:pPr>
              <w:suppressAutoHyphens/>
              <w:snapToGrid w:val="0"/>
              <w:jc w:val="center"/>
              <w:rPr>
                <w:rFonts w:cs="Times New Roman"/>
                <w:sz w:val="20"/>
                <w:szCs w:val="20"/>
                <w:lang w:val="en-US" w:eastAsia="en-GB"/>
              </w:rPr>
            </w:pPr>
            <w:r w:rsidRPr="00AC7825">
              <w:rPr>
                <w:rFonts w:cs="Times New Roman"/>
                <w:sz w:val="20"/>
                <w:szCs w:val="20"/>
                <w:lang w:val="en-US"/>
              </w:rPr>
              <w:t>1</w:t>
            </w:r>
          </w:p>
        </w:tc>
        <w:tc>
          <w:tcPr>
            <w:tcW w:w="630" w:type="dxa"/>
            <w:tcBorders>
              <w:top w:val="single" w:sz="4" w:space="0" w:color="auto"/>
              <w:left w:val="single" w:sz="4" w:space="0" w:color="auto"/>
              <w:bottom w:val="single" w:sz="4" w:space="0" w:color="auto"/>
              <w:right w:val="single" w:sz="4" w:space="0" w:color="auto"/>
            </w:tcBorders>
            <w:vAlign w:val="center"/>
            <w:hideMark/>
          </w:tcPr>
          <w:p w:rsidR="006D39BF" w:rsidRPr="00AC7825" w:rsidRDefault="006D39BF" w:rsidP="00AC7825">
            <w:pPr>
              <w:suppressAutoHyphens/>
              <w:snapToGrid w:val="0"/>
              <w:jc w:val="center"/>
              <w:rPr>
                <w:rFonts w:cs="Times New Roman"/>
                <w:sz w:val="20"/>
                <w:szCs w:val="20"/>
                <w:lang w:val="en-US" w:eastAsia="en-GB"/>
              </w:rPr>
            </w:pPr>
            <w:r w:rsidRPr="00AC7825">
              <w:rPr>
                <w:rFonts w:cs="Times New Roman"/>
                <w:sz w:val="20"/>
                <w:szCs w:val="20"/>
                <w:lang w:val="en-US"/>
              </w:rPr>
              <w:t>0</w:t>
            </w:r>
          </w:p>
        </w:tc>
        <w:tc>
          <w:tcPr>
            <w:tcW w:w="630" w:type="dxa"/>
            <w:tcBorders>
              <w:top w:val="single" w:sz="4" w:space="0" w:color="auto"/>
              <w:left w:val="single" w:sz="4" w:space="0" w:color="auto"/>
              <w:bottom w:val="single" w:sz="4" w:space="0" w:color="auto"/>
              <w:right w:val="single" w:sz="4" w:space="0" w:color="auto"/>
            </w:tcBorders>
            <w:vAlign w:val="center"/>
            <w:hideMark/>
          </w:tcPr>
          <w:p w:rsidR="006D39BF" w:rsidRPr="00AC7825" w:rsidRDefault="006D39BF" w:rsidP="00AC7825">
            <w:pPr>
              <w:suppressAutoHyphens/>
              <w:snapToGrid w:val="0"/>
              <w:jc w:val="center"/>
              <w:rPr>
                <w:rFonts w:cs="Times New Roman"/>
                <w:sz w:val="20"/>
                <w:szCs w:val="20"/>
                <w:lang w:val="en-US" w:eastAsia="en-GB"/>
              </w:rPr>
            </w:pPr>
            <w:r w:rsidRPr="00AC7825">
              <w:rPr>
                <w:rFonts w:cs="Times New Roman"/>
                <w:sz w:val="20"/>
                <w:szCs w:val="20"/>
                <w:lang w:val="en-US"/>
              </w:rPr>
              <w:t>0</w:t>
            </w:r>
          </w:p>
        </w:tc>
        <w:tc>
          <w:tcPr>
            <w:tcW w:w="652" w:type="dxa"/>
            <w:tcBorders>
              <w:top w:val="single" w:sz="4" w:space="0" w:color="auto"/>
              <w:left w:val="single" w:sz="4" w:space="0" w:color="auto"/>
              <w:bottom w:val="single" w:sz="4" w:space="0" w:color="auto"/>
              <w:right w:val="single" w:sz="4" w:space="0" w:color="auto"/>
            </w:tcBorders>
            <w:vAlign w:val="center"/>
            <w:hideMark/>
          </w:tcPr>
          <w:p w:rsidR="006D39BF" w:rsidRPr="00AC7825" w:rsidRDefault="006D39BF" w:rsidP="00AC7825">
            <w:pPr>
              <w:suppressAutoHyphens/>
              <w:snapToGrid w:val="0"/>
              <w:jc w:val="center"/>
              <w:rPr>
                <w:rFonts w:cs="Times New Roman"/>
                <w:sz w:val="20"/>
                <w:szCs w:val="20"/>
                <w:lang w:val="en-US" w:eastAsia="en-GB"/>
              </w:rPr>
            </w:pPr>
            <w:r w:rsidRPr="00AC7825">
              <w:rPr>
                <w:rFonts w:cs="Times New Roman"/>
                <w:sz w:val="20"/>
                <w:szCs w:val="20"/>
                <w:lang w:val="en-US"/>
              </w:rPr>
              <w:t>0</w:t>
            </w:r>
          </w:p>
        </w:tc>
        <w:tc>
          <w:tcPr>
            <w:tcW w:w="652" w:type="dxa"/>
            <w:tcBorders>
              <w:top w:val="single" w:sz="4" w:space="0" w:color="auto"/>
              <w:left w:val="single" w:sz="4" w:space="0" w:color="auto"/>
              <w:bottom w:val="single" w:sz="4" w:space="0" w:color="auto"/>
              <w:right w:val="single" w:sz="4" w:space="0" w:color="auto"/>
            </w:tcBorders>
            <w:vAlign w:val="center"/>
            <w:hideMark/>
          </w:tcPr>
          <w:p w:rsidR="006D39BF" w:rsidRPr="00AC7825" w:rsidRDefault="006D39BF" w:rsidP="00AC7825">
            <w:pPr>
              <w:suppressAutoHyphens/>
              <w:snapToGrid w:val="0"/>
              <w:jc w:val="center"/>
              <w:rPr>
                <w:rFonts w:cs="Times New Roman"/>
                <w:sz w:val="20"/>
                <w:szCs w:val="20"/>
                <w:lang w:val="en-US" w:eastAsia="en-GB"/>
              </w:rPr>
            </w:pPr>
            <w:r w:rsidRPr="00AC7825">
              <w:rPr>
                <w:rFonts w:cs="Times New Roman"/>
                <w:sz w:val="20"/>
                <w:szCs w:val="20"/>
                <w:lang w:val="en-US"/>
              </w:rPr>
              <w:t>0</w:t>
            </w:r>
          </w:p>
        </w:tc>
      </w:tr>
      <w:tr w:rsidR="00956B3D" w:rsidRPr="00956B3D" w:rsidTr="00AC7825">
        <w:trPr>
          <w:trHeight w:val="782"/>
        </w:trPr>
        <w:tc>
          <w:tcPr>
            <w:tcW w:w="1951" w:type="dxa"/>
            <w:tcBorders>
              <w:top w:val="single" w:sz="4" w:space="0" w:color="auto"/>
              <w:left w:val="single" w:sz="4" w:space="0" w:color="auto"/>
              <w:bottom w:val="single" w:sz="4" w:space="0" w:color="auto"/>
              <w:right w:val="single" w:sz="4" w:space="0" w:color="auto"/>
            </w:tcBorders>
            <w:hideMark/>
          </w:tcPr>
          <w:p w:rsidR="006D39BF" w:rsidRPr="00AC7825" w:rsidRDefault="006D39BF" w:rsidP="00D61515">
            <w:pPr>
              <w:suppressAutoHyphens/>
              <w:snapToGrid w:val="0"/>
              <w:rPr>
                <w:rFonts w:cs="Times New Roman"/>
                <w:sz w:val="20"/>
                <w:szCs w:val="20"/>
                <w:lang w:eastAsia="en-GB"/>
              </w:rPr>
            </w:pPr>
            <w:r w:rsidRPr="00AC7825">
              <w:rPr>
                <w:rFonts w:cs="Times New Roman"/>
                <w:sz w:val="20"/>
                <w:szCs w:val="20"/>
              </w:rPr>
              <w:t xml:space="preserve">Koksnes biomasas (kokrūpniecības atliekas un blakusprodukti </w:t>
            </w:r>
            <w:proofErr w:type="spellStart"/>
            <w:r w:rsidRPr="00AC7825">
              <w:rPr>
                <w:rFonts w:cs="Times New Roman"/>
                <w:sz w:val="20"/>
                <w:szCs w:val="20"/>
              </w:rPr>
              <w:t>utt</w:t>
            </w:r>
            <w:proofErr w:type="spellEnd"/>
            <w:r w:rsidRPr="00AC7825">
              <w:rPr>
                <w:rFonts w:cs="Times New Roman"/>
                <w:sz w:val="20"/>
                <w:szCs w:val="20"/>
              </w:rPr>
              <w:t xml:space="preserve">.) netiešā piegāde*, </w:t>
            </w:r>
            <w:proofErr w:type="spellStart"/>
            <w:r w:rsidRPr="00AC7825">
              <w:rPr>
                <w:rFonts w:cs="Times New Roman"/>
                <w:sz w:val="20"/>
                <w:szCs w:val="20"/>
              </w:rPr>
              <w:t>tūkst</w:t>
            </w:r>
            <w:proofErr w:type="spellEnd"/>
            <w:r w:rsidRPr="00AC7825">
              <w:rPr>
                <w:rFonts w:cs="Times New Roman"/>
                <w:sz w:val="20"/>
                <w:szCs w:val="20"/>
              </w:rPr>
              <w:t>.</w:t>
            </w:r>
            <w:r w:rsidR="00956B3D">
              <w:rPr>
                <w:rFonts w:cs="Times New Roman"/>
                <w:sz w:val="20"/>
                <w:szCs w:val="20"/>
              </w:rPr>
              <w:t> </w:t>
            </w:r>
            <w:r w:rsidRPr="00AC7825">
              <w:rPr>
                <w:rFonts w:cs="Times New Roman"/>
                <w:sz w:val="20"/>
                <w:szCs w:val="20"/>
              </w:rPr>
              <w:t>cieš.</w:t>
            </w:r>
            <w:r w:rsidR="00956B3D">
              <w:rPr>
                <w:rFonts w:cs="Times New Roman"/>
                <w:sz w:val="20"/>
                <w:szCs w:val="20"/>
              </w:rPr>
              <w:t> </w:t>
            </w:r>
            <w:r w:rsidRPr="00AC7825">
              <w:rPr>
                <w:rFonts w:cs="Times New Roman"/>
                <w:sz w:val="20"/>
                <w:szCs w:val="20"/>
              </w:rPr>
              <w:t>m</w:t>
            </w:r>
            <w:r w:rsidRPr="00AC7825">
              <w:rPr>
                <w:rFonts w:cs="Times New Roman"/>
                <w:sz w:val="20"/>
                <w:szCs w:val="20"/>
                <w:vertAlign w:val="superscript"/>
              </w:rPr>
              <w:t>3</w:t>
            </w:r>
          </w:p>
        </w:tc>
        <w:tc>
          <w:tcPr>
            <w:tcW w:w="625" w:type="dxa"/>
            <w:tcBorders>
              <w:top w:val="single" w:sz="4" w:space="0" w:color="auto"/>
              <w:left w:val="single" w:sz="4" w:space="0" w:color="auto"/>
              <w:bottom w:val="single" w:sz="4" w:space="0" w:color="auto"/>
              <w:right w:val="single" w:sz="4" w:space="0" w:color="auto"/>
            </w:tcBorders>
            <w:vAlign w:val="center"/>
            <w:hideMark/>
          </w:tcPr>
          <w:p w:rsidR="006D39BF" w:rsidRPr="00AC7825" w:rsidRDefault="006D39BF" w:rsidP="00AC7825">
            <w:pPr>
              <w:suppressAutoHyphens/>
              <w:snapToGrid w:val="0"/>
              <w:jc w:val="center"/>
              <w:rPr>
                <w:rFonts w:cs="Times New Roman"/>
                <w:sz w:val="20"/>
                <w:szCs w:val="20"/>
                <w:lang w:val="en-US" w:eastAsia="en-GB"/>
              </w:rPr>
            </w:pPr>
            <w:r w:rsidRPr="00AC7825">
              <w:rPr>
                <w:rFonts w:cs="Times New Roman"/>
                <w:sz w:val="20"/>
                <w:szCs w:val="20"/>
                <w:lang w:val="en-US"/>
              </w:rPr>
              <w:t>4038</w:t>
            </w:r>
          </w:p>
        </w:tc>
        <w:tc>
          <w:tcPr>
            <w:tcW w:w="625" w:type="dxa"/>
            <w:tcBorders>
              <w:top w:val="single" w:sz="4" w:space="0" w:color="auto"/>
              <w:left w:val="single" w:sz="4" w:space="0" w:color="auto"/>
              <w:bottom w:val="single" w:sz="4" w:space="0" w:color="auto"/>
              <w:right w:val="single" w:sz="4" w:space="0" w:color="auto"/>
            </w:tcBorders>
            <w:vAlign w:val="center"/>
            <w:hideMark/>
          </w:tcPr>
          <w:p w:rsidR="006D39BF" w:rsidRPr="00AC7825" w:rsidRDefault="006D39BF" w:rsidP="00AC7825">
            <w:pPr>
              <w:suppressAutoHyphens/>
              <w:snapToGrid w:val="0"/>
              <w:jc w:val="center"/>
              <w:rPr>
                <w:rFonts w:cs="Times New Roman"/>
                <w:sz w:val="20"/>
                <w:szCs w:val="20"/>
                <w:lang w:val="en-US" w:eastAsia="en-GB"/>
              </w:rPr>
            </w:pPr>
            <w:r w:rsidRPr="00AC7825">
              <w:rPr>
                <w:rFonts w:cs="Times New Roman"/>
                <w:sz w:val="20"/>
                <w:szCs w:val="20"/>
                <w:lang w:val="en-US"/>
              </w:rPr>
              <w:t>4607</w:t>
            </w:r>
          </w:p>
        </w:tc>
        <w:tc>
          <w:tcPr>
            <w:tcW w:w="642" w:type="dxa"/>
            <w:tcBorders>
              <w:top w:val="single" w:sz="4" w:space="0" w:color="auto"/>
              <w:left w:val="single" w:sz="4" w:space="0" w:color="auto"/>
              <w:bottom w:val="single" w:sz="4" w:space="0" w:color="auto"/>
              <w:right w:val="single" w:sz="4" w:space="0" w:color="auto"/>
            </w:tcBorders>
            <w:vAlign w:val="center"/>
            <w:hideMark/>
          </w:tcPr>
          <w:p w:rsidR="006D39BF" w:rsidRPr="00AC7825" w:rsidRDefault="006D39BF" w:rsidP="00AC7825">
            <w:pPr>
              <w:suppressAutoHyphens/>
              <w:snapToGrid w:val="0"/>
              <w:jc w:val="center"/>
              <w:rPr>
                <w:rFonts w:cs="Times New Roman"/>
                <w:sz w:val="20"/>
                <w:szCs w:val="20"/>
                <w:lang w:val="en-US" w:eastAsia="en-GB"/>
              </w:rPr>
            </w:pPr>
            <w:r w:rsidRPr="00AC7825">
              <w:rPr>
                <w:rFonts w:cs="Times New Roman"/>
                <w:sz w:val="20"/>
                <w:szCs w:val="20"/>
                <w:lang w:val="en-US"/>
              </w:rPr>
              <w:t>875</w:t>
            </w:r>
          </w:p>
        </w:tc>
        <w:tc>
          <w:tcPr>
            <w:tcW w:w="642" w:type="dxa"/>
            <w:tcBorders>
              <w:top w:val="single" w:sz="4" w:space="0" w:color="auto"/>
              <w:left w:val="single" w:sz="4" w:space="0" w:color="auto"/>
              <w:bottom w:val="single" w:sz="4" w:space="0" w:color="auto"/>
              <w:right w:val="single" w:sz="4" w:space="0" w:color="auto"/>
            </w:tcBorders>
            <w:vAlign w:val="center"/>
            <w:hideMark/>
          </w:tcPr>
          <w:p w:rsidR="006D39BF" w:rsidRPr="00AC7825" w:rsidRDefault="006D39BF" w:rsidP="00AC7825">
            <w:pPr>
              <w:suppressAutoHyphens/>
              <w:snapToGrid w:val="0"/>
              <w:jc w:val="center"/>
              <w:rPr>
                <w:rFonts w:cs="Times New Roman"/>
                <w:sz w:val="20"/>
                <w:szCs w:val="20"/>
                <w:lang w:val="en-US" w:eastAsia="en-GB"/>
              </w:rPr>
            </w:pPr>
            <w:r w:rsidRPr="00AC7825">
              <w:rPr>
                <w:rFonts w:cs="Times New Roman"/>
                <w:sz w:val="20"/>
                <w:szCs w:val="20"/>
                <w:lang w:val="en-US"/>
              </w:rPr>
              <w:t>1032</w:t>
            </w:r>
          </w:p>
        </w:tc>
        <w:tc>
          <w:tcPr>
            <w:tcW w:w="628" w:type="dxa"/>
            <w:tcBorders>
              <w:top w:val="single" w:sz="4" w:space="0" w:color="auto"/>
              <w:left w:val="single" w:sz="4" w:space="0" w:color="auto"/>
              <w:bottom w:val="single" w:sz="4" w:space="0" w:color="auto"/>
              <w:right w:val="single" w:sz="4" w:space="0" w:color="auto"/>
            </w:tcBorders>
            <w:vAlign w:val="center"/>
            <w:hideMark/>
          </w:tcPr>
          <w:p w:rsidR="006D39BF" w:rsidRPr="00AC7825" w:rsidRDefault="006D39BF" w:rsidP="00AC7825">
            <w:pPr>
              <w:suppressAutoHyphens/>
              <w:snapToGrid w:val="0"/>
              <w:jc w:val="center"/>
              <w:rPr>
                <w:rFonts w:cs="Times New Roman"/>
                <w:sz w:val="20"/>
                <w:szCs w:val="20"/>
                <w:lang w:val="en-US" w:eastAsia="en-GB"/>
              </w:rPr>
            </w:pPr>
            <w:r w:rsidRPr="00AC7825">
              <w:rPr>
                <w:rFonts w:cs="Times New Roman"/>
                <w:sz w:val="20"/>
                <w:szCs w:val="20"/>
                <w:lang w:val="en-US"/>
              </w:rPr>
              <w:t>7</w:t>
            </w:r>
          </w:p>
        </w:tc>
        <w:tc>
          <w:tcPr>
            <w:tcW w:w="628" w:type="dxa"/>
            <w:tcBorders>
              <w:top w:val="single" w:sz="4" w:space="0" w:color="auto"/>
              <w:left w:val="single" w:sz="4" w:space="0" w:color="auto"/>
              <w:bottom w:val="single" w:sz="4" w:space="0" w:color="auto"/>
              <w:right w:val="single" w:sz="4" w:space="0" w:color="auto"/>
            </w:tcBorders>
            <w:vAlign w:val="center"/>
            <w:hideMark/>
          </w:tcPr>
          <w:p w:rsidR="006D39BF" w:rsidRPr="00AC7825" w:rsidRDefault="006D39BF" w:rsidP="00AC7825">
            <w:pPr>
              <w:suppressAutoHyphens/>
              <w:snapToGrid w:val="0"/>
              <w:jc w:val="center"/>
              <w:rPr>
                <w:rFonts w:cs="Times New Roman"/>
                <w:sz w:val="20"/>
                <w:szCs w:val="20"/>
                <w:lang w:val="en-US" w:eastAsia="en-GB"/>
              </w:rPr>
            </w:pPr>
            <w:r w:rsidRPr="00AC7825">
              <w:rPr>
                <w:rFonts w:cs="Times New Roman"/>
                <w:sz w:val="20"/>
                <w:szCs w:val="20"/>
                <w:lang w:val="en-US"/>
              </w:rPr>
              <w:t>22</w:t>
            </w:r>
          </w:p>
        </w:tc>
        <w:tc>
          <w:tcPr>
            <w:tcW w:w="650" w:type="dxa"/>
            <w:tcBorders>
              <w:top w:val="single" w:sz="4" w:space="0" w:color="auto"/>
              <w:left w:val="single" w:sz="4" w:space="0" w:color="auto"/>
              <w:bottom w:val="single" w:sz="4" w:space="0" w:color="auto"/>
              <w:right w:val="single" w:sz="4" w:space="0" w:color="auto"/>
            </w:tcBorders>
            <w:vAlign w:val="center"/>
            <w:hideMark/>
          </w:tcPr>
          <w:p w:rsidR="006D39BF" w:rsidRPr="00AC7825" w:rsidRDefault="006D39BF" w:rsidP="00AC7825">
            <w:pPr>
              <w:suppressAutoHyphens/>
              <w:snapToGrid w:val="0"/>
              <w:jc w:val="center"/>
              <w:rPr>
                <w:rFonts w:cs="Times New Roman"/>
                <w:sz w:val="20"/>
                <w:szCs w:val="20"/>
                <w:lang w:val="en-US" w:eastAsia="en-GB"/>
              </w:rPr>
            </w:pPr>
            <w:r w:rsidRPr="00AC7825">
              <w:rPr>
                <w:rFonts w:cs="Times New Roman"/>
                <w:sz w:val="20"/>
                <w:szCs w:val="20"/>
                <w:lang w:val="en-US"/>
              </w:rPr>
              <w:t>2</w:t>
            </w:r>
          </w:p>
        </w:tc>
        <w:tc>
          <w:tcPr>
            <w:tcW w:w="650" w:type="dxa"/>
            <w:tcBorders>
              <w:top w:val="single" w:sz="4" w:space="0" w:color="auto"/>
              <w:left w:val="single" w:sz="4" w:space="0" w:color="auto"/>
              <w:bottom w:val="single" w:sz="4" w:space="0" w:color="auto"/>
              <w:right w:val="single" w:sz="4" w:space="0" w:color="auto"/>
            </w:tcBorders>
            <w:vAlign w:val="center"/>
            <w:hideMark/>
          </w:tcPr>
          <w:p w:rsidR="006D39BF" w:rsidRPr="00AC7825" w:rsidRDefault="006D39BF" w:rsidP="00AC7825">
            <w:pPr>
              <w:suppressAutoHyphens/>
              <w:snapToGrid w:val="0"/>
              <w:jc w:val="center"/>
              <w:rPr>
                <w:rFonts w:cs="Times New Roman"/>
                <w:sz w:val="20"/>
                <w:szCs w:val="20"/>
                <w:lang w:val="en-US" w:eastAsia="en-GB"/>
              </w:rPr>
            </w:pPr>
            <w:r w:rsidRPr="00AC7825">
              <w:rPr>
                <w:rFonts w:cs="Times New Roman"/>
                <w:sz w:val="20"/>
                <w:szCs w:val="20"/>
                <w:lang w:val="en-US"/>
              </w:rPr>
              <w:t>6</w:t>
            </w:r>
          </w:p>
        </w:tc>
        <w:tc>
          <w:tcPr>
            <w:tcW w:w="630" w:type="dxa"/>
            <w:tcBorders>
              <w:top w:val="single" w:sz="4" w:space="0" w:color="auto"/>
              <w:left w:val="single" w:sz="4" w:space="0" w:color="auto"/>
              <w:bottom w:val="single" w:sz="4" w:space="0" w:color="auto"/>
              <w:right w:val="single" w:sz="4" w:space="0" w:color="auto"/>
            </w:tcBorders>
            <w:vAlign w:val="center"/>
            <w:hideMark/>
          </w:tcPr>
          <w:p w:rsidR="006D39BF" w:rsidRPr="00AC7825" w:rsidRDefault="006D39BF" w:rsidP="00AC7825">
            <w:pPr>
              <w:suppressAutoHyphens/>
              <w:snapToGrid w:val="0"/>
              <w:jc w:val="center"/>
              <w:rPr>
                <w:rFonts w:cs="Times New Roman"/>
                <w:sz w:val="20"/>
                <w:szCs w:val="20"/>
                <w:lang w:val="en-US" w:eastAsia="en-GB"/>
              </w:rPr>
            </w:pPr>
            <w:r w:rsidRPr="00AC7825">
              <w:rPr>
                <w:rFonts w:cs="Times New Roman"/>
                <w:sz w:val="20"/>
                <w:szCs w:val="20"/>
                <w:lang w:val="en-US"/>
              </w:rPr>
              <w:t>6</w:t>
            </w:r>
          </w:p>
        </w:tc>
        <w:tc>
          <w:tcPr>
            <w:tcW w:w="630" w:type="dxa"/>
            <w:tcBorders>
              <w:top w:val="single" w:sz="4" w:space="0" w:color="auto"/>
              <w:left w:val="single" w:sz="4" w:space="0" w:color="auto"/>
              <w:bottom w:val="single" w:sz="4" w:space="0" w:color="auto"/>
              <w:right w:val="single" w:sz="4" w:space="0" w:color="auto"/>
            </w:tcBorders>
            <w:vAlign w:val="center"/>
            <w:hideMark/>
          </w:tcPr>
          <w:p w:rsidR="006D39BF" w:rsidRPr="00AC7825" w:rsidRDefault="006D39BF" w:rsidP="00AC7825">
            <w:pPr>
              <w:suppressAutoHyphens/>
              <w:snapToGrid w:val="0"/>
              <w:jc w:val="center"/>
              <w:rPr>
                <w:rFonts w:cs="Times New Roman"/>
                <w:sz w:val="20"/>
                <w:szCs w:val="20"/>
                <w:lang w:val="en-US" w:eastAsia="en-GB"/>
              </w:rPr>
            </w:pPr>
            <w:r w:rsidRPr="00AC7825">
              <w:rPr>
                <w:rFonts w:cs="Times New Roman"/>
                <w:sz w:val="20"/>
                <w:szCs w:val="20"/>
                <w:lang w:val="en-US"/>
              </w:rPr>
              <w:t>54</w:t>
            </w:r>
          </w:p>
        </w:tc>
        <w:tc>
          <w:tcPr>
            <w:tcW w:w="652" w:type="dxa"/>
            <w:tcBorders>
              <w:top w:val="single" w:sz="4" w:space="0" w:color="auto"/>
              <w:left w:val="single" w:sz="4" w:space="0" w:color="auto"/>
              <w:bottom w:val="single" w:sz="4" w:space="0" w:color="auto"/>
              <w:right w:val="single" w:sz="4" w:space="0" w:color="auto"/>
            </w:tcBorders>
            <w:vAlign w:val="center"/>
            <w:hideMark/>
          </w:tcPr>
          <w:p w:rsidR="006D39BF" w:rsidRPr="00AC7825" w:rsidRDefault="006D39BF" w:rsidP="00AC7825">
            <w:pPr>
              <w:suppressAutoHyphens/>
              <w:snapToGrid w:val="0"/>
              <w:jc w:val="center"/>
              <w:rPr>
                <w:rFonts w:cs="Times New Roman"/>
                <w:sz w:val="20"/>
                <w:szCs w:val="20"/>
                <w:lang w:val="en-US" w:eastAsia="en-GB"/>
              </w:rPr>
            </w:pPr>
            <w:r w:rsidRPr="00AC7825">
              <w:rPr>
                <w:rFonts w:cs="Times New Roman"/>
                <w:sz w:val="20"/>
                <w:szCs w:val="20"/>
                <w:lang w:val="en-US"/>
              </w:rPr>
              <w:t>2</w:t>
            </w:r>
          </w:p>
        </w:tc>
        <w:tc>
          <w:tcPr>
            <w:tcW w:w="652" w:type="dxa"/>
            <w:tcBorders>
              <w:top w:val="single" w:sz="4" w:space="0" w:color="auto"/>
              <w:left w:val="single" w:sz="4" w:space="0" w:color="auto"/>
              <w:bottom w:val="single" w:sz="4" w:space="0" w:color="auto"/>
              <w:right w:val="single" w:sz="4" w:space="0" w:color="auto"/>
            </w:tcBorders>
            <w:vAlign w:val="center"/>
            <w:hideMark/>
          </w:tcPr>
          <w:p w:rsidR="006D39BF" w:rsidRPr="00AC7825" w:rsidRDefault="006D39BF" w:rsidP="00AC7825">
            <w:pPr>
              <w:suppressAutoHyphens/>
              <w:snapToGrid w:val="0"/>
              <w:jc w:val="center"/>
              <w:rPr>
                <w:rFonts w:cs="Times New Roman"/>
                <w:sz w:val="20"/>
                <w:szCs w:val="20"/>
                <w:lang w:val="en-US" w:eastAsia="en-GB"/>
              </w:rPr>
            </w:pPr>
            <w:r w:rsidRPr="00AC7825">
              <w:rPr>
                <w:rFonts w:cs="Times New Roman"/>
                <w:sz w:val="20"/>
                <w:szCs w:val="20"/>
                <w:lang w:val="en-US"/>
              </w:rPr>
              <w:t>14</w:t>
            </w:r>
          </w:p>
        </w:tc>
      </w:tr>
    </w:tbl>
    <w:p w:rsidR="006D39BF" w:rsidRPr="001D2986" w:rsidRDefault="006D39BF" w:rsidP="00AC7825">
      <w:pPr>
        <w:rPr>
          <w:rFonts w:cs="Times New Roman"/>
          <w:sz w:val="20"/>
          <w:szCs w:val="20"/>
          <w:lang w:val="en-US"/>
        </w:rPr>
      </w:pPr>
      <w:r w:rsidRPr="001D2986">
        <w:rPr>
          <w:rFonts w:cs="Times New Roman"/>
          <w:sz w:val="20"/>
          <w:szCs w:val="20"/>
        </w:rPr>
        <w:t xml:space="preserve">* Šīs biomasas kategorijas definīcija jāsaprot atbilstoši 4.6.1.daļas 7.tabulai Komisijas Lēmumā C (2009) 5174, galīgā redakcija, ar ko izveido paraugu valsts rīcības plāniem atjaunojamo </w:t>
      </w:r>
      <w:proofErr w:type="spellStart"/>
      <w:r w:rsidRPr="001D2986">
        <w:rPr>
          <w:rFonts w:cs="Times New Roman"/>
          <w:sz w:val="20"/>
          <w:szCs w:val="20"/>
        </w:rPr>
        <w:t>energoavotu</w:t>
      </w:r>
      <w:proofErr w:type="spellEnd"/>
      <w:r w:rsidRPr="001D2986">
        <w:rPr>
          <w:rFonts w:cs="Times New Roman"/>
          <w:sz w:val="20"/>
          <w:szCs w:val="20"/>
        </w:rPr>
        <w:t xml:space="preserve"> jomā atbilstoši Direktīvai 2009/28/EK.</w:t>
      </w:r>
      <w:r w:rsidRPr="001D2986">
        <w:rPr>
          <w:rFonts w:cs="Times New Roman"/>
          <w:sz w:val="20"/>
          <w:szCs w:val="20"/>
          <w:lang w:val="en-US"/>
        </w:rPr>
        <w:tab/>
      </w:r>
    </w:p>
    <w:p w:rsidR="00AC7825" w:rsidRDefault="00AC7825" w:rsidP="00AC7825">
      <w:pPr>
        <w:pStyle w:val="ListParagraph"/>
        <w:ind w:left="0" w:firstLine="709"/>
        <w:jc w:val="both"/>
        <w:rPr>
          <w:rFonts w:cs="Times New Roman"/>
          <w:szCs w:val="28"/>
        </w:rPr>
      </w:pPr>
      <w:r w:rsidRPr="006D39BF">
        <w:rPr>
          <w:rFonts w:cs="Times New Roman"/>
          <w:szCs w:val="28"/>
        </w:rPr>
        <w:lastRenderedPageBreak/>
        <w:t xml:space="preserve">Lai nodrošinātu </w:t>
      </w:r>
      <w:proofErr w:type="spellStart"/>
      <w:r w:rsidRPr="006D39BF">
        <w:rPr>
          <w:rFonts w:cs="Times New Roman"/>
          <w:szCs w:val="28"/>
        </w:rPr>
        <w:t>biokurināmā</w:t>
      </w:r>
      <w:proofErr w:type="spellEnd"/>
      <w:r w:rsidRPr="006D39BF">
        <w:rPr>
          <w:rFonts w:cs="Times New Roman"/>
          <w:szCs w:val="28"/>
        </w:rPr>
        <w:t xml:space="preserve"> piegādes, mežistrādes apjomus nav plānots paaugstināt. Ir nepieciešams uzlabot esošo resursu efektīvāku izmantošanu. Enerģijas ražošana var pozitīvi ietekmēt granulu ražošanu un eksportu, kas netieši pozitīvi ietekmēs arī meža apsaimniekošanas praksi.</w:t>
      </w:r>
    </w:p>
    <w:p w:rsidR="00C90FC8" w:rsidRPr="00660B26" w:rsidRDefault="00C90FC8" w:rsidP="00660B26">
      <w:pPr>
        <w:jc w:val="right"/>
        <w:rPr>
          <w:rFonts w:cs="Times New Roman"/>
          <w:b/>
          <w:szCs w:val="28"/>
        </w:rPr>
      </w:pPr>
      <w:r w:rsidRPr="00660B26">
        <w:rPr>
          <w:rFonts w:eastAsia="Calibri"/>
          <w:szCs w:val="28"/>
        </w:rPr>
        <w:t>1</w:t>
      </w:r>
      <w:r w:rsidR="00660B26">
        <w:rPr>
          <w:rFonts w:eastAsia="Calibri"/>
          <w:szCs w:val="28"/>
        </w:rPr>
        <w:t>5</w:t>
      </w:r>
      <w:r w:rsidRPr="00660B26">
        <w:rPr>
          <w:rFonts w:eastAsia="Calibri"/>
          <w:szCs w:val="28"/>
        </w:rPr>
        <w:t xml:space="preserve">.tabula </w:t>
      </w:r>
    </w:p>
    <w:p w:rsidR="006D39BF" w:rsidRPr="00117C29" w:rsidRDefault="006D39BF" w:rsidP="00C90FC8">
      <w:pPr>
        <w:jc w:val="center"/>
        <w:rPr>
          <w:rFonts w:cs="Times New Roman"/>
          <w:i/>
          <w:szCs w:val="28"/>
        </w:rPr>
      </w:pPr>
      <w:r w:rsidRPr="006D39BF">
        <w:rPr>
          <w:rFonts w:cs="Times New Roman"/>
          <w:b/>
          <w:szCs w:val="28"/>
        </w:rPr>
        <w:t>Iekšzemes lauksaimniecības zemes izmantošana enerģijas kultūru audzēšanai (</w:t>
      </w:r>
      <w:r w:rsidRPr="006D39BF">
        <w:rPr>
          <w:rFonts w:cs="Times New Roman"/>
          <w:b/>
          <w:i/>
          <w:szCs w:val="28"/>
        </w:rPr>
        <w:t>ha</w:t>
      </w:r>
      <w:r w:rsidRPr="006D39BF">
        <w:rPr>
          <w:rFonts w:cs="Times New Roman"/>
          <w:b/>
          <w:szCs w:val="28"/>
        </w:rPr>
        <w:t>)</w:t>
      </w:r>
      <w:r w:rsidR="00660B26">
        <w:rPr>
          <w:rStyle w:val="FootnoteReference"/>
          <w:rFonts w:cs="Times New Roman"/>
          <w:b/>
        </w:rPr>
        <w:footnoteReference w:id="32"/>
      </w:r>
    </w:p>
    <w:p w:rsidR="006D39BF" w:rsidRPr="00117C29" w:rsidRDefault="006D39BF" w:rsidP="006D39BF">
      <w:pPr>
        <w:rPr>
          <w:rFonts w:cs="Times New Roman"/>
          <w:szCs w:val="28"/>
          <w:highlight w:val="yellow"/>
        </w:rPr>
      </w:pPr>
    </w:p>
    <w:tbl>
      <w:tblPr>
        <w:tblW w:w="0" w:type="auto"/>
        <w:jc w:val="center"/>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06"/>
        <w:gridCol w:w="1276"/>
        <w:gridCol w:w="1260"/>
      </w:tblGrid>
      <w:tr w:rsidR="006D39BF" w:rsidRPr="006D39BF" w:rsidTr="0050047A">
        <w:trPr>
          <w:jc w:val="center"/>
        </w:trPr>
        <w:tc>
          <w:tcPr>
            <w:tcW w:w="6506" w:type="dxa"/>
            <w:tcBorders>
              <w:top w:val="single" w:sz="4" w:space="0" w:color="auto"/>
              <w:left w:val="single" w:sz="4" w:space="0" w:color="auto"/>
              <w:bottom w:val="single" w:sz="4" w:space="0" w:color="auto"/>
              <w:right w:val="single" w:sz="4" w:space="0" w:color="auto"/>
            </w:tcBorders>
            <w:hideMark/>
          </w:tcPr>
          <w:p w:rsidR="006D39BF" w:rsidRPr="009F1304" w:rsidRDefault="006D39BF" w:rsidP="0050047A">
            <w:pPr>
              <w:pStyle w:val="CM4"/>
              <w:suppressAutoHyphens/>
              <w:spacing w:before="60" w:after="60"/>
              <w:rPr>
                <w:rFonts w:ascii="Times New Roman" w:hAnsi="Times New Roman"/>
                <w:b/>
                <w:lang w:val="lv-LV"/>
              </w:rPr>
            </w:pPr>
            <w:r w:rsidRPr="009F1304">
              <w:rPr>
                <w:rFonts w:ascii="Times New Roman" w:hAnsi="Times New Roman"/>
                <w:b/>
                <w:lang w:val="lv-LV"/>
              </w:rPr>
              <w:t>Zemes izmantojums</w:t>
            </w:r>
          </w:p>
        </w:tc>
        <w:tc>
          <w:tcPr>
            <w:tcW w:w="2536" w:type="dxa"/>
            <w:gridSpan w:val="2"/>
            <w:tcBorders>
              <w:top w:val="single" w:sz="4" w:space="0" w:color="auto"/>
              <w:left w:val="single" w:sz="4" w:space="0" w:color="auto"/>
              <w:bottom w:val="single" w:sz="4" w:space="0" w:color="auto"/>
              <w:right w:val="single" w:sz="4" w:space="0" w:color="auto"/>
            </w:tcBorders>
            <w:shd w:val="clear" w:color="auto" w:fill="E6E6E6"/>
            <w:hideMark/>
          </w:tcPr>
          <w:p w:rsidR="006D39BF" w:rsidRPr="009F1304" w:rsidRDefault="006D39BF" w:rsidP="0050047A">
            <w:pPr>
              <w:pStyle w:val="CM4"/>
              <w:suppressAutoHyphens/>
              <w:spacing w:before="60" w:after="60"/>
              <w:jc w:val="center"/>
              <w:rPr>
                <w:rFonts w:ascii="Times New Roman" w:hAnsi="Times New Roman"/>
                <w:b/>
                <w:lang w:val="lv-LV"/>
              </w:rPr>
            </w:pPr>
            <w:r w:rsidRPr="009F1304">
              <w:rPr>
                <w:rFonts w:ascii="Times New Roman" w:hAnsi="Times New Roman"/>
                <w:b/>
                <w:lang w:val="lv-LV"/>
              </w:rPr>
              <w:t>Platība (</w:t>
            </w:r>
            <w:r w:rsidRPr="009F1304">
              <w:rPr>
                <w:rFonts w:ascii="Times New Roman" w:hAnsi="Times New Roman"/>
                <w:b/>
                <w:i/>
                <w:lang w:val="lv-LV"/>
              </w:rPr>
              <w:t>ha</w:t>
            </w:r>
            <w:r w:rsidRPr="009F1304">
              <w:rPr>
                <w:rFonts w:ascii="Times New Roman" w:hAnsi="Times New Roman"/>
                <w:b/>
                <w:lang w:val="lv-LV"/>
              </w:rPr>
              <w:t>)</w:t>
            </w:r>
          </w:p>
        </w:tc>
      </w:tr>
      <w:tr w:rsidR="006D39BF" w:rsidRPr="006D39BF" w:rsidTr="0050047A">
        <w:trPr>
          <w:jc w:val="center"/>
        </w:trPr>
        <w:tc>
          <w:tcPr>
            <w:tcW w:w="6506" w:type="dxa"/>
            <w:tcBorders>
              <w:top w:val="single" w:sz="4" w:space="0" w:color="auto"/>
              <w:left w:val="single" w:sz="4" w:space="0" w:color="auto"/>
              <w:bottom w:val="single" w:sz="4" w:space="0" w:color="auto"/>
              <w:right w:val="single" w:sz="4" w:space="0" w:color="auto"/>
            </w:tcBorders>
          </w:tcPr>
          <w:p w:rsidR="006D39BF" w:rsidRPr="009F1304" w:rsidRDefault="006D39BF" w:rsidP="0050047A">
            <w:pPr>
              <w:pStyle w:val="CM4"/>
              <w:suppressAutoHyphens/>
              <w:spacing w:before="60" w:after="60"/>
              <w:rPr>
                <w:rFonts w:ascii="Times New Roman" w:hAnsi="Times New Roman"/>
                <w:b/>
                <w:lang w:val="lv-LV"/>
              </w:rPr>
            </w:pPr>
          </w:p>
        </w:tc>
        <w:tc>
          <w:tcPr>
            <w:tcW w:w="1276" w:type="dxa"/>
            <w:tcBorders>
              <w:top w:val="single" w:sz="4" w:space="0" w:color="auto"/>
              <w:left w:val="single" w:sz="4" w:space="0" w:color="auto"/>
              <w:bottom w:val="single" w:sz="4" w:space="0" w:color="auto"/>
              <w:right w:val="single" w:sz="4" w:space="0" w:color="auto"/>
            </w:tcBorders>
            <w:shd w:val="clear" w:color="auto" w:fill="E6E6E6"/>
            <w:hideMark/>
          </w:tcPr>
          <w:p w:rsidR="006D39BF" w:rsidRPr="009F1304" w:rsidRDefault="006D39BF" w:rsidP="0050047A">
            <w:pPr>
              <w:pStyle w:val="CM4"/>
              <w:suppressAutoHyphens/>
              <w:spacing w:before="60" w:after="60"/>
              <w:jc w:val="center"/>
              <w:rPr>
                <w:rFonts w:ascii="Times New Roman" w:hAnsi="Times New Roman"/>
                <w:lang w:val="lv-LV"/>
              </w:rPr>
            </w:pPr>
            <w:r w:rsidRPr="009F1304">
              <w:rPr>
                <w:rFonts w:ascii="Times New Roman" w:hAnsi="Times New Roman"/>
                <w:b/>
                <w:lang w:val="lv-LV"/>
              </w:rPr>
              <w:t>2011</w:t>
            </w:r>
          </w:p>
        </w:tc>
        <w:tc>
          <w:tcPr>
            <w:tcW w:w="1260" w:type="dxa"/>
            <w:tcBorders>
              <w:top w:val="single" w:sz="4" w:space="0" w:color="auto"/>
              <w:left w:val="single" w:sz="4" w:space="0" w:color="auto"/>
              <w:bottom w:val="single" w:sz="4" w:space="0" w:color="auto"/>
              <w:right w:val="single" w:sz="4" w:space="0" w:color="auto"/>
            </w:tcBorders>
            <w:shd w:val="clear" w:color="auto" w:fill="E6E6E6"/>
            <w:hideMark/>
          </w:tcPr>
          <w:p w:rsidR="006D39BF" w:rsidRPr="009F1304" w:rsidRDefault="006D39BF" w:rsidP="0050047A">
            <w:pPr>
              <w:pStyle w:val="CM4"/>
              <w:suppressAutoHyphens/>
              <w:spacing w:before="60" w:after="60"/>
              <w:jc w:val="center"/>
              <w:rPr>
                <w:rFonts w:ascii="Times New Roman" w:hAnsi="Times New Roman"/>
                <w:lang w:val="lv-LV"/>
              </w:rPr>
            </w:pPr>
            <w:r w:rsidRPr="009F1304">
              <w:rPr>
                <w:rFonts w:ascii="Times New Roman" w:hAnsi="Times New Roman"/>
                <w:b/>
                <w:lang w:val="lv-LV"/>
              </w:rPr>
              <w:t>2012</w:t>
            </w:r>
          </w:p>
        </w:tc>
      </w:tr>
      <w:tr w:rsidR="006D39BF" w:rsidRPr="006D39BF" w:rsidTr="0050047A">
        <w:trPr>
          <w:jc w:val="center"/>
        </w:trPr>
        <w:tc>
          <w:tcPr>
            <w:tcW w:w="6506" w:type="dxa"/>
            <w:tcBorders>
              <w:top w:val="single" w:sz="4" w:space="0" w:color="auto"/>
              <w:left w:val="single" w:sz="4" w:space="0" w:color="auto"/>
              <w:bottom w:val="single" w:sz="4" w:space="0" w:color="auto"/>
              <w:right w:val="single" w:sz="4" w:space="0" w:color="auto"/>
            </w:tcBorders>
            <w:hideMark/>
          </w:tcPr>
          <w:p w:rsidR="006D39BF" w:rsidRPr="009F1304" w:rsidRDefault="006D39BF" w:rsidP="00660B26">
            <w:pPr>
              <w:pStyle w:val="CM4"/>
              <w:suppressAutoHyphens/>
              <w:spacing w:before="60" w:after="60"/>
              <w:rPr>
                <w:rFonts w:ascii="Times New Roman" w:hAnsi="Times New Roman"/>
                <w:lang w:val="lv-LV"/>
              </w:rPr>
            </w:pPr>
            <w:r w:rsidRPr="009F1304">
              <w:rPr>
                <w:rFonts w:ascii="Times New Roman" w:hAnsi="Times New Roman"/>
                <w:lang w:val="lv-LV"/>
              </w:rPr>
              <w:t xml:space="preserve">1. Zeme, ko aizņem parastie laukaugi (kvieši, cukurbietes </w:t>
            </w:r>
            <w:proofErr w:type="spellStart"/>
            <w:r w:rsidRPr="009F1304">
              <w:rPr>
                <w:rFonts w:ascii="Times New Roman" w:hAnsi="Times New Roman"/>
                <w:lang w:val="lv-LV"/>
              </w:rPr>
              <w:t>utt</w:t>
            </w:r>
            <w:proofErr w:type="spellEnd"/>
            <w:r w:rsidRPr="009F1304">
              <w:rPr>
                <w:rFonts w:ascii="Times New Roman" w:hAnsi="Times New Roman"/>
                <w:lang w:val="lv-LV"/>
              </w:rPr>
              <w:t xml:space="preserve">.) un eļļas augi (rapši, saulespuķes </w:t>
            </w:r>
            <w:proofErr w:type="spellStart"/>
            <w:r w:rsidRPr="009F1304">
              <w:rPr>
                <w:rFonts w:ascii="Times New Roman" w:hAnsi="Times New Roman"/>
                <w:lang w:val="lv-LV"/>
              </w:rPr>
              <w:t>utt</w:t>
            </w:r>
            <w:proofErr w:type="spellEnd"/>
            <w:r w:rsidRPr="009F1304">
              <w:rPr>
                <w:rFonts w:ascii="Times New Roman" w:hAnsi="Times New Roman"/>
                <w:lang w:val="lv-LV"/>
              </w:rPr>
              <w:t xml:space="preserve">.) </w:t>
            </w:r>
          </w:p>
        </w:tc>
        <w:tc>
          <w:tcPr>
            <w:tcW w:w="1276" w:type="dxa"/>
            <w:tcBorders>
              <w:top w:val="single" w:sz="4" w:space="0" w:color="auto"/>
              <w:left w:val="single" w:sz="4" w:space="0" w:color="auto"/>
              <w:bottom w:val="single" w:sz="4" w:space="0" w:color="auto"/>
              <w:right w:val="single" w:sz="4" w:space="0" w:color="auto"/>
            </w:tcBorders>
            <w:hideMark/>
          </w:tcPr>
          <w:p w:rsidR="006D39BF" w:rsidRPr="00660B26" w:rsidRDefault="006D39BF" w:rsidP="008B26C7">
            <w:pPr>
              <w:pStyle w:val="CM4"/>
              <w:suppressAutoHyphens/>
              <w:spacing w:before="60" w:after="60"/>
              <w:rPr>
                <w:rFonts w:ascii="Times New Roman" w:hAnsi="Times New Roman"/>
                <w:sz w:val="20"/>
                <w:szCs w:val="20"/>
                <w:lang w:val="lv-LV"/>
              </w:rPr>
            </w:pPr>
            <w:r w:rsidRPr="00660B26">
              <w:rPr>
                <w:rFonts w:ascii="Times New Roman" w:hAnsi="Times New Roman"/>
                <w:sz w:val="20"/>
                <w:szCs w:val="20"/>
                <w:lang w:val="lv-LV"/>
              </w:rPr>
              <w:t>650 874</w:t>
            </w:r>
            <w:r w:rsidR="008B26C7">
              <w:rPr>
                <w:rFonts w:ascii="Times New Roman" w:hAnsi="Times New Roman"/>
                <w:sz w:val="20"/>
                <w:szCs w:val="20"/>
                <w:lang w:val="lv-LV"/>
              </w:rPr>
              <w:t>,</w:t>
            </w:r>
            <w:r w:rsidRPr="00660B26">
              <w:rPr>
                <w:rFonts w:ascii="Times New Roman" w:hAnsi="Times New Roman"/>
                <w:sz w:val="20"/>
                <w:szCs w:val="20"/>
                <w:lang w:val="lv-LV"/>
              </w:rPr>
              <w:t>06*</w:t>
            </w:r>
          </w:p>
        </w:tc>
        <w:tc>
          <w:tcPr>
            <w:tcW w:w="1260" w:type="dxa"/>
            <w:tcBorders>
              <w:top w:val="single" w:sz="4" w:space="0" w:color="auto"/>
              <w:left w:val="single" w:sz="4" w:space="0" w:color="auto"/>
              <w:bottom w:val="single" w:sz="4" w:space="0" w:color="auto"/>
              <w:right w:val="single" w:sz="4" w:space="0" w:color="auto"/>
            </w:tcBorders>
            <w:hideMark/>
          </w:tcPr>
          <w:p w:rsidR="006D39BF" w:rsidRPr="00660B26" w:rsidRDefault="006D39BF" w:rsidP="008B26C7">
            <w:pPr>
              <w:pStyle w:val="CM4"/>
              <w:suppressAutoHyphens/>
              <w:spacing w:before="60" w:after="60"/>
              <w:rPr>
                <w:rFonts w:ascii="Times New Roman" w:hAnsi="Times New Roman"/>
                <w:sz w:val="20"/>
                <w:szCs w:val="20"/>
                <w:lang w:val="lv-LV"/>
              </w:rPr>
            </w:pPr>
            <w:r w:rsidRPr="00660B26">
              <w:rPr>
                <w:rFonts w:ascii="Times New Roman" w:hAnsi="Times New Roman"/>
                <w:sz w:val="20"/>
                <w:szCs w:val="20"/>
                <w:lang w:val="lv-LV"/>
              </w:rPr>
              <w:t>693 424</w:t>
            </w:r>
            <w:r w:rsidR="008B26C7">
              <w:rPr>
                <w:rFonts w:ascii="Times New Roman" w:hAnsi="Times New Roman"/>
                <w:sz w:val="20"/>
                <w:szCs w:val="20"/>
                <w:lang w:val="lv-LV"/>
              </w:rPr>
              <w:t>,</w:t>
            </w:r>
            <w:r w:rsidRPr="00660B26">
              <w:rPr>
                <w:rFonts w:ascii="Times New Roman" w:hAnsi="Times New Roman"/>
                <w:sz w:val="20"/>
                <w:szCs w:val="20"/>
                <w:lang w:val="lv-LV"/>
              </w:rPr>
              <w:t>25*</w:t>
            </w:r>
          </w:p>
        </w:tc>
      </w:tr>
      <w:tr w:rsidR="006D39BF" w:rsidRPr="006D39BF" w:rsidTr="0050047A">
        <w:trPr>
          <w:jc w:val="center"/>
        </w:trPr>
        <w:tc>
          <w:tcPr>
            <w:tcW w:w="6506" w:type="dxa"/>
            <w:tcBorders>
              <w:top w:val="single" w:sz="4" w:space="0" w:color="auto"/>
              <w:left w:val="single" w:sz="4" w:space="0" w:color="auto"/>
              <w:bottom w:val="single" w:sz="4" w:space="0" w:color="auto"/>
              <w:right w:val="single" w:sz="4" w:space="0" w:color="auto"/>
            </w:tcBorders>
            <w:hideMark/>
          </w:tcPr>
          <w:p w:rsidR="006D39BF" w:rsidRPr="009F1304" w:rsidRDefault="006D39BF" w:rsidP="0050047A">
            <w:pPr>
              <w:pStyle w:val="CM4"/>
              <w:suppressAutoHyphens/>
              <w:spacing w:before="60" w:after="60"/>
              <w:rPr>
                <w:rFonts w:ascii="Times New Roman" w:hAnsi="Times New Roman"/>
                <w:lang w:val="lv-LV"/>
              </w:rPr>
            </w:pPr>
            <w:r w:rsidRPr="009F1304">
              <w:rPr>
                <w:rFonts w:ascii="Times New Roman" w:hAnsi="Times New Roman"/>
                <w:lang w:val="lv-LV"/>
              </w:rPr>
              <w:t xml:space="preserve">2. Zeme, ko aizņem koki ar īsu cirtes apriti (vītoli, papeles) (norādīt galvenos veidus) </w:t>
            </w:r>
          </w:p>
        </w:tc>
        <w:tc>
          <w:tcPr>
            <w:tcW w:w="1276" w:type="dxa"/>
            <w:tcBorders>
              <w:top w:val="single" w:sz="4" w:space="0" w:color="auto"/>
              <w:left w:val="single" w:sz="4" w:space="0" w:color="auto"/>
              <w:bottom w:val="single" w:sz="4" w:space="0" w:color="auto"/>
              <w:right w:val="single" w:sz="4" w:space="0" w:color="auto"/>
            </w:tcBorders>
            <w:hideMark/>
          </w:tcPr>
          <w:p w:rsidR="006D39BF" w:rsidRPr="009F1304" w:rsidRDefault="006D39BF" w:rsidP="0050047A">
            <w:pPr>
              <w:pStyle w:val="CM4"/>
              <w:suppressAutoHyphens/>
              <w:spacing w:before="60" w:after="60"/>
              <w:jc w:val="right"/>
              <w:rPr>
                <w:rFonts w:ascii="Times New Roman" w:hAnsi="Times New Roman"/>
                <w:lang w:val="lv-LV"/>
              </w:rPr>
            </w:pPr>
            <w:r w:rsidRPr="009F1304">
              <w:rPr>
                <w:rFonts w:ascii="Times New Roman" w:hAnsi="Times New Roman"/>
                <w:lang w:val="lv-LV"/>
              </w:rPr>
              <w:t>209,38</w:t>
            </w:r>
          </w:p>
        </w:tc>
        <w:tc>
          <w:tcPr>
            <w:tcW w:w="1260" w:type="dxa"/>
            <w:tcBorders>
              <w:top w:val="single" w:sz="4" w:space="0" w:color="auto"/>
              <w:left w:val="single" w:sz="4" w:space="0" w:color="auto"/>
              <w:bottom w:val="single" w:sz="4" w:space="0" w:color="auto"/>
              <w:right w:val="single" w:sz="4" w:space="0" w:color="auto"/>
            </w:tcBorders>
            <w:hideMark/>
          </w:tcPr>
          <w:p w:rsidR="006D39BF" w:rsidRPr="009F1304" w:rsidRDefault="006D39BF" w:rsidP="0050047A">
            <w:pPr>
              <w:pStyle w:val="CM4"/>
              <w:suppressAutoHyphens/>
              <w:spacing w:before="60" w:after="60"/>
              <w:jc w:val="right"/>
              <w:rPr>
                <w:rFonts w:ascii="Times New Roman" w:hAnsi="Times New Roman"/>
                <w:lang w:val="lv-LV"/>
              </w:rPr>
            </w:pPr>
            <w:r w:rsidRPr="009F1304">
              <w:rPr>
                <w:rFonts w:ascii="Times New Roman" w:hAnsi="Times New Roman"/>
                <w:lang w:val="lv-LV"/>
              </w:rPr>
              <w:t>321,37</w:t>
            </w:r>
          </w:p>
        </w:tc>
      </w:tr>
      <w:tr w:rsidR="006D39BF" w:rsidRPr="006D39BF" w:rsidTr="0050047A">
        <w:trPr>
          <w:jc w:val="center"/>
        </w:trPr>
        <w:tc>
          <w:tcPr>
            <w:tcW w:w="6506" w:type="dxa"/>
            <w:tcBorders>
              <w:top w:val="single" w:sz="4" w:space="0" w:color="auto"/>
              <w:left w:val="single" w:sz="4" w:space="0" w:color="auto"/>
              <w:bottom w:val="single" w:sz="4" w:space="0" w:color="auto"/>
              <w:right w:val="single" w:sz="4" w:space="0" w:color="auto"/>
            </w:tcBorders>
            <w:vAlign w:val="bottom"/>
            <w:hideMark/>
          </w:tcPr>
          <w:p w:rsidR="006D39BF" w:rsidRPr="009F1304" w:rsidRDefault="006D39BF" w:rsidP="0050047A">
            <w:pPr>
              <w:snapToGrid w:val="0"/>
              <w:rPr>
                <w:rFonts w:cs="Times New Roman"/>
                <w:sz w:val="24"/>
                <w:szCs w:val="24"/>
                <w:lang w:eastAsia="en-GB"/>
              </w:rPr>
            </w:pPr>
            <w:r w:rsidRPr="009F1304">
              <w:rPr>
                <w:rFonts w:cs="Times New Roman"/>
                <w:sz w:val="24"/>
                <w:szCs w:val="24"/>
              </w:rPr>
              <w:t>Apse</w:t>
            </w:r>
          </w:p>
        </w:tc>
        <w:tc>
          <w:tcPr>
            <w:tcW w:w="1276" w:type="dxa"/>
            <w:tcBorders>
              <w:top w:val="single" w:sz="4" w:space="0" w:color="auto"/>
              <w:left w:val="single" w:sz="4" w:space="0" w:color="auto"/>
              <w:bottom w:val="single" w:sz="4" w:space="0" w:color="auto"/>
              <w:right w:val="single" w:sz="4" w:space="0" w:color="auto"/>
            </w:tcBorders>
            <w:vAlign w:val="bottom"/>
            <w:hideMark/>
          </w:tcPr>
          <w:p w:rsidR="006D39BF" w:rsidRPr="009F1304" w:rsidRDefault="006D39BF" w:rsidP="0050047A">
            <w:pPr>
              <w:snapToGrid w:val="0"/>
              <w:jc w:val="right"/>
              <w:rPr>
                <w:rFonts w:cs="Times New Roman"/>
                <w:sz w:val="24"/>
                <w:szCs w:val="24"/>
                <w:lang w:eastAsia="en-GB"/>
              </w:rPr>
            </w:pPr>
            <w:r w:rsidRPr="009F1304">
              <w:rPr>
                <w:rFonts w:cs="Times New Roman"/>
                <w:sz w:val="24"/>
                <w:szCs w:val="24"/>
              </w:rPr>
              <w:t>31,82</w:t>
            </w:r>
          </w:p>
        </w:tc>
        <w:tc>
          <w:tcPr>
            <w:tcW w:w="1260" w:type="dxa"/>
            <w:tcBorders>
              <w:top w:val="single" w:sz="4" w:space="0" w:color="auto"/>
              <w:left w:val="single" w:sz="4" w:space="0" w:color="auto"/>
              <w:bottom w:val="single" w:sz="4" w:space="0" w:color="auto"/>
              <w:right w:val="single" w:sz="4" w:space="0" w:color="auto"/>
            </w:tcBorders>
            <w:vAlign w:val="bottom"/>
            <w:hideMark/>
          </w:tcPr>
          <w:p w:rsidR="006D39BF" w:rsidRPr="009F1304" w:rsidRDefault="006D39BF" w:rsidP="0050047A">
            <w:pPr>
              <w:snapToGrid w:val="0"/>
              <w:jc w:val="right"/>
              <w:rPr>
                <w:rFonts w:cs="Times New Roman"/>
                <w:sz w:val="24"/>
                <w:szCs w:val="24"/>
                <w:lang w:eastAsia="en-GB"/>
              </w:rPr>
            </w:pPr>
            <w:r w:rsidRPr="009F1304">
              <w:rPr>
                <w:rFonts w:cs="Times New Roman"/>
                <w:sz w:val="24"/>
                <w:szCs w:val="24"/>
              </w:rPr>
              <w:t>30,48</w:t>
            </w:r>
          </w:p>
        </w:tc>
      </w:tr>
      <w:tr w:rsidR="006D39BF" w:rsidRPr="006D39BF" w:rsidTr="0050047A">
        <w:trPr>
          <w:jc w:val="center"/>
        </w:trPr>
        <w:tc>
          <w:tcPr>
            <w:tcW w:w="6506" w:type="dxa"/>
            <w:tcBorders>
              <w:top w:val="single" w:sz="4" w:space="0" w:color="auto"/>
              <w:left w:val="single" w:sz="4" w:space="0" w:color="auto"/>
              <w:bottom w:val="single" w:sz="4" w:space="0" w:color="auto"/>
              <w:right w:val="single" w:sz="4" w:space="0" w:color="auto"/>
            </w:tcBorders>
            <w:vAlign w:val="bottom"/>
            <w:hideMark/>
          </w:tcPr>
          <w:p w:rsidR="006D39BF" w:rsidRPr="009F1304" w:rsidRDefault="006D39BF" w:rsidP="0050047A">
            <w:pPr>
              <w:snapToGrid w:val="0"/>
              <w:rPr>
                <w:rFonts w:cs="Times New Roman"/>
                <w:sz w:val="24"/>
                <w:szCs w:val="24"/>
                <w:lang w:eastAsia="en-GB"/>
              </w:rPr>
            </w:pPr>
            <w:r w:rsidRPr="009F1304">
              <w:rPr>
                <w:rFonts w:cs="Times New Roman"/>
                <w:sz w:val="24"/>
                <w:szCs w:val="24"/>
              </w:rPr>
              <w:t>Kārkls</w:t>
            </w:r>
          </w:p>
        </w:tc>
        <w:tc>
          <w:tcPr>
            <w:tcW w:w="1276" w:type="dxa"/>
            <w:tcBorders>
              <w:top w:val="single" w:sz="4" w:space="0" w:color="auto"/>
              <w:left w:val="single" w:sz="4" w:space="0" w:color="auto"/>
              <w:bottom w:val="single" w:sz="4" w:space="0" w:color="auto"/>
              <w:right w:val="single" w:sz="4" w:space="0" w:color="auto"/>
            </w:tcBorders>
            <w:vAlign w:val="bottom"/>
            <w:hideMark/>
          </w:tcPr>
          <w:p w:rsidR="006D39BF" w:rsidRPr="009F1304" w:rsidRDefault="006D39BF" w:rsidP="0050047A">
            <w:pPr>
              <w:snapToGrid w:val="0"/>
              <w:jc w:val="right"/>
              <w:rPr>
                <w:rFonts w:cs="Times New Roman"/>
                <w:sz w:val="24"/>
                <w:szCs w:val="24"/>
                <w:lang w:eastAsia="en-GB"/>
              </w:rPr>
            </w:pPr>
            <w:r w:rsidRPr="009F1304">
              <w:rPr>
                <w:rFonts w:cs="Times New Roman"/>
                <w:sz w:val="24"/>
                <w:szCs w:val="24"/>
              </w:rPr>
              <w:t>160,04</w:t>
            </w:r>
          </w:p>
        </w:tc>
        <w:tc>
          <w:tcPr>
            <w:tcW w:w="1260" w:type="dxa"/>
            <w:tcBorders>
              <w:top w:val="single" w:sz="4" w:space="0" w:color="auto"/>
              <w:left w:val="single" w:sz="4" w:space="0" w:color="auto"/>
              <w:bottom w:val="single" w:sz="4" w:space="0" w:color="auto"/>
              <w:right w:val="single" w:sz="4" w:space="0" w:color="auto"/>
            </w:tcBorders>
            <w:vAlign w:val="bottom"/>
            <w:hideMark/>
          </w:tcPr>
          <w:p w:rsidR="006D39BF" w:rsidRPr="009F1304" w:rsidRDefault="006D39BF" w:rsidP="0050047A">
            <w:pPr>
              <w:snapToGrid w:val="0"/>
              <w:jc w:val="right"/>
              <w:rPr>
                <w:rFonts w:cs="Times New Roman"/>
                <w:sz w:val="24"/>
                <w:szCs w:val="24"/>
                <w:lang w:eastAsia="en-GB"/>
              </w:rPr>
            </w:pPr>
            <w:r w:rsidRPr="009F1304">
              <w:rPr>
                <w:rFonts w:cs="Times New Roman"/>
                <w:sz w:val="24"/>
                <w:szCs w:val="24"/>
              </w:rPr>
              <w:t>288,04</w:t>
            </w:r>
          </w:p>
        </w:tc>
      </w:tr>
      <w:tr w:rsidR="006D39BF" w:rsidRPr="006D39BF" w:rsidTr="0050047A">
        <w:trPr>
          <w:jc w:val="center"/>
        </w:trPr>
        <w:tc>
          <w:tcPr>
            <w:tcW w:w="6506" w:type="dxa"/>
            <w:tcBorders>
              <w:top w:val="single" w:sz="4" w:space="0" w:color="auto"/>
              <w:left w:val="single" w:sz="4" w:space="0" w:color="auto"/>
              <w:bottom w:val="single" w:sz="4" w:space="0" w:color="auto"/>
              <w:right w:val="single" w:sz="4" w:space="0" w:color="auto"/>
            </w:tcBorders>
            <w:vAlign w:val="bottom"/>
            <w:hideMark/>
          </w:tcPr>
          <w:p w:rsidR="006D39BF" w:rsidRPr="009F1304" w:rsidRDefault="006D39BF" w:rsidP="0050047A">
            <w:pPr>
              <w:snapToGrid w:val="0"/>
              <w:rPr>
                <w:rFonts w:cs="Times New Roman"/>
                <w:sz w:val="24"/>
                <w:szCs w:val="24"/>
                <w:lang w:eastAsia="en-GB"/>
              </w:rPr>
            </w:pPr>
            <w:r w:rsidRPr="009F1304">
              <w:rPr>
                <w:rFonts w:cs="Times New Roman"/>
                <w:sz w:val="24"/>
                <w:szCs w:val="24"/>
              </w:rPr>
              <w:t>Baltalksnis</w:t>
            </w:r>
          </w:p>
        </w:tc>
        <w:tc>
          <w:tcPr>
            <w:tcW w:w="1276" w:type="dxa"/>
            <w:tcBorders>
              <w:top w:val="single" w:sz="4" w:space="0" w:color="auto"/>
              <w:left w:val="single" w:sz="4" w:space="0" w:color="auto"/>
              <w:bottom w:val="single" w:sz="4" w:space="0" w:color="auto"/>
              <w:right w:val="single" w:sz="4" w:space="0" w:color="auto"/>
            </w:tcBorders>
            <w:vAlign w:val="bottom"/>
            <w:hideMark/>
          </w:tcPr>
          <w:p w:rsidR="006D39BF" w:rsidRPr="009F1304" w:rsidRDefault="006D39BF" w:rsidP="0050047A">
            <w:pPr>
              <w:snapToGrid w:val="0"/>
              <w:jc w:val="right"/>
              <w:rPr>
                <w:rFonts w:cs="Times New Roman"/>
                <w:sz w:val="24"/>
                <w:szCs w:val="24"/>
                <w:lang w:eastAsia="en-GB"/>
              </w:rPr>
            </w:pPr>
            <w:r w:rsidRPr="009F1304">
              <w:rPr>
                <w:rFonts w:cs="Times New Roman"/>
                <w:sz w:val="24"/>
                <w:szCs w:val="24"/>
              </w:rPr>
              <w:t>17,52</w:t>
            </w:r>
          </w:p>
        </w:tc>
        <w:tc>
          <w:tcPr>
            <w:tcW w:w="1260" w:type="dxa"/>
            <w:tcBorders>
              <w:top w:val="single" w:sz="4" w:space="0" w:color="auto"/>
              <w:left w:val="single" w:sz="4" w:space="0" w:color="auto"/>
              <w:bottom w:val="single" w:sz="4" w:space="0" w:color="auto"/>
              <w:right w:val="single" w:sz="4" w:space="0" w:color="auto"/>
            </w:tcBorders>
            <w:vAlign w:val="bottom"/>
            <w:hideMark/>
          </w:tcPr>
          <w:p w:rsidR="006D39BF" w:rsidRPr="009F1304" w:rsidRDefault="006D39BF" w:rsidP="0050047A">
            <w:pPr>
              <w:snapToGrid w:val="0"/>
              <w:jc w:val="right"/>
              <w:rPr>
                <w:rFonts w:cs="Times New Roman"/>
                <w:sz w:val="24"/>
                <w:szCs w:val="24"/>
                <w:lang w:eastAsia="en-GB"/>
              </w:rPr>
            </w:pPr>
            <w:r w:rsidRPr="009F1304">
              <w:rPr>
                <w:rFonts w:cs="Times New Roman"/>
                <w:sz w:val="24"/>
                <w:szCs w:val="24"/>
              </w:rPr>
              <w:t>2,85</w:t>
            </w:r>
          </w:p>
        </w:tc>
      </w:tr>
      <w:tr w:rsidR="006D39BF" w:rsidRPr="006D39BF" w:rsidTr="0050047A">
        <w:trPr>
          <w:jc w:val="center"/>
        </w:trPr>
        <w:tc>
          <w:tcPr>
            <w:tcW w:w="6506" w:type="dxa"/>
            <w:tcBorders>
              <w:top w:val="single" w:sz="4" w:space="0" w:color="auto"/>
              <w:left w:val="single" w:sz="4" w:space="0" w:color="auto"/>
              <w:bottom w:val="single" w:sz="4" w:space="0" w:color="auto"/>
              <w:right w:val="single" w:sz="4" w:space="0" w:color="auto"/>
            </w:tcBorders>
            <w:hideMark/>
          </w:tcPr>
          <w:p w:rsidR="006D39BF" w:rsidRPr="009F1304" w:rsidRDefault="006D39BF" w:rsidP="0050047A">
            <w:pPr>
              <w:suppressAutoHyphens/>
              <w:snapToGrid w:val="0"/>
              <w:rPr>
                <w:rFonts w:cs="Times New Roman"/>
                <w:sz w:val="24"/>
                <w:szCs w:val="24"/>
                <w:lang w:eastAsia="en-GB"/>
              </w:rPr>
            </w:pPr>
            <w:r w:rsidRPr="009F1304">
              <w:rPr>
                <w:rFonts w:cs="Times New Roman"/>
                <w:sz w:val="24"/>
                <w:szCs w:val="24"/>
              </w:rPr>
              <w:t>3. Zeme, ko aizņem citas enerģijas kultūras, piemēram, zālaugi (</w:t>
            </w:r>
            <w:proofErr w:type="spellStart"/>
            <w:r w:rsidRPr="009F1304">
              <w:rPr>
                <w:rFonts w:cs="Times New Roman"/>
                <w:sz w:val="24"/>
                <w:szCs w:val="24"/>
              </w:rPr>
              <w:t>miežabrālis</w:t>
            </w:r>
            <w:proofErr w:type="spellEnd"/>
            <w:r w:rsidRPr="009F1304">
              <w:rPr>
                <w:rFonts w:cs="Times New Roman"/>
                <w:sz w:val="24"/>
                <w:szCs w:val="24"/>
              </w:rPr>
              <w:t xml:space="preserve">, klūdziņu prosa, </w:t>
            </w:r>
            <w:proofErr w:type="spellStart"/>
            <w:r w:rsidRPr="009F1304">
              <w:rPr>
                <w:rFonts w:cs="Times New Roman"/>
                <w:sz w:val="24"/>
                <w:szCs w:val="24"/>
              </w:rPr>
              <w:t>miskantes</w:t>
            </w:r>
            <w:proofErr w:type="spellEnd"/>
            <w:r w:rsidRPr="009F1304">
              <w:rPr>
                <w:rFonts w:cs="Times New Roman"/>
                <w:sz w:val="24"/>
                <w:szCs w:val="24"/>
              </w:rPr>
              <w:t>), sorgo (norādīt galvenos veidus)</w:t>
            </w:r>
          </w:p>
        </w:tc>
        <w:tc>
          <w:tcPr>
            <w:tcW w:w="1276" w:type="dxa"/>
            <w:tcBorders>
              <w:top w:val="single" w:sz="4" w:space="0" w:color="auto"/>
              <w:left w:val="single" w:sz="4" w:space="0" w:color="auto"/>
              <w:bottom w:val="single" w:sz="4" w:space="0" w:color="auto"/>
              <w:right w:val="single" w:sz="4" w:space="0" w:color="auto"/>
            </w:tcBorders>
            <w:vAlign w:val="bottom"/>
            <w:hideMark/>
          </w:tcPr>
          <w:p w:rsidR="006D39BF" w:rsidRPr="009F1304" w:rsidRDefault="006D39BF" w:rsidP="0050047A">
            <w:pPr>
              <w:snapToGrid w:val="0"/>
              <w:jc w:val="right"/>
              <w:rPr>
                <w:rFonts w:cs="Times New Roman"/>
                <w:sz w:val="24"/>
                <w:szCs w:val="24"/>
                <w:lang w:eastAsia="en-GB"/>
              </w:rPr>
            </w:pPr>
            <w:r w:rsidRPr="009F1304">
              <w:rPr>
                <w:rFonts w:cs="Times New Roman"/>
                <w:sz w:val="24"/>
                <w:szCs w:val="24"/>
              </w:rPr>
              <w:t>884,94</w:t>
            </w:r>
          </w:p>
        </w:tc>
        <w:tc>
          <w:tcPr>
            <w:tcW w:w="1260" w:type="dxa"/>
            <w:tcBorders>
              <w:top w:val="single" w:sz="4" w:space="0" w:color="auto"/>
              <w:left w:val="single" w:sz="4" w:space="0" w:color="auto"/>
              <w:bottom w:val="single" w:sz="4" w:space="0" w:color="auto"/>
              <w:right w:val="single" w:sz="4" w:space="0" w:color="auto"/>
            </w:tcBorders>
            <w:vAlign w:val="bottom"/>
            <w:hideMark/>
          </w:tcPr>
          <w:p w:rsidR="006D39BF" w:rsidRPr="009F1304" w:rsidRDefault="006D39BF" w:rsidP="0050047A">
            <w:pPr>
              <w:snapToGrid w:val="0"/>
              <w:jc w:val="right"/>
              <w:rPr>
                <w:rFonts w:cs="Times New Roman"/>
                <w:sz w:val="24"/>
                <w:szCs w:val="24"/>
                <w:lang w:eastAsia="en-GB"/>
              </w:rPr>
            </w:pPr>
            <w:r w:rsidRPr="009F1304">
              <w:rPr>
                <w:rFonts w:cs="Times New Roman"/>
                <w:sz w:val="24"/>
                <w:szCs w:val="24"/>
              </w:rPr>
              <w:t>1155,17</w:t>
            </w:r>
          </w:p>
        </w:tc>
      </w:tr>
      <w:tr w:rsidR="006D39BF" w:rsidRPr="006D39BF" w:rsidTr="0050047A">
        <w:trPr>
          <w:jc w:val="center"/>
        </w:trPr>
        <w:tc>
          <w:tcPr>
            <w:tcW w:w="6506" w:type="dxa"/>
            <w:tcBorders>
              <w:top w:val="single" w:sz="4" w:space="0" w:color="auto"/>
              <w:left w:val="single" w:sz="4" w:space="0" w:color="auto"/>
              <w:bottom w:val="single" w:sz="4" w:space="0" w:color="auto"/>
              <w:right w:val="single" w:sz="4" w:space="0" w:color="auto"/>
            </w:tcBorders>
            <w:vAlign w:val="bottom"/>
            <w:hideMark/>
          </w:tcPr>
          <w:p w:rsidR="006D39BF" w:rsidRPr="009F1304" w:rsidRDefault="006D39BF" w:rsidP="0050047A">
            <w:pPr>
              <w:snapToGrid w:val="0"/>
              <w:rPr>
                <w:rFonts w:cs="Times New Roman"/>
                <w:sz w:val="24"/>
                <w:szCs w:val="24"/>
                <w:lang w:eastAsia="en-GB"/>
              </w:rPr>
            </w:pPr>
            <w:proofErr w:type="spellStart"/>
            <w:r w:rsidRPr="009F1304">
              <w:rPr>
                <w:rFonts w:cs="Times New Roman"/>
                <w:sz w:val="24"/>
                <w:szCs w:val="24"/>
              </w:rPr>
              <w:t>Miežabrālis</w:t>
            </w:r>
            <w:proofErr w:type="spellEnd"/>
          </w:p>
        </w:tc>
        <w:tc>
          <w:tcPr>
            <w:tcW w:w="1276" w:type="dxa"/>
            <w:tcBorders>
              <w:top w:val="single" w:sz="4" w:space="0" w:color="auto"/>
              <w:left w:val="single" w:sz="4" w:space="0" w:color="auto"/>
              <w:bottom w:val="single" w:sz="4" w:space="0" w:color="auto"/>
              <w:right w:val="single" w:sz="4" w:space="0" w:color="auto"/>
            </w:tcBorders>
            <w:vAlign w:val="bottom"/>
            <w:hideMark/>
          </w:tcPr>
          <w:p w:rsidR="006D39BF" w:rsidRPr="009F1304" w:rsidRDefault="006D39BF" w:rsidP="0050047A">
            <w:pPr>
              <w:snapToGrid w:val="0"/>
              <w:jc w:val="right"/>
              <w:rPr>
                <w:rFonts w:cs="Times New Roman"/>
                <w:sz w:val="24"/>
                <w:szCs w:val="24"/>
                <w:lang w:eastAsia="en-GB"/>
              </w:rPr>
            </w:pPr>
            <w:r w:rsidRPr="009F1304">
              <w:rPr>
                <w:rFonts w:cs="Times New Roman"/>
                <w:sz w:val="24"/>
                <w:szCs w:val="24"/>
              </w:rPr>
              <w:t>826,08</w:t>
            </w:r>
          </w:p>
        </w:tc>
        <w:tc>
          <w:tcPr>
            <w:tcW w:w="1260" w:type="dxa"/>
            <w:tcBorders>
              <w:top w:val="single" w:sz="4" w:space="0" w:color="auto"/>
              <w:left w:val="single" w:sz="4" w:space="0" w:color="auto"/>
              <w:bottom w:val="single" w:sz="4" w:space="0" w:color="auto"/>
              <w:right w:val="single" w:sz="4" w:space="0" w:color="auto"/>
            </w:tcBorders>
            <w:vAlign w:val="bottom"/>
            <w:hideMark/>
          </w:tcPr>
          <w:p w:rsidR="006D39BF" w:rsidRPr="009F1304" w:rsidRDefault="006D39BF" w:rsidP="0050047A">
            <w:pPr>
              <w:snapToGrid w:val="0"/>
              <w:jc w:val="right"/>
              <w:rPr>
                <w:rFonts w:cs="Times New Roman"/>
                <w:sz w:val="24"/>
                <w:szCs w:val="24"/>
                <w:lang w:eastAsia="en-GB"/>
              </w:rPr>
            </w:pPr>
            <w:r w:rsidRPr="009F1304">
              <w:rPr>
                <w:rFonts w:cs="Times New Roman"/>
                <w:sz w:val="24"/>
                <w:szCs w:val="24"/>
              </w:rPr>
              <w:t>1123,18</w:t>
            </w:r>
          </w:p>
        </w:tc>
      </w:tr>
      <w:tr w:rsidR="006D39BF" w:rsidRPr="006D39BF" w:rsidTr="0050047A">
        <w:trPr>
          <w:jc w:val="center"/>
        </w:trPr>
        <w:tc>
          <w:tcPr>
            <w:tcW w:w="6506" w:type="dxa"/>
            <w:tcBorders>
              <w:top w:val="single" w:sz="4" w:space="0" w:color="auto"/>
              <w:left w:val="single" w:sz="4" w:space="0" w:color="auto"/>
              <w:bottom w:val="single" w:sz="4" w:space="0" w:color="auto"/>
              <w:right w:val="single" w:sz="4" w:space="0" w:color="auto"/>
            </w:tcBorders>
            <w:vAlign w:val="bottom"/>
            <w:hideMark/>
          </w:tcPr>
          <w:p w:rsidR="006D39BF" w:rsidRPr="009F1304" w:rsidRDefault="006D39BF" w:rsidP="0050047A">
            <w:pPr>
              <w:snapToGrid w:val="0"/>
              <w:rPr>
                <w:rFonts w:cs="Times New Roman"/>
                <w:sz w:val="24"/>
                <w:szCs w:val="24"/>
                <w:lang w:eastAsia="en-GB"/>
              </w:rPr>
            </w:pPr>
            <w:proofErr w:type="spellStart"/>
            <w:r w:rsidRPr="009F1304">
              <w:rPr>
                <w:rFonts w:cs="Times New Roman"/>
                <w:sz w:val="24"/>
                <w:szCs w:val="24"/>
              </w:rPr>
              <w:t>Klūdziņprosa</w:t>
            </w:r>
            <w:proofErr w:type="spellEnd"/>
          </w:p>
        </w:tc>
        <w:tc>
          <w:tcPr>
            <w:tcW w:w="1276" w:type="dxa"/>
            <w:tcBorders>
              <w:top w:val="single" w:sz="4" w:space="0" w:color="auto"/>
              <w:left w:val="single" w:sz="4" w:space="0" w:color="auto"/>
              <w:bottom w:val="single" w:sz="4" w:space="0" w:color="auto"/>
              <w:right w:val="single" w:sz="4" w:space="0" w:color="auto"/>
            </w:tcBorders>
            <w:vAlign w:val="bottom"/>
            <w:hideMark/>
          </w:tcPr>
          <w:p w:rsidR="006D39BF" w:rsidRPr="009F1304" w:rsidRDefault="006D39BF" w:rsidP="0050047A">
            <w:pPr>
              <w:snapToGrid w:val="0"/>
              <w:jc w:val="right"/>
              <w:rPr>
                <w:rFonts w:cs="Times New Roman"/>
                <w:sz w:val="24"/>
                <w:szCs w:val="24"/>
                <w:lang w:eastAsia="en-GB"/>
              </w:rPr>
            </w:pPr>
            <w:r w:rsidRPr="009F1304">
              <w:rPr>
                <w:rFonts w:cs="Times New Roman"/>
                <w:sz w:val="24"/>
                <w:szCs w:val="24"/>
              </w:rPr>
              <w:t>58,86</w:t>
            </w:r>
          </w:p>
        </w:tc>
        <w:tc>
          <w:tcPr>
            <w:tcW w:w="1260" w:type="dxa"/>
            <w:tcBorders>
              <w:top w:val="single" w:sz="4" w:space="0" w:color="auto"/>
              <w:left w:val="single" w:sz="4" w:space="0" w:color="auto"/>
              <w:bottom w:val="single" w:sz="4" w:space="0" w:color="auto"/>
              <w:right w:val="single" w:sz="4" w:space="0" w:color="auto"/>
            </w:tcBorders>
            <w:vAlign w:val="bottom"/>
            <w:hideMark/>
          </w:tcPr>
          <w:p w:rsidR="006D39BF" w:rsidRPr="009F1304" w:rsidRDefault="006D39BF" w:rsidP="0050047A">
            <w:pPr>
              <w:snapToGrid w:val="0"/>
              <w:jc w:val="right"/>
              <w:rPr>
                <w:rFonts w:cs="Times New Roman"/>
                <w:sz w:val="24"/>
                <w:szCs w:val="24"/>
                <w:lang w:eastAsia="en-GB"/>
              </w:rPr>
            </w:pPr>
            <w:r w:rsidRPr="009F1304">
              <w:rPr>
                <w:rFonts w:cs="Times New Roman"/>
                <w:sz w:val="24"/>
                <w:szCs w:val="24"/>
              </w:rPr>
              <w:t>31,99</w:t>
            </w:r>
          </w:p>
        </w:tc>
      </w:tr>
    </w:tbl>
    <w:p w:rsidR="006D39BF" w:rsidRPr="00760A9A" w:rsidRDefault="006D39BF" w:rsidP="006D39BF">
      <w:pPr>
        <w:jc w:val="both"/>
        <w:rPr>
          <w:rFonts w:cs="Times New Roman"/>
          <w:sz w:val="20"/>
          <w:szCs w:val="20"/>
        </w:rPr>
      </w:pPr>
      <w:r w:rsidRPr="00760A9A">
        <w:rPr>
          <w:rFonts w:cs="Times New Roman"/>
          <w:sz w:val="20"/>
          <w:szCs w:val="20"/>
        </w:rPr>
        <w:t xml:space="preserve">* Tikai šo laukaugu kopējās </w:t>
      </w:r>
      <w:proofErr w:type="spellStart"/>
      <w:r w:rsidRPr="00760A9A">
        <w:rPr>
          <w:rFonts w:cs="Times New Roman"/>
          <w:sz w:val="20"/>
          <w:szCs w:val="20"/>
        </w:rPr>
        <w:t>sējplatības</w:t>
      </w:r>
      <w:proofErr w:type="spellEnd"/>
      <w:r w:rsidRPr="00760A9A">
        <w:rPr>
          <w:rFonts w:cs="Times New Roman"/>
          <w:sz w:val="20"/>
          <w:szCs w:val="20"/>
        </w:rPr>
        <w:t>: vasaras kvieši, ziemas kvieši, rudzi, vasaras mieži, ziemas mieži, auzas, tritikāle, griķi, kaņepes, vasaras rapsis, ziemas rapsis, šķiedras lini, eļļas lini, lauku pupas, zirņi, saldā lupīna, laukaugu maisījumi no iepriekš minētajām laukaugu kultūrām.</w:t>
      </w:r>
    </w:p>
    <w:p w:rsidR="000F1E9F" w:rsidRPr="00660B26" w:rsidRDefault="0050047A" w:rsidP="006B5D60">
      <w:pPr>
        <w:pStyle w:val="Heading2"/>
        <w:rPr>
          <w:rFonts w:ascii="Times New Roman" w:hAnsi="Times New Roman" w:cs="Times New Roman"/>
          <w:color w:val="auto"/>
          <w:sz w:val="28"/>
          <w:szCs w:val="28"/>
        </w:rPr>
      </w:pPr>
      <w:bookmarkStart w:id="64" w:name="_Toc400714707"/>
      <w:r w:rsidRPr="00660B26">
        <w:rPr>
          <w:rFonts w:ascii="Times New Roman" w:hAnsi="Times New Roman" w:cs="Times New Roman"/>
          <w:color w:val="auto"/>
          <w:sz w:val="28"/>
          <w:szCs w:val="28"/>
        </w:rPr>
        <w:t>9</w:t>
      </w:r>
      <w:r w:rsidR="00D74987" w:rsidRPr="00660B26">
        <w:rPr>
          <w:rFonts w:ascii="Times New Roman" w:hAnsi="Times New Roman" w:cs="Times New Roman"/>
          <w:color w:val="auto"/>
          <w:sz w:val="28"/>
          <w:szCs w:val="28"/>
        </w:rPr>
        <w:t>.</w:t>
      </w:r>
      <w:r w:rsidR="00FC01FE" w:rsidRPr="00660B26">
        <w:rPr>
          <w:rFonts w:ascii="Times New Roman" w:hAnsi="Times New Roman" w:cs="Times New Roman"/>
          <w:color w:val="auto"/>
          <w:sz w:val="28"/>
          <w:szCs w:val="28"/>
        </w:rPr>
        <w:t>5</w:t>
      </w:r>
      <w:r w:rsidR="00D74987" w:rsidRPr="00660B26">
        <w:rPr>
          <w:rFonts w:ascii="Times New Roman" w:hAnsi="Times New Roman" w:cs="Times New Roman"/>
          <w:color w:val="auto"/>
          <w:sz w:val="28"/>
          <w:szCs w:val="28"/>
        </w:rPr>
        <w:t xml:space="preserve">. </w:t>
      </w:r>
      <w:r w:rsidR="00E06126" w:rsidRPr="00660B26">
        <w:rPr>
          <w:rFonts w:ascii="Times New Roman" w:hAnsi="Times New Roman" w:cs="Times New Roman"/>
          <w:color w:val="auto"/>
          <w:sz w:val="28"/>
          <w:szCs w:val="28"/>
        </w:rPr>
        <w:t>Pētniecība un attīstība</w:t>
      </w:r>
      <w:bookmarkEnd w:id="64"/>
    </w:p>
    <w:p w:rsidR="000F1E9F" w:rsidRPr="00A12010" w:rsidRDefault="000F1E9F" w:rsidP="000F1E9F">
      <w:pPr>
        <w:ind w:firstLine="720"/>
        <w:jc w:val="both"/>
        <w:rPr>
          <w:szCs w:val="28"/>
        </w:rPr>
      </w:pPr>
      <w:r w:rsidRPr="00A12010">
        <w:rPr>
          <w:szCs w:val="28"/>
        </w:rPr>
        <w:t xml:space="preserve">Valsts pētījumu programmas 2014.–2017.gada ietvaros ir paredzēts prioritārais virziens „Enerģētika, klimats un vide”, kur Enerģētikas apakšprogrammas ietvaros ir paredzēts atbalsts inovatīvu tehnoloģiju izstrādei un demonstrācijai, īpašu uzsvaru liekot uz inovatīviem un viediem risinājumiem </w:t>
      </w:r>
      <w:r>
        <w:rPr>
          <w:szCs w:val="28"/>
        </w:rPr>
        <w:t>AE</w:t>
      </w:r>
      <w:r w:rsidRPr="00A12010">
        <w:rPr>
          <w:szCs w:val="28"/>
        </w:rPr>
        <w:t xml:space="preserve"> jomā. Jaunu tehnoloģiju un risinājumu izstrāde dos pienesumu enerģētikas neatkarības veicināšanai un AER lomas palielināšanai Latvijas enerģijas izlietojuma bilancē. </w:t>
      </w:r>
    </w:p>
    <w:p w:rsidR="00760A9A" w:rsidRDefault="000F1E9F" w:rsidP="000F1E9F">
      <w:pPr>
        <w:ind w:firstLine="720"/>
        <w:jc w:val="both"/>
        <w:rPr>
          <w:szCs w:val="28"/>
        </w:rPr>
      </w:pPr>
      <w:r w:rsidRPr="00A12010">
        <w:rPr>
          <w:szCs w:val="28"/>
        </w:rPr>
        <w:t xml:space="preserve">Papildus tam pētniecības un inovāciju attīstībai enerģētikas nozarē 2014.–2020.gadam būs pieejami Apvārsnis 2020 programma ar kopējo budžetu 2014.gadam 640,02 </w:t>
      </w:r>
      <w:proofErr w:type="spellStart"/>
      <w:r w:rsidRPr="00A12010">
        <w:rPr>
          <w:szCs w:val="28"/>
        </w:rPr>
        <w:t>milj</w:t>
      </w:r>
      <w:proofErr w:type="spellEnd"/>
      <w:r w:rsidRPr="00A12010">
        <w:rPr>
          <w:szCs w:val="28"/>
        </w:rPr>
        <w:t xml:space="preserve">. EUR apmērā, no kuriem energoefektivitātei - 92,50 </w:t>
      </w:r>
      <w:proofErr w:type="spellStart"/>
      <w:r w:rsidRPr="00A12010">
        <w:rPr>
          <w:szCs w:val="28"/>
        </w:rPr>
        <w:t>milj</w:t>
      </w:r>
      <w:proofErr w:type="spellEnd"/>
      <w:r w:rsidRPr="00A12010">
        <w:rPr>
          <w:szCs w:val="28"/>
        </w:rPr>
        <w:t xml:space="preserve">. EUR; konkurētspējīgai zema oglekļa enerģētikai – 359,4 </w:t>
      </w:r>
      <w:proofErr w:type="spellStart"/>
      <w:r w:rsidRPr="00A12010">
        <w:rPr>
          <w:szCs w:val="28"/>
        </w:rPr>
        <w:t>milj</w:t>
      </w:r>
      <w:proofErr w:type="spellEnd"/>
      <w:r w:rsidRPr="00A12010">
        <w:rPr>
          <w:szCs w:val="28"/>
        </w:rPr>
        <w:t>. EUR; viedajām pilsētām un kopienām – 73</w:t>
      </w:r>
      <w:r w:rsidR="003121BB">
        <w:rPr>
          <w:szCs w:val="28"/>
        </w:rPr>
        <w:t>,</w:t>
      </w:r>
      <w:r w:rsidRPr="00A12010">
        <w:rPr>
          <w:szCs w:val="28"/>
        </w:rPr>
        <w:t xml:space="preserve">82 </w:t>
      </w:r>
      <w:proofErr w:type="spellStart"/>
      <w:r w:rsidRPr="00A12010">
        <w:rPr>
          <w:szCs w:val="28"/>
        </w:rPr>
        <w:t>milj</w:t>
      </w:r>
      <w:proofErr w:type="spellEnd"/>
      <w:r w:rsidRPr="00A12010">
        <w:rPr>
          <w:szCs w:val="28"/>
        </w:rPr>
        <w:t xml:space="preserve">. EUR. Programmas kopējais indikatīvais budžets 2015.gadam – 657,77 </w:t>
      </w:r>
      <w:proofErr w:type="spellStart"/>
      <w:r w:rsidRPr="00A12010">
        <w:rPr>
          <w:szCs w:val="28"/>
        </w:rPr>
        <w:t>milj</w:t>
      </w:r>
      <w:proofErr w:type="spellEnd"/>
      <w:r w:rsidRPr="00A12010">
        <w:rPr>
          <w:szCs w:val="28"/>
        </w:rPr>
        <w:t xml:space="preserve">. EUR.   </w:t>
      </w:r>
    </w:p>
    <w:p w:rsidR="000F1E9F" w:rsidRPr="00A12010" w:rsidRDefault="000F1E9F" w:rsidP="000F1E9F">
      <w:pPr>
        <w:ind w:firstLine="720"/>
        <w:jc w:val="both"/>
        <w:rPr>
          <w:szCs w:val="28"/>
        </w:rPr>
      </w:pPr>
      <w:r w:rsidRPr="00A12010">
        <w:rPr>
          <w:szCs w:val="28"/>
        </w:rPr>
        <w:lastRenderedPageBreak/>
        <w:t>Apvārsnis 2020 enerģētikas programmas „Droša, tīra un efektīva enerģētika” mērķi ir</w:t>
      </w:r>
      <w:r>
        <w:rPr>
          <w:szCs w:val="28"/>
        </w:rPr>
        <w:t xml:space="preserve"> </w:t>
      </w:r>
      <w:r w:rsidRPr="00A12010">
        <w:rPr>
          <w:szCs w:val="28"/>
        </w:rPr>
        <w:t>pilna inovāciju cikla īstenošana enerģētikas jomā - no "koncepcijas" lietišķajiem pētījumiem, pirms komerciālajiem demonstrējumiem līdz ieviešanas tirgū pasākumiem; tehnoloģiju un pakalpojumu enerģētikas nozarē ieviešana tirgū, veicinot sociālo inovāciju, likvidējot ar tehnoloģijām nesaistītus šķēršļus, veicinot standartu un paātrinot izmaksu efektīvu  enerģētikas politikas īstenošanu; kā arī institucionālās kapacitātes stiprināšana enerģētikas nozarē.</w:t>
      </w:r>
    </w:p>
    <w:p w:rsidR="000F1E9F" w:rsidRPr="000F1E9F" w:rsidRDefault="000F1E9F" w:rsidP="000F1E9F">
      <w:pPr>
        <w:jc w:val="both"/>
      </w:pPr>
    </w:p>
    <w:sectPr w:rsidR="000F1E9F" w:rsidRPr="000F1E9F" w:rsidSect="00CB0D9E">
      <w:footerReference w:type="default" r:id="rId38"/>
      <w:footerReference w:type="first" r:id="rId39"/>
      <w:pgSz w:w="11906" w:h="16838" w:code="9"/>
      <w:pgMar w:top="1418" w:right="1134" w:bottom="1134" w:left="1701" w:header="709" w:footer="709" w:gutter="0"/>
      <w:pgNumType w:start="1"/>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0297" w:rsidRDefault="00E60297" w:rsidP="008F6836">
      <w:r>
        <w:separator/>
      </w:r>
    </w:p>
  </w:endnote>
  <w:endnote w:type="continuationSeparator" w:id="0">
    <w:p w:rsidR="00E60297" w:rsidRDefault="00E60297" w:rsidP="008F68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20002A87" w:usb1="00000000" w:usb2="00000000"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Cambria">
    <w:panose1 w:val="02040503050406030204"/>
    <w:charset w:val="BA"/>
    <w:family w:val="roman"/>
    <w:pitch w:val="variable"/>
    <w:sig w:usb0="E00002FF" w:usb1="400004FF" w:usb2="00000000" w:usb3="00000000" w:csb0="0000019F" w:csb1="00000000"/>
  </w:font>
  <w:font w:name="Arial">
    <w:panose1 w:val="020B0604020202020204"/>
    <w:charset w:val="BA"/>
    <w:family w:val="swiss"/>
    <w:pitch w:val="variable"/>
    <w:sig w:usb0="20002A87" w:usb1="00000000" w:usb2="00000000" w:usb3="00000000" w:csb0="000001FF" w:csb1="00000000"/>
  </w:font>
  <w:font w:name="Tahoma">
    <w:panose1 w:val="020B0604030504040204"/>
    <w:charset w:val="BA"/>
    <w:family w:val="swiss"/>
    <w:pitch w:val="variable"/>
    <w:sig w:usb0="E1002EFF" w:usb1="C000605B" w:usb2="00000029" w:usb3="00000000" w:csb0="000101F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Times New Roman Bold">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8338338"/>
      <w:docPartObj>
        <w:docPartGallery w:val="Page Numbers (Bottom of Page)"/>
        <w:docPartUnique/>
      </w:docPartObj>
    </w:sdtPr>
    <w:sdtEndPr>
      <w:rPr>
        <w:noProof/>
      </w:rPr>
    </w:sdtEndPr>
    <w:sdtContent>
      <w:p w:rsidR="00EC0D87" w:rsidRDefault="00EC0D87" w:rsidP="00C37632">
        <w:pPr>
          <w:jc w:val="center"/>
        </w:pPr>
      </w:p>
      <w:p w:rsidR="00EC0D87" w:rsidRPr="00C37632" w:rsidRDefault="00EC0D87" w:rsidP="00C37632">
        <w:pPr>
          <w:jc w:val="center"/>
        </w:pPr>
        <w:r w:rsidRPr="003E292C">
          <w:rPr>
            <w:i/>
            <w:sz w:val="22"/>
          </w:rPr>
          <w:t xml:space="preserve">Enerģētikas attīstības pamatnostādnes 2014. – 2020. </w:t>
        </w:r>
        <w:r>
          <w:rPr>
            <w:i/>
            <w:sz w:val="22"/>
          </w:rPr>
          <w:t>g</w:t>
        </w:r>
        <w:r w:rsidRPr="003E292C">
          <w:rPr>
            <w:i/>
            <w:sz w:val="22"/>
          </w:rPr>
          <w:t>adam</w:t>
        </w:r>
      </w:p>
      <w:p w:rsidR="00EC0D87" w:rsidRDefault="00EC0D87">
        <w:pPr>
          <w:pStyle w:val="Footer"/>
          <w:jc w:val="center"/>
        </w:pPr>
      </w:p>
      <w:p w:rsidR="00EC0D87" w:rsidRDefault="00EC0D87">
        <w:pPr>
          <w:pStyle w:val="Footer"/>
          <w:jc w:val="center"/>
        </w:pPr>
        <w:r>
          <w:fldChar w:fldCharType="begin"/>
        </w:r>
        <w:r>
          <w:instrText xml:space="preserve"> PAGE   \* MERGEFORMAT </w:instrText>
        </w:r>
        <w:r>
          <w:fldChar w:fldCharType="separate"/>
        </w:r>
        <w:r w:rsidR="00422D8F">
          <w:rPr>
            <w:noProof/>
          </w:rPr>
          <w:t>72</w:t>
        </w:r>
        <w:r>
          <w:rPr>
            <w:noProof/>
          </w:rPr>
          <w:fldChar w:fldCharType="end"/>
        </w:r>
      </w:p>
    </w:sdtContent>
  </w:sdt>
  <w:p w:rsidR="00EC0D87" w:rsidRDefault="00EC0D8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0D87" w:rsidRPr="00C37632" w:rsidRDefault="00EC0D87" w:rsidP="0011653A">
    <w:pPr>
      <w:jc w:val="center"/>
    </w:pPr>
    <w:r w:rsidRPr="003E292C">
      <w:rPr>
        <w:i/>
        <w:sz w:val="22"/>
      </w:rPr>
      <w:t xml:space="preserve">Enerģētikas attīstības pamatnostādnes 2014. – 2020. </w:t>
    </w:r>
    <w:r>
      <w:rPr>
        <w:i/>
        <w:sz w:val="22"/>
      </w:rPr>
      <w:t>g</w:t>
    </w:r>
    <w:r w:rsidRPr="003E292C">
      <w:rPr>
        <w:i/>
        <w:sz w:val="22"/>
      </w:rPr>
      <w:t>adam</w:t>
    </w:r>
  </w:p>
  <w:p w:rsidR="00EC0D87" w:rsidRDefault="00EC0D87">
    <w:pPr>
      <w:pStyle w:val="Footer"/>
    </w:pPr>
  </w:p>
  <w:p w:rsidR="00EC0D87" w:rsidRDefault="00EC0D8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0297" w:rsidRDefault="00E60297" w:rsidP="008F6836">
      <w:r>
        <w:separator/>
      </w:r>
    </w:p>
  </w:footnote>
  <w:footnote w:type="continuationSeparator" w:id="0">
    <w:p w:rsidR="00E60297" w:rsidRDefault="00E60297" w:rsidP="008F6836">
      <w:r>
        <w:continuationSeparator/>
      </w:r>
    </w:p>
  </w:footnote>
  <w:footnote w:id="1">
    <w:p w:rsidR="00EC0D87" w:rsidRPr="00EC0D87" w:rsidRDefault="00EC0D87" w:rsidP="00EC0D87">
      <w:pPr>
        <w:pStyle w:val="FootnoteText"/>
      </w:pPr>
      <w:r w:rsidRPr="00EC0D87">
        <w:rPr>
          <w:rStyle w:val="FootnoteReference"/>
          <w:sz w:val="20"/>
          <w:szCs w:val="20"/>
        </w:rPr>
        <w:footnoteRef/>
      </w:r>
      <w:r w:rsidRPr="00EC0D87">
        <w:t xml:space="preserve"> - </w:t>
      </w:r>
      <w:r w:rsidRPr="00422D8F">
        <w:rPr>
          <w:rFonts w:ascii="Times New Roman" w:hAnsi="Times New Roman"/>
        </w:rPr>
        <w:t xml:space="preserve">Enerģijas daudzums 1 PJ ir ekvivalents 278 </w:t>
      </w:r>
      <w:proofErr w:type="spellStart"/>
      <w:r w:rsidRPr="00422D8F">
        <w:rPr>
          <w:rFonts w:ascii="Times New Roman" w:hAnsi="Times New Roman"/>
        </w:rPr>
        <w:t>GWh</w:t>
      </w:r>
      <w:proofErr w:type="spellEnd"/>
      <w:r w:rsidRPr="00422D8F">
        <w:rPr>
          <w:rFonts w:ascii="Times New Roman" w:hAnsi="Times New Roman"/>
        </w:rPr>
        <w:t xml:space="preserve"> elektroenerģijas vai 24 </w:t>
      </w:r>
      <w:proofErr w:type="spellStart"/>
      <w:r w:rsidRPr="00422D8F">
        <w:rPr>
          <w:rFonts w:ascii="Times New Roman" w:hAnsi="Times New Roman"/>
        </w:rPr>
        <w:t>tūkst</w:t>
      </w:r>
      <w:proofErr w:type="spellEnd"/>
      <w:r w:rsidRPr="00422D8F">
        <w:rPr>
          <w:rFonts w:ascii="Times New Roman" w:hAnsi="Times New Roman"/>
        </w:rPr>
        <w:t>. tonnas naftas.</w:t>
      </w:r>
    </w:p>
  </w:footnote>
  <w:footnote w:id="2">
    <w:p w:rsidR="00EC0D87" w:rsidRPr="00422D8F" w:rsidRDefault="00EC0D87" w:rsidP="00EC0D87">
      <w:pPr>
        <w:pStyle w:val="FootnoteText"/>
        <w:rPr>
          <w:rFonts w:ascii="Times New Roman" w:hAnsi="Times New Roman"/>
        </w:rPr>
      </w:pPr>
      <w:r w:rsidRPr="00893E4A">
        <w:rPr>
          <w:rStyle w:val="FootnoteReference"/>
          <w:sz w:val="20"/>
          <w:szCs w:val="20"/>
        </w:rPr>
        <w:footnoteRef/>
      </w:r>
      <w:r w:rsidRPr="00893E4A">
        <w:t xml:space="preserve"> </w:t>
      </w:r>
      <w:r w:rsidRPr="00422D8F">
        <w:rPr>
          <w:rFonts w:ascii="Times New Roman" w:hAnsi="Times New Roman"/>
        </w:rPr>
        <w:t xml:space="preserve">Centralizētā siltumapgāde – </w:t>
      </w:r>
      <w:proofErr w:type="spellStart"/>
      <w:r w:rsidRPr="00422D8F">
        <w:rPr>
          <w:rFonts w:ascii="Times New Roman" w:hAnsi="Times New Roman"/>
        </w:rPr>
        <w:t>siltumavota</w:t>
      </w:r>
      <w:proofErr w:type="spellEnd"/>
      <w:r w:rsidRPr="00422D8F">
        <w:rPr>
          <w:rFonts w:ascii="Times New Roman" w:hAnsi="Times New Roman"/>
        </w:rPr>
        <w:t xml:space="preserve">/vairāku </w:t>
      </w:r>
      <w:proofErr w:type="spellStart"/>
      <w:r w:rsidRPr="00422D8F">
        <w:rPr>
          <w:rFonts w:ascii="Times New Roman" w:hAnsi="Times New Roman"/>
        </w:rPr>
        <w:t>siltumavotu</w:t>
      </w:r>
      <w:proofErr w:type="spellEnd"/>
      <w:r w:rsidRPr="00422D8F">
        <w:rPr>
          <w:rFonts w:ascii="Times New Roman" w:hAnsi="Times New Roman"/>
        </w:rPr>
        <w:t xml:space="preserve">, maģistrālo un sadales siltumtīklu un patērētāju iekšējo sistēmu tehnoloģiski vienota sistēma, kas nodrošina patērētāju apgādi ar siltumenerģiju noteiktā teritorijā, transportējot siltumenerģiju lielos attālumos. Lokālā siltumapgāde – </w:t>
      </w:r>
      <w:proofErr w:type="spellStart"/>
      <w:r w:rsidRPr="00422D8F">
        <w:rPr>
          <w:rFonts w:ascii="Times New Roman" w:hAnsi="Times New Roman"/>
        </w:rPr>
        <w:t>siltumavota</w:t>
      </w:r>
      <w:proofErr w:type="spellEnd"/>
      <w:r w:rsidRPr="00422D8F">
        <w:rPr>
          <w:rFonts w:ascii="Times New Roman" w:hAnsi="Times New Roman"/>
        </w:rPr>
        <w:t xml:space="preserve"> un patērētāja/patērētāju siltumenerģiju, izmantojošo iekšējo sistēmu tehnoloģiski vienota sistēma, kur siltumenerģijas piegādei nav nepieciešami maģistrālie tīkli, </w:t>
      </w:r>
      <w:proofErr w:type="spellStart"/>
      <w:r w:rsidRPr="00422D8F">
        <w:rPr>
          <w:rFonts w:ascii="Times New Roman" w:hAnsi="Times New Roman"/>
        </w:rPr>
        <w:t>t.i</w:t>
      </w:r>
      <w:proofErr w:type="spellEnd"/>
      <w:r w:rsidRPr="00422D8F">
        <w:rPr>
          <w:rFonts w:ascii="Times New Roman" w:hAnsi="Times New Roman"/>
        </w:rPr>
        <w:t xml:space="preserve">., siltumenerģija no </w:t>
      </w:r>
      <w:proofErr w:type="spellStart"/>
      <w:r w:rsidRPr="00422D8F">
        <w:rPr>
          <w:rFonts w:ascii="Times New Roman" w:hAnsi="Times New Roman"/>
        </w:rPr>
        <w:t>siltumavota</w:t>
      </w:r>
      <w:proofErr w:type="spellEnd"/>
      <w:r w:rsidRPr="00422D8F">
        <w:rPr>
          <w:rFonts w:ascii="Times New Roman" w:hAnsi="Times New Roman"/>
        </w:rPr>
        <w:t xml:space="preserve"> ar</w:t>
      </w:r>
    </w:p>
    <w:p w:rsidR="00EC0D87" w:rsidRPr="00422D8F" w:rsidRDefault="00EC0D87" w:rsidP="00EC0D87">
      <w:pPr>
        <w:pStyle w:val="FootnoteText"/>
        <w:rPr>
          <w:rFonts w:ascii="Times New Roman" w:hAnsi="Times New Roman"/>
        </w:rPr>
      </w:pPr>
      <w:r w:rsidRPr="00422D8F">
        <w:rPr>
          <w:rFonts w:ascii="Times New Roman" w:hAnsi="Times New Roman"/>
        </w:rPr>
        <w:t>vai bez sadales siltumtīkliem tiek sadalīta un piegādāta patērētājiem. Individuālā siltumapgāde (mājsaimniecības) – atsevišķas mājsaimniecības (dzīvokļa, privātmājas) siltumapgāde.</w:t>
      </w:r>
    </w:p>
  </w:footnote>
  <w:footnote w:id="3">
    <w:p w:rsidR="00EC0D87" w:rsidRPr="00EC0D87" w:rsidRDefault="00EC0D87" w:rsidP="00EC0D87">
      <w:pPr>
        <w:pStyle w:val="FootnoteText"/>
      </w:pPr>
      <w:r w:rsidRPr="00422D8F">
        <w:rPr>
          <w:rStyle w:val="FootnoteReference"/>
          <w:sz w:val="20"/>
          <w:szCs w:val="20"/>
        </w:rPr>
        <w:footnoteRef/>
      </w:r>
      <w:r w:rsidRPr="00422D8F">
        <w:rPr>
          <w:rFonts w:ascii="Times New Roman" w:hAnsi="Times New Roman"/>
        </w:rPr>
        <w:t xml:space="preserve"> Centrālās statistikas pārvaldes dati.</w:t>
      </w:r>
    </w:p>
  </w:footnote>
  <w:footnote w:id="4">
    <w:p w:rsidR="00EC0D87" w:rsidRPr="00422D8F" w:rsidRDefault="00EC0D87" w:rsidP="00EC0D87">
      <w:pPr>
        <w:pStyle w:val="FootnoteText"/>
        <w:rPr>
          <w:rFonts w:ascii="Times New Roman" w:hAnsi="Times New Roman"/>
        </w:rPr>
      </w:pPr>
      <w:r w:rsidRPr="00893E4A">
        <w:rPr>
          <w:rStyle w:val="FootnoteReference"/>
          <w:sz w:val="20"/>
          <w:szCs w:val="20"/>
        </w:rPr>
        <w:footnoteRef/>
      </w:r>
      <w:r w:rsidRPr="00893E4A">
        <w:t xml:space="preserve"> </w:t>
      </w:r>
      <w:r w:rsidRPr="00422D8F">
        <w:rPr>
          <w:rFonts w:ascii="Times New Roman" w:hAnsi="Times New Roman"/>
        </w:rPr>
        <w:t xml:space="preserve">- Atjaunojamo energoresursu programma, 2000. Sagatavojusi COWI </w:t>
      </w:r>
      <w:proofErr w:type="spellStart"/>
      <w:r w:rsidRPr="00422D8F">
        <w:rPr>
          <w:rFonts w:ascii="Times New Roman" w:hAnsi="Times New Roman"/>
        </w:rPr>
        <w:t>Engineers</w:t>
      </w:r>
      <w:proofErr w:type="spellEnd"/>
      <w:r w:rsidRPr="00422D8F">
        <w:rPr>
          <w:rFonts w:ascii="Times New Roman" w:hAnsi="Times New Roman"/>
        </w:rPr>
        <w:t xml:space="preserve"> </w:t>
      </w:r>
      <w:proofErr w:type="spellStart"/>
      <w:r w:rsidRPr="00422D8F">
        <w:rPr>
          <w:rFonts w:ascii="Times New Roman" w:hAnsi="Times New Roman"/>
        </w:rPr>
        <w:t>and</w:t>
      </w:r>
      <w:proofErr w:type="spellEnd"/>
      <w:r w:rsidRPr="00422D8F">
        <w:rPr>
          <w:rFonts w:ascii="Times New Roman" w:hAnsi="Times New Roman"/>
        </w:rPr>
        <w:t xml:space="preserve"> </w:t>
      </w:r>
      <w:proofErr w:type="spellStart"/>
      <w:r w:rsidRPr="00422D8F">
        <w:rPr>
          <w:rFonts w:ascii="Times New Roman" w:hAnsi="Times New Roman"/>
        </w:rPr>
        <w:t>Planners</w:t>
      </w:r>
      <w:proofErr w:type="spellEnd"/>
      <w:r w:rsidRPr="00422D8F">
        <w:rPr>
          <w:rFonts w:ascii="Times New Roman" w:hAnsi="Times New Roman"/>
        </w:rPr>
        <w:t xml:space="preserve"> AS-</w:t>
      </w:r>
      <w:proofErr w:type="spellStart"/>
      <w:r w:rsidRPr="00422D8F">
        <w:rPr>
          <w:rFonts w:ascii="Times New Roman" w:hAnsi="Times New Roman"/>
        </w:rPr>
        <w:t>Bkb</w:t>
      </w:r>
      <w:proofErr w:type="spellEnd"/>
      <w:r w:rsidRPr="00422D8F">
        <w:rPr>
          <w:rFonts w:ascii="Times New Roman" w:hAnsi="Times New Roman"/>
        </w:rPr>
        <w:t xml:space="preserve"> EC DG1A LR Ekonomikas ministrijas uzdevumā un saskaņā ar </w:t>
      </w:r>
      <w:proofErr w:type="spellStart"/>
      <w:r w:rsidRPr="00422D8F">
        <w:rPr>
          <w:rFonts w:ascii="Times New Roman" w:hAnsi="Times New Roman"/>
        </w:rPr>
        <w:t>Phare</w:t>
      </w:r>
      <w:proofErr w:type="spellEnd"/>
      <w:r w:rsidRPr="00422D8F">
        <w:rPr>
          <w:rFonts w:ascii="Times New Roman" w:hAnsi="Times New Roman"/>
        </w:rPr>
        <w:t xml:space="preserve"> Enerģētikas sektora līgumu Nr.SFR96/04.</w:t>
      </w:r>
    </w:p>
  </w:footnote>
  <w:footnote w:id="5">
    <w:p w:rsidR="00EC0D87" w:rsidRPr="00EC0D87" w:rsidRDefault="00EC0D87" w:rsidP="00EC0D87">
      <w:pPr>
        <w:pStyle w:val="FootnoteText"/>
      </w:pPr>
      <w:r w:rsidRPr="00EC0D87">
        <w:rPr>
          <w:rStyle w:val="FootnoteReference"/>
          <w:sz w:val="20"/>
          <w:szCs w:val="20"/>
        </w:rPr>
        <w:footnoteRef/>
      </w:r>
      <w:r w:rsidRPr="00EC0D87">
        <w:t xml:space="preserve"> </w:t>
      </w:r>
      <w:r w:rsidRPr="00EC0D87">
        <w:rPr>
          <w:rFonts w:ascii="Times New Roman" w:hAnsi="Times New Roman"/>
        </w:rPr>
        <w:t>Latvijas Kūdras ražotāju asociācijas informācija</w:t>
      </w:r>
    </w:p>
  </w:footnote>
  <w:footnote w:id="6">
    <w:p w:rsidR="00EC0D87" w:rsidRPr="00EC0D87" w:rsidRDefault="00EC0D87" w:rsidP="00EC0D87">
      <w:pPr>
        <w:pStyle w:val="FootnoteText"/>
        <w:rPr>
          <w:rFonts w:ascii="Times New Roman" w:hAnsi="Times New Roman"/>
        </w:rPr>
      </w:pPr>
      <w:r w:rsidRPr="00911A2D">
        <w:rPr>
          <w:rStyle w:val="FootnoteReference"/>
        </w:rPr>
        <w:footnoteRef/>
      </w:r>
      <w:r w:rsidRPr="00834B2A">
        <w:t xml:space="preserve"> </w:t>
      </w:r>
      <w:r w:rsidRPr="00EC0D87">
        <w:rPr>
          <w:rFonts w:ascii="Times New Roman" w:hAnsi="Times New Roman"/>
        </w:rPr>
        <w:t>AS „Augstsprieguma tīkls” no AS "Latvijas elektriskie tīkli" līdz šim laikam jāpārņem 330/110kV tīkla uzturēšanas, ekspluatācijas un attīstības funkcijas.</w:t>
      </w:r>
    </w:p>
  </w:footnote>
  <w:footnote w:id="7">
    <w:p w:rsidR="00EC0D87" w:rsidRPr="00EC0D87" w:rsidRDefault="00EC0D87" w:rsidP="00EC0D87">
      <w:pPr>
        <w:pStyle w:val="FootnoteText"/>
        <w:rPr>
          <w:rFonts w:ascii="Times New Roman" w:hAnsi="Times New Roman"/>
        </w:rPr>
      </w:pPr>
      <w:r w:rsidRPr="006103BB">
        <w:rPr>
          <w:rStyle w:val="FootnoteReference"/>
          <w:sz w:val="20"/>
          <w:szCs w:val="20"/>
        </w:rPr>
        <w:footnoteRef/>
      </w:r>
      <w:r w:rsidRPr="00EC0D87">
        <w:rPr>
          <w:rFonts w:ascii="Times New Roman" w:hAnsi="Times New Roman"/>
        </w:rPr>
        <w:t xml:space="preserve">http://www.sadalestikls.lv/lat/klientiem/juridisku_personu_apkalposana/tirgus_juridiskam_personam/elektroenergijas_tirgotaji/ </w:t>
      </w:r>
    </w:p>
  </w:footnote>
  <w:footnote w:id="8">
    <w:p w:rsidR="00EC0D87" w:rsidRPr="00EC0D87" w:rsidRDefault="00EC0D87" w:rsidP="00EC0D87">
      <w:pPr>
        <w:pStyle w:val="FootnoteText"/>
        <w:rPr>
          <w:rFonts w:ascii="Times New Roman" w:hAnsi="Times New Roman"/>
        </w:rPr>
      </w:pPr>
      <w:r>
        <w:rPr>
          <w:rStyle w:val="FootnoteReference"/>
          <w:rFonts w:eastAsiaTheme="majorEastAsia"/>
        </w:rPr>
        <w:footnoteRef/>
      </w:r>
      <w:r>
        <w:t xml:space="preserve"> </w:t>
      </w:r>
      <w:r w:rsidRPr="00EC0D87">
        <w:rPr>
          <w:rFonts w:ascii="Times New Roman" w:hAnsi="Times New Roman"/>
        </w:rPr>
        <w:t xml:space="preserve">Elektroenerģijas kopējās cena veidojas no elektroenerģijas vairumcenas, tīkla pakalpojumiem, obligātā iepirkuma komponentes (turpmāk – OIK), uzņēmuma peļņas un pievienotās vērtības nodokļa (turpmāk – PVN).  </w:t>
      </w:r>
    </w:p>
  </w:footnote>
  <w:footnote w:id="9">
    <w:p w:rsidR="00EC0D87" w:rsidRPr="0080306F" w:rsidRDefault="00EC0D87" w:rsidP="00EC0D87">
      <w:pPr>
        <w:pStyle w:val="FootnoteText"/>
        <w:rPr>
          <w:rFonts w:ascii="Times New Roman" w:hAnsi="Times New Roman"/>
        </w:rPr>
      </w:pPr>
      <w:r w:rsidRPr="00BA3FA3">
        <w:rPr>
          <w:rStyle w:val="FootnoteReference"/>
          <w:sz w:val="20"/>
          <w:szCs w:val="20"/>
        </w:rPr>
        <w:footnoteRef/>
      </w:r>
      <w:r w:rsidRPr="00BA3FA3">
        <w:t xml:space="preserve"> </w:t>
      </w:r>
      <w:r w:rsidRPr="0080306F">
        <w:rPr>
          <w:rFonts w:ascii="Times New Roman" w:hAnsi="Times New Roman"/>
        </w:rPr>
        <w:t>Avots: CSP</w:t>
      </w:r>
    </w:p>
  </w:footnote>
  <w:footnote w:id="10">
    <w:p w:rsidR="00EC0D87" w:rsidRPr="00BA3FA3" w:rsidRDefault="00EC0D87" w:rsidP="00EC0D87">
      <w:pPr>
        <w:pStyle w:val="FootnoteText"/>
        <w:rPr>
          <w:rFonts w:ascii="Times New Roman" w:hAnsi="Times New Roman"/>
        </w:rPr>
      </w:pPr>
      <w:r w:rsidRPr="00BA3FA3">
        <w:rPr>
          <w:rStyle w:val="FootnoteReference"/>
          <w:sz w:val="20"/>
          <w:szCs w:val="20"/>
        </w:rPr>
        <w:footnoteRef/>
      </w:r>
      <w:r w:rsidRPr="00BA3FA3">
        <w:rPr>
          <w:rFonts w:ascii="Times New Roman" w:hAnsi="Times New Roman"/>
        </w:rPr>
        <w:t xml:space="preserve"> </w:t>
      </w:r>
      <w:r w:rsidR="0080306F" w:rsidRPr="0080306F">
        <w:rPr>
          <w:rFonts w:ascii="Times New Roman" w:hAnsi="Times New Roman"/>
        </w:rPr>
        <w:t>http://www.nve.no/Global/Energi/Analyser/Energi%20i%20Norge%20folder/FOLDE2013.pdf</w:t>
      </w:r>
      <w:r w:rsidRPr="00BA3FA3">
        <w:rPr>
          <w:rFonts w:ascii="Times New Roman" w:hAnsi="Times New Roman"/>
        </w:rPr>
        <w:t xml:space="preserve"> </w:t>
      </w:r>
    </w:p>
  </w:footnote>
  <w:footnote w:id="11">
    <w:p w:rsidR="00EC0D87" w:rsidRPr="00BA3FA3" w:rsidRDefault="00EC0D87" w:rsidP="00EC0D87">
      <w:pPr>
        <w:pStyle w:val="FootnoteText"/>
      </w:pPr>
      <w:r w:rsidRPr="00BA3FA3">
        <w:rPr>
          <w:rStyle w:val="FootnoteReference"/>
        </w:rPr>
        <w:footnoteRef/>
      </w:r>
      <w:r w:rsidRPr="00BA3FA3">
        <w:t xml:space="preserve"> </w:t>
      </w:r>
      <w:r w:rsidRPr="0080306F">
        <w:rPr>
          <w:rFonts w:ascii="Times New Roman" w:hAnsi="Times New Roman"/>
        </w:rPr>
        <w:t>Avots: AS „Latvenergo”</w:t>
      </w:r>
    </w:p>
  </w:footnote>
  <w:footnote w:id="12">
    <w:p w:rsidR="00EC0D87" w:rsidRPr="0080306F" w:rsidRDefault="00EC0D87" w:rsidP="00EC0D87">
      <w:pPr>
        <w:pStyle w:val="FootnoteText"/>
        <w:rPr>
          <w:rFonts w:ascii="Times New Roman" w:hAnsi="Times New Roman"/>
        </w:rPr>
      </w:pPr>
      <w:r>
        <w:rPr>
          <w:rStyle w:val="FootnoteReference"/>
        </w:rPr>
        <w:footnoteRef/>
      </w:r>
      <w:r>
        <w:t xml:space="preserve"> </w:t>
      </w:r>
      <w:r w:rsidRPr="0080306F">
        <w:rPr>
          <w:rFonts w:ascii="Times New Roman" w:hAnsi="Times New Roman"/>
        </w:rPr>
        <w:t>Avots: AS „Latvenergo”</w:t>
      </w:r>
    </w:p>
  </w:footnote>
  <w:footnote w:id="13">
    <w:p w:rsidR="00EC0D87" w:rsidRPr="0080306F" w:rsidRDefault="00EC0D87" w:rsidP="00EC0D87">
      <w:pPr>
        <w:pStyle w:val="FootnoteText"/>
        <w:rPr>
          <w:rFonts w:ascii="Times New Roman" w:hAnsi="Times New Roman"/>
        </w:rPr>
      </w:pPr>
      <w:r w:rsidRPr="0080306F">
        <w:rPr>
          <w:rStyle w:val="FootnoteReference"/>
          <w:sz w:val="20"/>
          <w:szCs w:val="20"/>
        </w:rPr>
        <w:footnoteRef/>
      </w:r>
      <w:r w:rsidRPr="0080306F">
        <w:rPr>
          <w:rFonts w:ascii="Times New Roman" w:hAnsi="Times New Roman"/>
        </w:rPr>
        <w:t xml:space="preserve"> Avots: CSP</w:t>
      </w:r>
    </w:p>
  </w:footnote>
  <w:footnote w:id="14">
    <w:p w:rsidR="00EC0D87" w:rsidRDefault="00EC0D87" w:rsidP="00EC0D87">
      <w:pPr>
        <w:pStyle w:val="FootnoteText"/>
      </w:pPr>
      <w:r>
        <w:rPr>
          <w:rStyle w:val="FootnoteReference"/>
        </w:rPr>
        <w:footnoteRef/>
      </w:r>
      <w:r>
        <w:t xml:space="preserve"> </w:t>
      </w:r>
      <w:r w:rsidRPr="0080306F">
        <w:rPr>
          <w:rFonts w:ascii="Times New Roman" w:hAnsi="Times New Roman"/>
        </w:rPr>
        <w:t>Avots: „</w:t>
      </w:r>
      <w:proofErr w:type="spellStart"/>
      <w:r w:rsidRPr="0080306F">
        <w:rPr>
          <w:rFonts w:ascii="Times New Roman" w:hAnsi="Times New Roman"/>
        </w:rPr>
        <w:t>Elering</w:t>
      </w:r>
      <w:proofErr w:type="spellEnd"/>
      <w:r w:rsidRPr="0080306F">
        <w:rPr>
          <w:rFonts w:ascii="Times New Roman" w:hAnsi="Times New Roman"/>
        </w:rPr>
        <w:t>”, „</w:t>
      </w:r>
      <w:proofErr w:type="spellStart"/>
      <w:r w:rsidRPr="0080306F">
        <w:rPr>
          <w:rFonts w:ascii="Times New Roman" w:hAnsi="Times New Roman"/>
        </w:rPr>
        <w:t>Fingrid</w:t>
      </w:r>
      <w:proofErr w:type="spellEnd"/>
      <w:r w:rsidRPr="0080306F">
        <w:rPr>
          <w:rFonts w:ascii="Times New Roman" w:hAnsi="Times New Roman"/>
        </w:rPr>
        <w:t>”</w:t>
      </w:r>
      <w:r w:rsidRPr="0080306F">
        <w:rPr>
          <w:rFonts w:ascii="Times New Roman" w:hAnsi="Times New Roman"/>
          <w:i/>
        </w:rPr>
        <w:t>,</w:t>
      </w:r>
      <w:r w:rsidRPr="0080306F">
        <w:rPr>
          <w:rFonts w:ascii="Times New Roman" w:hAnsi="Times New Roman"/>
        </w:rPr>
        <w:t xml:space="preserve"> AS „Latvenergo”</w:t>
      </w:r>
    </w:p>
  </w:footnote>
  <w:footnote w:id="15">
    <w:p w:rsidR="00EC0D87" w:rsidRPr="0080306F" w:rsidRDefault="00EC0D87" w:rsidP="00EC0D87">
      <w:pPr>
        <w:pStyle w:val="FootnoteText"/>
        <w:rPr>
          <w:rFonts w:ascii="Times New Roman" w:hAnsi="Times New Roman"/>
        </w:rPr>
      </w:pPr>
      <w:r>
        <w:rPr>
          <w:rStyle w:val="FootnoteReference"/>
        </w:rPr>
        <w:footnoteRef/>
      </w:r>
      <w:r w:rsidRPr="0080306F">
        <w:rPr>
          <w:rFonts w:ascii="Times New Roman" w:hAnsi="Times New Roman"/>
        </w:rPr>
        <w:t>http://www.sadalestikls.lv/files/newnode/infodudok/majas%20lapa_tarifi_LVL_no_01.01.2014.EUR_2.pdf</w:t>
      </w:r>
    </w:p>
  </w:footnote>
  <w:footnote w:id="16">
    <w:p w:rsidR="00EC0D87" w:rsidRDefault="00EC0D87" w:rsidP="00EC0D87">
      <w:pPr>
        <w:pStyle w:val="FootnoteText"/>
      </w:pPr>
      <w:r>
        <w:rPr>
          <w:rStyle w:val="FootnoteReference"/>
        </w:rPr>
        <w:footnoteRef/>
      </w:r>
      <w:r>
        <w:t xml:space="preserve"> </w:t>
      </w:r>
      <w:r w:rsidRPr="0080306F">
        <w:rPr>
          <w:rFonts w:ascii="Times New Roman" w:hAnsi="Times New Roman"/>
        </w:rPr>
        <w:t>Stājas spēkā vienlaikus ar attiecīgiem grozījumiem Latvijas Administratīvo pārkāpumu kodeksā.</w:t>
      </w:r>
    </w:p>
  </w:footnote>
  <w:footnote w:id="17">
    <w:p w:rsidR="00EC0D87" w:rsidRPr="00091F3D" w:rsidRDefault="00EC0D87" w:rsidP="00EC0D87">
      <w:pPr>
        <w:pStyle w:val="FootnoteText"/>
      </w:pPr>
      <w:r>
        <w:rPr>
          <w:rStyle w:val="FootnoteReference"/>
        </w:rPr>
        <w:footnoteRef/>
      </w:r>
      <w:r>
        <w:t xml:space="preserve"> </w:t>
      </w:r>
      <w:r w:rsidRPr="0080306F">
        <w:rPr>
          <w:rFonts w:ascii="Times New Roman" w:hAnsi="Times New Roman"/>
        </w:rPr>
        <w:t>Avots: CSP</w:t>
      </w:r>
    </w:p>
  </w:footnote>
  <w:footnote w:id="18">
    <w:p w:rsidR="00EC0D87" w:rsidRDefault="00EC0D87" w:rsidP="00010823">
      <w:pPr>
        <w:jc w:val="both"/>
      </w:pPr>
      <w:r>
        <w:rPr>
          <w:rStyle w:val="FootnoteReference"/>
        </w:rPr>
        <w:footnoteRef/>
      </w:r>
      <w:r>
        <w:t xml:space="preserve"> </w:t>
      </w:r>
      <w:r w:rsidRPr="002451D2">
        <w:rPr>
          <w:rFonts w:eastAsia="Times New Roman" w:cs="Times New Roman"/>
          <w:sz w:val="20"/>
          <w:szCs w:val="20"/>
        </w:rPr>
        <w:t>Avots: AS „Latvijas Gāze” Dabasgāzes pārvades sistēmas operatora ikgadējā novērtējuma ziņojumi  par</w:t>
      </w:r>
      <w:r>
        <w:rPr>
          <w:rFonts w:eastAsia="Times New Roman" w:cs="Times New Roman"/>
          <w:sz w:val="20"/>
          <w:szCs w:val="20"/>
        </w:rPr>
        <w:t xml:space="preserve"> </w:t>
      </w:r>
      <w:r w:rsidRPr="002451D2">
        <w:rPr>
          <w:rFonts w:eastAsia="Times New Roman" w:cs="Times New Roman"/>
          <w:sz w:val="20"/>
          <w:szCs w:val="20"/>
        </w:rPr>
        <w:t>2005.-2013.gadu</w:t>
      </w:r>
    </w:p>
  </w:footnote>
  <w:footnote w:id="19">
    <w:p w:rsidR="00EC0D87" w:rsidRPr="008B78B3" w:rsidRDefault="00EC0D87" w:rsidP="00EC0D87">
      <w:pPr>
        <w:pStyle w:val="FootnoteText"/>
        <w:rPr>
          <w:rFonts w:ascii="Times New Roman" w:hAnsi="Times New Roman"/>
          <w:lang w:val="ru-RU"/>
        </w:rPr>
      </w:pPr>
      <w:r>
        <w:rPr>
          <w:rStyle w:val="FootnoteReference"/>
        </w:rPr>
        <w:footnoteRef/>
      </w:r>
      <w:r>
        <w:t xml:space="preserve"> </w:t>
      </w:r>
      <w:r w:rsidRPr="008B78B3">
        <w:rPr>
          <w:rFonts w:ascii="Times New Roman" w:hAnsi="Times New Roman"/>
          <w:lang w:val="ru-RU"/>
        </w:rPr>
        <w:t>Анализ и обработка результатов специальных гидродинамических исследований водоносных горизонтов при разведке подземных хранилищ природного газа. Министерство газовой промышленности СССР, производственное объединение «</w:t>
      </w:r>
      <w:proofErr w:type="spellStart"/>
      <w:r w:rsidRPr="008B78B3">
        <w:rPr>
          <w:rFonts w:ascii="Times New Roman" w:hAnsi="Times New Roman"/>
          <w:lang w:val="ru-RU"/>
        </w:rPr>
        <w:t>Союзбургаз</w:t>
      </w:r>
      <w:proofErr w:type="spellEnd"/>
      <w:r w:rsidRPr="008B78B3">
        <w:rPr>
          <w:rFonts w:ascii="Times New Roman" w:hAnsi="Times New Roman"/>
          <w:lang w:val="ru-RU"/>
        </w:rPr>
        <w:t xml:space="preserve">». Москва, 1990. </w:t>
      </w:r>
      <w:proofErr w:type="spellStart"/>
      <w:r w:rsidRPr="008B78B3">
        <w:rPr>
          <w:rFonts w:ascii="Times New Roman" w:hAnsi="Times New Roman"/>
          <w:lang w:val="ru-RU"/>
        </w:rPr>
        <w:t>Inv</w:t>
      </w:r>
      <w:proofErr w:type="spellEnd"/>
      <w:r w:rsidRPr="008B78B3">
        <w:rPr>
          <w:rFonts w:ascii="Times New Roman" w:hAnsi="Times New Roman"/>
          <w:lang w:val="ru-RU"/>
        </w:rPr>
        <w:t xml:space="preserve">. </w:t>
      </w:r>
      <w:proofErr w:type="spellStart"/>
      <w:r w:rsidRPr="008B78B3">
        <w:rPr>
          <w:rFonts w:ascii="Times New Roman" w:hAnsi="Times New Roman"/>
          <w:lang w:val="ru-RU"/>
        </w:rPr>
        <w:t>Nr</w:t>
      </w:r>
      <w:proofErr w:type="spellEnd"/>
      <w:r w:rsidRPr="008B78B3">
        <w:rPr>
          <w:rFonts w:ascii="Times New Roman" w:hAnsi="Times New Roman"/>
          <w:lang w:val="ru-RU"/>
        </w:rPr>
        <w:t>. 10811.</w:t>
      </w:r>
    </w:p>
  </w:footnote>
  <w:footnote w:id="20">
    <w:p w:rsidR="00EC0D87" w:rsidRPr="008B78B3" w:rsidRDefault="00EC0D87" w:rsidP="00EC0D87">
      <w:pPr>
        <w:pStyle w:val="FootnoteText"/>
        <w:rPr>
          <w:rFonts w:ascii="Times New Roman" w:hAnsi="Times New Roman"/>
        </w:rPr>
      </w:pPr>
      <w:r w:rsidRPr="008B78B3">
        <w:rPr>
          <w:rStyle w:val="FootnoteReference"/>
          <w:sz w:val="20"/>
          <w:szCs w:val="20"/>
        </w:rPr>
        <w:footnoteRef/>
      </w:r>
      <w:r w:rsidRPr="008B78B3">
        <w:rPr>
          <w:rFonts w:ascii="Times New Roman" w:hAnsi="Times New Roman"/>
        </w:rPr>
        <w:t xml:space="preserve"> Valsts nozīmes zemes dzīļu nogabala „Dobeles struktūra” ģeoloģiskās izpētes rezultāti. Ziņojums 2 sējumos, 1.sējums. Rīga - 2010</w:t>
      </w:r>
    </w:p>
  </w:footnote>
  <w:footnote w:id="21">
    <w:p w:rsidR="00EC0D87" w:rsidRPr="00FF373C" w:rsidRDefault="00EC0D87" w:rsidP="00EC0D87">
      <w:pPr>
        <w:pStyle w:val="FootnoteText"/>
      </w:pPr>
      <w:r>
        <w:rPr>
          <w:rStyle w:val="FootnoteReference"/>
        </w:rPr>
        <w:footnoteRef/>
      </w:r>
      <w:r>
        <w:t xml:space="preserve"> </w:t>
      </w:r>
      <w:r w:rsidRPr="008B78B3">
        <w:rPr>
          <w:rFonts w:ascii="Times New Roman" w:hAnsi="Times New Roman"/>
        </w:rPr>
        <w:t>Atbilstoši Administratīvo teritoriju un apdzīvoto vietu likuma 8.pantam  novadu teritoriālās vienības ir novada pilsētas vai pagasti.</w:t>
      </w:r>
    </w:p>
  </w:footnote>
  <w:footnote w:id="22">
    <w:p w:rsidR="00EC0D87" w:rsidRPr="00FF373C" w:rsidRDefault="00EC0D87" w:rsidP="00EC0D87">
      <w:pPr>
        <w:pStyle w:val="FootnoteText"/>
      </w:pPr>
      <w:r>
        <w:rPr>
          <w:rStyle w:val="FootnoteReference"/>
        </w:rPr>
        <w:footnoteRef/>
      </w:r>
      <w:r>
        <w:t xml:space="preserve"> </w:t>
      </w:r>
      <w:r w:rsidRPr="008B78B3">
        <w:rPr>
          <w:rFonts w:ascii="Times New Roman" w:hAnsi="Times New Roman"/>
        </w:rPr>
        <w:t>Novadu pašvaldību grupā ar lietotāju skaitu līdz 50 ietilpst 31 pašvaldība vai novada teritoriālā vienība , grupā no 50 līdz 500 – 61 pašvaldība vai novada teritoriālā vienība un grupā ar lietotāju skaitu virs 500 – 46 pašvaldības vai novada teritoriālās vienības, kurās siltumapgāde tiek nodrošināta centralizēti.</w:t>
      </w:r>
    </w:p>
  </w:footnote>
  <w:footnote w:id="23">
    <w:p w:rsidR="00EC0D87" w:rsidRPr="008C4049" w:rsidRDefault="00EC0D87" w:rsidP="00EC0D87">
      <w:pPr>
        <w:pStyle w:val="FootnoteText"/>
      </w:pPr>
      <w:r>
        <w:rPr>
          <w:rStyle w:val="FootnoteReference"/>
        </w:rPr>
        <w:footnoteRef/>
      </w:r>
      <w:r>
        <w:t xml:space="preserve"> </w:t>
      </w:r>
      <w:r w:rsidRPr="008B78B3">
        <w:rPr>
          <w:rFonts w:ascii="Times New Roman" w:hAnsi="Times New Roman"/>
        </w:rPr>
        <w:t xml:space="preserve">MK noteikumi </w:t>
      </w:r>
      <w:proofErr w:type="spellStart"/>
      <w:r w:rsidRPr="008B78B3">
        <w:rPr>
          <w:rFonts w:ascii="Times New Roman" w:hAnsi="Times New Roman"/>
        </w:rPr>
        <w:t>Nr</w:t>
      </w:r>
      <w:proofErr w:type="spellEnd"/>
      <w:r w:rsidRPr="008B78B3">
        <w:rPr>
          <w:rFonts w:ascii="Times New Roman" w:hAnsi="Times New Roman"/>
        </w:rPr>
        <w:t xml:space="preserve">. 262 aizstāj Ministru kabineta 2009. gada 24. februāra noteikumus </w:t>
      </w:r>
      <w:proofErr w:type="spellStart"/>
      <w:r w:rsidRPr="008B78B3">
        <w:rPr>
          <w:rFonts w:ascii="Times New Roman" w:hAnsi="Times New Roman"/>
        </w:rPr>
        <w:t>Nr</w:t>
      </w:r>
      <w:proofErr w:type="spellEnd"/>
      <w:r w:rsidRPr="008B78B3">
        <w:rPr>
          <w:rFonts w:ascii="Times New Roman" w:hAnsi="Times New Roman"/>
        </w:rPr>
        <w:t>. 198 „Noteikumi par elektroenerģijas ražošanu, izmantojot atjaunojamos energoresursus, un cenu noteikšanas kārtību”.</w:t>
      </w:r>
    </w:p>
  </w:footnote>
  <w:footnote w:id="24">
    <w:p w:rsidR="00EC0D87" w:rsidRPr="00226A8E" w:rsidRDefault="00EC0D87" w:rsidP="00EC0D87">
      <w:pPr>
        <w:pStyle w:val="FootnoteText"/>
      </w:pPr>
      <w:r w:rsidRPr="008C4049">
        <w:rPr>
          <w:rStyle w:val="FootnoteReference"/>
          <w:sz w:val="20"/>
          <w:szCs w:val="20"/>
        </w:rPr>
        <w:footnoteRef/>
      </w:r>
      <w:r w:rsidRPr="008C4049">
        <w:t xml:space="preserve"> </w:t>
      </w:r>
      <w:r w:rsidRPr="008B78B3">
        <w:rPr>
          <w:rFonts w:ascii="Times New Roman" w:hAnsi="Times New Roman"/>
        </w:rPr>
        <w:t>MK noteikumi Nr.221 aizstāj Ministru kabineta  2006. gada 6. novembra noteikumus Nr.921 „Noteikumi par elektroenerģijas ražošanu koģenerācijā”.</w:t>
      </w:r>
    </w:p>
  </w:footnote>
  <w:footnote w:id="25">
    <w:p w:rsidR="00EC0D87" w:rsidRPr="00226A8E" w:rsidRDefault="00EC0D87" w:rsidP="00EC0D87">
      <w:pPr>
        <w:pStyle w:val="FootnoteText"/>
      </w:pPr>
      <w:r>
        <w:rPr>
          <w:rStyle w:val="FootnoteReference"/>
        </w:rPr>
        <w:footnoteRef/>
      </w:r>
      <w:r>
        <w:t xml:space="preserve"> </w:t>
      </w:r>
      <w:r w:rsidRPr="008B78B3">
        <w:rPr>
          <w:rFonts w:ascii="Times New Roman" w:hAnsi="Times New Roman"/>
        </w:rPr>
        <w:t>Avots: Valsts ieņēmumu dienests</w:t>
      </w:r>
    </w:p>
  </w:footnote>
  <w:footnote w:id="26">
    <w:p w:rsidR="00EC0D87" w:rsidRPr="00226A8E" w:rsidRDefault="00EC0D87" w:rsidP="00EC0D87">
      <w:pPr>
        <w:pStyle w:val="FootnoteText"/>
      </w:pPr>
      <w:r w:rsidRPr="009B56B4">
        <w:rPr>
          <w:rStyle w:val="FootnoteReference"/>
          <w:i/>
        </w:rPr>
        <w:footnoteRef/>
      </w:r>
      <w:r w:rsidRPr="009B56B4">
        <w:t xml:space="preserve"> </w:t>
      </w:r>
      <w:r w:rsidRPr="008B78B3">
        <w:rPr>
          <w:rFonts w:ascii="Times New Roman" w:hAnsi="Times New Roman"/>
        </w:rPr>
        <w:t xml:space="preserve">Informatīvais ziņojums „Par situāciju biodegvielas ražošanas nozarē” </w:t>
      </w:r>
      <w:r w:rsidRPr="008B78B3">
        <w:rPr>
          <w:rFonts w:ascii="Times New Roman" w:hAnsi="Times New Roman"/>
          <w:szCs w:val="28"/>
        </w:rPr>
        <w:t xml:space="preserve">(TA-1804) (23.04.2013. </w:t>
      </w:r>
      <w:proofErr w:type="spellStart"/>
      <w:r w:rsidRPr="008B78B3">
        <w:rPr>
          <w:rFonts w:ascii="Times New Roman" w:hAnsi="Times New Roman"/>
          <w:szCs w:val="28"/>
        </w:rPr>
        <w:t>prot</w:t>
      </w:r>
      <w:proofErr w:type="spellEnd"/>
      <w:r w:rsidRPr="008B78B3">
        <w:rPr>
          <w:rFonts w:ascii="Times New Roman" w:hAnsi="Times New Roman"/>
          <w:szCs w:val="28"/>
        </w:rPr>
        <w:t xml:space="preserve">. Nr.23, </w:t>
      </w:r>
      <w:r w:rsidRPr="008B78B3">
        <w:rPr>
          <w:rFonts w:ascii="Times New Roman" w:hAnsi="Times New Roman"/>
          <w:bCs/>
          <w:color w:val="000000"/>
          <w:szCs w:val="28"/>
        </w:rPr>
        <w:t xml:space="preserve">31.§). Pieejams: </w:t>
      </w:r>
      <w:r w:rsidR="008B78B3" w:rsidRPr="008B78B3">
        <w:rPr>
          <w:rFonts w:ascii="Times New Roman" w:hAnsi="Times New Roman"/>
          <w:bCs/>
          <w:i/>
          <w:szCs w:val="28"/>
        </w:rPr>
        <w:t>http://www.mk.gov.lv/lv/mk/tap/?pid=40248005</w:t>
      </w:r>
      <w:r w:rsidRPr="008B78B3">
        <w:rPr>
          <w:rFonts w:ascii="Times New Roman" w:hAnsi="Times New Roman"/>
          <w:bCs/>
          <w:color w:val="000000"/>
          <w:szCs w:val="28"/>
        </w:rPr>
        <w:t>.</w:t>
      </w:r>
    </w:p>
  </w:footnote>
  <w:footnote w:id="27">
    <w:p w:rsidR="00EC0D87" w:rsidRPr="008B78B3" w:rsidRDefault="00EC0D87" w:rsidP="00EC0D87">
      <w:pPr>
        <w:pStyle w:val="FootnoteText"/>
        <w:rPr>
          <w:rFonts w:ascii="Times New Roman" w:hAnsi="Times New Roman"/>
        </w:rPr>
      </w:pPr>
      <w:r w:rsidRPr="00C00A11">
        <w:rPr>
          <w:rStyle w:val="FootnoteReference"/>
        </w:rPr>
        <w:footnoteRef/>
      </w:r>
      <w:r w:rsidRPr="00C00A11">
        <w:t xml:space="preserve"> </w:t>
      </w:r>
      <w:r w:rsidRPr="00001C5C">
        <w:t xml:space="preserve">- </w:t>
      </w:r>
      <w:proofErr w:type="spellStart"/>
      <w:r w:rsidRPr="008B78B3">
        <w:rPr>
          <w:rFonts w:ascii="Times New Roman" w:hAnsi="Times New Roman"/>
        </w:rPr>
        <w:t>J.Strūbergs</w:t>
      </w:r>
      <w:proofErr w:type="spellEnd"/>
      <w:r w:rsidRPr="008B78B3">
        <w:rPr>
          <w:rFonts w:ascii="Times New Roman" w:hAnsi="Times New Roman"/>
        </w:rPr>
        <w:t xml:space="preserve">, K.Siļķe „Latvijas mazo upju </w:t>
      </w:r>
      <w:proofErr w:type="spellStart"/>
      <w:r w:rsidRPr="008B78B3">
        <w:rPr>
          <w:rFonts w:ascii="Times New Roman" w:hAnsi="Times New Roman"/>
        </w:rPr>
        <w:t>hidroenerģētiskā</w:t>
      </w:r>
      <w:proofErr w:type="spellEnd"/>
      <w:r w:rsidRPr="008B78B3">
        <w:rPr>
          <w:rFonts w:ascii="Times New Roman" w:hAnsi="Times New Roman"/>
        </w:rPr>
        <w:t xml:space="preserve"> potenciāla novērtējums”, Jelgava, 1999.</w:t>
      </w:r>
    </w:p>
  </w:footnote>
  <w:footnote w:id="28">
    <w:p w:rsidR="00EC0D87" w:rsidRPr="00D16CC5" w:rsidRDefault="00EC0D87" w:rsidP="00EC0D87">
      <w:pPr>
        <w:pStyle w:val="FootnoteText"/>
      </w:pPr>
      <w:r w:rsidRPr="008B78B3">
        <w:rPr>
          <w:rStyle w:val="FootnoteReference"/>
          <w:sz w:val="20"/>
          <w:szCs w:val="20"/>
        </w:rPr>
        <w:footnoteRef/>
      </w:r>
      <w:r w:rsidRPr="008B78B3">
        <w:rPr>
          <w:rFonts w:ascii="Times New Roman" w:hAnsi="Times New Roman"/>
        </w:rPr>
        <w:t xml:space="preserve"> - </w:t>
      </w:r>
      <w:r w:rsidRPr="008B78B3">
        <w:rPr>
          <w:rStyle w:val="FootnoteReference"/>
          <w:sz w:val="20"/>
          <w:szCs w:val="20"/>
          <w:vertAlign w:val="baseline"/>
        </w:rPr>
        <w:t xml:space="preserve">Atjaunojamo energoresursu programma, 2000. Sagatavojusi COWI </w:t>
      </w:r>
      <w:proofErr w:type="spellStart"/>
      <w:r w:rsidRPr="008B78B3">
        <w:rPr>
          <w:rStyle w:val="FootnoteReference"/>
          <w:sz w:val="20"/>
          <w:szCs w:val="20"/>
          <w:vertAlign w:val="baseline"/>
        </w:rPr>
        <w:t>Engineers</w:t>
      </w:r>
      <w:proofErr w:type="spellEnd"/>
      <w:r w:rsidRPr="008B78B3">
        <w:rPr>
          <w:rStyle w:val="FootnoteReference"/>
          <w:sz w:val="20"/>
          <w:szCs w:val="20"/>
          <w:vertAlign w:val="baseline"/>
        </w:rPr>
        <w:t xml:space="preserve"> </w:t>
      </w:r>
      <w:proofErr w:type="spellStart"/>
      <w:r w:rsidRPr="008B78B3">
        <w:rPr>
          <w:rStyle w:val="FootnoteReference"/>
          <w:sz w:val="20"/>
          <w:szCs w:val="20"/>
          <w:vertAlign w:val="baseline"/>
        </w:rPr>
        <w:t>and</w:t>
      </w:r>
      <w:proofErr w:type="spellEnd"/>
      <w:r w:rsidRPr="008B78B3">
        <w:rPr>
          <w:rStyle w:val="FootnoteReference"/>
          <w:sz w:val="20"/>
          <w:szCs w:val="20"/>
          <w:vertAlign w:val="baseline"/>
        </w:rPr>
        <w:t xml:space="preserve"> </w:t>
      </w:r>
      <w:proofErr w:type="spellStart"/>
      <w:r w:rsidRPr="008B78B3">
        <w:rPr>
          <w:rStyle w:val="FootnoteReference"/>
          <w:sz w:val="20"/>
          <w:szCs w:val="20"/>
          <w:vertAlign w:val="baseline"/>
        </w:rPr>
        <w:t>Planners</w:t>
      </w:r>
      <w:proofErr w:type="spellEnd"/>
      <w:r w:rsidRPr="008B78B3">
        <w:rPr>
          <w:rStyle w:val="FootnoteReference"/>
          <w:sz w:val="20"/>
          <w:szCs w:val="20"/>
          <w:vertAlign w:val="baseline"/>
        </w:rPr>
        <w:t xml:space="preserve"> AS-</w:t>
      </w:r>
      <w:proofErr w:type="spellStart"/>
      <w:r w:rsidRPr="008B78B3">
        <w:rPr>
          <w:rStyle w:val="FootnoteReference"/>
          <w:sz w:val="20"/>
          <w:szCs w:val="20"/>
          <w:vertAlign w:val="baseline"/>
        </w:rPr>
        <w:t>Bkb</w:t>
      </w:r>
      <w:proofErr w:type="spellEnd"/>
      <w:r w:rsidRPr="008B78B3">
        <w:rPr>
          <w:rStyle w:val="FootnoteReference"/>
          <w:sz w:val="20"/>
          <w:szCs w:val="20"/>
          <w:vertAlign w:val="baseline"/>
        </w:rPr>
        <w:t xml:space="preserve"> EC DG1A LR Ekonomikas ministrijas uzdevumā</w:t>
      </w:r>
      <w:r w:rsidRPr="008B78B3">
        <w:rPr>
          <w:rFonts w:ascii="Times New Roman" w:hAnsi="Times New Roman"/>
        </w:rPr>
        <w:t xml:space="preserve"> un saskaņā ar </w:t>
      </w:r>
      <w:proofErr w:type="spellStart"/>
      <w:r w:rsidRPr="008B78B3">
        <w:rPr>
          <w:rStyle w:val="FootnoteReference"/>
          <w:sz w:val="20"/>
          <w:szCs w:val="20"/>
          <w:vertAlign w:val="baseline"/>
        </w:rPr>
        <w:t>Phare</w:t>
      </w:r>
      <w:proofErr w:type="spellEnd"/>
      <w:r w:rsidRPr="008B78B3">
        <w:rPr>
          <w:rStyle w:val="FootnoteReference"/>
          <w:sz w:val="20"/>
          <w:szCs w:val="20"/>
          <w:vertAlign w:val="baseline"/>
        </w:rPr>
        <w:t xml:space="preserve"> Enerģētikas sektora līguma Nr.SFR96/04</w:t>
      </w:r>
      <w:r w:rsidRPr="008B78B3">
        <w:rPr>
          <w:rFonts w:ascii="Times New Roman" w:hAnsi="Times New Roman"/>
        </w:rPr>
        <w:t>.</w:t>
      </w:r>
    </w:p>
  </w:footnote>
  <w:footnote w:id="29">
    <w:p w:rsidR="00EC0D87" w:rsidRDefault="00EC0D87" w:rsidP="00EC0D87">
      <w:pPr>
        <w:pStyle w:val="FootnoteText"/>
      </w:pPr>
      <w:r>
        <w:rPr>
          <w:rStyle w:val="FootnoteReference"/>
        </w:rPr>
        <w:footnoteRef/>
      </w:r>
      <w:r>
        <w:t xml:space="preserve"> </w:t>
      </w:r>
      <w:r w:rsidRPr="00826E2F">
        <w:rPr>
          <w:rFonts w:ascii="Times New Roman" w:hAnsi="Times New Roman"/>
        </w:rPr>
        <w:t xml:space="preserve">Pieejams: </w:t>
      </w:r>
      <w:r w:rsidR="008B78B3" w:rsidRPr="008B78B3">
        <w:rPr>
          <w:rFonts w:ascii="Times New Roman" w:hAnsi="Times New Roman"/>
        </w:rPr>
        <w:t>http://www.em.gov.lv/em/2nd/em/2nd/?cat=30981</w:t>
      </w:r>
      <w:r>
        <w:t xml:space="preserve"> </w:t>
      </w:r>
    </w:p>
  </w:footnote>
  <w:footnote w:id="30">
    <w:p w:rsidR="00EC0D87" w:rsidRPr="00D16CC5" w:rsidRDefault="00EC0D87" w:rsidP="00EC0D87">
      <w:pPr>
        <w:pStyle w:val="FootnoteText"/>
      </w:pPr>
      <w:r>
        <w:rPr>
          <w:rStyle w:val="FootnoteReference"/>
          <w:rFonts w:eastAsiaTheme="majorEastAsia"/>
        </w:rPr>
        <w:footnoteRef/>
      </w:r>
      <w:r>
        <w:t xml:space="preserve"> </w:t>
      </w:r>
      <w:r w:rsidRPr="00D16CC5">
        <w:t>Sabiedriskā transporta pakalpojumu likums, 14.06.2007.</w:t>
      </w:r>
    </w:p>
  </w:footnote>
  <w:footnote w:id="31">
    <w:p w:rsidR="00EC0D87" w:rsidRDefault="00EC0D87" w:rsidP="00EC0D87">
      <w:pPr>
        <w:pStyle w:val="FootnoteText"/>
      </w:pPr>
      <w:r>
        <w:rPr>
          <w:rStyle w:val="FootnoteReference"/>
        </w:rPr>
        <w:footnoteRef/>
      </w:r>
      <w:r>
        <w:t xml:space="preserve"> </w:t>
      </w:r>
      <w:r w:rsidRPr="00422D8F">
        <w:rPr>
          <w:rFonts w:ascii="Times New Roman" w:hAnsi="Times New Roman"/>
        </w:rPr>
        <w:t>Avots: CSP</w:t>
      </w:r>
    </w:p>
  </w:footnote>
  <w:footnote w:id="32">
    <w:p w:rsidR="00EC0D87" w:rsidRDefault="00EC0D87" w:rsidP="00EC0D87">
      <w:pPr>
        <w:pStyle w:val="FootnoteText"/>
      </w:pPr>
      <w:r>
        <w:rPr>
          <w:rStyle w:val="FootnoteReference"/>
        </w:rPr>
        <w:footnoteRef/>
      </w:r>
      <w:r>
        <w:t xml:space="preserve"> </w:t>
      </w:r>
      <w:r w:rsidRPr="00422D8F">
        <w:rPr>
          <w:rFonts w:ascii="Times New Roman" w:hAnsi="Times New Roman"/>
        </w:rPr>
        <w:t>Avots: Zemkopības ministrija</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B611A2"/>
    <w:multiLevelType w:val="hybridMultilevel"/>
    <w:tmpl w:val="4EDCE64E"/>
    <w:lvl w:ilvl="0" w:tplc="04260001">
      <w:start w:val="1"/>
      <w:numFmt w:val="bullet"/>
      <w:lvlText w:val=""/>
      <w:lvlJc w:val="left"/>
      <w:pPr>
        <w:tabs>
          <w:tab w:val="num" w:pos="1080"/>
        </w:tabs>
        <w:ind w:left="1080" w:hanging="360"/>
      </w:pPr>
      <w:rPr>
        <w:rFonts w:ascii="Symbol" w:hAnsi="Symbol" w:hint="default"/>
      </w:rPr>
    </w:lvl>
    <w:lvl w:ilvl="1" w:tplc="04260003" w:tentative="1">
      <w:start w:val="1"/>
      <w:numFmt w:val="bullet"/>
      <w:lvlText w:val="o"/>
      <w:lvlJc w:val="left"/>
      <w:pPr>
        <w:tabs>
          <w:tab w:val="num" w:pos="1800"/>
        </w:tabs>
        <w:ind w:left="1800" w:hanging="360"/>
      </w:pPr>
      <w:rPr>
        <w:rFonts w:ascii="Courier New" w:hAnsi="Courier New" w:cs="Courier New" w:hint="default"/>
      </w:rPr>
    </w:lvl>
    <w:lvl w:ilvl="2" w:tplc="04260005" w:tentative="1">
      <w:start w:val="1"/>
      <w:numFmt w:val="bullet"/>
      <w:lvlText w:val=""/>
      <w:lvlJc w:val="left"/>
      <w:pPr>
        <w:tabs>
          <w:tab w:val="num" w:pos="2520"/>
        </w:tabs>
        <w:ind w:left="2520" w:hanging="360"/>
      </w:pPr>
      <w:rPr>
        <w:rFonts w:ascii="Wingdings" w:hAnsi="Wingdings" w:hint="default"/>
      </w:rPr>
    </w:lvl>
    <w:lvl w:ilvl="3" w:tplc="04260001" w:tentative="1">
      <w:start w:val="1"/>
      <w:numFmt w:val="bullet"/>
      <w:lvlText w:val=""/>
      <w:lvlJc w:val="left"/>
      <w:pPr>
        <w:tabs>
          <w:tab w:val="num" w:pos="3240"/>
        </w:tabs>
        <w:ind w:left="3240" w:hanging="360"/>
      </w:pPr>
      <w:rPr>
        <w:rFonts w:ascii="Symbol" w:hAnsi="Symbol" w:hint="default"/>
      </w:rPr>
    </w:lvl>
    <w:lvl w:ilvl="4" w:tplc="04260003" w:tentative="1">
      <w:start w:val="1"/>
      <w:numFmt w:val="bullet"/>
      <w:lvlText w:val="o"/>
      <w:lvlJc w:val="left"/>
      <w:pPr>
        <w:tabs>
          <w:tab w:val="num" w:pos="3960"/>
        </w:tabs>
        <w:ind w:left="3960" w:hanging="360"/>
      </w:pPr>
      <w:rPr>
        <w:rFonts w:ascii="Courier New" w:hAnsi="Courier New" w:cs="Courier New" w:hint="default"/>
      </w:rPr>
    </w:lvl>
    <w:lvl w:ilvl="5" w:tplc="04260005" w:tentative="1">
      <w:start w:val="1"/>
      <w:numFmt w:val="bullet"/>
      <w:lvlText w:val=""/>
      <w:lvlJc w:val="left"/>
      <w:pPr>
        <w:tabs>
          <w:tab w:val="num" w:pos="4680"/>
        </w:tabs>
        <w:ind w:left="4680" w:hanging="360"/>
      </w:pPr>
      <w:rPr>
        <w:rFonts w:ascii="Wingdings" w:hAnsi="Wingdings" w:hint="default"/>
      </w:rPr>
    </w:lvl>
    <w:lvl w:ilvl="6" w:tplc="04260001" w:tentative="1">
      <w:start w:val="1"/>
      <w:numFmt w:val="bullet"/>
      <w:lvlText w:val=""/>
      <w:lvlJc w:val="left"/>
      <w:pPr>
        <w:tabs>
          <w:tab w:val="num" w:pos="5400"/>
        </w:tabs>
        <w:ind w:left="5400" w:hanging="360"/>
      </w:pPr>
      <w:rPr>
        <w:rFonts w:ascii="Symbol" w:hAnsi="Symbol" w:hint="default"/>
      </w:rPr>
    </w:lvl>
    <w:lvl w:ilvl="7" w:tplc="04260003" w:tentative="1">
      <w:start w:val="1"/>
      <w:numFmt w:val="bullet"/>
      <w:lvlText w:val="o"/>
      <w:lvlJc w:val="left"/>
      <w:pPr>
        <w:tabs>
          <w:tab w:val="num" w:pos="6120"/>
        </w:tabs>
        <w:ind w:left="6120" w:hanging="360"/>
      </w:pPr>
      <w:rPr>
        <w:rFonts w:ascii="Courier New" w:hAnsi="Courier New" w:cs="Courier New" w:hint="default"/>
      </w:rPr>
    </w:lvl>
    <w:lvl w:ilvl="8" w:tplc="04260005" w:tentative="1">
      <w:start w:val="1"/>
      <w:numFmt w:val="bullet"/>
      <w:lvlText w:val=""/>
      <w:lvlJc w:val="left"/>
      <w:pPr>
        <w:tabs>
          <w:tab w:val="num" w:pos="6840"/>
        </w:tabs>
        <w:ind w:left="6840" w:hanging="360"/>
      </w:pPr>
      <w:rPr>
        <w:rFonts w:ascii="Wingdings" w:hAnsi="Wingdings" w:hint="default"/>
      </w:rPr>
    </w:lvl>
  </w:abstractNum>
  <w:abstractNum w:abstractNumId="1">
    <w:nsid w:val="081C3AC1"/>
    <w:multiLevelType w:val="hybridMultilevel"/>
    <w:tmpl w:val="4E684BCA"/>
    <w:lvl w:ilvl="0" w:tplc="B3C042D6">
      <w:start w:val="1"/>
      <w:numFmt w:val="decimal"/>
      <w:lvlText w:val="(%1)"/>
      <w:lvlJc w:val="left"/>
      <w:pPr>
        <w:ind w:left="644" w:hanging="360"/>
      </w:pPr>
      <w:rPr>
        <w:rFonts w:hint="default"/>
      </w:rPr>
    </w:lvl>
    <w:lvl w:ilvl="1" w:tplc="04090001">
      <w:start w:val="1"/>
      <w:numFmt w:val="bullet"/>
      <w:lvlText w:val=""/>
      <w:lvlJc w:val="left"/>
      <w:pPr>
        <w:ind w:left="1440" w:hanging="360"/>
      </w:pPr>
      <w:rPr>
        <w:rFonts w:ascii="Symbol" w:hAnsi="Symbol" w:hint="default"/>
      </w:rPr>
    </w:lvl>
    <w:lvl w:ilvl="2" w:tplc="0426001B">
      <w:start w:val="1"/>
      <w:numFmt w:val="lowerRoman"/>
      <w:lvlText w:val="%3."/>
      <w:lvlJc w:val="right"/>
      <w:pPr>
        <w:ind w:left="2160" w:hanging="180"/>
      </w:pPr>
    </w:lvl>
    <w:lvl w:ilvl="3" w:tplc="9B186A50">
      <w:start w:val="1"/>
      <w:numFmt w:val="decimal"/>
      <w:lvlText w:val="%4."/>
      <w:lvlJc w:val="left"/>
      <w:pPr>
        <w:ind w:left="2880" w:hanging="360"/>
      </w:pPr>
      <w:rPr>
        <w:rFonts w:hint="default"/>
      </w:r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nsid w:val="0AF51AA6"/>
    <w:multiLevelType w:val="hybridMultilevel"/>
    <w:tmpl w:val="535EA388"/>
    <w:lvl w:ilvl="0" w:tplc="04260001">
      <w:start w:val="1"/>
      <w:numFmt w:val="bullet"/>
      <w:lvlText w:val=""/>
      <w:lvlJc w:val="left"/>
      <w:pPr>
        <w:ind w:left="1429" w:hanging="360"/>
      </w:pPr>
      <w:rPr>
        <w:rFonts w:ascii="Symbol" w:hAnsi="Symbol" w:hint="default"/>
      </w:rPr>
    </w:lvl>
    <w:lvl w:ilvl="1" w:tplc="04260003" w:tentative="1">
      <w:start w:val="1"/>
      <w:numFmt w:val="bullet"/>
      <w:lvlText w:val="o"/>
      <w:lvlJc w:val="left"/>
      <w:pPr>
        <w:ind w:left="2149" w:hanging="360"/>
      </w:pPr>
      <w:rPr>
        <w:rFonts w:ascii="Courier New" w:hAnsi="Courier New" w:cs="Courier New" w:hint="default"/>
      </w:rPr>
    </w:lvl>
    <w:lvl w:ilvl="2" w:tplc="04260005" w:tentative="1">
      <w:start w:val="1"/>
      <w:numFmt w:val="bullet"/>
      <w:lvlText w:val=""/>
      <w:lvlJc w:val="left"/>
      <w:pPr>
        <w:ind w:left="2869" w:hanging="360"/>
      </w:pPr>
      <w:rPr>
        <w:rFonts w:ascii="Wingdings" w:hAnsi="Wingdings" w:hint="default"/>
      </w:rPr>
    </w:lvl>
    <w:lvl w:ilvl="3" w:tplc="04260001" w:tentative="1">
      <w:start w:val="1"/>
      <w:numFmt w:val="bullet"/>
      <w:lvlText w:val=""/>
      <w:lvlJc w:val="left"/>
      <w:pPr>
        <w:ind w:left="3589" w:hanging="360"/>
      </w:pPr>
      <w:rPr>
        <w:rFonts w:ascii="Symbol" w:hAnsi="Symbol" w:hint="default"/>
      </w:rPr>
    </w:lvl>
    <w:lvl w:ilvl="4" w:tplc="04260003" w:tentative="1">
      <w:start w:val="1"/>
      <w:numFmt w:val="bullet"/>
      <w:lvlText w:val="o"/>
      <w:lvlJc w:val="left"/>
      <w:pPr>
        <w:ind w:left="4309" w:hanging="360"/>
      </w:pPr>
      <w:rPr>
        <w:rFonts w:ascii="Courier New" w:hAnsi="Courier New" w:cs="Courier New" w:hint="default"/>
      </w:rPr>
    </w:lvl>
    <w:lvl w:ilvl="5" w:tplc="04260005" w:tentative="1">
      <w:start w:val="1"/>
      <w:numFmt w:val="bullet"/>
      <w:lvlText w:val=""/>
      <w:lvlJc w:val="left"/>
      <w:pPr>
        <w:ind w:left="5029" w:hanging="360"/>
      </w:pPr>
      <w:rPr>
        <w:rFonts w:ascii="Wingdings" w:hAnsi="Wingdings" w:hint="default"/>
      </w:rPr>
    </w:lvl>
    <w:lvl w:ilvl="6" w:tplc="04260001" w:tentative="1">
      <w:start w:val="1"/>
      <w:numFmt w:val="bullet"/>
      <w:lvlText w:val=""/>
      <w:lvlJc w:val="left"/>
      <w:pPr>
        <w:ind w:left="5749" w:hanging="360"/>
      </w:pPr>
      <w:rPr>
        <w:rFonts w:ascii="Symbol" w:hAnsi="Symbol" w:hint="default"/>
      </w:rPr>
    </w:lvl>
    <w:lvl w:ilvl="7" w:tplc="04260003" w:tentative="1">
      <w:start w:val="1"/>
      <w:numFmt w:val="bullet"/>
      <w:lvlText w:val="o"/>
      <w:lvlJc w:val="left"/>
      <w:pPr>
        <w:ind w:left="6469" w:hanging="360"/>
      </w:pPr>
      <w:rPr>
        <w:rFonts w:ascii="Courier New" w:hAnsi="Courier New" w:cs="Courier New" w:hint="default"/>
      </w:rPr>
    </w:lvl>
    <w:lvl w:ilvl="8" w:tplc="04260005" w:tentative="1">
      <w:start w:val="1"/>
      <w:numFmt w:val="bullet"/>
      <w:lvlText w:val=""/>
      <w:lvlJc w:val="left"/>
      <w:pPr>
        <w:ind w:left="7189" w:hanging="360"/>
      </w:pPr>
      <w:rPr>
        <w:rFonts w:ascii="Wingdings" w:hAnsi="Wingdings" w:hint="default"/>
      </w:rPr>
    </w:lvl>
  </w:abstractNum>
  <w:abstractNum w:abstractNumId="3">
    <w:nsid w:val="1A0D201B"/>
    <w:multiLevelType w:val="hybridMultilevel"/>
    <w:tmpl w:val="EB5AA40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ADA5DCB"/>
    <w:multiLevelType w:val="hybridMultilevel"/>
    <w:tmpl w:val="F1E0E1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B891DDF"/>
    <w:multiLevelType w:val="multilevel"/>
    <w:tmpl w:val="05B4398E"/>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6">
    <w:nsid w:val="1FFD58C3"/>
    <w:multiLevelType w:val="hybridMultilevel"/>
    <w:tmpl w:val="BFE64BC2"/>
    <w:lvl w:ilvl="0" w:tplc="CBCE4AFA">
      <w:numFmt w:val="bullet"/>
      <w:lvlText w:val="-"/>
      <w:lvlJc w:val="left"/>
      <w:pPr>
        <w:ind w:left="1429" w:hanging="360"/>
      </w:pPr>
      <w:rPr>
        <w:rFonts w:ascii="Times New Roman" w:eastAsiaTheme="minorHAnsi" w:hAnsi="Times New Roman" w:cs="Times New Roman" w:hint="default"/>
      </w:rPr>
    </w:lvl>
    <w:lvl w:ilvl="1" w:tplc="04260003" w:tentative="1">
      <w:start w:val="1"/>
      <w:numFmt w:val="bullet"/>
      <w:lvlText w:val="o"/>
      <w:lvlJc w:val="left"/>
      <w:pPr>
        <w:ind w:left="2149" w:hanging="360"/>
      </w:pPr>
      <w:rPr>
        <w:rFonts w:ascii="Courier New" w:hAnsi="Courier New" w:cs="Courier New" w:hint="default"/>
      </w:rPr>
    </w:lvl>
    <w:lvl w:ilvl="2" w:tplc="04260005" w:tentative="1">
      <w:start w:val="1"/>
      <w:numFmt w:val="bullet"/>
      <w:lvlText w:val=""/>
      <w:lvlJc w:val="left"/>
      <w:pPr>
        <w:ind w:left="2869" w:hanging="360"/>
      </w:pPr>
      <w:rPr>
        <w:rFonts w:ascii="Wingdings" w:hAnsi="Wingdings" w:hint="default"/>
      </w:rPr>
    </w:lvl>
    <w:lvl w:ilvl="3" w:tplc="04260001" w:tentative="1">
      <w:start w:val="1"/>
      <w:numFmt w:val="bullet"/>
      <w:lvlText w:val=""/>
      <w:lvlJc w:val="left"/>
      <w:pPr>
        <w:ind w:left="3589" w:hanging="360"/>
      </w:pPr>
      <w:rPr>
        <w:rFonts w:ascii="Symbol" w:hAnsi="Symbol" w:hint="default"/>
      </w:rPr>
    </w:lvl>
    <w:lvl w:ilvl="4" w:tplc="04260003" w:tentative="1">
      <w:start w:val="1"/>
      <w:numFmt w:val="bullet"/>
      <w:lvlText w:val="o"/>
      <w:lvlJc w:val="left"/>
      <w:pPr>
        <w:ind w:left="4309" w:hanging="360"/>
      </w:pPr>
      <w:rPr>
        <w:rFonts w:ascii="Courier New" w:hAnsi="Courier New" w:cs="Courier New" w:hint="default"/>
      </w:rPr>
    </w:lvl>
    <w:lvl w:ilvl="5" w:tplc="04260005" w:tentative="1">
      <w:start w:val="1"/>
      <w:numFmt w:val="bullet"/>
      <w:lvlText w:val=""/>
      <w:lvlJc w:val="left"/>
      <w:pPr>
        <w:ind w:left="5029" w:hanging="360"/>
      </w:pPr>
      <w:rPr>
        <w:rFonts w:ascii="Wingdings" w:hAnsi="Wingdings" w:hint="default"/>
      </w:rPr>
    </w:lvl>
    <w:lvl w:ilvl="6" w:tplc="04260001" w:tentative="1">
      <w:start w:val="1"/>
      <w:numFmt w:val="bullet"/>
      <w:lvlText w:val=""/>
      <w:lvlJc w:val="left"/>
      <w:pPr>
        <w:ind w:left="5749" w:hanging="360"/>
      </w:pPr>
      <w:rPr>
        <w:rFonts w:ascii="Symbol" w:hAnsi="Symbol" w:hint="default"/>
      </w:rPr>
    </w:lvl>
    <w:lvl w:ilvl="7" w:tplc="04260003" w:tentative="1">
      <w:start w:val="1"/>
      <w:numFmt w:val="bullet"/>
      <w:lvlText w:val="o"/>
      <w:lvlJc w:val="left"/>
      <w:pPr>
        <w:ind w:left="6469" w:hanging="360"/>
      </w:pPr>
      <w:rPr>
        <w:rFonts w:ascii="Courier New" w:hAnsi="Courier New" w:cs="Courier New" w:hint="default"/>
      </w:rPr>
    </w:lvl>
    <w:lvl w:ilvl="8" w:tplc="04260005" w:tentative="1">
      <w:start w:val="1"/>
      <w:numFmt w:val="bullet"/>
      <w:lvlText w:val=""/>
      <w:lvlJc w:val="left"/>
      <w:pPr>
        <w:ind w:left="7189" w:hanging="360"/>
      </w:pPr>
      <w:rPr>
        <w:rFonts w:ascii="Wingdings" w:hAnsi="Wingdings" w:hint="default"/>
      </w:rPr>
    </w:lvl>
  </w:abstractNum>
  <w:abstractNum w:abstractNumId="7">
    <w:nsid w:val="294A3050"/>
    <w:multiLevelType w:val="hybridMultilevel"/>
    <w:tmpl w:val="6EBE0DD8"/>
    <w:lvl w:ilvl="0" w:tplc="B73AD356">
      <w:start w:val="7"/>
      <w:numFmt w:val="bullet"/>
      <w:lvlText w:val="-"/>
      <w:lvlJc w:val="left"/>
      <w:pPr>
        <w:ind w:left="1440" w:hanging="360"/>
      </w:pPr>
      <w:rPr>
        <w:rFonts w:ascii="Times New Roman" w:eastAsia="Times New Roman" w:hAnsi="Times New Roman"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31B7766B"/>
    <w:multiLevelType w:val="hybridMultilevel"/>
    <w:tmpl w:val="B09E51A2"/>
    <w:lvl w:ilvl="0" w:tplc="11788874">
      <w:start w:val="1"/>
      <w:numFmt w:val="lowerRoman"/>
      <w:lvlText w:val="%1."/>
      <w:lvlJc w:val="left"/>
      <w:pPr>
        <w:ind w:left="2160" w:hanging="720"/>
      </w:pPr>
      <w:rPr>
        <w:rFonts w:hint="default"/>
      </w:rPr>
    </w:lvl>
    <w:lvl w:ilvl="1" w:tplc="04260019">
      <w:start w:val="1"/>
      <w:numFmt w:val="lowerLetter"/>
      <w:lvlText w:val="%2."/>
      <w:lvlJc w:val="left"/>
      <w:pPr>
        <w:ind w:left="2520" w:hanging="360"/>
      </w:pPr>
    </w:lvl>
    <w:lvl w:ilvl="2" w:tplc="0426001B" w:tentative="1">
      <w:start w:val="1"/>
      <w:numFmt w:val="lowerRoman"/>
      <w:lvlText w:val="%3."/>
      <w:lvlJc w:val="right"/>
      <w:pPr>
        <w:ind w:left="3240" w:hanging="180"/>
      </w:pPr>
    </w:lvl>
    <w:lvl w:ilvl="3" w:tplc="0426000F" w:tentative="1">
      <w:start w:val="1"/>
      <w:numFmt w:val="decimal"/>
      <w:lvlText w:val="%4."/>
      <w:lvlJc w:val="left"/>
      <w:pPr>
        <w:ind w:left="3960" w:hanging="360"/>
      </w:pPr>
    </w:lvl>
    <w:lvl w:ilvl="4" w:tplc="04260019" w:tentative="1">
      <w:start w:val="1"/>
      <w:numFmt w:val="lowerLetter"/>
      <w:lvlText w:val="%5."/>
      <w:lvlJc w:val="left"/>
      <w:pPr>
        <w:ind w:left="4680" w:hanging="360"/>
      </w:pPr>
    </w:lvl>
    <w:lvl w:ilvl="5" w:tplc="0426001B" w:tentative="1">
      <w:start w:val="1"/>
      <w:numFmt w:val="lowerRoman"/>
      <w:lvlText w:val="%6."/>
      <w:lvlJc w:val="right"/>
      <w:pPr>
        <w:ind w:left="5400" w:hanging="180"/>
      </w:pPr>
    </w:lvl>
    <w:lvl w:ilvl="6" w:tplc="0426000F" w:tentative="1">
      <w:start w:val="1"/>
      <w:numFmt w:val="decimal"/>
      <w:lvlText w:val="%7."/>
      <w:lvlJc w:val="left"/>
      <w:pPr>
        <w:ind w:left="6120" w:hanging="360"/>
      </w:pPr>
    </w:lvl>
    <w:lvl w:ilvl="7" w:tplc="04260019" w:tentative="1">
      <w:start w:val="1"/>
      <w:numFmt w:val="lowerLetter"/>
      <w:lvlText w:val="%8."/>
      <w:lvlJc w:val="left"/>
      <w:pPr>
        <w:ind w:left="6840" w:hanging="360"/>
      </w:pPr>
    </w:lvl>
    <w:lvl w:ilvl="8" w:tplc="0426001B" w:tentative="1">
      <w:start w:val="1"/>
      <w:numFmt w:val="lowerRoman"/>
      <w:lvlText w:val="%9."/>
      <w:lvlJc w:val="right"/>
      <w:pPr>
        <w:ind w:left="7560" w:hanging="180"/>
      </w:pPr>
    </w:lvl>
  </w:abstractNum>
  <w:abstractNum w:abstractNumId="9">
    <w:nsid w:val="370D3C58"/>
    <w:multiLevelType w:val="hybridMultilevel"/>
    <w:tmpl w:val="D26AB160"/>
    <w:lvl w:ilvl="0" w:tplc="F9DC0634">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
    <w:nsid w:val="39A65829"/>
    <w:multiLevelType w:val="hybridMultilevel"/>
    <w:tmpl w:val="A4EA21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3B126A10"/>
    <w:multiLevelType w:val="hybridMultilevel"/>
    <w:tmpl w:val="F138B4FA"/>
    <w:lvl w:ilvl="0" w:tplc="04090001">
      <w:start w:val="1"/>
      <w:numFmt w:val="bullet"/>
      <w:lvlText w:val=""/>
      <w:lvlJc w:val="left"/>
      <w:pPr>
        <w:ind w:left="1080" w:hanging="360"/>
      </w:pPr>
      <w:rPr>
        <w:rFonts w:ascii="Symbol" w:hAnsi="Symbol"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2">
    <w:nsid w:val="3E1C0090"/>
    <w:multiLevelType w:val="hybridMultilevel"/>
    <w:tmpl w:val="5DBC865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nsid w:val="439038F0"/>
    <w:multiLevelType w:val="hybridMultilevel"/>
    <w:tmpl w:val="EE560F76"/>
    <w:lvl w:ilvl="0" w:tplc="89FAB674">
      <w:start w:val="2014"/>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
    <w:nsid w:val="45DB34C1"/>
    <w:multiLevelType w:val="hybridMultilevel"/>
    <w:tmpl w:val="AA4CA0E0"/>
    <w:lvl w:ilvl="0" w:tplc="FFFFFFFF">
      <w:start w:val="1"/>
      <w:numFmt w:val="bullet"/>
      <w:pStyle w:val="ListBullet2"/>
      <w:lvlText w:val=""/>
      <w:lvlJc w:val="left"/>
      <w:pPr>
        <w:tabs>
          <w:tab w:val="num" w:pos="1816"/>
        </w:tabs>
        <w:ind w:left="1816" w:hanging="556"/>
      </w:pPr>
      <w:rPr>
        <w:rFonts w:ascii="Symbol" w:hAnsi="Symbol" w:hint="default"/>
        <w:sz w:val="16"/>
        <w:szCs w:val="16"/>
      </w:rPr>
    </w:lvl>
    <w:lvl w:ilvl="1" w:tplc="FFFFFFFF" w:tentative="1">
      <w:start w:val="1"/>
      <w:numFmt w:val="bullet"/>
      <w:lvlText w:val="o"/>
      <w:lvlJc w:val="left"/>
      <w:pPr>
        <w:tabs>
          <w:tab w:val="num" w:pos="1980"/>
        </w:tabs>
        <w:ind w:left="1980" w:hanging="360"/>
      </w:pPr>
      <w:rPr>
        <w:rFonts w:ascii="Courier New" w:hAnsi="Courier New" w:cs="Courier New" w:hint="default"/>
      </w:rPr>
    </w:lvl>
    <w:lvl w:ilvl="2" w:tplc="FFFFFFFF" w:tentative="1">
      <w:start w:val="1"/>
      <w:numFmt w:val="bullet"/>
      <w:lvlText w:val=""/>
      <w:lvlJc w:val="left"/>
      <w:pPr>
        <w:tabs>
          <w:tab w:val="num" w:pos="2700"/>
        </w:tabs>
        <w:ind w:left="2700" w:hanging="360"/>
      </w:pPr>
      <w:rPr>
        <w:rFonts w:ascii="Wingdings" w:hAnsi="Wingdings" w:hint="default"/>
      </w:rPr>
    </w:lvl>
    <w:lvl w:ilvl="3" w:tplc="FFFFFFFF" w:tentative="1">
      <w:start w:val="1"/>
      <w:numFmt w:val="bullet"/>
      <w:lvlText w:val=""/>
      <w:lvlJc w:val="left"/>
      <w:pPr>
        <w:tabs>
          <w:tab w:val="num" w:pos="3420"/>
        </w:tabs>
        <w:ind w:left="3420" w:hanging="360"/>
      </w:pPr>
      <w:rPr>
        <w:rFonts w:ascii="Symbol" w:hAnsi="Symbol" w:hint="default"/>
      </w:rPr>
    </w:lvl>
    <w:lvl w:ilvl="4" w:tplc="FFFFFFFF" w:tentative="1">
      <w:start w:val="1"/>
      <w:numFmt w:val="bullet"/>
      <w:lvlText w:val="o"/>
      <w:lvlJc w:val="left"/>
      <w:pPr>
        <w:tabs>
          <w:tab w:val="num" w:pos="4140"/>
        </w:tabs>
        <w:ind w:left="4140" w:hanging="360"/>
      </w:pPr>
      <w:rPr>
        <w:rFonts w:ascii="Courier New" w:hAnsi="Courier New" w:cs="Courier New" w:hint="default"/>
      </w:rPr>
    </w:lvl>
    <w:lvl w:ilvl="5" w:tplc="FFFFFFFF" w:tentative="1">
      <w:start w:val="1"/>
      <w:numFmt w:val="bullet"/>
      <w:lvlText w:val=""/>
      <w:lvlJc w:val="left"/>
      <w:pPr>
        <w:tabs>
          <w:tab w:val="num" w:pos="4860"/>
        </w:tabs>
        <w:ind w:left="4860" w:hanging="360"/>
      </w:pPr>
      <w:rPr>
        <w:rFonts w:ascii="Wingdings" w:hAnsi="Wingdings" w:hint="default"/>
      </w:rPr>
    </w:lvl>
    <w:lvl w:ilvl="6" w:tplc="FFFFFFFF" w:tentative="1">
      <w:start w:val="1"/>
      <w:numFmt w:val="bullet"/>
      <w:lvlText w:val=""/>
      <w:lvlJc w:val="left"/>
      <w:pPr>
        <w:tabs>
          <w:tab w:val="num" w:pos="5580"/>
        </w:tabs>
        <w:ind w:left="5580" w:hanging="360"/>
      </w:pPr>
      <w:rPr>
        <w:rFonts w:ascii="Symbol" w:hAnsi="Symbol" w:hint="default"/>
      </w:rPr>
    </w:lvl>
    <w:lvl w:ilvl="7" w:tplc="FFFFFFFF" w:tentative="1">
      <w:start w:val="1"/>
      <w:numFmt w:val="bullet"/>
      <w:lvlText w:val="o"/>
      <w:lvlJc w:val="left"/>
      <w:pPr>
        <w:tabs>
          <w:tab w:val="num" w:pos="6300"/>
        </w:tabs>
        <w:ind w:left="6300" w:hanging="360"/>
      </w:pPr>
      <w:rPr>
        <w:rFonts w:ascii="Courier New" w:hAnsi="Courier New" w:cs="Courier New" w:hint="default"/>
      </w:rPr>
    </w:lvl>
    <w:lvl w:ilvl="8" w:tplc="FFFFFFFF" w:tentative="1">
      <w:start w:val="1"/>
      <w:numFmt w:val="bullet"/>
      <w:lvlText w:val=""/>
      <w:lvlJc w:val="left"/>
      <w:pPr>
        <w:tabs>
          <w:tab w:val="num" w:pos="7020"/>
        </w:tabs>
        <w:ind w:left="7020" w:hanging="360"/>
      </w:pPr>
      <w:rPr>
        <w:rFonts w:ascii="Wingdings" w:hAnsi="Wingdings" w:hint="default"/>
      </w:rPr>
    </w:lvl>
  </w:abstractNum>
  <w:abstractNum w:abstractNumId="15">
    <w:nsid w:val="47EA0E72"/>
    <w:multiLevelType w:val="hybridMultilevel"/>
    <w:tmpl w:val="9F0872B6"/>
    <w:lvl w:ilvl="0" w:tplc="51382266">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6">
    <w:nsid w:val="48411677"/>
    <w:multiLevelType w:val="hybridMultilevel"/>
    <w:tmpl w:val="8874344A"/>
    <w:lvl w:ilvl="0" w:tplc="04260001">
      <w:start w:val="1"/>
      <w:numFmt w:val="bullet"/>
      <w:lvlText w:val=""/>
      <w:lvlJc w:val="left"/>
      <w:pPr>
        <w:ind w:left="2160" w:hanging="360"/>
      </w:pPr>
      <w:rPr>
        <w:rFonts w:ascii="Symbol" w:hAnsi="Symbol" w:hint="default"/>
      </w:rPr>
    </w:lvl>
    <w:lvl w:ilvl="1" w:tplc="04260003" w:tentative="1">
      <w:start w:val="1"/>
      <w:numFmt w:val="bullet"/>
      <w:lvlText w:val="o"/>
      <w:lvlJc w:val="left"/>
      <w:pPr>
        <w:ind w:left="2880" w:hanging="360"/>
      </w:pPr>
      <w:rPr>
        <w:rFonts w:ascii="Courier New" w:hAnsi="Courier New" w:cs="Courier New" w:hint="default"/>
      </w:rPr>
    </w:lvl>
    <w:lvl w:ilvl="2" w:tplc="04260005" w:tentative="1">
      <w:start w:val="1"/>
      <w:numFmt w:val="bullet"/>
      <w:lvlText w:val=""/>
      <w:lvlJc w:val="left"/>
      <w:pPr>
        <w:ind w:left="3600" w:hanging="360"/>
      </w:pPr>
      <w:rPr>
        <w:rFonts w:ascii="Wingdings" w:hAnsi="Wingdings" w:hint="default"/>
      </w:rPr>
    </w:lvl>
    <w:lvl w:ilvl="3" w:tplc="04260001" w:tentative="1">
      <w:start w:val="1"/>
      <w:numFmt w:val="bullet"/>
      <w:lvlText w:val=""/>
      <w:lvlJc w:val="left"/>
      <w:pPr>
        <w:ind w:left="4320" w:hanging="360"/>
      </w:pPr>
      <w:rPr>
        <w:rFonts w:ascii="Symbol" w:hAnsi="Symbol" w:hint="default"/>
      </w:rPr>
    </w:lvl>
    <w:lvl w:ilvl="4" w:tplc="04260003" w:tentative="1">
      <w:start w:val="1"/>
      <w:numFmt w:val="bullet"/>
      <w:lvlText w:val="o"/>
      <w:lvlJc w:val="left"/>
      <w:pPr>
        <w:ind w:left="5040" w:hanging="360"/>
      </w:pPr>
      <w:rPr>
        <w:rFonts w:ascii="Courier New" w:hAnsi="Courier New" w:cs="Courier New" w:hint="default"/>
      </w:rPr>
    </w:lvl>
    <w:lvl w:ilvl="5" w:tplc="04260005" w:tentative="1">
      <w:start w:val="1"/>
      <w:numFmt w:val="bullet"/>
      <w:lvlText w:val=""/>
      <w:lvlJc w:val="left"/>
      <w:pPr>
        <w:ind w:left="5760" w:hanging="360"/>
      </w:pPr>
      <w:rPr>
        <w:rFonts w:ascii="Wingdings" w:hAnsi="Wingdings" w:hint="default"/>
      </w:rPr>
    </w:lvl>
    <w:lvl w:ilvl="6" w:tplc="04260001" w:tentative="1">
      <w:start w:val="1"/>
      <w:numFmt w:val="bullet"/>
      <w:lvlText w:val=""/>
      <w:lvlJc w:val="left"/>
      <w:pPr>
        <w:ind w:left="6480" w:hanging="360"/>
      </w:pPr>
      <w:rPr>
        <w:rFonts w:ascii="Symbol" w:hAnsi="Symbol" w:hint="default"/>
      </w:rPr>
    </w:lvl>
    <w:lvl w:ilvl="7" w:tplc="04260003" w:tentative="1">
      <w:start w:val="1"/>
      <w:numFmt w:val="bullet"/>
      <w:lvlText w:val="o"/>
      <w:lvlJc w:val="left"/>
      <w:pPr>
        <w:ind w:left="7200" w:hanging="360"/>
      </w:pPr>
      <w:rPr>
        <w:rFonts w:ascii="Courier New" w:hAnsi="Courier New" w:cs="Courier New" w:hint="default"/>
      </w:rPr>
    </w:lvl>
    <w:lvl w:ilvl="8" w:tplc="04260005" w:tentative="1">
      <w:start w:val="1"/>
      <w:numFmt w:val="bullet"/>
      <w:lvlText w:val=""/>
      <w:lvlJc w:val="left"/>
      <w:pPr>
        <w:ind w:left="7920" w:hanging="360"/>
      </w:pPr>
      <w:rPr>
        <w:rFonts w:ascii="Wingdings" w:hAnsi="Wingdings" w:hint="default"/>
      </w:rPr>
    </w:lvl>
  </w:abstractNum>
  <w:abstractNum w:abstractNumId="17">
    <w:nsid w:val="48791FD9"/>
    <w:multiLevelType w:val="hybridMultilevel"/>
    <w:tmpl w:val="11229618"/>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8">
    <w:nsid w:val="48C866B5"/>
    <w:multiLevelType w:val="hybridMultilevel"/>
    <w:tmpl w:val="147AC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E392438"/>
    <w:multiLevelType w:val="hybridMultilevel"/>
    <w:tmpl w:val="6A4682E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514E5D51"/>
    <w:multiLevelType w:val="hybridMultilevel"/>
    <w:tmpl w:val="AD9E0D8C"/>
    <w:lvl w:ilvl="0" w:tplc="0426000F">
      <w:start w:val="20"/>
      <w:numFmt w:val="decimal"/>
      <w:lvlText w:val="%1."/>
      <w:lvlJc w:val="left"/>
      <w:pPr>
        <w:ind w:left="1080" w:hanging="360"/>
      </w:pPr>
      <w:rPr>
        <w:rFonts w:hint="default"/>
      </w:rPr>
    </w:lvl>
    <w:lvl w:ilvl="1" w:tplc="04260019">
      <w:start w:val="1"/>
      <w:numFmt w:val="lowerLetter"/>
      <w:lvlText w:val="%2."/>
      <w:lvlJc w:val="left"/>
      <w:pPr>
        <w:ind w:left="1778"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1">
    <w:nsid w:val="52570E15"/>
    <w:multiLevelType w:val="hybridMultilevel"/>
    <w:tmpl w:val="BA76D1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555D0D5A"/>
    <w:multiLevelType w:val="hybridMultilevel"/>
    <w:tmpl w:val="BD9ECB0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
    <w:nsid w:val="5B2F593E"/>
    <w:multiLevelType w:val="hybridMultilevel"/>
    <w:tmpl w:val="DD466C2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4">
    <w:nsid w:val="60F31E51"/>
    <w:multiLevelType w:val="hybridMultilevel"/>
    <w:tmpl w:val="A43C326E"/>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5">
    <w:nsid w:val="623C70D8"/>
    <w:multiLevelType w:val="hybridMultilevel"/>
    <w:tmpl w:val="26807FDA"/>
    <w:lvl w:ilvl="0" w:tplc="04260005">
      <w:start w:val="1"/>
      <w:numFmt w:val="bullet"/>
      <w:lvlText w:val=""/>
      <w:lvlJc w:val="left"/>
      <w:pPr>
        <w:tabs>
          <w:tab w:val="num" w:pos="720"/>
        </w:tabs>
        <w:ind w:left="720" w:hanging="360"/>
      </w:pPr>
      <w:rPr>
        <w:rFonts w:ascii="Symbol" w:hAnsi="Symbol" w:hint="default"/>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start w:val="1"/>
      <w:numFmt w:val="bullet"/>
      <w:pStyle w:val="ListBullet"/>
      <w:lvlText w:val=""/>
      <w:lvlJc w:val="left"/>
      <w:pPr>
        <w:tabs>
          <w:tab w:val="num" w:pos="2880"/>
        </w:tabs>
        <w:ind w:left="2880" w:hanging="360"/>
      </w:pPr>
      <w:rPr>
        <w:rFonts w:ascii="Symbol" w:hAnsi="Symbol" w:hint="default"/>
      </w:rPr>
    </w:lvl>
    <w:lvl w:ilvl="4" w:tplc="04090019">
      <w:start w:val="1"/>
      <w:numFmt w:val="bullet"/>
      <w:lvlText w:val=""/>
      <w:lvlJc w:val="left"/>
      <w:pPr>
        <w:tabs>
          <w:tab w:val="num" w:pos="3600"/>
        </w:tabs>
        <w:ind w:left="3600" w:hanging="360"/>
      </w:pPr>
      <w:rPr>
        <w:rFonts w:ascii="Symbol" w:hAnsi="Symbol"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6">
    <w:nsid w:val="70472C83"/>
    <w:multiLevelType w:val="hybridMultilevel"/>
    <w:tmpl w:val="44201192"/>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7">
    <w:nsid w:val="71F17AA8"/>
    <w:multiLevelType w:val="multilevel"/>
    <w:tmpl w:val="B1DCFCCE"/>
    <w:lvl w:ilvl="0">
      <w:start w:val="2"/>
      <w:numFmt w:val="decimal"/>
      <w:lvlText w:val="%1"/>
      <w:lvlJc w:val="left"/>
      <w:pPr>
        <w:ind w:left="390" w:hanging="390"/>
      </w:pPr>
      <w:rPr>
        <w:rFonts w:hint="default"/>
      </w:rPr>
    </w:lvl>
    <w:lvl w:ilvl="1">
      <w:start w:val="5"/>
      <w:numFmt w:val="decimal"/>
      <w:lvlText w:val="%1.%2"/>
      <w:lvlJc w:val="left"/>
      <w:pPr>
        <w:ind w:left="2520" w:hanging="720"/>
      </w:pPr>
      <w:rPr>
        <w:rFonts w:hint="default"/>
      </w:rPr>
    </w:lvl>
    <w:lvl w:ilvl="2">
      <w:start w:val="1"/>
      <w:numFmt w:val="decimal"/>
      <w:lvlText w:val="%1.%2.%3"/>
      <w:lvlJc w:val="left"/>
      <w:pPr>
        <w:ind w:left="4320" w:hanging="720"/>
      </w:pPr>
      <w:rPr>
        <w:rFonts w:hint="default"/>
      </w:rPr>
    </w:lvl>
    <w:lvl w:ilvl="3">
      <w:start w:val="1"/>
      <w:numFmt w:val="decimal"/>
      <w:lvlText w:val="%1.%2.%3.%4"/>
      <w:lvlJc w:val="left"/>
      <w:pPr>
        <w:ind w:left="6480" w:hanging="1080"/>
      </w:pPr>
      <w:rPr>
        <w:rFonts w:hint="default"/>
      </w:rPr>
    </w:lvl>
    <w:lvl w:ilvl="4">
      <w:start w:val="1"/>
      <w:numFmt w:val="decimal"/>
      <w:lvlText w:val="%1.%2.%3.%4.%5"/>
      <w:lvlJc w:val="left"/>
      <w:pPr>
        <w:ind w:left="8640" w:hanging="1440"/>
      </w:pPr>
      <w:rPr>
        <w:rFonts w:hint="default"/>
      </w:rPr>
    </w:lvl>
    <w:lvl w:ilvl="5">
      <w:start w:val="1"/>
      <w:numFmt w:val="decimal"/>
      <w:lvlText w:val="%1.%2.%3.%4.%5.%6"/>
      <w:lvlJc w:val="left"/>
      <w:pPr>
        <w:ind w:left="10440" w:hanging="1440"/>
      </w:pPr>
      <w:rPr>
        <w:rFonts w:hint="default"/>
      </w:rPr>
    </w:lvl>
    <w:lvl w:ilvl="6">
      <w:start w:val="1"/>
      <w:numFmt w:val="decimal"/>
      <w:lvlText w:val="%1.%2.%3.%4.%5.%6.%7"/>
      <w:lvlJc w:val="left"/>
      <w:pPr>
        <w:ind w:left="12600" w:hanging="1800"/>
      </w:pPr>
      <w:rPr>
        <w:rFonts w:hint="default"/>
      </w:rPr>
    </w:lvl>
    <w:lvl w:ilvl="7">
      <w:start w:val="1"/>
      <w:numFmt w:val="decimal"/>
      <w:lvlText w:val="%1.%2.%3.%4.%5.%6.%7.%8"/>
      <w:lvlJc w:val="left"/>
      <w:pPr>
        <w:ind w:left="14760" w:hanging="2160"/>
      </w:pPr>
      <w:rPr>
        <w:rFonts w:hint="default"/>
      </w:rPr>
    </w:lvl>
    <w:lvl w:ilvl="8">
      <w:start w:val="1"/>
      <w:numFmt w:val="decimal"/>
      <w:lvlText w:val="%1.%2.%3.%4.%5.%6.%7.%8.%9"/>
      <w:lvlJc w:val="left"/>
      <w:pPr>
        <w:ind w:left="16560" w:hanging="2160"/>
      </w:pPr>
      <w:rPr>
        <w:rFonts w:hint="default"/>
      </w:rPr>
    </w:lvl>
  </w:abstractNum>
  <w:abstractNum w:abstractNumId="28">
    <w:nsid w:val="76142EEF"/>
    <w:multiLevelType w:val="hybridMultilevel"/>
    <w:tmpl w:val="6CC4FD54"/>
    <w:lvl w:ilvl="0" w:tplc="04260001">
      <w:start w:val="1"/>
      <w:numFmt w:val="bullet"/>
      <w:lvlText w:val=""/>
      <w:lvlJc w:val="left"/>
      <w:pPr>
        <w:ind w:left="1800" w:hanging="360"/>
      </w:pPr>
      <w:rPr>
        <w:rFonts w:ascii="Symbol" w:hAnsi="Symbol" w:hint="default"/>
      </w:rPr>
    </w:lvl>
    <w:lvl w:ilvl="1" w:tplc="04260003" w:tentative="1">
      <w:start w:val="1"/>
      <w:numFmt w:val="bullet"/>
      <w:lvlText w:val="o"/>
      <w:lvlJc w:val="left"/>
      <w:pPr>
        <w:ind w:left="2520" w:hanging="360"/>
      </w:pPr>
      <w:rPr>
        <w:rFonts w:ascii="Courier New" w:hAnsi="Courier New" w:cs="Courier New" w:hint="default"/>
      </w:rPr>
    </w:lvl>
    <w:lvl w:ilvl="2" w:tplc="04260005" w:tentative="1">
      <w:start w:val="1"/>
      <w:numFmt w:val="bullet"/>
      <w:lvlText w:val=""/>
      <w:lvlJc w:val="left"/>
      <w:pPr>
        <w:ind w:left="3240" w:hanging="360"/>
      </w:pPr>
      <w:rPr>
        <w:rFonts w:ascii="Wingdings" w:hAnsi="Wingdings" w:hint="default"/>
      </w:rPr>
    </w:lvl>
    <w:lvl w:ilvl="3" w:tplc="04260001" w:tentative="1">
      <w:start w:val="1"/>
      <w:numFmt w:val="bullet"/>
      <w:lvlText w:val=""/>
      <w:lvlJc w:val="left"/>
      <w:pPr>
        <w:ind w:left="3960" w:hanging="360"/>
      </w:pPr>
      <w:rPr>
        <w:rFonts w:ascii="Symbol" w:hAnsi="Symbol" w:hint="default"/>
      </w:rPr>
    </w:lvl>
    <w:lvl w:ilvl="4" w:tplc="04260003" w:tentative="1">
      <w:start w:val="1"/>
      <w:numFmt w:val="bullet"/>
      <w:lvlText w:val="o"/>
      <w:lvlJc w:val="left"/>
      <w:pPr>
        <w:ind w:left="4680" w:hanging="360"/>
      </w:pPr>
      <w:rPr>
        <w:rFonts w:ascii="Courier New" w:hAnsi="Courier New" w:cs="Courier New" w:hint="default"/>
      </w:rPr>
    </w:lvl>
    <w:lvl w:ilvl="5" w:tplc="04260005" w:tentative="1">
      <w:start w:val="1"/>
      <w:numFmt w:val="bullet"/>
      <w:lvlText w:val=""/>
      <w:lvlJc w:val="left"/>
      <w:pPr>
        <w:ind w:left="5400" w:hanging="360"/>
      </w:pPr>
      <w:rPr>
        <w:rFonts w:ascii="Wingdings" w:hAnsi="Wingdings" w:hint="default"/>
      </w:rPr>
    </w:lvl>
    <w:lvl w:ilvl="6" w:tplc="04260001" w:tentative="1">
      <w:start w:val="1"/>
      <w:numFmt w:val="bullet"/>
      <w:lvlText w:val=""/>
      <w:lvlJc w:val="left"/>
      <w:pPr>
        <w:ind w:left="6120" w:hanging="360"/>
      </w:pPr>
      <w:rPr>
        <w:rFonts w:ascii="Symbol" w:hAnsi="Symbol" w:hint="default"/>
      </w:rPr>
    </w:lvl>
    <w:lvl w:ilvl="7" w:tplc="04260003" w:tentative="1">
      <w:start w:val="1"/>
      <w:numFmt w:val="bullet"/>
      <w:lvlText w:val="o"/>
      <w:lvlJc w:val="left"/>
      <w:pPr>
        <w:ind w:left="6840" w:hanging="360"/>
      </w:pPr>
      <w:rPr>
        <w:rFonts w:ascii="Courier New" w:hAnsi="Courier New" w:cs="Courier New" w:hint="default"/>
      </w:rPr>
    </w:lvl>
    <w:lvl w:ilvl="8" w:tplc="04260005" w:tentative="1">
      <w:start w:val="1"/>
      <w:numFmt w:val="bullet"/>
      <w:lvlText w:val=""/>
      <w:lvlJc w:val="left"/>
      <w:pPr>
        <w:ind w:left="7560" w:hanging="360"/>
      </w:pPr>
      <w:rPr>
        <w:rFonts w:ascii="Wingdings" w:hAnsi="Wingdings" w:hint="default"/>
      </w:rPr>
    </w:lvl>
  </w:abstractNum>
  <w:abstractNum w:abstractNumId="29">
    <w:nsid w:val="7797324B"/>
    <w:multiLevelType w:val="hybridMultilevel"/>
    <w:tmpl w:val="C828215E"/>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num w:numId="1">
    <w:abstractNumId w:val="6"/>
  </w:num>
  <w:num w:numId="2">
    <w:abstractNumId w:val="25"/>
  </w:num>
  <w:num w:numId="3">
    <w:abstractNumId w:val="14"/>
  </w:num>
  <w:num w:numId="4">
    <w:abstractNumId w:val="2"/>
  </w:num>
  <w:num w:numId="5">
    <w:abstractNumId w:val="0"/>
  </w:num>
  <w:num w:numId="6">
    <w:abstractNumId w:val="5"/>
  </w:num>
  <w:num w:numId="7">
    <w:abstractNumId w:val="20"/>
  </w:num>
  <w:num w:numId="8">
    <w:abstractNumId w:val="7"/>
  </w:num>
  <w:num w:numId="9">
    <w:abstractNumId w:val="13"/>
  </w:num>
  <w:num w:numId="10">
    <w:abstractNumId w:val="15"/>
  </w:num>
  <w:num w:numId="11">
    <w:abstractNumId w:val="11"/>
  </w:num>
  <w:num w:numId="12">
    <w:abstractNumId w:val="1"/>
  </w:num>
  <w:num w:numId="13">
    <w:abstractNumId w:val="8"/>
  </w:num>
  <w:num w:numId="14">
    <w:abstractNumId w:val="19"/>
  </w:num>
  <w:num w:numId="15">
    <w:abstractNumId w:val="3"/>
  </w:num>
  <w:num w:numId="16">
    <w:abstractNumId w:val="22"/>
  </w:num>
  <w:num w:numId="17">
    <w:abstractNumId w:val="18"/>
  </w:num>
  <w:num w:numId="18">
    <w:abstractNumId w:val="10"/>
  </w:num>
  <w:num w:numId="19">
    <w:abstractNumId w:val="4"/>
  </w:num>
  <w:num w:numId="20">
    <w:abstractNumId w:val="9"/>
  </w:num>
  <w:num w:numId="21">
    <w:abstractNumId w:val="21"/>
  </w:num>
  <w:num w:numId="22">
    <w:abstractNumId w:val="27"/>
  </w:num>
  <w:num w:numId="23">
    <w:abstractNumId w:val="23"/>
  </w:num>
  <w:num w:numId="24">
    <w:abstractNumId w:val="29"/>
  </w:num>
  <w:num w:numId="25">
    <w:abstractNumId w:val="12"/>
  </w:num>
  <w:num w:numId="26">
    <w:abstractNumId w:val="16"/>
  </w:num>
  <w:num w:numId="27">
    <w:abstractNumId w:val="26"/>
  </w:num>
  <w:num w:numId="28">
    <w:abstractNumId w:val="17"/>
  </w:num>
  <w:num w:numId="29">
    <w:abstractNumId w:val="24"/>
  </w:num>
  <w:num w:numId="30">
    <w:abstractNumId w:val="2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36EC"/>
    <w:rsid w:val="00000AAC"/>
    <w:rsid w:val="00001323"/>
    <w:rsid w:val="000018DA"/>
    <w:rsid w:val="00003213"/>
    <w:rsid w:val="00003228"/>
    <w:rsid w:val="000044EE"/>
    <w:rsid w:val="000047D3"/>
    <w:rsid w:val="00004DFF"/>
    <w:rsid w:val="00005272"/>
    <w:rsid w:val="00005CC0"/>
    <w:rsid w:val="00006C84"/>
    <w:rsid w:val="000074F8"/>
    <w:rsid w:val="00010114"/>
    <w:rsid w:val="000101C0"/>
    <w:rsid w:val="00010823"/>
    <w:rsid w:val="0001089C"/>
    <w:rsid w:val="0001253D"/>
    <w:rsid w:val="00014BAA"/>
    <w:rsid w:val="000161C9"/>
    <w:rsid w:val="00017A7E"/>
    <w:rsid w:val="00020745"/>
    <w:rsid w:val="00021CE9"/>
    <w:rsid w:val="00021D45"/>
    <w:rsid w:val="000227D4"/>
    <w:rsid w:val="00022B40"/>
    <w:rsid w:val="00022D45"/>
    <w:rsid w:val="000236B3"/>
    <w:rsid w:val="00023986"/>
    <w:rsid w:val="00024423"/>
    <w:rsid w:val="000244B7"/>
    <w:rsid w:val="00024C35"/>
    <w:rsid w:val="0002579F"/>
    <w:rsid w:val="00026556"/>
    <w:rsid w:val="00027017"/>
    <w:rsid w:val="0003042B"/>
    <w:rsid w:val="00030A57"/>
    <w:rsid w:val="00030DA4"/>
    <w:rsid w:val="00030E49"/>
    <w:rsid w:val="0003175F"/>
    <w:rsid w:val="00032DE9"/>
    <w:rsid w:val="00033385"/>
    <w:rsid w:val="000336EC"/>
    <w:rsid w:val="00033C34"/>
    <w:rsid w:val="00034359"/>
    <w:rsid w:val="00034723"/>
    <w:rsid w:val="00035C68"/>
    <w:rsid w:val="0003640B"/>
    <w:rsid w:val="000364E2"/>
    <w:rsid w:val="000378CE"/>
    <w:rsid w:val="00042819"/>
    <w:rsid w:val="00042D5C"/>
    <w:rsid w:val="00045A0D"/>
    <w:rsid w:val="00045B32"/>
    <w:rsid w:val="000464AD"/>
    <w:rsid w:val="00047EA9"/>
    <w:rsid w:val="00051AA5"/>
    <w:rsid w:val="000520C6"/>
    <w:rsid w:val="000531A5"/>
    <w:rsid w:val="00053BDB"/>
    <w:rsid w:val="00054428"/>
    <w:rsid w:val="00055521"/>
    <w:rsid w:val="00055D7A"/>
    <w:rsid w:val="000575F2"/>
    <w:rsid w:val="000606DD"/>
    <w:rsid w:val="0006216F"/>
    <w:rsid w:val="0006374E"/>
    <w:rsid w:val="000640E4"/>
    <w:rsid w:val="00065300"/>
    <w:rsid w:val="00065CE1"/>
    <w:rsid w:val="00066689"/>
    <w:rsid w:val="00067160"/>
    <w:rsid w:val="0006729B"/>
    <w:rsid w:val="00072174"/>
    <w:rsid w:val="000725EA"/>
    <w:rsid w:val="00072B8D"/>
    <w:rsid w:val="00074016"/>
    <w:rsid w:val="000746EE"/>
    <w:rsid w:val="000753E5"/>
    <w:rsid w:val="00075A70"/>
    <w:rsid w:val="000760A9"/>
    <w:rsid w:val="000760DD"/>
    <w:rsid w:val="000764C3"/>
    <w:rsid w:val="0007757E"/>
    <w:rsid w:val="00077A55"/>
    <w:rsid w:val="00077DAB"/>
    <w:rsid w:val="00077DC8"/>
    <w:rsid w:val="0008026F"/>
    <w:rsid w:val="00080511"/>
    <w:rsid w:val="0008053E"/>
    <w:rsid w:val="000822C1"/>
    <w:rsid w:val="00083200"/>
    <w:rsid w:val="000833C4"/>
    <w:rsid w:val="00083555"/>
    <w:rsid w:val="00083FEF"/>
    <w:rsid w:val="00084515"/>
    <w:rsid w:val="00084CCB"/>
    <w:rsid w:val="00084EB5"/>
    <w:rsid w:val="00085919"/>
    <w:rsid w:val="00085A4E"/>
    <w:rsid w:val="000875AD"/>
    <w:rsid w:val="00087837"/>
    <w:rsid w:val="00087881"/>
    <w:rsid w:val="00087A71"/>
    <w:rsid w:val="00087B22"/>
    <w:rsid w:val="00091F3D"/>
    <w:rsid w:val="000922C0"/>
    <w:rsid w:val="00092A52"/>
    <w:rsid w:val="00093FCD"/>
    <w:rsid w:val="00094522"/>
    <w:rsid w:val="0009522D"/>
    <w:rsid w:val="00095AE9"/>
    <w:rsid w:val="000966F7"/>
    <w:rsid w:val="0009732D"/>
    <w:rsid w:val="0009745D"/>
    <w:rsid w:val="000A01D2"/>
    <w:rsid w:val="000A1367"/>
    <w:rsid w:val="000A2A83"/>
    <w:rsid w:val="000A36D7"/>
    <w:rsid w:val="000A384A"/>
    <w:rsid w:val="000A3BEA"/>
    <w:rsid w:val="000A5DEF"/>
    <w:rsid w:val="000A613F"/>
    <w:rsid w:val="000A6422"/>
    <w:rsid w:val="000A664E"/>
    <w:rsid w:val="000A7117"/>
    <w:rsid w:val="000A7170"/>
    <w:rsid w:val="000A76E8"/>
    <w:rsid w:val="000A7D7A"/>
    <w:rsid w:val="000B1364"/>
    <w:rsid w:val="000B33DF"/>
    <w:rsid w:val="000B3492"/>
    <w:rsid w:val="000B3DCE"/>
    <w:rsid w:val="000B40BB"/>
    <w:rsid w:val="000B4C87"/>
    <w:rsid w:val="000B4DC4"/>
    <w:rsid w:val="000B4F83"/>
    <w:rsid w:val="000B552A"/>
    <w:rsid w:val="000B566B"/>
    <w:rsid w:val="000B56E9"/>
    <w:rsid w:val="000B606E"/>
    <w:rsid w:val="000B62BC"/>
    <w:rsid w:val="000B66A4"/>
    <w:rsid w:val="000B7975"/>
    <w:rsid w:val="000C06C2"/>
    <w:rsid w:val="000C0CCA"/>
    <w:rsid w:val="000C11EE"/>
    <w:rsid w:val="000C1407"/>
    <w:rsid w:val="000C1B26"/>
    <w:rsid w:val="000C237C"/>
    <w:rsid w:val="000C24A1"/>
    <w:rsid w:val="000C2FEC"/>
    <w:rsid w:val="000C3FDD"/>
    <w:rsid w:val="000C4376"/>
    <w:rsid w:val="000C4926"/>
    <w:rsid w:val="000C7593"/>
    <w:rsid w:val="000C7C00"/>
    <w:rsid w:val="000D0952"/>
    <w:rsid w:val="000D1768"/>
    <w:rsid w:val="000D1B7D"/>
    <w:rsid w:val="000D1DD1"/>
    <w:rsid w:val="000D3439"/>
    <w:rsid w:val="000D362A"/>
    <w:rsid w:val="000D4846"/>
    <w:rsid w:val="000D4C23"/>
    <w:rsid w:val="000D52C6"/>
    <w:rsid w:val="000D6250"/>
    <w:rsid w:val="000D6CD8"/>
    <w:rsid w:val="000D7457"/>
    <w:rsid w:val="000E03EE"/>
    <w:rsid w:val="000E2050"/>
    <w:rsid w:val="000E2D96"/>
    <w:rsid w:val="000E332D"/>
    <w:rsid w:val="000E62F2"/>
    <w:rsid w:val="000E64AF"/>
    <w:rsid w:val="000E75CE"/>
    <w:rsid w:val="000F0925"/>
    <w:rsid w:val="000F13DD"/>
    <w:rsid w:val="000F16A2"/>
    <w:rsid w:val="000F188E"/>
    <w:rsid w:val="000F1E9F"/>
    <w:rsid w:val="000F234B"/>
    <w:rsid w:val="000F2F7B"/>
    <w:rsid w:val="000F36A1"/>
    <w:rsid w:val="000F4DC1"/>
    <w:rsid w:val="000F5A87"/>
    <w:rsid w:val="000F76F9"/>
    <w:rsid w:val="000F7B04"/>
    <w:rsid w:val="00100F4F"/>
    <w:rsid w:val="0010168C"/>
    <w:rsid w:val="00101E99"/>
    <w:rsid w:val="0010206C"/>
    <w:rsid w:val="001032D5"/>
    <w:rsid w:val="00103BD6"/>
    <w:rsid w:val="001040A6"/>
    <w:rsid w:val="0010433F"/>
    <w:rsid w:val="00104640"/>
    <w:rsid w:val="00105453"/>
    <w:rsid w:val="00106F2A"/>
    <w:rsid w:val="00107083"/>
    <w:rsid w:val="001115F2"/>
    <w:rsid w:val="00112818"/>
    <w:rsid w:val="00112BEA"/>
    <w:rsid w:val="00113F4A"/>
    <w:rsid w:val="00114BCE"/>
    <w:rsid w:val="001155AC"/>
    <w:rsid w:val="0011607E"/>
    <w:rsid w:val="0011653A"/>
    <w:rsid w:val="0011683A"/>
    <w:rsid w:val="00116A8D"/>
    <w:rsid w:val="00116FF5"/>
    <w:rsid w:val="00117C29"/>
    <w:rsid w:val="00122315"/>
    <w:rsid w:val="00123BEF"/>
    <w:rsid w:val="00123FFB"/>
    <w:rsid w:val="00124FB4"/>
    <w:rsid w:val="00126D74"/>
    <w:rsid w:val="00127D28"/>
    <w:rsid w:val="0013022E"/>
    <w:rsid w:val="00130A68"/>
    <w:rsid w:val="00130D39"/>
    <w:rsid w:val="00132313"/>
    <w:rsid w:val="001328AB"/>
    <w:rsid w:val="00132FCE"/>
    <w:rsid w:val="001341B7"/>
    <w:rsid w:val="00134BDC"/>
    <w:rsid w:val="00135B7B"/>
    <w:rsid w:val="0013610B"/>
    <w:rsid w:val="0013641B"/>
    <w:rsid w:val="001375B5"/>
    <w:rsid w:val="00140F4A"/>
    <w:rsid w:val="001417BC"/>
    <w:rsid w:val="00141D7D"/>
    <w:rsid w:val="00145E1C"/>
    <w:rsid w:val="00146828"/>
    <w:rsid w:val="00146DEF"/>
    <w:rsid w:val="00147699"/>
    <w:rsid w:val="001502EF"/>
    <w:rsid w:val="0015290D"/>
    <w:rsid w:val="00154FD0"/>
    <w:rsid w:val="001556A7"/>
    <w:rsid w:val="001561BA"/>
    <w:rsid w:val="001562C6"/>
    <w:rsid w:val="00157148"/>
    <w:rsid w:val="00157348"/>
    <w:rsid w:val="00157832"/>
    <w:rsid w:val="00157871"/>
    <w:rsid w:val="00157A8A"/>
    <w:rsid w:val="001607BB"/>
    <w:rsid w:val="001608BA"/>
    <w:rsid w:val="0016090E"/>
    <w:rsid w:val="00160A68"/>
    <w:rsid w:val="00161152"/>
    <w:rsid w:val="0016319A"/>
    <w:rsid w:val="00163C73"/>
    <w:rsid w:val="00164488"/>
    <w:rsid w:val="00164B19"/>
    <w:rsid w:val="00165328"/>
    <w:rsid w:val="001657D5"/>
    <w:rsid w:val="0016584A"/>
    <w:rsid w:val="001663B3"/>
    <w:rsid w:val="001668D3"/>
    <w:rsid w:val="00166C88"/>
    <w:rsid w:val="00167115"/>
    <w:rsid w:val="0017011F"/>
    <w:rsid w:val="00171C33"/>
    <w:rsid w:val="0017210A"/>
    <w:rsid w:val="00172A8F"/>
    <w:rsid w:val="00173559"/>
    <w:rsid w:val="00174473"/>
    <w:rsid w:val="001777DB"/>
    <w:rsid w:val="00177CAA"/>
    <w:rsid w:val="00177D51"/>
    <w:rsid w:val="00180921"/>
    <w:rsid w:val="00180D96"/>
    <w:rsid w:val="0018193C"/>
    <w:rsid w:val="00182104"/>
    <w:rsid w:val="0018235E"/>
    <w:rsid w:val="00182EC6"/>
    <w:rsid w:val="00183468"/>
    <w:rsid w:val="00183DFF"/>
    <w:rsid w:val="00184176"/>
    <w:rsid w:val="001855AC"/>
    <w:rsid w:val="00185B51"/>
    <w:rsid w:val="00185C22"/>
    <w:rsid w:val="00186A8D"/>
    <w:rsid w:val="00187FAA"/>
    <w:rsid w:val="0019059F"/>
    <w:rsid w:val="00190798"/>
    <w:rsid w:val="00190D3C"/>
    <w:rsid w:val="00191867"/>
    <w:rsid w:val="00191EB6"/>
    <w:rsid w:val="0019383F"/>
    <w:rsid w:val="00193DC4"/>
    <w:rsid w:val="00193DD9"/>
    <w:rsid w:val="00194D21"/>
    <w:rsid w:val="00194FC5"/>
    <w:rsid w:val="00195797"/>
    <w:rsid w:val="001958B3"/>
    <w:rsid w:val="00195A15"/>
    <w:rsid w:val="001977FF"/>
    <w:rsid w:val="00197F98"/>
    <w:rsid w:val="001A1076"/>
    <w:rsid w:val="001A16D4"/>
    <w:rsid w:val="001A1CDF"/>
    <w:rsid w:val="001A3551"/>
    <w:rsid w:val="001A383D"/>
    <w:rsid w:val="001A4992"/>
    <w:rsid w:val="001A4A65"/>
    <w:rsid w:val="001A4C2A"/>
    <w:rsid w:val="001A50A5"/>
    <w:rsid w:val="001A5E67"/>
    <w:rsid w:val="001A6052"/>
    <w:rsid w:val="001A6817"/>
    <w:rsid w:val="001A7161"/>
    <w:rsid w:val="001A7738"/>
    <w:rsid w:val="001A7E11"/>
    <w:rsid w:val="001B07A1"/>
    <w:rsid w:val="001B1CAC"/>
    <w:rsid w:val="001B2D40"/>
    <w:rsid w:val="001B35D2"/>
    <w:rsid w:val="001B42D2"/>
    <w:rsid w:val="001B4901"/>
    <w:rsid w:val="001B55E1"/>
    <w:rsid w:val="001B654F"/>
    <w:rsid w:val="001B73B9"/>
    <w:rsid w:val="001C0273"/>
    <w:rsid w:val="001C0D75"/>
    <w:rsid w:val="001C1F17"/>
    <w:rsid w:val="001C2E05"/>
    <w:rsid w:val="001C2F49"/>
    <w:rsid w:val="001C3B00"/>
    <w:rsid w:val="001C3F92"/>
    <w:rsid w:val="001C427A"/>
    <w:rsid w:val="001C5AF8"/>
    <w:rsid w:val="001C608F"/>
    <w:rsid w:val="001C6607"/>
    <w:rsid w:val="001D0846"/>
    <w:rsid w:val="001D0C95"/>
    <w:rsid w:val="001D1058"/>
    <w:rsid w:val="001D11F8"/>
    <w:rsid w:val="001D1709"/>
    <w:rsid w:val="001D1BFD"/>
    <w:rsid w:val="001D2986"/>
    <w:rsid w:val="001D2B36"/>
    <w:rsid w:val="001D436E"/>
    <w:rsid w:val="001D47E3"/>
    <w:rsid w:val="001D523A"/>
    <w:rsid w:val="001D5BEB"/>
    <w:rsid w:val="001E0383"/>
    <w:rsid w:val="001E14C5"/>
    <w:rsid w:val="001E38E1"/>
    <w:rsid w:val="001E4B19"/>
    <w:rsid w:val="001E5229"/>
    <w:rsid w:val="001E5825"/>
    <w:rsid w:val="001E5A96"/>
    <w:rsid w:val="001E61F7"/>
    <w:rsid w:val="001E691C"/>
    <w:rsid w:val="001E70CB"/>
    <w:rsid w:val="001E71EC"/>
    <w:rsid w:val="001E7607"/>
    <w:rsid w:val="001F13FB"/>
    <w:rsid w:val="001F263C"/>
    <w:rsid w:val="001F4865"/>
    <w:rsid w:val="001F4933"/>
    <w:rsid w:val="001F4E21"/>
    <w:rsid w:val="001F7172"/>
    <w:rsid w:val="001F7604"/>
    <w:rsid w:val="00201848"/>
    <w:rsid w:val="00201FB0"/>
    <w:rsid w:val="00203A54"/>
    <w:rsid w:val="00203BE8"/>
    <w:rsid w:val="00204735"/>
    <w:rsid w:val="002047F2"/>
    <w:rsid w:val="002058AB"/>
    <w:rsid w:val="00206212"/>
    <w:rsid w:val="00206FD6"/>
    <w:rsid w:val="002102D2"/>
    <w:rsid w:val="00210DFE"/>
    <w:rsid w:val="00210F0E"/>
    <w:rsid w:val="00212A6B"/>
    <w:rsid w:val="00212F6A"/>
    <w:rsid w:val="00213014"/>
    <w:rsid w:val="00215FC8"/>
    <w:rsid w:val="0021771B"/>
    <w:rsid w:val="00217AC5"/>
    <w:rsid w:val="00217FF6"/>
    <w:rsid w:val="002200C9"/>
    <w:rsid w:val="00220314"/>
    <w:rsid w:val="00220574"/>
    <w:rsid w:val="002209BA"/>
    <w:rsid w:val="00221DD7"/>
    <w:rsid w:val="002240B4"/>
    <w:rsid w:val="00225015"/>
    <w:rsid w:val="00225E51"/>
    <w:rsid w:val="00226A8E"/>
    <w:rsid w:val="00226B2E"/>
    <w:rsid w:val="00226B66"/>
    <w:rsid w:val="002306F1"/>
    <w:rsid w:val="0023102D"/>
    <w:rsid w:val="002323AC"/>
    <w:rsid w:val="00232C93"/>
    <w:rsid w:val="00232D9F"/>
    <w:rsid w:val="00233487"/>
    <w:rsid w:val="0023383A"/>
    <w:rsid w:val="00233F3F"/>
    <w:rsid w:val="002344C2"/>
    <w:rsid w:val="002350B7"/>
    <w:rsid w:val="00236EA6"/>
    <w:rsid w:val="00237B79"/>
    <w:rsid w:val="0024240E"/>
    <w:rsid w:val="00242763"/>
    <w:rsid w:val="0024286D"/>
    <w:rsid w:val="00242909"/>
    <w:rsid w:val="00242EBD"/>
    <w:rsid w:val="002451D2"/>
    <w:rsid w:val="0024762C"/>
    <w:rsid w:val="002510BB"/>
    <w:rsid w:val="00251144"/>
    <w:rsid w:val="00251CBB"/>
    <w:rsid w:val="0025368A"/>
    <w:rsid w:val="00254833"/>
    <w:rsid w:val="00254989"/>
    <w:rsid w:val="0025594A"/>
    <w:rsid w:val="00255A59"/>
    <w:rsid w:val="00255E39"/>
    <w:rsid w:val="00255E6D"/>
    <w:rsid w:val="00257B07"/>
    <w:rsid w:val="0026080B"/>
    <w:rsid w:val="00261F30"/>
    <w:rsid w:val="002620AB"/>
    <w:rsid w:val="0026306E"/>
    <w:rsid w:val="00263F10"/>
    <w:rsid w:val="00264CAF"/>
    <w:rsid w:val="00264F33"/>
    <w:rsid w:val="00265C46"/>
    <w:rsid w:val="00266E34"/>
    <w:rsid w:val="0026724C"/>
    <w:rsid w:val="00267E7F"/>
    <w:rsid w:val="0027005F"/>
    <w:rsid w:val="002704C7"/>
    <w:rsid w:val="00273D32"/>
    <w:rsid w:val="00274D7C"/>
    <w:rsid w:val="00275774"/>
    <w:rsid w:val="00277571"/>
    <w:rsid w:val="0028053D"/>
    <w:rsid w:val="002816B1"/>
    <w:rsid w:val="00282027"/>
    <w:rsid w:val="002823CA"/>
    <w:rsid w:val="00282B84"/>
    <w:rsid w:val="002830BA"/>
    <w:rsid w:val="00283F25"/>
    <w:rsid w:val="00285BCD"/>
    <w:rsid w:val="00286A9A"/>
    <w:rsid w:val="00286B3A"/>
    <w:rsid w:val="0028733F"/>
    <w:rsid w:val="0028746B"/>
    <w:rsid w:val="00287BBB"/>
    <w:rsid w:val="002920A8"/>
    <w:rsid w:val="0029311E"/>
    <w:rsid w:val="00293AF6"/>
    <w:rsid w:val="002940BA"/>
    <w:rsid w:val="00296205"/>
    <w:rsid w:val="002962FD"/>
    <w:rsid w:val="00296D88"/>
    <w:rsid w:val="00296EDF"/>
    <w:rsid w:val="002A01C7"/>
    <w:rsid w:val="002A1EFB"/>
    <w:rsid w:val="002A2E4C"/>
    <w:rsid w:val="002A4772"/>
    <w:rsid w:val="002A6CF5"/>
    <w:rsid w:val="002A7DD4"/>
    <w:rsid w:val="002B04D0"/>
    <w:rsid w:val="002B04FC"/>
    <w:rsid w:val="002B0659"/>
    <w:rsid w:val="002B0964"/>
    <w:rsid w:val="002B1377"/>
    <w:rsid w:val="002B1663"/>
    <w:rsid w:val="002B2103"/>
    <w:rsid w:val="002B34FC"/>
    <w:rsid w:val="002B61F9"/>
    <w:rsid w:val="002B6C80"/>
    <w:rsid w:val="002C038C"/>
    <w:rsid w:val="002C066D"/>
    <w:rsid w:val="002C159D"/>
    <w:rsid w:val="002C3C85"/>
    <w:rsid w:val="002C59D7"/>
    <w:rsid w:val="002C6122"/>
    <w:rsid w:val="002C685B"/>
    <w:rsid w:val="002C6FF4"/>
    <w:rsid w:val="002C7AEB"/>
    <w:rsid w:val="002C7F43"/>
    <w:rsid w:val="002D0620"/>
    <w:rsid w:val="002D0931"/>
    <w:rsid w:val="002D1E4C"/>
    <w:rsid w:val="002D27B3"/>
    <w:rsid w:val="002D3890"/>
    <w:rsid w:val="002D405B"/>
    <w:rsid w:val="002D4102"/>
    <w:rsid w:val="002D443C"/>
    <w:rsid w:val="002D54FA"/>
    <w:rsid w:val="002D5670"/>
    <w:rsid w:val="002D6311"/>
    <w:rsid w:val="002E07BB"/>
    <w:rsid w:val="002E2D6E"/>
    <w:rsid w:val="002E2F9F"/>
    <w:rsid w:val="002E3505"/>
    <w:rsid w:val="002E3D5A"/>
    <w:rsid w:val="002E4CEC"/>
    <w:rsid w:val="002E56F1"/>
    <w:rsid w:val="002E57BF"/>
    <w:rsid w:val="002E6069"/>
    <w:rsid w:val="002E68F2"/>
    <w:rsid w:val="002E749F"/>
    <w:rsid w:val="002F01FD"/>
    <w:rsid w:val="002F13AE"/>
    <w:rsid w:val="002F1B25"/>
    <w:rsid w:val="002F34FD"/>
    <w:rsid w:val="002F579D"/>
    <w:rsid w:val="002F605C"/>
    <w:rsid w:val="002F6800"/>
    <w:rsid w:val="002F70F1"/>
    <w:rsid w:val="00300E41"/>
    <w:rsid w:val="00301C5A"/>
    <w:rsid w:val="00301EB4"/>
    <w:rsid w:val="0030422D"/>
    <w:rsid w:val="003060C6"/>
    <w:rsid w:val="003061B6"/>
    <w:rsid w:val="0030643F"/>
    <w:rsid w:val="00306C27"/>
    <w:rsid w:val="00307489"/>
    <w:rsid w:val="0031008C"/>
    <w:rsid w:val="00310885"/>
    <w:rsid w:val="003121BB"/>
    <w:rsid w:val="00312732"/>
    <w:rsid w:val="00312810"/>
    <w:rsid w:val="00312E0D"/>
    <w:rsid w:val="003131D2"/>
    <w:rsid w:val="00313E41"/>
    <w:rsid w:val="003143BD"/>
    <w:rsid w:val="003149EF"/>
    <w:rsid w:val="0031537A"/>
    <w:rsid w:val="00315F7E"/>
    <w:rsid w:val="003172F8"/>
    <w:rsid w:val="00317BA5"/>
    <w:rsid w:val="00317C74"/>
    <w:rsid w:val="0032024C"/>
    <w:rsid w:val="00321C5C"/>
    <w:rsid w:val="00321D17"/>
    <w:rsid w:val="00321D53"/>
    <w:rsid w:val="0032386F"/>
    <w:rsid w:val="00323C2C"/>
    <w:rsid w:val="00324E7B"/>
    <w:rsid w:val="003302FF"/>
    <w:rsid w:val="0033091E"/>
    <w:rsid w:val="00331427"/>
    <w:rsid w:val="003347A1"/>
    <w:rsid w:val="003348EE"/>
    <w:rsid w:val="00334952"/>
    <w:rsid w:val="00334DE8"/>
    <w:rsid w:val="00335324"/>
    <w:rsid w:val="0033637C"/>
    <w:rsid w:val="003365E5"/>
    <w:rsid w:val="00336C0C"/>
    <w:rsid w:val="00337C07"/>
    <w:rsid w:val="00337D4F"/>
    <w:rsid w:val="00341594"/>
    <w:rsid w:val="00341841"/>
    <w:rsid w:val="0034327F"/>
    <w:rsid w:val="00345A0B"/>
    <w:rsid w:val="00345A4D"/>
    <w:rsid w:val="003469E3"/>
    <w:rsid w:val="00346A85"/>
    <w:rsid w:val="0034727A"/>
    <w:rsid w:val="00350107"/>
    <w:rsid w:val="00350154"/>
    <w:rsid w:val="0035030E"/>
    <w:rsid w:val="00350E48"/>
    <w:rsid w:val="00354B5F"/>
    <w:rsid w:val="00354DDE"/>
    <w:rsid w:val="00354EF6"/>
    <w:rsid w:val="00355366"/>
    <w:rsid w:val="003553EC"/>
    <w:rsid w:val="0035562F"/>
    <w:rsid w:val="003557BD"/>
    <w:rsid w:val="00355A01"/>
    <w:rsid w:val="00356682"/>
    <w:rsid w:val="00356949"/>
    <w:rsid w:val="00356CD0"/>
    <w:rsid w:val="00357212"/>
    <w:rsid w:val="00363D3F"/>
    <w:rsid w:val="00364156"/>
    <w:rsid w:val="003647FD"/>
    <w:rsid w:val="00365F81"/>
    <w:rsid w:val="0036600D"/>
    <w:rsid w:val="00367298"/>
    <w:rsid w:val="0036736A"/>
    <w:rsid w:val="00367471"/>
    <w:rsid w:val="00367A3A"/>
    <w:rsid w:val="00370103"/>
    <w:rsid w:val="0037070B"/>
    <w:rsid w:val="00370BBC"/>
    <w:rsid w:val="00370FEE"/>
    <w:rsid w:val="003716BE"/>
    <w:rsid w:val="00372065"/>
    <w:rsid w:val="0037298F"/>
    <w:rsid w:val="003739B7"/>
    <w:rsid w:val="003754F4"/>
    <w:rsid w:val="00375735"/>
    <w:rsid w:val="00375C0B"/>
    <w:rsid w:val="0037641B"/>
    <w:rsid w:val="003767C3"/>
    <w:rsid w:val="00376AE1"/>
    <w:rsid w:val="00376CCD"/>
    <w:rsid w:val="0037747F"/>
    <w:rsid w:val="0038038F"/>
    <w:rsid w:val="0038056D"/>
    <w:rsid w:val="00380D55"/>
    <w:rsid w:val="00382D97"/>
    <w:rsid w:val="003832E5"/>
    <w:rsid w:val="00384D47"/>
    <w:rsid w:val="00385045"/>
    <w:rsid w:val="003853FD"/>
    <w:rsid w:val="00385521"/>
    <w:rsid w:val="0038671F"/>
    <w:rsid w:val="00386F74"/>
    <w:rsid w:val="00387B38"/>
    <w:rsid w:val="0039013A"/>
    <w:rsid w:val="0039027D"/>
    <w:rsid w:val="00390411"/>
    <w:rsid w:val="00390C3C"/>
    <w:rsid w:val="00390E52"/>
    <w:rsid w:val="00390E87"/>
    <w:rsid w:val="0039152F"/>
    <w:rsid w:val="00391CB3"/>
    <w:rsid w:val="00391CF5"/>
    <w:rsid w:val="00391F12"/>
    <w:rsid w:val="003932DA"/>
    <w:rsid w:val="0039435A"/>
    <w:rsid w:val="003945E8"/>
    <w:rsid w:val="0039532B"/>
    <w:rsid w:val="00395AA9"/>
    <w:rsid w:val="003963F7"/>
    <w:rsid w:val="00396728"/>
    <w:rsid w:val="00396EDB"/>
    <w:rsid w:val="0039771F"/>
    <w:rsid w:val="003A07A0"/>
    <w:rsid w:val="003A12FD"/>
    <w:rsid w:val="003A274F"/>
    <w:rsid w:val="003A4781"/>
    <w:rsid w:val="003A5BE9"/>
    <w:rsid w:val="003A63E3"/>
    <w:rsid w:val="003A6603"/>
    <w:rsid w:val="003A6D1A"/>
    <w:rsid w:val="003A7104"/>
    <w:rsid w:val="003B0FDE"/>
    <w:rsid w:val="003B17B4"/>
    <w:rsid w:val="003B368C"/>
    <w:rsid w:val="003B3753"/>
    <w:rsid w:val="003B4A00"/>
    <w:rsid w:val="003B4E84"/>
    <w:rsid w:val="003B54D9"/>
    <w:rsid w:val="003B5E34"/>
    <w:rsid w:val="003B638C"/>
    <w:rsid w:val="003B7217"/>
    <w:rsid w:val="003B7F5C"/>
    <w:rsid w:val="003C0410"/>
    <w:rsid w:val="003C0A6E"/>
    <w:rsid w:val="003C109D"/>
    <w:rsid w:val="003C15A4"/>
    <w:rsid w:val="003C174E"/>
    <w:rsid w:val="003C17BF"/>
    <w:rsid w:val="003C26E6"/>
    <w:rsid w:val="003C3102"/>
    <w:rsid w:val="003C3EBC"/>
    <w:rsid w:val="003C425C"/>
    <w:rsid w:val="003C479F"/>
    <w:rsid w:val="003C4F41"/>
    <w:rsid w:val="003C6515"/>
    <w:rsid w:val="003C6E76"/>
    <w:rsid w:val="003D1A49"/>
    <w:rsid w:val="003D224E"/>
    <w:rsid w:val="003D2559"/>
    <w:rsid w:val="003D38E9"/>
    <w:rsid w:val="003D4275"/>
    <w:rsid w:val="003D49B4"/>
    <w:rsid w:val="003D4A9F"/>
    <w:rsid w:val="003D5149"/>
    <w:rsid w:val="003D521F"/>
    <w:rsid w:val="003D6507"/>
    <w:rsid w:val="003D655B"/>
    <w:rsid w:val="003D6601"/>
    <w:rsid w:val="003D69E4"/>
    <w:rsid w:val="003D6CE4"/>
    <w:rsid w:val="003D6F09"/>
    <w:rsid w:val="003E0CC7"/>
    <w:rsid w:val="003E20CF"/>
    <w:rsid w:val="003E23B1"/>
    <w:rsid w:val="003E23F6"/>
    <w:rsid w:val="003E26F8"/>
    <w:rsid w:val="003E292C"/>
    <w:rsid w:val="003E2F3A"/>
    <w:rsid w:val="003E5CE4"/>
    <w:rsid w:val="003E62E8"/>
    <w:rsid w:val="003E71FE"/>
    <w:rsid w:val="003E7CD6"/>
    <w:rsid w:val="003F0649"/>
    <w:rsid w:val="003F1EAF"/>
    <w:rsid w:val="003F3F77"/>
    <w:rsid w:val="003F5ACE"/>
    <w:rsid w:val="003F5BB2"/>
    <w:rsid w:val="003F5CC4"/>
    <w:rsid w:val="003F5F73"/>
    <w:rsid w:val="003F5FC0"/>
    <w:rsid w:val="003F7259"/>
    <w:rsid w:val="003F7463"/>
    <w:rsid w:val="003F7581"/>
    <w:rsid w:val="003F76D3"/>
    <w:rsid w:val="003F7FE2"/>
    <w:rsid w:val="004003D6"/>
    <w:rsid w:val="0040042D"/>
    <w:rsid w:val="004007FC"/>
    <w:rsid w:val="00400E64"/>
    <w:rsid w:val="00401A96"/>
    <w:rsid w:val="00402234"/>
    <w:rsid w:val="004026AA"/>
    <w:rsid w:val="0040273F"/>
    <w:rsid w:val="00403726"/>
    <w:rsid w:val="00403B3D"/>
    <w:rsid w:val="0040467C"/>
    <w:rsid w:val="00404D8B"/>
    <w:rsid w:val="00405B17"/>
    <w:rsid w:val="00406FE9"/>
    <w:rsid w:val="0040718A"/>
    <w:rsid w:val="004079B7"/>
    <w:rsid w:val="00407B02"/>
    <w:rsid w:val="00407D04"/>
    <w:rsid w:val="00410FB5"/>
    <w:rsid w:val="00411147"/>
    <w:rsid w:val="00412BAA"/>
    <w:rsid w:val="00413137"/>
    <w:rsid w:val="004132C4"/>
    <w:rsid w:val="00416ACA"/>
    <w:rsid w:val="00420384"/>
    <w:rsid w:val="004206F0"/>
    <w:rsid w:val="004219F7"/>
    <w:rsid w:val="00422D8F"/>
    <w:rsid w:val="00423014"/>
    <w:rsid w:val="00423298"/>
    <w:rsid w:val="004234EB"/>
    <w:rsid w:val="00423B50"/>
    <w:rsid w:val="00423F29"/>
    <w:rsid w:val="00425870"/>
    <w:rsid w:val="0042671D"/>
    <w:rsid w:val="00426758"/>
    <w:rsid w:val="00427849"/>
    <w:rsid w:val="00433435"/>
    <w:rsid w:val="0043349D"/>
    <w:rsid w:val="0043361E"/>
    <w:rsid w:val="0043375A"/>
    <w:rsid w:val="004337A1"/>
    <w:rsid w:val="00434A68"/>
    <w:rsid w:val="00435023"/>
    <w:rsid w:val="004356C1"/>
    <w:rsid w:val="00436571"/>
    <w:rsid w:val="00437482"/>
    <w:rsid w:val="0043759B"/>
    <w:rsid w:val="00437963"/>
    <w:rsid w:val="00437CEA"/>
    <w:rsid w:val="00440EA1"/>
    <w:rsid w:val="004412D8"/>
    <w:rsid w:val="00441B5B"/>
    <w:rsid w:val="00441E02"/>
    <w:rsid w:val="00442599"/>
    <w:rsid w:val="00442E0B"/>
    <w:rsid w:val="004431B5"/>
    <w:rsid w:val="00443596"/>
    <w:rsid w:val="00443736"/>
    <w:rsid w:val="00443A93"/>
    <w:rsid w:val="00444530"/>
    <w:rsid w:val="00445C71"/>
    <w:rsid w:val="004460BA"/>
    <w:rsid w:val="0044616D"/>
    <w:rsid w:val="004469DE"/>
    <w:rsid w:val="00446BC1"/>
    <w:rsid w:val="004473C7"/>
    <w:rsid w:val="00447D38"/>
    <w:rsid w:val="004502EB"/>
    <w:rsid w:val="004509C9"/>
    <w:rsid w:val="00453AE7"/>
    <w:rsid w:val="00454A05"/>
    <w:rsid w:val="00454EF8"/>
    <w:rsid w:val="00455FDC"/>
    <w:rsid w:val="00456615"/>
    <w:rsid w:val="00456714"/>
    <w:rsid w:val="0045676A"/>
    <w:rsid w:val="00456B40"/>
    <w:rsid w:val="004571DE"/>
    <w:rsid w:val="00457388"/>
    <w:rsid w:val="0046025B"/>
    <w:rsid w:val="00460282"/>
    <w:rsid w:val="0046124B"/>
    <w:rsid w:val="00461BFA"/>
    <w:rsid w:val="00462B51"/>
    <w:rsid w:val="00462BD0"/>
    <w:rsid w:val="00464639"/>
    <w:rsid w:val="0046466B"/>
    <w:rsid w:val="004655D6"/>
    <w:rsid w:val="0046601F"/>
    <w:rsid w:val="0046677B"/>
    <w:rsid w:val="00466E43"/>
    <w:rsid w:val="004675C8"/>
    <w:rsid w:val="00471352"/>
    <w:rsid w:val="004717DC"/>
    <w:rsid w:val="0047211B"/>
    <w:rsid w:val="00472FB3"/>
    <w:rsid w:val="00473107"/>
    <w:rsid w:val="00474948"/>
    <w:rsid w:val="004749DE"/>
    <w:rsid w:val="00476060"/>
    <w:rsid w:val="004772E1"/>
    <w:rsid w:val="004809B1"/>
    <w:rsid w:val="00480C2F"/>
    <w:rsid w:val="00480D7D"/>
    <w:rsid w:val="004811B8"/>
    <w:rsid w:val="00481947"/>
    <w:rsid w:val="004820B4"/>
    <w:rsid w:val="0048281D"/>
    <w:rsid w:val="00483717"/>
    <w:rsid w:val="004845E1"/>
    <w:rsid w:val="004849F1"/>
    <w:rsid w:val="00484B5F"/>
    <w:rsid w:val="00486D17"/>
    <w:rsid w:val="00486F34"/>
    <w:rsid w:val="004870C4"/>
    <w:rsid w:val="004870FA"/>
    <w:rsid w:val="0048773B"/>
    <w:rsid w:val="00487883"/>
    <w:rsid w:val="0048795A"/>
    <w:rsid w:val="00487D8D"/>
    <w:rsid w:val="00490B1D"/>
    <w:rsid w:val="004917CC"/>
    <w:rsid w:val="00491AB5"/>
    <w:rsid w:val="00491BBC"/>
    <w:rsid w:val="004940D7"/>
    <w:rsid w:val="00494170"/>
    <w:rsid w:val="0049490F"/>
    <w:rsid w:val="00495618"/>
    <w:rsid w:val="004A0262"/>
    <w:rsid w:val="004A0575"/>
    <w:rsid w:val="004A1ACC"/>
    <w:rsid w:val="004A4466"/>
    <w:rsid w:val="004A495D"/>
    <w:rsid w:val="004A4DB0"/>
    <w:rsid w:val="004A5B4D"/>
    <w:rsid w:val="004A63F2"/>
    <w:rsid w:val="004A6E97"/>
    <w:rsid w:val="004A752E"/>
    <w:rsid w:val="004B091B"/>
    <w:rsid w:val="004B2894"/>
    <w:rsid w:val="004B2FDC"/>
    <w:rsid w:val="004B417C"/>
    <w:rsid w:val="004B506D"/>
    <w:rsid w:val="004B57DA"/>
    <w:rsid w:val="004B62E4"/>
    <w:rsid w:val="004B6D89"/>
    <w:rsid w:val="004B6E3A"/>
    <w:rsid w:val="004B77EB"/>
    <w:rsid w:val="004B7B29"/>
    <w:rsid w:val="004C0211"/>
    <w:rsid w:val="004C0CB9"/>
    <w:rsid w:val="004C1042"/>
    <w:rsid w:val="004C19BB"/>
    <w:rsid w:val="004C24F1"/>
    <w:rsid w:val="004C2AEF"/>
    <w:rsid w:val="004C3537"/>
    <w:rsid w:val="004C5260"/>
    <w:rsid w:val="004C583C"/>
    <w:rsid w:val="004C58F1"/>
    <w:rsid w:val="004C679C"/>
    <w:rsid w:val="004C76B3"/>
    <w:rsid w:val="004D1228"/>
    <w:rsid w:val="004D1804"/>
    <w:rsid w:val="004D25D8"/>
    <w:rsid w:val="004D26BF"/>
    <w:rsid w:val="004D2906"/>
    <w:rsid w:val="004D2A47"/>
    <w:rsid w:val="004D3A42"/>
    <w:rsid w:val="004D4564"/>
    <w:rsid w:val="004D48F8"/>
    <w:rsid w:val="004D65DE"/>
    <w:rsid w:val="004D68FE"/>
    <w:rsid w:val="004D7376"/>
    <w:rsid w:val="004D7654"/>
    <w:rsid w:val="004D7C19"/>
    <w:rsid w:val="004E098B"/>
    <w:rsid w:val="004E14F3"/>
    <w:rsid w:val="004E21CA"/>
    <w:rsid w:val="004E32FF"/>
    <w:rsid w:val="004E4809"/>
    <w:rsid w:val="004E4A19"/>
    <w:rsid w:val="004E4E3E"/>
    <w:rsid w:val="004E579B"/>
    <w:rsid w:val="004E57A7"/>
    <w:rsid w:val="004E64F2"/>
    <w:rsid w:val="004E6D9E"/>
    <w:rsid w:val="004F01D1"/>
    <w:rsid w:val="004F342F"/>
    <w:rsid w:val="004F4F9B"/>
    <w:rsid w:val="004F57B8"/>
    <w:rsid w:val="004F5CDD"/>
    <w:rsid w:val="004F7CB6"/>
    <w:rsid w:val="004F7F2D"/>
    <w:rsid w:val="0050047A"/>
    <w:rsid w:val="00500C9D"/>
    <w:rsid w:val="00503963"/>
    <w:rsid w:val="005043DC"/>
    <w:rsid w:val="00504E66"/>
    <w:rsid w:val="00505826"/>
    <w:rsid w:val="00505CC5"/>
    <w:rsid w:val="005063DA"/>
    <w:rsid w:val="00506727"/>
    <w:rsid w:val="0050748F"/>
    <w:rsid w:val="00507CB3"/>
    <w:rsid w:val="00507DD7"/>
    <w:rsid w:val="00510A9D"/>
    <w:rsid w:val="005112D4"/>
    <w:rsid w:val="00511656"/>
    <w:rsid w:val="00511C48"/>
    <w:rsid w:val="005121F0"/>
    <w:rsid w:val="005129A4"/>
    <w:rsid w:val="005130A2"/>
    <w:rsid w:val="00513AB3"/>
    <w:rsid w:val="00513E12"/>
    <w:rsid w:val="00514CEA"/>
    <w:rsid w:val="00516809"/>
    <w:rsid w:val="0051699E"/>
    <w:rsid w:val="005169D8"/>
    <w:rsid w:val="00516CB6"/>
    <w:rsid w:val="0051767C"/>
    <w:rsid w:val="00517B29"/>
    <w:rsid w:val="00517BC5"/>
    <w:rsid w:val="00517DA9"/>
    <w:rsid w:val="005201AA"/>
    <w:rsid w:val="00520AD2"/>
    <w:rsid w:val="00520BDA"/>
    <w:rsid w:val="00520F39"/>
    <w:rsid w:val="005212DF"/>
    <w:rsid w:val="00521980"/>
    <w:rsid w:val="005219DA"/>
    <w:rsid w:val="0052334A"/>
    <w:rsid w:val="00523EE5"/>
    <w:rsid w:val="00524062"/>
    <w:rsid w:val="00525C4E"/>
    <w:rsid w:val="00526105"/>
    <w:rsid w:val="00527272"/>
    <w:rsid w:val="00527740"/>
    <w:rsid w:val="00527A8E"/>
    <w:rsid w:val="0053189D"/>
    <w:rsid w:val="005322A0"/>
    <w:rsid w:val="005325AF"/>
    <w:rsid w:val="0053390A"/>
    <w:rsid w:val="00534954"/>
    <w:rsid w:val="00535CA1"/>
    <w:rsid w:val="00537220"/>
    <w:rsid w:val="00537869"/>
    <w:rsid w:val="005406D0"/>
    <w:rsid w:val="00540E66"/>
    <w:rsid w:val="00541155"/>
    <w:rsid w:val="00541918"/>
    <w:rsid w:val="00542EC2"/>
    <w:rsid w:val="005430B2"/>
    <w:rsid w:val="0054434A"/>
    <w:rsid w:val="00545CFB"/>
    <w:rsid w:val="0054690A"/>
    <w:rsid w:val="00547436"/>
    <w:rsid w:val="005476AB"/>
    <w:rsid w:val="00547D0D"/>
    <w:rsid w:val="005513F3"/>
    <w:rsid w:val="0055292E"/>
    <w:rsid w:val="00552D64"/>
    <w:rsid w:val="005530B3"/>
    <w:rsid w:val="00554E00"/>
    <w:rsid w:val="00554EA8"/>
    <w:rsid w:val="00556FA4"/>
    <w:rsid w:val="00557049"/>
    <w:rsid w:val="0055777E"/>
    <w:rsid w:val="0056081F"/>
    <w:rsid w:val="0056201F"/>
    <w:rsid w:val="00562572"/>
    <w:rsid w:val="0056265A"/>
    <w:rsid w:val="005629DC"/>
    <w:rsid w:val="00562BCC"/>
    <w:rsid w:val="00562CDC"/>
    <w:rsid w:val="00565321"/>
    <w:rsid w:val="005655F8"/>
    <w:rsid w:val="00566BAE"/>
    <w:rsid w:val="00572C51"/>
    <w:rsid w:val="00572F89"/>
    <w:rsid w:val="005731E7"/>
    <w:rsid w:val="00574B6C"/>
    <w:rsid w:val="005751AF"/>
    <w:rsid w:val="00575639"/>
    <w:rsid w:val="005762BC"/>
    <w:rsid w:val="00577A68"/>
    <w:rsid w:val="00577CCC"/>
    <w:rsid w:val="0058122D"/>
    <w:rsid w:val="00581994"/>
    <w:rsid w:val="00583815"/>
    <w:rsid w:val="00584498"/>
    <w:rsid w:val="005857B7"/>
    <w:rsid w:val="00585B07"/>
    <w:rsid w:val="00585C7D"/>
    <w:rsid w:val="00585DA9"/>
    <w:rsid w:val="00586290"/>
    <w:rsid w:val="00586AFF"/>
    <w:rsid w:val="005903C3"/>
    <w:rsid w:val="00591798"/>
    <w:rsid w:val="00592863"/>
    <w:rsid w:val="00593376"/>
    <w:rsid w:val="00593C6F"/>
    <w:rsid w:val="005945B4"/>
    <w:rsid w:val="00594DE5"/>
    <w:rsid w:val="00595B70"/>
    <w:rsid w:val="00595E40"/>
    <w:rsid w:val="00596974"/>
    <w:rsid w:val="00596E1B"/>
    <w:rsid w:val="00597759"/>
    <w:rsid w:val="005A00C4"/>
    <w:rsid w:val="005A0F1D"/>
    <w:rsid w:val="005A0FE2"/>
    <w:rsid w:val="005A1694"/>
    <w:rsid w:val="005A1D1F"/>
    <w:rsid w:val="005A43D0"/>
    <w:rsid w:val="005A45FB"/>
    <w:rsid w:val="005A4626"/>
    <w:rsid w:val="005A4AF0"/>
    <w:rsid w:val="005A4B61"/>
    <w:rsid w:val="005A546D"/>
    <w:rsid w:val="005A57DD"/>
    <w:rsid w:val="005A7213"/>
    <w:rsid w:val="005A7EBF"/>
    <w:rsid w:val="005B041A"/>
    <w:rsid w:val="005B127B"/>
    <w:rsid w:val="005B22BC"/>
    <w:rsid w:val="005B2788"/>
    <w:rsid w:val="005B2FE9"/>
    <w:rsid w:val="005B3272"/>
    <w:rsid w:val="005B3E5F"/>
    <w:rsid w:val="005B48B0"/>
    <w:rsid w:val="005B50CE"/>
    <w:rsid w:val="005B5FB8"/>
    <w:rsid w:val="005C002E"/>
    <w:rsid w:val="005C0B3D"/>
    <w:rsid w:val="005C3993"/>
    <w:rsid w:val="005C436C"/>
    <w:rsid w:val="005C4500"/>
    <w:rsid w:val="005C4B02"/>
    <w:rsid w:val="005C5074"/>
    <w:rsid w:val="005C7406"/>
    <w:rsid w:val="005C74F0"/>
    <w:rsid w:val="005D077D"/>
    <w:rsid w:val="005D152A"/>
    <w:rsid w:val="005D15F0"/>
    <w:rsid w:val="005D19F7"/>
    <w:rsid w:val="005D224A"/>
    <w:rsid w:val="005D315D"/>
    <w:rsid w:val="005D4BC0"/>
    <w:rsid w:val="005D4BF6"/>
    <w:rsid w:val="005D4CAC"/>
    <w:rsid w:val="005D4E2B"/>
    <w:rsid w:val="005D6A27"/>
    <w:rsid w:val="005D6ADA"/>
    <w:rsid w:val="005D6B88"/>
    <w:rsid w:val="005D70A8"/>
    <w:rsid w:val="005D7586"/>
    <w:rsid w:val="005D7695"/>
    <w:rsid w:val="005D7FA4"/>
    <w:rsid w:val="005E024B"/>
    <w:rsid w:val="005E0874"/>
    <w:rsid w:val="005E1B4F"/>
    <w:rsid w:val="005E23F7"/>
    <w:rsid w:val="005E35CE"/>
    <w:rsid w:val="005E37AC"/>
    <w:rsid w:val="005E46C6"/>
    <w:rsid w:val="005E588C"/>
    <w:rsid w:val="005E7464"/>
    <w:rsid w:val="005E74B8"/>
    <w:rsid w:val="005F0376"/>
    <w:rsid w:val="005F0BD3"/>
    <w:rsid w:val="005F143D"/>
    <w:rsid w:val="005F184A"/>
    <w:rsid w:val="005F2282"/>
    <w:rsid w:val="005F5B1E"/>
    <w:rsid w:val="005F64B9"/>
    <w:rsid w:val="005F6C57"/>
    <w:rsid w:val="005F6D24"/>
    <w:rsid w:val="0060173F"/>
    <w:rsid w:val="00603022"/>
    <w:rsid w:val="00604CF7"/>
    <w:rsid w:val="00604FB9"/>
    <w:rsid w:val="006050B2"/>
    <w:rsid w:val="0060606C"/>
    <w:rsid w:val="006069AA"/>
    <w:rsid w:val="00607E84"/>
    <w:rsid w:val="006103BB"/>
    <w:rsid w:val="006106B7"/>
    <w:rsid w:val="006108B2"/>
    <w:rsid w:val="00610935"/>
    <w:rsid w:val="00610A99"/>
    <w:rsid w:val="00611196"/>
    <w:rsid w:val="00611666"/>
    <w:rsid w:val="00611A12"/>
    <w:rsid w:val="00612318"/>
    <w:rsid w:val="006127AD"/>
    <w:rsid w:val="00612F18"/>
    <w:rsid w:val="00612FAD"/>
    <w:rsid w:val="0061376A"/>
    <w:rsid w:val="00613BB5"/>
    <w:rsid w:val="00614BD1"/>
    <w:rsid w:val="00614EF3"/>
    <w:rsid w:val="0061563A"/>
    <w:rsid w:val="00617BF2"/>
    <w:rsid w:val="006201FF"/>
    <w:rsid w:val="0062211A"/>
    <w:rsid w:val="00622B5E"/>
    <w:rsid w:val="00622F37"/>
    <w:rsid w:val="006239C1"/>
    <w:rsid w:val="00623CF7"/>
    <w:rsid w:val="00624235"/>
    <w:rsid w:val="006248F9"/>
    <w:rsid w:val="00624EED"/>
    <w:rsid w:val="00626E5E"/>
    <w:rsid w:val="00627EB1"/>
    <w:rsid w:val="00630AD2"/>
    <w:rsid w:val="00630B18"/>
    <w:rsid w:val="0063101B"/>
    <w:rsid w:val="00631140"/>
    <w:rsid w:val="00631174"/>
    <w:rsid w:val="006311F3"/>
    <w:rsid w:val="00631414"/>
    <w:rsid w:val="00631DF0"/>
    <w:rsid w:val="00632428"/>
    <w:rsid w:val="00632D7F"/>
    <w:rsid w:val="00633138"/>
    <w:rsid w:val="0063322D"/>
    <w:rsid w:val="0063364D"/>
    <w:rsid w:val="00633715"/>
    <w:rsid w:val="006344AD"/>
    <w:rsid w:val="006348C6"/>
    <w:rsid w:val="006350E8"/>
    <w:rsid w:val="0063578E"/>
    <w:rsid w:val="00636460"/>
    <w:rsid w:val="00636634"/>
    <w:rsid w:val="00636FD0"/>
    <w:rsid w:val="0063735A"/>
    <w:rsid w:val="006376EB"/>
    <w:rsid w:val="006403F6"/>
    <w:rsid w:val="0064090A"/>
    <w:rsid w:val="0064277C"/>
    <w:rsid w:val="00642A19"/>
    <w:rsid w:val="00643565"/>
    <w:rsid w:val="006438F2"/>
    <w:rsid w:val="00644E20"/>
    <w:rsid w:val="006463D2"/>
    <w:rsid w:val="00646F0E"/>
    <w:rsid w:val="00646FF7"/>
    <w:rsid w:val="00650509"/>
    <w:rsid w:val="00650594"/>
    <w:rsid w:val="00651002"/>
    <w:rsid w:val="00651A0C"/>
    <w:rsid w:val="00651BBF"/>
    <w:rsid w:val="00651FC1"/>
    <w:rsid w:val="006523D1"/>
    <w:rsid w:val="00652818"/>
    <w:rsid w:val="00654481"/>
    <w:rsid w:val="00654AC6"/>
    <w:rsid w:val="006552D0"/>
    <w:rsid w:val="006556D4"/>
    <w:rsid w:val="0065639B"/>
    <w:rsid w:val="00657D59"/>
    <w:rsid w:val="0066094D"/>
    <w:rsid w:val="00660B26"/>
    <w:rsid w:val="00660D76"/>
    <w:rsid w:val="00661EFA"/>
    <w:rsid w:val="006626FB"/>
    <w:rsid w:val="006644B0"/>
    <w:rsid w:val="00664E99"/>
    <w:rsid w:val="006650DF"/>
    <w:rsid w:val="00666701"/>
    <w:rsid w:val="00667551"/>
    <w:rsid w:val="0067026A"/>
    <w:rsid w:val="006705DB"/>
    <w:rsid w:val="006709E6"/>
    <w:rsid w:val="00670DDA"/>
    <w:rsid w:val="00672513"/>
    <w:rsid w:val="00673195"/>
    <w:rsid w:val="006739E9"/>
    <w:rsid w:val="00674155"/>
    <w:rsid w:val="00674496"/>
    <w:rsid w:val="00674B4B"/>
    <w:rsid w:val="00675121"/>
    <w:rsid w:val="00675346"/>
    <w:rsid w:val="006754B9"/>
    <w:rsid w:val="00676552"/>
    <w:rsid w:val="00676D12"/>
    <w:rsid w:val="00677B3A"/>
    <w:rsid w:val="00677D54"/>
    <w:rsid w:val="00680263"/>
    <w:rsid w:val="0068089A"/>
    <w:rsid w:val="00680ACC"/>
    <w:rsid w:val="00680D3E"/>
    <w:rsid w:val="00680FB8"/>
    <w:rsid w:val="006810E0"/>
    <w:rsid w:val="006827F5"/>
    <w:rsid w:val="006830EF"/>
    <w:rsid w:val="0068387F"/>
    <w:rsid w:val="006849B9"/>
    <w:rsid w:val="00684C87"/>
    <w:rsid w:val="00686648"/>
    <w:rsid w:val="00686BF7"/>
    <w:rsid w:val="00686E11"/>
    <w:rsid w:val="006871BD"/>
    <w:rsid w:val="00690865"/>
    <w:rsid w:val="006923C5"/>
    <w:rsid w:val="006932F8"/>
    <w:rsid w:val="00693EDF"/>
    <w:rsid w:val="00694EEF"/>
    <w:rsid w:val="00695BF0"/>
    <w:rsid w:val="0069743F"/>
    <w:rsid w:val="00697F7D"/>
    <w:rsid w:val="006A02C7"/>
    <w:rsid w:val="006A1629"/>
    <w:rsid w:val="006A1971"/>
    <w:rsid w:val="006A2C57"/>
    <w:rsid w:val="006A3FB7"/>
    <w:rsid w:val="006A6B3B"/>
    <w:rsid w:val="006B057D"/>
    <w:rsid w:val="006B13B5"/>
    <w:rsid w:val="006B1428"/>
    <w:rsid w:val="006B3751"/>
    <w:rsid w:val="006B399B"/>
    <w:rsid w:val="006B3D05"/>
    <w:rsid w:val="006B4F3A"/>
    <w:rsid w:val="006B53A8"/>
    <w:rsid w:val="006B5D3C"/>
    <w:rsid w:val="006B5D60"/>
    <w:rsid w:val="006B741C"/>
    <w:rsid w:val="006B79FD"/>
    <w:rsid w:val="006B7D19"/>
    <w:rsid w:val="006B7D57"/>
    <w:rsid w:val="006C0A8E"/>
    <w:rsid w:val="006C13D0"/>
    <w:rsid w:val="006C2094"/>
    <w:rsid w:val="006C2C9A"/>
    <w:rsid w:val="006C2CB6"/>
    <w:rsid w:val="006C380C"/>
    <w:rsid w:val="006C3D3D"/>
    <w:rsid w:val="006C493F"/>
    <w:rsid w:val="006C4DEE"/>
    <w:rsid w:val="006C521A"/>
    <w:rsid w:val="006C5985"/>
    <w:rsid w:val="006C6A58"/>
    <w:rsid w:val="006C6DA3"/>
    <w:rsid w:val="006C79FC"/>
    <w:rsid w:val="006D05BA"/>
    <w:rsid w:val="006D0A6D"/>
    <w:rsid w:val="006D0EBF"/>
    <w:rsid w:val="006D1B1B"/>
    <w:rsid w:val="006D39BF"/>
    <w:rsid w:val="006D619F"/>
    <w:rsid w:val="006D6A87"/>
    <w:rsid w:val="006E0085"/>
    <w:rsid w:val="006E009B"/>
    <w:rsid w:val="006E0361"/>
    <w:rsid w:val="006E0D95"/>
    <w:rsid w:val="006E12C0"/>
    <w:rsid w:val="006E12E1"/>
    <w:rsid w:val="006E1B9C"/>
    <w:rsid w:val="006E1DC4"/>
    <w:rsid w:val="006E1F9C"/>
    <w:rsid w:val="006E2C4C"/>
    <w:rsid w:val="006E2CB9"/>
    <w:rsid w:val="006E3D61"/>
    <w:rsid w:val="006E3E90"/>
    <w:rsid w:val="006E43D4"/>
    <w:rsid w:val="006E4985"/>
    <w:rsid w:val="006E5572"/>
    <w:rsid w:val="006E5D82"/>
    <w:rsid w:val="006E6414"/>
    <w:rsid w:val="006E6921"/>
    <w:rsid w:val="006E7337"/>
    <w:rsid w:val="006E7786"/>
    <w:rsid w:val="006E7EBC"/>
    <w:rsid w:val="006F20FC"/>
    <w:rsid w:val="006F26D1"/>
    <w:rsid w:val="006F2A6B"/>
    <w:rsid w:val="006F330B"/>
    <w:rsid w:val="006F3947"/>
    <w:rsid w:val="006F4F73"/>
    <w:rsid w:val="006F5021"/>
    <w:rsid w:val="006F639E"/>
    <w:rsid w:val="006F6B54"/>
    <w:rsid w:val="006F78D2"/>
    <w:rsid w:val="006F7A76"/>
    <w:rsid w:val="006F7F94"/>
    <w:rsid w:val="00700749"/>
    <w:rsid w:val="0070076F"/>
    <w:rsid w:val="00701CB5"/>
    <w:rsid w:val="00702897"/>
    <w:rsid w:val="007030B4"/>
    <w:rsid w:val="00703F8F"/>
    <w:rsid w:val="00704441"/>
    <w:rsid w:val="0070701B"/>
    <w:rsid w:val="0070748B"/>
    <w:rsid w:val="00707ECC"/>
    <w:rsid w:val="00710232"/>
    <w:rsid w:val="00710F40"/>
    <w:rsid w:val="0071107B"/>
    <w:rsid w:val="00711533"/>
    <w:rsid w:val="00711F50"/>
    <w:rsid w:val="00713E08"/>
    <w:rsid w:val="0071481E"/>
    <w:rsid w:val="00716992"/>
    <w:rsid w:val="00716BC5"/>
    <w:rsid w:val="007208E0"/>
    <w:rsid w:val="00720A33"/>
    <w:rsid w:val="00721B29"/>
    <w:rsid w:val="0072220A"/>
    <w:rsid w:val="00722344"/>
    <w:rsid w:val="0072235A"/>
    <w:rsid w:val="0072332C"/>
    <w:rsid w:val="007237C1"/>
    <w:rsid w:val="00723CC8"/>
    <w:rsid w:val="007255A5"/>
    <w:rsid w:val="007258BA"/>
    <w:rsid w:val="0072640C"/>
    <w:rsid w:val="007268AF"/>
    <w:rsid w:val="00727ED7"/>
    <w:rsid w:val="007304F8"/>
    <w:rsid w:val="00730920"/>
    <w:rsid w:val="00731511"/>
    <w:rsid w:val="007315AB"/>
    <w:rsid w:val="007329F0"/>
    <w:rsid w:val="00732A6D"/>
    <w:rsid w:val="00733279"/>
    <w:rsid w:val="00734253"/>
    <w:rsid w:val="00734D5D"/>
    <w:rsid w:val="00734F25"/>
    <w:rsid w:val="00735688"/>
    <w:rsid w:val="00736A18"/>
    <w:rsid w:val="00737C65"/>
    <w:rsid w:val="007406F3"/>
    <w:rsid w:val="007409B2"/>
    <w:rsid w:val="00740E78"/>
    <w:rsid w:val="00741D88"/>
    <w:rsid w:val="007423F0"/>
    <w:rsid w:val="00742D5E"/>
    <w:rsid w:val="00743C2E"/>
    <w:rsid w:val="00744A3B"/>
    <w:rsid w:val="007450E3"/>
    <w:rsid w:val="00746248"/>
    <w:rsid w:val="007476E8"/>
    <w:rsid w:val="00747874"/>
    <w:rsid w:val="00750182"/>
    <w:rsid w:val="007511D3"/>
    <w:rsid w:val="00751EF3"/>
    <w:rsid w:val="00752174"/>
    <w:rsid w:val="007536D9"/>
    <w:rsid w:val="007542AC"/>
    <w:rsid w:val="00754873"/>
    <w:rsid w:val="00754D51"/>
    <w:rsid w:val="0075536B"/>
    <w:rsid w:val="007553EE"/>
    <w:rsid w:val="00756E6E"/>
    <w:rsid w:val="0076075E"/>
    <w:rsid w:val="007607A3"/>
    <w:rsid w:val="00760A9A"/>
    <w:rsid w:val="0076152B"/>
    <w:rsid w:val="00761BD3"/>
    <w:rsid w:val="00761F39"/>
    <w:rsid w:val="00763326"/>
    <w:rsid w:val="00763398"/>
    <w:rsid w:val="007660F5"/>
    <w:rsid w:val="007669B4"/>
    <w:rsid w:val="00766FFC"/>
    <w:rsid w:val="00770571"/>
    <w:rsid w:val="00770DE3"/>
    <w:rsid w:val="00772210"/>
    <w:rsid w:val="00772304"/>
    <w:rsid w:val="0077329D"/>
    <w:rsid w:val="0077381F"/>
    <w:rsid w:val="00775238"/>
    <w:rsid w:val="00775B45"/>
    <w:rsid w:val="00777B90"/>
    <w:rsid w:val="00777ECA"/>
    <w:rsid w:val="00777F3E"/>
    <w:rsid w:val="00780B6D"/>
    <w:rsid w:val="0078182D"/>
    <w:rsid w:val="00782D46"/>
    <w:rsid w:val="0078342B"/>
    <w:rsid w:val="007849F6"/>
    <w:rsid w:val="00786DA0"/>
    <w:rsid w:val="007875D9"/>
    <w:rsid w:val="00790659"/>
    <w:rsid w:val="00791189"/>
    <w:rsid w:val="00791430"/>
    <w:rsid w:val="00791719"/>
    <w:rsid w:val="0079197C"/>
    <w:rsid w:val="0079237F"/>
    <w:rsid w:val="00793B0B"/>
    <w:rsid w:val="00793C77"/>
    <w:rsid w:val="0079494C"/>
    <w:rsid w:val="00794B56"/>
    <w:rsid w:val="00794E0D"/>
    <w:rsid w:val="00797146"/>
    <w:rsid w:val="007974F4"/>
    <w:rsid w:val="0079762B"/>
    <w:rsid w:val="00797925"/>
    <w:rsid w:val="007A01D6"/>
    <w:rsid w:val="007A10D7"/>
    <w:rsid w:val="007A22AD"/>
    <w:rsid w:val="007A2CA1"/>
    <w:rsid w:val="007A61B3"/>
    <w:rsid w:val="007A6E2A"/>
    <w:rsid w:val="007A700F"/>
    <w:rsid w:val="007A71AF"/>
    <w:rsid w:val="007A7A0F"/>
    <w:rsid w:val="007A7D4A"/>
    <w:rsid w:val="007B17BA"/>
    <w:rsid w:val="007B1A6D"/>
    <w:rsid w:val="007B2039"/>
    <w:rsid w:val="007B328E"/>
    <w:rsid w:val="007B356F"/>
    <w:rsid w:val="007B46E2"/>
    <w:rsid w:val="007B4A93"/>
    <w:rsid w:val="007B5BAC"/>
    <w:rsid w:val="007B5C64"/>
    <w:rsid w:val="007B771F"/>
    <w:rsid w:val="007B780E"/>
    <w:rsid w:val="007C08B2"/>
    <w:rsid w:val="007C0B6D"/>
    <w:rsid w:val="007C2335"/>
    <w:rsid w:val="007C24D8"/>
    <w:rsid w:val="007C2F0F"/>
    <w:rsid w:val="007C3266"/>
    <w:rsid w:val="007C3AF1"/>
    <w:rsid w:val="007C3E93"/>
    <w:rsid w:val="007C527E"/>
    <w:rsid w:val="007C5DD2"/>
    <w:rsid w:val="007C6274"/>
    <w:rsid w:val="007C63B9"/>
    <w:rsid w:val="007C6772"/>
    <w:rsid w:val="007C6AE4"/>
    <w:rsid w:val="007C6D01"/>
    <w:rsid w:val="007C7F76"/>
    <w:rsid w:val="007D03E0"/>
    <w:rsid w:val="007D1E05"/>
    <w:rsid w:val="007D2BE2"/>
    <w:rsid w:val="007D30EC"/>
    <w:rsid w:val="007D3ED0"/>
    <w:rsid w:val="007D50C3"/>
    <w:rsid w:val="007D58BD"/>
    <w:rsid w:val="007D6238"/>
    <w:rsid w:val="007E126E"/>
    <w:rsid w:val="007E18D5"/>
    <w:rsid w:val="007E2C5D"/>
    <w:rsid w:val="007E368A"/>
    <w:rsid w:val="007E39D3"/>
    <w:rsid w:val="007E3D04"/>
    <w:rsid w:val="007E42ED"/>
    <w:rsid w:val="007E450A"/>
    <w:rsid w:val="007E5CE3"/>
    <w:rsid w:val="007E7452"/>
    <w:rsid w:val="007E7742"/>
    <w:rsid w:val="007E7903"/>
    <w:rsid w:val="007F0568"/>
    <w:rsid w:val="007F0702"/>
    <w:rsid w:val="007F117E"/>
    <w:rsid w:val="007F29BB"/>
    <w:rsid w:val="007F4C6D"/>
    <w:rsid w:val="007F6AA5"/>
    <w:rsid w:val="008003F0"/>
    <w:rsid w:val="00800918"/>
    <w:rsid w:val="008022C2"/>
    <w:rsid w:val="008025C8"/>
    <w:rsid w:val="008026C9"/>
    <w:rsid w:val="0080306F"/>
    <w:rsid w:val="008036DA"/>
    <w:rsid w:val="00803728"/>
    <w:rsid w:val="00804133"/>
    <w:rsid w:val="00804334"/>
    <w:rsid w:val="0080522E"/>
    <w:rsid w:val="00807223"/>
    <w:rsid w:val="008073E1"/>
    <w:rsid w:val="0080787C"/>
    <w:rsid w:val="00807FD0"/>
    <w:rsid w:val="00814FB1"/>
    <w:rsid w:val="008156E5"/>
    <w:rsid w:val="008175E6"/>
    <w:rsid w:val="00817EB0"/>
    <w:rsid w:val="00820B21"/>
    <w:rsid w:val="0082114C"/>
    <w:rsid w:val="008232E5"/>
    <w:rsid w:val="00823598"/>
    <w:rsid w:val="0082382C"/>
    <w:rsid w:val="00824192"/>
    <w:rsid w:val="0082425B"/>
    <w:rsid w:val="008244C3"/>
    <w:rsid w:val="0082541A"/>
    <w:rsid w:val="008254C4"/>
    <w:rsid w:val="00825EDD"/>
    <w:rsid w:val="00826BC7"/>
    <w:rsid w:val="00826E2F"/>
    <w:rsid w:val="00827FDD"/>
    <w:rsid w:val="008307BD"/>
    <w:rsid w:val="00830F8B"/>
    <w:rsid w:val="00832655"/>
    <w:rsid w:val="00833744"/>
    <w:rsid w:val="00834B2A"/>
    <w:rsid w:val="00834EF4"/>
    <w:rsid w:val="00835745"/>
    <w:rsid w:val="00836FC7"/>
    <w:rsid w:val="00837473"/>
    <w:rsid w:val="00840DDA"/>
    <w:rsid w:val="0084112F"/>
    <w:rsid w:val="00841243"/>
    <w:rsid w:val="008419F6"/>
    <w:rsid w:val="00841DDA"/>
    <w:rsid w:val="00841E16"/>
    <w:rsid w:val="00842BE8"/>
    <w:rsid w:val="00842FDE"/>
    <w:rsid w:val="008435B9"/>
    <w:rsid w:val="00843839"/>
    <w:rsid w:val="0084392C"/>
    <w:rsid w:val="00844D08"/>
    <w:rsid w:val="008458C0"/>
    <w:rsid w:val="00845E5D"/>
    <w:rsid w:val="00845FC1"/>
    <w:rsid w:val="00847214"/>
    <w:rsid w:val="0084782F"/>
    <w:rsid w:val="00847879"/>
    <w:rsid w:val="00847AF4"/>
    <w:rsid w:val="0085062E"/>
    <w:rsid w:val="00851398"/>
    <w:rsid w:val="008515BD"/>
    <w:rsid w:val="00851D2E"/>
    <w:rsid w:val="00852332"/>
    <w:rsid w:val="0085235C"/>
    <w:rsid w:val="00852A1F"/>
    <w:rsid w:val="0085308B"/>
    <w:rsid w:val="00854744"/>
    <w:rsid w:val="008555F6"/>
    <w:rsid w:val="00855DE9"/>
    <w:rsid w:val="00857040"/>
    <w:rsid w:val="008574DB"/>
    <w:rsid w:val="00860047"/>
    <w:rsid w:val="0086105B"/>
    <w:rsid w:val="00861A4E"/>
    <w:rsid w:val="00861A79"/>
    <w:rsid w:val="00861EBD"/>
    <w:rsid w:val="008620C1"/>
    <w:rsid w:val="008624BB"/>
    <w:rsid w:val="00864662"/>
    <w:rsid w:val="00864A53"/>
    <w:rsid w:val="0086556D"/>
    <w:rsid w:val="00866106"/>
    <w:rsid w:val="00870022"/>
    <w:rsid w:val="0087029F"/>
    <w:rsid w:val="00870AF8"/>
    <w:rsid w:val="00870B35"/>
    <w:rsid w:val="00870C24"/>
    <w:rsid w:val="00871397"/>
    <w:rsid w:val="00872F84"/>
    <w:rsid w:val="00874552"/>
    <w:rsid w:val="00874775"/>
    <w:rsid w:val="0087527D"/>
    <w:rsid w:val="00875B5B"/>
    <w:rsid w:val="00875DC7"/>
    <w:rsid w:val="0087609A"/>
    <w:rsid w:val="00876205"/>
    <w:rsid w:val="00876309"/>
    <w:rsid w:val="008822CB"/>
    <w:rsid w:val="0088354E"/>
    <w:rsid w:val="00885154"/>
    <w:rsid w:val="008874F6"/>
    <w:rsid w:val="00887A9D"/>
    <w:rsid w:val="008912CA"/>
    <w:rsid w:val="0089157B"/>
    <w:rsid w:val="00893C34"/>
    <w:rsid w:val="00893D5D"/>
    <w:rsid w:val="00893E4A"/>
    <w:rsid w:val="00893F83"/>
    <w:rsid w:val="00893FC6"/>
    <w:rsid w:val="008945E6"/>
    <w:rsid w:val="00894A39"/>
    <w:rsid w:val="00896AC4"/>
    <w:rsid w:val="008A109A"/>
    <w:rsid w:val="008A165A"/>
    <w:rsid w:val="008A3F41"/>
    <w:rsid w:val="008A42CF"/>
    <w:rsid w:val="008A53EB"/>
    <w:rsid w:val="008A6262"/>
    <w:rsid w:val="008A65D2"/>
    <w:rsid w:val="008A6CC8"/>
    <w:rsid w:val="008A734F"/>
    <w:rsid w:val="008A7573"/>
    <w:rsid w:val="008A7854"/>
    <w:rsid w:val="008A79D5"/>
    <w:rsid w:val="008A7DB0"/>
    <w:rsid w:val="008A7DBD"/>
    <w:rsid w:val="008B02C5"/>
    <w:rsid w:val="008B0E86"/>
    <w:rsid w:val="008B26C7"/>
    <w:rsid w:val="008B28BB"/>
    <w:rsid w:val="008B2C34"/>
    <w:rsid w:val="008B3050"/>
    <w:rsid w:val="008B38A2"/>
    <w:rsid w:val="008B3DA6"/>
    <w:rsid w:val="008B49C6"/>
    <w:rsid w:val="008B566C"/>
    <w:rsid w:val="008B5906"/>
    <w:rsid w:val="008B5C2D"/>
    <w:rsid w:val="008B717B"/>
    <w:rsid w:val="008B78B3"/>
    <w:rsid w:val="008B7BB4"/>
    <w:rsid w:val="008B7E90"/>
    <w:rsid w:val="008C0FB4"/>
    <w:rsid w:val="008C1E20"/>
    <w:rsid w:val="008C2D9E"/>
    <w:rsid w:val="008C2EBC"/>
    <w:rsid w:val="008C3141"/>
    <w:rsid w:val="008C3837"/>
    <w:rsid w:val="008C3EB5"/>
    <w:rsid w:val="008C4049"/>
    <w:rsid w:val="008C438C"/>
    <w:rsid w:val="008C6072"/>
    <w:rsid w:val="008C6098"/>
    <w:rsid w:val="008C6BC1"/>
    <w:rsid w:val="008C79E5"/>
    <w:rsid w:val="008C7F99"/>
    <w:rsid w:val="008D0494"/>
    <w:rsid w:val="008D04E3"/>
    <w:rsid w:val="008D07EA"/>
    <w:rsid w:val="008D2459"/>
    <w:rsid w:val="008D2BDB"/>
    <w:rsid w:val="008D2ECD"/>
    <w:rsid w:val="008D438F"/>
    <w:rsid w:val="008D47F1"/>
    <w:rsid w:val="008D4B15"/>
    <w:rsid w:val="008D4CFF"/>
    <w:rsid w:val="008D5317"/>
    <w:rsid w:val="008D60CD"/>
    <w:rsid w:val="008D648B"/>
    <w:rsid w:val="008D6CEA"/>
    <w:rsid w:val="008E08CC"/>
    <w:rsid w:val="008E1045"/>
    <w:rsid w:val="008E1572"/>
    <w:rsid w:val="008E1968"/>
    <w:rsid w:val="008E36CF"/>
    <w:rsid w:val="008E5241"/>
    <w:rsid w:val="008E52C6"/>
    <w:rsid w:val="008E52EB"/>
    <w:rsid w:val="008E5DBF"/>
    <w:rsid w:val="008E68D0"/>
    <w:rsid w:val="008E6A73"/>
    <w:rsid w:val="008E7B05"/>
    <w:rsid w:val="008F0181"/>
    <w:rsid w:val="008F01D3"/>
    <w:rsid w:val="008F088F"/>
    <w:rsid w:val="008F0C98"/>
    <w:rsid w:val="008F115D"/>
    <w:rsid w:val="008F11DC"/>
    <w:rsid w:val="008F291D"/>
    <w:rsid w:val="008F43AA"/>
    <w:rsid w:val="008F4C7F"/>
    <w:rsid w:val="008F5AA8"/>
    <w:rsid w:val="008F6836"/>
    <w:rsid w:val="008F725E"/>
    <w:rsid w:val="008F7747"/>
    <w:rsid w:val="008F7D83"/>
    <w:rsid w:val="0090101A"/>
    <w:rsid w:val="00901174"/>
    <w:rsid w:val="00901878"/>
    <w:rsid w:val="00901C2F"/>
    <w:rsid w:val="00901FAF"/>
    <w:rsid w:val="009023B4"/>
    <w:rsid w:val="009052E6"/>
    <w:rsid w:val="009064D0"/>
    <w:rsid w:val="0090675F"/>
    <w:rsid w:val="00907276"/>
    <w:rsid w:val="0090777A"/>
    <w:rsid w:val="009108F9"/>
    <w:rsid w:val="00910D88"/>
    <w:rsid w:val="00911A2D"/>
    <w:rsid w:val="009120EE"/>
    <w:rsid w:val="00912242"/>
    <w:rsid w:val="009126CD"/>
    <w:rsid w:val="00912B20"/>
    <w:rsid w:val="009133A1"/>
    <w:rsid w:val="009139CB"/>
    <w:rsid w:val="00913D41"/>
    <w:rsid w:val="00914101"/>
    <w:rsid w:val="00914D4C"/>
    <w:rsid w:val="00914EE1"/>
    <w:rsid w:val="00914F3B"/>
    <w:rsid w:val="00915831"/>
    <w:rsid w:val="00916216"/>
    <w:rsid w:val="00916680"/>
    <w:rsid w:val="00916D6D"/>
    <w:rsid w:val="00917640"/>
    <w:rsid w:val="00920733"/>
    <w:rsid w:val="00921695"/>
    <w:rsid w:val="00921D68"/>
    <w:rsid w:val="00923B5B"/>
    <w:rsid w:val="0092458E"/>
    <w:rsid w:val="00924725"/>
    <w:rsid w:val="00924993"/>
    <w:rsid w:val="0092640C"/>
    <w:rsid w:val="0092675A"/>
    <w:rsid w:val="00927178"/>
    <w:rsid w:val="00930783"/>
    <w:rsid w:val="00930C00"/>
    <w:rsid w:val="0093338C"/>
    <w:rsid w:val="00933640"/>
    <w:rsid w:val="0093487D"/>
    <w:rsid w:val="009351E7"/>
    <w:rsid w:val="0093620B"/>
    <w:rsid w:val="00936845"/>
    <w:rsid w:val="00936FEC"/>
    <w:rsid w:val="009402BE"/>
    <w:rsid w:val="00940AC3"/>
    <w:rsid w:val="009418D8"/>
    <w:rsid w:val="00941B77"/>
    <w:rsid w:val="00941C8A"/>
    <w:rsid w:val="00942E8E"/>
    <w:rsid w:val="00942FE1"/>
    <w:rsid w:val="00943829"/>
    <w:rsid w:val="009440C8"/>
    <w:rsid w:val="00944424"/>
    <w:rsid w:val="00944DDD"/>
    <w:rsid w:val="009450E0"/>
    <w:rsid w:val="00945A7A"/>
    <w:rsid w:val="00945C04"/>
    <w:rsid w:val="00945CAF"/>
    <w:rsid w:val="0094615B"/>
    <w:rsid w:val="0094651C"/>
    <w:rsid w:val="00946871"/>
    <w:rsid w:val="009503B6"/>
    <w:rsid w:val="009507B8"/>
    <w:rsid w:val="00951097"/>
    <w:rsid w:val="00951F48"/>
    <w:rsid w:val="00955BA9"/>
    <w:rsid w:val="00956B3D"/>
    <w:rsid w:val="00956C0F"/>
    <w:rsid w:val="00956F6B"/>
    <w:rsid w:val="00957261"/>
    <w:rsid w:val="0095750F"/>
    <w:rsid w:val="009605C8"/>
    <w:rsid w:val="00960ADC"/>
    <w:rsid w:val="00962320"/>
    <w:rsid w:val="009625DA"/>
    <w:rsid w:val="00962A39"/>
    <w:rsid w:val="00962EEB"/>
    <w:rsid w:val="00963056"/>
    <w:rsid w:val="00964AEC"/>
    <w:rsid w:val="00964E06"/>
    <w:rsid w:val="00964EF9"/>
    <w:rsid w:val="0096520A"/>
    <w:rsid w:val="00966F8D"/>
    <w:rsid w:val="00967113"/>
    <w:rsid w:val="00967482"/>
    <w:rsid w:val="00967E27"/>
    <w:rsid w:val="00970F64"/>
    <w:rsid w:val="00971E67"/>
    <w:rsid w:val="00973408"/>
    <w:rsid w:val="00973BC4"/>
    <w:rsid w:val="009743F5"/>
    <w:rsid w:val="00974610"/>
    <w:rsid w:val="00974A1F"/>
    <w:rsid w:val="00975A9C"/>
    <w:rsid w:val="0097602C"/>
    <w:rsid w:val="00976EE2"/>
    <w:rsid w:val="00980506"/>
    <w:rsid w:val="009810B3"/>
    <w:rsid w:val="00981AD9"/>
    <w:rsid w:val="00982D1C"/>
    <w:rsid w:val="00984588"/>
    <w:rsid w:val="00985CB7"/>
    <w:rsid w:val="00985E76"/>
    <w:rsid w:val="00990056"/>
    <w:rsid w:val="00990112"/>
    <w:rsid w:val="0099038B"/>
    <w:rsid w:val="00990A44"/>
    <w:rsid w:val="009915EB"/>
    <w:rsid w:val="00992CE4"/>
    <w:rsid w:val="00992FCB"/>
    <w:rsid w:val="009932F5"/>
    <w:rsid w:val="00993F68"/>
    <w:rsid w:val="009940ED"/>
    <w:rsid w:val="00994F60"/>
    <w:rsid w:val="00996AB6"/>
    <w:rsid w:val="00996E14"/>
    <w:rsid w:val="00997039"/>
    <w:rsid w:val="00997975"/>
    <w:rsid w:val="009A1E57"/>
    <w:rsid w:val="009A3A2E"/>
    <w:rsid w:val="009A3AC4"/>
    <w:rsid w:val="009A46A1"/>
    <w:rsid w:val="009A4C78"/>
    <w:rsid w:val="009A52F8"/>
    <w:rsid w:val="009A56C0"/>
    <w:rsid w:val="009A599B"/>
    <w:rsid w:val="009B0E95"/>
    <w:rsid w:val="009B0F31"/>
    <w:rsid w:val="009B11C7"/>
    <w:rsid w:val="009B2048"/>
    <w:rsid w:val="009B33ED"/>
    <w:rsid w:val="009B36F4"/>
    <w:rsid w:val="009B38E6"/>
    <w:rsid w:val="009B3F27"/>
    <w:rsid w:val="009B40B3"/>
    <w:rsid w:val="009C01F6"/>
    <w:rsid w:val="009C05F9"/>
    <w:rsid w:val="009C1B91"/>
    <w:rsid w:val="009C2813"/>
    <w:rsid w:val="009C326E"/>
    <w:rsid w:val="009C3B72"/>
    <w:rsid w:val="009C3C5B"/>
    <w:rsid w:val="009C4398"/>
    <w:rsid w:val="009C4A06"/>
    <w:rsid w:val="009C5F6D"/>
    <w:rsid w:val="009C67AC"/>
    <w:rsid w:val="009C79AE"/>
    <w:rsid w:val="009D0395"/>
    <w:rsid w:val="009D0E9A"/>
    <w:rsid w:val="009D20E3"/>
    <w:rsid w:val="009D2C1C"/>
    <w:rsid w:val="009D3505"/>
    <w:rsid w:val="009D4D13"/>
    <w:rsid w:val="009D5388"/>
    <w:rsid w:val="009E02DE"/>
    <w:rsid w:val="009E0CC9"/>
    <w:rsid w:val="009E168B"/>
    <w:rsid w:val="009E402D"/>
    <w:rsid w:val="009E4C96"/>
    <w:rsid w:val="009E50A4"/>
    <w:rsid w:val="009E5214"/>
    <w:rsid w:val="009E662E"/>
    <w:rsid w:val="009E6E33"/>
    <w:rsid w:val="009E6F60"/>
    <w:rsid w:val="009E7643"/>
    <w:rsid w:val="009F0E77"/>
    <w:rsid w:val="009F1304"/>
    <w:rsid w:val="009F14CD"/>
    <w:rsid w:val="009F1640"/>
    <w:rsid w:val="009F2759"/>
    <w:rsid w:val="009F2AAA"/>
    <w:rsid w:val="009F2E6E"/>
    <w:rsid w:val="009F49AD"/>
    <w:rsid w:val="009F4F21"/>
    <w:rsid w:val="009F715E"/>
    <w:rsid w:val="009F7291"/>
    <w:rsid w:val="00A0262F"/>
    <w:rsid w:val="00A0313B"/>
    <w:rsid w:val="00A0331D"/>
    <w:rsid w:val="00A0468C"/>
    <w:rsid w:val="00A04C4E"/>
    <w:rsid w:val="00A062E0"/>
    <w:rsid w:val="00A064BE"/>
    <w:rsid w:val="00A06605"/>
    <w:rsid w:val="00A06BBF"/>
    <w:rsid w:val="00A0722F"/>
    <w:rsid w:val="00A078C4"/>
    <w:rsid w:val="00A1011E"/>
    <w:rsid w:val="00A10218"/>
    <w:rsid w:val="00A11608"/>
    <w:rsid w:val="00A11D1C"/>
    <w:rsid w:val="00A12144"/>
    <w:rsid w:val="00A13040"/>
    <w:rsid w:val="00A13667"/>
    <w:rsid w:val="00A147C8"/>
    <w:rsid w:val="00A14F48"/>
    <w:rsid w:val="00A15876"/>
    <w:rsid w:val="00A158A1"/>
    <w:rsid w:val="00A16A02"/>
    <w:rsid w:val="00A16BB9"/>
    <w:rsid w:val="00A20CEA"/>
    <w:rsid w:val="00A20DC3"/>
    <w:rsid w:val="00A21ADB"/>
    <w:rsid w:val="00A22319"/>
    <w:rsid w:val="00A225D6"/>
    <w:rsid w:val="00A22B68"/>
    <w:rsid w:val="00A23116"/>
    <w:rsid w:val="00A2361A"/>
    <w:rsid w:val="00A24C21"/>
    <w:rsid w:val="00A24F81"/>
    <w:rsid w:val="00A25EFA"/>
    <w:rsid w:val="00A270DC"/>
    <w:rsid w:val="00A27B18"/>
    <w:rsid w:val="00A30473"/>
    <w:rsid w:val="00A30A35"/>
    <w:rsid w:val="00A3109B"/>
    <w:rsid w:val="00A31519"/>
    <w:rsid w:val="00A31D14"/>
    <w:rsid w:val="00A326BF"/>
    <w:rsid w:val="00A34861"/>
    <w:rsid w:val="00A349ED"/>
    <w:rsid w:val="00A34A2D"/>
    <w:rsid w:val="00A34E42"/>
    <w:rsid w:val="00A35316"/>
    <w:rsid w:val="00A35F57"/>
    <w:rsid w:val="00A367D2"/>
    <w:rsid w:val="00A37CFA"/>
    <w:rsid w:val="00A405DB"/>
    <w:rsid w:val="00A40BEF"/>
    <w:rsid w:val="00A4104B"/>
    <w:rsid w:val="00A417EA"/>
    <w:rsid w:val="00A41E1E"/>
    <w:rsid w:val="00A431FF"/>
    <w:rsid w:val="00A43D40"/>
    <w:rsid w:val="00A44831"/>
    <w:rsid w:val="00A451C6"/>
    <w:rsid w:val="00A45586"/>
    <w:rsid w:val="00A462BE"/>
    <w:rsid w:val="00A4643D"/>
    <w:rsid w:val="00A4645D"/>
    <w:rsid w:val="00A4711B"/>
    <w:rsid w:val="00A50E7E"/>
    <w:rsid w:val="00A50F7B"/>
    <w:rsid w:val="00A51EE7"/>
    <w:rsid w:val="00A5350D"/>
    <w:rsid w:val="00A53D88"/>
    <w:rsid w:val="00A54090"/>
    <w:rsid w:val="00A54130"/>
    <w:rsid w:val="00A54303"/>
    <w:rsid w:val="00A54941"/>
    <w:rsid w:val="00A5569F"/>
    <w:rsid w:val="00A57922"/>
    <w:rsid w:val="00A57AAF"/>
    <w:rsid w:val="00A57B98"/>
    <w:rsid w:val="00A609B7"/>
    <w:rsid w:val="00A62824"/>
    <w:rsid w:val="00A62E93"/>
    <w:rsid w:val="00A63560"/>
    <w:rsid w:val="00A635A5"/>
    <w:rsid w:val="00A64AD0"/>
    <w:rsid w:val="00A650DA"/>
    <w:rsid w:val="00A652D4"/>
    <w:rsid w:val="00A66E3C"/>
    <w:rsid w:val="00A67A1E"/>
    <w:rsid w:val="00A67C23"/>
    <w:rsid w:val="00A67C76"/>
    <w:rsid w:val="00A707AE"/>
    <w:rsid w:val="00A71217"/>
    <w:rsid w:val="00A71D42"/>
    <w:rsid w:val="00A722CD"/>
    <w:rsid w:val="00A72980"/>
    <w:rsid w:val="00A72DF1"/>
    <w:rsid w:val="00A734C4"/>
    <w:rsid w:val="00A746F0"/>
    <w:rsid w:val="00A750E9"/>
    <w:rsid w:val="00A757C8"/>
    <w:rsid w:val="00A759AE"/>
    <w:rsid w:val="00A75B02"/>
    <w:rsid w:val="00A7656A"/>
    <w:rsid w:val="00A76EB6"/>
    <w:rsid w:val="00A8004C"/>
    <w:rsid w:val="00A8173D"/>
    <w:rsid w:val="00A81A39"/>
    <w:rsid w:val="00A8204D"/>
    <w:rsid w:val="00A8377F"/>
    <w:rsid w:val="00A83B5B"/>
    <w:rsid w:val="00A83F35"/>
    <w:rsid w:val="00A84060"/>
    <w:rsid w:val="00A8442A"/>
    <w:rsid w:val="00A84ECA"/>
    <w:rsid w:val="00A85587"/>
    <w:rsid w:val="00A86E10"/>
    <w:rsid w:val="00A873E7"/>
    <w:rsid w:val="00A87A1D"/>
    <w:rsid w:val="00A90ED2"/>
    <w:rsid w:val="00A9229A"/>
    <w:rsid w:val="00A93618"/>
    <w:rsid w:val="00A93E42"/>
    <w:rsid w:val="00A93FCF"/>
    <w:rsid w:val="00A94000"/>
    <w:rsid w:val="00A94070"/>
    <w:rsid w:val="00A942D5"/>
    <w:rsid w:val="00A944AB"/>
    <w:rsid w:val="00A95B25"/>
    <w:rsid w:val="00A960EE"/>
    <w:rsid w:val="00A96DD7"/>
    <w:rsid w:val="00A97973"/>
    <w:rsid w:val="00AA0721"/>
    <w:rsid w:val="00AA0A83"/>
    <w:rsid w:val="00AA0F2C"/>
    <w:rsid w:val="00AA0F7E"/>
    <w:rsid w:val="00AA17BC"/>
    <w:rsid w:val="00AA1AF7"/>
    <w:rsid w:val="00AA1F1F"/>
    <w:rsid w:val="00AA2C58"/>
    <w:rsid w:val="00AA3927"/>
    <w:rsid w:val="00AA3948"/>
    <w:rsid w:val="00AA5387"/>
    <w:rsid w:val="00AA6511"/>
    <w:rsid w:val="00AA6A08"/>
    <w:rsid w:val="00AA7323"/>
    <w:rsid w:val="00AA758C"/>
    <w:rsid w:val="00AB0137"/>
    <w:rsid w:val="00AB25A0"/>
    <w:rsid w:val="00AB25C2"/>
    <w:rsid w:val="00AB27A8"/>
    <w:rsid w:val="00AB2960"/>
    <w:rsid w:val="00AB2E55"/>
    <w:rsid w:val="00AB3EC3"/>
    <w:rsid w:val="00AB44C9"/>
    <w:rsid w:val="00AB4BC5"/>
    <w:rsid w:val="00AB4C26"/>
    <w:rsid w:val="00AB677E"/>
    <w:rsid w:val="00AC006A"/>
    <w:rsid w:val="00AC1D21"/>
    <w:rsid w:val="00AC2480"/>
    <w:rsid w:val="00AC29AF"/>
    <w:rsid w:val="00AC343A"/>
    <w:rsid w:val="00AC40BF"/>
    <w:rsid w:val="00AC74FA"/>
    <w:rsid w:val="00AC7825"/>
    <w:rsid w:val="00AC78DB"/>
    <w:rsid w:val="00AC7DE6"/>
    <w:rsid w:val="00AD034B"/>
    <w:rsid w:val="00AD0FC6"/>
    <w:rsid w:val="00AD1F13"/>
    <w:rsid w:val="00AD2240"/>
    <w:rsid w:val="00AD284F"/>
    <w:rsid w:val="00AD29D9"/>
    <w:rsid w:val="00AD307D"/>
    <w:rsid w:val="00AD3249"/>
    <w:rsid w:val="00AD36A5"/>
    <w:rsid w:val="00AD5E57"/>
    <w:rsid w:val="00AD6348"/>
    <w:rsid w:val="00AD6B7F"/>
    <w:rsid w:val="00AD6C62"/>
    <w:rsid w:val="00AD723A"/>
    <w:rsid w:val="00AD72FE"/>
    <w:rsid w:val="00AD7DA5"/>
    <w:rsid w:val="00AE4126"/>
    <w:rsid w:val="00AE558E"/>
    <w:rsid w:val="00AE6CF8"/>
    <w:rsid w:val="00AE7A1F"/>
    <w:rsid w:val="00AE7B45"/>
    <w:rsid w:val="00AE7C32"/>
    <w:rsid w:val="00AF07AF"/>
    <w:rsid w:val="00AF0D8C"/>
    <w:rsid w:val="00AF19C2"/>
    <w:rsid w:val="00AF40DD"/>
    <w:rsid w:val="00AF4F89"/>
    <w:rsid w:val="00AF5B84"/>
    <w:rsid w:val="00B0123B"/>
    <w:rsid w:val="00B01854"/>
    <w:rsid w:val="00B0300F"/>
    <w:rsid w:val="00B0364E"/>
    <w:rsid w:val="00B046BD"/>
    <w:rsid w:val="00B047A0"/>
    <w:rsid w:val="00B054F6"/>
    <w:rsid w:val="00B0587C"/>
    <w:rsid w:val="00B05D0F"/>
    <w:rsid w:val="00B06AA4"/>
    <w:rsid w:val="00B0743F"/>
    <w:rsid w:val="00B107E5"/>
    <w:rsid w:val="00B10ECC"/>
    <w:rsid w:val="00B12182"/>
    <w:rsid w:val="00B1266E"/>
    <w:rsid w:val="00B12677"/>
    <w:rsid w:val="00B12906"/>
    <w:rsid w:val="00B13593"/>
    <w:rsid w:val="00B14C66"/>
    <w:rsid w:val="00B152E9"/>
    <w:rsid w:val="00B1655A"/>
    <w:rsid w:val="00B1766F"/>
    <w:rsid w:val="00B20599"/>
    <w:rsid w:val="00B20679"/>
    <w:rsid w:val="00B207DE"/>
    <w:rsid w:val="00B210FB"/>
    <w:rsid w:val="00B21485"/>
    <w:rsid w:val="00B22346"/>
    <w:rsid w:val="00B2296C"/>
    <w:rsid w:val="00B23626"/>
    <w:rsid w:val="00B23DC4"/>
    <w:rsid w:val="00B24BFE"/>
    <w:rsid w:val="00B25A9B"/>
    <w:rsid w:val="00B25D57"/>
    <w:rsid w:val="00B264E5"/>
    <w:rsid w:val="00B26AB7"/>
    <w:rsid w:val="00B26B87"/>
    <w:rsid w:val="00B26C02"/>
    <w:rsid w:val="00B27A20"/>
    <w:rsid w:val="00B27E3D"/>
    <w:rsid w:val="00B30256"/>
    <w:rsid w:val="00B308C5"/>
    <w:rsid w:val="00B31B1D"/>
    <w:rsid w:val="00B321C2"/>
    <w:rsid w:val="00B32690"/>
    <w:rsid w:val="00B33FED"/>
    <w:rsid w:val="00B35B83"/>
    <w:rsid w:val="00B368A8"/>
    <w:rsid w:val="00B40A97"/>
    <w:rsid w:val="00B43A3B"/>
    <w:rsid w:val="00B4476B"/>
    <w:rsid w:val="00B45D84"/>
    <w:rsid w:val="00B45DBB"/>
    <w:rsid w:val="00B45EDB"/>
    <w:rsid w:val="00B46787"/>
    <w:rsid w:val="00B468B1"/>
    <w:rsid w:val="00B4711C"/>
    <w:rsid w:val="00B47E6A"/>
    <w:rsid w:val="00B47F0C"/>
    <w:rsid w:val="00B51A8A"/>
    <w:rsid w:val="00B54812"/>
    <w:rsid w:val="00B55528"/>
    <w:rsid w:val="00B568E8"/>
    <w:rsid w:val="00B56A2C"/>
    <w:rsid w:val="00B5707E"/>
    <w:rsid w:val="00B57935"/>
    <w:rsid w:val="00B57F22"/>
    <w:rsid w:val="00B61554"/>
    <w:rsid w:val="00B61E4E"/>
    <w:rsid w:val="00B620F6"/>
    <w:rsid w:val="00B62215"/>
    <w:rsid w:val="00B62D13"/>
    <w:rsid w:val="00B64115"/>
    <w:rsid w:val="00B64A29"/>
    <w:rsid w:val="00B64CC8"/>
    <w:rsid w:val="00B655B5"/>
    <w:rsid w:val="00B66254"/>
    <w:rsid w:val="00B669E2"/>
    <w:rsid w:val="00B67537"/>
    <w:rsid w:val="00B70E3D"/>
    <w:rsid w:val="00B71440"/>
    <w:rsid w:val="00B72D54"/>
    <w:rsid w:val="00B73065"/>
    <w:rsid w:val="00B7398E"/>
    <w:rsid w:val="00B75ED2"/>
    <w:rsid w:val="00B76647"/>
    <w:rsid w:val="00B76D55"/>
    <w:rsid w:val="00B77AD4"/>
    <w:rsid w:val="00B81052"/>
    <w:rsid w:val="00B82B14"/>
    <w:rsid w:val="00B836B4"/>
    <w:rsid w:val="00B83754"/>
    <w:rsid w:val="00B83C21"/>
    <w:rsid w:val="00B8437F"/>
    <w:rsid w:val="00B84968"/>
    <w:rsid w:val="00B854D1"/>
    <w:rsid w:val="00B865C7"/>
    <w:rsid w:val="00B86906"/>
    <w:rsid w:val="00B90C60"/>
    <w:rsid w:val="00B92F29"/>
    <w:rsid w:val="00B93D3A"/>
    <w:rsid w:val="00B941AC"/>
    <w:rsid w:val="00B9489F"/>
    <w:rsid w:val="00B95DAC"/>
    <w:rsid w:val="00BA01D8"/>
    <w:rsid w:val="00BA17FA"/>
    <w:rsid w:val="00BA1F6F"/>
    <w:rsid w:val="00BA1FBC"/>
    <w:rsid w:val="00BA2496"/>
    <w:rsid w:val="00BA2BDC"/>
    <w:rsid w:val="00BA3FA3"/>
    <w:rsid w:val="00BA4359"/>
    <w:rsid w:val="00BA452B"/>
    <w:rsid w:val="00BA667C"/>
    <w:rsid w:val="00BA6873"/>
    <w:rsid w:val="00BA7CD5"/>
    <w:rsid w:val="00BB0323"/>
    <w:rsid w:val="00BB05AD"/>
    <w:rsid w:val="00BB1898"/>
    <w:rsid w:val="00BB1F5D"/>
    <w:rsid w:val="00BB2362"/>
    <w:rsid w:val="00BB297C"/>
    <w:rsid w:val="00BB2AA5"/>
    <w:rsid w:val="00BB2D94"/>
    <w:rsid w:val="00BB3249"/>
    <w:rsid w:val="00BB4E42"/>
    <w:rsid w:val="00BB56F8"/>
    <w:rsid w:val="00BB5AF3"/>
    <w:rsid w:val="00BB61E7"/>
    <w:rsid w:val="00BB6B44"/>
    <w:rsid w:val="00BB6DCE"/>
    <w:rsid w:val="00BB73CC"/>
    <w:rsid w:val="00BC0637"/>
    <w:rsid w:val="00BC0C07"/>
    <w:rsid w:val="00BC1043"/>
    <w:rsid w:val="00BC1255"/>
    <w:rsid w:val="00BC14C4"/>
    <w:rsid w:val="00BC42E6"/>
    <w:rsid w:val="00BC5775"/>
    <w:rsid w:val="00BC6456"/>
    <w:rsid w:val="00BC6986"/>
    <w:rsid w:val="00BD21A1"/>
    <w:rsid w:val="00BD222B"/>
    <w:rsid w:val="00BD2452"/>
    <w:rsid w:val="00BD4E05"/>
    <w:rsid w:val="00BD5598"/>
    <w:rsid w:val="00BD670B"/>
    <w:rsid w:val="00BD6B1D"/>
    <w:rsid w:val="00BD6F7F"/>
    <w:rsid w:val="00BD7076"/>
    <w:rsid w:val="00BD7E48"/>
    <w:rsid w:val="00BE0B2E"/>
    <w:rsid w:val="00BE1122"/>
    <w:rsid w:val="00BE147F"/>
    <w:rsid w:val="00BE1A74"/>
    <w:rsid w:val="00BE35C2"/>
    <w:rsid w:val="00BE3DFA"/>
    <w:rsid w:val="00BE4DF7"/>
    <w:rsid w:val="00BE5776"/>
    <w:rsid w:val="00BE771B"/>
    <w:rsid w:val="00BE77B8"/>
    <w:rsid w:val="00BE7DF4"/>
    <w:rsid w:val="00BE7FC9"/>
    <w:rsid w:val="00BF2708"/>
    <w:rsid w:val="00BF280D"/>
    <w:rsid w:val="00BF4538"/>
    <w:rsid w:val="00BF494C"/>
    <w:rsid w:val="00BF544D"/>
    <w:rsid w:val="00BF55F6"/>
    <w:rsid w:val="00BF5F89"/>
    <w:rsid w:val="00BF6276"/>
    <w:rsid w:val="00BF63CD"/>
    <w:rsid w:val="00BF6490"/>
    <w:rsid w:val="00BF768E"/>
    <w:rsid w:val="00C00ED9"/>
    <w:rsid w:val="00C01445"/>
    <w:rsid w:val="00C02214"/>
    <w:rsid w:val="00C02DD1"/>
    <w:rsid w:val="00C03F08"/>
    <w:rsid w:val="00C05D8B"/>
    <w:rsid w:val="00C10880"/>
    <w:rsid w:val="00C10D37"/>
    <w:rsid w:val="00C113BF"/>
    <w:rsid w:val="00C11D80"/>
    <w:rsid w:val="00C11F01"/>
    <w:rsid w:val="00C12F7F"/>
    <w:rsid w:val="00C13604"/>
    <w:rsid w:val="00C13FE6"/>
    <w:rsid w:val="00C14208"/>
    <w:rsid w:val="00C15AFA"/>
    <w:rsid w:val="00C15DC2"/>
    <w:rsid w:val="00C15EEA"/>
    <w:rsid w:val="00C17E88"/>
    <w:rsid w:val="00C23095"/>
    <w:rsid w:val="00C23ABF"/>
    <w:rsid w:val="00C25138"/>
    <w:rsid w:val="00C25386"/>
    <w:rsid w:val="00C25413"/>
    <w:rsid w:val="00C25CCA"/>
    <w:rsid w:val="00C277CD"/>
    <w:rsid w:val="00C27F0F"/>
    <w:rsid w:val="00C31128"/>
    <w:rsid w:val="00C31238"/>
    <w:rsid w:val="00C319B8"/>
    <w:rsid w:val="00C31F2B"/>
    <w:rsid w:val="00C339E5"/>
    <w:rsid w:val="00C339ED"/>
    <w:rsid w:val="00C33DB1"/>
    <w:rsid w:val="00C33F77"/>
    <w:rsid w:val="00C34606"/>
    <w:rsid w:val="00C34AA9"/>
    <w:rsid w:val="00C34B97"/>
    <w:rsid w:val="00C34CBD"/>
    <w:rsid w:val="00C35002"/>
    <w:rsid w:val="00C356FC"/>
    <w:rsid w:val="00C35846"/>
    <w:rsid w:val="00C35B2A"/>
    <w:rsid w:val="00C35F47"/>
    <w:rsid w:val="00C3649C"/>
    <w:rsid w:val="00C37632"/>
    <w:rsid w:val="00C40A21"/>
    <w:rsid w:val="00C414D1"/>
    <w:rsid w:val="00C41FE8"/>
    <w:rsid w:val="00C4211D"/>
    <w:rsid w:val="00C42390"/>
    <w:rsid w:val="00C43E66"/>
    <w:rsid w:val="00C44380"/>
    <w:rsid w:val="00C449E8"/>
    <w:rsid w:val="00C44CA2"/>
    <w:rsid w:val="00C46AD7"/>
    <w:rsid w:val="00C47631"/>
    <w:rsid w:val="00C5158F"/>
    <w:rsid w:val="00C51ABE"/>
    <w:rsid w:val="00C51BFB"/>
    <w:rsid w:val="00C52E04"/>
    <w:rsid w:val="00C565A0"/>
    <w:rsid w:val="00C56851"/>
    <w:rsid w:val="00C56974"/>
    <w:rsid w:val="00C57405"/>
    <w:rsid w:val="00C577B0"/>
    <w:rsid w:val="00C57F48"/>
    <w:rsid w:val="00C60669"/>
    <w:rsid w:val="00C6115F"/>
    <w:rsid w:val="00C613F4"/>
    <w:rsid w:val="00C615B0"/>
    <w:rsid w:val="00C61682"/>
    <w:rsid w:val="00C61B70"/>
    <w:rsid w:val="00C62315"/>
    <w:rsid w:val="00C62B79"/>
    <w:rsid w:val="00C62F93"/>
    <w:rsid w:val="00C63D56"/>
    <w:rsid w:val="00C64BFA"/>
    <w:rsid w:val="00C65D8F"/>
    <w:rsid w:val="00C66D13"/>
    <w:rsid w:val="00C67D9A"/>
    <w:rsid w:val="00C707FD"/>
    <w:rsid w:val="00C73C4A"/>
    <w:rsid w:val="00C747E4"/>
    <w:rsid w:val="00C748B5"/>
    <w:rsid w:val="00C7565D"/>
    <w:rsid w:val="00C75B9E"/>
    <w:rsid w:val="00C7782F"/>
    <w:rsid w:val="00C77B42"/>
    <w:rsid w:val="00C77E1D"/>
    <w:rsid w:val="00C8113C"/>
    <w:rsid w:val="00C811D9"/>
    <w:rsid w:val="00C82AE6"/>
    <w:rsid w:val="00C83294"/>
    <w:rsid w:val="00C83A32"/>
    <w:rsid w:val="00C8500E"/>
    <w:rsid w:val="00C8605A"/>
    <w:rsid w:val="00C86895"/>
    <w:rsid w:val="00C87A2F"/>
    <w:rsid w:val="00C90FC8"/>
    <w:rsid w:val="00C91415"/>
    <w:rsid w:val="00C91FAE"/>
    <w:rsid w:val="00C93E1D"/>
    <w:rsid w:val="00C942B0"/>
    <w:rsid w:val="00C966F5"/>
    <w:rsid w:val="00C96ADE"/>
    <w:rsid w:val="00C96DF9"/>
    <w:rsid w:val="00C96F8A"/>
    <w:rsid w:val="00C97355"/>
    <w:rsid w:val="00C97510"/>
    <w:rsid w:val="00C977F0"/>
    <w:rsid w:val="00CA187E"/>
    <w:rsid w:val="00CA2119"/>
    <w:rsid w:val="00CA2AE4"/>
    <w:rsid w:val="00CA49BA"/>
    <w:rsid w:val="00CA65B9"/>
    <w:rsid w:val="00CA65E4"/>
    <w:rsid w:val="00CA69E3"/>
    <w:rsid w:val="00CA6E78"/>
    <w:rsid w:val="00CB0D9E"/>
    <w:rsid w:val="00CB1E54"/>
    <w:rsid w:val="00CB283F"/>
    <w:rsid w:val="00CB2C35"/>
    <w:rsid w:val="00CB2F2F"/>
    <w:rsid w:val="00CB38C6"/>
    <w:rsid w:val="00CB62C3"/>
    <w:rsid w:val="00CB72A3"/>
    <w:rsid w:val="00CB7E6C"/>
    <w:rsid w:val="00CC114E"/>
    <w:rsid w:val="00CC1563"/>
    <w:rsid w:val="00CC15B6"/>
    <w:rsid w:val="00CC1B0E"/>
    <w:rsid w:val="00CC1FB7"/>
    <w:rsid w:val="00CC26C9"/>
    <w:rsid w:val="00CC3249"/>
    <w:rsid w:val="00CC3909"/>
    <w:rsid w:val="00CC3B00"/>
    <w:rsid w:val="00CC3E22"/>
    <w:rsid w:val="00CC4EFF"/>
    <w:rsid w:val="00CC5274"/>
    <w:rsid w:val="00CC5F9D"/>
    <w:rsid w:val="00CC7921"/>
    <w:rsid w:val="00CC7E32"/>
    <w:rsid w:val="00CD1435"/>
    <w:rsid w:val="00CD1B53"/>
    <w:rsid w:val="00CD371C"/>
    <w:rsid w:val="00CD3B14"/>
    <w:rsid w:val="00CD64D8"/>
    <w:rsid w:val="00CD7985"/>
    <w:rsid w:val="00CE1A35"/>
    <w:rsid w:val="00CE22E8"/>
    <w:rsid w:val="00CE332E"/>
    <w:rsid w:val="00CE35D6"/>
    <w:rsid w:val="00CE3685"/>
    <w:rsid w:val="00CE3E68"/>
    <w:rsid w:val="00CE435F"/>
    <w:rsid w:val="00CE47F4"/>
    <w:rsid w:val="00CE662C"/>
    <w:rsid w:val="00CF0B57"/>
    <w:rsid w:val="00CF0EAA"/>
    <w:rsid w:val="00CF1157"/>
    <w:rsid w:val="00CF1743"/>
    <w:rsid w:val="00CF1F9F"/>
    <w:rsid w:val="00CF21DD"/>
    <w:rsid w:val="00CF3779"/>
    <w:rsid w:val="00CF380C"/>
    <w:rsid w:val="00CF3B51"/>
    <w:rsid w:val="00CF444E"/>
    <w:rsid w:val="00CF531F"/>
    <w:rsid w:val="00CF5A3F"/>
    <w:rsid w:val="00CF7095"/>
    <w:rsid w:val="00CF774B"/>
    <w:rsid w:val="00D000E8"/>
    <w:rsid w:val="00D0072B"/>
    <w:rsid w:val="00D04940"/>
    <w:rsid w:val="00D04F58"/>
    <w:rsid w:val="00D05152"/>
    <w:rsid w:val="00D05264"/>
    <w:rsid w:val="00D05517"/>
    <w:rsid w:val="00D057DC"/>
    <w:rsid w:val="00D0650A"/>
    <w:rsid w:val="00D10CEF"/>
    <w:rsid w:val="00D1216A"/>
    <w:rsid w:val="00D131F7"/>
    <w:rsid w:val="00D15886"/>
    <w:rsid w:val="00D1681C"/>
    <w:rsid w:val="00D16CC5"/>
    <w:rsid w:val="00D17A3F"/>
    <w:rsid w:val="00D17E18"/>
    <w:rsid w:val="00D20CF1"/>
    <w:rsid w:val="00D211F2"/>
    <w:rsid w:val="00D2188E"/>
    <w:rsid w:val="00D228C8"/>
    <w:rsid w:val="00D232E3"/>
    <w:rsid w:val="00D235F4"/>
    <w:rsid w:val="00D237D9"/>
    <w:rsid w:val="00D23F11"/>
    <w:rsid w:val="00D24702"/>
    <w:rsid w:val="00D25A8C"/>
    <w:rsid w:val="00D26351"/>
    <w:rsid w:val="00D264F5"/>
    <w:rsid w:val="00D2680E"/>
    <w:rsid w:val="00D27512"/>
    <w:rsid w:val="00D300CF"/>
    <w:rsid w:val="00D30798"/>
    <w:rsid w:val="00D313AC"/>
    <w:rsid w:val="00D326BD"/>
    <w:rsid w:val="00D331DD"/>
    <w:rsid w:val="00D333ED"/>
    <w:rsid w:val="00D34E3B"/>
    <w:rsid w:val="00D363E9"/>
    <w:rsid w:val="00D3674C"/>
    <w:rsid w:val="00D371C8"/>
    <w:rsid w:val="00D37C8F"/>
    <w:rsid w:val="00D37E4E"/>
    <w:rsid w:val="00D37E79"/>
    <w:rsid w:val="00D405C9"/>
    <w:rsid w:val="00D40A54"/>
    <w:rsid w:val="00D410EE"/>
    <w:rsid w:val="00D41E5C"/>
    <w:rsid w:val="00D42B94"/>
    <w:rsid w:val="00D42CB6"/>
    <w:rsid w:val="00D42D66"/>
    <w:rsid w:val="00D42FDA"/>
    <w:rsid w:val="00D43418"/>
    <w:rsid w:val="00D43AE1"/>
    <w:rsid w:val="00D44593"/>
    <w:rsid w:val="00D44F1E"/>
    <w:rsid w:val="00D46310"/>
    <w:rsid w:val="00D47673"/>
    <w:rsid w:val="00D4772B"/>
    <w:rsid w:val="00D478A9"/>
    <w:rsid w:val="00D50C38"/>
    <w:rsid w:val="00D5191D"/>
    <w:rsid w:val="00D51EB4"/>
    <w:rsid w:val="00D520AF"/>
    <w:rsid w:val="00D52A8E"/>
    <w:rsid w:val="00D535AC"/>
    <w:rsid w:val="00D54218"/>
    <w:rsid w:val="00D54397"/>
    <w:rsid w:val="00D547DD"/>
    <w:rsid w:val="00D54E0A"/>
    <w:rsid w:val="00D56413"/>
    <w:rsid w:val="00D5689F"/>
    <w:rsid w:val="00D575AC"/>
    <w:rsid w:val="00D60415"/>
    <w:rsid w:val="00D608A0"/>
    <w:rsid w:val="00D61515"/>
    <w:rsid w:val="00D6172D"/>
    <w:rsid w:val="00D618E9"/>
    <w:rsid w:val="00D61F07"/>
    <w:rsid w:val="00D62C41"/>
    <w:rsid w:val="00D630D8"/>
    <w:rsid w:val="00D63108"/>
    <w:rsid w:val="00D6359C"/>
    <w:rsid w:val="00D66062"/>
    <w:rsid w:val="00D66988"/>
    <w:rsid w:val="00D66C39"/>
    <w:rsid w:val="00D67C56"/>
    <w:rsid w:val="00D67F61"/>
    <w:rsid w:val="00D70BC5"/>
    <w:rsid w:val="00D71365"/>
    <w:rsid w:val="00D72BF2"/>
    <w:rsid w:val="00D73E67"/>
    <w:rsid w:val="00D74377"/>
    <w:rsid w:val="00D74987"/>
    <w:rsid w:val="00D754CB"/>
    <w:rsid w:val="00D75E84"/>
    <w:rsid w:val="00D76C0D"/>
    <w:rsid w:val="00D77594"/>
    <w:rsid w:val="00D7777B"/>
    <w:rsid w:val="00D778C6"/>
    <w:rsid w:val="00D8001F"/>
    <w:rsid w:val="00D8013C"/>
    <w:rsid w:val="00D8074A"/>
    <w:rsid w:val="00D81436"/>
    <w:rsid w:val="00D8151B"/>
    <w:rsid w:val="00D82B9E"/>
    <w:rsid w:val="00D842C4"/>
    <w:rsid w:val="00D84529"/>
    <w:rsid w:val="00D84F38"/>
    <w:rsid w:val="00D8595B"/>
    <w:rsid w:val="00D85B4A"/>
    <w:rsid w:val="00D86BAE"/>
    <w:rsid w:val="00D86C7B"/>
    <w:rsid w:val="00D870CC"/>
    <w:rsid w:val="00D879EA"/>
    <w:rsid w:val="00D90D82"/>
    <w:rsid w:val="00D9327D"/>
    <w:rsid w:val="00D94199"/>
    <w:rsid w:val="00D94600"/>
    <w:rsid w:val="00D95F0D"/>
    <w:rsid w:val="00D96137"/>
    <w:rsid w:val="00D97023"/>
    <w:rsid w:val="00DA0548"/>
    <w:rsid w:val="00DA20C5"/>
    <w:rsid w:val="00DA2717"/>
    <w:rsid w:val="00DA2CC4"/>
    <w:rsid w:val="00DA2D5F"/>
    <w:rsid w:val="00DA351A"/>
    <w:rsid w:val="00DB01C4"/>
    <w:rsid w:val="00DB01E7"/>
    <w:rsid w:val="00DB06AD"/>
    <w:rsid w:val="00DB1312"/>
    <w:rsid w:val="00DB2BF7"/>
    <w:rsid w:val="00DB3C30"/>
    <w:rsid w:val="00DB4593"/>
    <w:rsid w:val="00DB7C78"/>
    <w:rsid w:val="00DB7F1C"/>
    <w:rsid w:val="00DC00A4"/>
    <w:rsid w:val="00DC1BDA"/>
    <w:rsid w:val="00DC2348"/>
    <w:rsid w:val="00DC3D06"/>
    <w:rsid w:val="00DC3DB2"/>
    <w:rsid w:val="00DC4A3A"/>
    <w:rsid w:val="00DC6B1A"/>
    <w:rsid w:val="00DC72C0"/>
    <w:rsid w:val="00DC78F7"/>
    <w:rsid w:val="00DD02B5"/>
    <w:rsid w:val="00DD0A2E"/>
    <w:rsid w:val="00DD19E8"/>
    <w:rsid w:val="00DD2057"/>
    <w:rsid w:val="00DD21EB"/>
    <w:rsid w:val="00DD36EC"/>
    <w:rsid w:val="00DD3EE0"/>
    <w:rsid w:val="00DD4E8E"/>
    <w:rsid w:val="00DD5E16"/>
    <w:rsid w:val="00DD63A7"/>
    <w:rsid w:val="00DD662C"/>
    <w:rsid w:val="00DD6B04"/>
    <w:rsid w:val="00DD7FB7"/>
    <w:rsid w:val="00DE2C0D"/>
    <w:rsid w:val="00DE32AB"/>
    <w:rsid w:val="00DE3536"/>
    <w:rsid w:val="00DE356F"/>
    <w:rsid w:val="00DE40D9"/>
    <w:rsid w:val="00DE4132"/>
    <w:rsid w:val="00DE564E"/>
    <w:rsid w:val="00DE5856"/>
    <w:rsid w:val="00DE587E"/>
    <w:rsid w:val="00DE5C88"/>
    <w:rsid w:val="00DE6198"/>
    <w:rsid w:val="00DE6C6D"/>
    <w:rsid w:val="00DE6F0D"/>
    <w:rsid w:val="00DE71BE"/>
    <w:rsid w:val="00DF0816"/>
    <w:rsid w:val="00DF0D0B"/>
    <w:rsid w:val="00DF3AF8"/>
    <w:rsid w:val="00DF3F7D"/>
    <w:rsid w:val="00DF436C"/>
    <w:rsid w:val="00DF4B25"/>
    <w:rsid w:val="00DF5155"/>
    <w:rsid w:val="00DF5AA5"/>
    <w:rsid w:val="00DF677E"/>
    <w:rsid w:val="00DF6859"/>
    <w:rsid w:val="00E004C4"/>
    <w:rsid w:val="00E01B6D"/>
    <w:rsid w:val="00E01C77"/>
    <w:rsid w:val="00E02774"/>
    <w:rsid w:val="00E0285F"/>
    <w:rsid w:val="00E02CFE"/>
    <w:rsid w:val="00E03010"/>
    <w:rsid w:val="00E03A15"/>
    <w:rsid w:val="00E03C45"/>
    <w:rsid w:val="00E03E38"/>
    <w:rsid w:val="00E045DB"/>
    <w:rsid w:val="00E047DF"/>
    <w:rsid w:val="00E04BF3"/>
    <w:rsid w:val="00E04EE6"/>
    <w:rsid w:val="00E0606B"/>
    <w:rsid w:val="00E06126"/>
    <w:rsid w:val="00E061E6"/>
    <w:rsid w:val="00E07E69"/>
    <w:rsid w:val="00E10B43"/>
    <w:rsid w:val="00E117A0"/>
    <w:rsid w:val="00E13E50"/>
    <w:rsid w:val="00E1410C"/>
    <w:rsid w:val="00E1456E"/>
    <w:rsid w:val="00E156E3"/>
    <w:rsid w:val="00E15B3F"/>
    <w:rsid w:val="00E15D7E"/>
    <w:rsid w:val="00E15FD3"/>
    <w:rsid w:val="00E163C3"/>
    <w:rsid w:val="00E163DF"/>
    <w:rsid w:val="00E16A22"/>
    <w:rsid w:val="00E1753E"/>
    <w:rsid w:val="00E179C1"/>
    <w:rsid w:val="00E2047F"/>
    <w:rsid w:val="00E230EA"/>
    <w:rsid w:val="00E239DA"/>
    <w:rsid w:val="00E23B7F"/>
    <w:rsid w:val="00E23E41"/>
    <w:rsid w:val="00E261D2"/>
    <w:rsid w:val="00E26A5C"/>
    <w:rsid w:val="00E27270"/>
    <w:rsid w:val="00E27885"/>
    <w:rsid w:val="00E310E2"/>
    <w:rsid w:val="00E32D71"/>
    <w:rsid w:val="00E3342B"/>
    <w:rsid w:val="00E33F3B"/>
    <w:rsid w:val="00E3427E"/>
    <w:rsid w:val="00E34BD1"/>
    <w:rsid w:val="00E34E4F"/>
    <w:rsid w:val="00E35A08"/>
    <w:rsid w:val="00E372CF"/>
    <w:rsid w:val="00E3771F"/>
    <w:rsid w:val="00E37AFE"/>
    <w:rsid w:val="00E410E1"/>
    <w:rsid w:val="00E4121D"/>
    <w:rsid w:val="00E42D8B"/>
    <w:rsid w:val="00E44257"/>
    <w:rsid w:val="00E446D7"/>
    <w:rsid w:val="00E45A92"/>
    <w:rsid w:val="00E460E5"/>
    <w:rsid w:val="00E46721"/>
    <w:rsid w:val="00E4688C"/>
    <w:rsid w:val="00E468A6"/>
    <w:rsid w:val="00E46E65"/>
    <w:rsid w:val="00E505E9"/>
    <w:rsid w:val="00E5132D"/>
    <w:rsid w:val="00E5239A"/>
    <w:rsid w:val="00E53F93"/>
    <w:rsid w:val="00E546CD"/>
    <w:rsid w:val="00E559DA"/>
    <w:rsid w:val="00E55CCE"/>
    <w:rsid w:val="00E55D95"/>
    <w:rsid w:val="00E5619D"/>
    <w:rsid w:val="00E564B3"/>
    <w:rsid w:val="00E56DF6"/>
    <w:rsid w:val="00E577D5"/>
    <w:rsid w:val="00E60297"/>
    <w:rsid w:val="00E60532"/>
    <w:rsid w:val="00E61A42"/>
    <w:rsid w:val="00E61D5E"/>
    <w:rsid w:val="00E62201"/>
    <w:rsid w:val="00E62B3F"/>
    <w:rsid w:val="00E634AD"/>
    <w:rsid w:val="00E63FB0"/>
    <w:rsid w:val="00E64014"/>
    <w:rsid w:val="00E65228"/>
    <w:rsid w:val="00E662B5"/>
    <w:rsid w:val="00E709B2"/>
    <w:rsid w:val="00E71480"/>
    <w:rsid w:val="00E716E1"/>
    <w:rsid w:val="00E71AEE"/>
    <w:rsid w:val="00E745F4"/>
    <w:rsid w:val="00E75754"/>
    <w:rsid w:val="00E75EDC"/>
    <w:rsid w:val="00E764FC"/>
    <w:rsid w:val="00E777DE"/>
    <w:rsid w:val="00E779EC"/>
    <w:rsid w:val="00E77DD7"/>
    <w:rsid w:val="00E804F6"/>
    <w:rsid w:val="00E80984"/>
    <w:rsid w:val="00E80AC2"/>
    <w:rsid w:val="00E817CB"/>
    <w:rsid w:val="00E833D7"/>
    <w:rsid w:val="00E83A71"/>
    <w:rsid w:val="00E85304"/>
    <w:rsid w:val="00E86A5B"/>
    <w:rsid w:val="00E87EE7"/>
    <w:rsid w:val="00E90F43"/>
    <w:rsid w:val="00E91806"/>
    <w:rsid w:val="00E9235A"/>
    <w:rsid w:val="00E932AF"/>
    <w:rsid w:val="00E93DA5"/>
    <w:rsid w:val="00E94116"/>
    <w:rsid w:val="00E96FD7"/>
    <w:rsid w:val="00E97500"/>
    <w:rsid w:val="00EA0886"/>
    <w:rsid w:val="00EA12F2"/>
    <w:rsid w:val="00EA2844"/>
    <w:rsid w:val="00EA33E6"/>
    <w:rsid w:val="00EA4004"/>
    <w:rsid w:val="00EA410E"/>
    <w:rsid w:val="00EA4198"/>
    <w:rsid w:val="00EA4B65"/>
    <w:rsid w:val="00EA5110"/>
    <w:rsid w:val="00EA5153"/>
    <w:rsid w:val="00EA5374"/>
    <w:rsid w:val="00EA5F38"/>
    <w:rsid w:val="00EA684B"/>
    <w:rsid w:val="00EA6A3C"/>
    <w:rsid w:val="00EA6F00"/>
    <w:rsid w:val="00EA7EA9"/>
    <w:rsid w:val="00EB04D8"/>
    <w:rsid w:val="00EB084E"/>
    <w:rsid w:val="00EB1499"/>
    <w:rsid w:val="00EB2334"/>
    <w:rsid w:val="00EB35A8"/>
    <w:rsid w:val="00EB3609"/>
    <w:rsid w:val="00EB436B"/>
    <w:rsid w:val="00EB4563"/>
    <w:rsid w:val="00EB461F"/>
    <w:rsid w:val="00EB5899"/>
    <w:rsid w:val="00EB58FF"/>
    <w:rsid w:val="00EB5FF1"/>
    <w:rsid w:val="00EB639C"/>
    <w:rsid w:val="00EB682E"/>
    <w:rsid w:val="00EB6D07"/>
    <w:rsid w:val="00EB7B80"/>
    <w:rsid w:val="00EC01F8"/>
    <w:rsid w:val="00EC0B22"/>
    <w:rsid w:val="00EC0C3E"/>
    <w:rsid w:val="00EC0D87"/>
    <w:rsid w:val="00EC1CAD"/>
    <w:rsid w:val="00EC25B3"/>
    <w:rsid w:val="00EC39D6"/>
    <w:rsid w:val="00EC3F12"/>
    <w:rsid w:val="00EC4322"/>
    <w:rsid w:val="00EC4DBD"/>
    <w:rsid w:val="00EC55AD"/>
    <w:rsid w:val="00EC6E29"/>
    <w:rsid w:val="00EC710C"/>
    <w:rsid w:val="00EC777D"/>
    <w:rsid w:val="00ED101F"/>
    <w:rsid w:val="00ED10B5"/>
    <w:rsid w:val="00ED2037"/>
    <w:rsid w:val="00ED20CB"/>
    <w:rsid w:val="00ED20D7"/>
    <w:rsid w:val="00ED228E"/>
    <w:rsid w:val="00ED5B70"/>
    <w:rsid w:val="00ED6958"/>
    <w:rsid w:val="00ED6E4A"/>
    <w:rsid w:val="00ED738B"/>
    <w:rsid w:val="00ED738C"/>
    <w:rsid w:val="00EE1A45"/>
    <w:rsid w:val="00EE1A95"/>
    <w:rsid w:val="00EE2621"/>
    <w:rsid w:val="00EE2D0C"/>
    <w:rsid w:val="00EE303C"/>
    <w:rsid w:val="00EE46E9"/>
    <w:rsid w:val="00EE5F25"/>
    <w:rsid w:val="00EE6305"/>
    <w:rsid w:val="00EE6494"/>
    <w:rsid w:val="00EE6D89"/>
    <w:rsid w:val="00EE7EFD"/>
    <w:rsid w:val="00EF0066"/>
    <w:rsid w:val="00EF02E8"/>
    <w:rsid w:val="00EF0A22"/>
    <w:rsid w:val="00EF1378"/>
    <w:rsid w:val="00EF1E99"/>
    <w:rsid w:val="00EF22EB"/>
    <w:rsid w:val="00EF2B5A"/>
    <w:rsid w:val="00EF35F2"/>
    <w:rsid w:val="00EF42CF"/>
    <w:rsid w:val="00EF4801"/>
    <w:rsid w:val="00EF53B1"/>
    <w:rsid w:val="00EF5933"/>
    <w:rsid w:val="00EF5E1E"/>
    <w:rsid w:val="00EF6C1F"/>
    <w:rsid w:val="00EF7215"/>
    <w:rsid w:val="00F00EDF"/>
    <w:rsid w:val="00F01116"/>
    <w:rsid w:val="00F01972"/>
    <w:rsid w:val="00F03A50"/>
    <w:rsid w:val="00F03CB4"/>
    <w:rsid w:val="00F04FA2"/>
    <w:rsid w:val="00F06DFE"/>
    <w:rsid w:val="00F06E27"/>
    <w:rsid w:val="00F07855"/>
    <w:rsid w:val="00F10261"/>
    <w:rsid w:val="00F1036B"/>
    <w:rsid w:val="00F10531"/>
    <w:rsid w:val="00F106D3"/>
    <w:rsid w:val="00F111A4"/>
    <w:rsid w:val="00F11ECD"/>
    <w:rsid w:val="00F132E2"/>
    <w:rsid w:val="00F136C0"/>
    <w:rsid w:val="00F1428C"/>
    <w:rsid w:val="00F1545C"/>
    <w:rsid w:val="00F155B0"/>
    <w:rsid w:val="00F162B0"/>
    <w:rsid w:val="00F20475"/>
    <w:rsid w:val="00F21076"/>
    <w:rsid w:val="00F21129"/>
    <w:rsid w:val="00F22820"/>
    <w:rsid w:val="00F23C1B"/>
    <w:rsid w:val="00F24E8D"/>
    <w:rsid w:val="00F25869"/>
    <w:rsid w:val="00F25D19"/>
    <w:rsid w:val="00F26433"/>
    <w:rsid w:val="00F26661"/>
    <w:rsid w:val="00F26EE0"/>
    <w:rsid w:val="00F27D8D"/>
    <w:rsid w:val="00F30290"/>
    <w:rsid w:val="00F307C1"/>
    <w:rsid w:val="00F30ADB"/>
    <w:rsid w:val="00F32329"/>
    <w:rsid w:val="00F32DC1"/>
    <w:rsid w:val="00F3450C"/>
    <w:rsid w:val="00F34CAE"/>
    <w:rsid w:val="00F3534D"/>
    <w:rsid w:val="00F36E9F"/>
    <w:rsid w:val="00F37AEE"/>
    <w:rsid w:val="00F402F8"/>
    <w:rsid w:val="00F41539"/>
    <w:rsid w:val="00F41831"/>
    <w:rsid w:val="00F42501"/>
    <w:rsid w:val="00F425F5"/>
    <w:rsid w:val="00F429AC"/>
    <w:rsid w:val="00F42C6C"/>
    <w:rsid w:val="00F42DD0"/>
    <w:rsid w:val="00F43545"/>
    <w:rsid w:val="00F43F24"/>
    <w:rsid w:val="00F4455C"/>
    <w:rsid w:val="00F44F24"/>
    <w:rsid w:val="00F44FA4"/>
    <w:rsid w:val="00F45BB7"/>
    <w:rsid w:val="00F46317"/>
    <w:rsid w:val="00F4773F"/>
    <w:rsid w:val="00F47AC5"/>
    <w:rsid w:val="00F47D72"/>
    <w:rsid w:val="00F5044D"/>
    <w:rsid w:val="00F50C10"/>
    <w:rsid w:val="00F5120A"/>
    <w:rsid w:val="00F51852"/>
    <w:rsid w:val="00F53D94"/>
    <w:rsid w:val="00F53FDA"/>
    <w:rsid w:val="00F5492D"/>
    <w:rsid w:val="00F54D79"/>
    <w:rsid w:val="00F5503B"/>
    <w:rsid w:val="00F55BAF"/>
    <w:rsid w:val="00F563ED"/>
    <w:rsid w:val="00F56718"/>
    <w:rsid w:val="00F56910"/>
    <w:rsid w:val="00F56FFD"/>
    <w:rsid w:val="00F57EED"/>
    <w:rsid w:val="00F6040F"/>
    <w:rsid w:val="00F6047E"/>
    <w:rsid w:val="00F6294D"/>
    <w:rsid w:val="00F63035"/>
    <w:rsid w:val="00F63712"/>
    <w:rsid w:val="00F63C12"/>
    <w:rsid w:val="00F6411C"/>
    <w:rsid w:val="00F64128"/>
    <w:rsid w:val="00F643D3"/>
    <w:rsid w:val="00F662E0"/>
    <w:rsid w:val="00F66BA2"/>
    <w:rsid w:val="00F66D0C"/>
    <w:rsid w:val="00F7019D"/>
    <w:rsid w:val="00F71683"/>
    <w:rsid w:val="00F732D3"/>
    <w:rsid w:val="00F7339F"/>
    <w:rsid w:val="00F7371A"/>
    <w:rsid w:val="00F738A2"/>
    <w:rsid w:val="00F73C55"/>
    <w:rsid w:val="00F74EFC"/>
    <w:rsid w:val="00F750C0"/>
    <w:rsid w:val="00F77273"/>
    <w:rsid w:val="00F774D5"/>
    <w:rsid w:val="00F811C6"/>
    <w:rsid w:val="00F81CB0"/>
    <w:rsid w:val="00F822C9"/>
    <w:rsid w:val="00F82C00"/>
    <w:rsid w:val="00F839F8"/>
    <w:rsid w:val="00F8420C"/>
    <w:rsid w:val="00F842E8"/>
    <w:rsid w:val="00F8474F"/>
    <w:rsid w:val="00F848CC"/>
    <w:rsid w:val="00F84D3D"/>
    <w:rsid w:val="00F85012"/>
    <w:rsid w:val="00F85826"/>
    <w:rsid w:val="00F85B99"/>
    <w:rsid w:val="00F903DE"/>
    <w:rsid w:val="00F90C69"/>
    <w:rsid w:val="00F91000"/>
    <w:rsid w:val="00F910D5"/>
    <w:rsid w:val="00F924C7"/>
    <w:rsid w:val="00F92628"/>
    <w:rsid w:val="00F93969"/>
    <w:rsid w:val="00F945BE"/>
    <w:rsid w:val="00F94664"/>
    <w:rsid w:val="00F94F25"/>
    <w:rsid w:val="00F955B4"/>
    <w:rsid w:val="00F95E6D"/>
    <w:rsid w:val="00F9744F"/>
    <w:rsid w:val="00F97483"/>
    <w:rsid w:val="00F978F5"/>
    <w:rsid w:val="00FA013E"/>
    <w:rsid w:val="00FA0175"/>
    <w:rsid w:val="00FA1347"/>
    <w:rsid w:val="00FA19FA"/>
    <w:rsid w:val="00FA2003"/>
    <w:rsid w:val="00FA2763"/>
    <w:rsid w:val="00FA3124"/>
    <w:rsid w:val="00FA3B67"/>
    <w:rsid w:val="00FA441C"/>
    <w:rsid w:val="00FA4694"/>
    <w:rsid w:val="00FA62A5"/>
    <w:rsid w:val="00FA7AC8"/>
    <w:rsid w:val="00FB0540"/>
    <w:rsid w:val="00FB0BF7"/>
    <w:rsid w:val="00FB1D9C"/>
    <w:rsid w:val="00FB2516"/>
    <w:rsid w:val="00FB4165"/>
    <w:rsid w:val="00FB4340"/>
    <w:rsid w:val="00FB51BA"/>
    <w:rsid w:val="00FB5563"/>
    <w:rsid w:val="00FB60EA"/>
    <w:rsid w:val="00FB6656"/>
    <w:rsid w:val="00FB7D0B"/>
    <w:rsid w:val="00FC01FE"/>
    <w:rsid w:val="00FC1E34"/>
    <w:rsid w:val="00FC1FF6"/>
    <w:rsid w:val="00FC39BE"/>
    <w:rsid w:val="00FC3AC9"/>
    <w:rsid w:val="00FC5044"/>
    <w:rsid w:val="00FC5B28"/>
    <w:rsid w:val="00FC5D00"/>
    <w:rsid w:val="00FC6905"/>
    <w:rsid w:val="00FC7256"/>
    <w:rsid w:val="00FD0210"/>
    <w:rsid w:val="00FD0C30"/>
    <w:rsid w:val="00FD23A6"/>
    <w:rsid w:val="00FD2580"/>
    <w:rsid w:val="00FD2E7A"/>
    <w:rsid w:val="00FD36F4"/>
    <w:rsid w:val="00FD5812"/>
    <w:rsid w:val="00FD5C6A"/>
    <w:rsid w:val="00FD5DEF"/>
    <w:rsid w:val="00FD631E"/>
    <w:rsid w:val="00FE039F"/>
    <w:rsid w:val="00FE0479"/>
    <w:rsid w:val="00FE06FA"/>
    <w:rsid w:val="00FE168D"/>
    <w:rsid w:val="00FE1A5F"/>
    <w:rsid w:val="00FE1CF5"/>
    <w:rsid w:val="00FE3076"/>
    <w:rsid w:val="00FE59F4"/>
    <w:rsid w:val="00FE6C1B"/>
    <w:rsid w:val="00FE7A9E"/>
    <w:rsid w:val="00FE7CE0"/>
    <w:rsid w:val="00FF0BF6"/>
    <w:rsid w:val="00FF1368"/>
    <w:rsid w:val="00FF1A9B"/>
    <w:rsid w:val="00FF252B"/>
    <w:rsid w:val="00FF2630"/>
    <w:rsid w:val="00FF2752"/>
    <w:rsid w:val="00FF30CD"/>
    <w:rsid w:val="00FF373C"/>
    <w:rsid w:val="00FF39D3"/>
    <w:rsid w:val="00FF417B"/>
    <w:rsid w:val="00FF450B"/>
    <w:rsid w:val="00FF57D0"/>
    <w:rsid w:val="00FF5D06"/>
    <w:rsid w:val="00FF6CA6"/>
    <w:rsid w:val="00FF70F8"/>
    <w:rsid w:val="00FF78D2"/>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lv-LV"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List Bullet" w:uiPriority="0"/>
    <w:lsdException w:name="List Bullet 2"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69E3"/>
  </w:style>
  <w:style w:type="paragraph" w:styleId="Heading1">
    <w:name w:val="heading 1"/>
    <w:basedOn w:val="Normal"/>
    <w:link w:val="Heading1Char"/>
    <w:qFormat/>
    <w:rsid w:val="008458C0"/>
    <w:pPr>
      <w:keepNext/>
      <w:jc w:val="both"/>
      <w:outlineLvl w:val="0"/>
    </w:pPr>
    <w:rPr>
      <w:rFonts w:eastAsia="Times New Roman" w:cs="Times New Roman"/>
      <w:b/>
      <w:bCs/>
      <w:kern w:val="36"/>
      <w:szCs w:val="28"/>
      <w:lang w:eastAsia="lv-LV"/>
    </w:rPr>
  </w:style>
  <w:style w:type="paragraph" w:styleId="Heading2">
    <w:name w:val="heading 2"/>
    <w:basedOn w:val="Normal"/>
    <w:next w:val="Normal"/>
    <w:link w:val="Heading2Char"/>
    <w:unhideWhenUsed/>
    <w:qFormat/>
    <w:rsid w:val="00FB556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2A01C7"/>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qFormat/>
    <w:rsid w:val="0063735A"/>
    <w:pPr>
      <w:keepNext/>
      <w:tabs>
        <w:tab w:val="num" w:pos="1080"/>
      </w:tabs>
      <w:spacing w:before="240" w:after="60"/>
      <w:outlineLvl w:val="3"/>
    </w:pPr>
    <w:rPr>
      <w:rFonts w:eastAsia="Times New Roman" w:cs="Times New Roman"/>
      <w:b/>
      <w:bCs/>
      <w:szCs w:val="28"/>
    </w:rPr>
  </w:style>
  <w:style w:type="paragraph" w:styleId="Heading5">
    <w:name w:val="heading 5"/>
    <w:basedOn w:val="Normal"/>
    <w:next w:val="Normal"/>
    <w:link w:val="Heading5Char"/>
    <w:qFormat/>
    <w:rsid w:val="0063735A"/>
    <w:pPr>
      <w:tabs>
        <w:tab w:val="num" w:pos="0"/>
      </w:tabs>
      <w:spacing w:before="240" w:after="60"/>
      <w:outlineLvl w:val="4"/>
    </w:pPr>
    <w:rPr>
      <w:rFonts w:eastAsia="Times New Roman" w:cs="Times New Roman"/>
      <w:b/>
      <w:bCs/>
      <w:i/>
      <w:iCs/>
      <w:sz w:val="26"/>
      <w:szCs w:val="26"/>
    </w:rPr>
  </w:style>
  <w:style w:type="paragraph" w:styleId="Heading6">
    <w:name w:val="heading 6"/>
    <w:basedOn w:val="Normal"/>
    <w:next w:val="Normal"/>
    <w:link w:val="Heading6Char"/>
    <w:qFormat/>
    <w:rsid w:val="0063735A"/>
    <w:pPr>
      <w:tabs>
        <w:tab w:val="num" w:pos="0"/>
      </w:tabs>
      <w:spacing w:before="240" w:after="60"/>
      <w:outlineLvl w:val="5"/>
    </w:pPr>
    <w:rPr>
      <w:rFonts w:eastAsia="Times New Roman" w:cs="Times New Roman"/>
      <w:b/>
      <w:bCs/>
      <w:sz w:val="22"/>
    </w:rPr>
  </w:style>
  <w:style w:type="paragraph" w:styleId="Heading7">
    <w:name w:val="heading 7"/>
    <w:basedOn w:val="Normal"/>
    <w:next w:val="Normal"/>
    <w:link w:val="Heading7Char"/>
    <w:qFormat/>
    <w:rsid w:val="0063735A"/>
    <w:pPr>
      <w:tabs>
        <w:tab w:val="num" w:pos="0"/>
      </w:tabs>
      <w:spacing w:before="240" w:after="60"/>
      <w:outlineLvl w:val="6"/>
    </w:pPr>
    <w:rPr>
      <w:rFonts w:eastAsia="Times New Roman" w:cs="Times New Roman"/>
      <w:sz w:val="24"/>
      <w:szCs w:val="24"/>
    </w:rPr>
  </w:style>
  <w:style w:type="paragraph" w:styleId="Heading8">
    <w:name w:val="heading 8"/>
    <w:basedOn w:val="Normal"/>
    <w:next w:val="Normal"/>
    <w:link w:val="Heading8Char"/>
    <w:qFormat/>
    <w:rsid w:val="0063735A"/>
    <w:pPr>
      <w:tabs>
        <w:tab w:val="num" w:pos="0"/>
      </w:tabs>
      <w:spacing w:before="240" w:after="60"/>
      <w:outlineLvl w:val="7"/>
    </w:pPr>
    <w:rPr>
      <w:rFonts w:eastAsia="Times New Roman" w:cs="Times New Roman"/>
      <w:i/>
      <w:iCs/>
      <w:sz w:val="24"/>
      <w:szCs w:val="24"/>
    </w:rPr>
  </w:style>
  <w:style w:type="paragraph" w:styleId="Heading9">
    <w:name w:val="heading 9"/>
    <w:basedOn w:val="Normal"/>
    <w:next w:val="Normal"/>
    <w:link w:val="Heading9Char"/>
    <w:qFormat/>
    <w:rsid w:val="0063735A"/>
    <w:pPr>
      <w:tabs>
        <w:tab w:val="num" w:pos="0"/>
      </w:tabs>
      <w:spacing w:before="240" w:after="60"/>
      <w:outlineLvl w:val="8"/>
    </w:pPr>
    <w:rPr>
      <w:rFonts w:ascii="Arial" w:eastAsia="Times New Roman" w:hAnsi="Arial"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0336EC"/>
    <w:pPr>
      <w:ind w:left="720"/>
      <w:contextualSpacing/>
    </w:pPr>
  </w:style>
  <w:style w:type="paragraph" w:styleId="Header">
    <w:name w:val="header"/>
    <w:basedOn w:val="Normal"/>
    <w:link w:val="HeaderChar"/>
    <w:uiPriority w:val="99"/>
    <w:unhideWhenUsed/>
    <w:rsid w:val="008F6836"/>
    <w:pPr>
      <w:tabs>
        <w:tab w:val="center" w:pos="4153"/>
        <w:tab w:val="right" w:pos="8306"/>
      </w:tabs>
    </w:pPr>
  </w:style>
  <w:style w:type="character" w:customStyle="1" w:styleId="HeaderChar">
    <w:name w:val="Header Char"/>
    <w:basedOn w:val="DefaultParagraphFont"/>
    <w:link w:val="Header"/>
    <w:uiPriority w:val="99"/>
    <w:rsid w:val="008F6836"/>
  </w:style>
  <w:style w:type="paragraph" w:styleId="Footer">
    <w:name w:val="footer"/>
    <w:basedOn w:val="Normal"/>
    <w:link w:val="FooterChar"/>
    <w:uiPriority w:val="99"/>
    <w:unhideWhenUsed/>
    <w:rsid w:val="008F6836"/>
    <w:pPr>
      <w:tabs>
        <w:tab w:val="center" w:pos="4153"/>
        <w:tab w:val="right" w:pos="8306"/>
      </w:tabs>
    </w:pPr>
  </w:style>
  <w:style w:type="character" w:customStyle="1" w:styleId="FooterChar">
    <w:name w:val="Footer Char"/>
    <w:basedOn w:val="DefaultParagraphFont"/>
    <w:link w:val="Footer"/>
    <w:uiPriority w:val="99"/>
    <w:rsid w:val="008F6836"/>
  </w:style>
  <w:style w:type="character" w:styleId="Strong">
    <w:name w:val="Strong"/>
    <w:basedOn w:val="DefaultParagraphFont"/>
    <w:uiPriority w:val="22"/>
    <w:qFormat/>
    <w:rsid w:val="00B01854"/>
    <w:rPr>
      <w:b/>
      <w:bCs/>
    </w:rPr>
  </w:style>
  <w:style w:type="character" w:styleId="Hyperlink">
    <w:name w:val="Hyperlink"/>
    <w:basedOn w:val="DefaultParagraphFont"/>
    <w:uiPriority w:val="99"/>
    <w:unhideWhenUsed/>
    <w:rsid w:val="00CC5F9D"/>
    <w:rPr>
      <w:color w:val="0000FF"/>
      <w:u w:val="single"/>
    </w:rPr>
  </w:style>
  <w:style w:type="character" w:customStyle="1" w:styleId="st">
    <w:name w:val="st"/>
    <w:basedOn w:val="DefaultParagraphFont"/>
    <w:rsid w:val="00EA4B65"/>
  </w:style>
  <w:style w:type="character" w:customStyle="1" w:styleId="Heading1Char">
    <w:name w:val="Heading 1 Char"/>
    <w:basedOn w:val="DefaultParagraphFont"/>
    <w:link w:val="Heading1"/>
    <w:rsid w:val="008458C0"/>
    <w:rPr>
      <w:rFonts w:eastAsia="Times New Roman" w:cs="Times New Roman"/>
      <w:b/>
      <w:bCs/>
      <w:kern w:val="36"/>
      <w:szCs w:val="28"/>
      <w:lang w:eastAsia="lv-LV"/>
    </w:rPr>
  </w:style>
  <w:style w:type="paragraph" w:styleId="BodyText">
    <w:name w:val="Body Text"/>
    <w:aliases w:val=" Rakstz."/>
    <w:basedOn w:val="Normal"/>
    <w:link w:val="BodyTextChar"/>
    <w:rsid w:val="00E46721"/>
    <w:pPr>
      <w:spacing w:after="120"/>
    </w:pPr>
    <w:rPr>
      <w:rFonts w:eastAsia="Times New Roman" w:cs="Times New Roman"/>
      <w:sz w:val="24"/>
      <w:szCs w:val="24"/>
    </w:rPr>
  </w:style>
  <w:style w:type="character" w:customStyle="1" w:styleId="BodyTextChar">
    <w:name w:val="Body Text Char"/>
    <w:aliases w:val=" Rakstz. Char"/>
    <w:basedOn w:val="DefaultParagraphFont"/>
    <w:link w:val="BodyText"/>
    <w:rsid w:val="00E46721"/>
    <w:rPr>
      <w:rFonts w:eastAsia="Times New Roman" w:cs="Times New Roman"/>
      <w:sz w:val="24"/>
      <w:szCs w:val="24"/>
    </w:rPr>
  </w:style>
  <w:style w:type="paragraph" w:styleId="FootnoteText">
    <w:name w:val="footnote text"/>
    <w:aliases w:val="Footnote,Fußnote,Schriftart: 9 pt,Schriftart: 10 pt,Schriftart: 8 pt,WB-Fußnotentext,WB-Fußnotentext Char Char,WB-Fußnotentext Char,stile 1,Footnote1,Footnote2,Footnote3,Footnote4,Footnote5,Footnote6,Footnote7,Footnote8,Footnote9,fn,FT"/>
    <w:basedOn w:val="Normal"/>
    <w:link w:val="FootnoteTextChar"/>
    <w:autoRedefine/>
    <w:uiPriority w:val="99"/>
    <w:rsid w:val="00EC0D87"/>
    <w:pPr>
      <w:jc w:val="both"/>
    </w:pPr>
    <w:rPr>
      <w:rFonts w:ascii="Arial" w:eastAsia="Times New Roman" w:hAnsi="Arial" w:cs="Times New Roman"/>
      <w:position w:val="6"/>
      <w:sz w:val="20"/>
      <w:szCs w:val="20"/>
    </w:rPr>
  </w:style>
  <w:style w:type="character" w:customStyle="1" w:styleId="FootnoteTextChar">
    <w:name w:val="Footnote Text Char"/>
    <w:aliases w:val="Footnote Char,Fußnote Char,Schriftart: 9 pt Char,Schriftart: 10 pt Char,Schriftart: 8 pt Char,WB-Fußnotentext Char1,WB-Fußnotentext Char Char Char,WB-Fußnotentext Char Char1,stile 1 Char,Footnote1 Char,Footnote2 Char,Footnote3 Char"/>
    <w:basedOn w:val="DefaultParagraphFont"/>
    <w:link w:val="FootnoteText"/>
    <w:uiPriority w:val="99"/>
    <w:rsid w:val="00EC0D87"/>
    <w:rPr>
      <w:rFonts w:ascii="Arial" w:eastAsia="Times New Roman" w:hAnsi="Arial" w:cs="Times New Roman"/>
      <w:position w:val="6"/>
      <w:sz w:val="20"/>
      <w:szCs w:val="20"/>
    </w:rPr>
  </w:style>
  <w:style w:type="character" w:styleId="FootnoteReference">
    <w:name w:val="footnote reference"/>
    <w:aliases w:val="Footnote Reference Number,SUPERS,Footnote Reference Superscript,Footnote symbol,fr,Stinking Styles22,BVI fnr,(Footnote Reference),Footnote reference number,note TESI,EN Footnote Reference,Voetnootverwijzing,Times 10 Point,No"/>
    <w:uiPriority w:val="99"/>
    <w:rsid w:val="00E46721"/>
    <w:rPr>
      <w:rFonts w:ascii="Times New Roman" w:hAnsi="Times New Roman"/>
      <w:color w:val="000000"/>
      <w:position w:val="6"/>
      <w:sz w:val="16"/>
      <w:szCs w:val="16"/>
      <w:vertAlign w:val="superscript"/>
      <w:lang w:val="lv-LV"/>
    </w:rPr>
  </w:style>
  <w:style w:type="paragraph" w:styleId="BalloonText">
    <w:name w:val="Balloon Text"/>
    <w:basedOn w:val="Normal"/>
    <w:link w:val="BalloonTextChar"/>
    <w:uiPriority w:val="99"/>
    <w:semiHidden/>
    <w:unhideWhenUsed/>
    <w:rsid w:val="00E46721"/>
    <w:rPr>
      <w:rFonts w:ascii="Tahoma" w:hAnsi="Tahoma" w:cs="Tahoma"/>
      <w:sz w:val="16"/>
      <w:szCs w:val="16"/>
    </w:rPr>
  </w:style>
  <w:style w:type="character" w:customStyle="1" w:styleId="BalloonTextChar">
    <w:name w:val="Balloon Text Char"/>
    <w:basedOn w:val="DefaultParagraphFont"/>
    <w:link w:val="BalloonText"/>
    <w:uiPriority w:val="99"/>
    <w:semiHidden/>
    <w:rsid w:val="00E46721"/>
    <w:rPr>
      <w:rFonts w:ascii="Tahoma" w:hAnsi="Tahoma" w:cs="Tahoma"/>
      <w:sz w:val="16"/>
      <w:szCs w:val="16"/>
    </w:rPr>
  </w:style>
  <w:style w:type="character" w:customStyle="1" w:styleId="ListParagraphChar">
    <w:name w:val="List Paragraph Char"/>
    <w:link w:val="ListParagraph"/>
    <w:uiPriority w:val="34"/>
    <w:locked/>
    <w:rsid w:val="002200C9"/>
  </w:style>
  <w:style w:type="character" w:styleId="CommentReference">
    <w:name w:val="annotation reference"/>
    <w:basedOn w:val="DefaultParagraphFont"/>
    <w:uiPriority w:val="99"/>
    <w:semiHidden/>
    <w:unhideWhenUsed/>
    <w:rsid w:val="00FB5563"/>
    <w:rPr>
      <w:sz w:val="16"/>
      <w:szCs w:val="16"/>
    </w:rPr>
  </w:style>
  <w:style w:type="paragraph" w:styleId="CommentText">
    <w:name w:val="annotation text"/>
    <w:basedOn w:val="Normal"/>
    <w:link w:val="CommentTextChar"/>
    <w:uiPriority w:val="99"/>
    <w:unhideWhenUsed/>
    <w:rsid w:val="00FB5563"/>
    <w:rPr>
      <w:sz w:val="20"/>
      <w:szCs w:val="20"/>
    </w:rPr>
  </w:style>
  <w:style w:type="character" w:customStyle="1" w:styleId="CommentTextChar">
    <w:name w:val="Comment Text Char"/>
    <w:basedOn w:val="DefaultParagraphFont"/>
    <w:link w:val="CommentText"/>
    <w:uiPriority w:val="99"/>
    <w:rsid w:val="00FB5563"/>
    <w:rPr>
      <w:sz w:val="20"/>
      <w:szCs w:val="20"/>
    </w:rPr>
  </w:style>
  <w:style w:type="paragraph" w:styleId="CommentSubject">
    <w:name w:val="annotation subject"/>
    <w:basedOn w:val="CommentText"/>
    <w:next w:val="CommentText"/>
    <w:link w:val="CommentSubjectChar"/>
    <w:uiPriority w:val="99"/>
    <w:semiHidden/>
    <w:unhideWhenUsed/>
    <w:rsid w:val="00FB5563"/>
    <w:rPr>
      <w:b/>
      <w:bCs/>
    </w:rPr>
  </w:style>
  <w:style w:type="character" w:customStyle="1" w:styleId="CommentSubjectChar">
    <w:name w:val="Comment Subject Char"/>
    <w:basedOn w:val="CommentTextChar"/>
    <w:link w:val="CommentSubject"/>
    <w:uiPriority w:val="99"/>
    <w:semiHidden/>
    <w:rsid w:val="00FB5563"/>
    <w:rPr>
      <w:b/>
      <w:bCs/>
      <w:sz w:val="20"/>
      <w:szCs w:val="20"/>
    </w:rPr>
  </w:style>
  <w:style w:type="character" w:customStyle="1" w:styleId="Heading2Char">
    <w:name w:val="Heading 2 Char"/>
    <w:basedOn w:val="DefaultParagraphFont"/>
    <w:link w:val="Heading2"/>
    <w:rsid w:val="00FB5563"/>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2A01C7"/>
    <w:rPr>
      <w:rFonts w:asciiTheme="majorHAnsi" w:eastAsiaTheme="majorEastAsia" w:hAnsiTheme="majorHAnsi" w:cstheme="majorBidi"/>
      <w:b/>
      <w:bCs/>
      <w:color w:val="4F81BD" w:themeColor="accent1"/>
    </w:rPr>
  </w:style>
  <w:style w:type="paragraph" w:styleId="TOCHeading">
    <w:name w:val="TOC Heading"/>
    <w:basedOn w:val="Heading1"/>
    <w:next w:val="Normal"/>
    <w:uiPriority w:val="39"/>
    <w:semiHidden/>
    <w:unhideWhenUsed/>
    <w:qFormat/>
    <w:rsid w:val="00B25A9B"/>
    <w:pPr>
      <w:keepLines/>
      <w:spacing w:before="480" w:line="276" w:lineRule="auto"/>
      <w:jc w:val="left"/>
      <w:outlineLvl w:val="9"/>
    </w:pPr>
    <w:rPr>
      <w:rFonts w:asciiTheme="majorHAnsi" w:eastAsiaTheme="majorEastAsia" w:hAnsiTheme="majorHAnsi" w:cstheme="majorBidi"/>
      <w:color w:val="365F91" w:themeColor="accent1" w:themeShade="BF"/>
      <w:kern w:val="0"/>
      <w:lang w:val="en-US" w:eastAsia="ja-JP"/>
    </w:rPr>
  </w:style>
  <w:style w:type="paragraph" w:styleId="TOC1">
    <w:name w:val="toc 1"/>
    <w:basedOn w:val="Normal"/>
    <w:next w:val="Normal"/>
    <w:autoRedefine/>
    <w:uiPriority w:val="39"/>
    <w:unhideWhenUsed/>
    <w:rsid w:val="00B25A9B"/>
    <w:pPr>
      <w:spacing w:after="100"/>
    </w:pPr>
  </w:style>
  <w:style w:type="paragraph" w:styleId="TOC2">
    <w:name w:val="toc 2"/>
    <w:basedOn w:val="Normal"/>
    <w:next w:val="Normal"/>
    <w:autoRedefine/>
    <w:uiPriority w:val="39"/>
    <w:unhideWhenUsed/>
    <w:rsid w:val="00B25A9B"/>
    <w:pPr>
      <w:spacing w:after="100"/>
      <w:ind w:left="280"/>
    </w:pPr>
  </w:style>
  <w:style w:type="paragraph" w:styleId="TOC3">
    <w:name w:val="toc 3"/>
    <w:basedOn w:val="Normal"/>
    <w:next w:val="Normal"/>
    <w:autoRedefine/>
    <w:uiPriority w:val="39"/>
    <w:unhideWhenUsed/>
    <w:rsid w:val="00B25A9B"/>
    <w:pPr>
      <w:spacing w:after="100"/>
      <w:ind w:left="560"/>
    </w:pPr>
  </w:style>
  <w:style w:type="character" w:customStyle="1" w:styleId="Heading4Char">
    <w:name w:val="Heading 4 Char"/>
    <w:basedOn w:val="DefaultParagraphFont"/>
    <w:link w:val="Heading4"/>
    <w:rsid w:val="0063735A"/>
    <w:rPr>
      <w:rFonts w:eastAsia="Times New Roman" w:cs="Times New Roman"/>
      <w:b/>
      <w:bCs/>
      <w:szCs w:val="28"/>
    </w:rPr>
  </w:style>
  <w:style w:type="character" w:customStyle="1" w:styleId="Heading5Char">
    <w:name w:val="Heading 5 Char"/>
    <w:basedOn w:val="DefaultParagraphFont"/>
    <w:link w:val="Heading5"/>
    <w:rsid w:val="0063735A"/>
    <w:rPr>
      <w:rFonts w:eastAsia="Times New Roman" w:cs="Times New Roman"/>
      <w:b/>
      <w:bCs/>
      <w:i/>
      <w:iCs/>
      <w:sz w:val="26"/>
      <w:szCs w:val="26"/>
    </w:rPr>
  </w:style>
  <w:style w:type="character" w:customStyle="1" w:styleId="Heading6Char">
    <w:name w:val="Heading 6 Char"/>
    <w:basedOn w:val="DefaultParagraphFont"/>
    <w:link w:val="Heading6"/>
    <w:rsid w:val="0063735A"/>
    <w:rPr>
      <w:rFonts w:eastAsia="Times New Roman" w:cs="Times New Roman"/>
      <w:b/>
      <w:bCs/>
      <w:sz w:val="22"/>
    </w:rPr>
  </w:style>
  <w:style w:type="character" w:customStyle="1" w:styleId="Heading7Char">
    <w:name w:val="Heading 7 Char"/>
    <w:basedOn w:val="DefaultParagraphFont"/>
    <w:link w:val="Heading7"/>
    <w:rsid w:val="0063735A"/>
    <w:rPr>
      <w:rFonts w:eastAsia="Times New Roman" w:cs="Times New Roman"/>
      <w:sz w:val="24"/>
      <w:szCs w:val="24"/>
    </w:rPr>
  </w:style>
  <w:style w:type="character" w:customStyle="1" w:styleId="Heading8Char">
    <w:name w:val="Heading 8 Char"/>
    <w:basedOn w:val="DefaultParagraphFont"/>
    <w:link w:val="Heading8"/>
    <w:rsid w:val="0063735A"/>
    <w:rPr>
      <w:rFonts w:eastAsia="Times New Roman" w:cs="Times New Roman"/>
      <w:i/>
      <w:iCs/>
      <w:sz w:val="24"/>
      <w:szCs w:val="24"/>
    </w:rPr>
  </w:style>
  <w:style w:type="character" w:customStyle="1" w:styleId="Heading9Char">
    <w:name w:val="Heading 9 Char"/>
    <w:basedOn w:val="DefaultParagraphFont"/>
    <w:link w:val="Heading9"/>
    <w:rsid w:val="0063735A"/>
    <w:rPr>
      <w:rFonts w:ascii="Arial" w:eastAsia="Times New Roman" w:hAnsi="Arial" w:cs="Arial"/>
      <w:sz w:val="22"/>
    </w:rPr>
  </w:style>
  <w:style w:type="paragraph" w:styleId="NormalWeb">
    <w:name w:val="Normal (Web)"/>
    <w:basedOn w:val="Normal"/>
    <w:uiPriority w:val="99"/>
    <w:unhideWhenUsed/>
    <w:rsid w:val="0063735A"/>
    <w:pPr>
      <w:spacing w:before="100" w:beforeAutospacing="1" w:after="100" w:afterAutospacing="1"/>
    </w:pPr>
    <w:rPr>
      <w:rFonts w:eastAsia="Times New Roman" w:cs="Times New Roman"/>
      <w:sz w:val="24"/>
      <w:szCs w:val="24"/>
      <w:lang w:eastAsia="lv-LV"/>
    </w:rPr>
  </w:style>
  <w:style w:type="table" w:styleId="TableGrid">
    <w:name w:val="Table Grid"/>
    <w:basedOn w:val="TableNormal"/>
    <w:rsid w:val="006373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autoRedefine/>
    <w:rsid w:val="0063735A"/>
    <w:pPr>
      <w:numPr>
        <w:ilvl w:val="3"/>
        <w:numId w:val="2"/>
      </w:numPr>
      <w:tabs>
        <w:tab w:val="clear" w:pos="2880"/>
        <w:tab w:val="num" w:pos="900"/>
      </w:tabs>
      <w:spacing w:before="100" w:beforeAutospacing="1" w:after="100" w:afterAutospacing="1"/>
      <w:ind w:left="900"/>
      <w:jc w:val="both"/>
    </w:pPr>
    <w:rPr>
      <w:rFonts w:eastAsia="Times New Roman" w:cs="Times New Roman"/>
      <w:szCs w:val="28"/>
    </w:rPr>
  </w:style>
  <w:style w:type="paragraph" w:customStyle="1" w:styleId="nosaukumsatt">
    <w:name w:val="nosaukums att."/>
    <w:basedOn w:val="Normal"/>
    <w:rsid w:val="0063735A"/>
    <w:pPr>
      <w:spacing w:before="100" w:beforeAutospacing="1" w:after="100" w:afterAutospacing="1"/>
      <w:jc w:val="center"/>
    </w:pPr>
    <w:rPr>
      <w:rFonts w:ascii="Arial" w:eastAsia="Times New Roman" w:hAnsi="Arial" w:cs="Arial"/>
      <w:b/>
      <w:sz w:val="20"/>
      <w:szCs w:val="20"/>
    </w:rPr>
  </w:style>
  <w:style w:type="paragraph" w:customStyle="1" w:styleId="Default">
    <w:name w:val="Default"/>
    <w:rsid w:val="0063735A"/>
    <w:pPr>
      <w:autoSpaceDE w:val="0"/>
      <w:autoSpaceDN w:val="0"/>
      <w:adjustRightInd w:val="0"/>
    </w:pPr>
    <w:rPr>
      <w:rFonts w:ascii="Arial" w:hAnsi="Arial" w:cs="Arial"/>
      <w:color w:val="000000"/>
      <w:sz w:val="24"/>
      <w:szCs w:val="24"/>
    </w:rPr>
  </w:style>
  <w:style w:type="paragraph" w:styleId="ListBullet2">
    <w:name w:val="List Bullet 2"/>
    <w:basedOn w:val="Normal"/>
    <w:rsid w:val="0063735A"/>
    <w:pPr>
      <w:numPr>
        <w:numId w:val="3"/>
      </w:numPr>
      <w:tabs>
        <w:tab w:val="num" w:pos="1080"/>
      </w:tabs>
      <w:ind w:left="1080" w:hanging="540"/>
    </w:pPr>
    <w:rPr>
      <w:rFonts w:eastAsia="Times New Roman" w:cs="Times New Roman"/>
      <w:noProof/>
      <w:szCs w:val="28"/>
    </w:rPr>
  </w:style>
  <w:style w:type="paragraph" w:styleId="Caption">
    <w:name w:val="caption"/>
    <w:basedOn w:val="Normal"/>
    <w:next w:val="Normal"/>
    <w:uiPriority w:val="35"/>
    <w:unhideWhenUsed/>
    <w:qFormat/>
    <w:rsid w:val="0063735A"/>
    <w:pPr>
      <w:spacing w:before="240" w:after="120"/>
    </w:pPr>
    <w:rPr>
      <w:rFonts w:eastAsia="Times New Roman" w:cs="Times New Roman"/>
      <w:b/>
      <w:bCs/>
      <w:sz w:val="20"/>
      <w:szCs w:val="20"/>
    </w:rPr>
  </w:style>
  <w:style w:type="character" w:styleId="Emphasis">
    <w:name w:val="Emphasis"/>
    <w:uiPriority w:val="20"/>
    <w:qFormat/>
    <w:rsid w:val="0063735A"/>
    <w:rPr>
      <w:i/>
      <w:iCs/>
    </w:rPr>
  </w:style>
  <w:style w:type="table" w:customStyle="1" w:styleId="TableGrid1">
    <w:name w:val="Table Grid1"/>
    <w:basedOn w:val="TableNormal"/>
    <w:next w:val="TableGrid"/>
    <w:uiPriority w:val="59"/>
    <w:rsid w:val="007E7903"/>
    <w:rPr>
      <w:rFonts w:asciiTheme="minorHAnsi" w:hAnsiTheme="minorHAnsi"/>
      <w:sz w:val="22"/>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1">
    <w:name w:val="Table Grid11"/>
    <w:basedOn w:val="TableNormal"/>
    <w:next w:val="TableGrid"/>
    <w:uiPriority w:val="59"/>
    <w:rsid w:val="007E7903"/>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
    <w:name w:val="List"/>
    <w:basedOn w:val="Normal"/>
    <w:rsid w:val="00C56851"/>
    <w:pPr>
      <w:ind w:left="283" w:hanging="283"/>
    </w:pPr>
    <w:rPr>
      <w:rFonts w:eastAsia="Times New Roman" w:cs="Times New Roman"/>
      <w:sz w:val="24"/>
      <w:szCs w:val="24"/>
      <w:lang w:val="en-GB"/>
    </w:rPr>
  </w:style>
  <w:style w:type="paragraph" w:styleId="BodyTextIndent3">
    <w:name w:val="Body Text Indent 3"/>
    <w:basedOn w:val="Normal"/>
    <w:link w:val="BodyTextIndent3Char"/>
    <w:uiPriority w:val="99"/>
    <w:semiHidden/>
    <w:unhideWhenUsed/>
    <w:rsid w:val="008A7573"/>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8A7573"/>
    <w:rPr>
      <w:sz w:val="16"/>
      <w:szCs w:val="16"/>
    </w:rPr>
  </w:style>
  <w:style w:type="character" w:styleId="FollowedHyperlink">
    <w:name w:val="FollowedHyperlink"/>
    <w:aliases w:val="Footnote Text Char2,Footnote Text Char1 Char,Footnote Text Char Char Char,Footnote Text Char1 Char Char Char,Footnote Text Char Char Char Char Char,Vēres teksts Rakstz.1 Char Char Char Char Char"/>
    <w:semiHidden/>
    <w:unhideWhenUsed/>
    <w:rsid w:val="00CC4EFF"/>
    <w:rPr>
      <w:rFonts w:eastAsia="Times New Roman" w:cs="Times New Roman"/>
      <w:sz w:val="20"/>
      <w:szCs w:val="20"/>
    </w:rPr>
  </w:style>
  <w:style w:type="paragraph" w:styleId="PlainText">
    <w:name w:val="Plain Text"/>
    <w:basedOn w:val="Normal"/>
    <w:link w:val="PlainTextChar"/>
    <w:uiPriority w:val="99"/>
    <w:unhideWhenUsed/>
    <w:rsid w:val="006D39BF"/>
    <w:pPr>
      <w:spacing w:before="120"/>
      <w:ind w:firstLine="720"/>
      <w:jc w:val="both"/>
    </w:pPr>
    <w:rPr>
      <w:rFonts w:ascii="Calibri" w:eastAsia="Calibri" w:hAnsi="Calibri" w:cs="Times New Roman"/>
      <w:szCs w:val="21"/>
    </w:rPr>
  </w:style>
  <w:style w:type="character" w:customStyle="1" w:styleId="PlainTextChar">
    <w:name w:val="Plain Text Char"/>
    <w:basedOn w:val="DefaultParagraphFont"/>
    <w:link w:val="PlainText"/>
    <w:uiPriority w:val="99"/>
    <w:rsid w:val="006D39BF"/>
    <w:rPr>
      <w:rFonts w:ascii="Calibri" w:eastAsia="Calibri" w:hAnsi="Calibri" w:cs="Times New Roman"/>
      <w:szCs w:val="21"/>
    </w:rPr>
  </w:style>
  <w:style w:type="paragraph" w:customStyle="1" w:styleId="CM4">
    <w:name w:val="CM4"/>
    <w:basedOn w:val="Normal"/>
    <w:next w:val="Normal"/>
    <w:rsid w:val="006D39BF"/>
    <w:pPr>
      <w:autoSpaceDE w:val="0"/>
      <w:autoSpaceDN w:val="0"/>
      <w:adjustRightInd w:val="0"/>
      <w:snapToGrid w:val="0"/>
    </w:pPr>
    <w:rPr>
      <w:rFonts w:ascii="EUAlbertina" w:eastAsia="Times New Roman" w:hAnsi="EUAlbertina" w:cs="Times New Roman"/>
      <w:sz w:val="24"/>
      <w:szCs w:val="24"/>
      <w:lang w:val="en-GB" w:eastAsia="en-GB"/>
    </w:rPr>
  </w:style>
  <w:style w:type="paragraph" w:customStyle="1" w:styleId="naisf">
    <w:name w:val="naisf"/>
    <w:basedOn w:val="Normal"/>
    <w:rsid w:val="006D39BF"/>
    <w:pPr>
      <w:spacing w:before="75" w:after="75"/>
      <w:ind w:firstLine="375"/>
      <w:jc w:val="both"/>
    </w:pPr>
    <w:rPr>
      <w:rFonts w:eastAsia="Times New Roman" w:cs="Times New Roman"/>
      <w:sz w:val="24"/>
      <w:szCs w:val="24"/>
      <w:lang w:eastAsia="lv-LV"/>
    </w:rPr>
  </w:style>
  <w:style w:type="paragraph" w:styleId="Revision">
    <w:name w:val="Revision"/>
    <w:hidden/>
    <w:uiPriority w:val="99"/>
    <w:semiHidden/>
    <w:rsid w:val="00BA3FA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lv-LV"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List Bullet" w:uiPriority="0"/>
    <w:lsdException w:name="List Bullet 2"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69E3"/>
  </w:style>
  <w:style w:type="paragraph" w:styleId="Heading1">
    <w:name w:val="heading 1"/>
    <w:basedOn w:val="Normal"/>
    <w:link w:val="Heading1Char"/>
    <w:qFormat/>
    <w:rsid w:val="008458C0"/>
    <w:pPr>
      <w:keepNext/>
      <w:jc w:val="both"/>
      <w:outlineLvl w:val="0"/>
    </w:pPr>
    <w:rPr>
      <w:rFonts w:eastAsia="Times New Roman" w:cs="Times New Roman"/>
      <w:b/>
      <w:bCs/>
      <w:kern w:val="36"/>
      <w:szCs w:val="28"/>
      <w:lang w:eastAsia="lv-LV"/>
    </w:rPr>
  </w:style>
  <w:style w:type="paragraph" w:styleId="Heading2">
    <w:name w:val="heading 2"/>
    <w:basedOn w:val="Normal"/>
    <w:next w:val="Normal"/>
    <w:link w:val="Heading2Char"/>
    <w:unhideWhenUsed/>
    <w:qFormat/>
    <w:rsid w:val="00FB556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2A01C7"/>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qFormat/>
    <w:rsid w:val="0063735A"/>
    <w:pPr>
      <w:keepNext/>
      <w:tabs>
        <w:tab w:val="num" w:pos="1080"/>
      </w:tabs>
      <w:spacing w:before="240" w:after="60"/>
      <w:outlineLvl w:val="3"/>
    </w:pPr>
    <w:rPr>
      <w:rFonts w:eastAsia="Times New Roman" w:cs="Times New Roman"/>
      <w:b/>
      <w:bCs/>
      <w:szCs w:val="28"/>
    </w:rPr>
  </w:style>
  <w:style w:type="paragraph" w:styleId="Heading5">
    <w:name w:val="heading 5"/>
    <w:basedOn w:val="Normal"/>
    <w:next w:val="Normal"/>
    <w:link w:val="Heading5Char"/>
    <w:qFormat/>
    <w:rsid w:val="0063735A"/>
    <w:pPr>
      <w:tabs>
        <w:tab w:val="num" w:pos="0"/>
      </w:tabs>
      <w:spacing w:before="240" w:after="60"/>
      <w:outlineLvl w:val="4"/>
    </w:pPr>
    <w:rPr>
      <w:rFonts w:eastAsia="Times New Roman" w:cs="Times New Roman"/>
      <w:b/>
      <w:bCs/>
      <w:i/>
      <w:iCs/>
      <w:sz w:val="26"/>
      <w:szCs w:val="26"/>
    </w:rPr>
  </w:style>
  <w:style w:type="paragraph" w:styleId="Heading6">
    <w:name w:val="heading 6"/>
    <w:basedOn w:val="Normal"/>
    <w:next w:val="Normal"/>
    <w:link w:val="Heading6Char"/>
    <w:qFormat/>
    <w:rsid w:val="0063735A"/>
    <w:pPr>
      <w:tabs>
        <w:tab w:val="num" w:pos="0"/>
      </w:tabs>
      <w:spacing w:before="240" w:after="60"/>
      <w:outlineLvl w:val="5"/>
    </w:pPr>
    <w:rPr>
      <w:rFonts w:eastAsia="Times New Roman" w:cs="Times New Roman"/>
      <w:b/>
      <w:bCs/>
      <w:sz w:val="22"/>
    </w:rPr>
  </w:style>
  <w:style w:type="paragraph" w:styleId="Heading7">
    <w:name w:val="heading 7"/>
    <w:basedOn w:val="Normal"/>
    <w:next w:val="Normal"/>
    <w:link w:val="Heading7Char"/>
    <w:qFormat/>
    <w:rsid w:val="0063735A"/>
    <w:pPr>
      <w:tabs>
        <w:tab w:val="num" w:pos="0"/>
      </w:tabs>
      <w:spacing w:before="240" w:after="60"/>
      <w:outlineLvl w:val="6"/>
    </w:pPr>
    <w:rPr>
      <w:rFonts w:eastAsia="Times New Roman" w:cs="Times New Roman"/>
      <w:sz w:val="24"/>
      <w:szCs w:val="24"/>
    </w:rPr>
  </w:style>
  <w:style w:type="paragraph" w:styleId="Heading8">
    <w:name w:val="heading 8"/>
    <w:basedOn w:val="Normal"/>
    <w:next w:val="Normal"/>
    <w:link w:val="Heading8Char"/>
    <w:qFormat/>
    <w:rsid w:val="0063735A"/>
    <w:pPr>
      <w:tabs>
        <w:tab w:val="num" w:pos="0"/>
      </w:tabs>
      <w:spacing w:before="240" w:after="60"/>
      <w:outlineLvl w:val="7"/>
    </w:pPr>
    <w:rPr>
      <w:rFonts w:eastAsia="Times New Roman" w:cs="Times New Roman"/>
      <w:i/>
      <w:iCs/>
      <w:sz w:val="24"/>
      <w:szCs w:val="24"/>
    </w:rPr>
  </w:style>
  <w:style w:type="paragraph" w:styleId="Heading9">
    <w:name w:val="heading 9"/>
    <w:basedOn w:val="Normal"/>
    <w:next w:val="Normal"/>
    <w:link w:val="Heading9Char"/>
    <w:qFormat/>
    <w:rsid w:val="0063735A"/>
    <w:pPr>
      <w:tabs>
        <w:tab w:val="num" w:pos="0"/>
      </w:tabs>
      <w:spacing w:before="240" w:after="60"/>
      <w:outlineLvl w:val="8"/>
    </w:pPr>
    <w:rPr>
      <w:rFonts w:ascii="Arial" w:eastAsia="Times New Roman" w:hAnsi="Arial"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0336EC"/>
    <w:pPr>
      <w:ind w:left="720"/>
      <w:contextualSpacing/>
    </w:pPr>
  </w:style>
  <w:style w:type="paragraph" w:styleId="Header">
    <w:name w:val="header"/>
    <w:basedOn w:val="Normal"/>
    <w:link w:val="HeaderChar"/>
    <w:uiPriority w:val="99"/>
    <w:unhideWhenUsed/>
    <w:rsid w:val="008F6836"/>
    <w:pPr>
      <w:tabs>
        <w:tab w:val="center" w:pos="4153"/>
        <w:tab w:val="right" w:pos="8306"/>
      </w:tabs>
    </w:pPr>
  </w:style>
  <w:style w:type="character" w:customStyle="1" w:styleId="HeaderChar">
    <w:name w:val="Header Char"/>
    <w:basedOn w:val="DefaultParagraphFont"/>
    <w:link w:val="Header"/>
    <w:uiPriority w:val="99"/>
    <w:rsid w:val="008F6836"/>
  </w:style>
  <w:style w:type="paragraph" w:styleId="Footer">
    <w:name w:val="footer"/>
    <w:basedOn w:val="Normal"/>
    <w:link w:val="FooterChar"/>
    <w:uiPriority w:val="99"/>
    <w:unhideWhenUsed/>
    <w:rsid w:val="008F6836"/>
    <w:pPr>
      <w:tabs>
        <w:tab w:val="center" w:pos="4153"/>
        <w:tab w:val="right" w:pos="8306"/>
      </w:tabs>
    </w:pPr>
  </w:style>
  <w:style w:type="character" w:customStyle="1" w:styleId="FooterChar">
    <w:name w:val="Footer Char"/>
    <w:basedOn w:val="DefaultParagraphFont"/>
    <w:link w:val="Footer"/>
    <w:uiPriority w:val="99"/>
    <w:rsid w:val="008F6836"/>
  </w:style>
  <w:style w:type="character" w:styleId="Strong">
    <w:name w:val="Strong"/>
    <w:basedOn w:val="DefaultParagraphFont"/>
    <w:uiPriority w:val="22"/>
    <w:qFormat/>
    <w:rsid w:val="00B01854"/>
    <w:rPr>
      <w:b/>
      <w:bCs/>
    </w:rPr>
  </w:style>
  <w:style w:type="character" w:styleId="Hyperlink">
    <w:name w:val="Hyperlink"/>
    <w:basedOn w:val="DefaultParagraphFont"/>
    <w:uiPriority w:val="99"/>
    <w:unhideWhenUsed/>
    <w:rsid w:val="00CC5F9D"/>
    <w:rPr>
      <w:color w:val="0000FF"/>
      <w:u w:val="single"/>
    </w:rPr>
  </w:style>
  <w:style w:type="character" w:customStyle="1" w:styleId="st">
    <w:name w:val="st"/>
    <w:basedOn w:val="DefaultParagraphFont"/>
    <w:rsid w:val="00EA4B65"/>
  </w:style>
  <w:style w:type="character" w:customStyle="1" w:styleId="Heading1Char">
    <w:name w:val="Heading 1 Char"/>
    <w:basedOn w:val="DefaultParagraphFont"/>
    <w:link w:val="Heading1"/>
    <w:rsid w:val="008458C0"/>
    <w:rPr>
      <w:rFonts w:eastAsia="Times New Roman" w:cs="Times New Roman"/>
      <w:b/>
      <w:bCs/>
      <w:kern w:val="36"/>
      <w:szCs w:val="28"/>
      <w:lang w:eastAsia="lv-LV"/>
    </w:rPr>
  </w:style>
  <w:style w:type="paragraph" w:styleId="BodyText">
    <w:name w:val="Body Text"/>
    <w:aliases w:val=" Rakstz."/>
    <w:basedOn w:val="Normal"/>
    <w:link w:val="BodyTextChar"/>
    <w:rsid w:val="00E46721"/>
    <w:pPr>
      <w:spacing w:after="120"/>
    </w:pPr>
    <w:rPr>
      <w:rFonts w:eastAsia="Times New Roman" w:cs="Times New Roman"/>
      <w:sz w:val="24"/>
      <w:szCs w:val="24"/>
    </w:rPr>
  </w:style>
  <w:style w:type="character" w:customStyle="1" w:styleId="BodyTextChar">
    <w:name w:val="Body Text Char"/>
    <w:aliases w:val=" Rakstz. Char"/>
    <w:basedOn w:val="DefaultParagraphFont"/>
    <w:link w:val="BodyText"/>
    <w:rsid w:val="00E46721"/>
    <w:rPr>
      <w:rFonts w:eastAsia="Times New Roman" w:cs="Times New Roman"/>
      <w:sz w:val="24"/>
      <w:szCs w:val="24"/>
    </w:rPr>
  </w:style>
  <w:style w:type="paragraph" w:styleId="FootnoteText">
    <w:name w:val="footnote text"/>
    <w:aliases w:val="Footnote,Fußnote,Schriftart: 9 pt,Schriftart: 10 pt,Schriftart: 8 pt,WB-Fußnotentext,WB-Fußnotentext Char Char,WB-Fußnotentext Char,stile 1,Footnote1,Footnote2,Footnote3,Footnote4,Footnote5,Footnote6,Footnote7,Footnote8,Footnote9,fn,FT"/>
    <w:basedOn w:val="Normal"/>
    <w:link w:val="FootnoteTextChar"/>
    <w:autoRedefine/>
    <w:uiPriority w:val="99"/>
    <w:rsid w:val="00EC0D87"/>
    <w:pPr>
      <w:jc w:val="both"/>
    </w:pPr>
    <w:rPr>
      <w:rFonts w:ascii="Arial" w:eastAsia="Times New Roman" w:hAnsi="Arial" w:cs="Times New Roman"/>
      <w:position w:val="6"/>
      <w:sz w:val="20"/>
      <w:szCs w:val="20"/>
    </w:rPr>
  </w:style>
  <w:style w:type="character" w:customStyle="1" w:styleId="FootnoteTextChar">
    <w:name w:val="Footnote Text Char"/>
    <w:aliases w:val="Footnote Char,Fußnote Char,Schriftart: 9 pt Char,Schriftart: 10 pt Char,Schriftart: 8 pt Char,WB-Fußnotentext Char1,WB-Fußnotentext Char Char Char,WB-Fußnotentext Char Char1,stile 1 Char,Footnote1 Char,Footnote2 Char,Footnote3 Char"/>
    <w:basedOn w:val="DefaultParagraphFont"/>
    <w:link w:val="FootnoteText"/>
    <w:uiPriority w:val="99"/>
    <w:rsid w:val="00EC0D87"/>
    <w:rPr>
      <w:rFonts w:ascii="Arial" w:eastAsia="Times New Roman" w:hAnsi="Arial" w:cs="Times New Roman"/>
      <w:position w:val="6"/>
      <w:sz w:val="20"/>
      <w:szCs w:val="20"/>
    </w:rPr>
  </w:style>
  <w:style w:type="character" w:styleId="FootnoteReference">
    <w:name w:val="footnote reference"/>
    <w:aliases w:val="Footnote Reference Number,SUPERS,Footnote Reference Superscript,Footnote symbol,fr,Stinking Styles22,BVI fnr,(Footnote Reference),Footnote reference number,note TESI,EN Footnote Reference,Voetnootverwijzing,Times 10 Point,No"/>
    <w:uiPriority w:val="99"/>
    <w:rsid w:val="00E46721"/>
    <w:rPr>
      <w:rFonts w:ascii="Times New Roman" w:hAnsi="Times New Roman"/>
      <w:color w:val="000000"/>
      <w:position w:val="6"/>
      <w:sz w:val="16"/>
      <w:szCs w:val="16"/>
      <w:vertAlign w:val="superscript"/>
      <w:lang w:val="lv-LV"/>
    </w:rPr>
  </w:style>
  <w:style w:type="paragraph" w:styleId="BalloonText">
    <w:name w:val="Balloon Text"/>
    <w:basedOn w:val="Normal"/>
    <w:link w:val="BalloonTextChar"/>
    <w:uiPriority w:val="99"/>
    <w:semiHidden/>
    <w:unhideWhenUsed/>
    <w:rsid w:val="00E46721"/>
    <w:rPr>
      <w:rFonts w:ascii="Tahoma" w:hAnsi="Tahoma" w:cs="Tahoma"/>
      <w:sz w:val="16"/>
      <w:szCs w:val="16"/>
    </w:rPr>
  </w:style>
  <w:style w:type="character" w:customStyle="1" w:styleId="BalloonTextChar">
    <w:name w:val="Balloon Text Char"/>
    <w:basedOn w:val="DefaultParagraphFont"/>
    <w:link w:val="BalloonText"/>
    <w:uiPriority w:val="99"/>
    <w:semiHidden/>
    <w:rsid w:val="00E46721"/>
    <w:rPr>
      <w:rFonts w:ascii="Tahoma" w:hAnsi="Tahoma" w:cs="Tahoma"/>
      <w:sz w:val="16"/>
      <w:szCs w:val="16"/>
    </w:rPr>
  </w:style>
  <w:style w:type="character" w:customStyle="1" w:styleId="ListParagraphChar">
    <w:name w:val="List Paragraph Char"/>
    <w:link w:val="ListParagraph"/>
    <w:uiPriority w:val="34"/>
    <w:locked/>
    <w:rsid w:val="002200C9"/>
  </w:style>
  <w:style w:type="character" w:styleId="CommentReference">
    <w:name w:val="annotation reference"/>
    <w:basedOn w:val="DefaultParagraphFont"/>
    <w:uiPriority w:val="99"/>
    <w:semiHidden/>
    <w:unhideWhenUsed/>
    <w:rsid w:val="00FB5563"/>
    <w:rPr>
      <w:sz w:val="16"/>
      <w:szCs w:val="16"/>
    </w:rPr>
  </w:style>
  <w:style w:type="paragraph" w:styleId="CommentText">
    <w:name w:val="annotation text"/>
    <w:basedOn w:val="Normal"/>
    <w:link w:val="CommentTextChar"/>
    <w:uiPriority w:val="99"/>
    <w:unhideWhenUsed/>
    <w:rsid w:val="00FB5563"/>
    <w:rPr>
      <w:sz w:val="20"/>
      <w:szCs w:val="20"/>
    </w:rPr>
  </w:style>
  <w:style w:type="character" w:customStyle="1" w:styleId="CommentTextChar">
    <w:name w:val="Comment Text Char"/>
    <w:basedOn w:val="DefaultParagraphFont"/>
    <w:link w:val="CommentText"/>
    <w:uiPriority w:val="99"/>
    <w:rsid w:val="00FB5563"/>
    <w:rPr>
      <w:sz w:val="20"/>
      <w:szCs w:val="20"/>
    </w:rPr>
  </w:style>
  <w:style w:type="paragraph" w:styleId="CommentSubject">
    <w:name w:val="annotation subject"/>
    <w:basedOn w:val="CommentText"/>
    <w:next w:val="CommentText"/>
    <w:link w:val="CommentSubjectChar"/>
    <w:uiPriority w:val="99"/>
    <w:semiHidden/>
    <w:unhideWhenUsed/>
    <w:rsid w:val="00FB5563"/>
    <w:rPr>
      <w:b/>
      <w:bCs/>
    </w:rPr>
  </w:style>
  <w:style w:type="character" w:customStyle="1" w:styleId="CommentSubjectChar">
    <w:name w:val="Comment Subject Char"/>
    <w:basedOn w:val="CommentTextChar"/>
    <w:link w:val="CommentSubject"/>
    <w:uiPriority w:val="99"/>
    <w:semiHidden/>
    <w:rsid w:val="00FB5563"/>
    <w:rPr>
      <w:b/>
      <w:bCs/>
      <w:sz w:val="20"/>
      <w:szCs w:val="20"/>
    </w:rPr>
  </w:style>
  <w:style w:type="character" w:customStyle="1" w:styleId="Heading2Char">
    <w:name w:val="Heading 2 Char"/>
    <w:basedOn w:val="DefaultParagraphFont"/>
    <w:link w:val="Heading2"/>
    <w:rsid w:val="00FB5563"/>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2A01C7"/>
    <w:rPr>
      <w:rFonts w:asciiTheme="majorHAnsi" w:eastAsiaTheme="majorEastAsia" w:hAnsiTheme="majorHAnsi" w:cstheme="majorBidi"/>
      <w:b/>
      <w:bCs/>
      <w:color w:val="4F81BD" w:themeColor="accent1"/>
    </w:rPr>
  </w:style>
  <w:style w:type="paragraph" w:styleId="TOCHeading">
    <w:name w:val="TOC Heading"/>
    <w:basedOn w:val="Heading1"/>
    <w:next w:val="Normal"/>
    <w:uiPriority w:val="39"/>
    <w:semiHidden/>
    <w:unhideWhenUsed/>
    <w:qFormat/>
    <w:rsid w:val="00B25A9B"/>
    <w:pPr>
      <w:keepLines/>
      <w:spacing w:before="480" w:line="276" w:lineRule="auto"/>
      <w:jc w:val="left"/>
      <w:outlineLvl w:val="9"/>
    </w:pPr>
    <w:rPr>
      <w:rFonts w:asciiTheme="majorHAnsi" w:eastAsiaTheme="majorEastAsia" w:hAnsiTheme="majorHAnsi" w:cstheme="majorBidi"/>
      <w:color w:val="365F91" w:themeColor="accent1" w:themeShade="BF"/>
      <w:kern w:val="0"/>
      <w:lang w:val="en-US" w:eastAsia="ja-JP"/>
    </w:rPr>
  </w:style>
  <w:style w:type="paragraph" w:styleId="TOC1">
    <w:name w:val="toc 1"/>
    <w:basedOn w:val="Normal"/>
    <w:next w:val="Normal"/>
    <w:autoRedefine/>
    <w:uiPriority w:val="39"/>
    <w:unhideWhenUsed/>
    <w:rsid w:val="00B25A9B"/>
    <w:pPr>
      <w:spacing w:after="100"/>
    </w:pPr>
  </w:style>
  <w:style w:type="paragraph" w:styleId="TOC2">
    <w:name w:val="toc 2"/>
    <w:basedOn w:val="Normal"/>
    <w:next w:val="Normal"/>
    <w:autoRedefine/>
    <w:uiPriority w:val="39"/>
    <w:unhideWhenUsed/>
    <w:rsid w:val="00B25A9B"/>
    <w:pPr>
      <w:spacing w:after="100"/>
      <w:ind w:left="280"/>
    </w:pPr>
  </w:style>
  <w:style w:type="paragraph" w:styleId="TOC3">
    <w:name w:val="toc 3"/>
    <w:basedOn w:val="Normal"/>
    <w:next w:val="Normal"/>
    <w:autoRedefine/>
    <w:uiPriority w:val="39"/>
    <w:unhideWhenUsed/>
    <w:rsid w:val="00B25A9B"/>
    <w:pPr>
      <w:spacing w:after="100"/>
      <w:ind w:left="560"/>
    </w:pPr>
  </w:style>
  <w:style w:type="character" w:customStyle="1" w:styleId="Heading4Char">
    <w:name w:val="Heading 4 Char"/>
    <w:basedOn w:val="DefaultParagraphFont"/>
    <w:link w:val="Heading4"/>
    <w:rsid w:val="0063735A"/>
    <w:rPr>
      <w:rFonts w:eastAsia="Times New Roman" w:cs="Times New Roman"/>
      <w:b/>
      <w:bCs/>
      <w:szCs w:val="28"/>
    </w:rPr>
  </w:style>
  <w:style w:type="character" w:customStyle="1" w:styleId="Heading5Char">
    <w:name w:val="Heading 5 Char"/>
    <w:basedOn w:val="DefaultParagraphFont"/>
    <w:link w:val="Heading5"/>
    <w:rsid w:val="0063735A"/>
    <w:rPr>
      <w:rFonts w:eastAsia="Times New Roman" w:cs="Times New Roman"/>
      <w:b/>
      <w:bCs/>
      <w:i/>
      <w:iCs/>
      <w:sz w:val="26"/>
      <w:szCs w:val="26"/>
    </w:rPr>
  </w:style>
  <w:style w:type="character" w:customStyle="1" w:styleId="Heading6Char">
    <w:name w:val="Heading 6 Char"/>
    <w:basedOn w:val="DefaultParagraphFont"/>
    <w:link w:val="Heading6"/>
    <w:rsid w:val="0063735A"/>
    <w:rPr>
      <w:rFonts w:eastAsia="Times New Roman" w:cs="Times New Roman"/>
      <w:b/>
      <w:bCs/>
      <w:sz w:val="22"/>
    </w:rPr>
  </w:style>
  <w:style w:type="character" w:customStyle="1" w:styleId="Heading7Char">
    <w:name w:val="Heading 7 Char"/>
    <w:basedOn w:val="DefaultParagraphFont"/>
    <w:link w:val="Heading7"/>
    <w:rsid w:val="0063735A"/>
    <w:rPr>
      <w:rFonts w:eastAsia="Times New Roman" w:cs="Times New Roman"/>
      <w:sz w:val="24"/>
      <w:szCs w:val="24"/>
    </w:rPr>
  </w:style>
  <w:style w:type="character" w:customStyle="1" w:styleId="Heading8Char">
    <w:name w:val="Heading 8 Char"/>
    <w:basedOn w:val="DefaultParagraphFont"/>
    <w:link w:val="Heading8"/>
    <w:rsid w:val="0063735A"/>
    <w:rPr>
      <w:rFonts w:eastAsia="Times New Roman" w:cs="Times New Roman"/>
      <w:i/>
      <w:iCs/>
      <w:sz w:val="24"/>
      <w:szCs w:val="24"/>
    </w:rPr>
  </w:style>
  <w:style w:type="character" w:customStyle="1" w:styleId="Heading9Char">
    <w:name w:val="Heading 9 Char"/>
    <w:basedOn w:val="DefaultParagraphFont"/>
    <w:link w:val="Heading9"/>
    <w:rsid w:val="0063735A"/>
    <w:rPr>
      <w:rFonts w:ascii="Arial" w:eastAsia="Times New Roman" w:hAnsi="Arial" w:cs="Arial"/>
      <w:sz w:val="22"/>
    </w:rPr>
  </w:style>
  <w:style w:type="paragraph" w:styleId="NormalWeb">
    <w:name w:val="Normal (Web)"/>
    <w:basedOn w:val="Normal"/>
    <w:uiPriority w:val="99"/>
    <w:unhideWhenUsed/>
    <w:rsid w:val="0063735A"/>
    <w:pPr>
      <w:spacing w:before="100" w:beforeAutospacing="1" w:after="100" w:afterAutospacing="1"/>
    </w:pPr>
    <w:rPr>
      <w:rFonts w:eastAsia="Times New Roman" w:cs="Times New Roman"/>
      <w:sz w:val="24"/>
      <w:szCs w:val="24"/>
      <w:lang w:eastAsia="lv-LV"/>
    </w:rPr>
  </w:style>
  <w:style w:type="table" w:styleId="TableGrid">
    <w:name w:val="Table Grid"/>
    <w:basedOn w:val="TableNormal"/>
    <w:rsid w:val="006373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autoRedefine/>
    <w:rsid w:val="0063735A"/>
    <w:pPr>
      <w:numPr>
        <w:ilvl w:val="3"/>
        <w:numId w:val="2"/>
      </w:numPr>
      <w:tabs>
        <w:tab w:val="clear" w:pos="2880"/>
        <w:tab w:val="num" w:pos="900"/>
      </w:tabs>
      <w:spacing w:before="100" w:beforeAutospacing="1" w:after="100" w:afterAutospacing="1"/>
      <w:ind w:left="900"/>
      <w:jc w:val="both"/>
    </w:pPr>
    <w:rPr>
      <w:rFonts w:eastAsia="Times New Roman" w:cs="Times New Roman"/>
      <w:szCs w:val="28"/>
    </w:rPr>
  </w:style>
  <w:style w:type="paragraph" w:customStyle="1" w:styleId="nosaukumsatt">
    <w:name w:val="nosaukums att."/>
    <w:basedOn w:val="Normal"/>
    <w:rsid w:val="0063735A"/>
    <w:pPr>
      <w:spacing w:before="100" w:beforeAutospacing="1" w:after="100" w:afterAutospacing="1"/>
      <w:jc w:val="center"/>
    </w:pPr>
    <w:rPr>
      <w:rFonts w:ascii="Arial" w:eastAsia="Times New Roman" w:hAnsi="Arial" w:cs="Arial"/>
      <w:b/>
      <w:sz w:val="20"/>
      <w:szCs w:val="20"/>
    </w:rPr>
  </w:style>
  <w:style w:type="paragraph" w:customStyle="1" w:styleId="Default">
    <w:name w:val="Default"/>
    <w:rsid w:val="0063735A"/>
    <w:pPr>
      <w:autoSpaceDE w:val="0"/>
      <w:autoSpaceDN w:val="0"/>
      <w:adjustRightInd w:val="0"/>
    </w:pPr>
    <w:rPr>
      <w:rFonts w:ascii="Arial" w:hAnsi="Arial" w:cs="Arial"/>
      <w:color w:val="000000"/>
      <w:sz w:val="24"/>
      <w:szCs w:val="24"/>
    </w:rPr>
  </w:style>
  <w:style w:type="paragraph" w:styleId="ListBullet2">
    <w:name w:val="List Bullet 2"/>
    <w:basedOn w:val="Normal"/>
    <w:rsid w:val="0063735A"/>
    <w:pPr>
      <w:numPr>
        <w:numId w:val="3"/>
      </w:numPr>
      <w:tabs>
        <w:tab w:val="num" w:pos="1080"/>
      </w:tabs>
      <w:ind w:left="1080" w:hanging="540"/>
    </w:pPr>
    <w:rPr>
      <w:rFonts w:eastAsia="Times New Roman" w:cs="Times New Roman"/>
      <w:noProof/>
      <w:szCs w:val="28"/>
    </w:rPr>
  </w:style>
  <w:style w:type="paragraph" w:styleId="Caption">
    <w:name w:val="caption"/>
    <w:basedOn w:val="Normal"/>
    <w:next w:val="Normal"/>
    <w:uiPriority w:val="35"/>
    <w:unhideWhenUsed/>
    <w:qFormat/>
    <w:rsid w:val="0063735A"/>
    <w:pPr>
      <w:spacing w:before="240" w:after="120"/>
    </w:pPr>
    <w:rPr>
      <w:rFonts w:eastAsia="Times New Roman" w:cs="Times New Roman"/>
      <w:b/>
      <w:bCs/>
      <w:sz w:val="20"/>
      <w:szCs w:val="20"/>
    </w:rPr>
  </w:style>
  <w:style w:type="character" w:styleId="Emphasis">
    <w:name w:val="Emphasis"/>
    <w:uiPriority w:val="20"/>
    <w:qFormat/>
    <w:rsid w:val="0063735A"/>
    <w:rPr>
      <w:i/>
      <w:iCs/>
    </w:rPr>
  </w:style>
  <w:style w:type="table" w:customStyle="1" w:styleId="TableGrid1">
    <w:name w:val="Table Grid1"/>
    <w:basedOn w:val="TableNormal"/>
    <w:next w:val="TableGrid"/>
    <w:uiPriority w:val="59"/>
    <w:rsid w:val="007E7903"/>
    <w:rPr>
      <w:rFonts w:asciiTheme="minorHAnsi" w:hAnsiTheme="minorHAnsi"/>
      <w:sz w:val="22"/>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1">
    <w:name w:val="Table Grid11"/>
    <w:basedOn w:val="TableNormal"/>
    <w:next w:val="TableGrid"/>
    <w:uiPriority w:val="59"/>
    <w:rsid w:val="007E7903"/>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
    <w:name w:val="List"/>
    <w:basedOn w:val="Normal"/>
    <w:rsid w:val="00C56851"/>
    <w:pPr>
      <w:ind w:left="283" w:hanging="283"/>
    </w:pPr>
    <w:rPr>
      <w:rFonts w:eastAsia="Times New Roman" w:cs="Times New Roman"/>
      <w:sz w:val="24"/>
      <w:szCs w:val="24"/>
      <w:lang w:val="en-GB"/>
    </w:rPr>
  </w:style>
  <w:style w:type="paragraph" w:styleId="BodyTextIndent3">
    <w:name w:val="Body Text Indent 3"/>
    <w:basedOn w:val="Normal"/>
    <w:link w:val="BodyTextIndent3Char"/>
    <w:uiPriority w:val="99"/>
    <w:semiHidden/>
    <w:unhideWhenUsed/>
    <w:rsid w:val="008A7573"/>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8A7573"/>
    <w:rPr>
      <w:sz w:val="16"/>
      <w:szCs w:val="16"/>
    </w:rPr>
  </w:style>
  <w:style w:type="character" w:styleId="FollowedHyperlink">
    <w:name w:val="FollowedHyperlink"/>
    <w:aliases w:val="Footnote Text Char2,Footnote Text Char1 Char,Footnote Text Char Char Char,Footnote Text Char1 Char Char Char,Footnote Text Char Char Char Char Char,Vēres teksts Rakstz.1 Char Char Char Char Char"/>
    <w:semiHidden/>
    <w:unhideWhenUsed/>
    <w:rsid w:val="00CC4EFF"/>
    <w:rPr>
      <w:rFonts w:eastAsia="Times New Roman" w:cs="Times New Roman"/>
      <w:sz w:val="20"/>
      <w:szCs w:val="20"/>
    </w:rPr>
  </w:style>
  <w:style w:type="paragraph" w:styleId="PlainText">
    <w:name w:val="Plain Text"/>
    <w:basedOn w:val="Normal"/>
    <w:link w:val="PlainTextChar"/>
    <w:uiPriority w:val="99"/>
    <w:unhideWhenUsed/>
    <w:rsid w:val="006D39BF"/>
    <w:pPr>
      <w:spacing w:before="120"/>
      <w:ind w:firstLine="720"/>
      <w:jc w:val="both"/>
    </w:pPr>
    <w:rPr>
      <w:rFonts w:ascii="Calibri" w:eastAsia="Calibri" w:hAnsi="Calibri" w:cs="Times New Roman"/>
      <w:szCs w:val="21"/>
    </w:rPr>
  </w:style>
  <w:style w:type="character" w:customStyle="1" w:styleId="PlainTextChar">
    <w:name w:val="Plain Text Char"/>
    <w:basedOn w:val="DefaultParagraphFont"/>
    <w:link w:val="PlainText"/>
    <w:uiPriority w:val="99"/>
    <w:rsid w:val="006D39BF"/>
    <w:rPr>
      <w:rFonts w:ascii="Calibri" w:eastAsia="Calibri" w:hAnsi="Calibri" w:cs="Times New Roman"/>
      <w:szCs w:val="21"/>
    </w:rPr>
  </w:style>
  <w:style w:type="paragraph" w:customStyle="1" w:styleId="CM4">
    <w:name w:val="CM4"/>
    <w:basedOn w:val="Normal"/>
    <w:next w:val="Normal"/>
    <w:rsid w:val="006D39BF"/>
    <w:pPr>
      <w:autoSpaceDE w:val="0"/>
      <w:autoSpaceDN w:val="0"/>
      <w:adjustRightInd w:val="0"/>
      <w:snapToGrid w:val="0"/>
    </w:pPr>
    <w:rPr>
      <w:rFonts w:ascii="EUAlbertina" w:eastAsia="Times New Roman" w:hAnsi="EUAlbertina" w:cs="Times New Roman"/>
      <w:sz w:val="24"/>
      <w:szCs w:val="24"/>
      <w:lang w:val="en-GB" w:eastAsia="en-GB"/>
    </w:rPr>
  </w:style>
  <w:style w:type="paragraph" w:customStyle="1" w:styleId="naisf">
    <w:name w:val="naisf"/>
    <w:basedOn w:val="Normal"/>
    <w:rsid w:val="006D39BF"/>
    <w:pPr>
      <w:spacing w:before="75" w:after="75"/>
      <w:ind w:firstLine="375"/>
      <w:jc w:val="both"/>
    </w:pPr>
    <w:rPr>
      <w:rFonts w:eastAsia="Times New Roman" w:cs="Times New Roman"/>
      <w:sz w:val="24"/>
      <w:szCs w:val="24"/>
      <w:lang w:eastAsia="lv-LV"/>
    </w:rPr>
  </w:style>
  <w:style w:type="paragraph" w:styleId="Revision">
    <w:name w:val="Revision"/>
    <w:hidden/>
    <w:uiPriority w:val="99"/>
    <w:semiHidden/>
    <w:rsid w:val="00BA3F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193648">
      <w:bodyDiv w:val="1"/>
      <w:marLeft w:val="0"/>
      <w:marRight w:val="0"/>
      <w:marTop w:val="0"/>
      <w:marBottom w:val="0"/>
      <w:divBdr>
        <w:top w:val="none" w:sz="0" w:space="0" w:color="auto"/>
        <w:left w:val="none" w:sz="0" w:space="0" w:color="auto"/>
        <w:bottom w:val="none" w:sz="0" w:space="0" w:color="auto"/>
        <w:right w:val="none" w:sz="0" w:space="0" w:color="auto"/>
      </w:divBdr>
    </w:div>
    <w:div w:id="206650915">
      <w:bodyDiv w:val="1"/>
      <w:marLeft w:val="0"/>
      <w:marRight w:val="0"/>
      <w:marTop w:val="0"/>
      <w:marBottom w:val="0"/>
      <w:divBdr>
        <w:top w:val="none" w:sz="0" w:space="0" w:color="auto"/>
        <w:left w:val="none" w:sz="0" w:space="0" w:color="auto"/>
        <w:bottom w:val="none" w:sz="0" w:space="0" w:color="auto"/>
        <w:right w:val="none" w:sz="0" w:space="0" w:color="auto"/>
      </w:divBdr>
    </w:div>
    <w:div w:id="313532414">
      <w:bodyDiv w:val="1"/>
      <w:marLeft w:val="0"/>
      <w:marRight w:val="0"/>
      <w:marTop w:val="0"/>
      <w:marBottom w:val="0"/>
      <w:divBdr>
        <w:top w:val="none" w:sz="0" w:space="0" w:color="auto"/>
        <w:left w:val="none" w:sz="0" w:space="0" w:color="auto"/>
        <w:bottom w:val="none" w:sz="0" w:space="0" w:color="auto"/>
        <w:right w:val="none" w:sz="0" w:space="0" w:color="auto"/>
      </w:divBdr>
    </w:div>
    <w:div w:id="341782394">
      <w:bodyDiv w:val="1"/>
      <w:marLeft w:val="0"/>
      <w:marRight w:val="0"/>
      <w:marTop w:val="0"/>
      <w:marBottom w:val="0"/>
      <w:divBdr>
        <w:top w:val="none" w:sz="0" w:space="0" w:color="auto"/>
        <w:left w:val="none" w:sz="0" w:space="0" w:color="auto"/>
        <w:bottom w:val="none" w:sz="0" w:space="0" w:color="auto"/>
        <w:right w:val="none" w:sz="0" w:space="0" w:color="auto"/>
      </w:divBdr>
    </w:div>
    <w:div w:id="440028111">
      <w:bodyDiv w:val="1"/>
      <w:marLeft w:val="0"/>
      <w:marRight w:val="0"/>
      <w:marTop w:val="0"/>
      <w:marBottom w:val="0"/>
      <w:divBdr>
        <w:top w:val="none" w:sz="0" w:space="0" w:color="auto"/>
        <w:left w:val="none" w:sz="0" w:space="0" w:color="auto"/>
        <w:bottom w:val="none" w:sz="0" w:space="0" w:color="auto"/>
        <w:right w:val="none" w:sz="0" w:space="0" w:color="auto"/>
      </w:divBdr>
      <w:divsChild>
        <w:div w:id="212810692">
          <w:marLeft w:val="0"/>
          <w:marRight w:val="0"/>
          <w:marTop w:val="0"/>
          <w:marBottom w:val="0"/>
          <w:divBdr>
            <w:top w:val="none" w:sz="0" w:space="0" w:color="auto"/>
            <w:left w:val="none" w:sz="0" w:space="0" w:color="auto"/>
            <w:bottom w:val="none" w:sz="0" w:space="0" w:color="auto"/>
            <w:right w:val="none" w:sz="0" w:space="0" w:color="auto"/>
          </w:divBdr>
        </w:div>
        <w:div w:id="1796213438">
          <w:marLeft w:val="0"/>
          <w:marRight w:val="0"/>
          <w:marTop w:val="0"/>
          <w:marBottom w:val="0"/>
          <w:divBdr>
            <w:top w:val="none" w:sz="0" w:space="0" w:color="auto"/>
            <w:left w:val="none" w:sz="0" w:space="0" w:color="auto"/>
            <w:bottom w:val="none" w:sz="0" w:space="0" w:color="auto"/>
            <w:right w:val="none" w:sz="0" w:space="0" w:color="auto"/>
          </w:divBdr>
        </w:div>
        <w:div w:id="777138515">
          <w:marLeft w:val="0"/>
          <w:marRight w:val="0"/>
          <w:marTop w:val="0"/>
          <w:marBottom w:val="0"/>
          <w:divBdr>
            <w:top w:val="none" w:sz="0" w:space="0" w:color="auto"/>
            <w:left w:val="none" w:sz="0" w:space="0" w:color="auto"/>
            <w:bottom w:val="none" w:sz="0" w:space="0" w:color="auto"/>
            <w:right w:val="none" w:sz="0" w:space="0" w:color="auto"/>
          </w:divBdr>
        </w:div>
        <w:div w:id="1288003592">
          <w:marLeft w:val="0"/>
          <w:marRight w:val="0"/>
          <w:marTop w:val="0"/>
          <w:marBottom w:val="0"/>
          <w:divBdr>
            <w:top w:val="none" w:sz="0" w:space="0" w:color="auto"/>
            <w:left w:val="none" w:sz="0" w:space="0" w:color="auto"/>
            <w:bottom w:val="none" w:sz="0" w:space="0" w:color="auto"/>
            <w:right w:val="none" w:sz="0" w:space="0" w:color="auto"/>
          </w:divBdr>
        </w:div>
        <w:div w:id="615211926">
          <w:marLeft w:val="0"/>
          <w:marRight w:val="0"/>
          <w:marTop w:val="0"/>
          <w:marBottom w:val="0"/>
          <w:divBdr>
            <w:top w:val="none" w:sz="0" w:space="0" w:color="auto"/>
            <w:left w:val="none" w:sz="0" w:space="0" w:color="auto"/>
            <w:bottom w:val="none" w:sz="0" w:space="0" w:color="auto"/>
            <w:right w:val="none" w:sz="0" w:space="0" w:color="auto"/>
          </w:divBdr>
        </w:div>
        <w:div w:id="603804719">
          <w:marLeft w:val="0"/>
          <w:marRight w:val="0"/>
          <w:marTop w:val="0"/>
          <w:marBottom w:val="0"/>
          <w:divBdr>
            <w:top w:val="none" w:sz="0" w:space="0" w:color="auto"/>
            <w:left w:val="none" w:sz="0" w:space="0" w:color="auto"/>
            <w:bottom w:val="none" w:sz="0" w:space="0" w:color="auto"/>
            <w:right w:val="none" w:sz="0" w:space="0" w:color="auto"/>
          </w:divBdr>
        </w:div>
        <w:div w:id="931398636">
          <w:marLeft w:val="0"/>
          <w:marRight w:val="0"/>
          <w:marTop w:val="0"/>
          <w:marBottom w:val="0"/>
          <w:divBdr>
            <w:top w:val="none" w:sz="0" w:space="0" w:color="auto"/>
            <w:left w:val="none" w:sz="0" w:space="0" w:color="auto"/>
            <w:bottom w:val="none" w:sz="0" w:space="0" w:color="auto"/>
            <w:right w:val="none" w:sz="0" w:space="0" w:color="auto"/>
          </w:divBdr>
        </w:div>
        <w:div w:id="1894194769">
          <w:marLeft w:val="0"/>
          <w:marRight w:val="0"/>
          <w:marTop w:val="0"/>
          <w:marBottom w:val="0"/>
          <w:divBdr>
            <w:top w:val="none" w:sz="0" w:space="0" w:color="auto"/>
            <w:left w:val="none" w:sz="0" w:space="0" w:color="auto"/>
            <w:bottom w:val="none" w:sz="0" w:space="0" w:color="auto"/>
            <w:right w:val="none" w:sz="0" w:space="0" w:color="auto"/>
          </w:divBdr>
        </w:div>
        <w:div w:id="407116674">
          <w:marLeft w:val="0"/>
          <w:marRight w:val="0"/>
          <w:marTop w:val="0"/>
          <w:marBottom w:val="0"/>
          <w:divBdr>
            <w:top w:val="none" w:sz="0" w:space="0" w:color="auto"/>
            <w:left w:val="none" w:sz="0" w:space="0" w:color="auto"/>
            <w:bottom w:val="none" w:sz="0" w:space="0" w:color="auto"/>
            <w:right w:val="none" w:sz="0" w:space="0" w:color="auto"/>
          </w:divBdr>
        </w:div>
        <w:div w:id="1380932343">
          <w:marLeft w:val="0"/>
          <w:marRight w:val="0"/>
          <w:marTop w:val="0"/>
          <w:marBottom w:val="0"/>
          <w:divBdr>
            <w:top w:val="none" w:sz="0" w:space="0" w:color="auto"/>
            <w:left w:val="none" w:sz="0" w:space="0" w:color="auto"/>
            <w:bottom w:val="none" w:sz="0" w:space="0" w:color="auto"/>
            <w:right w:val="none" w:sz="0" w:space="0" w:color="auto"/>
          </w:divBdr>
        </w:div>
        <w:div w:id="1285579003">
          <w:marLeft w:val="0"/>
          <w:marRight w:val="0"/>
          <w:marTop w:val="0"/>
          <w:marBottom w:val="0"/>
          <w:divBdr>
            <w:top w:val="none" w:sz="0" w:space="0" w:color="auto"/>
            <w:left w:val="none" w:sz="0" w:space="0" w:color="auto"/>
            <w:bottom w:val="none" w:sz="0" w:space="0" w:color="auto"/>
            <w:right w:val="none" w:sz="0" w:space="0" w:color="auto"/>
          </w:divBdr>
        </w:div>
        <w:div w:id="355812860">
          <w:marLeft w:val="0"/>
          <w:marRight w:val="0"/>
          <w:marTop w:val="0"/>
          <w:marBottom w:val="0"/>
          <w:divBdr>
            <w:top w:val="none" w:sz="0" w:space="0" w:color="auto"/>
            <w:left w:val="none" w:sz="0" w:space="0" w:color="auto"/>
            <w:bottom w:val="none" w:sz="0" w:space="0" w:color="auto"/>
            <w:right w:val="none" w:sz="0" w:space="0" w:color="auto"/>
          </w:divBdr>
        </w:div>
        <w:div w:id="1807161683">
          <w:marLeft w:val="0"/>
          <w:marRight w:val="0"/>
          <w:marTop w:val="0"/>
          <w:marBottom w:val="0"/>
          <w:divBdr>
            <w:top w:val="none" w:sz="0" w:space="0" w:color="auto"/>
            <w:left w:val="none" w:sz="0" w:space="0" w:color="auto"/>
            <w:bottom w:val="none" w:sz="0" w:space="0" w:color="auto"/>
            <w:right w:val="none" w:sz="0" w:space="0" w:color="auto"/>
          </w:divBdr>
        </w:div>
        <w:div w:id="197280068">
          <w:marLeft w:val="0"/>
          <w:marRight w:val="0"/>
          <w:marTop w:val="0"/>
          <w:marBottom w:val="0"/>
          <w:divBdr>
            <w:top w:val="none" w:sz="0" w:space="0" w:color="auto"/>
            <w:left w:val="none" w:sz="0" w:space="0" w:color="auto"/>
            <w:bottom w:val="none" w:sz="0" w:space="0" w:color="auto"/>
            <w:right w:val="none" w:sz="0" w:space="0" w:color="auto"/>
          </w:divBdr>
        </w:div>
        <w:div w:id="1621841495">
          <w:marLeft w:val="0"/>
          <w:marRight w:val="0"/>
          <w:marTop w:val="0"/>
          <w:marBottom w:val="0"/>
          <w:divBdr>
            <w:top w:val="none" w:sz="0" w:space="0" w:color="auto"/>
            <w:left w:val="none" w:sz="0" w:space="0" w:color="auto"/>
            <w:bottom w:val="none" w:sz="0" w:space="0" w:color="auto"/>
            <w:right w:val="none" w:sz="0" w:space="0" w:color="auto"/>
          </w:divBdr>
        </w:div>
        <w:div w:id="1501460517">
          <w:marLeft w:val="0"/>
          <w:marRight w:val="0"/>
          <w:marTop w:val="0"/>
          <w:marBottom w:val="0"/>
          <w:divBdr>
            <w:top w:val="none" w:sz="0" w:space="0" w:color="auto"/>
            <w:left w:val="none" w:sz="0" w:space="0" w:color="auto"/>
            <w:bottom w:val="none" w:sz="0" w:space="0" w:color="auto"/>
            <w:right w:val="none" w:sz="0" w:space="0" w:color="auto"/>
          </w:divBdr>
        </w:div>
        <w:div w:id="1578518679">
          <w:marLeft w:val="0"/>
          <w:marRight w:val="0"/>
          <w:marTop w:val="0"/>
          <w:marBottom w:val="0"/>
          <w:divBdr>
            <w:top w:val="none" w:sz="0" w:space="0" w:color="auto"/>
            <w:left w:val="none" w:sz="0" w:space="0" w:color="auto"/>
            <w:bottom w:val="none" w:sz="0" w:space="0" w:color="auto"/>
            <w:right w:val="none" w:sz="0" w:space="0" w:color="auto"/>
          </w:divBdr>
        </w:div>
        <w:div w:id="1408382524">
          <w:marLeft w:val="0"/>
          <w:marRight w:val="0"/>
          <w:marTop w:val="0"/>
          <w:marBottom w:val="0"/>
          <w:divBdr>
            <w:top w:val="none" w:sz="0" w:space="0" w:color="auto"/>
            <w:left w:val="none" w:sz="0" w:space="0" w:color="auto"/>
            <w:bottom w:val="none" w:sz="0" w:space="0" w:color="auto"/>
            <w:right w:val="none" w:sz="0" w:space="0" w:color="auto"/>
          </w:divBdr>
        </w:div>
        <w:div w:id="587470563">
          <w:marLeft w:val="0"/>
          <w:marRight w:val="0"/>
          <w:marTop w:val="0"/>
          <w:marBottom w:val="0"/>
          <w:divBdr>
            <w:top w:val="none" w:sz="0" w:space="0" w:color="auto"/>
            <w:left w:val="none" w:sz="0" w:space="0" w:color="auto"/>
            <w:bottom w:val="none" w:sz="0" w:space="0" w:color="auto"/>
            <w:right w:val="none" w:sz="0" w:space="0" w:color="auto"/>
          </w:divBdr>
        </w:div>
      </w:divsChild>
    </w:div>
    <w:div w:id="520314800">
      <w:bodyDiv w:val="1"/>
      <w:marLeft w:val="0"/>
      <w:marRight w:val="0"/>
      <w:marTop w:val="0"/>
      <w:marBottom w:val="0"/>
      <w:divBdr>
        <w:top w:val="none" w:sz="0" w:space="0" w:color="auto"/>
        <w:left w:val="none" w:sz="0" w:space="0" w:color="auto"/>
        <w:bottom w:val="none" w:sz="0" w:space="0" w:color="auto"/>
        <w:right w:val="none" w:sz="0" w:space="0" w:color="auto"/>
      </w:divBdr>
    </w:div>
    <w:div w:id="554439180">
      <w:bodyDiv w:val="1"/>
      <w:marLeft w:val="0"/>
      <w:marRight w:val="0"/>
      <w:marTop w:val="0"/>
      <w:marBottom w:val="0"/>
      <w:divBdr>
        <w:top w:val="none" w:sz="0" w:space="0" w:color="auto"/>
        <w:left w:val="none" w:sz="0" w:space="0" w:color="auto"/>
        <w:bottom w:val="none" w:sz="0" w:space="0" w:color="auto"/>
        <w:right w:val="none" w:sz="0" w:space="0" w:color="auto"/>
      </w:divBdr>
    </w:div>
    <w:div w:id="637338786">
      <w:bodyDiv w:val="1"/>
      <w:marLeft w:val="0"/>
      <w:marRight w:val="0"/>
      <w:marTop w:val="0"/>
      <w:marBottom w:val="0"/>
      <w:divBdr>
        <w:top w:val="none" w:sz="0" w:space="0" w:color="auto"/>
        <w:left w:val="none" w:sz="0" w:space="0" w:color="auto"/>
        <w:bottom w:val="none" w:sz="0" w:space="0" w:color="auto"/>
        <w:right w:val="none" w:sz="0" w:space="0" w:color="auto"/>
      </w:divBdr>
    </w:div>
    <w:div w:id="652568950">
      <w:bodyDiv w:val="1"/>
      <w:marLeft w:val="0"/>
      <w:marRight w:val="0"/>
      <w:marTop w:val="0"/>
      <w:marBottom w:val="0"/>
      <w:divBdr>
        <w:top w:val="none" w:sz="0" w:space="0" w:color="auto"/>
        <w:left w:val="none" w:sz="0" w:space="0" w:color="auto"/>
        <w:bottom w:val="none" w:sz="0" w:space="0" w:color="auto"/>
        <w:right w:val="none" w:sz="0" w:space="0" w:color="auto"/>
      </w:divBdr>
      <w:divsChild>
        <w:div w:id="991644952">
          <w:marLeft w:val="0"/>
          <w:marRight w:val="0"/>
          <w:marTop w:val="0"/>
          <w:marBottom w:val="0"/>
          <w:divBdr>
            <w:top w:val="none" w:sz="0" w:space="0" w:color="auto"/>
            <w:left w:val="none" w:sz="0" w:space="0" w:color="auto"/>
            <w:bottom w:val="none" w:sz="0" w:space="0" w:color="auto"/>
            <w:right w:val="none" w:sz="0" w:space="0" w:color="auto"/>
          </w:divBdr>
        </w:div>
        <w:div w:id="1104036045">
          <w:marLeft w:val="0"/>
          <w:marRight w:val="0"/>
          <w:marTop w:val="0"/>
          <w:marBottom w:val="0"/>
          <w:divBdr>
            <w:top w:val="none" w:sz="0" w:space="0" w:color="auto"/>
            <w:left w:val="none" w:sz="0" w:space="0" w:color="auto"/>
            <w:bottom w:val="none" w:sz="0" w:space="0" w:color="auto"/>
            <w:right w:val="none" w:sz="0" w:space="0" w:color="auto"/>
          </w:divBdr>
        </w:div>
        <w:div w:id="242183365">
          <w:marLeft w:val="0"/>
          <w:marRight w:val="0"/>
          <w:marTop w:val="0"/>
          <w:marBottom w:val="0"/>
          <w:divBdr>
            <w:top w:val="none" w:sz="0" w:space="0" w:color="auto"/>
            <w:left w:val="none" w:sz="0" w:space="0" w:color="auto"/>
            <w:bottom w:val="none" w:sz="0" w:space="0" w:color="auto"/>
            <w:right w:val="none" w:sz="0" w:space="0" w:color="auto"/>
          </w:divBdr>
        </w:div>
        <w:div w:id="2079739405">
          <w:marLeft w:val="0"/>
          <w:marRight w:val="0"/>
          <w:marTop w:val="0"/>
          <w:marBottom w:val="0"/>
          <w:divBdr>
            <w:top w:val="none" w:sz="0" w:space="0" w:color="auto"/>
            <w:left w:val="none" w:sz="0" w:space="0" w:color="auto"/>
            <w:bottom w:val="none" w:sz="0" w:space="0" w:color="auto"/>
            <w:right w:val="none" w:sz="0" w:space="0" w:color="auto"/>
          </w:divBdr>
        </w:div>
        <w:div w:id="1425418728">
          <w:marLeft w:val="0"/>
          <w:marRight w:val="0"/>
          <w:marTop w:val="0"/>
          <w:marBottom w:val="0"/>
          <w:divBdr>
            <w:top w:val="none" w:sz="0" w:space="0" w:color="auto"/>
            <w:left w:val="none" w:sz="0" w:space="0" w:color="auto"/>
            <w:bottom w:val="none" w:sz="0" w:space="0" w:color="auto"/>
            <w:right w:val="none" w:sz="0" w:space="0" w:color="auto"/>
          </w:divBdr>
        </w:div>
        <w:div w:id="1172455903">
          <w:marLeft w:val="0"/>
          <w:marRight w:val="0"/>
          <w:marTop w:val="0"/>
          <w:marBottom w:val="0"/>
          <w:divBdr>
            <w:top w:val="none" w:sz="0" w:space="0" w:color="auto"/>
            <w:left w:val="none" w:sz="0" w:space="0" w:color="auto"/>
            <w:bottom w:val="none" w:sz="0" w:space="0" w:color="auto"/>
            <w:right w:val="none" w:sz="0" w:space="0" w:color="auto"/>
          </w:divBdr>
        </w:div>
        <w:div w:id="675690919">
          <w:marLeft w:val="0"/>
          <w:marRight w:val="0"/>
          <w:marTop w:val="0"/>
          <w:marBottom w:val="0"/>
          <w:divBdr>
            <w:top w:val="none" w:sz="0" w:space="0" w:color="auto"/>
            <w:left w:val="none" w:sz="0" w:space="0" w:color="auto"/>
            <w:bottom w:val="none" w:sz="0" w:space="0" w:color="auto"/>
            <w:right w:val="none" w:sz="0" w:space="0" w:color="auto"/>
          </w:divBdr>
        </w:div>
        <w:div w:id="1456557633">
          <w:marLeft w:val="0"/>
          <w:marRight w:val="0"/>
          <w:marTop w:val="0"/>
          <w:marBottom w:val="0"/>
          <w:divBdr>
            <w:top w:val="none" w:sz="0" w:space="0" w:color="auto"/>
            <w:left w:val="none" w:sz="0" w:space="0" w:color="auto"/>
            <w:bottom w:val="none" w:sz="0" w:space="0" w:color="auto"/>
            <w:right w:val="none" w:sz="0" w:space="0" w:color="auto"/>
          </w:divBdr>
        </w:div>
        <w:div w:id="542064289">
          <w:marLeft w:val="0"/>
          <w:marRight w:val="0"/>
          <w:marTop w:val="0"/>
          <w:marBottom w:val="0"/>
          <w:divBdr>
            <w:top w:val="none" w:sz="0" w:space="0" w:color="auto"/>
            <w:left w:val="none" w:sz="0" w:space="0" w:color="auto"/>
            <w:bottom w:val="none" w:sz="0" w:space="0" w:color="auto"/>
            <w:right w:val="none" w:sz="0" w:space="0" w:color="auto"/>
          </w:divBdr>
        </w:div>
        <w:div w:id="1180965591">
          <w:marLeft w:val="0"/>
          <w:marRight w:val="0"/>
          <w:marTop w:val="0"/>
          <w:marBottom w:val="0"/>
          <w:divBdr>
            <w:top w:val="none" w:sz="0" w:space="0" w:color="auto"/>
            <w:left w:val="none" w:sz="0" w:space="0" w:color="auto"/>
            <w:bottom w:val="none" w:sz="0" w:space="0" w:color="auto"/>
            <w:right w:val="none" w:sz="0" w:space="0" w:color="auto"/>
          </w:divBdr>
        </w:div>
      </w:divsChild>
    </w:div>
    <w:div w:id="691348369">
      <w:bodyDiv w:val="1"/>
      <w:marLeft w:val="0"/>
      <w:marRight w:val="0"/>
      <w:marTop w:val="0"/>
      <w:marBottom w:val="0"/>
      <w:divBdr>
        <w:top w:val="none" w:sz="0" w:space="0" w:color="auto"/>
        <w:left w:val="none" w:sz="0" w:space="0" w:color="auto"/>
        <w:bottom w:val="none" w:sz="0" w:space="0" w:color="auto"/>
        <w:right w:val="none" w:sz="0" w:space="0" w:color="auto"/>
      </w:divBdr>
    </w:div>
    <w:div w:id="739868350">
      <w:bodyDiv w:val="1"/>
      <w:marLeft w:val="0"/>
      <w:marRight w:val="0"/>
      <w:marTop w:val="0"/>
      <w:marBottom w:val="0"/>
      <w:divBdr>
        <w:top w:val="none" w:sz="0" w:space="0" w:color="auto"/>
        <w:left w:val="none" w:sz="0" w:space="0" w:color="auto"/>
        <w:bottom w:val="none" w:sz="0" w:space="0" w:color="auto"/>
        <w:right w:val="none" w:sz="0" w:space="0" w:color="auto"/>
      </w:divBdr>
    </w:div>
    <w:div w:id="757216026">
      <w:bodyDiv w:val="1"/>
      <w:marLeft w:val="0"/>
      <w:marRight w:val="0"/>
      <w:marTop w:val="0"/>
      <w:marBottom w:val="0"/>
      <w:divBdr>
        <w:top w:val="none" w:sz="0" w:space="0" w:color="auto"/>
        <w:left w:val="none" w:sz="0" w:space="0" w:color="auto"/>
        <w:bottom w:val="none" w:sz="0" w:space="0" w:color="auto"/>
        <w:right w:val="none" w:sz="0" w:space="0" w:color="auto"/>
      </w:divBdr>
    </w:div>
    <w:div w:id="901136992">
      <w:bodyDiv w:val="1"/>
      <w:marLeft w:val="0"/>
      <w:marRight w:val="0"/>
      <w:marTop w:val="0"/>
      <w:marBottom w:val="0"/>
      <w:divBdr>
        <w:top w:val="none" w:sz="0" w:space="0" w:color="auto"/>
        <w:left w:val="none" w:sz="0" w:space="0" w:color="auto"/>
        <w:bottom w:val="none" w:sz="0" w:space="0" w:color="auto"/>
        <w:right w:val="none" w:sz="0" w:space="0" w:color="auto"/>
      </w:divBdr>
    </w:div>
    <w:div w:id="914973987">
      <w:bodyDiv w:val="1"/>
      <w:marLeft w:val="0"/>
      <w:marRight w:val="0"/>
      <w:marTop w:val="0"/>
      <w:marBottom w:val="0"/>
      <w:divBdr>
        <w:top w:val="none" w:sz="0" w:space="0" w:color="auto"/>
        <w:left w:val="none" w:sz="0" w:space="0" w:color="auto"/>
        <w:bottom w:val="none" w:sz="0" w:space="0" w:color="auto"/>
        <w:right w:val="none" w:sz="0" w:space="0" w:color="auto"/>
      </w:divBdr>
    </w:div>
    <w:div w:id="1047146522">
      <w:bodyDiv w:val="1"/>
      <w:marLeft w:val="0"/>
      <w:marRight w:val="0"/>
      <w:marTop w:val="0"/>
      <w:marBottom w:val="0"/>
      <w:divBdr>
        <w:top w:val="none" w:sz="0" w:space="0" w:color="auto"/>
        <w:left w:val="none" w:sz="0" w:space="0" w:color="auto"/>
        <w:bottom w:val="none" w:sz="0" w:space="0" w:color="auto"/>
        <w:right w:val="none" w:sz="0" w:space="0" w:color="auto"/>
      </w:divBdr>
    </w:div>
    <w:div w:id="1103843619">
      <w:bodyDiv w:val="1"/>
      <w:marLeft w:val="0"/>
      <w:marRight w:val="0"/>
      <w:marTop w:val="0"/>
      <w:marBottom w:val="0"/>
      <w:divBdr>
        <w:top w:val="none" w:sz="0" w:space="0" w:color="auto"/>
        <w:left w:val="none" w:sz="0" w:space="0" w:color="auto"/>
        <w:bottom w:val="none" w:sz="0" w:space="0" w:color="auto"/>
        <w:right w:val="none" w:sz="0" w:space="0" w:color="auto"/>
      </w:divBdr>
    </w:div>
    <w:div w:id="1185634725">
      <w:bodyDiv w:val="1"/>
      <w:marLeft w:val="0"/>
      <w:marRight w:val="0"/>
      <w:marTop w:val="0"/>
      <w:marBottom w:val="0"/>
      <w:divBdr>
        <w:top w:val="none" w:sz="0" w:space="0" w:color="auto"/>
        <w:left w:val="none" w:sz="0" w:space="0" w:color="auto"/>
        <w:bottom w:val="none" w:sz="0" w:space="0" w:color="auto"/>
        <w:right w:val="none" w:sz="0" w:space="0" w:color="auto"/>
      </w:divBdr>
    </w:div>
    <w:div w:id="1230072091">
      <w:bodyDiv w:val="1"/>
      <w:marLeft w:val="0"/>
      <w:marRight w:val="0"/>
      <w:marTop w:val="0"/>
      <w:marBottom w:val="0"/>
      <w:divBdr>
        <w:top w:val="none" w:sz="0" w:space="0" w:color="auto"/>
        <w:left w:val="none" w:sz="0" w:space="0" w:color="auto"/>
        <w:bottom w:val="none" w:sz="0" w:space="0" w:color="auto"/>
        <w:right w:val="none" w:sz="0" w:space="0" w:color="auto"/>
      </w:divBdr>
    </w:div>
    <w:div w:id="1345589713">
      <w:bodyDiv w:val="1"/>
      <w:marLeft w:val="0"/>
      <w:marRight w:val="0"/>
      <w:marTop w:val="0"/>
      <w:marBottom w:val="0"/>
      <w:divBdr>
        <w:top w:val="none" w:sz="0" w:space="0" w:color="auto"/>
        <w:left w:val="none" w:sz="0" w:space="0" w:color="auto"/>
        <w:bottom w:val="none" w:sz="0" w:space="0" w:color="auto"/>
        <w:right w:val="none" w:sz="0" w:space="0" w:color="auto"/>
      </w:divBdr>
    </w:div>
    <w:div w:id="1352221724">
      <w:bodyDiv w:val="1"/>
      <w:marLeft w:val="0"/>
      <w:marRight w:val="0"/>
      <w:marTop w:val="0"/>
      <w:marBottom w:val="0"/>
      <w:divBdr>
        <w:top w:val="none" w:sz="0" w:space="0" w:color="auto"/>
        <w:left w:val="none" w:sz="0" w:space="0" w:color="auto"/>
        <w:bottom w:val="none" w:sz="0" w:space="0" w:color="auto"/>
        <w:right w:val="none" w:sz="0" w:space="0" w:color="auto"/>
      </w:divBdr>
    </w:div>
    <w:div w:id="1429807223">
      <w:bodyDiv w:val="1"/>
      <w:marLeft w:val="0"/>
      <w:marRight w:val="0"/>
      <w:marTop w:val="0"/>
      <w:marBottom w:val="0"/>
      <w:divBdr>
        <w:top w:val="none" w:sz="0" w:space="0" w:color="auto"/>
        <w:left w:val="none" w:sz="0" w:space="0" w:color="auto"/>
        <w:bottom w:val="none" w:sz="0" w:space="0" w:color="auto"/>
        <w:right w:val="none" w:sz="0" w:space="0" w:color="auto"/>
      </w:divBdr>
    </w:div>
    <w:div w:id="1437948760">
      <w:bodyDiv w:val="1"/>
      <w:marLeft w:val="0"/>
      <w:marRight w:val="0"/>
      <w:marTop w:val="0"/>
      <w:marBottom w:val="0"/>
      <w:divBdr>
        <w:top w:val="none" w:sz="0" w:space="0" w:color="auto"/>
        <w:left w:val="none" w:sz="0" w:space="0" w:color="auto"/>
        <w:bottom w:val="none" w:sz="0" w:space="0" w:color="auto"/>
        <w:right w:val="none" w:sz="0" w:space="0" w:color="auto"/>
      </w:divBdr>
      <w:divsChild>
        <w:div w:id="199318696">
          <w:marLeft w:val="0"/>
          <w:marRight w:val="0"/>
          <w:marTop w:val="0"/>
          <w:marBottom w:val="0"/>
          <w:divBdr>
            <w:top w:val="none" w:sz="0" w:space="0" w:color="auto"/>
            <w:left w:val="none" w:sz="0" w:space="0" w:color="auto"/>
            <w:bottom w:val="none" w:sz="0" w:space="0" w:color="auto"/>
            <w:right w:val="none" w:sz="0" w:space="0" w:color="auto"/>
          </w:divBdr>
        </w:div>
        <w:div w:id="1328559648">
          <w:marLeft w:val="0"/>
          <w:marRight w:val="0"/>
          <w:marTop w:val="0"/>
          <w:marBottom w:val="0"/>
          <w:divBdr>
            <w:top w:val="none" w:sz="0" w:space="0" w:color="auto"/>
            <w:left w:val="none" w:sz="0" w:space="0" w:color="auto"/>
            <w:bottom w:val="none" w:sz="0" w:space="0" w:color="auto"/>
            <w:right w:val="none" w:sz="0" w:space="0" w:color="auto"/>
          </w:divBdr>
        </w:div>
        <w:div w:id="2128162289">
          <w:marLeft w:val="0"/>
          <w:marRight w:val="0"/>
          <w:marTop w:val="0"/>
          <w:marBottom w:val="0"/>
          <w:divBdr>
            <w:top w:val="none" w:sz="0" w:space="0" w:color="auto"/>
            <w:left w:val="none" w:sz="0" w:space="0" w:color="auto"/>
            <w:bottom w:val="none" w:sz="0" w:space="0" w:color="auto"/>
            <w:right w:val="none" w:sz="0" w:space="0" w:color="auto"/>
          </w:divBdr>
        </w:div>
        <w:div w:id="89938688">
          <w:marLeft w:val="0"/>
          <w:marRight w:val="0"/>
          <w:marTop w:val="0"/>
          <w:marBottom w:val="0"/>
          <w:divBdr>
            <w:top w:val="none" w:sz="0" w:space="0" w:color="auto"/>
            <w:left w:val="none" w:sz="0" w:space="0" w:color="auto"/>
            <w:bottom w:val="none" w:sz="0" w:space="0" w:color="auto"/>
            <w:right w:val="none" w:sz="0" w:space="0" w:color="auto"/>
          </w:divBdr>
        </w:div>
        <w:div w:id="669329516">
          <w:marLeft w:val="0"/>
          <w:marRight w:val="0"/>
          <w:marTop w:val="0"/>
          <w:marBottom w:val="0"/>
          <w:divBdr>
            <w:top w:val="none" w:sz="0" w:space="0" w:color="auto"/>
            <w:left w:val="none" w:sz="0" w:space="0" w:color="auto"/>
            <w:bottom w:val="none" w:sz="0" w:space="0" w:color="auto"/>
            <w:right w:val="none" w:sz="0" w:space="0" w:color="auto"/>
          </w:divBdr>
        </w:div>
      </w:divsChild>
    </w:div>
    <w:div w:id="1635214956">
      <w:bodyDiv w:val="1"/>
      <w:marLeft w:val="0"/>
      <w:marRight w:val="0"/>
      <w:marTop w:val="0"/>
      <w:marBottom w:val="0"/>
      <w:divBdr>
        <w:top w:val="none" w:sz="0" w:space="0" w:color="auto"/>
        <w:left w:val="none" w:sz="0" w:space="0" w:color="auto"/>
        <w:bottom w:val="none" w:sz="0" w:space="0" w:color="auto"/>
        <w:right w:val="none" w:sz="0" w:space="0" w:color="auto"/>
      </w:divBdr>
      <w:divsChild>
        <w:div w:id="545528">
          <w:marLeft w:val="0"/>
          <w:marRight w:val="0"/>
          <w:marTop w:val="0"/>
          <w:marBottom w:val="0"/>
          <w:divBdr>
            <w:top w:val="none" w:sz="0" w:space="0" w:color="auto"/>
            <w:left w:val="none" w:sz="0" w:space="0" w:color="auto"/>
            <w:bottom w:val="none" w:sz="0" w:space="0" w:color="auto"/>
            <w:right w:val="none" w:sz="0" w:space="0" w:color="auto"/>
          </w:divBdr>
        </w:div>
        <w:div w:id="116065897">
          <w:marLeft w:val="0"/>
          <w:marRight w:val="0"/>
          <w:marTop w:val="0"/>
          <w:marBottom w:val="0"/>
          <w:divBdr>
            <w:top w:val="none" w:sz="0" w:space="0" w:color="auto"/>
            <w:left w:val="none" w:sz="0" w:space="0" w:color="auto"/>
            <w:bottom w:val="none" w:sz="0" w:space="0" w:color="auto"/>
            <w:right w:val="none" w:sz="0" w:space="0" w:color="auto"/>
          </w:divBdr>
        </w:div>
        <w:div w:id="1650859727">
          <w:marLeft w:val="0"/>
          <w:marRight w:val="0"/>
          <w:marTop w:val="0"/>
          <w:marBottom w:val="0"/>
          <w:divBdr>
            <w:top w:val="none" w:sz="0" w:space="0" w:color="auto"/>
            <w:left w:val="none" w:sz="0" w:space="0" w:color="auto"/>
            <w:bottom w:val="none" w:sz="0" w:space="0" w:color="auto"/>
            <w:right w:val="none" w:sz="0" w:space="0" w:color="auto"/>
          </w:divBdr>
        </w:div>
        <w:div w:id="142047512">
          <w:marLeft w:val="0"/>
          <w:marRight w:val="0"/>
          <w:marTop w:val="0"/>
          <w:marBottom w:val="0"/>
          <w:divBdr>
            <w:top w:val="none" w:sz="0" w:space="0" w:color="auto"/>
            <w:left w:val="none" w:sz="0" w:space="0" w:color="auto"/>
            <w:bottom w:val="none" w:sz="0" w:space="0" w:color="auto"/>
            <w:right w:val="none" w:sz="0" w:space="0" w:color="auto"/>
          </w:divBdr>
        </w:div>
        <w:div w:id="682240886">
          <w:marLeft w:val="0"/>
          <w:marRight w:val="0"/>
          <w:marTop w:val="0"/>
          <w:marBottom w:val="0"/>
          <w:divBdr>
            <w:top w:val="none" w:sz="0" w:space="0" w:color="auto"/>
            <w:left w:val="none" w:sz="0" w:space="0" w:color="auto"/>
            <w:bottom w:val="none" w:sz="0" w:space="0" w:color="auto"/>
            <w:right w:val="none" w:sz="0" w:space="0" w:color="auto"/>
          </w:divBdr>
        </w:div>
      </w:divsChild>
    </w:div>
    <w:div w:id="1853764031">
      <w:bodyDiv w:val="1"/>
      <w:marLeft w:val="0"/>
      <w:marRight w:val="0"/>
      <w:marTop w:val="0"/>
      <w:marBottom w:val="0"/>
      <w:divBdr>
        <w:top w:val="none" w:sz="0" w:space="0" w:color="auto"/>
        <w:left w:val="none" w:sz="0" w:space="0" w:color="auto"/>
        <w:bottom w:val="none" w:sz="0" w:space="0" w:color="auto"/>
        <w:right w:val="none" w:sz="0" w:space="0" w:color="auto"/>
      </w:divBdr>
    </w:div>
    <w:div w:id="1855028589">
      <w:bodyDiv w:val="1"/>
      <w:marLeft w:val="0"/>
      <w:marRight w:val="0"/>
      <w:marTop w:val="0"/>
      <w:marBottom w:val="0"/>
      <w:divBdr>
        <w:top w:val="none" w:sz="0" w:space="0" w:color="auto"/>
        <w:left w:val="none" w:sz="0" w:space="0" w:color="auto"/>
        <w:bottom w:val="none" w:sz="0" w:space="0" w:color="auto"/>
        <w:right w:val="none" w:sz="0" w:space="0" w:color="auto"/>
      </w:divBdr>
    </w:div>
    <w:div w:id="1871448713">
      <w:bodyDiv w:val="1"/>
      <w:marLeft w:val="0"/>
      <w:marRight w:val="0"/>
      <w:marTop w:val="0"/>
      <w:marBottom w:val="0"/>
      <w:divBdr>
        <w:top w:val="none" w:sz="0" w:space="0" w:color="auto"/>
        <w:left w:val="none" w:sz="0" w:space="0" w:color="auto"/>
        <w:bottom w:val="none" w:sz="0" w:space="0" w:color="auto"/>
        <w:right w:val="none" w:sz="0" w:space="0" w:color="auto"/>
      </w:divBdr>
    </w:div>
    <w:div w:id="1888758851">
      <w:bodyDiv w:val="1"/>
      <w:marLeft w:val="0"/>
      <w:marRight w:val="0"/>
      <w:marTop w:val="0"/>
      <w:marBottom w:val="0"/>
      <w:divBdr>
        <w:top w:val="none" w:sz="0" w:space="0" w:color="auto"/>
        <w:left w:val="none" w:sz="0" w:space="0" w:color="auto"/>
        <w:bottom w:val="none" w:sz="0" w:space="0" w:color="auto"/>
        <w:right w:val="none" w:sz="0" w:space="0" w:color="auto"/>
      </w:divBdr>
    </w:div>
    <w:div w:id="1899392300">
      <w:bodyDiv w:val="1"/>
      <w:marLeft w:val="0"/>
      <w:marRight w:val="0"/>
      <w:marTop w:val="0"/>
      <w:marBottom w:val="0"/>
      <w:divBdr>
        <w:top w:val="none" w:sz="0" w:space="0" w:color="auto"/>
        <w:left w:val="none" w:sz="0" w:space="0" w:color="auto"/>
        <w:bottom w:val="none" w:sz="0" w:space="0" w:color="auto"/>
        <w:right w:val="none" w:sz="0" w:space="0" w:color="auto"/>
      </w:divBdr>
    </w:div>
    <w:div w:id="1947157860">
      <w:bodyDiv w:val="1"/>
      <w:marLeft w:val="0"/>
      <w:marRight w:val="0"/>
      <w:marTop w:val="0"/>
      <w:marBottom w:val="0"/>
      <w:divBdr>
        <w:top w:val="none" w:sz="0" w:space="0" w:color="auto"/>
        <w:left w:val="none" w:sz="0" w:space="0" w:color="auto"/>
        <w:bottom w:val="none" w:sz="0" w:space="0" w:color="auto"/>
        <w:right w:val="none" w:sz="0" w:space="0" w:color="auto"/>
      </w:divBdr>
      <w:divsChild>
        <w:div w:id="1233464398">
          <w:marLeft w:val="0"/>
          <w:marRight w:val="0"/>
          <w:marTop w:val="0"/>
          <w:marBottom w:val="0"/>
          <w:divBdr>
            <w:top w:val="none" w:sz="0" w:space="0" w:color="auto"/>
            <w:left w:val="none" w:sz="0" w:space="0" w:color="auto"/>
            <w:bottom w:val="none" w:sz="0" w:space="0" w:color="auto"/>
            <w:right w:val="none" w:sz="0" w:space="0" w:color="auto"/>
          </w:divBdr>
        </w:div>
        <w:div w:id="1106509945">
          <w:marLeft w:val="0"/>
          <w:marRight w:val="0"/>
          <w:marTop w:val="0"/>
          <w:marBottom w:val="0"/>
          <w:divBdr>
            <w:top w:val="none" w:sz="0" w:space="0" w:color="auto"/>
            <w:left w:val="none" w:sz="0" w:space="0" w:color="auto"/>
            <w:bottom w:val="none" w:sz="0" w:space="0" w:color="auto"/>
            <w:right w:val="none" w:sz="0" w:space="0" w:color="auto"/>
          </w:divBdr>
        </w:div>
        <w:div w:id="838622294">
          <w:marLeft w:val="0"/>
          <w:marRight w:val="0"/>
          <w:marTop w:val="0"/>
          <w:marBottom w:val="0"/>
          <w:divBdr>
            <w:top w:val="none" w:sz="0" w:space="0" w:color="auto"/>
            <w:left w:val="none" w:sz="0" w:space="0" w:color="auto"/>
            <w:bottom w:val="none" w:sz="0" w:space="0" w:color="auto"/>
            <w:right w:val="none" w:sz="0" w:space="0" w:color="auto"/>
          </w:divBdr>
        </w:div>
        <w:div w:id="72702473">
          <w:marLeft w:val="0"/>
          <w:marRight w:val="0"/>
          <w:marTop w:val="0"/>
          <w:marBottom w:val="0"/>
          <w:divBdr>
            <w:top w:val="none" w:sz="0" w:space="0" w:color="auto"/>
            <w:left w:val="none" w:sz="0" w:space="0" w:color="auto"/>
            <w:bottom w:val="none" w:sz="0" w:space="0" w:color="auto"/>
            <w:right w:val="none" w:sz="0" w:space="0" w:color="auto"/>
          </w:divBdr>
        </w:div>
        <w:div w:id="679039323">
          <w:marLeft w:val="0"/>
          <w:marRight w:val="0"/>
          <w:marTop w:val="0"/>
          <w:marBottom w:val="0"/>
          <w:divBdr>
            <w:top w:val="none" w:sz="0" w:space="0" w:color="auto"/>
            <w:left w:val="none" w:sz="0" w:space="0" w:color="auto"/>
            <w:bottom w:val="none" w:sz="0" w:space="0" w:color="auto"/>
            <w:right w:val="none" w:sz="0" w:space="0" w:color="auto"/>
          </w:divBdr>
        </w:div>
        <w:div w:id="1066802383">
          <w:marLeft w:val="0"/>
          <w:marRight w:val="0"/>
          <w:marTop w:val="0"/>
          <w:marBottom w:val="0"/>
          <w:divBdr>
            <w:top w:val="none" w:sz="0" w:space="0" w:color="auto"/>
            <w:left w:val="none" w:sz="0" w:space="0" w:color="auto"/>
            <w:bottom w:val="none" w:sz="0" w:space="0" w:color="auto"/>
            <w:right w:val="none" w:sz="0" w:space="0" w:color="auto"/>
          </w:divBdr>
        </w:div>
        <w:div w:id="998538292">
          <w:marLeft w:val="0"/>
          <w:marRight w:val="0"/>
          <w:marTop w:val="0"/>
          <w:marBottom w:val="0"/>
          <w:divBdr>
            <w:top w:val="none" w:sz="0" w:space="0" w:color="auto"/>
            <w:left w:val="none" w:sz="0" w:space="0" w:color="auto"/>
            <w:bottom w:val="none" w:sz="0" w:space="0" w:color="auto"/>
            <w:right w:val="none" w:sz="0" w:space="0" w:color="auto"/>
          </w:divBdr>
        </w:div>
        <w:div w:id="329259692">
          <w:marLeft w:val="0"/>
          <w:marRight w:val="0"/>
          <w:marTop w:val="0"/>
          <w:marBottom w:val="0"/>
          <w:divBdr>
            <w:top w:val="none" w:sz="0" w:space="0" w:color="auto"/>
            <w:left w:val="none" w:sz="0" w:space="0" w:color="auto"/>
            <w:bottom w:val="none" w:sz="0" w:space="0" w:color="auto"/>
            <w:right w:val="none" w:sz="0" w:space="0" w:color="auto"/>
          </w:divBdr>
        </w:div>
        <w:div w:id="1229926253">
          <w:marLeft w:val="0"/>
          <w:marRight w:val="0"/>
          <w:marTop w:val="0"/>
          <w:marBottom w:val="0"/>
          <w:divBdr>
            <w:top w:val="none" w:sz="0" w:space="0" w:color="auto"/>
            <w:left w:val="none" w:sz="0" w:space="0" w:color="auto"/>
            <w:bottom w:val="none" w:sz="0" w:space="0" w:color="auto"/>
            <w:right w:val="none" w:sz="0" w:space="0" w:color="auto"/>
          </w:divBdr>
        </w:div>
      </w:divsChild>
    </w:div>
    <w:div w:id="2007827917">
      <w:bodyDiv w:val="1"/>
      <w:marLeft w:val="0"/>
      <w:marRight w:val="0"/>
      <w:marTop w:val="0"/>
      <w:marBottom w:val="0"/>
      <w:divBdr>
        <w:top w:val="none" w:sz="0" w:space="0" w:color="auto"/>
        <w:left w:val="none" w:sz="0" w:space="0" w:color="auto"/>
        <w:bottom w:val="none" w:sz="0" w:space="0" w:color="auto"/>
        <w:right w:val="none" w:sz="0" w:space="0" w:color="auto"/>
      </w:divBdr>
    </w:div>
    <w:div w:id="2100171383">
      <w:bodyDiv w:val="1"/>
      <w:marLeft w:val="0"/>
      <w:marRight w:val="0"/>
      <w:marTop w:val="0"/>
      <w:marBottom w:val="0"/>
      <w:divBdr>
        <w:top w:val="none" w:sz="0" w:space="0" w:color="auto"/>
        <w:left w:val="none" w:sz="0" w:space="0" w:color="auto"/>
        <w:bottom w:val="none" w:sz="0" w:space="0" w:color="auto"/>
        <w:right w:val="none" w:sz="0" w:space="0" w:color="auto"/>
      </w:divBdr>
    </w:div>
    <w:div w:id="2109497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image" Target="media/image3.png"/><Relationship Id="rId26" Type="http://schemas.openxmlformats.org/officeDocument/2006/relationships/image" Target="media/image7.png"/><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chart" Target="charts/chart8.xml"/><Relationship Id="rId34"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image" Target="media/image6.png"/><Relationship Id="rId33" Type="http://schemas.openxmlformats.org/officeDocument/2006/relationships/chart" Target="charts/chart12.xm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chart" Target="charts/chart7.xml"/><Relationship Id="rId29" Type="http://schemas.openxmlformats.org/officeDocument/2006/relationships/chart" Target="charts/chart10.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package" Target="embeddings/Microsoft_Excel_Worksheet1.xlsx"/><Relationship Id="rId24" Type="http://schemas.openxmlformats.org/officeDocument/2006/relationships/chart" Target="charts/chart9.xml"/><Relationship Id="rId32" Type="http://schemas.openxmlformats.org/officeDocument/2006/relationships/chart" Target="charts/chart11.xml"/><Relationship Id="rId37" Type="http://schemas.openxmlformats.org/officeDocument/2006/relationships/chart" Target="charts/chart14.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chart" Target="charts/chart4.xml"/><Relationship Id="rId23" Type="http://schemas.openxmlformats.org/officeDocument/2006/relationships/image" Target="media/image5.jpeg"/><Relationship Id="rId28" Type="http://schemas.openxmlformats.org/officeDocument/2006/relationships/image" Target="media/image9.png"/><Relationship Id="rId36" Type="http://schemas.openxmlformats.org/officeDocument/2006/relationships/chart" Target="charts/chart13.xml"/><Relationship Id="rId10" Type="http://schemas.openxmlformats.org/officeDocument/2006/relationships/image" Target="media/image2.emf"/><Relationship Id="rId19" Type="http://schemas.microsoft.com/office/2007/relationships/hdphoto" Target="media/hdphoto1.wdp"/><Relationship Id="rId31"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chart" Target="charts/chart3.xml"/><Relationship Id="rId22" Type="http://schemas.openxmlformats.org/officeDocument/2006/relationships/image" Target="media/image4.jpg"/><Relationship Id="rId27" Type="http://schemas.openxmlformats.org/officeDocument/2006/relationships/image" Target="media/image8.emf"/><Relationship Id="rId30" Type="http://schemas.openxmlformats.org/officeDocument/2006/relationships/image" Target="media/image10.jpeg"/><Relationship Id="rId35" Type="http://schemas.openxmlformats.org/officeDocument/2006/relationships/image" Target="media/image13.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Ark&#257;dijs\Desktop\Atteli_29092014.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Ark&#257;dijs\Desktop\Rezerves_09062014.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Ark&#257;dijs\Desktop\Atteli_29092014.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UmbraskoI\Desktop\Documents\Aktuali_energ_pat_1990_2012_06052014.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UmbraskoI\Desktop\Documents\OIK.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Ark&#257;dijs\Desktop\Atteli_29092014.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rk&#257;dijs\Desktop\Atteli_29092014.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Documents%20and%20Settings\DravnieksD\Local%20Settings\Temporary%20Internet%20Files\Content.Outlook\N18FLNA1\Koksne_18072012.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JansonsL\AppData\Local\Microsoft\Windows\Temporary%20Internet%20Files\Content.Outlook\8S8MXLQ0\CSP_naftas_pr__dabasg_paterins_2000_2012_04062014.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Ark&#257;dijs\Desktop\Atteli_29092014.xlsx" TargetMode="External"/></Relationships>
</file>

<file path=word/charts/_rels/chart6.xml.rels><?xml version="1.0" encoding="UTF-8" standalone="yes"?>
<Relationships xmlns="http://schemas.openxmlformats.org/package/2006/relationships"><Relationship Id="rId2" Type="http://schemas.openxmlformats.org/officeDocument/2006/relationships/oleObject" Target="file:///C:\Users\Ark&#257;dijs\SkyDrive\Rezerves_09062014.xlsx" TargetMode="External"/><Relationship Id="rId1" Type="http://schemas.openxmlformats.org/officeDocument/2006/relationships/themeOverride" Target="../theme/themeOverride1.xml"/></Relationships>
</file>

<file path=word/charts/_rels/chart7.xml.rels><?xml version="1.0" encoding="UTF-8" standalone="yes"?>
<Relationships xmlns="http://schemas.openxmlformats.org/package/2006/relationships"><Relationship Id="rId1" Type="http://schemas.openxmlformats.org/officeDocument/2006/relationships/oleObject" Target="file:///C:\Users\Ark&#257;dijs\Desktop\Atteli_29092014.xlsx" TargetMode="External"/></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JansonsL\AppData\Local\Microsoft\Windows\Temporary%20Internet%20Files\Content.Outlook\8S8MXLQ0\Pamatnostadnem_06062014.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JansonsL\AppData\Local\Microsoft\Windows\Temporary%20Internet%20Files\Content.Outlook\8S8MXLQ0\CSP_naftas_pr__dabasg_paterins_2000_2012_0406201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2981406408080035E-2"/>
          <c:y val="0.11115463507362507"/>
          <c:w val="0.57294975845410911"/>
          <c:h val="0.7651572459692535"/>
        </c:manualLayout>
      </c:layout>
      <c:barChart>
        <c:barDir val="col"/>
        <c:grouping val="stacked"/>
        <c:varyColors val="0"/>
        <c:ser>
          <c:idx val="8"/>
          <c:order val="0"/>
          <c:tx>
            <c:strRef>
              <c:f>[Atteli_29092014.xlsx]KPEP!$D$4</c:f>
              <c:strCache>
                <c:ptCount val="1"/>
                <c:pt idx="0">
                  <c:v>Atkritumi</c:v>
                </c:pt>
              </c:strCache>
            </c:strRef>
          </c:tx>
          <c:spPr>
            <a:solidFill>
              <a:schemeClr val="accent3">
                <a:lumMod val="60000"/>
              </a:schemeClr>
            </a:solidFill>
            <a:ln>
              <a:noFill/>
            </a:ln>
            <a:effectLst/>
          </c:spPr>
          <c:invertIfNegative val="0"/>
          <c:cat>
            <c:numRef>
              <c:f>[Atteli_29092014.xlsx]KPEP!$O$2:$AA$2</c:f>
              <c:numCache>
                <c:formatCode>General</c:formatCode>
                <c:ptCount val="13"/>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numCache>
            </c:numRef>
          </c:cat>
          <c:val>
            <c:numRef>
              <c:f>[Atteli_29092014.xlsx]KPEP!$O$4:$AA$4</c:f>
              <c:numCache>
                <c:formatCode>0.00</c:formatCode>
                <c:ptCount val="13"/>
                <c:pt idx="0">
                  <c:v>0</c:v>
                </c:pt>
                <c:pt idx="1">
                  <c:v>0</c:v>
                </c:pt>
                <c:pt idx="2">
                  <c:v>0</c:v>
                </c:pt>
                <c:pt idx="3">
                  <c:v>0.29099999999999998</c:v>
                </c:pt>
                <c:pt idx="4">
                  <c:v>0.314</c:v>
                </c:pt>
                <c:pt idx="5">
                  <c:v>0.183</c:v>
                </c:pt>
                <c:pt idx="6">
                  <c:v>0.13100000000000001</c:v>
                </c:pt>
                <c:pt idx="7">
                  <c:v>0.21</c:v>
                </c:pt>
                <c:pt idx="8">
                  <c:v>0.21</c:v>
                </c:pt>
                <c:pt idx="9">
                  <c:v>8.7999999999999995E-2</c:v>
                </c:pt>
                <c:pt idx="10">
                  <c:v>1.181</c:v>
                </c:pt>
                <c:pt idx="11">
                  <c:v>2.2389999999999999</c:v>
                </c:pt>
                <c:pt idx="12">
                  <c:v>2.331</c:v>
                </c:pt>
              </c:numCache>
            </c:numRef>
          </c:val>
        </c:ser>
        <c:ser>
          <c:idx val="1"/>
          <c:order val="1"/>
          <c:tx>
            <c:strRef>
              <c:f>[Atteli_29092014.xlsx]KPEP!$D$5</c:f>
              <c:strCache>
                <c:ptCount val="1"/>
                <c:pt idx="0">
                  <c:v>Ogles un kokss</c:v>
                </c:pt>
              </c:strCache>
            </c:strRef>
          </c:tx>
          <c:spPr>
            <a:solidFill>
              <a:schemeClr val="accent2"/>
            </a:solidFill>
            <a:ln>
              <a:noFill/>
            </a:ln>
            <a:effectLst/>
          </c:spPr>
          <c:invertIfNegative val="0"/>
          <c:cat>
            <c:numRef>
              <c:f>[Atteli_29092014.xlsx]KPEP!$O$2:$AA$2</c:f>
              <c:numCache>
                <c:formatCode>General</c:formatCode>
                <c:ptCount val="13"/>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numCache>
            </c:numRef>
          </c:cat>
          <c:val>
            <c:numRef>
              <c:f>[Atteli_29092014.xlsx]KPEP!$O$5:$AA$5</c:f>
              <c:numCache>
                <c:formatCode>0.00</c:formatCode>
                <c:ptCount val="13"/>
                <c:pt idx="0">
                  <c:v>3.0510000000000002</c:v>
                </c:pt>
                <c:pt idx="1">
                  <c:v>3.9039999999999999</c:v>
                </c:pt>
                <c:pt idx="2">
                  <c:v>3.1709999999999998</c:v>
                </c:pt>
                <c:pt idx="3">
                  <c:v>2.8090000000000002</c:v>
                </c:pt>
                <c:pt idx="4">
                  <c:v>2.758</c:v>
                </c:pt>
                <c:pt idx="5">
                  <c:v>3.3340000000000001</c:v>
                </c:pt>
                <c:pt idx="6">
                  <c:v>3.57</c:v>
                </c:pt>
                <c:pt idx="7">
                  <c:v>4.3550000000000004</c:v>
                </c:pt>
                <c:pt idx="8">
                  <c:v>4.3819999999999997</c:v>
                </c:pt>
                <c:pt idx="9">
                  <c:v>3.5430000000000001</c:v>
                </c:pt>
                <c:pt idx="10">
                  <c:v>4.4580000000000002</c:v>
                </c:pt>
                <c:pt idx="11">
                  <c:v>4.5890000000000004</c:v>
                </c:pt>
                <c:pt idx="12">
                  <c:v>3.806</c:v>
                </c:pt>
              </c:numCache>
            </c:numRef>
          </c:val>
        </c:ser>
        <c:ser>
          <c:idx val="3"/>
          <c:order val="2"/>
          <c:tx>
            <c:strRef>
              <c:f>[Atteli_29092014.xlsx]KPEP!$D$6</c:f>
              <c:strCache>
                <c:ptCount val="1"/>
                <c:pt idx="0">
                  <c:v>Kūdra</c:v>
                </c:pt>
              </c:strCache>
            </c:strRef>
          </c:tx>
          <c:spPr>
            <a:solidFill>
              <a:schemeClr val="accent4"/>
            </a:solidFill>
            <a:ln>
              <a:noFill/>
            </a:ln>
            <a:effectLst/>
          </c:spPr>
          <c:invertIfNegative val="0"/>
          <c:cat>
            <c:numRef>
              <c:f>[Atteli_29092014.xlsx]KPEP!$O$2:$AA$2</c:f>
              <c:numCache>
                <c:formatCode>General</c:formatCode>
                <c:ptCount val="13"/>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numCache>
            </c:numRef>
          </c:cat>
          <c:val>
            <c:numRef>
              <c:f>[Atteli_29092014.xlsx]KPEP!$O$6:$AA$6</c:f>
              <c:numCache>
                <c:formatCode>0.00</c:formatCode>
                <c:ptCount val="13"/>
                <c:pt idx="0">
                  <c:v>2.452</c:v>
                </c:pt>
                <c:pt idx="1">
                  <c:v>1.246</c:v>
                </c:pt>
                <c:pt idx="2">
                  <c:v>1.0049999999999999</c:v>
                </c:pt>
                <c:pt idx="3">
                  <c:v>0.91500000000000004</c:v>
                </c:pt>
                <c:pt idx="4">
                  <c:v>0.09</c:v>
                </c:pt>
                <c:pt idx="5">
                  <c:v>0.08</c:v>
                </c:pt>
                <c:pt idx="6">
                  <c:v>7.0000000000000007E-2</c:v>
                </c:pt>
                <c:pt idx="7">
                  <c:v>0.09</c:v>
                </c:pt>
                <c:pt idx="8">
                  <c:v>0.09</c:v>
                </c:pt>
                <c:pt idx="9">
                  <c:v>3.5000000000000003E-2</c:v>
                </c:pt>
                <c:pt idx="10">
                  <c:v>0.106</c:v>
                </c:pt>
                <c:pt idx="11">
                  <c:v>4.2999999999999997E-2</c:v>
                </c:pt>
                <c:pt idx="12">
                  <c:v>2.7E-2</c:v>
                </c:pt>
              </c:numCache>
            </c:numRef>
          </c:val>
        </c:ser>
        <c:ser>
          <c:idx val="0"/>
          <c:order val="3"/>
          <c:tx>
            <c:strRef>
              <c:f>[Atteli_29092014.xlsx]KPEP!$D$7</c:f>
              <c:strCache>
                <c:ptCount val="1"/>
                <c:pt idx="0">
                  <c:v>Naftas produkti un degakmens eļļa</c:v>
                </c:pt>
              </c:strCache>
            </c:strRef>
          </c:tx>
          <c:spPr>
            <a:solidFill>
              <a:schemeClr val="accent1"/>
            </a:solidFill>
            <a:ln>
              <a:noFill/>
            </a:ln>
            <a:effectLst/>
          </c:spPr>
          <c:invertIfNegative val="0"/>
          <c:cat>
            <c:numRef>
              <c:f>[Atteli_29092014.xlsx]KPEP!$O$2:$AA$2</c:f>
              <c:numCache>
                <c:formatCode>General</c:formatCode>
                <c:ptCount val="13"/>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numCache>
            </c:numRef>
          </c:cat>
          <c:val>
            <c:numRef>
              <c:f>[Atteli_29092014.xlsx]KPEP!$O$7:$AA$7</c:f>
              <c:numCache>
                <c:formatCode>0.00</c:formatCode>
                <c:ptCount val="13"/>
                <c:pt idx="0">
                  <c:v>56.423000000000002</c:v>
                </c:pt>
                <c:pt idx="1">
                  <c:v>56.378</c:v>
                </c:pt>
                <c:pt idx="2">
                  <c:v>57.075000000000003</c:v>
                </c:pt>
                <c:pt idx="3">
                  <c:v>59.287999999999997</c:v>
                </c:pt>
                <c:pt idx="4">
                  <c:v>61.029000000000003</c:v>
                </c:pt>
                <c:pt idx="5">
                  <c:v>61.896000000000001</c:v>
                </c:pt>
                <c:pt idx="6">
                  <c:v>67.472999999999999</c:v>
                </c:pt>
                <c:pt idx="7">
                  <c:v>73.313000000000002</c:v>
                </c:pt>
                <c:pt idx="8">
                  <c:v>69.269000000000005</c:v>
                </c:pt>
                <c:pt idx="9">
                  <c:v>62.375</c:v>
                </c:pt>
                <c:pt idx="10">
                  <c:v>64.578999999999994</c:v>
                </c:pt>
                <c:pt idx="11">
                  <c:v>59.494999999999997</c:v>
                </c:pt>
                <c:pt idx="12">
                  <c:v>58.387</c:v>
                </c:pt>
              </c:numCache>
            </c:numRef>
          </c:val>
        </c:ser>
        <c:ser>
          <c:idx val="2"/>
          <c:order val="4"/>
          <c:tx>
            <c:strRef>
              <c:f>[Atteli_29092014.xlsx]KPEP!$D$8</c:f>
              <c:strCache>
                <c:ptCount val="1"/>
                <c:pt idx="0">
                  <c:v>Dabasgāze</c:v>
                </c:pt>
              </c:strCache>
            </c:strRef>
          </c:tx>
          <c:spPr>
            <a:solidFill>
              <a:schemeClr val="accent3"/>
            </a:solidFill>
            <a:ln>
              <a:noFill/>
            </a:ln>
            <a:effectLst/>
          </c:spPr>
          <c:invertIfNegative val="0"/>
          <c:cat>
            <c:numRef>
              <c:f>[Atteli_29092014.xlsx]KPEP!$O$2:$AA$2</c:f>
              <c:numCache>
                <c:formatCode>General</c:formatCode>
                <c:ptCount val="13"/>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numCache>
            </c:numRef>
          </c:cat>
          <c:val>
            <c:numRef>
              <c:f>[Atteli_29092014.xlsx]KPEP!$O$8:$AA$8</c:f>
              <c:numCache>
                <c:formatCode>0.00</c:formatCode>
                <c:ptCount val="13"/>
                <c:pt idx="0">
                  <c:v>45.634999999999998</c:v>
                </c:pt>
                <c:pt idx="1">
                  <c:v>52.722999999999999</c:v>
                </c:pt>
                <c:pt idx="2">
                  <c:v>54.072000000000003</c:v>
                </c:pt>
                <c:pt idx="3">
                  <c:v>56.408000000000001</c:v>
                </c:pt>
                <c:pt idx="4">
                  <c:v>55.784999999999997</c:v>
                </c:pt>
                <c:pt idx="5">
                  <c:v>56.851999999999997</c:v>
                </c:pt>
                <c:pt idx="6">
                  <c:v>58.892000000000003</c:v>
                </c:pt>
                <c:pt idx="7">
                  <c:v>56.921999999999997</c:v>
                </c:pt>
                <c:pt idx="8">
                  <c:v>55.814</c:v>
                </c:pt>
                <c:pt idx="9">
                  <c:v>51.381</c:v>
                </c:pt>
                <c:pt idx="10">
                  <c:v>61.313000000000002</c:v>
                </c:pt>
                <c:pt idx="11">
                  <c:v>54.033999999999999</c:v>
                </c:pt>
                <c:pt idx="12">
                  <c:v>50.805999999999997</c:v>
                </c:pt>
              </c:numCache>
            </c:numRef>
          </c:val>
        </c:ser>
        <c:ser>
          <c:idx val="4"/>
          <c:order val="5"/>
          <c:tx>
            <c:strRef>
              <c:f>[Atteli_29092014.xlsx]KPEP!$D$9</c:f>
              <c:strCache>
                <c:ptCount val="1"/>
                <c:pt idx="0">
                  <c:v>Kurināmā koksne un kokogles</c:v>
                </c:pt>
              </c:strCache>
            </c:strRef>
          </c:tx>
          <c:spPr>
            <a:solidFill>
              <a:schemeClr val="accent5"/>
            </a:solidFill>
            <a:ln>
              <a:noFill/>
            </a:ln>
            <a:effectLst/>
          </c:spPr>
          <c:invertIfNegative val="0"/>
          <c:cat>
            <c:numRef>
              <c:f>[Atteli_29092014.xlsx]KPEP!$O$2:$AA$2</c:f>
              <c:numCache>
                <c:formatCode>General</c:formatCode>
                <c:ptCount val="13"/>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numCache>
            </c:numRef>
          </c:cat>
          <c:val>
            <c:numRef>
              <c:f>[Atteli_29092014.xlsx]KPEP!$O$9:$AA$9</c:f>
              <c:numCache>
                <c:formatCode>0.00</c:formatCode>
                <c:ptCount val="13"/>
                <c:pt idx="0">
                  <c:v>39.695999999999998</c:v>
                </c:pt>
                <c:pt idx="1">
                  <c:v>44.307000000000002</c:v>
                </c:pt>
                <c:pt idx="2">
                  <c:v>43.981000000000002</c:v>
                </c:pt>
                <c:pt idx="3">
                  <c:v>46.670000000000009</c:v>
                </c:pt>
                <c:pt idx="4">
                  <c:v>49.165999999999997</c:v>
                </c:pt>
                <c:pt idx="5">
                  <c:v>49.216000000000001</c:v>
                </c:pt>
                <c:pt idx="6">
                  <c:v>49.566999999999993</c:v>
                </c:pt>
                <c:pt idx="7">
                  <c:v>48.481000000000002</c:v>
                </c:pt>
                <c:pt idx="8">
                  <c:v>45.808</c:v>
                </c:pt>
                <c:pt idx="9">
                  <c:v>52.350999999999999</c:v>
                </c:pt>
                <c:pt idx="10">
                  <c:v>51.143999999999998</c:v>
                </c:pt>
                <c:pt idx="11">
                  <c:v>46.661000000000001</c:v>
                </c:pt>
                <c:pt idx="12">
                  <c:v>52.234999999999999</c:v>
                </c:pt>
              </c:numCache>
            </c:numRef>
          </c:val>
        </c:ser>
        <c:ser>
          <c:idx val="5"/>
          <c:order val="6"/>
          <c:tx>
            <c:strRef>
              <c:f>[Atteli_29092014.xlsx]KPEP!$D$17</c:f>
              <c:strCache>
                <c:ptCount val="1"/>
                <c:pt idx="0">
                  <c:v>Salmi, cita biomasa, biogāze, biodegvielas</c:v>
                </c:pt>
              </c:strCache>
            </c:strRef>
          </c:tx>
          <c:spPr>
            <a:solidFill>
              <a:schemeClr val="accent6"/>
            </a:solidFill>
            <a:ln>
              <a:noFill/>
            </a:ln>
            <a:effectLst/>
          </c:spPr>
          <c:invertIfNegative val="0"/>
          <c:cat>
            <c:numRef>
              <c:f>[Atteli_29092014.xlsx]KPEP!$O$2:$AA$2</c:f>
              <c:numCache>
                <c:formatCode>General</c:formatCode>
                <c:ptCount val="13"/>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numCache>
            </c:numRef>
          </c:cat>
          <c:val>
            <c:numRef>
              <c:f>[Atteli_29092014.xlsx]KPEP!$O$17:$AA$17</c:f>
              <c:numCache>
                <c:formatCode>0.0</c:formatCode>
                <c:ptCount val="13"/>
                <c:pt idx="0">
                  <c:v>0</c:v>
                </c:pt>
                <c:pt idx="1">
                  <c:v>0</c:v>
                </c:pt>
                <c:pt idx="2">
                  <c:v>5.5E-2</c:v>
                </c:pt>
                <c:pt idx="3">
                  <c:v>0.159</c:v>
                </c:pt>
                <c:pt idx="4">
                  <c:v>0.29499999999999998</c:v>
                </c:pt>
                <c:pt idx="5">
                  <c:v>0.44800000000000001</c:v>
                </c:pt>
                <c:pt idx="6">
                  <c:v>0.43099999999999999</c:v>
                </c:pt>
                <c:pt idx="7">
                  <c:v>0.40500000000000003</c:v>
                </c:pt>
                <c:pt idx="8">
                  <c:v>0.46600000000000003</c:v>
                </c:pt>
                <c:pt idx="9">
                  <c:v>0.61799999999999999</c:v>
                </c:pt>
                <c:pt idx="10">
                  <c:v>1.776</c:v>
                </c:pt>
                <c:pt idx="11">
                  <c:v>2.0300000000000002</c:v>
                </c:pt>
                <c:pt idx="12">
                  <c:v>3.1509999999999998</c:v>
                </c:pt>
              </c:numCache>
            </c:numRef>
          </c:val>
        </c:ser>
        <c:ser>
          <c:idx val="9"/>
          <c:order val="7"/>
          <c:tx>
            <c:strRef>
              <c:f>[Atteli_29092014.xlsx]KPEP!$D$13</c:f>
              <c:strCache>
                <c:ptCount val="1"/>
                <c:pt idx="0">
                  <c:v>Hidroenerģija un vēja enerģija</c:v>
                </c:pt>
              </c:strCache>
            </c:strRef>
          </c:tx>
          <c:spPr>
            <a:solidFill>
              <a:schemeClr val="accent4">
                <a:lumMod val="60000"/>
              </a:schemeClr>
            </a:solidFill>
            <a:ln>
              <a:noFill/>
            </a:ln>
            <a:effectLst/>
          </c:spPr>
          <c:invertIfNegative val="0"/>
          <c:cat>
            <c:numRef>
              <c:f>[Atteli_29092014.xlsx]KPEP!$O$2:$AA$2</c:f>
              <c:numCache>
                <c:formatCode>General</c:formatCode>
                <c:ptCount val="13"/>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numCache>
            </c:numRef>
          </c:cat>
          <c:val>
            <c:numRef>
              <c:f>[Atteli_29092014.xlsx]KPEP!$O$13:$AA$13</c:f>
              <c:numCache>
                <c:formatCode>0.00</c:formatCode>
                <c:ptCount val="13"/>
                <c:pt idx="0">
                  <c:v>10.163</c:v>
                </c:pt>
                <c:pt idx="1">
                  <c:v>10.210000000000001</c:v>
                </c:pt>
                <c:pt idx="2">
                  <c:v>8.9060000000000006</c:v>
                </c:pt>
                <c:pt idx="3">
                  <c:v>8.33</c:v>
                </c:pt>
                <c:pt idx="4">
                  <c:v>11.369</c:v>
                </c:pt>
                <c:pt idx="5">
                  <c:v>12.138999999999999</c:v>
                </c:pt>
                <c:pt idx="6">
                  <c:v>9.8780000000000001</c:v>
                </c:pt>
                <c:pt idx="7">
                  <c:v>10.029999999999999</c:v>
                </c:pt>
                <c:pt idx="8">
                  <c:v>11.404999999999999</c:v>
                </c:pt>
                <c:pt idx="9">
                  <c:v>12.625</c:v>
                </c:pt>
                <c:pt idx="10">
                  <c:v>12.848000000000001</c:v>
                </c:pt>
                <c:pt idx="11">
                  <c:v>10.648999999999999</c:v>
                </c:pt>
                <c:pt idx="12">
                  <c:v>13.756</c:v>
                </c:pt>
              </c:numCache>
            </c:numRef>
          </c:val>
        </c:ser>
        <c:ser>
          <c:idx val="6"/>
          <c:order val="8"/>
          <c:tx>
            <c:strRef>
              <c:f>[Atteli_29092014.xlsx]KPEP!$D$14</c:f>
              <c:strCache>
                <c:ptCount val="1"/>
                <c:pt idx="0">
                  <c:v>Elektroenerģijas neto imports</c:v>
                </c:pt>
              </c:strCache>
            </c:strRef>
          </c:tx>
          <c:spPr>
            <a:solidFill>
              <a:schemeClr val="accent1">
                <a:lumMod val="60000"/>
              </a:schemeClr>
            </a:solidFill>
            <a:ln>
              <a:noFill/>
            </a:ln>
            <a:effectLst/>
          </c:spPr>
          <c:invertIfNegative val="0"/>
          <c:cat>
            <c:numRef>
              <c:f>[Atteli_29092014.xlsx]KPEP!$O$2:$AA$2</c:f>
              <c:numCache>
                <c:formatCode>General</c:formatCode>
                <c:ptCount val="13"/>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numCache>
            </c:numRef>
          </c:cat>
          <c:val>
            <c:numRef>
              <c:f>[Atteli_29092014.xlsx]KPEP!$O$14:$AA$14</c:f>
              <c:numCache>
                <c:formatCode>0.00</c:formatCode>
                <c:ptCount val="13"/>
                <c:pt idx="0">
                  <c:v>6.43</c:v>
                </c:pt>
                <c:pt idx="1">
                  <c:v>6.7789999999999999</c:v>
                </c:pt>
                <c:pt idx="2">
                  <c:v>8.4529999999999994</c:v>
                </c:pt>
                <c:pt idx="3">
                  <c:v>9.4789999999999992</c:v>
                </c:pt>
                <c:pt idx="4">
                  <c:v>7.5490000000000004</c:v>
                </c:pt>
                <c:pt idx="5">
                  <c:v>7.7329999999999997</c:v>
                </c:pt>
                <c:pt idx="6">
                  <c:v>9.0289999999999999</c:v>
                </c:pt>
                <c:pt idx="7">
                  <c:v>10.8</c:v>
                </c:pt>
                <c:pt idx="8">
                  <c:v>9.0719999999999992</c:v>
                </c:pt>
                <c:pt idx="9">
                  <c:v>5.9550000000000001</c:v>
                </c:pt>
                <c:pt idx="10">
                  <c:v>3.1429999999999998</c:v>
                </c:pt>
                <c:pt idx="11">
                  <c:v>4.4820000000000002</c:v>
                </c:pt>
                <c:pt idx="12">
                  <c:v>6.0880000000000001</c:v>
                </c:pt>
              </c:numCache>
            </c:numRef>
          </c:val>
        </c:ser>
        <c:dLbls>
          <c:showLegendKey val="0"/>
          <c:showVal val="0"/>
          <c:showCatName val="0"/>
          <c:showSerName val="0"/>
          <c:showPercent val="0"/>
          <c:showBubbleSize val="0"/>
        </c:dLbls>
        <c:gapWidth val="50"/>
        <c:overlap val="100"/>
        <c:axId val="250655488"/>
        <c:axId val="250657024"/>
      </c:barChart>
      <c:lineChart>
        <c:grouping val="standard"/>
        <c:varyColors val="0"/>
        <c:ser>
          <c:idx val="7"/>
          <c:order val="9"/>
          <c:tx>
            <c:strRef>
              <c:f>[Atteli_29092014.xlsx]KPEP!$D$15</c:f>
              <c:strCache>
                <c:ptCount val="1"/>
                <c:pt idx="0">
                  <c:v>Pašnodrošinājums</c:v>
                </c:pt>
              </c:strCache>
            </c:strRef>
          </c:tx>
          <c:spPr>
            <a:ln w="28575" cap="rnd" cmpd="sng" algn="ctr">
              <a:solidFill>
                <a:schemeClr val="accent2">
                  <a:lumMod val="60000"/>
                  <a:shade val="95000"/>
                  <a:satMod val="105000"/>
                </a:schemeClr>
              </a:solidFill>
              <a:prstDash val="solid"/>
              <a:round/>
            </a:ln>
            <a:effectLst/>
          </c:spPr>
          <c:marker>
            <c:symbol val="circle"/>
            <c:size val="9"/>
            <c:spPr>
              <a:solidFill>
                <a:schemeClr val="accent2">
                  <a:lumMod val="60000"/>
                </a:schemeClr>
              </a:solidFill>
              <a:ln w="9525" cap="flat" cmpd="sng" algn="ctr">
                <a:solidFill>
                  <a:schemeClr val="accent2">
                    <a:lumMod val="60000"/>
                    <a:shade val="95000"/>
                    <a:satMod val="105000"/>
                  </a:schemeClr>
                </a:solidFill>
                <a:prstDash val="solid"/>
                <a:round/>
              </a:ln>
              <a:effectLst/>
            </c:spPr>
          </c:marker>
          <c:dLbls>
            <c:spPr>
              <a:noFill/>
              <a:ln>
                <a:noFill/>
              </a:ln>
              <a:effectLst/>
            </c:spPr>
            <c:txPr>
              <a:bodyPr rot="0" spcFirstLastPara="1" vertOverflow="ellipsis" vert="horz" wrap="square" anchor="ctr" anchorCtr="1"/>
              <a:lstStyle/>
              <a:p>
                <a:pPr>
                  <a:defRPr sz="950" b="1" i="0" u="none" strike="noStrike" kern="1200" baseline="0">
                    <a:solidFill>
                      <a:srgbClr val="000000"/>
                    </a:solidFill>
                    <a:latin typeface="Arial Narrow" pitchFamily="34" charset="0"/>
                    <a:ea typeface="Arial"/>
                    <a:cs typeface="Arial"/>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'1990-2012'!#REF!</c:f>
            </c:multiLvlStrRef>
          </c:cat>
          <c:val>
            <c:numRef>
              <c:f>[Atteli_29092014.xlsx]KPEP!$O$15:$AA$15</c:f>
              <c:numCache>
                <c:formatCode>0.0%</c:formatCode>
                <c:ptCount val="13"/>
                <c:pt idx="0">
                  <c:v>0.31922673176685989</c:v>
                </c:pt>
                <c:pt idx="1">
                  <c:v>0.31763174534455157</c:v>
                </c:pt>
                <c:pt idx="2">
                  <c:v>0.30738294910535424</c:v>
                </c:pt>
                <c:pt idx="3">
                  <c:v>0.30541310232222579</c:v>
                </c:pt>
                <c:pt idx="4">
                  <c:v>0.32514985001725466</c:v>
                </c:pt>
                <c:pt idx="5">
                  <c:v>0.32359848030810756</c:v>
                </c:pt>
                <c:pt idx="6">
                  <c:v>0.29962369562050029</c:v>
                </c:pt>
                <c:pt idx="7">
                  <c:v>0.28950275162996197</c:v>
                </c:pt>
                <c:pt idx="8">
                  <c:v>0.2940320381037676</c:v>
                </c:pt>
                <c:pt idx="9">
                  <c:v>0.34684845822904048</c:v>
                </c:pt>
                <c:pt idx="10">
                  <c:v>0.32838023814747597</c:v>
                </c:pt>
                <c:pt idx="11">
                  <c:v>0.31696540044077254</c:v>
                </c:pt>
                <c:pt idx="12">
                  <c:v>0.35487730013064894</c:v>
                </c:pt>
              </c:numCache>
            </c:numRef>
          </c:val>
          <c:smooth val="0"/>
        </c:ser>
        <c:dLbls>
          <c:showLegendKey val="0"/>
          <c:showVal val="0"/>
          <c:showCatName val="0"/>
          <c:showSerName val="0"/>
          <c:showPercent val="0"/>
          <c:showBubbleSize val="0"/>
        </c:dLbls>
        <c:marker val="1"/>
        <c:smooth val="0"/>
        <c:axId val="252379520"/>
        <c:axId val="252381056"/>
      </c:lineChart>
      <c:catAx>
        <c:axId val="250655488"/>
        <c:scaling>
          <c:orientation val="minMax"/>
        </c:scaling>
        <c:delete val="0"/>
        <c:axPos val="b"/>
        <c:numFmt formatCode="General" sourceLinked="1"/>
        <c:majorTickMark val="out"/>
        <c:minorTickMark val="none"/>
        <c:tickLblPos val="nextTo"/>
        <c:spPr>
          <a:noFill/>
          <a:ln w="3175" cap="flat" cmpd="sng" algn="ctr">
            <a:solidFill>
              <a:srgbClr val="000000"/>
            </a:solidFill>
            <a:prstDash val="solid"/>
            <a:round/>
          </a:ln>
          <a:effectLst/>
        </c:spPr>
        <c:txPr>
          <a:bodyPr rot="0" spcFirstLastPara="1" vertOverflow="ellipsis" wrap="square" anchor="ctr" anchorCtr="1"/>
          <a:lstStyle/>
          <a:p>
            <a:pPr>
              <a:defRPr sz="1100" b="0" i="0" u="none" strike="noStrike" kern="1200" baseline="0">
                <a:solidFill>
                  <a:srgbClr val="000000"/>
                </a:solidFill>
                <a:latin typeface="Arial Narrow" pitchFamily="34" charset="0"/>
                <a:ea typeface="Arial"/>
                <a:cs typeface="Arial"/>
              </a:defRPr>
            </a:pPr>
            <a:endParaRPr lang="lv-LV"/>
          </a:p>
        </c:txPr>
        <c:crossAx val="250657024"/>
        <c:crosses val="autoZero"/>
        <c:auto val="1"/>
        <c:lblAlgn val="ctr"/>
        <c:lblOffset val="100"/>
        <c:tickLblSkip val="1"/>
        <c:tickMarkSkip val="1"/>
        <c:noMultiLvlLbl val="0"/>
      </c:catAx>
      <c:valAx>
        <c:axId val="250657024"/>
        <c:scaling>
          <c:orientation val="minMax"/>
          <c:max val="210"/>
        </c:scaling>
        <c:delete val="0"/>
        <c:axPos val="l"/>
        <c:majorGridlines>
          <c:spPr>
            <a:ln w="3175" cap="flat" cmpd="sng" algn="ctr">
              <a:solidFill>
                <a:srgbClr val="808080"/>
              </a:solidFill>
              <a:prstDash val="solid"/>
              <a:round/>
            </a:ln>
            <a:effectLst/>
          </c:spPr>
        </c:majorGridlines>
        <c:title>
          <c:tx>
            <c:rich>
              <a:bodyPr rot="0" spcFirstLastPara="1" vertOverflow="ellipsis" wrap="square" anchor="ctr" anchorCtr="1"/>
              <a:lstStyle/>
              <a:p>
                <a:pPr algn="ctr">
                  <a:defRPr sz="1100" b="0" i="0" u="none" strike="noStrike" kern="1200" baseline="0">
                    <a:solidFill>
                      <a:srgbClr val="000000"/>
                    </a:solidFill>
                    <a:latin typeface="Arial Narrow" pitchFamily="34" charset="0"/>
                    <a:ea typeface="Arial"/>
                    <a:cs typeface="Arial"/>
                  </a:defRPr>
                </a:pPr>
                <a:r>
                  <a:rPr lang="lv-LV" sz="1100"/>
                  <a:t>PJ</a:t>
                </a:r>
              </a:p>
            </c:rich>
          </c:tx>
          <c:layout>
            <c:manualLayout>
              <c:xMode val="edge"/>
              <c:yMode val="edge"/>
              <c:x val="3.0241545893719807E-3"/>
              <c:y val="1.6286919831223618E-3"/>
            </c:manualLayout>
          </c:layout>
          <c:overlay val="0"/>
          <c:spPr>
            <a:noFill/>
            <a:ln w="25400">
              <a:noFill/>
            </a:ln>
            <a:effectLst/>
          </c:spPr>
        </c:title>
        <c:numFmt formatCode="0" sourceLinked="0"/>
        <c:majorTickMark val="out"/>
        <c:minorTickMark val="none"/>
        <c:tickLblPos val="nextTo"/>
        <c:spPr>
          <a:noFill/>
          <a:ln w="3175" cap="flat" cmpd="sng" algn="ctr">
            <a:solidFill>
              <a:srgbClr val="000000"/>
            </a:solidFill>
            <a:prstDash val="solid"/>
            <a:round/>
          </a:ln>
          <a:effectLst/>
        </c:spPr>
        <c:txPr>
          <a:bodyPr rot="0" spcFirstLastPara="1" vertOverflow="ellipsis" wrap="square" anchor="ctr" anchorCtr="1"/>
          <a:lstStyle/>
          <a:p>
            <a:pPr>
              <a:defRPr sz="1100" b="0" i="0" u="none" strike="noStrike" kern="1200" baseline="0">
                <a:solidFill>
                  <a:srgbClr val="000000"/>
                </a:solidFill>
                <a:latin typeface="Arial Narrow" pitchFamily="34" charset="0"/>
                <a:ea typeface="Arial"/>
                <a:cs typeface="Arial"/>
              </a:defRPr>
            </a:pPr>
            <a:endParaRPr lang="lv-LV"/>
          </a:p>
        </c:txPr>
        <c:crossAx val="250655488"/>
        <c:crosses val="autoZero"/>
        <c:crossBetween val="between"/>
        <c:majorUnit val="30"/>
      </c:valAx>
      <c:catAx>
        <c:axId val="252379520"/>
        <c:scaling>
          <c:orientation val="minMax"/>
        </c:scaling>
        <c:delete val="1"/>
        <c:axPos val="b"/>
        <c:numFmt formatCode="0" sourceLinked="1"/>
        <c:majorTickMark val="out"/>
        <c:minorTickMark val="none"/>
        <c:tickLblPos val="none"/>
        <c:crossAx val="252381056"/>
        <c:crosses val="autoZero"/>
        <c:auto val="1"/>
        <c:lblAlgn val="ctr"/>
        <c:lblOffset val="100"/>
        <c:noMultiLvlLbl val="0"/>
      </c:catAx>
      <c:valAx>
        <c:axId val="252381056"/>
        <c:scaling>
          <c:orientation val="minMax"/>
          <c:max val="1"/>
          <c:min val="0"/>
        </c:scaling>
        <c:delete val="0"/>
        <c:axPos val="r"/>
        <c:title>
          <c:tx>
            <c:rich>
              <a:bodyPr rot="0" spcFirstLastPara="1" vertOverflow="ellipsis" wrap="square" anchor="ctr" anchorCtr="1"/>
              <a:lstStyle/>
              <a:p>
                <a:pPr algn="r">
                  <a:defRPr sz="1100" b="0" i="0" u="none" strike="noStrike" kern="1200" baseline="0">
                    <a:solidFill>
                      <a:srgbClr val="000000"/>
                    </a:solidFill>
                    <a:latin typeface="Arial Narrow" pitchFamily="34" charset="0"/>
                    <a:ea typeface="Arial"/>
                    <a:cs typeface="Arial"/>
                  </a:defRPr>
                </a:pPr>
                <a:r>
                  <a:rPr lang="lv-LV" sz="1100"/>
                  <a:t>Pašnodrošinājums</a:t>
                </a:r>
              </a:p>
            </c:rich>
          </c:tx>
          <c:layout>
            <c:manualLayout>
              <c:xMode val="edge"/>
              <c:yMode val="edge"/>
              <c:x val="0.5398391304347826"/>
              <c:y val="6.431786216596346E-3"/>
            </c:manualLayout>
          </c:layout>
          <c:overlay val="0"/>
          <c:spPr>
            <a:noFill/>
            <a:ln>
              <a:noFill/>
            </a:ln>
            <a:effectLst/>
          </c:spPr>
        </c:title>
        <c:numFmt formatCode="0%" sourceLinked="0"/>
        <c:majorTickMark val="out"/>
        <c:minorTickMark val="none"/>
        <c:tickLblPos val="nextTo"/>
        <c:spPr>
          <a:noFill/>
          <a:ln w="3175" cap="flat" cmpd="sng" algn="ctr">
            <a:solidFill>
              <a:srgbClr val="000000"/>
            </a:solidFill>
            <a:prstDash val="solid"/>
            <a:round/>
          </a:ln>
          <a:effectLst/>
        </c:spPr>
        <c:txPr>
          <a:bodyPr rot="0" spcFirstLastPara="1" vertOverflow="ellipsis" wrap="square" anchor="ctr" anchorCtr="1"/>
          <a:lstStyle/>
          <a:p>
            <a:pPr>
              <a:defRPr sz="1100" b="0" i="0" u="none" strike="noStrike" kern="1200" baseline="0">
                <a:solidFill>
                  <a:srgbClr val="000000"/>
                </a:solidFill>
                <a:latin typeface="Arial Narrow" pitchFamily="34" charset="0"/>
                <a:ea typeface="Arial"/>
                <a:cs typeface="Arial"/>
              </a:defRPr>
            </a:pPr>
            <a:endParaRPr lang="lv-LV"/>
          </a:p>
        </c:txPr>
        <c:crossAx val="252379520"/>
        <c:crosses val="max"/>
        <c:crossBetween val="between"/>
        <c:majorUnit val="0.2"/>
      </c:valAx>
      <c:spPr>
        <a:noFill/>
        <a:ln w="12700">
          <a:solidFill>
            <a:srgbClr val="808080"/>
          </a:solidFill>
          <a:prstDash val="solid"/>
        </a:ln>
        <a:effectLst/>
      </c:spPr>
    </c:plotArea>
    <c:legend>
      <c:legendPos val="r"/>
      <c:layout>
        <c:manualLayout>
          <c:xMode val="edge"/>
          <c:yMode val="edge"/>
          <c:x val="0.69013703886578193"/>
          <c:y val="9.9360166249986434E-2"/>
          <c:w val="0.30544830917874394"/>
          <c:h val="0.77611556493202061"/>
        </c:manualLayout>
      </c:layout>
      <c:overlay val="0"/>
      <c:spPr>
        <a:noFill/>
        <a:ln w="25400">
          <a:noFill/>
        </a:ln>
        <a:effectLst/>
      </c:spPr>
      <c:txPr>
        <a:bodyPr rot="0" spcFirstLastPara="1" vertOverflow="ellipsis" vert="horz" wrap="square" anchor="ctr" anchorCtr="1"/>
        <a:lstStyle/>
        <a:p>
          <a:pPr>
            <a:defRPr sz="1100" b="0" i="0" u="none" strike="noStrike" kern="1200" baseline="0">
              <a:solidFill>
                <a:srgbClr val="000000"/>
              </a:solidFill>
              <a:latin typeface="Arial Narrow" pitchFamily="34" charset="0"/>
              <a:ea typeface="Arial"/>
              <a:cs typeface="Arial"/>
            </a:defRPr>
          </a:pPr>
          <a:endParaRPr lang="lv-LV"/>
        </a:p>
      </c:txPr>
    </c:legend>
    <c:plotVisOnly val="0"/>
    <c:dispBlanksAs val="gap"/>
    <c:showDLblsOverMax val="0"/>
  </c:chart>
  <c:spPr>
    <a:solidFill>
      <a:sysClr val="window" lastClr="FFFFFF"/>
    </a:solidFill>
    <a:ln w="9525" cap="flat" cmpd="sng" algn="ctr">
      <a:noFill/>
      <a:prstDash val="solid"/>
      <a:round/>
    </a:ln>
    <a:effectLst/>
  </c:spPr>
  <c:txPr>
    <a:bodyPr/>
    <a:lstStyle/>
    <a:p>
      <a:pPr>
        <a:defRPr sz="1150" b="0" i="0" u="none" strike="noStrike" baseline="0">
          <a:solidFill>
            <a:srgbClr val="000000"/>
          </a:solidFill>
          <a:latin typeface="Arial Narrow" pitchFamily="34" charset="0"/>
          <a:ea typeface="Arial"/>
          <a:cs typeface="Arial"/>
        </a:defRPr>
      </a:pPr>
      <a:endParaRPr lang="lv-LV"/>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Sheet1!$B$86</c:f>
              <c:strCache>
                <c:ptCount val="1"/>
                <c:pt idx="0">
                  <c:v>AS "Latvijas Gāze"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Sheet1!$A$87:$A$99</c:f>
              <c:numCache>
                <c:formatCode>General</c:formatCode>
                <c:ptCount val="13"/>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numCache>
            </c:numRef>
          </c:cat>
          <c:val>
            <c:numRef>
              <c:f>Sheet1!$B$87:$B$99</c:f>
              <c:numCache>
                <c:formatCode>0%</c:formatCode>
                <c:ptCount val="13"/>
                <c:pt idx="0">
                  <c:v>0.51</c:v>
                </c:pt>
                <c:pt idx="1">
                  <c:v>0.56000000000000005</c:v>
                </c:pt>
                <c:pt idx="2">
                  <c:v>0.54</c:v>
                </c:pt>
                <c:pt idx="3">
                  <c:v>0.55000000000000004</c:v>
                </c:pt>
                <c:pt idx="4">
                  <c:v>0.57999999999999996</c:v>
                </c:pt>
                <c:pt idx="5">
                  <c:v>0.53</c:v>
                </c:pt>
                <c:pt idx="6">
                  <c:v>0.53</c:v>
                </c:pt>
                <c:pt idx="7">
                  <c:v>0.65</c:v>
                </c:pt>
                <c:pt idx="8">
                  <c:v>0.56999999999999995</c:v>
                </c:pt>
                <c:pt idx="9">
                  <c:v>0.72</c:v>
                </c:pt>
                <c:pt idx="10">
                  <c:v>0.61</c:v>
                </c:pt>
                <c:pt idx="11">
                  <c:v>0.55000000000000004</c:v>
                </c:pt>
                <c:pt idx="12">
                  <c:v>0.5</c:v>
                </c:pt>
              </c:numCache>
            </c:numRef>
          </c:val>
        </c:ser>
        <c:ser>
          <c:idx val="1"/>
          <c:order val="1"/>
          <c:tx>
            <c:strRef>
              <c:f>Sheet1!$C$86</c:f>
              <c:strCache>
                <c:ptCount val="1"/>
                <c:pt idx="0">
                  <c:v>AAS "Gazprom"</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Sheet1!$A$87:$A$99</c:f>
              <c:numCache>
                <c:formatCode>General</c:formatCode>
                <c:ptCount val="13"/>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numCache>
            </c:numRef>
          </c:cat>
          <c:val>
            <c:numRef>
              <c:f>Sheet1!$C$87:$C$99</c:f>
              <c:numCache>
                <c:formatCode>0%</c:formatCode>
                <c:ptCount val="13"/>
                <c:pt idx="0">
                  <c:v>0.32</c:v>
                </c:pt>
                <c:pt idx="1">
                  <c:v>0.22</c:v>
                </c:pt>
                <c:pt idx="2">
                  <c:v>0.2</c:v>
                </c:pt>
                <c:pt idx="3">
                  <c:v>0.22</c:v>
                </c:pt>
                <c:pt idx="4">
                  <c:v>0.17</c:v>
                </c:pt>
                <c:pt idx="5">
                  <c:v>0.21</c:v>
                </c:pt>
                <c:pt idx="6">
                  <c:v>0.19</c:v>
                </c:pt>
                <c:pt idx="7">
                  <c:v>0.08</c:v>
                </c:pt>
                <c:pt idx="8">
                  <c:v>0.1</c:v>
                </c:pt>
                <c:pt idx="9">
                  <c:v>0.1</c:v>
                </c:pt>
                <c:pt idx="10">
                  <c:v>0.17</c:v>
                </c:pt>
                <c:pt idx="11">
                  <c:v>0.25</c:v>
                </c:pt>
                <c:pt idx="12">
                  <c:v>0.28000000000000003</c:v>
                </c:pt>
              </c:numCache>
            </c:numRef>
          </c:val>
        </c:ser>
        <c:ser>
          <c:idx val="2"/>
          <c:order val="2"/>
          <c:tx>
            <c:strRef>
              <c:f>Sheet1!$D$86</c:f>
              <c:strCache>
                <c:ptCount val="1"/>
                <c:pt idx="0">
                  <c:v>AS "Eesti Gaas"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Sheet1!$A$87:$A$99</c:f>
              <c:numCache>
                <c:formatCode>General</c:formatCode>
                <c:ptCount val="13"/>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numCache>
            </c:numRef>
          </c:cat>
          <c:val>
            <c:numRef>
              <c:f>Sheet1!$D$87:$D$99</c:f>
              <c:numCache>
                <c:formatCode>0%</c:formatCode>
                <c:ptCount val="13"/>
                <c:pt idx="0">
                  <c:v>0.17</c:v>
                </c:pt>
                <c:pt idx="1">
                  <c:v>0.22</c:v>
                </c:pt>
                <c:pt idx="2">
                  <c:v>0.26</c:v>
                </c:pt>
                <c:pt idx="3">
                  <c:v>0.24</c:v>
                </c:pt>
                <c:pt idx="4">
                  <c:v>0.25</c:v>
                </c:pt>
                <c:pt idx="5">
                  <c:v>0.26</c:v>
                </c:pt>
                <c:pt idx="6">
                  <c:v>0.28000000000000003</c:v>
                </c:pt>
                <c:pt idx="7">
                  <c:v>0.27</c:v>
                </c:pt>
                <c:pt idx="8">
                  <c:v>0.26</c:v>
                </c:pt>
                <c:pt idx="9">
                  <c:v>0.16</c:v>
                </c:pt>
                <c:pt idx="10">
                  <c:v>0.22</c:v>
                </c:pt>
                <c:pt idx="11">
                  <c:v>0.2</c:v>
                </c:pt>
                <c:pt idx="12">
                  <c:v>0.22</c:v>
                </c:pt>
              </c:numCache>
            </c:numRef>
          </c:val>
        </c:ser>
        <c:ser>
          <c:idx val="3"/>
          <c:order val="3"/>
          <c:tx>
            <c:strRef>
              <c:f>Sheet1!$E$86</c:f>
              <c:strCache>
                <c:ptCount val="1"/>
                <c:pt idx="0">
                  <c:v>AS "Lietuvos Dujos"</c:v>
                </c:pt>
              </c:strCache>
            </c:strRef>
          </c:tx>
          <c:spPr>
            <a:solidFill>
              <a:schemeClr val="accent4"/>
            </a:solidFill>
            <a:ln>
              <a:noFill/>
            </a:ln>
            <a:effectLst/>
          </c:spPr>
          <c:invertIfNegative val="0"/>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6"/>
              <c:delete val="1"/>
              <c:extLst>
                <c:ext xmlns:c15="http://schemas.microsoft.com/office/drawing/2012/chart" uri="{CE6537A1-D6FC-4f65-9D91-7224C49458BB}"/>
              </c:extLst>
            </c:dLbl>
            <c:dLbl>
              <c:idx val="7"/>
              <c:delete val="1"/>
              <c:extLst>
                <c:ext xmlns:c15="http://schemas.microsoft.com/office/drawing/2012/chart" uri="{CE6537A1-D6FC-4f65-9D91-7224C49458BB}"/>
              </c:extLst>
            </c:dLbl>
            <c:dLbl>
              <c:idx val="11"/>
              <c:delete val="1"/>
              <c:extLst>
                <c:ext xmlns:c15="http://schemas.microsoft.com/office/drawing/2012/chart" uri="{CE6537A1-D6FC-4f65-9D91-7224C49458BB}"/>
              </c:extLst>
            </c:dLbl>
            <c:dLbl>
              <c:idx val="12"/>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Sheet1!$A$87:$A$99</c:f>
              <c:numCache>
                <c:formatCode>General</c:formatCode>
                <c:ptCount val="13"/>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numCache>
            </c:numRef>
          </c:cat>
          <c:val>
            <c:numRef>
              <c:f>Sheet1!$E$87:$E$99</c:f>
              <c:numCache>
                <c:formatCode>0%</c:formatCode>
                <c:ptCount val="13"/>
                <c:pt idx="0">
                  <c:v>0</c:v>
                </c:pt>
                <c:pt idx="1">
                  <c:v>0</c:v>
                </c:pt>
                <c:pt idx="2">
                  <c:v>0</c:v>
                </c:pt>
                <c:pt idx="3">
                  <c:v>0</c:v>
                </c:pt>
                <c:pt idx="4">
                  <c:v>0</c:v>
                </c:pt>
                <c:pt idx="5">
                  <c:v>0</c:v>
                </c:pt>
                <c:pt idx="6">
                  <c:v>0</c:v>
                </c:pt>
                <c:pt idx="7">
                  <c:v>0</c:v>
                </c:pt>
                <c:pt idx="8">
                  <c:v>7.0000000000000007E-2</c:v>
                </c:pt>
                <c:pt idx="9">
                  <c:v>0.02</c:v>
                </c:pt>
                <c:pt idx="10">
                  <c:v>0.01</c:v>
                </c:pt>
                <c:pt idx="11">
                  <c:v>0</c:v>
                </c:pt>
                <c:pt idx="12">
                  <c:v>0</c:v>
                </c:pt>
              </c:numCache>
            </c:numRef>
          </c:val>
        </c:ser>
        <c:dLbls>
          <c:dLblPos val="ctr"/>
          <c:showLegendKey val="0"/>
          <c:showVal val="1"/>
          <c:showCatName val="0"/>
          <c:showSerName val="0"/>
          <c:showPercent val="0"/>
          <c:showBubbleSize val="0"/>
        </c:dLbls>
        <c:gapWidth val="150"/>
        <c:overlap val="100"/>
        <c:axId val="279425408"/>
        <c:axId val="279426944"/>
      </c:barChart>
      <c:catAx>
        <c:axId val="279425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79426944"/>
        <c:crosses val="autoZero"/>
        <c:auto val="1"/>
        <c:lblAlgn val="ctr"/>
        <c:lblOffset val="100"/>
        <c:noMultiLvlLbl val="0"/>
      </c:catAx>
      <c:valAx>
        <c:axId val="279426944"/>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2794254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4692808073861267E-2"/>
          <c:y val="3.6529680365296802E-2"/>
          <c:w val="0.92421924401291722"/>
          <c:h val="0.51202794856122436"/>
        </c:manualLayout>
      </c:layout>
      <c:barChart>
        <c:barDir val="col"/>
        <c:grouping val="clustered"/>
        <c:varyColors val="0"/>
        <c:ser>
          <c:idx val="1"/>
          <c:order val="0"/>
          <c:spPr>
            <a:solidFill>
              <a:schemeClr val="accent4"/>
            </a:solidFill>
            <a:ln>
              <a:noFill/>
            </a:ln>
            <a:effectLst/>
          </c:spPr>
          <c:invertIfNegative val="0"/>
          <c:dLbls>
            <c:dLbl>
              <c:idx val="0"/>
              <c:layout>
                <c:manualLayout>
                  <c:x val="-1.6329864287255578E-3"/>
                  <c:y val="-3.8387715930902108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4.8989592861766289E-3"/>
                  <c:y val="-2.5591810620601407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4"/>
              <c:layout>
                <c:manualLayout>
                  <c:x val="-2.9937738683322992E-17"/>
                  <c:y val="-3.0710172744721688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6"/>
              <c:layout>
                <c:manualLayout>
                  <c:x val="-1.6329864287255428E-3"/>
                  <c:y val="-2.3032629558541292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8"/>
              <c:layout>
                <c:manualLayout>
                  <c:x val="0"/>
                  <c:y val="-3.0710172744721712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0"/>
              <c:layout>
                <c:manualLayout>
                  <c:x val="4.8989592861766289E-3"/>
                  <c:y val="-3.0710172744721712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2"/>
              <c:layout>
                <c:manualLayout>
                  <c:x val="-5.9875477366645985E-17"/>
                  <c:y val="-3.0710172744721712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4"/>
              <c:layout>
                <c:manualLayout>
                  <c:x val="1.632986428725483E-3"/>
                  <c:y val="-2.5591810620601386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6"/>
              <c:layout>
                <c:manualLayout>
                  <c:x val="0"/>
                  <c:y val="-3.0710172744721688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8"/>
              <c:layout>
                <c:manualLayout>
                  <c:x val="0"/>
                  <c:y val="-3.0710172744721688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0"/>
              <c:layout>
                <c:manualLayout>
                  <c:x val="-1.6329864287255428E-3"/>
                  <c:y val="-3.0710172744721688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2"/>
              <c:layout>
                <c:manualLayout>
                  <c:x val="0"/>
                  <c:y val="-3.8387715930902136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4"/>
              <c:layout>
                <c:manualLayout>
                  <c:x val="-4.8989592861767486E-3"/>
                  <c:y val="-3.8387715930902108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9"/>
              <c:layout>
                <c:manualLayout>
                  <c:x val="-4.8989592861766289E-3"/>
                  <c:y val="-3.8387715930902136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31"/>
              <c:layout>
                <c:manualLayout>
                  <c:x val="-4.8989592861766289E-3"/>
                  <c:y val="-4.0946896992962251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33"/>
              <c:layout>
                <c:manualLayout>
                  <c:x val="0"/>
                  <c:y val="-1.7914267434421007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rezerves!$A$55:$A$88</c:f>
              <c:strCache>
                <c:ptCount val="34"/>
                <c:pt idx="0">
                  <c:v>Ludzas bio-enerģija</c:v>
                </c:pt>
                <c:pt idx="1">
                  <c:v>Norma K- Mālpils</c:v>
                </c:pt>
                <c:pt idx="2">
                  <c:v>Valkas novada domes</c:v>
                </c:pt>
                <c:pt idx="3">
                  <c:v>Kuldīgas siltumtīkli</c:v>
                </c:pt>
                <c:pt idx="4">
                  <c:v>Madonas siltums</c:v>
                </c:pt>
                <c:pt idx="5">
                  <c:v>Pļaviņu komunālie pakalpojumi</c:v>
                </c:pt>
                <c:pt idx="6">
                  <c:v>Valmieras siltums</c:v>
                </c:pt>
                <c:pt idx="7">
                  <c:v>Aizkraukles siltums</c:v>
                </c:pt>
                <c:pt idx="8">
                  <c:v>Iecavas siltums</c:v>
                </c:pt>
                <c:pt idx="9">
                  <c:v>Rūjienas siltums</c:v>
                </c:pt>
                <c:pt idx="10">
                  <c:v>Vidzemes enerģija- Gulbene</c:v>
                </c:pt>
                <c:pt idx="11">
                  <c:v>Limbažu siltums</c:v>
                </c:pt>
                <c:pt idx="12">
                  <c:v>Vangažu namsaimnieks</c:v>
                </c:pt>
                <c:pt idx="13">
                  <c:v>Salaspils siltums</c:v>
                </c:pt>
                <c:pt idx="14">
                  <c:v>Rīgas siltums</c:v>
                </c:pt>
                <c:pt idx="15">
                  <c:v>Krāslavas nami</c:v>
                </c:pt>
                <c:pt idx="16">
                  <c:v>Talsu bio-enerģija</c:v>
                </c:pt>
                <c:pt idx="17">
                  <c:v>Simone- Alūksne</c:v>
                </c:pt>
                <c:pt idx="18">
                  <c:v>Ogre</c:v>
                </c:pt>
                <c:pt idx="19">
                  <c:v>Bauskas siltums</c:v>
                </c:pt>
                <c:pt idx="20">
                  <c:v>Daugavpils siltumtīkli</c:v>
                </c:pt>
                <c:pt idx="21">
                  <c:v>Ventspils siltums</c:v>
                </c:pt>
                <c:pt idx="22">
                  <c:v>Ozolnieks KSDU</c:v>
                </c:pt>
                <c:pt idx="23">
                  <c:v>Liepājas enerģija</c:v>
                </c:pt>
                <c:pt idx="24">
                  <c:v>Fortum Jelgava</c:v>
                </c:pt>
                <c:pt idx="25">
                  <c:v>Rēzekne</c:v>
                </c:pt>
                <c:pt idx="26">
                  <c:v>Tukuma siltums</c:v>
                </c:pt>
                <c:pt idx="27">
                  <c:v>Jēkabpils siltums</c:v>
                </c:pt>
                <c:pt idx="28">
                  <c:v>Wesemann- Sigulda</c:v>
                </c:pt>
                <c:pt idx="29">
                  <c:v>Saldus siltums</c:v>
                </c:pt>
                <c:pt idx="30">
                  <c:v>Olaines ūdens un siltums</c:v>
                </c:pt>
                <c:pt idx="31">
                  <c:v>Jūrmalas siltums</c:v>
                </c:pt>
                <c:pt idx="32">
                  <c:v>Lielvārdes rente</c:v>
                </c:pt>
                <c:pt idx="33">
                  <c:v>Grobiņas siltums</c:v>
                </c:pt>
              </c:strCache>
            </c:strRef>
          </c:cat>
          <c:val>
            <c:numRef>
              <c:f>rezerves!$C$55:$C$88</c:f>
              <c:numCache>
                <c:formatCode>General</c:formatCode>
                <c:ptCount val="34"/>
                <c:pt idx="0">
                  <c:v>45.92</c:v>
                </c:pt>
                <c:pt idx="1">
                  <c:v>48.35</c:v>
                </c:pt>
                <c:pt idx="2">
                  <c:v>48.59</c:v>
                </c:pt>
                <c:pt idx="3" formatCode="0.00">
                  <c:v>49.8</c:v>
                </c:pt>
                <c:pt idx="4">
                  <c:v>50.68</c:v>
                </c:pt>
                <c:pt idx="5">
                  <c:v>53.09</c:v>
                </c:pt>
                <c:pt idx="6">
                  <c:v>53.56</c:v>
                </c:pt>
                <c:pt idx="7">
                  <c:v>54.13</c:v>
                </c:pt>
                <c:pt idx="8">
                  <c:v>54.47</c:v>
                </c:pt>
                <c:pt idx="9">
                  <c:v>54.57</c:v>
                </c:pt>
                <c:pt idx="10">
                  <c:v>55.71</c:v>
                </c:pt>
                <c:pt idx="11">
                  <c:v>56.02</c:v>
                </c:pt>
                <c:pt idx="12">
                  <c:v>56.3</c:v>
                </c:pt>
                <c:pt idx="13">
                  <c:v>56.42</c:v>
                </c:pt>
                <c:pt idx="14">
                  <c:v>56.47</c:v>
                </c:pt>
                <c:pt idx="15">
                  <c:v>56.66</c:v>
                </c:pt>
                <c:pt idx="16">
                  <c:v>57.09</c:v>
                </c:pt>
                <c:pt idx="17">
                  <c:v>57.75</c:v>
                </c:pt>
                <c:pt idx="18">
                  <c:v>58.54</c:v>
                </c:pt>
                <c:pt idx="19">
                  <c:v>58.91</c:v>
                </c:pt>
                <c:pt idx="20">
                  <c:v>59.11</c:v>
                </c:pt>
                <c:pt idx="21">
                  <c:v>59.58</c:v>
                </c:pt>
                <c:pt idx="22">
                  <c:v>59.66</c:v>
                </c:pt>
                <c:pt idx="23">
                  <c:v>59.95</c:v>
                </c:pt>
                <c:pt idx="24">
                  <c:v>60.63</c:v>
                </c:pt>
                <c:pt idx="25">
                  <c:v>60.97</c:v>
                </c:pt>
                <c:pt idx="26">
                  <c:v>91.13</c:v>
                </c:pt>
                <c:pt idx="27">
                  <c:v>62.25</c:v>
                </c:pt>
                <c:pt idx="28">
                  <c:v>65.92</c:v>
                </c:pt>
                <c:pt idx="29">
                  <c:v>66.05</c:v>
                </c:pt>
                <c:pt idx="30">
                  <c:v>66.599999999999994</c:v>
                </c:pt>
                <c:pt idx="31">
                  <c:v>67.03</c:v>
                </c:pt>
                <c:pt idx="32">
                  <c:v>68.94</c:v>
                </c:pt>
                <c:pt idx="33">
                  <c:v>71.040000000000006</c:v>
                </c:pt>
              </c:numCache>
            </c:numRef>
          </c:val>
        </c:ser>
        <c:dLbls>
          <c:dLblPos val="outEnd"/>
          <c:showLegendKey val="0"/>
          <c:showVal val="1"/>
          <c:showCatName val="0"/>
          <c:showSerName val="0"/>
          <c:showPercent val="0"/>
          <c:showBubbleSize val="0"/>
        </c:dLbls>
        <c:gapWidth val="219"/>
        <c:overlap val="-27"/>
        <c:axId val="281441024"/>
        <c:axId val="281443712"/>
        <c:extLst>
          <c:ext xmlns:c15="http://schemas.microsoft.com/office/drawing/2012/chart" uri="{02D57815-91ED-43cb-92C2-25804820EDAC}">
            <c15:filteredBarSeries>
              <c15: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rezerves!$A$55:$A$88</c15:sqref>
                        </c15:formulaRef>
                      </c:ext>
                    </c:extLst>
                    <c:strCache>
                      <c:ptCount val="34"/>
                      <c:pt idx="0">
                        <c:v>Ludzas bio-enerģija</c:v>
                      </c:pt>
                      <c:pt idx="1">
                        <c:v>Norma K- Mālpils</c:v>
                      </c:pt>
                      <c:pt idx="2">
                        <c:v>Valkas novada domes</c:v>
                      </c:pt>
                      <c:pt idx="3">
                        <c:v>Kuldīgas siltumtīkli</c:v>
                      </c:pt>
                      <c:pt idx="4">
                        <c:v>Madonas siltums</c:v>
                      </c:pt>
                      <c:pt idx="5">
                        <c:v>Pļaviņu komunālie pakalpojumi</c:v>
                      </c:pt>
                      <c:pt idx="6">
                        <c:v>Valmieras siltums</c:v>
                      </c:pt>
                      <c:pt idx="7">
                        <c:v>Aizkraukles siltums</c:v>
                      </c:pt>
                      <c:pt idx="8">
                        <c:v>Iecavas siltums</c:v>
                      </c:pt>
                      <c:pt idx="9">
                        <c:v>Rūjienas siltums</c:v>
                      </c:pt>
                      <c:pt idx="10">
                        <c:v>Vidzemes enerģija- Gulbene</c:v>
                      </c:pt>
                      <c:pt idx="11">
                        <c:v>Limbažu siltums</c:v>
                      </c:pt>
                      <c:pt idx="12">
                        <c:v>Vangažu namsaimnieks</c:v>
                      </c:pt>
                      <c:pt idx="13">
                        <c:v>Salaspils siltums</c:v>
                      </c:pt>
                      <c:pt idx="14">
                        <c:v>Rīgas siltums</c:v>
                      </c:pt>
                      <c:pt idx="15">
                        <c:v>Krāslavas nami</c:v>
                      </c:pt>
                      <c:pt idx="16">
                        <c:v>Talsu bio-enerģija</c:v>
                      </c:pt>
                      <c:pt idx="17">
                        <c:v>Simone- Alūksne</c:v>
                      </c:pt>
                      <c:pt idx="18">
                        <c:v>Ogre</c:v>
                      </c:pt>
                      <c:pt idx="19">
                        <c:v>Bauskas siltums</c:v>
                      </c:pt>
                      <c:pt idx="20">
                        <c:v>Daugavpils siltumtīkli</c:v>
                      </c:pt>
                      <c:pt idx="21">
                        <c:v>Ventspils siltums</c:v>
                      </c:pt>
                      <c:pt idx="22">
                        <c:v>Ozolnieks KSDU</c:v>
                      </c:pt>
                      <c:pt idx="23">
                        <c:v>Liepājas enerģija</c:v>
                      </c:pt>
                      <c:pt idx="24">
                        <c:v>Fortum Jelgava</c:v>
                      </c:pt>
                      <c:pt idx="25">
                        <c:v>Rēzekne</c:v>
                      </c:pt>
                      <c:pt idx="26">
                        <c:v>Tukuma siltums</c:v>
                      </c:pt>
                      <c:pt idx="27">
                        <c:v>Jēkabpils siltums</c:v>
                      </c:pt>
                      <c:pt idx="28">
                        <c:v>Wesemann- Sigulda</c:v>
                      </c:pt>
                      <c:pt idx="29">
                        <c:v>Saldus siltums</c:v>
                      </c:pt>
                      <c:pt idx="30">
                        <c:v>Olaines ūdens un siltums</c:v>
                      </c:pt>
                      <c:pt idx="31">
                        <c:v>Jūrmalas siltums</c:v>
                      </c:pt>
                      <c:pt idx="32">
                        <c:v>Lielvārdes rente</c:v>
                      </c:pt>
                      <c:pt idx="33">
                        <c:v>Grobiņas siltums</c:v>
                      </c:pt>
                    </c:strCache>
                  </c:strRef>
                </c:cat>
                <c:val>
                  <c:numRef>
                    <c:extLst>
                      <c:ext uri="{02D57815-91ED-43cb-92C2-25804820EDAC}">
                        <c15:formulaRef>
                          <c15:sqref>rezerves!$B$55:$B$88</c15:sqref>
                        </c15:formulaRef>
                      </c:ext>
                    </c:extLst>
                    <c:numCache>
                      <c:formatCode>General</c:formatCode>
                      <c:ptCount val="34"/>
                    </c:numCache>
                  </c:numRef>
                </c:val>
              </c15:ser>
            </c15:filteredBarSeries>
          </c:ext>
        </c:extLst>
      </c:barChart>
      <c:catAx>
        <c:axId val="281441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81443712"/>
        <c:crosses val="autoZero"/>
        <c:auto val="1"/>
        <c:lblAlgn val="ctr"/>
        <c:lblOffset val="100"/>
        <c:noMultiLvlLbl val="0"/>
      </c:catAx>
      <c:valAx>
        <c:axId val="2814437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814410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'1990-2012'!$A$37</c:f>
              <c:strCache>
                <c:ptCount val="1"/>
                <c:pt idx="0">
                  <c:v>AER</c:v>
                </c:pt>
              </c:strCache>
            </c:strRef>
          </c:tx>
          <c:spPr>
            <a:solidFill>
              <a:schemeClr val="accent3"/>
            </a:solidFill>
            <a:ln>
              <a:solidFill>
                <a:schemeClr val="accent3"/>
              </a:solidFill>
            </a:ln>
          </c:spPr>
          <c:invertIfNegative val="0"/>
          <c:dLbls>
            <c:txPr>
              <a:bodyPr rot="-5400000" vert="horz"/>
              <a:lstStyle/>
              <a:p>
                <a:pPr>
                  <a:defRPr b="1"/>
                </a:pPr>
                <a:endParaRPr lang="lv-LV"/>
              </a:p>
            </c:txPr>
            <c:dLblPos val="ctr"/>
            <c:showLegendKey val="0"/>
            <c:showVal val="1"/>
            <c:showCatName val="0"/>
            <c:showSerName val="0"/>
            <c:showPercent val="0"/>
            <c:showBubbleSize val="0"/>
            <c:showLeaderLines val="0"/>
          </c:dLbls>
          <c:cat>
            <c:numRef>
              <c:f>'1990-2012'!$B$22:$X$22</c:f>
              <c:numCache>
                <c:formatCode>General</c:formatCode>
                <c:ptCount val="23"/>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numCache>
            </c:numRef>
          </c:cat>
          <c:val>
            <c:numRef>
              <c:f>'1990-2012'!$B$37:$X$37</c:f>
              <c:numCache>
                <c:formatCode>0.0%</c:formatCode>
                <c:ptCount val="23"/>
                <c:pt idx="0">
                  <c:v>0.1313610319916203</c:v>
                </c:pt>
                <c:pt idx="1">
                  <c:v>0.13943968314775376</c:v>
                </c:pt>
                <c:pt idx="2">
                  <c:v>0.16027579345029433</c:v>
                </c:pt>
                <c:pt idx="3">
                  <c:v>0.20701343771437819</c:v>
                </c:pt>
                <c:pt idx="4">
                  <c:v>0.2455692272251519</c:v>
                </c:pt>
                <c:pt idx="5">
                  <c:v>0.27518166953123785</c:v>
                </c:pt>
                <c:pt idx="6">
                  <c:v>0.26336101891241931</c:v>
                </c:pt>
                <c:pt idx="7">
                  <c:v>0.29177014826737158</c:v>
                </c:pt>
                <c:pt idx="8">
                  <c:v>0.32238069775309147</c:v>
                </c:pt>
                <c:pt idx="9">
                  <c:v>0.30241597482976845</c:v>
                </c:pt>
                <c:pt idx="10">
                  <c:v>0.30429661275556907</c:v>
                </c:pt>
                <c:pt idx="11">
                  <c:v>0.31055500806051944</c:v>
                </c:pt>
                <c:pt idx="12">
                  <c:v>0.29958464898878462</c:v>
                </c:pt>
                <c:pt idx="13">
                  <c:v>0.29920965125929638</c:v>
                </c:pt>
                <c:pt idx="14">
                  <c:v>0.32295399644288747</c:v>
                </c:pt>
                <c:pt idx="15">
                  <c:v>0.32209025385525442</c:v>
                </c:pt>
                <c:pt idx="16">
                  <c:v>0.30082244361714461</c:v>
                </c:pt>
                <c:pt idx="17">
                  <c:v>0.28794854500845551</c:v>
                </c:pt>
                <c:pt idx="18">
                  <c:v>0.29350790775305852</c:v>
                </c:pt>
                <c:pt idx="19">
                  <c:v>0.34711146154701</c:v>
                </c:pt>
                <c:pt idx="20">
                  <c:v>0.32794144045315826</c:v>
                </c:pt>
                <c:pt idx="21">
                  <c:v>0.32211136563494097</c:v>
                </c:pt>
                <c:pt idx="22">
                  <c:v>0.36278445014612754</c:v>
                </c:pt>
              </c:numCache>
            </c:numRef>
          </c:val>
        </c:ser>
        <c:dLbls>
          <c:showLegendKey val="0"/>
          <c:showVal val="0"/>
          <c:showCatName val="0"/>
          <c:showSerName val="0"/>
          <c:showPercent val="0"/>
          <c:showBubbleSize val="0"/>
        </c:dLbls>
        <c:gapWidth val="40"/>
        <c:axId val="288571392"/>
        <c:axId val="288572928"/>
      </c:barChart>
      <c:catAx>
        <c:axId val="288571392"/>
        <c:scaling>
          <c:orientation val="minMax"/>
        </c:scaling>
        <c:delete val="0"/>
        <c:axPos val="b"/>
        <c:numFmt formatCode="General" sourceLinked="1"/>
        <c:majorTickMark val="out"/>
        <c:minorTickMark val="none"/>
        <c:tickLblPos val="nextTo"/>
        <c:crossAx val="288572928"/>
        <c:crosses val="autoZero"/>
        <c:auto val="1"/>
        <c:lblAlgn val="ctr"/>
        <c:lblOffset val="100"/>
        <c:noMultiLvlLbl val="0"/>
      </c:catAx>
      <c:valAx>
        <c:axId val="288572928"/>
        <c:scaling>
          <c:orientation val="minMax"/>
        </c:scaling>
        <c:delete val="0"/>
        <c:axPos val="l"/>
        <c:majorGridlines/>
        <c:numFmt formatCode="0%" sourceLinked="0"/>
        <c:majorTickMark val="out"/>
        <c:minorTickMark val="none"/>
        <c:tickLblPos val="nextTo"/>
        <c:crossAx val="288571392"/>
        <c:crosses val="autoZero"/>
        <c:crossBetween val="between"/>
      </c:valAx>
    </c:plotArea>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v-LV"/>
              <a:t>Obligātā iepirkuma komponente</a:t>
            </a:r>
          </a:p>
        </c:rich>
      </c:tx>
      <c:layout>
        <c:manualLayout>
          <c:xMode val="edge"/>
          <c:yMode val="edge"/>
          <c:x val="0.23676142732102834"/>
          <c:y val="4.6296296296296439E-2"/>
        </c:manualLayout>
      </c:layout>
      <c:overlay val="1"/>
      <c:spPr>
        <a:noFill/>
        <a:ln>
          <a:noFill/>
        </a:ln>
        <a:effectLst/>
      </c:spPr>
    </c:title>
    <c:autoTitleDeleted val="0"/>
    <c:plotArea>
      <c:layout>
        <c:manualLayout>
          <c:layoutTarget val="inner"/>
          <c:xMode val="edge"/>
          <c:yMode val="edge"/>
          <c:x val="9.2030183727034143E-2"/>
          <c:y val="0.16714129483814544"/>
          <c:w val="0.87741426071740958"/>
          <c:h val="0.71687882764654665"/>
        </c:manualLayout>
      </c:layout>
      <c:lineChart>
        <c:grouping val="standard"/>
        <c:varyColors val="0"/>
        <c:ser>
          <c:idx val="0"/>
          <c:order val="0"/>
          <c:spPr>
            <a:ln w="28575" cap="rnd">
              <a:solidFill>
                <a:schemeClr val="accent4"/>
              </a:solidFill>
              <a:round/>
            </a:ln>
            <a:effectLst/>
          </c:spPr>
          <c:marker>
            <c:symbol val="none"/>
          </c:marker>
          <c:dLbls>
            <c:dLbl>
              <c:idx val="2"/>
              <c:layout>
                <c:manualLayout>
                  <c:x val="-5.1097331583552064E-2"/>
                  <c:y val="-4.2141294838145445E-2"/>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5.1097331583552064E-2"/>
                  <c:y val="-5.1400554097404488E-2"/>
                </c:manualLayout>
              </c:layout>
              <c:dLblPos val="r"/>
              <c:showLegendKey val="0"/>
              <c:showVal val="1"/>
              <c:showCatName val="0"/>
              <c:showSerName val="0"/>
              <c:showPercent val="0"/>
              <c:showBubbleSize val="0"/>
              <c:extLst>
                <c:ext xmlns:c15="http://schemas.microsoft.com/office/drawing/2012/chart" uri="{CE6537A1-D6FC-4f65-9D91-7224C49458BB}"/>
              </c:extLst>
            </c:dLbl>
            <c:dLbl>
              <c:idx val="5"/>
              <c:layout>
                <c:manualLayout>
                  <c:x val="-5.1097331583552064E-2"/>
                  <c:y val="-4.2141294838145445E-2"/>
                </c:manualLayout>
              </c:layout>
              <c:dLblPos val="r"/>
              <c:showLegendKey val="0"/>
              <c:showVal val="1"/>
              <c:showCatName val="0"/>
              <c:showSerName val="0"/>
              <c:showPercent val="0"/>
              <c:showBubbleSize val="0"/>
              <c:extLst>
                <c:ext xmlns:c15="http://schemas.microsoft.com/office/drawing/2012/chart" uri="{CE6537A1-D6FC-4f65-9D91-7224C49458BB}"/>
              </c:extLst>
            </c:dLbl>
            <c:dLbl>
              <c:idx val="6"/>
              <c:layout>
                <c:manualLayout>
                  <c:x val="-5.1097550306211804E-2"/>
                  <c:y val="-3.7511665208515642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Sheet1!$A$19:$A$25</c:f>
              <c:numCache>
                <c:formatCode>General</c:formatCode>
                <c:ptCount val="7"/>
                <c:pt idx="0">
                  <c:v>2008</c:v>
                </c:pt>
                <c:pt idx="1">
                  <c:v>2009</c:v>
                </c:pt>
                <c:pt idx="2">
                  <c:v>2010</c:v>
                </c:pt>
                <c:pt idx="3">
                  <c:v>2011</c:v>
                </c:pt>
                <c:pt idx="4">
                  <c:v>2012</c:v>
                </c:pt>
                <c:pt idx="5">
                  <c:v>2013</c:v>
                </c:pt>
                <c:pt idx="6">
                  <c:v>2014</c:v>
                </c:pt>
              </c:numCache>
            </c:numRef>
          </c:cat>
          <c:val>
            <c:numRef>
              <c:f>Sheet1!$B$19:$B$25</c:f>
              <c:numCache>
                <c:formatCode>General</c:formatCode>
                <c:ptCount val="7"/>
                <c:pt idx="0">
                  <c:v>0.8</c:v>
                </c:pt>
                <c:pt idx="1">
                  <c:v>1.1200000000000001</c:v>
                </c:pt>
                <c:pt idx="2">
                  <c:v>1.6400000000000001</c:v>
                </c:pt>
                <c:pt idx="3">
                  <c:v>1.6600000000000001</c:v>
                </c:pt>
                <c:pt idx="4">
                  <c:v>1.7500000000000007</c:v>
                </c:pt>
                <c:pt idx="5">
                  <c:v>2.69</c:v>
                </c:pt>
                <c:pt idx="6">
                  <c:v>2.68</c:v>
                </c:pt>
              </c:numCache>
            </c:numRef>
          </c:val>
          <c:smooth val="0"/>
        </c:ser>
        <c:dLbls>
          <c:showLegendKey val="0"/>
          <c:showVal val="0"/>
          <c:showCatName val="0"/>
          <c:showSerName val="0"/>
          <c:showPercent val="0"/>
          <c:showBubbleSize val="0"/>
        </c:dLbls>
        <c:marker val="1"/>
        <c:smooth val="0"/>
        <c:axId val="234094976"/>
        <c:axId val="234096512"/>
      </c:lineChart>
      <c:catAx>
        <c:axId val="234094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34096512"/>
        <c:crosses val="autoZero"/>
        <c:auto val="1"/>
        <c:lblAlgn val="ctr"/>
        <c:lblOffset val="100"/>
        <c:noMultiLvlLbl val="0"/>
      </c:catAx>
      <c:valAx>
        <c:axId val="2340965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r>
                  <a:rPr lang="lv-LV"/>
                  <a:t>centi/kWh</a:t>
                </a:r>
              </a:p>
            </c:rich>
          </c:tx>
          <c:layout>
            <c:manualLayout>
              <c:xMode val="edge"/>
              <c:yMode val="edge"/>
              <c:x val="0"/>
              <c:y val="5.7513487897346546E-2"/>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340949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Lbls>
            <c:dLbl>
              <c:idx val="0"/>
              <c:layout>
                <c:manualLayout>
                  <c:x val="9.3255628468457252E-2"/>
                  <c:y val="6.7681877058268503E-2"/>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2"/>
              <c:layout>
                <c:manualLayout>
                  <c:x val="-4.6627814234228626E-2"/>
                  <c:y val="5.7529595499528192E-2"/>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3"/>
              <c:layout>
                <c:manualLayout>
                  <c:x val="-0.12878158217072669"/>
                  <c:y val="3.0456844676220826E-2"/>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4"/>
              <c:layout>
                <c:manualLayout>
                  <c:x val="-4.6627814234228626E-2"/>
                  <c:y val="2.4234767161630669E-19"/>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5"/>
              <c:layout>
                <c:manualLayout>
                  <c:x val="0.1759262011251517"/>
                  <c:y val="0"/>
                </c:manualLayout>
              </c:layout>
              <c:dLblPos val="bestFit"/>
              <c:showLegendKey val="0"/>
              <c:showVal val="0"/>
              <c:showCatName val="1"/>
              <c:showSerName val="0"/>
              <c:showPercent val="1"/>
              <c:showBubbleSize val="0"/>
              <c:extLst>
                <c:ext xmlns:c15="http://schemas.microsoft.com/office/drawing/2012/chart" uri="{CE6537A1-D6FC-4f65-9D91-7224C49458BB}"/>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lv-LV"/>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rezerves!$A$41:$A$46</c:f>
              <c:strCache>
                <c:ptCount val="6"/>
                <c:pt idx="0">
                  <c:v>Aizsardzība (Natura 2000) 128 000 ha</c:v>
                </c:pt>
                <c:pt idx="1">
                  <c:v>Pārējie dabiskie purvi 318 129 ha</c:v>
                </c:pt>
                <c:pt idx="2">
                  <c:v>Nosusināti lauksaimniecībai, mežsaimniecībai 149 783 ha</c:v>
                </c:pt>
                <c:pt idx="3">
                  <c:v>Kūdras ieguve 24 964 ha</c:v>
                </c:pt>
                <c:pt idx="4">
                  <c:v>Izstrādāti 11 522 ha</c:v>
                </c:pt>
                <c:pt idx="5">
                  <c:v>Ūdenskrātuves 7 681 ha</c:v>
                </c:pt>
              </c:strCache>
            </c:strRef>
          </c:cat>
          <c:val>
            <c:numRef>
              <c:f>rezerves!$B$41:$B$46</c:f>
              <c:numCache>
                <c:formatCode>0.0%</c:formatCode>
                <c:ptCount val="6"/>
                <c:pt idx="0">
                  <c:v>0.2</c:v>
                </c:pt>
                <c:pt idx="1">
                  <c:v>0.497</c:v>
                </c:pt>
                <c:pt idx="2">
                  <c:v>0.23400000000000001</c:v>
                </c:pt>
                <c:pt idx="3">
                  <c:v>3.9E-2</c:v>
                </c:pt>
                <c:pt idx="4">
                  <c:v>1.7999999999999999E-2</c:v>
                </c:pt>
                <c:pt idx="5">
                  <c:v>1.19999999999999E-2</c:v>
                </c:pt>
              </c:numCache>
            </c:numRef>
          </c:val>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8942501623818637E-2"/>
          <c:y val="0.16501078233401514"/>
          <c:w val="0.58760537285780456"/>
          <c:h val="0.55046742288606532"/>
        </c:manualLayout>
      </c:layout>
      <c:ofPieChart>
        <c:ofPieType val="pie"/>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Pt>
            <c:idx val="7"/>
            <c:bubble3D val="0"/>
            <c:spPr>
              <a:solidFill>
                <a:schemeClr val="accent2">
                  <a:lumMod val="60000"/>
                </a:schemeClr>
              </a:solidFill>
              <a:ln w="19050">
                <a:solidFill>
                  <a:schemeClr val="lt1"/>
                </a:solidFill>
              </a:ln>
              <a:effectLst/>
            </c:spPr>
          </c:dPt>
          <c:dPt>
            <c:idx val="8"/>
            <c:bubble3D val="0"/>
            <c:spPr>
              <a:solidFill>
                <a:schemeClr val="accent3">
                  <a:lumMod val="60000"/>
                </a:schemeClr>
              </a:solidFill>
              <a:ln w="19050">
                <a:solidFill>
                  <a:schemeClr val="lt1"/>
                </a:solidFill>
              </a:ln>
              <a:effectLst/>
            </c:spPr>
          </c:dPt>
          <c:dPt>
            <c:idx val="9"/>
            <c:bubble3D val="0"/>
            <c:spPr>
              <a:solidFill>
                <a:schemeClr val="accent4">
                  <a:lumMod val="60000"/>
                </a:schemeClr>
              </a:solidFill>
              <a:ln w="19050">
                <a:solidFill>
                  <a:schemeClr val="lt1"/>
                </a:solidFill>
              </a:ln>
              <a:effectLst/>
            </c:spPr>
          </c:dPt>
          <c:dPt>
            <c:idx val="10"/>
            <c:bubble3D val="0"/>
            <c:spPr>
              <a:solidFill>
                <a:schemeClr val="accent5">
                  <a:lumMod val="60000"/>
                </a:schemeClr>
              </a:solidFill>
              <a:ln w="19050">
                <a:solidFill>
                  <a:schemeClr val="lt1"/>
                </a:solidFill>
              </a:ln>
              <a:effectLst/>
            </c:spPr>
          </c:dPt>
          <c:dPt>
            <c:idx val="11"/>
            <c:bubble3D val="0"/>
            <c:spPr>
              <a:solidFill>
                <a:schemeClr val="accent6">
                  <a:lumMod val="60000"/>
                </a:schemeClr>
              </a:solidFill>
              <a:ln w="19050">
                <a:solidFill>
                  <a:schemeClr val="lt1"/>
                </a:solidFill>
              </a:ln>
              <a:effectLst/>
            </c:spPr>
          </c:dPt>
          <c:dPt>
            <c:idx val="12"/>
            <c:bubble3D val="0"/>
            <c:spPr>
              <a:solidFill>
                <a:schemeClr val="accent1">
                  <a:lumMod val="80000"/>
                  <a:lumOff val="20000"/>
                </a:schemeClr>
              </a:solidFill>
              <a:ln w="19050">
                <a:solidFill>
                  <a:schemeClr val="lt1"/>
                </a:solidFill>
              </a:ln>
              <a:effectLst/>
            </c:spPr>
          </c:dPt>
          <c:dLbls>
            <c:dLbl>
              <c:idx val="0"/>
              <c:layout>
                <c:manualLayout>
                  <c:x val="5.2590260973426402E-2"/>
                  <c:y val="1.7275533096660228E-2"/>
                </c:manualLayout>
              </c:layout>
              <c:tx>
                <c:rich>
                  <a:bodyPr/>
                  <a:lstStyle/>
                  <a:p>
                    <a:r>
                      <a:rPr lang="en-US"/>
                      <a:t>Atkritumi
2,33 PJ</a:t>
                    </a:r>
                  </a:p>
                  <a:p>
                    <a:r>
                      <a:rPr lang="en-US"/>
                      <a:t>1,2%</a:t>
                    </a:r>
                  </a:p>
                </c:rich>
              </c:tx>
              <c:showLegendKey val="0"/>
              <c:showVal val="1"/>
              <c:showCatName val="1"/>
              <c:showSerName val="0"/>
              <c:showPercent val="0"/>
              <c:showBubbleSize val="0"/>
              <c:separator>
</c:separator>
              <c:extLst>
                <c:ext xmlns:c15="http://schemas.microsoft.com/office/drawing/2012/chart" uri="{CE6537A1-D6FC-4f65-9D91-7224C49458BB}"/>
              </c:extLst>
            </c:dLbl>
            <c:dLbl>
              <c:idx val="1"/>
              <c:layout>
                <c:manualLayout>
                  <c:x val="-5.7715041996822238E-2"/>
                  <c:y val="7.3263829267812094E-2"/>
                </c:manualLayout>
              </c:layout>
              <c:tx>
                <c:rich>
                  <a:bodyPr/>
                  <a:lstStyle/>
                  <a:p>
                    <a:r>
                      <a:rPr lang="en-US"/>
                      <a:t>Ogles un kokss
3,81 PJ</a:t>
                    </a:r>
                  </a:p>
                  <a:p>
                    <a:r>
                      <a:rPr lang="en-US"/>
                      <a:t>2,0%</a:t>
                    </a:r>
                  </a:p>
                </c:rich>
              </c:tx>
              <c:showLegendKey val="0"/>
              <c:showVal val="1"/>
              <c:showCatName val="1"/>
              <c:showSerName val="0"/>
              <c:showPercent val="0"/>
              <c:showBubbleSize val="0"/>
              <c:separator>
</c:separator>
              <c:extLst>
                <c:ext xmlns:c15="http://schemas.microsoft.com/office/drawing/2012/chart" uri="{CE6537A1-D6FC-4f65-9D91-7224C49458BB}"/>
              </c:extLst>
            </c:dLbl>
            <c:dLbl>
              <c:idx val="2"/>
              <c:layout>
                <c:manualLayout>
                  <c:x val="-0.12028446357272686"/>
                  <c:y val="1.1598654069918453E-2"/>
                </c:manualLayout>
              </c:layout>
              <c:tx>
                <c:rich>
                  <a:bodyPr/>
                  <a:lstStyle/>
                  <a:p>
                    <a:r>
                      <a:rPr lang="en-US"/>
                      <a:t>Kūdra
0,03 PJ</a:t>
                    </a:r>
                  </a:p>
                  <a:p>
                    <a:r>
                      <a:rPr lang="en-US"/>
                      <a:t>0,0%</a:t>
                    </a:r>
                  </a:p>
                </c:rich>
              </c:tx>
              <c:showLegendKey val="0"/>
              <c:showVal val="1"/>
              <c:showCatName val="1"/>
              <c:showSerName val="0"/>
              <c:showPercent val="0"/>
              <c:showBubbleSize val="0"/>
              <c:separator>
</c:separator>
              <c:extLst>
                <c:ext xmlns:c15="http://schemas.microsoft.com/office/drawing/2012/chart" uri="{CE6537A1-D6FC-4f65-9D91-7224C49458BB}"/>
              </c:extLst>
            </c:dLbl>
            <c:dLbl>
              <c:idx val="3"/>
              <c:layout>
                <c:manualLayout>
                  <c:x val="8.0104312918703166E-2"/>
                  <c:y val="-0.18280835082621058"/>
                </c:manualLayout>
              </c:layout>
              <c:tx>
                <c:rich>
                  <a:bodyPr/>
                  <a:lstStyle/>
                  <a:p>
                    <a:r>
                      <a:rPr lang="en-US"/>
                      <a:t>Naftas</a:t>
                    </a:r>
                    <a:r>
                      <a:rPr lang="en-US" baseline="0"/>
                      <a:t> produkti</a:t>
                    </a:r>
                    <a:r>
                      <a:rPr lang="en-US"/>
                      <a:t>
58,39 PJ</a:t>
                    </a:r>
                  </a:p>
                  <a:p>
                    <a:r>
                      <a:rPr lang="en-US"/>
                      <a:t>30,6%</a:t>
                    </a:r>
                  </a:p>
                </c:rich>
              </c:tx>
              <c:showLegendKey val="0"/>
              <c:showVal val="1"/>
              <c:showCatName val="1"/>
              <c:showSerName val="0"/>
              <c:showPercent val="0"/>
              <c:showBubbleSize val="0"/>
              <c:separator>
</c:separator>
              <c:extLst>
                <c:ext xmlns:c15="http://schemas.microsoft.com/office/drawing/2012/chart" uri="{CE6537A1-D6FC-4f65-9D91-7224C49458BB}"/>
              </c:extLst>
            </c:dLbl>
            <c:dLbl>
              <c:idx val="4"/>
              <c:layout>
                <c:manualLayout>
                  <c:x val="8.7749147562979288E-2"/>
                  <c:y val="0.17193843070398954"/>
                </c:manualLayout>
              </c:layout>
              <c:tx>
                <c:rich>
                  <a:bodyPr/>
                  <a:lstStyle/>
                  <a:p>
                    <a:r>
                      <a:rPr lang="en-US"/>
                      <a:t>Dabasgāze
50,</a:t>
                    </a:r>
                    <a:r>
                      <a:rPr lang="en-US" baseline="0"/>
                      <a:t>81 PJ</a:t>
                    </a:r>
                  </a:p>
                  <a:p>
                    <a:r>
                      <a:rPr lang="en-US"/>
                      <a:t>26,7%</a:t>
                    </a:r>
                  </a:p>
                </c:rich>
              </c:tx>
              <c:showLegendKey val="0"/>
              <c:showVal val="1"/>
              <c:showCatName val="1"/>
              <c:showSerName val="0"/>
              <c:showPercent val="0"/>
              <c:showBubbleSize val="0"/>
              <c:separator>
</c:separator>
              <c:extLst>
                <c:ext xmlns:c15="http://schemas.microsoft.com/office/drawing/2012/chart" uri="{CE6537A1-D6FC-4f65-9D91-7224C49458BB}"/>
              </c:extLst>
            </c:dLbl>
            <c:dLbl>
              <c:idx val="5"/>
              <c:layout>
                <c:manualLayout>
                  <c:x val="-5.1300479996574826E-2"/>
                  <c:y val="-6.1913927639578861E-3"/>
                </c:manualLayout>
              </c:layout>
              <c:tx>
                <c:rich>
                  <a:bodyPr/>
                  <a:lstStyle/>
                  <a:p>
                    <a:r>
                      <a:rPr lang="lv-LV"/>
                      <a:t>Elektroenerģijas neto</a:t>
                    </a:r>
                    <a:r>
                      <a:rPr lang="lv-LV" baseline="0"/>
                      <a:t> imports</a:t>
                    </a:r>
                    <a:endParaRPr lang="lv-LV"/>
                  </a:p>
                  <a:p>
                    <a:r>
                      <a:rPr lang="lv-LV"/>
                      <a:t>6,09 PJ
3,2%</a:t>
                    </a:r>
                  </a:p>
                </c:rich>
              </c:tx>
              <c:showLegendKey val="0"/>
              <c:showVal val="1"/>
              <c:showCatName val="1"/>
              <c:showSerName val="0"/>
              <c:showPercent val="0"/>
              <c:showBubbleSize val="0"/>
              <c:separator>
</c:separator>
              <c:extLst>
                <c:ext xmlns:c15="http://schemas.microsoft.com/office/drawing/2012/chart" uri="{CE6537A1-D6FC-4f65-9D91-7224C49458BB}"/>
              </c:extLst>
            </c:dLbl>
            <c:dLbl>
              <c:idx val="6"/>
              <c:layout>
                <c:manualLayout>
                  <c:x val="0.16503271495455665"/>
                  <c:y val="-0.20529509423634559"/>
                </c:manualLayout>
              </c:layout>
              <c:tx>
                <c:rich>
                  <a:bodyPr/>
                  <a:lstStyle/>
                  <a:p>
                    <a:r>
                      <a:rPr lang="en-US"/>
                      <a:t>Kurināmā</a:t>
                    </a:r>
                    <a:r>
                      <a:rPr lang="en-US" baseline="0"/>
                      <a:t> koksne un kokogles</a:t>
                    </a:r>
                    <a:r>
                      <a:rPr lang="en-US"/>
                      <a:t>
52,24 PJ</a:t>
                    </a:r>
                  </a:p>
                  <a:p>
                    <a:r>
                      <a:rPr lang="en-US"/>
                      <a:t>27,4%</a:t>
                    </a:r>
                  </a:p>
                </c:rich>
              </c:tx>
              <c:showLegendKey val="0"/>
              <c:showVal val="1"/>
              <c:showCatName val="1"/>
              <c:showSerName val="0"/>
              <c:showPercent val="0"/>
              <c:showBubbleSize val="0"/>
              <c:separator>
</c:separator>
              <c:extLst>
                <c:ext xmlns:c15="http://schemas.microsoft.com/office/drawing/2012/chart" uri="{CE6537A1-D6FC-4f65-9D91-7224C49458BB}"/>
              </c:extLst>
            </c:dLbl>
            <c:dLbl>
              <c:idx val="7"/>
              <c:layout>
                <c:manualLayout>
                  <c:x val="-4.4277069865856646E-2"/>
                  <c:y val="-0.11705203494331838"/>
                </c:manualLayout>
              </c:layout>
              <c:tx>
                <c:rich>
                  <a:bodyPr/>
                  <a:lstStyle/>
                  <a:p>
                    <a:r>
                      <a:rPr lang="en-US"/>
                      <a:t>Salmi,</a:t>
                    </a:r>
                    <a:r>
                      <a:rPr lang="en-US" baseline="0"/>
                      <a:t> cita biomasa</a:t>
                    </a:r>
                    <a:r>
                      <a:rPr lang="en-US"/>
                      <a:t>
0,04 PJ</a:t>
                    </a:r>
                  </a:p>
                  <a:p>
                    <a:r>
                      <a:rPr lang="en-US"/>
                      <a:t>0,0%</a:t>
                    </a:r>
                  </a:p>
                </c:rich>
              </c:tx>
              <c:showLegendKey val="0"/>
              <c:showVal val="1"/>
              <c:showCatName val="1"/>
              <c:showSerName val="0"/>
              <c:showPercent val="0"/>
              <c:showBubbleSize val="0"/>
              <c:separator>
</c:separator>
              <c:extLst>
                <c:ext xmlns:c15="http://schemas.microsoft.com/office/drawing/2012/chart" uri="{CE6537A1-D6FC-4f65-9D91-7224C49458BB}"/>
              </c:extLst>
            </c:dLbl>
            <c:dLbl>
              <c:idx val="8"/>
              <c:layout>
                <c:manualLayout>
                  <c:x val="9.0495104483742678E-2"/>
                  <c:y val="-3.3930141624112169E-2"/>
                </c:manualLayout>
              </c:layout>
              <c:tx>
                <c:rich>
                  <a:bodyPr/>
                  <a:lstStyle/>
                  <a:p>
                    <a:r>
                      <a:rPr lang="en-US"/>
                      <a:t>Biogāze
2,18 PJ</a:t>
                    </a:r>
                  </a:p>
                  <a:p>
                    <a:r>
                      <a:rPr lang="en-US"/>
                      <a:t>1,1%</a:t>
                    </a:r>
                  </a:p>
                </c:rich>
              </c:tx>
              <c:showLegendKey val="0"/>
              <c:showVal val="1"/>
              <c:showCatName val="1"/>
              <c:showSerName val="0"/>
              <c:showPercent val="0"/>
              <c:showBubbleSize val="0"/>
              <c:separator>
</c:separator>
              <c:extLst>
                <c:ext xmlns:c15="http://schemas.microsoft.com/office/drawing/2012/chart" uri="{CE6537A1-D6FC-4f65-9D91-7224C49458BB}"/>
              </c:extLst>
            </c:dLbl>
            <c:dLbl>
              <c:idx val="9"/>
              <c:layout>
                <c:manualLayout>
                  <c:x val="8.6595514218635386E-2"/>
                  <c:y val="8.2689383053963297E-2"/>
                </c:manualLayout>
              </c:layout>
              <c:tx>
                <c:rich>
                  <a:bodyPr/>
                  <a:lstStyle/>
                  <a:p>
                    <a:r>
                      <a:rPr lang="en-US"/>
                      <a:t>Biodegvielas
0,94 PJ</a:t>
                    </a:r>
                  </a:p>
                  <a:p>
                    <a:r>
                      <a:rPr lang="en-US"/>
                      <a:t>0,5%</a:t>
                    </a:r>
                  </a:p>
                </c:rich>
              </c:tx>
              <c:showLegendKey val="0"/>
              <c:showVal val="1"/>
              <c:showCatName val="1"/>
              <c:showSerName val="0"/>
              <c:showPercent val="0"/>
              <c:showBubbleSize val="0"/>
              <c:separator>
</c:separator>
              <c:extLst>
                <c:ext xmlns:c15="http://schemas.microsoft.com/office/drawing/2012/chart" uri="{CE6537A1-D6FC-4f65-9D91-7224C49458BB}"/>
              </c:extLst>
            </c:dLbl>
            <c:dLbl>
              <c:idx val="10"/>
              <c:layout>
                <c:manualLayout>
                  <c:x val="2.6299752064121801E-2"/>
                  <c:y val="9.044058507884653E-2"/>
                </c:manualLayout>
              </c:layout>
              <c:tx>
                <c:rich>
                  <a:bodyPr/>
                  <a:lstStyle/>
                  <a:p>
                    <a:r>
                      <a:rPr lang="lv-LV"/>
                      <a:t>Hidroenerģija 
13,35 PJ</a:t>
                    </a:r>
                  </a:p>
                  <a:p>
                    <a:r>
                      <a:rPr lang="lv-LV"/>
                      <a:t>7,0%</a:t>
                    </a:r>
                  </a:p>
                </c:rich>
              </c:tx>
              <c:showLegendKey val="0"/>
              <c:showVal val="1"/>
              <c:showCatName val="1"/>
              <c:showSerName val="0"/>
              <c:showPercent val="0"/>
              <c:showBubbleSize val="0"/>
              <c:separator>
</c:separator>
              <c:extLst>
                <c:ext xmlns:c15="http://schemas.microsoft.com/office/drawing/2012/chart" uri="{CE6537A1-D6FC-4f65-9D91-7224C49458BB}"/>
              </c:extLst>
            </c:dLbl>
            <c:dLbl>
              <c:idx val="11"/>
              <c:layout>
                <c:manualLayout>
                  <c:x val="-5.2447092546365731E-2"/>
                  <c:y val="7.4116841813782225E-2"/>
                </c:manualLayout>
              </c:layout>
              <c:tx>
                <c:rich>
                  <a:bodyPr/>
                  <a:lstStyle/>
                  <a:p>
                    <a:r>
                      <a:rPr lang="lv-LV"/>
                      <a:t>Vēja</a:t>
                    </a:r>
                    <a:r>
                      <a:rPr lang="lv-LV" baseline="0"/>
                      <a:t> enerģija</a:t>
                    </a:r>
                    <a:r>
                      <a:rPr lang="lv-LV"/>
                      <a:t>
0,41 PJ</a:t>
                    </a:r>
                  </a:p>
                  <a:p>
                    <a:r>
                      <a:rPr lang="lv-LV"/>
                      <a:t>0,2%</a:t>
                    </a:r>
                  </a:p>
                </c:rich>
              </c:tx>
              <c:showLegendKey val="0"/>
              <c:showVal val="1"/>
              <c:showCatName val="1"/>
              <c:showSerName val="0"/>
              <c:showPercent val="0"/>
              <c:showBubbleSize val="0"/>
              <c:separator>
</c:separator>
              <c:extLst>
                <c:ext xmlns:c15="http://schemas.microsoft.com/office/drawing/2012/chart" uri="{CE6537A1-D6FC-4f65-9D91-7224C49458BB}"/>
              </c:extLst>
            </c:dLbl>
            <c:dLbl>
              <c:idx val="12"/>
              <c:layout>
                <c:manualLayout>
                  <c:x val="-0.1417228687972634"/>
                  <c:y val="-5.6749341594715648E-3"/>
                </c:manualLayout>
              </c:layout>
              <c:tx>
                <c:rich>
                  <a:bodyPr/>
                  <a:lstStyle/>
                  <a:p>
                    <a:r>
                      <a:rPr lang="en-US"/>
                      <a:t>Atjaunojamie</a:t>
                    </a:r>
                    <a:r>
                      <a:rPr lang="en-US" baseline="0"/>
                      <a:t> energoresursi</a:t>
                    </a:r>
                    <a:endParaRPr lang="en-US"/>
                  </a:p>
                  <a:p>
                    <a:r>
                      <a:rPr lang="en-US"/>
                      <a:t>69,14 PJ
36,3%</a:t>
                    </a:r>
                  </a:p>
                </c:rich>
              </c:tx>
              <c:showLegendKey val="0"/>
              <c:showVal val="1"/>
              <c:showCatName val="1"/>
              <c:showSerName val="0"/>
              <c:showPercent val="0"/>
              <c:showBubbleSize val="0"/>
              <c:separator>
</c:separator>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lv-LV"/>
              </a:p>
            </c:txPr>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'[Atteli_29092014.xlsx]KPEP strukt 2012'!$A$22:$A$33</c:f>
              <c:strCache>
                <c:ptCount val="12"/>
                <c:pt idx="0">
                  <c:v>Atkritumi</c:v>
                </c:pt>
                <c:pt idx="1">
                  <c:v>Ogles un kokss</c:v>
                </c:pt>
                <c:pt idx="2">
                  <c:v>Kūdra</c:v>
                </c:pt>
                <c:pt idx="3">
                  <c:v>Naftas produkti </c:v>
                </c:pt>
                <c:pt idx="4">
                  <c:v>Dabasgāze</c:v>
                </c:pt>
                <c:pt idx="5">
                  <c:v>Elektroenerģijas neto imports</c:v>
                </c:pt>
                <c:pt idx="6">
                  <c:v>Kurināmā koksne un kokogles</c:v>
                </c:pt>
                <c:pt idx="7">
                  <c:v>Salmi, cita biomasa</c:v>
                </c:pt>
                <c:pt idx="8">
                  <c:v>Biogāze</c:v>
                </c:pt>
                <c:pt idx="9">
                  <c:v>Biodegvielas</c:v>
                </c:pt>
                <c:pt idx="10">
                  <c:v>Hidroenerģija </c:v>
                </c:pt>
                <c:pt idx="11">
                  <c:v>Vēja enerģija</c:v>
                </c:pt>
              </c:strCache>
            </c:strRef>
          </c:cat>
          <c:val>
            <c:numRef>
              <c:f>'[Atteli_29092014.xlsx]KPEP strukt 2012'!$B$22:$B$33</c:f>
              <c:numCache>
                <c:formatCode>0.0%</c:formatCode>
                <c:ptCount val="12"/>
                <c:pt idx="0">
                  <c:v>1.2230634828188702E-2</c:v>
                </c:pt>
                <c:pt idx="1">
                  <c:v>1.9969882520843502E-2</c:v>
                </c:pt>
                <c:pt idx="2">
                  <c:v>1.4166758488249462E-4</c:v>
                </c:pt>
                <c:pt idx="3">
                  <c:v>0.30635352883460049</c:v>
                </c:pt>
                <c:pt idx="4">
                  <c:v>0.26657641916814895</c:v>
                </c:pt>
                <c:pt idx="5">
                  <c:v>3.1943416917208416E-2</c:v>
                </c:pt>
                <c:pt idx="6">
                  <c:v>0.2740743072717447</c:v>
                </c:pt>
                <c:pt idx="7">
                  <c:v>1.9938400835314057E-4</c:v>
                </c:pt>
                <c:pt idx="8">
                  <c:v>1.1412111004423176E-2</c:v>
                </c:pt>
                <c:pt idx="9">
                  <c:v>4.9216368377696272E-3</c:v>
                </c:pt>
                <c:pt idx="10">
                  <c:v>7.0020515565070024E-2</c:v>
                </c:pt>
                <c:pt idx="11">
                  <c:v>2.1564954587668622E-3</c:v>
                </c:pt>
              </c:numCache>
            </c:numRef>
          </c:val>
        </c:ser>
        <c:dLbls>
          <c:showLegendKey val="0"/>
          <c:showVal val="0"/>
          <c:showCatName val="0"/>
          <c:showSerName val="0"/>
          <c:showPercent val="0"/>
          <c:showBubbleSize val="0"/>
          <c:showLeaderLines val="1"/>
        </c:dLbls>
        <c:gapWidth val="100"/>
        <c:splitType val="pos"/>
        <c:splitPos val="6"/>
        <c:secondPieSize val="50"/>
        <c:serLines>
          <c:spPr>
            <a:ln w="9525" cap="flat" cmpd="sng" algn="ctr">
              <a:solidFill>
                <a:schemeClr val="tx1">
                  <a:lumMod val="35000"/>
                  <a:lumOff val="65000"/>
                </a:schemeClr>
              </a:solidFill>
              <a:round/>
            </a:ln>
            <a:effectLst/>
          </c:spPr>
        </c:serLines>
      </c:ofPieChart>
      <c:spPr>
        <a:noFill/>
        <a:ln>
          <a:noFill/>
        </a:ln>
        <a:effectLst/>
      </c:spPr>
    </c:plotArea>
    <c:legend>
      <c:legendPos val="b"/>
      <c:layout>
        <c:manualLayout>
          <c:xMode val="edge"/>
          <c:yMode val="edge"/>
          <c:x val="4.4363588125491394E-4"/>
          <c:y val="0.8263534819752566"/>
          <c:w val="0.99806875212113055"/>
          <c:h val="0.1536038526157681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59658769272098"/>
          <c:y val="3.4439330896520161E-2"/>
          <c:w val="0.86469540798627753"/>
          <c:h val="0.68355186251638456"/>
        </c:manualLayout>
      </c:layout>
      <c:barChart>
        <c:barDir val="col"/>
        <c:grouping val="clustered"/>
        <c:varyColors val="0"/>
        <c:ser>
          <c:idx val="0"/>
          <c:order val="0"/>
          <c:tx>
            <c:v>Eksports 2009</c:v>
          </c:tx>
          <c:spPr>
            <a:solidFill>
              <a:schemeClr val="accent1"/>
            </a:solidFill>
            <a:ln>
              <a:noFill/>
            </a:ln>
            <a:effectLst/>
          </c:spPr>
          <c:invertIfNegative val="0"/>
          <c:cat>
            <c:strRef>
              <c:f>koksne!$A$20:$A$25</c:f>
              <c:strCache>
                <c:ptCount val="6"/>
                <c:pt idx="0">
                  <c:v>Kurināmā koksne kopā </c:v>
                </c:pt>
                <c:pt idx="1">
                  <c:v>Malka</c:v>
                </c:pt>
                <c:pt idx="2">
                  <c:v>Koksnes atlikumi</c:v>
                </c:pt>
                <c:pt idx="3">
                  <c:v>Kurināmās šķeldas</c:v>
                </c:pt>
                <c:pt idx="4">
                  <c:v>Koksnes briketes</c:v>
                </c:pt>
                <c:pt idx="5">
                  <c:v>Koksnes granulas</c:v>
                </c:pt>
              </c:strCache>
            </c:strRef>
          </c:cat>
          <c:val>
            <c:numRef>
              <c:f>koksne!$H$20:$H$25</c:f>
              <c:numCache>
                <c:formatCode>0</c:formatCode>
                <c:ptCount val="6"/>
                <c:pt idx="0">
                  <c:v>1364.6399999999999</c:v>
                </c:pt>
                <c:pt idx="1">
                  <c:v>518</c:v>
                </c:pt>
                <c:pt idx="2">
                  <c:v>35.56</c:v>
                </c:pt>
                <c:pt idx="3">
                  <c:v>311.08</c:v>
                </c:pt>
                <c:pt idx="4" formatCode="General">
                  <c:v>24</c:v>
                </c:pt>
                <c:pt idx="5" formatCode="General">
                  <c:v>476</c:v>
                </c:pt>
              </c:numCache>
            </c:numRef>
          </c:val>
        </c:ser>
        <c:ser>
          <c:idx val="1"/>
          <c:order val="1"/>
          <c:tx>
            <c:v>Eksports 2010</c:v>
          </c:tx>
          <c:spPr>
            <a:solidFill>
              <a:schemeClr val="accent2"/>
            </a:solidFill>
            <a:ln>
              <a:noFill/>
            </a:ln>
            <a:effectLst/>
          </c:spPr>
          <c:invertIfNegative val="0"/>
          <c:cat>
            <c:strRef>
              <c:f>koksne!$A$20:$A$25</c:f>
              <c:strCache>
                <c:ptCount val="6"/>
                <c:pt idx="0">
                  <c:v>Kurināmā koksne kopā </c:v>
                </c:pt>
                <c:pt idx="1">
                  <c:v>Malka</c:v>
                </c:pt>
                <c:pt idx="2">
                  <c:v>Koksnes atlikumi</c:v>
                </c:pt>
                <c:pt idx="3">
                  <c:v>Kurināmās šķeldas</c:v>
                </c:pt>
                <c:pt idx="4">
                  <c:v>Koksnes briketes</c:v>
                </c:pt>
                <c:pt idx="5">
                  <c:v>Koksnes granulas</c:v>
                </c:pt>
              </c:strCache>
            </c:strRef>
          </c:cat>
          <c:val>
            <c:numRef>
              <c:f>koksne!$I$20:$I$25</c:f>
              <c:numCache>
                <c:formatCode>0</c:formatCode>
                <c:ptCount val="6"/>
                <c:pt idx="0">
                  <c:v>1664.82</c:v>
                </c:pt>
                <c:pt idx="1">
                  <c:v>563.5</c:v>
                </c:pt>
                <c:pt idx="2">
                  <c:v>36.68</c:v>
                </c:pt>
                <c:pt idx="3">
                  <c:v>444.64000000000033</c:v>
                </c:pt>
                <c:pt idx="4" formatCode="General">
                  <c:v>30</c:v>
                </c:pt>
                <c:pt idx="5" formatCode="General">
                  <c:v>590</c:v>
                </c:pt>
              </c:numCache>
            </c:numRef>
          </c:val>
        </c:ser>
        <c:ser>
          <c:idx val="2"/>
          <c:order val="2"/>
          <c:tx>
            <c:v>Eksports 2011</c:v>
          </c:tx>
          <c:spPr>
            <a:solidFill>
              <a:schemeClr val="accent3"/>
            </a:solidFill>
            <a:ln>
              <a:noFill/>
            </a:ln>
            <a:effectLst/>
          </c:spPr>
          <c:invertIfNegative val="0"/>
          <c:cat>
            <c:strRef>
              <c:f>koksne!$A$20:$A$25</c:f>
              <c:strCache>
                <c:ptCount val="6"/>
                <c:pt idx="0">
                  <c:v>Kurināmā koksne kopā </c:v>
                </c:pt>
                <c:pt idx="1">
                  <c:v>Malka</c:v>
                </c:pt>
                <c:pt idx="2">
                  <c:v>Koksnes atlikumi</c:v>
                </c:pt>
                <c:pt idx="3">
                  <c:v>Kurināmās šķeldas</c:v>
                </c:pt>
                <c:pt idx="4">
                  <c:v>Koksnes briketes</c:v>
                </c:pt>
                <c:pt idx="5">
                  <c:v>Koksnes granulas</c:v>
                </c:pt>
              </c:strCache>
            </c:strRef>
          </c:cat>
          <c:val>
            <c:numRef>
              <c:f>koksne!$J$20:$J$25</c:f>
              <c:numCache>
                <c:formatCode>0</c:formatCode>
                <c:ptCount val="6"/>
                <c:pt idx="0">
                  <c:v>1652.96</c:v>
                </c:pt>
                <c:pt idx="1">
                  <c:v>505.4</c:v>
                </c:pt>
                <c:pt idx="2">
                  <c:v>24.919999999999987</c:v>
                </c:pt>
                <c:pt idx="3">
                  <c:v>402.64000000000033</c:v>
                </c:pt>
                <c:pt idx="4" formatCode="General">
                  <c:v>56</c:v>
                </c:pt>
                <c:pt idx="5" formatCode="General">
                  <c:v>664</c:v>
                </c:pt>
              </c:numCache>
            </c:numRef>
          </c:val>
        </c:ser>
        <c:ser>
          <c:idx val="3"/>
          <c:order val="3"/>
          <c:tx>
            <c:v>Kopējais patēriņš 2009</c:v>
          </c:tx>
          <c:spPr>
            <a:solidFill>
              <a:schemeClr val="accent4"/>
            </a:solidFill>
            <a:ln>
              <a:noFill/>
            </a:ln>
            <a:effectLst/>
          </c:spPr>
          <c:invertIfNegative val="0"/>
          <c:cat>
            <c:strRef>
              <c:f>koksne!$A$20:$A$25</c:f>
              <c:strCache>
                <c:ptCount val="6"/>
                <c:pt idx="0">
                  <c:v>Kurināmā koksne kopā </c:v>
                </c:pt>
                <c:pt idx="1">
                  <c:v>Malka</c:v>
                </c:pt>
                <c:pt idx="2">
                  <c:v>Koksnes atlikumi</c:v>
                </c:pt>
                <c:pt idx="3">
                  <c:v>Kurināmās šķeldas</c:v>
                </c:pt>
                <c:pt idx="4">
                  <c:v>Koksnes briketes</c:v>
                </c:pt>
                <c:pt idx="5">
                  <c:v>Koksnes granulas</c:v>
                </c:pt>
              </c:strCache>
            </c:strRef>
          </c:cat>
          <c:val>
            <c:numRef>
              <c:f>koksne!$K$20:$K$25</c:f>
              <c:numCache>
                <c:formatCode>0</c:formatCode>
                <c:ptCount val="6"/>
                <c:pt idx="0">
                  <c:v>5294.3200000000024</c:v>
                </c:pt>
                <c:pt idx="1">
                  <c:v>3798.2</c:v>
                </c:pt>
                <c:pt idx="2">
                  <c:v>803.04</c:v>
                </c:pt>
                <c:pt idx="3">
                  <c:v>668.07999999999993</c:v>
                </c:pt>
                <c:pt idx="4" formatCode="General">
                  <c:v>12</c:v>
                </c:pt>
                <c:pt idx="5" formatCode="General">
                  <c:v>13</c:v>
                </c:pt>
              </c:numCache>
            </c:numRef>
          </c:val>
        </c:ser>
        <c:ser>
          <c:idx val="4"/>
          <c:order val="4"/>
          <c:tx>
            <c:v>Kopējais patēriņš 2010</c:v>
          </c:tx>
          <c:spPr>
            <a:solidFill>
              <a:schemeClr val="accent5"/>
            </a:solidFill>
            <a:ln>
              <a:noFill/>
            </a:ln>
            <a:effectLst/>
          </c:spPr>
          <c:invertIfNegative val="0"/>
          <c:cat>
            <c:strRef>
              <c:f>koksne!$A$20:$A$25</c:f>
              <c:strCache>
                <c:ptCount val="6"/>
                <c:pt idx="0">
                  <c:v>Kurināmā koksne kopā </c:v>
                </c:pt>
                <c:pt idx="1">
                  <c:v>Malka</c:v>
                </c:pt>
                <c:pt idx="2">
                  <c:v>Koksnes atlikumi</c:v>
                </c:pt>
                <c:pt idx="3">
                  <c:v>Kurināmās šķeldas</c:v>
                </c:pt>
                <c:pt idx="4">
                  <c:v>Koksnes briketes</c:v>
                </c:pt>
                <c:pt idx="5">
                  <c:v>Koksnes granulas</c:v>
                </c:pt>
              </c:strCache>
            </c:strRef>
          </c:cat>
          <c:val>
            <c:numRef>
              <c:f>koksne!$L$20:$L$25</c:f>
              <c:numCache>
                <c:formatCode>0</c:formatCode>
                <c:ptCount val="6"/>
                <c:pt idx="0">
                  <c:v>5129.8200000000024</c:v>
                </c:pt>
                <c:pt idx="1">
                  <c:v>3551.1</c:v>
                </c:pt>
                <c:pt idx="2">
                  <c:v>817.88</c:v>
                </c:pt>
                <c:pt idx="3">
                  <c:v>707.83999999999946</c:v>
                </c:pt>
                <c:pt idx="4" formatCode="General">
                  <c:v>22</c:v>
                </c:pt>
                <c:pt idx="5" formatCode="General">
                  <c:v>31</c:v>
                </c:pt>
              </c:numCache>
            </c:numRef>
          </c:val>
        </c:ser>
        <c:ser>
          <c:idx val="5"/>
          <c:order val="5"/>
          <c:tx>
            <c:v>Kopējais patēriņš 2011</c:v>
          </c:tx>
          <c:spPr>
            <a:solidFill>
              <a:schemeClr val="accent6"/>
            </a:solidFill>
            <a:ln>
              <a:noFill/>
            </a:ln>
            <a:effectLst/>
          </c:spPr>
          <c:invertIfNegative val="0"/>
          <c:cat>
            <c:strRef>
              <c:f>koksne!$A$20:$A$25</c:f>
              <c:strCache>
                <c:ptCount val="6"/>
                <c:pt idx="0">
                  <c:v>Kurināmā koksne kopā </c:v>
                </c:pt>
                <c:pt idx="1">
                  <c:v>Malka</c:v>
                </c:pt>
                <c:pt idx="2">
                  <c:v>Koksnes atlikumi</c:v>
                </c:pt>
                <c:pt idx="3">
                  <c:v>Kurināmās šķeldas</c:v>
                </c:pt>
                <c:pt idx="4">
                  <c:v>Koksnes briketes</c:v>
                </c:pt>
                <c:pt idx="5">
                  <c:v>Koksnes granulas</c:v>
                </c:pt>
              </c:strCache>
            </c:strRef>
          </c:cat>
          <c:val>
            <c:numRef>
              <c:f>koksne!$M$20:$M$25</c:f>
              <c:numCache>
                <c:formatCode>0</c:formatCode>
                <c:ptCount val="6"/>
                <c:pt idx="0">
                  <c:v>4673.9800000000005</c:v>
                </c:pt>
                <c:pt idx="1">
                  <c:v>3107.2999999999997</c:v>
                </c:pt>
                <c:pt idx="2">
                  <c:v>836.64</c:v>
                </c:pt>
                <c:pt idx="3">
                  <c:v>677.04</c:v>
                </c:pt>
                <c:pt idx="4" formatCode="General">
                  <c:v>20</c:v>
                </c:pt>
                <c:pt idx="5" formatCode="General">
                  <c:v>33</c:v>
                </c:pt>
              </c:numCache>
            </c:numRef>
          </c:val>
        </c:ser>
        <c:dLbls>
          <c:showLegendKey val="0"/>
          <c:showVal val="0"/>
          <c:showCatName val="0"/>
          <c:showSerName val="0"/>
          <c:showPercent val="0"/>
          <c:showBubbleSize val="0"/>
        </c:dLbls>
        <c:gapWidth val="219"/>
        <c:overlap val="-27"/>
        <c:axId val="252483456"/>
        <c:axId val="252484992"/>
      </c:barChart>
      <c:catAx>
        <c:axId val="252483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52484992"/>
        <c:crosses val="autoZero"/>
        <c:auto val="1"/>
        <c:lblAlgn val="ctr"/>
        <c:lblOffset val="100"/>
        <c:noMultiLvlLbl val="0"/>
      </c:catAx>
      <c:valAx>
        <c:axId val="252484992"/>
        <c:scaling>
          <c:orientation val="minMax"/>
          <c:max val="55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lv-LV"/>
                  <a:t>milj. t</a:t>
                </a:r>
              </a:p>
            </c:rich>
          </c:tx>
          <c:layout>
            <c:manualLayout>
              <c:xMode val="edge"/>
              <c:yMode val="edge"/>
              <c:x val="0"/>
              <c:y val="0.30558478604663092"/>
            </c:manualLayout>
          </c:layout>
          <c:overlay val="0"/>
          <c:spPr>
            <a:noFill/>
            <a:ln>
              <a:noFill/>
            </a:ln>
            <a:effectLst/>
          </c:sp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52483456"/>
        <c:crosses val="autoZero"/>
        <c:crossBetween val="between"/>
        <c:majorUnit val="500"/>
        <c:dispUnits>
          <c:builtInUnit val="thousands"/>
        </c:dispUnits>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v-LV"/>
              <a:t>tūkst. t</a:t>
            </a:r>
          </a:p>
        </c:rich>
      </c:tx>
      <c:layout>
        <c:manualLayout>
          <c:xMode val="edge"/>
          <c:yMode val="edge"/>
          <c:x val="1.0888888888888903E-2"/>
          <c:y val="1.8518518518518531E-2"/>
        </c:manualLayout>
      </c:layout>
      <c:overlay val="0"/>
      <c:spPr>
        <a:noFill/>
        <a:ln>
          <a:noFill/>
        </a:ln>
        <a:effectLst/>
      </c:spPr>
    </c:title>
    <c:autoTitleDeleted val="0"/>
    <c:plotArea>
      <c:layout/>
      <c:barChart>
        <c:barDir val="col"/>
        <c:grouping val="clustered"/>
        <c:varyColors val="0"/>
        <c:ser>
          <c:idx val="0"/>
          <c:order val="0"/>
          <c:tx>
            <c:strRef>
              <c:f>'naftas produkti'!$A$5</c:f>
              <c:strCache>
                <c:ptCount val="1"/>
                <c:pt idx="0">
                  <c:v>Naftas produkti un degakmens eļļa</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'naftas produkti'!$E$3:$N$3</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'naftas produkti'!$E$5:$N$5</c:f>
              <c:numCache>
                <c:formatCode>General</c:formatCode>
                <c:ptCount val="10"/>
                <c:pt idx="0">
                  <c:v>1397</c:v>
                </c:pt>
                <c:pt idx="1">
                  <c:v>1438</c:v>
                </c:pt>
                <c:pt idx="2">
                  <c:v>1457</c:v>
                </c:pt>
                <c:pt idx="3">
                  <c:v>1581</c:v>
                </c:pt>
                <c:pt idx="4">
                  <c:v>1713</c:v>
                </c:pt>
                <c:pt idx="5">
                  <c:v>1618</c:v>
                </c:pt>
                <c:pt idx="6">
                  <c:v>1457</c:v>
                </c:pt>
                <c:pt idx="7">
                  <c:v>1511</c:v>
                </c:pt>
                <c:pt idx="8">
                  <c:v>1388</c:v>
                </c:pt>
                <c:pt idx="9">
                  <c:v>1362</c:v>
                </c:pt>
              </c:numCache>
            </c:numRef>
          </c:val>
        </c:ser>
        <c:dLbls>
          <c:showLegendKey val="0"/>
          <c:showVal val="0"/>
          <c:showCatName val="0"/>
          <c:showSerName val="0"/>
          <c:showPercent val="0"/>
          <c:showBubbleSize val="0"/>
        </c:dLbls>
        <c:gapWidth val="219"/>
        <c:overlap val="-27"/>
        <c:axId val="252502784"/>
        <c:axId val="252504320"/>
      </c:barChart>
      <c:catAx>
        <c:axId val="252502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52504320"/>
        <c:crosses val="autoZero"/>
        <c:auto val="1"/>
        <c:lblAlgn val="ctr"/>
        <c:lblOffset val="100"/>
        <c:noMultiLvlLbl val="0"/>
      </c:catAx>
      <c:valAx>
        <c:axId val="2525043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52502784"/>
        <c:crosses val="autoZero"/>
        <c:crossBetween val="between"/>
        <c:majorUnit val="30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manualLayout>
          <c:layoutTarget val="inner"/>
          <c:xMode val="edge"/>
          <c:yMode val="edge"/>
          <c:x val="0.13891868650892966"/>
          <c:y val="5.0925925925925923E-2"/>
          <c:w val="0.68900602583601256"/>
          <c:h val="0.71576000821001495"/>
        </c:manualLayout>
      </c:layout>
      <c:barChart>
        <c:barDir val="col"/>
        <c:grouping val="clustered"/>
        <c:varyColors val="0"/>
        <c:ser>
          <c:idx val="0"/>
          <c:order val="1"/>
          <c:tx>
            <c:strRef>
              <c:f>[Atteli_29092014.xlsx]rezerves!$C$18</c:f>
              <c:strCache>
                <c:ptCount val="1"/>
                <c:pt idx="0">
                  <c:v>apjoms (tonnas) (kreisā ass)</c:v>
                </c:pt>
              </c:strCache>
            </c:strRef>
          </c:tx>
          <c:spPr>
            <a:solidFill>
              <a:schemeClr val="accent4">
                <a:shade val="76000"/>
              </a:schemeClr>
            </a:solidFill>
            <a:ln>
              <a:noFill/>
            </a:ln>
            <a:effectLst/>
          </c:spPr>
          <c:invertIfNegative val="0"/>
          <c:dLbls>
            <c:dLbl>
              <c:idx val="0"/>
              <c:layout>
                <c:manualLayout>
                  <c:x val="3.2599837000814994E-3"/>
                  <c:y val="-1.0423676587740464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0"/>
                  <c:y val="-4.1699859783684663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5.9765677416621972E-17"/>
                  <c:y val="8.4529180239162217E-3"/>
                </c:manualLayout>
              </c:layout>
              <c:tx>
                <c:rich>
                  <a:bodyPr/>
                  <a:lstStyle/>
                  <a:p>
                    <a:r>
                      <a:rPr lang="lv-LV"/>
                      <a:t>1</a:t>
                    </a:r>
                    <a:r>
                      <a:rPr lang="en-US"/>
                      <a:t>15 990</a:t>
                    </a:r>
                  </a:p>
                </c:rich>
              </c:tx>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3.2599837000816191E-3"/>
                  <c:y val="4.495940598098813E-3"/>
                </c:manualLayout>
              </c:layout>
              <c:dLblPos val="outEnd"/>
              <c:showLegendKey val="0"/>
              <c:showVal val="1"/>
              <c:showCatName val="0"/>
              <c:showSerName val="0"/>
              <c:showPercent val="0"/>
              <c:showBubbleSize val="0"/>
              <c:extLst>
                <c:ext xmlns:c15="http://schemas.microsoft.com/office/drawing/2012/chart" uri="{CE6537A1-D6FC-4f65-9D91-7224C49458BB}"/>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[Atteli_29092014.xlsx]rezerves!$A$19:$A$22</c:f>
              <c:strCache>
                <c:ptCount val="4"/>
                <c:pt idx="0">
                  <c:v>2011-2012</c:v>
                </c:pt>
                <c:pt idx="1">
                  <c:v>2012-2013</c:v>
                </c:pt>
                <c:pt idx="2">
                  <c:v>2013-2014</c:v>
                </c:pt>
                <c:pt idx="3">
                  <c:v>2014-2015</c:v>
                </c:pt>
              </c:strCache>
            </c:strRef>
          </c:cat>
          <c:val>
            <c:numRef>
              <c:f>[Atteli_29092014.xlsx]rezerves!$C$19:$C$22</c:f>
              <c:numCache>
                <c:formatCode>General</c:formatCode>
                <c:ptCount val="4"/>
                <c:pt idx="0">
                  <c:v>247767</c:v>
                </c:pt>
                <c:pt idx="1">
                  <c:v>230820</c:v>
                </c:pt>
                <c:pt idx="2">
                  <c:v>315990</c:v>
                </c:pt>
                <c:pt idx="3">
                  <c:v>327644</c:v>
                </c:pt>
              </c:numCache>
            </c:numRef>
          </c:val>
        </c:ser>
        <c:dLbls>
          <c:showLegendKey val="0"/>
          <c:showVal val="0"/>
          <c:showCatName val="0"/>
          <c:showSerName val="0"/>
          <c:showPercent val="0"/>
          <c:showBubbleSize val="0"/>
        </c:dLbls>
        <c:gapWidth val="100"/>
        <c:axId val="254374272"/>
        <c:axId val="254375808"/>
      </c:barChart>
      <c:lineChart>
        <c:grouping val="stacked"/>
        <c:varyColors val="0"/>
        <c:ser>
          <c:idx val="1"/>
          <c:order val="0"/>
          <c:tx>
            <c:strRef>
              <c:f>[Atteli_29092014.xlsx]rezerves!$B$18</c:f>
              <c:strCache>
                <c:ptCount val="1"/>
                <c:pt idx="0">
                  <c:v>summa (euro) (labā ass)</c:v>
                </c:pt>
              </c:strCache>
            </c:strRef>
          </c:tx>
          <c:spPr>
            <a:ln w="28575" cap="rnd">
              <a:solidFill>
                <a:schemeClr val="accent4">
                  <a:tint val="77000"/>
                </a:schemeClr>
              </a:solidFill>
              <a:round/>
            </a:ln>
            <a:effectLst/>
          </c:spPr>
          <c:marker>
            <c:symbol val="circle"/>
            <c:size val="5"/>
            <c:spPr>
              <a:solidFill>
                <a:schemeClr val="accent4">
                  <a:tint val="77000"/>
                </a:schemeClr>
              </a:solidFill>
              <a:ln w="9525">
                <a:solidFill>
                  <a:schemeClr val="accent4">
                    <a:tint val="77000"/>
                  </a:schemeClr>
                </a:solidFill>
              </a:ln>
              <a:effectLst/>
            </c:spPr>
          </c:marker>
          <c:dLbls>
            <c:dLbl>
              <c:idx val="2"/>
              <c:tx>
                <c:rich>
                  <a:bodyPr/>
                  <a:lstStyle/>
                  <a:p>
                    <a:r>
                      <a:rPr lang="en-US"/>
                      <a:t>€ 2</a:t>
                    </a:r>
                    <a:r>
                      <a:rPr lang="lv-LV"/>
                      <a:t>8</a:t>
                    </a:r>
                    <a:r>
                      <a:rPr lang="en-US"/>
                      <a:t> </a:t>
                    </a:r>
                    <a:r>
                      <a:rPr lang="lv-LV"/>
                      <a:t>751</a:t>
                    </a:r>
                    <a:r>
                      <a:rPr lang="en-US"/>
                      <a:t> 92</a:t>
                    </a:r>
                    <a:r>
                      <a:rPr lang="lv-LV"/>
                      <a:t>1</a:t>
                    </a:r>
                    <a:endParaRPr lang="en-US"/>
                  </a:p>
                </c:rich>
              </c:tx>
              <c:dLblPos val="t"/>
              <c:showLegendKey val="0"/>
              <c:showVal val="1"/>
              <c:showCatName val="0"/>
              <c:showSerName val="0"/>
              <c:showPercent val="0"/>
              <c:showBubbleSize val="0"/>
            </c:dLbl>
            <c:dLbl>
              <c:idx val="3"/>
              <c:layout>
                <c:manualLayout>
                  <c:x val="-0.1052404879707885"/>
                  <c:y val="-0.13358341797130829"/>
                </c:manualLayout>
              </c:layout>
              <c:dLblPos val="r"/>
              <c:showLegendKey val="0"/>
              <c:showVal val="1"/>
              <c:showCatName val="0"/>
              <c:showSerName val="0"/>
              <c:showPercent val="0"/>
              <c:showBubbleSize val="0"/>
              <c:extLst>
                <c:ext xmlns:c15="http://schemas.microsoft.com/office/drawing/2012/chart" uri="{CE6537A1-D6FC-4f65-9D91-7224C49458BB}"/>
              </c:extLst>
            </c:dLbl>
            <c:numFmt formatCode="[$€-426]\ #,##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[Atteli_29092014.xlsx]rezerves!$B$19:$B$22</c:f>
              <c:numCache>
                <c:formatCode>General</c:formatCode>
                <c:ptCount val="4"/>
                <c:pt idx="0">
                  <c:v>19879624</c:v>
                </c:pt>
                <c:pt idx="1">
                  <c:v>21657702</c:v>
                </c:pt>
                <c:pt idx="2">
                  <c:v>26355928</c:v>
                </c:pt>
                <c:pt idx="3">
                  <c:v>18600000</c:v>
                </c:pt>
              </c:numCache>
            </c:numRef>
          </c:val>
          <c:smooth val="0"/>
        </c:ser>
        <c:dLbls>
          <c:showLegendKey val="0"/>
          <c:showVal val="0"/>
          <c:showCatName val="0"/>
          <c:showSerName val="0"/>
          <c:showPercent val="0"/>
          <c:showBubbleSize val="0"/>
        </c:dLbls>
        <c:marker val="1"/>
        <c:smooth val="0"/>
        <c:axId val="265098368"/>
        <c:axId val="254377344"/>
      </c:lineChart>
      <c:catAx>
        <c:axId val="25437427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54375808"/>
        <c:crosses val="autoZero"/>
        <c:auto val="1"/>
        <c:lblAlgn val="ctr"/>
        <c:lblOffset val="100"/>
        <c:noMultiLvlLbl val="0"/>
      </c:catAx>
      <c:valAx>
        <c:axId val="254375808"/>
        <c:scaling>
          <c:orientation val="minMax"/>
          <c:max val="6000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54374272"/>
        <c:crosses val="autoZero"/>
        <c:crossBetween val="between"/>
        <c:majorUnit val="200000"/>
      </c:valAx>
      <c:valAx>
        <c:axId val="254377344"/>
        <c:scaling>
          <c:orientation val="minMax"/>
          <c:max val="30000000"/>
        </c:scaling>
        <c:delete val="0"/>
        <c:axPos val="r"/>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65098368"/>
        <c:crosses val="max"/>
        <c:crossBetween val="between"/>
        <c:majorUnit val="10000000"/>
      </c:valAx>
      <c:catAx>
        <c:axId val="265098368"/>
        <c:scaling>
          <c:orientation val="minMax"/>
        </c:scaling>
        <c:delete val="1"/>
        <c:axPos val="b"/>
        <c:majorTickMark val="none"/>
        <c:minorTickMark val="none"/>
        <c:tickLblPos val="nextTo"/>
        <c:crossAx val="25437734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percentStacked"/>
        <c:varyColors val="0"/>
        <c:ser>
          <c:idx val="0"/>
          <c:order val="0"/>
          <c:tx>
            <c:strRef>
              <c:f>[Rezerves_09062014.xlsx]Sheet1!$B$58</c:f>
              <c:strCache>
                <c:ptCount val="1"/>
                <c:pt idx="0">
                  <c:v>Brīvā tirgus īpatsvars kopējā lietošanas apjomā</c:v>
                </c:pt>
              </c:strCache>
            </c:strRef>
          </c:tx>
          <c:spPr>
            <a:solidFill>
              <a:schemeClr val="accent3">
                <a:lumMod val="75000"/>
              </a:schemeClr>
            </a:solidFill>
            <a:ln>
              <a:noFill/>
            </a:ln>
            <a:effectLst/>
          </c:spPr>
          <c:invertIfNegative val="0"/>
          <c:dLbls>
            <c:dLbl>
              <c:idx val="4"/>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[Rezerves_09062014.xlsx]Sheet1!$A$59:$A$63</c:f>
              <c:strCache>
                <c:ptCount val="5"/>
                <c:pt idx="0">
                  <c:v>no 01.01.2015</c:v>
                </c:pt>
                <c:pt idx="1">
                  <c:v>no 01.11.2012</c:v>
                </c:pt>
                <c:pt idx="2">
                  <c:v>no 01.04.2012</c:v>
                </c:pt>
                <c:pt idx="3">
                  <c:v>no 01.12.2008</c:v>
                </c:pt>
                <c:pt idx="4">
                  <c:v>līdz 01.07.2007</c:v>
                </c:pt>
              </c:strCache>
            </c:strRef>
          </c:cat>
          <c:val>
            <c:numRef>
              <c:f>[Rezerves_09062014.xlsx]Sheet1!$B$59:$B$63</c:f>
              <c:numCache>
                <c:formatCode>0%</c:formatCode>
                <c:ptCount val="5"/>
                <c:pt idx="0">
                  <c:v>1</c:v>
                </c:pt>
                <c:pt idx="1">
                  <c:v>0.75</c:v>
                </c:pt>
                <c:pt idx="2">
                  <c:v>0.66</c:v>
                </c:pt>
                <c:pt idx="3">
                  <c:v>0.35</c:v>
                </c:pt>
                <c:pt idx="4">
                  <c:v>0</c:v>
                </c:pt>
              </c:numCache>
            </c:numRef>
          </c:val>
        </c:ser>
        <c:ser>
          <c:idx val="1"/>
          <c:order val="1"/>
          <c:tx>
            <c:strRef>
              <c:f>[Rezerves_09062014.xlsx]Sheet1!$C$58</c:f>
              <c:strCache>
                <c:ptCount val="1"/>
                <c:pt idx="0">
                  <c:v>Regulēta tirgus īpatsvars kopējā lietošanas apjomā</c:v>
                </c:pt>
              </c:strCache>
            </c:strRef>
          </c:tx>
          <c:spPr>
            <a:solidFill>
              <a:schemeClr val="accent4"/>
            </a:solidFill>
            <a:ln>
              <a:noFill/>
            </a:ln>
            <a:effectLst/>
          </c:spPr>
          <c:invertIfNegative val="0"/>
          <c:dLbls>
            <c:dLbl>
              <c:idx val="0"/>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[Rezerves_09062014.xlsx]Sheet1!$A$59:$A$63</c:f>
              <c:strCache>
                <c:ptCount val="5"/>
                <c:pt idx="0">
                  <c:v>no 01.01.2015</c:v>
                </c:pt>
                <c:pt idx="1">
                  <c:v>no 01.11.2012</c:v>
                </c:pt>
                <c:pt idx="2">
                  <c:v>no 01.04.2012</c:v>
                </c:pt>
                <c:pt idx="3">
                  <c:v>no 01.12.2008</c:v>
                </c:pt>
                <c:pt idx="4">
                  <c:v>līdz 01.07.2007</c:v>
                </c:pt>
              </c:strCache>
            </c:strRef>
          </c:cat>
          <c:val>
            <c:numRef>
              <c:f>[Rezerves_09062014.xlsx]Sheet1!$C$59:$C$63</c:f>
              <c:numCache>
                <c:formatCode>0%</c:formatCode>
                <c:ptCount val="5"/>
                <c:pt idx="0">
                  <c:v>0</c:v>
                </c:pt>
                <c:pt idx="1">
                  <c:v>0.25</c:v>
                </c:pt>
                <c:pt idx="2">
                  <c:v>0.34</c:v>
                </c:pt>
                <c:pt idx="3">
                  <c:v>0.65</c:v>
                </c:pt>
                <c:pt idx="4">
                  <c:v>1</c:v>
                </c:pt>
              </c:numCache>
            </c:numRef>
          </c:val>
        </c:ser>
        <c:dLbls>
          <c:dLblPos val="ctr"/>
          <c:showLegendKey val="0"/>
          <c:showVal val="1"/>
          <c:showCatName val="0"/>
          <c:showSerName val="0"/>
          <c:showPercent val="0"/>
          <c:showBubbleSize val="0"/>
        </c:dLbls>
        <c:gapWidth val="150"/>
        <c:overlap val="100"/>
        <c:axId val="265128192"/>
        <c:axId val="265146368"/>
      </c:barChart>
      <c:catAx>
        <c:axId val="2651281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65146368"/>
        <c:crosses val="autoZero"/>
        <c:auto val="1"/>
        <c:lblAlgn val="ctr"/>
        <c:lblOffset val="100"/>
        <c:noMultiLvlLbl val="0"/>
      </c:catAx>
      <c:valAx>
        <c:axId val="26514636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651281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0"/>
    <c:plotArea>
      <c:layout/>
      <c:barChart>
        <c:barDir val="col"/>
        <c:grouping val="clustered"/>
        <c:varyColors val="0"/>
        <c:ser>
          <c:idx val="0"/>
          <c:order val="0"/>
          <c:spPr>
            <a:solidFill>
              <a:schemeClr val="accent4"/>
            </a:solidFill>
            <a:ln>
              <a:noFill/>
            </a:ln>
            <a:effectLst/>
          </c:spPr>
          <c:invertIfNegative val="0"/>
          <c:dPt>
            <c:idx val="10"/>
            <c:invertIfNegative val="0"/>
            <c:bubble3D val="0"/>
            <c:spPr>
              <a:solidFill>
                <a:schemeClr val="accent3">
                  <a:lumMod val="75000"/>
                </a:schemeClr>
              </a:solidFill>
              <a:ln>
                <a:noFill/>
              </a:ln>
              <a:effectLst/>
            </c:spPr>
          </c:dPt>
          <c:dPt>
            <c:idx val="24"/>
            <c:invertIfNegative val="0"/>
            <c:bubble3D val="0"/>
            <c:spPr>
              <a:solidFill>
                <a:schemeClr val="accent2">
                  <a:lumMod val="75000"/>
                </a:schemeClr>
              </a:solidFill>
              <a:ln>
                <a:noFill/>
              </a:ln>
              <a:effectLst/>
            </c:spPr>
          </c:dPt>
          <c:dLbls>
            <c:numFmt formatCode="#,##0.0" sourceLinked="0"/>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[Atteli_29092014.xlsx]elektr_majsaimn!$F$17:$F$45</c:f>
              <c:strCache>
                <c:ptCount val="29"/>
                <c:pt idx="0">
                  <c:v>Dānija</c:v>
                </c:pt>
                <c:pt idx="1">
                  <c:v>Vācija</c:v>
                </c:pt>
                <c:pt idx="2">
                  <c:v>Kipra</c:v>
                </c:pt>
                <c:pt idx="3">
                  <c:v>Īrija</c:v>
                </c:pt>
                <c:pt idx="4">
                  <c:v>Itālija</c:v>
                </c:pt>
                <c:pt idx="5">
                  <c:v>Spānija</c:v>
                </c:pt>
                <c:pt idx="6">
                  <c:v>Beļģija</c:v>
                </c:pt>
                <c:pt idx="7">
                  <c:v>Portugāle</c:v>
                </c:pt>
                <c:pt idx="8">
                  <c:v>Zviedrija</c:v>
                </c:pt>
                <c:pt idx="9">
                  <c:v>Austrija</c:v>
                </c:pt>
                <c:pt idx="10">
                  <c:v>ES-28</c:v>
                </c:pt>
                <c:pt idx="11">
                  <c:v>Nīderlande</c:v>
                </c:pt>
                <c:pt idx="12">
                  <c:v>Lielbritānija</c:v>
                </c:pt>
                <c:pt idx="13">
                  <c:v>Malta</c:v>
                </c:pt>
                <c:pt idx="14">
                  <c:v>Grieķija</c:v>
                </c:pt>
                <c:pt idx="15">
                  <c:v>Slovākija</c:v>
                </c:pt>
                <c:pt idx="16">
                  <c:v>Slovēnija</c:v>
                </c:pt>
                <c:pt idx="17">
                  <c:v>Luksemburga</c:v>
                </c:pt>
                <c:pt idx="18">
                  <c:v>Francija</c:v>
                </c:pt>
                <c:pt idx="19">
                  <c:v>Somija</c:v>
                </c:pt>
                <c:pt idx="20">
                  <c:v>Čehija</c:v>
                </c:pt>
                <c:pt idx="21">
                  <c:v>Polija</c:v>
                </c:pt>
                <c:pt idx="22">
                  <c:v>Lietuva</c:v>
                </c:pt>
                <c:pt idx="23">
                  <c:v>Igaunija</c:v>
                </c:pt>
                <c:pt idx="24">
                  <c:v>Latvija</c:v>
                </c:pt>
                <c:pt idx="25">
                  <c:v>Horvātija</c:v>
                </c:pt>
                <c:pt idx="26">
                  <c:v>Ungārija</c:v>
                </c:pt>
                <c:pt idx="27">
                  <c:v>Rumānija</c:v>
                </c:pt>
                <c:pt idx="28">
                  <c:v>Bulgārija</c:v>
                </c:pt>
              </c:strCache>
            </c:strRef>
          </c:cat>
          <c:val>
            <c:numRef>
              <c:f>[Atteli_29092014.xlsx]elektr_majsaimn!$E$17:$E$45</c:f>
              <c:numCache>
                <c:formatCode>0.0</c:formatCode>
                <c:ptCount val="29"/>
                <c:pt idx="0">
                  <c:v>293.60000000000002</c:v>
                </c:pt>
                <c:pt idx="1">
                  <c:v>292.10000000000002</c:v>
                </c:pt>
                <c:pt idx="2">
                  <c:v>248.1</c:v>
                </c:pt>
                <c:pt idx="3">
                  <c:v>240.5</c:v>
                </c:pt>
                <c:pt idx="4">
                  <c:v>232.3</c:v>
                </c:pt>
                <c:pt idx="5">
                  <c:v>227.3</c:v>
                </c:pt>
                <c:pt idx="6">
                  <c:v>221.5</c:v>
                </c:pt>
                <c:pt idx="7">
                  <c:v>213.10000000000002</c:v>
                </c:pt>
                <c:pt idx="8">
                  <c:v>204.6</c:v>
                </c:pt>
                <c:pt idx="9">
                  <c:v>201.8</c:v>
                </c:pt>
                <c:pt idx="10">
                  <c:v>200.9</c:v>
                </c:pt>
                <c:pt idx="11">
                  <c:v>191.5</c:v>
                </c:pt>
                <c:pt idx="12">
                  <c:v>179.7</c:v>
                </c:pt>
                <c:pt idx="13">
                  <c:v>170</c:v>
                </c:pt>
                <c:pt idx="14">
                  <c:v>169.7</c:v>
                </c:pt>
                <c:pt idx="15">
                  <c:v>167.8</c:v>
                </c:pt>
                <c:pt idx="16">
                  <c:v>165.7</c:v>
                </c:pt>
                <c:pt idx="17">
                  <c:v>164.6</c:v>
                </c:pt>
                <c:pt idx="18">
                  <c:v>158.9</c:v>
                </c:pt>
                <c:pt idx="19">
                  <c:v>155.9</c:v>
                </c:pt>
                <c:pt idx="20">
                  <c:v>149.29999999999998</c:v>
                </c:pt>
                <c:pt idx="21">
                  <c:v>143.69999999999999</c:v>
                </c:pt>
                <c:pt idx="22">
                  <c:v>139.1</c:v>
                </c:pt>
                <c:pt idx="23">
                  <c:v>136.69999999999999</c:v>
                </c:pt>
                <c:pt idx="24">
                  <c:v>135.80000000000001</c:v>
                </c:pt>
                <c:pt idx="25">
                  <c:v>135</c:v>
                </c:pt>
                <c:pt idx="26">
                  <c:v>132.6</c:v>
                </c:pt>
                <c:pt idx="27">
                  <c:v>127.90000000000002</c:v>
                </c:pt>
                <c:pt idx="28">
                  <c:v>88.2</c:v>
                </c:pt>
              </c:numCache>
            </c:numRef>
          </c:val>
        </c:ser>
        <c:dLbls>
          <c:showLegendKey val="0"/>
          <c:showVal val="0"/>
          <c:showCatName val="0"/>
          <c:showSerName val="0"/>
          <c:showPercent val="0"/>
          <c:showBubbleSize val="0"/>
        </c:dLbls>
        <c:gapWidth val="219"/>
        <c:overlap val="-27"/>
        <c:axId val="265499776"/>
        <c:axId val="265501312"/>
      </c:barChart>
      <c:catAx>
        <c:axId val="26549977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65501312"/>
        <c:crosses val="autoZero"/>
        <c:auto val="1"/>
        <c:lblAlgn val="ctr"/>
        <c:lblOffset val="100"/>
        <c:noMultiLvlLbl val="0"/>
      </c:catAx>
      <c:valAx>
        <c:axId val="2655013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lv-LV"/>
                  <a:t>eiro/MWh</a:t>
                </a:r>
              </a:p>
            </c:rich>
          </c:tx>
          <c:layout>
            <c:manualLayout>
              <c:xMode val="edge"/>
              <c:yMode val="edge"/>
              <c:x val="1.752079387130908E-3"/>
              <c:y val="0.29320204573193781"/>
            </c:manualLayout>
          </c:layout>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654997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9628489620615667E-2"/>
          <c:y val="9.9568871580583085E-2"/>
          <c:w val="0.8868253200193551"/>
          <c:h val="0.66503614845978187"/>
        </c:manualLayout>
      </c:layout>
      <c:barChart>
        <c:barDir val="col"/>
        <c:grouping val="stacked"/>
        <c:varyColors val="0"/>
        <c:ser>
          <c:idx val="0"/>
          <c:order val="0"/>
          <c:tx>
            <c:strRef>
              <c:f>'elektr tarifi'!$A$33</c:f>
              <c:strCache>
                <c:ptCount val="1"/>
                <c:pt idx="0">
                  <c:v>Elektroenerģijas cena</c:v>
                </c:pt>
              </c:strCache>
            </c:strRef>
          </c:tx>
          <c:spPr>
            <a:solidFill>
              <a:schemeClr val="accent1"/>
            </a:solidFill>
            <a:ln>
              <a:noFill/>
            </a:ln>
            <a:effectLst/>
          </c:spPr>
          <c:invertIfNegative val="0"/>
          <c:dLbls>
            <c:dLbl>
              <c:idx val="0"/>
              <c:tx>
                <c:rich>
                  <a:bodyPr/>
                  <a:lstStyle/>
                  <a:p>
                    <a:r>
                      <a:rPr lang="en-US"/>
                      <a:t>1,31</a:t>
                    </a:r>
                  </a:p>
                </c:rich>
              </c:tx>
              <c:showLegendKey val="0"/>
              <c:showVal val="1"/>
              <c:showCatName val="0"/>
              <c:showSerName val="0"/>
              <c:showPercent val="0"/>
              <c:showBubbleSize val="0"/>
              <c:extLst>
                <c:ext xmlns:c15="http://schemas.microsoft.com/office/drawing/2012/chart" uri="{CE6537A1-D6FC-4f65-9D91-7224C49458BB}"/>
              </c:extLst>
            </c:dLbl>
            <c:dLbl>
              <c:idx val="1"/>
              <c:tx>
                <c:rich>
                  <a:bodyPr/>
                  <a:lstStyle/>
                  <a:p>
                    <a:r>
                      <a:rPr lang="en-US"/>
                      <a:t>4,21</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'elektr tarifi'!$B$31:$C$31</c:f>
              <c:strCache>
                <c:ptCount val="2"/>
                <c:pt idx="0">
                  <c:v>Starta tarifs</c:v>
                </c:pt>
                <c:pt idx="1">
                  <c:v>Pamata tarifs</c:v>
                </c:pt>
              </c:strCache>
            </c:strRef>
          </c:cat>
          <c:val>
            <c:numRef>
              <c:f>'elektr tarifi'!$B$33:$C$33</c:f>
              <c:numCache>
                <c:formatCode>0.00</c:formatCode>
                <c:ptCount val="2"/>
                <c:pt idx="0">
                  <c:v>1.0529251398682999</c:v>
                </c:pt>
                <c:pt idx="1">
                  <c:v>3.9555836335592822</c:v>
                </c:pt>
              </c:numCache>
            </c:numRef>
          </c:val>
        </c:ser>
        <c:ser>
          <c:idx val="1"/>
          <c:order val="1"/>
          <c:tx>
            <c:strRef>
              <c:f>'elektr tarifi'!$A$34</c:f>
              <c:strCache>
                <c:ptCount val="1"/>
                <c:pt idx="0">
                  <c:v>Tīkla pakalpojumi</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'elektr tarifi'!$B$31:$C$31</c:f>
              <c:strCache>
                <c:ptCount val="2"/>
                <c:pt idx="0">
                  <c:v>Starta tarifs</c:v>
                </c:pt>
                <c:pt idx="1">
                  <c:v>Pamata tarifs</c:v>
                </c:pt>
              </c:strCache>
            </c:strRef>
          </c:cat>
          <c:val>
            <c:numRef>
              <c:f>'elektr tarifi'!$B$34:$C$34</c:f>
              <c:numCache>
                <c:formatCode>0.00</c:formatCode>
                <c:ptCount val="2"/>
                <c:pt idx="0">
                  <c:v>5.634572370106028</c:v>
                </c:pt>
                <c:pt idx="1">
                  <c:v>5.634572370106028</c:v>
                </c:pt>
              </c:numCache>
            </c:numRef>
          </c:val>
        </c:ser>
        <c:ser>
          <c:idx val="2"/>
          <c:order val="2"/>
          <c:tx>
            <c:strRef>
              <c:f>'elektr tarifi'!$A$35</c:f>
              <c:strCache>
                <c:ptCount val="1"/>
                <c:pt idx="0">
                  <c:v>Tirdzniecības pakalpojumi</c:v>
                </c:pt>
              </c:strCache>
            </c:strRef>
          </c:tx>
          <c:spPr>
            <a:solidFill>
              <a:schemeClr val="accent3"/>
            </a:solidFill>
            <a:ln>
              <a:noFill/>
            </a:ln>
            <a:effectLst/>
          </c:spPr>
          <c:invertIfNegative val="0"/>
          <c:cat>
            <c:strRef>
              <c:f>'elektr tarifi'!$B$31:$C$31</c:f>
              <c:strCache>
                <c:ptCount val="2"/>
                <c:pt idx="0">
                  <c:v>Starta tarifs</c:v>
                </c:pt>
                <c:pt idx="1">
                  <c:v>Pamata tarifs</c:v>
                </c:pt>
              </c:strCache>
            </c:strRef>
          </c:cat>
          <c:val>
            <c:numRef>
              <c:f>'elektr tarifi'!$B$35:$C$35</c:f>
              <c:numCache>
                <c:formatCode>0.00</c:formatCode>
                <c:ptCount val="2"/>
                <c:pt idx="0">
                  <c:v>0.24188820780758233</c:v>
                </c:pt>
                <c:pt idx="1">
                  <c:v>0.24188820780758233</c:v>
                </c:pt>
              </c:numCache>
            </c:numRef>
          </c:val>
        </c:ser>
        <c:ser>
          <c:idx val="3"/>
          <c:order val="3"/>
          <c:tx>
            <c:strRef>
              <c:f>'elektr tarifi'!$A$36</c:f>
              <c:strCache>
                <c:ptCount val="1"/>
                <c:pt idx="0">
                  <c:v>Obligātā iepirkuma komponente</c:v>
                </c:pt>
              </c:strCache>
            </c:strRef>
          </c:tx>
          <c:spPr>
            <a:solidFill>
              <a:schemeClr val="accent4"/>
            </a:solidFill>
            <a:ln>
              <a:noFill/>
            </a:ln>
            <a:effectLst/>
          </c:spPr>
          <c:invertIfNegative val="0"/>
          <c:dLbls>
            <c:dLbl>
              <c:idx val="0"/>
              <c:tx>
                <c:rich>
                  <a:bodyPr/>
                  <a:lstStyle/>
                  <a:p>
                    <a:r>
                      <a:rPr lang="en-US"/>
                      <a:t>2,68</a:t>
                    </a:r>
                  </a:p>
                </c:rich>
              </c:tx>
              <c:showLegendKey val="0"/>
              <c:showVal val="1"/>
              <c:showCatName val="0"/>
              <c:showSerName val="0"/>
              <c:showPercent val="0"/>
              <c:showBubbleSize val="0"/>
              <c:extLst>
                <c:ext xmlns:c15="http://schemas.microsoft.com/office/drawing/2012/chart" uri="{CE6537A1-D6FC-4f65-9D91-7224C49458BB}"/>
              </c:extLst>
            </c:dLbl>
            <c:dLbl>
              <c:idx val="1"/>
              <c:tx>
                <c:rich>
                  <a:bodyPr/>
                  <a:lstStyle/>
                  <a:p>
                    <a:r>
                      <a:rPr lang="en-US"/>
                      <a:t>2,68</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'elektr tarifi'!$B$31:$C$31</c:f>
              <c:strCache>
                <c:ptCount val="2"/>
                <c:pt idx="0">
                  <c:v>Starta tarifs</c:v>
                </c:pt>
                <c:pt idx="1">
                  <c:v>Pamata tarifs</c:v>
                </c:pt>
              </c:strCache>
            </c:strRef>
          </c:cat>
          <c:val>
            <c:numRef>
              <c:f>'elektr tarifi'!$B$36:$C$36</c:f>
              <c:numCache>
                <c:formatCode>0.00</c:formatCode>
                <c:ptCount val="2"/>
                <c:pt idx="0">
                  <c:v>2.6892277220960632</c:v>
                </c:pt>
                <c:pt idx="1">
                  <c:v>2.6892277220960632</c:v>
                </c:pt>
              </c:numCache>
            </c:numRef>
          </c:val>
        </c:ser>
        <c:ser>
          <c:idx val="4"/>
          <c:order val="4"/>
          <c:tx>
            <c:strRef>
              <c:f>'elektr tarifi'!$A$37</c:f>
              <c:strCache>
                <c:ptCount val="1"/>
                <c:pt idx="0">
                  <c:v>PVN</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'elektr tarifi'!$B$31:$C$31</c:f>
              <c:strCache>
                <c:ptCount val="2"/>
                <c:pt idx="0">
                  <c:v>Starta tarifs</c:v>
                </c:pt>
                <c:pt idx="1">
                  <c:v>Pamata tarifs</c:v>
                </c:pt>
              </c:strCache>
            </c:strRef>
          </c:cat>
          <c:val>
            <c:numRef>
              <c:f>'elektr tarifi'!$B$37:$C$37</c:f>
              <c:numCache>
                <c:formatCode>0.00</c:formatCode>
                <c:ptCount val="2"/>
                <c:pt idx="0">
                  <c:v>2.0204779710986278</c:v>
                </c:pt>
                <c:pt idx="1">
                  <c:v>2.6323128496707477</c:v>
                </c:pt>
              </c:numCache>
            </c:numRef>
          </c:val>
        </c:ser>
        <c:dLbls>
          <c:showLegendKey val="0"/>
          <c:showVal val="0"/>
          <c:showCatName val="0"/>
          <c:showSerName val="0"/>
          <c:showPercent val="0"/>
          <c:showBubbleSize val="0"/>
        </c:dLbls>
        <c:gapWidth val="150"/>
        <c:overlap val="100"/>
        <c:axId val="265804416"/>
        <c:axId val="268181888"/>
      </c:barChart>
      <c:catAx>
        <c:axId val="26580441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68181888"/>
        <c:crosses val="autoZero"/>
        <c:auto val="1"/>
        <c:lblAlgn val="ctr"/>
        <c:lblOffset val="100"/>
        <c:noMultiLvlLbl val="0"/>
      </c:catAx>
      <c:valAx>
        <c:axId val="268181888"/>
        <c:scaling>
          <c:orientation val="minMax"/>
          <c:max val="2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65804416"/>
        <c:crosses val="autoZero"/>
        <c:crossBetween val="between"/>
        <c:majorUnit val="5"/>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1">
    <c:autoUpdate val="0"/>
  </c:externalData>
  <c:userShapes r:id="rId2"/>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v-LV"/>
              <a:t>milj. m3</a:t>
            </a:r>
          </a:p>
        </c:rich>
      </c:tx>
      <c:layout>
        <c:manualLayout>
          <c:xMode val="edge"/>
          <c:yMode val="edge"/>
          <c:x val="1.0888888888888903E-2"/>
          <c:y val="1.8518518518518531E-2"/>
        </c:manualLayout>
      </c:layout>
      <c:overlay val="0"/>
      <c:spPr>
        <a:noFill/>
        <a:ln>
          <a:noFill/>
        </a:ln>
        <a:effectLst/>
      </c:spPr>
    </c:title>
    <c:autoTitleDeleted val="0"/>
    <c:plotArea>
      <c:layout/>
      <c:barChart>
        <c:barDir val="col"/>
        <c:grouping val="clustered"/>
        <c:varyColors val="0"/>
        <c:ser>
          <c:idx val="0"/>
          <c:order val="0"/>
          <c:tx>
            <c:strRef>
              <c:f>dabasgāze!$A$5</c:f>
              <c:strCache>
                <c:ptCount val="1"/>
                <c:pt idx="0">
                  <c:v>Dabasgāze</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'naftas produkti'!$E$3:$N$3</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dabasgāze!$E$5:$N$5</c:f>
              <c:numCache>
                <c:formatCode>General</c:formatCode>
                <c:ptCount val="10"/>
                <c:pt idx="0">
                  <c:v>1677</c:v>
                </c:pt>
                <c:pt idx="1">
                  <c:v>1663</c:v>
                </c:pt>
                <c:pt idx="2">
                  <c:v>1695</c:v>
                </c:pt>
                <c:pt idx="3">
                  <c:v>1756</c:v>
                </c:pt>
                <c:pt idx="4">
                  <c:v>1700</c:v>
                </c:pt>
                <c:pt idx="5">
                  <c:v>1665</c:v>
                </c:pt>
                <c:pt idx="6">
                  <c:v>1528</c:v>
                </c:pt>
                <c:pt idx="7">
                  <c:v>1821</c:v>
                </c:pt>
                <c:pt idx="8">
                  <c:v>1604</c:v>
                </c:pt>
                <c:pt idx="9">
                  <c:v>1508</c:v>
                </c:pt>
              </c:numCache>
            </c:numRef>
          </c:val>
        </c:ser>
        <c:dLbls>
          <c:showLegendKey val="0"/>
          <c:showVal val="0"/>
          <c:showCatName val="0"/>
          <c:showSerName val="0"/>
          <c:showPercent val="0"/>
          <c:showBubbleSize val="0"/>
        </c:dLbls>
        <c:gapWidth val="219"/>
        <c:overlap val="-27"/>
        <c:axId val="268368896"/>
        <c:axId val="268387072"/>
      </c:barChart>
      <c:catAx>
        <c:axId val="268368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68387072"/>
        <c:crosses val="autoZero"/>
        <c:auto val="1"/>
        <c:lblAlgn val="ctr"/>
        <c:lblOffset val="100"/>
        <c:noMultiLvlLbl val="0"/>
      </c:catAx>
      <c:valAx>
        <c:axId val="2683870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68368896"/>
        <c:crosses val="autoZero"/>
        <c:crossBetween val="between"/>
        <c:majorUnit val="30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0.01246</cdr:x>
      <cdr:y>0.02257</cdr:y>
    </cdr:from>
    <cdr:to>
      <cdr:x>0.14413</cdr:x>
      <cdr:y>0.07465</cdr:y>
    </cdr:to>
    <cdr:sp macro="" textlink="">
      <cdr:nvSpPr>
        <cdr:cNvPr id="2" name="TextBox 1"/>
        <cdr:cNvSpPr txBox="1"/>
      </cdr:nvSpPr>
      <cdr:spPr>
        <a:xfrm xmlns:a="http://schemas.openxmlformats.org/drawingml/2006/main">
          <a:off x="66675" y="61913"/>
          <a:ext cx="704850" cy="1428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lv-LV" sz="1100"/>
        </a:p>
      </cdr:txBody>
    </cdr:sp>
  </cdr:relSizeAnchor>
  <cdr:relSizeAnchor xmlns:cdr="http://schemas.openxmlformats.org/drawingml/2006/chartDrawing">
    <cdr:from>
      <cdr:x>0.02491</cdr:x>
      <cdr:y>0.0191</cdr:y>
    </cdr:from>
    <cdr:to>
      <cdr:x>0.16904</cdr:x>
      <cdr:y>0.06424</cdr:y>
    </cdr:to>
    <cdr:sp macro="" textlink="">
      <cdr:nvSpPr>
        <cdr:cNvPr id="3" name="TextBox 2"/>
        <cdr:cNvSpPr txBox="1"/>
      </cdr:nvSpPr>
      <cdr:spPr>
        <a:xfrm xmlns:a="http://schemas.openxmlformats.org/drawingml/2006/main">
          <a:off x="133350" y="52388"/>
          <a:ext cx="771525" cy="1238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lv-LV" sz="1000">
            <a:latin typeface="Arial Narrow" panose="020B0606020202030204" pitchFamily="34" charset="0"/>
          </a:endParaRPr>
        </a:p>
      </cdr:txBody>
    </cdr:sp>
  </cdr:relSizeAnchor>
  <cdr:relSizeAnchor xmlns:cdr="http://schemas.openxmlformats.org/drawingml/2006/chartDrawing">
    <cdr:from>
      <cdr:x>0</cdr:x>
      <cdr:y>0.01215</cdr:y>
    </cdr:from>
    <cdr:to>
      <cdr:x>0.15836</cdr:x>
      <cdr:y>0.07813</cdr:y>
    </cdr:to>
    <cdr:sp macro="" textlink="">
      <cdr:nvSpPr>
        <cdr:cNvPr id="6" name="TextBox 5"/>
        <cdr:cNvSpPr txBox="1"/>
      </cdr:nvSpPr>
      <cdr:spPr>
        <a:xfrm xmlns:a="http://schemas.openxmlformats.org/drawingml/2006/main">
          <a:off x="0" y="33338"/>
          <a:ext cx="847725" cy="1809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lv-LV" sz="1000">
              <a:latin typeface="Arial Narrow" panose="020B0606020202030204" pitchFamily="34" charset="0"/>
            </a:rPr>
            <a:t>centi/kWh</a:t>
          </a:r>
          <a:endParaRPr lang="lv-LV" sz="1100">
            <a:latin typeface="Arial Narrow" panose="020B0606020202030204" pitchFamily="34" charset="0"/>
          </a:endParaRPr>
        </a:p>
      </cdr:txBody>
    </cdr:sp>
  </cdr:relSizeAnchor>
  <cdr:relSizeAnchor xmlns:cdr="http://schemas.openxmlformats.org/drawingml/2006/chartDrawing">
    <cdr:from>
      <cdr:x>0.21364</cdr:x>
      <cdr:y>0.27894</cdr:y>
    </cdr:from>
    <cdr:to>
      <cdr:x>0.39091</cdr:x>
      <cdr:y>0.37616</cdr:y>
    </cdr:to>
    <cdr:sp macro="" textlink="">
      <cdr:nvSpPr>
        <cdr:cNvPr id="5" name="TextBox 7"/>
        <cdr:cNvSpPr txBox="1"/>
      </cdr:nvSpPr>
      <cdr:spPr>
        <a:xfrm xmlns:a="http://schemas.openxmlformats.org/drawingml/2006/main">
          <a:off x="895349" y="765175"/>
          <a:ext cx="742950" cy="266700"/>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ct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r>
            <a:rPr lang="lv-LV" sz="1000" b="1">
              <a:latin typeface="Arial Narrow" panose="020B0606020202030204" pitchFamily="34" charset="0"/>
            </a:rPr>
            <a:t>11,64</a:t>
          </a:r>
        </a:p>
      </cdr:txBody>
    </cdr:sp>
  </cdr:relSizeAnchor>
  <cdr:relSizeAnchor xmlns:cdr="http://schemas.openxmlformats.org/drawingml/2006/chartDrawing">
    <cdr:from>
      <cdr:x>0.66136</cdr:x>
      <cdr:y>0.18866</cdr:y>
    </cdr:from>
    <cdr:to>
      <cdr:x>0.83636</cdr:x>
      <cdr:y>0.28588</cdr:y>
    </cdr:to>
    <cdr:sp macro="" textlink="">
      <cdr:nvSpPr>
        <cdr:cNvPr id="7" name="TextBox 7"/>
        <cdr:cNvSpPr txBox="1"/>
      </cdr:nvSpPr>
      <cdr:spPr>
        <a:xfrm xmlns:a="http://schemas.openxmlformats.org/drawingml/2006/main">
          <a:off x="2771774" y="517525"/>
          <a:ext cx="733425" cy="266700"/>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ct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r>
            <a:rPr lang="lv-LV" sz="1000" b="1">
              <a:latin typeface="Arial Narrow" panose="020B0606020202030204" pitchFamily="34" charset="0"/>
            </a:rPr>
            <a:t>15,15</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767E57-36F5-4E85-8A92-59674FE53E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496</TotalTime>
  <Pages>72</Pages>
  <Words>87646</Words>
  <Characters>49959</Characters>
  <Application>Microsoft Office Word</Application>
  <DocSecurity>0</DocSecurity>
  <Lines>416</Lines>
  <Paragraphs>274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137331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Leo Jansons</dc:creator>
  <cp:lastModifiedBy>Ingars Sils</cp:lastModifiedBy>
  <cp:revision>38</cp:revision>
  <cp:lastPrinted>2014-09-19T12:37:00Z</cp:lastPrinted>
  <dcterms:created xsi:type="dcterms:W3CDTF">2014-09-17T13:07:00Z</dcterms:created>
  <dcterms:modified xsi:type="dcterms:W3CDTF">2014-10-20T13:03:00Z</dcterms:modified>
</cp:coreProperties>
</file>