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EF" w:rsidRPr="00332BEF" w:rsidRDefault="00332BEF" w:rsidP="00332BEF">
      <w:pPr>
        <w:jc w:val="right"/>
        <w:rPr>
          <w:rFonts w:eastAsia="Times New Roman" w:cs="Times New Roman"/>
          <w:b/>
          <w:bCs/>
          <w:color w:val="000000"/>
          <w:sz w:val="28"/>
          <w:szCs w:val="28"/>
          <w:lang w:eastAsia="lv-LV"/>
        </w:rPr>
      </w:pPr>
      <w:r w:rsidRPr="00332BEF">
        <w:rPr>
          <w:rFonts w:eastAsia="Times New Roman" w:cs="Times New Roman"/>
          <w:b/>
          <w:bCs/>
          <w:color w:val="000000"/>
          <w:sz w:val="28"/>
          <w:szCs w:val="28"/>
          <w:lang w:eastAsia="lv-LV"/>
        </w:rPr>
        <w:t>Pielikums Nr.</w:t>
      </w:r>
      <w:r w:rsidR="00425B72">
        <w:rPr>
          <w:rFonts w:eastAsia="Times New Roman" w:cs="Times New Roman"/>
          <w:b/>
          <w:bCs/>
          <w:color w:val="000000"/>
          <w:sz w:val="28"/>
          <w:szCs w:val="28"/>
          <w:lang w:eastAsia="lv-LV"/>
        </w:rPr>
        <w:t>3</w:t>
      </w:r>
    </w:p>
    <w:p w:rsidR="00332BEF" w:rsidRPr="00332BEF" w:rsidRDefault="00332BEF" w:rsidP="00332BEF">
      <w:pPr>
        <w:jc w:val="both"/>
        <w:rPr>
          <w:rFonts w:eastAsia="Times New Roman" w:cs="Times New Roman"/>
          <w:b/>
          <w:bCs/>
          <w:color w:val="000000"/>
          <w:sz w:val="28"/>
          <w:szCs w:val="28"/>
          <w:lang w:eastAsia="lv-LV"/>
        </w:rPr>
      </w:pPr>
    </w:p>
    <w:p w:rsidR="00332BEF" w:rsidRPr="00332BEF" w:rsidRDefault="00332BEF" w:rsidP="00332BEF">
      <w:pPr>
        <w:jc w:val="center"/>
        <w:rPr>
          <w:rFonts w:eastAsia="Times New Roman" w:cs="Times New Roman"/>
          <w:b/>
          <w:bCs/>
          <w:color w:val="000000"/>
          <w:sz w:val="28"/>
          <w:szCs w:val="28"/>
          <w:lang w:eastAsia="lv-LV"/>
        </w:rPr>
      </w:pPr>
    </w:p>
    <w:p w:rsidR="00332BEF" w:rsidRPr="00332BEF" w:rsidRDefault="00332BEF" w:rsidP="00332BEF">
      <w:pPr>
        <w:jc w:val="center"/>
        <w:rPr>
          <w:rFonts w:eastAsia="Times New Roman" w:cs="Times New Roman"/>
          <w:b/>
          <w:bCs/>
          <w:color w:val="000000"/>
          <w:sz w:val="28"/>
          <w:szCs w:val="28"/>
          <w:lang w:eastAsia="lv-LV"/>
        </w:rPr>
      </w:pPr>
      <w:r w:rsidRPr="00332BEF">
        <w:rPr>
          <w:rFonts w:eastAsia="Times New Roman" w:cs="Times New Roman"/>
          <w:b/>
          <w:bCs/>
          <w:color w:val="000000"/>
          <w:sz w:val="28"/>
          <w:szCs w:val="28"/>
          <w:lang w:eastAsia="lv-LV"/>
        </w:rPr>
        <w:t>Atbrīvojumu piemērošana lieliem elektroenerģijas lietotājiem ES un Latvijā</w:t>
      </w:r>
    </w:p>
    <w:p w:rsidR="00332BEF" w:rsidRPr="00332BEF" w:rsidRDefault="00332BEF" w:rsidP="00332BEF">
      <w:pPr>
        <w:jc w:val="center"/>
        <w:rPr>
          <w:rFonts w:eastAsia="Times New Roman" w:cs="Times New Roman"/>
          <w:b/>
          <w:bCs/>
          <w:color w:val="000000"/>
          <w:sz w:val="28"/>
          <w:szCs w:val="28"/>
          <w:lang w:eastAsia="lv-LV"/>
        </w:rPr>
      </w:pPr>
    </w:p>
    <w:p w:rsidR="00332BEF" w:rsidRPr="00332BEF" w:rsidRDefault="00332BEF" w:rsidP="00332BEF">
      <w:pPr>
        <w:rPr>
          <w:rFonts w:eastAsia="Times New Roman" w:cs="Times New Roman"/>
          <w:b/>
          <w:bCs/>
          <w:color w:val="000000"/>
          <w:sz w:val="28"/>
          <w:szCs w:val="28"/>
          <w:lang w:eastAsia="lv-LV"/>
        </w:rPr>
      </w:pPr>
      <w:bookmarkStart w:id="0" w:name="_GoBack"/>
      <w:bookmarkEnd w:id="0"/>
      <w:r w:rsidRPr="00332BEF">
        <w:rPr>
          <w:rFonts w:eastAsia="Times New Roman" w:cs="Times New Roman"/>
          <w:b/>
          <w:bCs/>
          <w:color w:val="000000"/>
          <w:sz w:val="28"/>
          <w:szCs w:val="28"/>
          <w:lang w:eastAsia="lv-LV"/>
        </w:rPr>
        <w:t>Atbrīvojumu piemērošana lieliem elektroenerģijas lietotājiem ES: Vācijas un Austrijas piemērs</w:t>
      </w:r>
    </w:p>
    <w:p w:rsidR="00332BEF" w:rsidRPr="00332BEF" w:rsidRDefault="00332BEF" w:rsidP="00332BEF">
      <w:pPr>
        <w:ind w:firstLine="720"/>
        <w:jc w:val="both"/>
        <w:rPr>
          <w:rFonts w:cs="Times New Roman"/>
          <w:b/>
          <w:bCs/>
          <w:sz w:val="28"/>
          <w:szCs w:val="28"/>
        </w:rPr>
      </w:pPr>
    </w:p>
    <w:p w:rsidR="00332BEF" w:rsidRPr="00332BEF" w:rsidRDefault="00332BEF" w:rsidP="00332BEF">
      <w:pPr>
        <w:ind w:firstLine="709"/>
        <w:jc w:val="both"/>
        <w:rPr>
          <w:rFonts w:cs="Times New Roman"/>
          <w:bCs/>
          <w:sz w:val="28"/>
          <w:szCs w:val="28"/>
        </w:rPr>
      </w:pPr>
      <w:r w:rsidRPr="00332BEF">
        <w:rPr>
          <w:rFonts w:cs="Times New Roman"/>
          <w:bCs/>
          <w:sz w:val="28"/>
          <w:szCs w:val="28"/>
        </w:rPr>
        <w:t xml:space="preserve">Neskatoties uz jau īstenotājiem pasākumiem OIK pieauguma ierobežošanai, joprojām saglabājas potenciāls OIK līmeņa samazināšanai attiecībā uz noteiktām elektroenerģijas lietotāju grupām. ES līmenī visplašākā analīze ir pieejama par modeļiem, kas ir piemēroti Vācijā un Austrijā. </w:t>
      </w:r>
    </w:p>
    <w:p w:rsidR="00332BEF" w:rsidRPr="00332BEF" w:rsidRDefault="00332BEF" w:rsidP="00332BEF">
      <w:pPr>
        <w:ind w:firstLine="709"/>
        <w:jc w:val="both"/>
        <w:rPr>
          <w:rFonts w:cs="Times New Roman"/>
          <w:sz w:val="28"/>
          <w:szCs w:val="28"/>
        </w:rPr>
      </w:pPr>
      <w:r w:rsidRPr="00332BEF">
        <w:rPr>
          <w:rFonts w:cs="Times New Roman"/>
          <w:b/>
          <w:bCs/>
          <w:sz w:val="28"/>
          <w:szCs w:val="28"/>
        </w:rPr>
        <w:t>Vācijā</w:t>
      </w:r>
      <w:r w:rsidRPr="00332BEF">
        <w:rPr>
          <w:rFonts w:cs="Times New Roman"/>
          <w:sz w:val="28"/>
          <w:szCs w:val="28"/>
        </w:rPr>
        <w:t xml:space="preserve"> lieliem rūpnieciskiem elektroenerģijas patērētājiem, kuru patēriņš ir virs 1 </w:t>
      </w:r>
      <w:proofErr w:type="spellStart"/>
      <w:r w:rsidRPr="00332BEF">
        <w:rPr>
          <w:rFonts w:cs="Times New Roman"/>
          <w:sz w:val="28"/>
          <w:szCs w:val="28"/>
        </w:rPr>
        <w:t>GWh</w:t>
      </w:r>
      <w:proofErr w:type="spellEnd"/>
      <w:r w:rsidRPr="00332BEF">
        <w:rPr>
          <w:rFonts w:cs="Times New Roman"/>
          <w:sz w:val="28"/>
          <w:szCs w:val="28"/>
        </w:rPr>
        <w:t xml:space="preserve"> gadā un elektroenerģijas izmaksas pret kopējo pievienoto vērtību koeficientam pārsniedz 14%, ir iespēja saņemt AER maksas samazinājumu. Taču Eiropas Komisija 2011.gada beigās ierosināja pārbaudes lietu par Vācijas Federatīvajā republikā </w:t>
      </w:r>
      <w:proofErr w:type="spellStart"/>
      <w:r w:rsidRPr="00332BEF">
        <w:rPr>
          <w:rFonts w:cs="Times New Roman"/>
          <w:i/>
          <w:iCs/>
          <w:sz w:val="28"/>
          <w:szCs w:val="28"/>
        </w:rPr>
        <w:t>feed-in</w:t>
      </w:r>
      <w:proofErr w:type="spellEnd"/>
      <w:r w:rsidRPr="00332BEF">
        <w:rPr>
          <w:rFonts w:cs="Times New Roman"/>
          <w:sz w:val="28"/>
          <w:szCs w:val="28"/>
        </w:rPr>
        <w:t xml:space="preserve"> atbalsta mehānisma ietvaros piešķirto atbrīvojumu energoietilpīgiem ražošanas uzņēmumiem, kas paredz tiem atbrīvojumu pilnā apmērā no </w:t>
      </w:r>
      <w:proofErr w:type="spellStart"/>
      <w:r w:rsidRPr="00332BEF">
        <w:rPr>
          <w:rFonts w:cs="Times New Roman"/>
          <w:i/>
          <w:iCs/>
          <w:sz w:val="28"/>
          <w:szCs w:val="28"/>
        </w:rPr>
        <w:t>feed-in</w:t>
      </w:r>
      <w:proofErr w:type="spellEnd"/>
      <w:r w:rsidRPr="00332BEF">
        <w:rPr>
          <w:rFonts w:cs="Times New Roman"/>
          <w:sz w:val="28"/>
          <w:szCs w:val="28"/>
        </w:rPr>
        <w:t xml:space="preserve"> izmaksu segšanas. Eiropas Komisijas, ierosinot pārbaudes lietu norādīja, ka </w:t>
      </w:r>
      <w:r w:rsidRPr="00332BEF">
        <w:rPr>
          <w:rFonts w:cs="Times New Roman"/>
          <w:bCs/>
          <w:sz w:val="28"/>
          <w:szCs w:val="28"/>
        </w:rPr>
        <w:t>tas var saturēt valsts atbalsta pazīmes</w:t>
      </w:r>
      <w:r w:rsidRPr="00332BEF">
        <w:rPr>
          <w:rFonts w:cs="Times New Roman"/>
          <w:sz w:val="28"/>
          <w:szCs w:val="28"/>
        </w:rPr>
        <w:t>, jo kalpo nevis AER veicināšanai, bet gan energoietilpīgo ražošanas izņēmumu atbalstam</w:t>
      </w:r>
      <w:r w:rsidRPr="00332BEF">
        <w:rPr>
          <w:rStyle w:val="FootnoteReference"/>
          <w:rFonts w:cs="Times New Roman"/>
          <w:sz w:val="28"/>
          <w:szCs w:val="28"/>
        </w:rPr>
        <w:footnoteReference w:id="1"/>
      </w:r>
      <w:r w:rsidRPr="00332BEF">
        <w:rPr>
          <w:rFonts w:cs="Times New Roman"/>
          <w:sz w:val="28"/>
          <w:szCs w:val="28"/>
        </w:rPr>
        <w:t>.</w:t>
      </w:r>
    </w:p>
    <w:p w:rsidR="00332BEF" w:rsidRPr="00332BEF" w:rsidRDefault="00332BEF" w:rsidP="00332BEF">
      <w:pPr>
        <w:ind w:firstLine="709"/>
        <w:jc w:val="both"/>
        <w:rPr>
          <w:rFonts w:cs="Times New Roman"/>
          <w:i/>
          <w:iCs/>
          <w:sz w:val="28"/>
          <w:szCs w:val="28"/>
        </w:rPr>
      </w:pPr>
      <w:r w:rsidRPr="00332BEF">
        <w:rPr>
          <w:rFonts w:cs="Times New Roman"/>
          <w:sz w:val="28"/>
          <w:szCs w:val="28"/>
        </w:rPr>
        <w:t xml:space="preserve">2008.gada 27.jūnijā </w:t>
      </w:r>
      <w:r w:rsidRPr="00332BEF">
        <w:rPr>
          <w:rFonts w:cs="Times New Roman"/>
          <w:b/>
          <w:sz w:val="28"/>
          <w:szCs w:val="28"/>
        </w:rPr>
        <w:t>Austrija</w:t>
      </w:r>
      <w:r w:rsidRPr="00332BEF">
        <w:rPr>
          <w:rFonts w:cs="Times New Roman"/>
          <w:sz w:val="28"/>
          <w:szCs w:val="28"/>
        </w:rPr>
        <w:t xml:space="preserve"> iesniedza Eiropas Komisijai saskaņošanai  izmaiņas atbalsta mehānisma atjaunojamās enerģijas atbalstam. Tika grozīts Zaļās elektrības likums (</w:t>
      </w:r>
      <w:proofErr w:type="spellStart"/>
      <w:r w:rsidRPr="00332BEF">
        <w:rPr>
          <w:rFonts w:cs="Times New Roman"/>
          <w:i/>
          <w:iCs/>
          <w:sz w:val="28"/>
          <w:szCs w:val="28"/>
        </w:rPr>
        <w:t>Green</w:t>
      </w:r>
      <w:proofErr w:type="spellEnd"/>
      <w:r w:rsidRPr="00332BEF">
        <w:rPr>
          <w:rFonts w:cs="Times New Roman"/>
          <w:i/>
          <w:iCs/>
          <w:sz w:val="28"/>
          <w:szCs w:val="28"/>
        </w:rPr>
        <w:t xml:space="preserve"> </w:t>
      </w:r>
      <w:proofErr w:type="spellStart"/>
      <w:r w:rsidRPr="00332BEF">
        <w:rPr>
          <w:rFonts w:cs="Times New Roman"/>
          <w:i/>
          <w:iCs/>
          <w:sz w:val="28"/>
          <w:szCs w:val="28"/>
        </w:rPr>
        <w:t>Electricity</w:t>
      </w:r>
      <w:proofErr w:type="spellEnd"/>
      <w:r w:rsidRPr="00332BEF">
        <w:rPr>
          <w:rFonts w:cs="Times New Roman"/>
          <w:i/>
          <w:iCs/>
          <w:sz w:val="28"/>
          <w:szCs w:val="28"/>
        </w:rPr>
        <w:t xml:space="preserve"> </w:t>
      </w:r>
      <w:proofErr w:type="spellStart"/>
      <w:r w:rsidRPr="00332BEF">
        <w:rPr>
          <w:rFonts w:cs="Times New Roman"/>
          <w:i/>
          <w:iCs/>
          <w:sz w:val="28"/>
          <w:szCs w:val="28"/>
        </w:rPr>
        <w:t>Act</w:t>
      </w:r>
      <w:proofErr w:type="spellEnd"/>
      <w:r w:rsidRPr="00332BEF">
        <w:rPr>
          <w:rFonts w:cs="Times New Roman"/>
          <w:sz w:val="28"/>
          <w:szCs w:val="28"/>
        </w:rPr>
        <w:t>) un, tā ietvaros bija paredzēts, ka lielie elektroenerģijas patērētāji varēja lūgt elektroenerģijas tirgotājam viņiem nepiegādāt „zaļo” elektroenerģiju un attiecīgi saņemt atbrīvojumu no atbalsta komponentes maksas, ja elektroenerģijas ražotāji pierāda, ka izmaksas „zaļā” elektroenerģijai sastāda vismaz 0,5% no viņu neto produkcijas vērtības un tie var pretendēt atbilstoši Austrijas Enerģijas nodokļa likuma (</w:t>
      </w:r>
      <w:proofErr w:type="spellStart"/>
      <w:r w:rsidRPr="00332BEF">
        <w:rPr>
          <w:rFonts w:cs="Times New Roman"/>
          <w:i/>
          <w:iCs/>
          <w:sz w:val="28"/>
          <w:szCs w:val="28"/>
        </w:rPr>
        <w:t>Energy</w:t>
      </w:r>
      <w:proofErr w:type="spellEnd"/>
      <w:r w:rsidRPr="00332BEF">
        <w:rPr>
          <w:rFonts w:cs="Times New Roman"/>
          <w:i/>
          <w:iCs/>
          <w:sz w:val="28"/>
          <w:szCs w:val="28"/>
        </w:rPr>
        <w:t xml:space="preserve"> </w:t>
      </w:r>
      <w:proofErr w:type="spellStart"/>
      <w:r w:rsidRPr="00332BEF">
        <w:rPr>
          <w:rFonts w:cs="Times New Roman"/>
          <w:i/>
          <w:iCs/>
          <w:sz w:val="28"/>
          <w:szCs w:val="28"/>
        </w:rPr>
        <w:t>TaxRebate</w:t>
      </w:r>
      <w:proofErr w:type="spellEnd"/>
      <w:r w:rsidRPr="00332BEF">
        <w:rPr>
          <w:rFonts w:cs="Times New Roman"/>
          <w:i/>
          <w:iCs/>
          <w:sz w:val="28"/>
          <w:szCs w:val="28"/>
        </w:rPr>
        <w:t xml:space="preserve"> </w:t>
      </w:r>
      <w:proofErr w:type="spellStart"/>
      <w:r w:rsidRPr="00332BEF">
        <w:rPr>
          <w:rFonts w:cs="Times New Roman"/>
          <w:i/>
          <w:iCs/>
          <w:sz w:val="28"/>
          <w:szCs w:val="28"/>
        </w:rPr>
        <w:t>Act</w:t>
      </w:r>
      <w:proofErr w:type="spellEnd"/>
      <w:r w:rsidRPr="00332BEF">
        <w:rPr>
          <w:rFonts w:cs="Times New Roman"/>
          <w:i/>
          <w:iCs/>
          <w:sz w:val="28"/>
          <w:szCs w:val="28"/>
        </w:rPr>
        <w:t>)</w:t>
      </w:r>
      <w:r w:rsidRPr="00332BEF">
        <w:rPr>
          <w:rFonts w:cs="Times New Roman"/>
          <w:sz w:val="28"/>
          <w:szCs w:val="28"/>
        </w:rPr>
        <w:t xml:space="preserve"> prasībām. Ja viņi tika atbrīvoti no atbalsta komponentes maksas, tad veica kompensācijas iemaksu 0,5% no uzņēmuma viņu neto produkcijas vērtības Austrijas kompetentai izpētes institūcijai (</w:t>
      </w:r>
      <w:proofErr w:type="spellStart"/>
      <w:r w:rsidRPr="00332BEF">
        <w:rPr>
          <w:rFonts w:cs="Times New Roman"/>
          <w:i/>
          <w:iCs/>
          <w:sz w:val="28"/>
          <w:szCs w:val="28"/>
        </w:rPr>
        <w:t>Abwicklungsstelle</w:t>
      </w:r>
      <w:proofErr w:type="spellEnd"/>
      <w:r w:rsidRPr="00332BEF">
        <w:rPr>
          <w:rFonts w:cs="Times New Roman"/>
          <w:i/>
          <w:iCs/>
          <w:sz w:val="28"/>
          <w:szCs w:val="28"/>
        </w:rPr>
        <w:t xml:space="preserve"> </w:t>
      </w:r>
      <w:proofErr w:type="spellStart"/>
      <w:r w:rsidRPr="00332BEF">
        <w:rPr>
          <w:rFonts w:cs="Times New Roman"/>
          <w:i/>
          <w:iCs/>
          <w:sz w:val="28"/>
          <w:szCs w:val="28"/>
        </w:rPr>
        <w:t>für</w:t>
      </w:r>
      <w:proofErr w:type="spellEnd"/>
      <w:r w:rsidRPr="00332BEF">
        <w:rPr>
          <w:rFonts w:cs="Times New Roman"/>
          <w:i/>
          <w:iCs/>
          <w:sz w:val="28"/>
          <w:szCs w:val="28"/>
        </w:rPr>
        <w:t xml:space="preserve"> </w:t>
      </w:r>
      <w:proofErr w:type="spellStart"/>
      <w:r w:rsidRPr="00332BEF">
        <w:rPr>
          <w:rFonts w:cs="Times New Roman"/>
          <w:i/>
          <w:iCs/>
          <w:sz w:val="28"/>
          <w:szCs w:val="28"/>
        </w:rPr>
        <w:t>Ökostrom</w:t>
      </w:r>
      <w:proofErr w:type="spellEnd"/>
      <w:r w:rsidRPr="00332BEF">
        <w:rPr>
          <w:rFonts w:cs="Times New Roman"/>
          <w:i/>
          <w:iCs/>
          <w:sz w:val="28"/>
          <w:szCs w:val="28"/>
        </w:rPr>
        <w:t xml:space="preserve"> AG</w:t>
      </w:r>
      <w:r w:rsidRPr="00332BEF">
        <w:rPr>
          <w:rFonts w:cs="Times New Roman"/>
          <w:sz w:val="28"/>
          <w:szCs w:val="28"/>
        </w:rPr>
        <w:t>). Eiropas Komisijas Konkurences ģenerāldirektorāts savā 2011.gada 8.marta lēmumā šādā tiesiskajā regulējumā saskatīja selektivitātes kritērijus</w:t>
      </w:r>
      <w:r w:rsidRPr="00332BEF">
        <w:rPr>
          <w:rStyle w:val="FootnoteReference"/>
          <w:rFonts w:cs="Times New Roman"/>
          <w:sz w:val="28"/>
          <w:szCs w:val="28"/>
        </w:rPr>
        <w:footnoteReference w:id="2"/>
      </w:r>
      <w:r w:rsidRPr="00332BEF">
        <w:rPr>
          <w:rFonts w:cs="Times New Roman"/>
          <w:sz w:val="28"/>
          <w:szCs w:val="28"/>
        </w:rPr>
        <w:t xml:space="preserve">. </w:t>
      </w:r>
    </w:p>
    <w:p w:rsidR="00332BEF" w:rsidRPr="00332BEF" w:rsidRDefault="00332BEF" w:rsidP="00332BEF">
      <w:pPr>
        <w:ind w:firstLine="709"/>
        <w:jc w:val="both"/>
        <w:rPr>
          <w:rFonts w:cs="Times New Roman"/>
          <w:b/>
          <w:bCs/>
          <w:sz w:val="28"/>
          <w:szCs w:val="28"/>
        </w:rPr>
      </w:pPr>
      <w:r w:rsidRPr="00332BEF">
        <w:rPr>
          <w:rFonts w:cs="Times New Roman"/>
          <w:sz w:val="28"/>
          <w:szCs w:val="28"/>
        </w:rPr>
        <w:t>2011.gada 22.jūlijā Austrija Eiropas Komisijai nosūtīja saskaņošanai veiktos grozījumus Austrijas Zaļās elektrības likumā (</w:t>
      </w:r>
      <w:proofErr w:type="spellStart"/>
      <w:r w:rsidRPr="00332BEF">
        <w:rPr>
          <w:rFonts w:cs="Times New Roman"/>
          <w:i/>
          <w:iCs/>
          <w:sz w:val="28"/>
          <w:szCs w:val="28"/>
        </w:rPr>
        <w:t>Green</w:t>
      </w:r>
      <w:proofErr w:type="spellEnd"/>
      <w:r w:rsidRPr="00332BEF">
        <w:rPr>
          <w:rFonts w:cs="Times New Roman"/>
          <w:i/>
          <w:iCs/>
          <w:sz w:val="28"/>
          <w:szCs w:val="28"/>
        </w:rPr>
        <w:t xml:space="preserve"> </w:t>
      </w:r>
      <w:proofErr w:type="spellStart"/>
      <w:r w:rsidRPr="00332BEF">
        <w:rPr>
          <w:rFonts w:cs="Times New Roman"/>
          <w:i/>
          <w:iCs/>
          <w:sz w:val="28"/>
          <w:szCs w:val="28"/>
        </w:rPr>
        <w:t>Electricity</w:t>
      </w:r>
      <w:proofErr w:type="spellEnd"/>
      <w:r w:rsidRPr="00332BEF">
        <w:rPr>
          <w:rFonts w:cs="Times New Roman"/>
          <w:i/>
          <w:iCs/>
          <w:sz w:val="28"/>
          <w:szCs w:val="28"/>
        </w:rPr>
        <w:t xml:space="preserve"> </w:t>
      </w:r>
      <w:proofErr w:type="spellStart"/>
      <w:r w:rsidRPr="00332BEF">
        <w:rPr>
          <w:rFonts w:cs="Times New Roman"/>
          <w:i/>
          <w:iCs/>
          <w:sz w:val="28"/>
          <w:szCs w:val="28"/>
        </w:rPr>
        <w:t>Act</w:t>
      </w:r>
      <w:proofErr w:type="spellEnd"/>
      <w:r w:rsidRPr="00332BEF">
        <w:rPr>
          <w:rFonts w:cs="Times New Roman"/>
          <w:sz w:val="28"/>
          <w:szCs w:val="28"/>
        </w:rPr>
        <w:t xml:space="preserve">), kas paredzēja ieviest principu, ka atbalsta izmaksas elektroenerģijas, kas saražota, </w:t>
      </w:r>
      <w:r w:rsidRPr="00332BEF">
        <w:rPr>
          <w:rFonts w:cs="Times New Roman"/>
          <w:sz w:val="28"/>
          <w:szCs w:val="28"/>
        </w:rPr>
        <w:lastRenderedPageBreak/>
        <w:t xml:space="preserve">izmantojot AER, tiek sadalītas starp tīkla pieslēguma grupām pēc attiecīgās tīkla grupas iedalījuma. Austrijā AER atbalsta mehānisma izmaksas uzņēmumiem tiek diferencēts atkarībā no attiecīgās tīkla pieslēguma grupas, mainoties tīkla maksai. Katrai tīkla pieslēguma grupai tiek noteikts konkrēts procents, kas tai jāsamaksā no kopējā iepriekšējā gadā izmaksātā līdzekļu apjoma, lai kopsummā visas tīkla grupas nosegtu iepriekšējā gadā izmaksāto līdzekļu apjomu. Noteiktais procents tiek pārskatīts katru gadu, atkarībā no atbalsta izmaksu apjoma un noteiktais procents ir vienāds visas Austrijas teritorijā, bet nav atkarīgs no lietotāja lieluma vai elektroenerģijas patēriņa. Līdz ar to energoietilpīgie elektroenerģijas patērētāji sedz atbalsta izmaksas tāpat kā citi elektroenerģijas lietotāji. Ņemot vērā, ka energoietilpīgas ražošanas uzņēmumi ir dažādās tīkla pieslēguma grupās, tad ne visi </w:t>
      </w:r>
      <w:proofErr w:type="spellStart"/>
      <w:r w:rsidRPr="00332BEF">
        <w:rPr>
          <w:rFonts w:cs="Times New Roman"/>
          <w:sz w:val="28"/>
          <w:szCs w:val="28"/>
        </w:rPr>
        <w:t>energointensīvie</w:t>
      </w:r>
      <w:proofErr w:type="spellEnd"/>
      <w:r w:rsidRPr="00332BEF">
        <w:rPr>
          <w:rFonts w:cs="Times New Roman"/>
          <w:sz w:val="28"/>
          <w:szCs w:val="28"/>
        </w:rPr>
        <w:t xml:space="preserve"> uzņēmumi maksā relatīvi mazākas pieslēguma maksas. Līdz ar to arī Eiropas Komisija selektivitātes kritēriju esamību nesaskatīja un 2012. gada 8. februārī pieņēma pozitīvu lēmumu</w:t>
      </w:r>
      <w:r w:rsidRPr="00332BEF">
        <w:rPr>
          <w:rStyle w:val="FootnoteReference"/>
          <w:rFonts w:cs="Times New Roman"/>
          <w:sz w:val="28"/>
          <w:szCs w:val="28"/>
        </w:rPr>
        <w:footnoteReference w:id="3"/>
      </w:r>
      <w:r w:rsidRPr="00332BEF">
        <w:rPr>
          <w:rFonts w:cs="Times New Roman"/>
          <w:sz w:val="28"/>
          <w:szCs w:val="28"/>
        </w:rPr>
        <w:t xml:space="preserve"> 2009. gadā ierosinātas pārkāpuma procedūras ietvaros, ņemot vērā, ka sākotnēji Austrija bija paredzējusi izņēmumu </w:t>
      </w:r>
      <w:proofErr w:type="spellStart"/>
      <w:r w:rsidRPr="00332BEF">
        <w:rPr>
          <w:rFonts w:cs="Times New Roman"/>
          <w:sz w:val="28"/>
          <w:szCs w:val="28"/>
        </w:rPr>
        <w:t>energointensīviem</w:t>
      </w:r>
      <w:proofErr w:type="spellEnd"/>
      <w:r w:rsidRPr="00332BEF">
        <w:rPr>
          <w:rFonts w:cs="Times New Roman"/>
          <w:sz w:val="28"/>
          <w:szCs w:val="28"/>
        </w:rPr>
        <w:t xml:space="preserve"> uzņēmumiem.</w:t>
      </w:r>
      <w:r w:rsidRPr="00332BEF">
        <w:rPr>
          <w:rFonts w:cs="Times New Roman"/>
          <w:b/>
          <w:bCs/>
          <w:sz w:val="28"/>
          <w:szCs w:val="28"/>
        </w:rPr>
        <w:t xml:space="preserve"> </w:t>
      </w:r>
    </w:p>
    <w:p w:rsidR="00332BEF" w:rsidRPr="00332BEF" w:rsidRDefault="00332BEF" w:rsidP="00332BEF">
      <w:pPr>
        <w:ind w:firstLine="720"/>
        <w:jc w:val="both"/>
        <w:rPr>
          <w:rFonts w:cs="Times New Roman"/>
          <w:sz w:val="28"/>
          <w:szCs w:val="28"/>
        </w:rPr>
      </w:pPr>
      <w:r w:rsidRPr="00332BEF">
        <w:rPr>
          <w:rFonts w:cs="Times New Roman"/>
          <w:sz w:val="28"/>
          <w:szCs w:val="28"/>
        </w:rPr>
        <w:t xml:space="preserve">Kopumā var konstatēt, ka līdzšinējie dalībvalstu mēģinājumi radīt mehānismus, kuri diferencētu OIK maksājumus dažādiem elektroenerģijas lietotājiem bija apgrūtināti vienota ES regulējuma trūkuma dēļ, kas veidoja valsts atbalsta regulējuma normu interpretācijas iespējas.  </w:t>
      </w:r>
    </w:p>
    <w:p w:rsidR="00332BEF" w:rsidRPr="00332BEF" w:rsidRDefault="00332BEF" w:rsidP="00332BEF">
      <w:pPr>
        <w:ind w:firstLine="720"/>
        <w:jc w:val="both"/>
        <w:rPr>
          <w:rFonts w:cs="Times New Roman"/>
          <w:bCs/>
          <w:sz w:val="28"/>
          <w:szCs w:val="28"/>
        </w:rPr>
      </w:pPr>
      <w:r w:rsidRPr="00332BEF">
        <w:rPr>
          <w:rFonts w:cs="Times New Roman"/>
          <w:sz w:val="28"/>
          <w:szCs w:val="28"/>
        </w:rPr>
        <w:t xml:space="preserve">Lai novērstu interpretācijas iespējas un lai nodrošinātu konkurences nekropļošanu, jaunajās valsts atbalsta vadlīnijās </w:t>
      </w:r>
      <w:r w:rsidRPr="00332BEF">
        <w:rPr>
          <w:rFonts w:cs="Times New Roman"/>
          <w:color w:val="000000"/>
          <w:sz w:val="28"/>
          <w:szCs w:val="28"/>
        </w:rPr>
        <w:t>„Pamatnostādnes par valsts atbalstu vides aizsardzībai un enerģētikai 2014.–2020. gadam</w:t>
      </w:r>
      <w:r w:rsidRPr="00332BEF">
        <w:rPr>
          <w:rFonts w:cs="Times New Roman"/>
          <w:color w:val="000000"/>
          <w:sz w:val="28"/>
          <w:szCs w:val="28"/>
          <w:vertAlign w:val="superscript"/>
        </w:rPr>
        <w:footnoteReference w:id="4"/>
      </w:r>
      <w:r w:rsidRPr="00332BEF">
        <w:rPr>
          <w:rFonts w:cs="Times New Roman"/>
          <w:color w:val="000000"/>
          <w:sz w:val="28"/>
          <w:szCs w:val="28"/>
        </w:rPr>
        <w:t xml:space="preserve"> (spēkā no 2014.gada 1.jūlijā) (turpmāk – Vadlīnijas), dalībvalstīm pastāv iespēja piemērot līdzīgu atbalsta mehānismu, kāds izstrādāts Vācijā vai Austrijā. Ar šo Vadlīniju publicēšanu Eiropas Komisija ir sakārtojusi tiesisko paļāvību ne tikai ES dalībvalstīm, bet arī </w:t>
      </w:r>
      <w:proofErr w:type="spellStart"/>
      <w:r w:rsidRPr="00332BEF">
        <w:rPr>
          <w:rFonts w:cs="Times New Roman"/>
          <w:color w:val="000000"/>
          <w:sz w:val="28"/>
          <w:szCs w:val="28"/>
        </w:rPr>
        <w:t>energointensīvām</w:t>
      </w:r>
      <w:proofErr w:type="spellEnd"/>
      <w:r w:rsidRPr="00332BEF">
        <w:rPr>
          <w:rFonts w:cs="Times New Roman"/>
          <w:color w:val="000000"/>
          <w:sz w:val="28"/>
          <w:szCs w:val="28"/>
        </w:rPr>
        <w:t xml:space="preserve"> nozarēm un uzņēmumiem, nodrošinot vismaz iespēju, ka nacionālās valstis var izstrādāt un saskaņot ar Eiropas Komisiju savus nacionālos atbalsta mehānismus. </w:t>
      </w:r>
    </w:p>
    <w:p w:rsidR="00332BEF" w:rsidRPr="00332BEF" w:rsidRDefault="00332BEF" w:rsidP="00332BEF">
      <w:pPr>
        <w:rPr>
          <w:rFonts w:cs="Times New Roman"/>
          <w:sz w:val="28"/>
          <w:szCs w:val="28"/>
        </w:rPr>
      </w:pPr>
    </w:p>
    <w:p w:rsidR="00332BEF" w:rsidRPr="00332BEF" w:rsidRDefault="00332BEF" w:rsidP="00332BEF">
      <w:pPr>
        <w:jc w:val="both"/>
        <w:rPr>
          <w:rFonts w:eastAsia="Times New Roman" w:cs="Times New Roman"/>
          <w:b/>
          <w:bCs/>
          <w:color w:val="000000"/>
          <w:sz w:val="28"/>
          <w:szCs w:val="28"/>
          <w:lang w:eastAsia="lv-LV"/>
        </w:rPr>
      </w:pPr>
      <w:r w:rsidRPr="00332BEF">
        <w:rPr>
          <w:rFonts w:eastAsia="Times New Roman" w:cs="Times New Roman"/>
          <w:b/>
          <w:bCs/>
          <w:color w:val="000000"/>
          <w:sz w:val="28"/>
          <w:szCs w:val="28"/>
          <w:lang w:eastAsia="lv-LV"/>
        </w:rPr>
        <w:t>ES vienots tiesiskais regulējums</w:t>
      </w:r>
    </w:p>
    <w:p w:rsidR="00332BEF" w:rsidRPr="00332BEF" w:rsidRDefault="00332BEF" w:rsidP="00332BEF">
      <w:pPr>
        <w:jc w:val="both"/>
        <w:rPr>
          <w:rFonts w:eastAsia="Times New Roman" w:cs="Times New Roman"/>
          <w:b/>
          <w:bCs/>
          <w:color w:val="000000"/>
          <w:sz w:val="28"/>
          <w:szCs w:val="28"/>
          <w:lang w:eastAsia="lv-LV"/>
        </w:rPr>
      </w:pPr>
    </w:p>
    <w:p w:rsidR="00332BEF" w:rsidRPr="00332BEF" w:rsidRDefault="00332BEF" w:rsidP="00332BEF">
      <w:pPr>
        <w:ind w:firstLine="720"/>
        <w:jc w:val="both"/>
        <w:rPr>
          <w:rFonts w:eastAsia="Times New Roman" w:cs="Times New Roman"/>
          <w:bCs/>
          <w:color w:val="000000"/>
          <w:sz w:val="28"/>
          <w:szCs w:val="28"/>
          <w:lang w:eastAsia="lv-LV"/>
        </w:rPr>
      </w:pPr>
      <w:r w:rsidRPr="00332BEF">
        <w:rPr>
          <w:rFonts w:eastAsia="Times New Roman" w:cs="Times New Roman"/>
          <w:bCs/>
          <w:color w:val="000000"/>
          <w:sz w:val="28"/>
          <w:szCs w:val="28"/>
          <w:lang w:eastAsia="lv-LV"/>
        </w:rPr>
        <w:t>Vadlīnijas nosaka kārtību atbrīvojumu piemērošanai OIK līdzvērtīgiem maksājumiem, kuri saistīti ar AER izmantošanu (</w:t>
      </w:r>
      <w:r w:rsidRPr="00332BEF">
        <w:rPr>
          <w:rFonts w:eastAsia="Times New Roman" w:cs="Times New Roman"/>
          <w:bCs/>
          <w:i/>
          <w:iCs/>
          <w:color w:val="000000"/>
          <w:sz w:val="28"/>
          <w:szCs w:val="28"/>
          <w:lang w:eastAsia="lv-LV"/>
        </w:rPr>
        <w:t>Atbalsts, ko sniedz, samazinot līdzdalību enerģijas no atjaunojamiem energoresursiem finansēšanā</w:t>
      </w:r>
      <w:r w:rsidRPr="00332BEF">
        <w:rPr>
          <w:rFonts w:eastAsia="Times New Roman" w:cs="Times New Roman"/>
          <w:bCs/>
          <w:color w:val="000000"/>
          <w:sz w:val="28"/>
          <w:szCs w:val="28"/>
          <w:lang w:eastAsia="lv-LV"/>
        </w:rPr>
        <w:t>).</w:t>
      </w:r>
    </w:p>
    <w:p w:rsidR="00332BEF" w:rsidRPr="00332BEF" w:rsidRDefault="00332BEF" w:rsidP="00332BEF">
      <w:pPr>
        <w:ind w:firstLine="720"/>
        <w:jc w:val="both"/>
        <w:rPr>
          <w:rFonts w:eastAsia="Times New Roman" w:cs="Times New Roman"/>
          <w:sz w:val="28"/>
          <w:szCs w:val="28"/>
          <w:lang w:eastAsia="lv-LV"/>
        </w:rPr>
      </w:pPr>
      <w:r w:rsidRPr="00332BEF">
        <w:rPr>
          <w:rFonts w:eastAsia="Times New Roman" w:cs="Times New Roman"/>
          <w:bCs/>
          <w:color w:val="000000"/>
          <w:sz w:val="28"/>
          <w:szCs w:val="28"/>
          <w:lang w:eastAsia="lv-LV"/>
        </w:rPr>
        <w:t xml:space="preserve">Eiropas Komisija norāda, ka finansējums enerģijas no atjaunojamiem energoresursiem atbalstam, izmantojot maksas, kā tāds nav vērsts uz negatīvu ārējo ietekmi un attiecīgi tieši neietekmē vidi. Tādēļ šādas maksas pamatā atšķiras no netiešajiem nodokļiem, ko uzliek elektroenerģijai, pat ja to rezultātā arī var pieaugt elektroenerģijas cenas. Elektroenerģijas izmaksu palielinājums </w:t>
      </w:r>
      <w:r w:rsidRPr="00332BEF">
        <w:rPr>
          <w:rFonts w:eastAsia="Times New Roman" w:cs="Times New Roman"/>
          <w:bCs/>
          <w:color w:val="000000"/>
          <w:sz w:val="28"/>
          <w:szCs w:val="28"/>
          <w:lang w:eastAsia="lv-LV"/>
        </w:rPr>
        <w:lastRenderedPageBreak/>
        <w:t>var būt tiešs, ja nosaka īpašu maksu, ko iekasē no elektroenerģijas lietotājiem papildus elektroenerģijas cenai, vai netiešs tādu papildu maksu veidā, ko sedz elektroenerģijas piegādātāji, pamatojoties uz saistībām pirkt atjaunojamu energoresursu enerģiju, un ko viņi pēc tam novirza uz saviem klientiem – elektroenerģijas lietotājiem. Eiropas Komisija atzīst, ka</w:t>
      </w:r>
      <w:r w:rsidRPr="00332BEF">
        <w:rPr>
          <w:rFonts w:eastAsia="Times New Roman" w:cs="Times New Roman"/>
          <w:sz w:val="28"/>
          <w:szCs w:val="28"/>
          <w:lang w:eastAsia="lv-LV"/>
        </w:rPr>
        <w:t>, ja izmaksas, kas rodas saistībā ar finansējumu atjaunojamu energoresursu enerģijas atbalstam, sedz enerģijas lietotāji, tad šīs izmaksas būtu jāsedz tādā veidā, kas nerada diskrimināciju enerģijas lietotāju vidū.</w:t>
      </w:r>
    </w:p>
    <w:p w:rsidR="00332BEF" w:rsidRPr="00332BEF" w:rsidRDefault="00332BEF" w:rsidP="00332BEF">
      <w:pPr>
        <w:ind w:firstLine="720"/>
        <w:jc w:val="both"/>
        <w:rPr>
          <w:rFonts w:eastAsia="Times New Roman" w:cs="Times New Roman"/>
          <w:sz w:val="28"/>
          <w:szCs w:val="28"/>
          <w:lang w:eastAsia="lv-LV"/>
        </w:rPr>
      </w:pPr>
      <w:r w:rsidRPr="00332BEF">
        <w:rPr>
          <w:rFonts w:eastAsia="Times New Roman" w:cs="Times New Roman"/>
          <w:sz w:val="28"/>
          <w:szCs w:val="28"/>
          <w:lang w:eastAsia="lv-LV"/>
        </w:rPr>
        <w:t>Tomēr var būt nepieciešami daži šo izmaksu mērķtiecīgi samazinājumi, lai nodrošinātu pietiekamu finansējuma bāzi enerģijas no atjaunojamiem energoresursiem atbalstam un tādējādi palīdzētu sasniegt ES līmenī noteiktos mērķus atjaunojamu energoresursu enerģijas jomā. No vienas puses, lai novērstu to, ka uzņēmumiem, kurus jo īpaši ietekmē atjaunojamu energoresursu enerģijas finansēšanas izmaksas, tiek radīti īpaši nelabvēlīgi konkurences apstākļi, dalībvalstis var vēlēties piešķirt daļēju kompensāciju par šīm papildu izmaksām. Bez šādas kompensācijas atjaunojamu energoresursu enerģijas finansēšana var nebūt ilgtspējīga un var mazināties sabiedrības atbalsts vērienīgu pasākumu ieviešanai nolūkā veicināt atjaunojamu energoresursu enerģiju. No otras puses, ja šāda kompensācija ir pārāk liela vai tiek piešķirta pārāk daudziem elektroenerģijas lietotājiem, var būt apdraudēts vispārējais finansējums atjaunojamu energoresursu enerģijas atbalstam un tāpat var būt traucēts sabiedrības atbalsts atjaunojamu energoresursu enerģijas veicināšanai, kā arī konkurences un tirdzniecības kropļojumi var būt īpaši lieli.</w:t>
      </w:r>
    </w:p>
    <w:p w:rsidR="00332BEF" w:rsidRPr="00332BEF" w:rsidRDefault="00332BEF" w:rsidP="00332BEF">
      <w:pPr>
        <w:ind w:firstLine="720"/>
        <w:jc w:val="both"/>
        <w:rPr>
          <w:rFonts w:eastAsia="Times New Roman" w:cs="Times New Roman"/>
          <w:bCs/>
          <w:color w:val="000000"/>
          <w:sz w:val="28"/>
          <w:szCs w:val="28"/>
          <w:lang w:eastAsia="lv-LV"/>
        </w:rPr>
      </w:pPr>
      <w:r w:rsidRPr="00332BEF">
        <w:rPr>
          <w:rFonts w:eastAsia="Times New Roman" w:cs="Times New Roman"/>
          <w:bCs/>
          <w:color w:val="000000"/>
          <w:sz w:val="28"/>
          <w:szCs w:val="28"/>
          <w:lang w:eastAsia="lv-LV"/>
        </w:rPr>
        <w:t>Eiropas Komisija izvirza šādus principus iespējamo atbrīvojumu piemērošanai:</w:t>
      </w:r>
    </w:p>
    <w:p w:rsidR="00332BEF" w:rsidRPr="00332BEF" w:rsidRDefault="00332BEF" w:rsidP="00332BEF">
      <w:pPr>
        <w:pStyle w:val="ListParagraph"/>
        <w:numPr>
          <w:ilvl w:val="0"/>
          <w:numId w:val="2"/>
        </w:numPr>
        <w:jc w:val="both"/>
        <w:rPr>
          <w:rFonts w:eastAsia="Times New Roman" w:cs="Times New Roman"/>
          <w:sz w:val="28"/>
          <w:szCs w:val="28"/>
          <w:lang w:eastAsia="lv-LV"/>
        </w:rPr>
      </w:pPr>
      <w:r w:rsidRPr="00332BEF">
        <w:rPr>
          <w:rFonts w:eastAsia="Times New Roman" w:cs="Times New Roman"/>
          <w:sz w:val="28"/>
          <w:szCs w:val="28"/>
          <w:lang w:eastAsia="lv-LV"/>
        </w:rPr>
        <w:t>dalībvalstīm būs jāpierāda, ka papildu izmaksas, kas atspoguļotas augstākajās elektroenerģijas cenās, kuras sedz atbalsta saņēmēji, izriet tikai no enerģijas no atjaunojamiem energoresursiem atbalsta. Papildu izmaksas nevar pārsniegt finansējumu enerģijas no atjaunojamiem energoresursiem atbalstam;</w:t>
      </w:r>
    </w:p>
    <w:p w:rsidR="00332BEF" w:rsidRPr="00332BEF" w:rsidRDefault="00332BEF" w:rsidP="00332BEF">
      <w:pPr>
        <w:pStyle w:val="ListParagraph"/>
        <w:numPr>
          <w:ilvl w:val="0"/>
          <w:numId w:val="2"/>
        </w:numPr>
        <w:jc w:val="both"/>
        <w:rPr>
          <w:rFonts w:eastAsia="Times New Roman" w:cs="Times New Roman"/>
          <w:sz w:val="28"/>
          <w:szCs w:val="28"/>
          <w:lang w:eastAsia="lv-LV"/>
        </w:rPr>
      </w:pPr>
      <w:r w:rsidRPr="00332BEF">
        <w:rPr>
          <w:rFonts w:eastAsia="Times New Roman" w:cs="Times New Roman"/>
          <w:sz w:val="28"/>
          <w:szCs w:val="28"/>
          <w:lang w:eastAsia="lv-LV"/>
        </w:rPr>
        <w:t xml:space="preserve">Atbalsts būtu jāattiecina tikai uz nozarēm, kuru konkurētspēja ir apdraudēta to izmaksu dēļ, kas rodas finansējuma enerģijas no atjaunojamiem energoresursiem atbalstam rezultātā, ņemot vērā to </w:t>
      </w:r>
      <w:proofErr w:type="spellStart"/>
      <w:r w:rsidRPr="00332BEF">
        <w:rPr>
          <w:rFonts w:eastAsia="Times New Roman" w:cs="Times New Roman"/>
          <w:sz w:val="28"/>
          <w:szCs w:val="28"/>
          <w:lang w:eastAsia="lv-LV"/>
        </w:rPr>
        <w:t>elektroietilpību</w:t>
      </w:r>
      <w:proofErr w:type="spellEnd"/>
      <w:r w:rsidRPr="00332BEF">
        <w:rPr>
          <w:rFonts w:eastAsia="Times New Roman" w:cs="Times New Roman"/>
          <w:sz w:val="28"/>
          <w:szCs w:val="28"/>
          <w:lang w:eastAsia="lv-LV"/>
        </w:rPr>
        <w:t xml:space="preserve"> un starptautisko tirdzniecību (EK ir izveidojusi nozaru sarakstu un noteikusi papildus nosacījumus);</w:t>
      </w:r>
    </w:p>
    <w:p w:rsidR="00332BEF" w:rsidRPr="00332BEF" w:rsidRDefault="00332BEF" w:rsidP="00332BEF">
      <w:pPr>
        <w:pStyle w:val="ListParagraph"/>
        <w:numPr>
          <w:ilvl w:val="0"/>
          <w:numId w:val="2"/>
        </w:numPr>
        <w:jc w:val="both"/>
        <w:rPr>
          <w:rFonts w:eastAsia="Times New Roman" w:cs="Times New Roman"/>
          <w:sz w:val="28"/>
          <w:szCs w:val="28"/>
          <w:lang w:eastAsia="lv-LV"/>
        </w:rPr>
      </w:pPr>
      <w:r w:rsidRPr="00332BEF">
        <w:rPr>
          <w:rFonts w:eastAsia="Times New Roman" w:cs="Times New Roman"/>
          <w:sz w:val="28"/>
          <w:szCs w:val="28"/>
          <w:lang w:eastAsia="lv-LV"/>
        </w:rPr>
        <w:t>Atbalstāmajā nozarē dalībvalstīm jānodrošina, ka atbalsta saņēmēju atlase ir balstīta uz objektīviem, nediskriminējošiem un pārredzamiem kritērijiem un atbalsta piešķiršana notiek principā tādā pašā veidā visiem konkurentiem tajā pašā nozarē, ja tie atrodas līdzīgā faktiskā situācijā;</w:t>
      </w:r>
    </w:p>
    <w:p w:rsidR="00332BEF" w:rsidRPr="00332BEF" w:rsidRDefault="00332BEF" w:rsidP="00332BEF">
      <w:pPr>
        <w:pStyle w:val="ListParagraph"/>
        <w:numPr>
          <w:ilvl w:val="0"/>
          <w:numId w:val="2"/>
        </w:numPr>
        <w:jc w:val="both"/>
        <w:rPr>
          <w:rFonts w:eastAsia="Times New Roman" w:cs="Times New Roman"/>
          <w:sz w:val="28"/>
          <w:szCs w:val="28"/>
          <w:lang w:eastAsia="lv-LV"/>
        </w:rPr>
      </w:pPr>
      <w:r w:rsidRPr="00332BEF">
        <w:rPr>
          <w:rFonts w:eastAsia="Times New Roman" w:cs="Times New Roman"/>
          <w:sz w:val="28"/>
          <w:szCs w:val="28"/>
          <w:lang w:eastAsia="lv-LV"/>
        </w:rPr>
        <w:t xml:space="preserve">Atbalsta saņēmēji vismaz attiecībā uz 15 % no maksājamajām papildu izmaksām nesaņem samazinājumu. Nepieciešamības gadījumā dalībvalstīm ir iespēja to izmaksu summu, ko rada atbalsta atjaunojamu energoresursu enerģijai finansēšana un kas jāmaksā uzņēmuma līmenī, samazināt līdz 4 % no attiecīgā uzņēmuma bruto pievienotās vērtības. </w:t>
      </w:r>
      <w:r w:rsidRPr="00332BEF">
        <w:rPr>
          <w:rFonts w:eastAsia="Times New Roman" w:cs="Times New Roman"/>
          <w:sz w:val="28"/>
          <w:szCs w:val="28"/>
          <w:lang w:eastAsia="lv-LV"/>
        </w:rPr>
        <w:lastRenderedPageBreak/>
        <w:t xml:space="preserve">Uzņēmumiem, kuru </w:t>
      </w:r>
      <w:proofErr w:type="spellStart"/>
      <w:r w:rsidRPr="00332BEF">
        <w:rPr>
          <w:rFonts w:eastAsia="Times New Roman" w:cs="Times New Roman"/>
          <w:sz w:val="28"/>
          <w:szCs w:val="28"/>
          <w:lang w:eastAsia="lv-LV"/>
        </w:rPr>
        <w:t>elektroietilpība</w:t>
      </w:r>
      <w:proofErr w:type="spellEnd"/>
      <w:r w:rsidRPr="00332BEF">
        <w:rPr>
          <w:rFonts w:eastAsia="Times New Roman" w:cs="Times New Roman"/>
          <w:sz w:val="28"/>
          <w:szCs w:val="28"/>
          <w:lang w:eastAsia="lv-LV"/>
        </w:rPr>
        <w:t xml:space="preserve"> ir vismaz 20 %, dalībvalstis var ierobežot kopējo maksājamo summu līdz 0,5 % no attiecīgā uzņēmuma bruto pievienotās vērtības;</w:t>
      </w:r>
    </w:p>
    <w:p w:rsidR="00332BEF" w:rsidRPr="00332BEF" w:rsidRDefault="00332BEF" w:rsidP="00332BEF">
      <w:pPr>
        <w:pStyle w:val="ListParagraph"/>
        <w:numPr>
          <w:ilvl w:val="0"/>
          <w:numId w:val="2"/>
        </w:numPr>
        <w:jc w:val="both"/>
        <w:rPr>
          <w:rFonts w:eastAsia="Times New Roman" w:cs="Times New Roman"/>
          <w:sz w:val="28"/>
          <w:szCs w:val="28"/>
          <w:lang w:eastAsia="lv-LV"/>
        </w:rPr>
      </w:pPr>
      <w:r w:rsidRPr="00332BEF">
        <w:rPr>
          <w:rFonts w:eastAsia="Times New Roman" w:cs="Times New Roman"/>
          <w:sz w:val="28"/>
          <w:szCs w:val="28"/>
          <w:lang w:eastAsia="lv-LV"/>
        </w:rPr>
        <w:t>Ja atbalstu piešķir maksas samazinājuma veidā, ir jāievieš </w:t>
      </w:r>
      <w:proofErr w:type="spellStart"/>
      <w:r w:rsidRPr="00332BEF">
        <w:rPr>
          <w:rFonts w:eastAsia="Times New Roman" w:cs="Times New Roman"/>
          <w:i/>
          <w:iCs/>
          <w:sz w:val="28"/>
          <w:szCs w:val="28"/>
          <w:lang w:eastAsia="lv-LV"/>
        </w:rPr>
        <w:t>ex</w:t>
      </w:r>
      <w:proofErr w:type="spellEnd"/>
      <w:r w:rsidRPr="00332BEF">
        <w:rPr>
          <w:rFonts w:eastAsia="Times New Roman" w:cs="Times New Roman"/>
          <w:i/>
          <w:iCs/>
          <w:sz w:val="28"/>
          <w:szCs w:val="28"/>
          <w:lang w:eastAsia="lv-LV"/>
        </w:rPr>
        <w:t xml:space="preserve"> post</w:t>
      </w:r>
      <w:r w:rsidRPr="00332BEF">
        <w:rPr>
          <w:rFonts w:eastAsia="Times New Roman" w:cs="Times New Roman"/>
          <w:sz w:val="28"/>
          <w:szCs w:val="28"/>
          <w:lang w:eastAsia="lv-LV"/>
        </w:rPr>
        <w:t> uzraudzības mehānisms, lai nodrošinātu, ka jebkāda atbalsta pārmaksa tiks atmaksāta līdz nākamā gada 1. jūlijam. Ja atbalstu piešķir fiksētas ikgadējas kompensācijas veidā, tā ir jāaprēķina, pamatojoties uz vēsturiskiem datiem, t. i., uz datiem par patērēto elektroenerģiju un bruto pievienoto vērtību attiecīgajā bāzes gadā.</w:t>
      </w:r>
    </w:p>
    <w:p w:rsidR="00332BEF" w:rsidRPr="00332BEF" w:rsidRDefault="00332BEF" w:rsidP="00332BEF">
      <w:pPr>
        <w:ind w:firstLine="720"/>
        <w:jc w:val="both"/>
        <w:rPr>
          <w:rFonts w:eastAsia="Times New Roman" w:cs="Times New Roman"/>
          <w:sz w:val="28"/>
          <w:szCs w:val="28"/>
          <w:lang w:eastAsia="lv-LV"/>
        </w:rPr>
      </w:pPr>
      <w:r w:rsidRPr="00332BEF">
        <w:rPr>
          <w:rFonts w:eastAsia="Times New Roman" w:cs="Times New Roman"/>
          <w:sz w:val="28"/>
          <w:szCs w:val="28"/>
          <w:lang w:eastAsia="lv-LV"/>
        </w:rPr>
        <w:t>Šādu vispārīgu principu noteikšana ES līmenī padara par iespējamu atsākt diskusijas Latvijā par papildus OIK samazināšanas pasākumiem energoietilpīgajiem uzņēmumiem. Šīs diskusijas turpināšanai ir nepieciešams veikt padziļinātu analīzi par atbilstošu nozaru uzņēmumu enerģijas patēriņu un modelēt OIK sloga pārdales risinājumus, ievērojot citu elektroenerģijas lietotāju intereses.</w:t>
      </w:r>
    </w:p>
    <w:p w:rsidR="00332BEF" w:rsidRPr="00332BEF" w:rsidRDefault="00332BEF" w:rsidP="00332BEF">
      <w:pPr>
        <w:jc w:val="both"/>
        <w:rPr>
          <w:rFonts w:eastAsia="Times New Roman" w:cs="Times New Roman"/>
          <w:sz w:val="28"/>
          <w:szCs w:val="28"/>
          <w:lang w:eastAsia="lv-LV"/>
        </w:rPr>
      </w:pPr>
    </w:p>
    <w:p w:rsidR="00332BEF" w:rsidRPr="00332BEF" w:rsidRDefault="00332BEF" w:rsidP="00332BEF">
      <w:pPr>
        <w:jc w:val="both"/>
        <w:rPr>
          <w:rFonts w:eastAsia="Times New Roman" w:cs="Times New Roman"/>
          <w:b/>
          <w:bCs/>
          <w:i/>
          <w:color w:val="000000"/>
          <w:sz w:val="28"/>
          <w:szCs w:val="28"/>
          <w:lang w:eastAsia="lv-LV"/>
        </w:rPr>
      </w:pPr>
      <w:r w:rsidRPr="00332BEF">
        <w:rPr>
          <w:rFonts w:eastAsia="Times New Roman" w:cs="Times New Roman"/>
          <w:b/>
          <w:bCs/>
          <w:i/>
          <w:color w:val="000000"/>
          <w:sz w:val="28"/>
          <w:szCs w:val="28"/>
          <w:lang w:eastAsia="lv-LV"/>
        </w:rPr>
        <w:t xml:space="preserve">Subsīdiju elektroenerģijas ražotājiem saskaņošanas process ar Eiropas Komisiju </w:t>
      </w:r>
    </w:p>
    <w:p w:rsidR="00332BEF" w:rsidRPr="00332BEF" w:rsidRDefault="00332BEF" w:rsidP="00332BEF">
      <w:pPr>
        <w:jc w:val="both"/>
        <w:rPr>
          <w:rFonts w:eastAsia="Times New Roman" w:cs="Times New Roman"/>
          <w:bCs/>
          <w:color w:val="000000"/>
          <w:sz w:val="28"/>
          <w:szCs w:val="28"/>
          <w:lang w:eastAsia="lv-LV"/>
        </w:rPr>
      </w:pPr>
      <w:r w:rsidRPr="00332BEF">
        <w:rPr>
          <w:rFonts w:eastAsia="Times New Roman" w:cs="Times New Roman"/>
          <w:bCs/>
          <w:color w:val="000000"/>
          <w:sz w:val="28"/>
          <w:szCs w:val="28"/>
          <w:lang w:eastAsia="lv-LV"/>
        </w:rPr>
        <w:tab/>
        <w:t xml:space="preserve">EK publicētās pamatnostādnes papildus iepriekšminētajam iezīmē  arī nepieciešamību </w:t>
      </w:r>
      <w:proofErr w:type="spellStart"/>
      <w:r w:rsidRPr="00332BEF">
        <w:rPr>
          <w:rFonts w:eastAsia="Times New Roman" w:cs="Times New Roman"/>
          <w:bCs/>
          <w:color w:val="000000"/>
          <w:sz w:val="28"/>
          <w:szCs w:val="28"/>
          <w:lang w:eastAsia="lv-LV"/>
        </w:rPr>
        <w:t>notificēt</w:t>
      </w:r>
      <w:proofErr w:type="spellEnd"/>
      <w:r w:rsidRPr="00332BEF">
        <w:rPr>
          <w:rFonts w:eastAsia="Times New Roman" w:cs="Times New Roman"/>
          <w:bCs/>
          <w:color w:val="000000"/>
          <w:sz w:val="28"/>
          <w:szCs w:val="28"/>
          <w:lang w:eastAsia="lv-LV"/>
        </w:rPr>
        <w:t xml:space="preserve"> EK līdz šim piemērotās valsts atbalsta shēmas. Šis process ir uzsākts 2013.gada decembrī un atbilstoši EK sniegtajai informācijai valsts atbalsta saderības analīze tiks veikta, pamatojoties uz 2014.gadā publicētajām Pamatnostādnēm. Pamatnostādnes nosaka jaunus nosacījumus valsts atbalsta shēmu veidošanā, kā arī maksimāli pieejamu pārejas periodu līdzšinēju atbalsta shēmu piemērošanai (2017.gada 1.janvāris). Līdz valsts atbalsta shēmu saskaņošanai piemērot atbalsta atbrīvojumus nebūs iespējams.</w:t>
      </w:r>
    </w:p>
    <w:p w:rsidR="00332BEF" w:rsidRPr="00332BEF" w:rsidRDefault="00332BEF" w:rsidP="00332BEF">
      <w:pPr>
        <w:jc w:val="both"/>
        <w:rPr>
          <w:rFonts w:eastAsia="Times New Roman" w:cs="Times New Roman"/>
          <w:bCs/>
          <w:color w:val="000000"/>
          <w:sz w:val="28"/>
          <w:szCs w:val="28"/>
          <w:lang w:eastAsia="lv-LV"/>
        </w:rPr>
      </w:pPr>
      <w:r w:rsidRPr="00332BEF">
        <w:rPr>
          <w:rFonts w:eastAsia="Times New Roman" w:cs="Times New Roman"/>
          <w:bCs/>
          <w:color w:val="000000"/>
          <w:sz w:val="28"/>
          <w:szCs w:val="28"/>
          <w:lang w:eastAsia="lv-LV"/>
        </w:rPr>
        <w:tab/>
        <w:t xml:space="preserve">Vienlaikus ir atsevišķi </w:t>
      </w:r>
      <w:proofErr w:type="spellStart"/>
      <w:r w:rsidRPr="00332BEF">
        <w:rPr>
          <w:rFonts w:eastAsia="Times New Roman" w:cs="Times New Roman"/>
          <w:bCs/>
          <w:color w:val="000000"/>
          <w:sz w:val="28"/>
          <w:szCs w:val="28"/>
          <w:lang w:eastAsia="lv-LV"/>
        </w:rPr>
        <w:t>notificējams</w:t>
      </w:r>
      <w:proofErr w:type="spellEnd"/>
      <w:r w:rsidRPr="00332BEF">
        <w:rPr>
          <w:rFonts w:eastAsia="Times New Roman" w:cs="Times New Roman"/>
          <w:bCs/>
          <w:color w:val="000000"/>
          <w:sz w:val="28"/>
          <w:szCs w:val="28"/>
          <w:lang w:eastAsia="lv-LV"/>
        </w:rPr>
        <w:t xml:space="preserve"> atbalsts lielām </w:t>
      </w:r>
      <w:proofErr w:type="spellStart"/>
      <w:r w:rsidRPr="00332BEF">
        <w:rPr>
          <w:rFonts w:eastAsia="Times New Roman" w:cs="Times New Roman"/>
          <w:bCs/>
          <w:color w:val="000000"/>
          <w:sz w:val="28"/>
          <w:szCs w:val="28"/>
          <w:lang w:eastAsia="lv-LV"/>
        </w:rPr>
        <w:t>koģēnerācijas</w:t>
      </w:r>
      <w:proofErr w:type="spellEnd"/>
      <w:r w:rsidRPr="00332BEF">
        <w:rPr>
          <w:rFonts w:eastAsia="Times New Roman" w:cs="Times New Roman"/>
          <w:bCs/>
          <w:color w:val="000000"/>
          <w:sz w:val="28"/>
          <w:szCs w:val="28"/>
          <w:lang w:eastAsia="lv-LV"/>
        </w:rPr>
        <w:t xml:space="preserve"> </w:t>
      </w:r>
      <w:proofErr w:type="spellStart"/>
      <w:r w:rsidRPr="00332BEF">
        <w:rPr>
          <w:rFonts w:eastAsia="Times New Roman" w:cs="Times New Roman"/>
          <w:bCs/>
          <w:color w:val="000000"/>
          <w:sz w:val="28"/>
          <w:szCs w:val="28"/>
          <w:lang w:eastAsia="lv-LV"/>
        </w:rPr>
        <w:t>stācijām</w:t>
      </w:r>
      <w:proofErr w:type="spellEnd"/>
      <w:r w:rsidRPr="00332BEF">
        <w:rPr>
          <w:rFonts w:eastAsia="Times New Roman" w:cs="Times New Roman"/>
          <w:bCs/>
          <w:color w:val="000000"/>
          <w:sz w:val="28"/>
          <w:szCs w:val="28"/>
          <w:lang w:eastAsia="lv-LV"/>
        </w:rPr>
        <w:t xml:space="preserve"> (Latvijā šādā kategorijā ir viens uzņēmums). Ņemot vērā informāciju, kas tiek saņemta no </w:t>
      </w:r>
      <w:proofErr w:type="spellStart"/>
      <w:r w:rsidRPr="00332BEF">
        <w:rPr>
          <w:rFonts w:eastAsia="Times New Roman" w:cs="Times New Roman"/>
          <w:bCs/>
          <w:color w:val="000000"/>
          <w:sz w:val="28"/>
          <w:szCs w:val="28"/>
          <w:lang w:eastAsia="lv-LV"/>
        </w:rPr>
        <w:t>kaimīņvalstīm</w:t>
      </w:r>
      <w:proofErr w:type="spellEnd"/>
      <w:r w:rsidRPr="00332BEF">
        <w:rPr>
          <w:rFonts w:eastAsia="Times New Roman" w:cs="Times New Roman"/>
          <w:bCs/>
          <w:color w:val="000000"/>
          <w:sz w:val="28"/>
          <w:szCs w:val="28"/>
          <w:lang w:eastAsia="lv-LV"/>
        </w:rPr>
        <w:t>, jāparedz, ka saskaņošanas process var būt ilgstošs: Igaunija ir uzsākusi savu atbalsta shēmu notifikāciju vēl 2012.gada decembrī.</w:t>
      </w:r>
    </w:p>
    <w:p w:rsidR="00332BEF" w:rsidRPr="00332BEF" w:rsidRDefault="00332BEF" w:rsidP="00332BEF">
      <w:pPr>
        <w:jc w:val="both"/>
        <w:rPr>
          <w:rFonts w:eastAsia="Times New Roman" w:cs="Times New Roman"/>
          <w:bCs/>
          <w:color w:val="000000"/>
          <w:sz w:val="28"/>
          <w:szCs w:val="28"/>
          <w:lang w:eastAsia="lv-LV"/>
        </w:rPr>
      </w:pPr>
    </w:p>
    <w:p w:rsidR="00332BEF" w:rsidRPr="00332BEF" w:rsidRDefault="00332BEF" w:rsidP="00332BEF">
      <w:pPr>
        <w:jc w:val="both"/>
        <w:rPr>
          <w:rFonts w:eastAsia="Times New Roman" w:cs="Times New Roman"/>
          <w:b/>
          <w:sz w:val="28"/>
          <w:szCs w:val="28"/>
          <w:lang w:eastAsia="lv-LV"/>
        </w:rPr>
      </w:pPr>
      <w:r w:rsidRPr="00332BEF">
        <w:rPr>
          <w:rFonts w:eastAsia="Times New Roman" w:cs="Times New Roman"/>
          <w:b/>
          <w:sz w:val="28"/>
          <w:szCs w:val="28"/>
          <w:lang w:eastAsia="lv-LV"/>
        </w:rPr>
        <w:t>Potenciālā OIK samazināšanas shēmas īstenošana Latvijā energoietilpīgajiem uzņēmumiem</w:t>
      </w:r>
    </w:p>
    <w:p w:rsidR="00332BEF" w:rsidRPr="00332BEF" w:rsidRDefault="00332BEF" w:rsidP="00332BEF">
      <w:pPr>
        <w:jc w:val="both"/>
        <w:rPr>
          <w:rFonts w:eastAsia="Times New Roman" w:cs="Times New Roman"/>
          <w:bCs/>
          <w:color w:val="000000"/>
          <w:sz w:val="28"/>
          <w:szCs w:val="28"/>
          <w:lang w:eastAsia="lv-LV"/>
        </w:rPr>
      </w:pPr>
      <w:r w:rsidRPr="00332BEF">
        <w:rPr>
          <w:rFonts w:eastAsia="Times New Roman" w:cs="Times New Roman"/>
          <w:bCs/>
          <w:color w:val="000000"/>
          <w:sz w:val="28"/>
          <w:szCs w:val="28"/>
          <w:lang w:eastAsia="lv-LV"/>
        </w:rPr>
        <w:tab/>
      </w:r>
    </w:p>
    <w:p w:rsidR="00332BEF" w:rsidRPr="00332BEF" w:rsidRDefault="00332BEF" w:rsidP="00332BEF">
      <w:pPr>
        <w:jc w:val="both"/>
        <w:rPr>
          <w:rFonts w:eastAsia="Times New Roman" w:cs="Times New Roman"/>
          <w:bCs/>
          <w:color w:val="000000"/>
          <w:sz w:val="28"/>
          <w:szCs w:val="28"/>
          <w:lang w:eastAsia="lv-LV"/>
        </w:rPr>
      </w:pPr>
      <w:r w:rsidRPr="00332BEF">
        <w:rPr>
          <w:rFonts w:eastAsia="Times New Roman" w:cs="Times New Roman"/>
          <w:bCs/>
          <w:color w:val="000000"/>
          <w:sz w:val="28"/>
          <w:szCs w:val="28"/>
          <w:lang w:eastAsia="lv-LV"/>
        </w:rPr>
        <w:tab/>
        <w:t>Atbilstoši AS „Latvenergo” publicētajam apkopojumam par 2013.gadu, AER daļa OIK ir vismaz 35% (ja netiek pieskaitīta koģenerācija). Potenciālā OIK samazināšanas pasākumi skartu vismaz šo OIK daļu.</w:t>
      </w:r>
    </w:p>
    <w:p w:rsidR="00332BEF" w:rsidRPr="00332BEF" w:rsidRDefault="00332BEF" w:rsidP="00332BEF">
      <w:pPr>
        <w:jc w:val="both"/>
        <w:rPr>
          <w:rFonts w:eastAsia="Times New Roman" w:cs="Times New Roman"/>
          <w:bCs/>
          <w:color w:val="000000"/>
          <w:sz w:val="28"/>
          <w:szCs w:val="28"/>
          <w:lang w:eastAsia="lv-LV"/>
        </w:rPr>
      </w:pPr>
    </w:p>
    <w:p w:rsidR="00332BEF" w:rsidRPr="00332BEF" w:rsidRDefault="00332BEF" w:rsidP="00332BEF">
      <w:pPr>
        <w:jc w:val="center"/>
        <w:rPr>
          <w:rFonts w:eastAsia="Times New Roman" w:cs="Times New Roman"/>
          <w:bCs/>
          <w:color w:val="000000"/>
          <w:sz w:val="28"/>
          <w:szCs w:val="28"/>
          <w:lang w:eastAsia="lv-LV"/>
        </w:rPr>
      </w:pPr>
      <w:r w:rsidRPr="00332BEF">
        <w:rPr>
          <w:noProof/>
          <w:sz w:val="28"/>
          <w:szCs w:val="28"/>
          <w:lang w:eastAsia="lv-LV"/>
        </w:rPr>
        <w:lastRenderedPageBreak/>
        <w:drawing>
          <wp:inline distT="0" distB="0" distL="0" distR="0" wp14:anchorId="2AEF8F61" wp14:editId="435C58DA">
            <wp:extent cx="5008034" cy="2294590"/>
            <wp:effectExtent l="0" t="0" r="2540" b="0"/>
            <wp:docPr id="1" name="Picture 1" descr="http://www.latvenergo.lv/resources/web/news/OIK_kompensacija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tvenergo.lv/resources/web/news/OIK_kompensacija_2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6746" cy="2294000"/>
                    </a:xfrm>
                    <a:prstGeom prst="rect">
                      <a:avLst/>
                    </a:prstGeom>
                    <a:noFill/>
                    <a:ln>
                      <a:noFill/>
                    </a:ln>
                  </pic:spPr>
                </pic:pic>
              </a:graphicData>
            </a:graphic>
          </wp:inline>
        </w:drawing>
      </w:r>
    </w:p>
    <w:p w:rsidR="00332BEF" w:rsidRPr="00332BEF" w:rsidRDefault="00332BEF" w:rsidP="00332BEF">
      <w:pPr>
        <w:jc w:val="center"/>
        <w:rPr>
          <w:rFonts w:eastAsia="Times New Roman" w:cs="Times New Roman"/>
          <w:bCs/>
          <w:color w:val="000000"/>
          <w:sz w:val="28"/>
          <w:szCs w:val="28"/>
          <w:lang w:eastAsia="lv-LV"/>
        </w:rPr>
      </w:pPr>
      <w:r w:rsidRPr="00332BEF">
        <w:rPr>
          <w:rFonts w:eastAsia="Times New Roman" w:cs="Times New Roman"/>
          <w:bCs/>
          <w:color w:val="000000"/>
          <w:sz w:val="28"/>
          <w:szCs w:val="28"/>
          <w:lang w:eastAsia="lv-LV"/>
        </w:rPr>
        <w:t>Subsīdiju sadalījums elektroenerģijas ražošanai Latvijā 2013.gadā</w:t>
      </w:r>
      <w:r w:rsidRPr="00332BEF">
        <w:rPr>
          <w:rStyle w:val="FootnoteReference"/>
          <w:rFonts w:eastAsia="Times New Roman" w:cs="Times New Roman"/>
          <w:bCs/>
          <w:color w:val="000000"/>
          <w:sz w:val="28"/>
          <w:szCs w:val="28"/>
          <w:lang w:eastAsia="lv-LV"/>
        </w:rPr>
        <w:footnoteReference w:id="5"/>
      </w:r>
    </w:p>
    <w:p w:rsidR="00332BEF" w:rsidRPr="00332BEF" w:rsidRDefault="00332BEF" w:rsidP="00332BEF">
      <w:pPr>
        <w:jc w:val="both"/>
        <w:rPr>
          <w:rFonts w:eastAsia="Times New Roman" w:cs="Times New Roman"/>
          <w:bCs/>
          <w:color w:val="000000"/>
          <w:sz w:val="28"/>
          <w:szCs w:val="28"/>
          <w:lang w:eastAsia="lv-LV"/>
        </w:rPr>
      </w:pPr>
    </w:p>
    <w:p w:rsidR="00332BEF" w:rsidRPr="00332BEF" w:rsidRDefault="00332BEF" w:rsidP="00332BEF">
      <w:pPr>
        <w:jc w:val="both"/>
        <w:rPr>
          <w:rFonts w:eastAsia="Times New Roman" w:cs="Times New Roman"/>
          <w:bCs/>
          <w:color w:val="000000"/>
          <w:sz w:val="28"/>
          <w:szCs w:val="28"/>
          <w:lang w:eastAsia="lv-LV"/>
        </w:rPr>
      </w:pPr>
      <w:r w:rsidRPr="00332BEF">
        <w:rPr>
          <w:rFonts w:eastAsia="Times New Roman" w:cs="Times New Roman"/>
          <w:bCs/>
          <w:color w:val="000000"/>
          <w:sz w:val="28"/>
          <w:szCs w:val="28"/>
          <w:lang w:eastAsia="lv-LV"/>
        </w:rPr>
        <w:tab/>
        <w:t>2012.gadā kompānija KPMG pēc Būvmateriālu Ražotāju Asociācijas pasūtījuma ir veikusi novērtējumu „Latvijā piemēroto obligāto iepirkuma komponenšu ekonomiskā analīze, apskatot OIK atbalstu lieliem TEC projektiem un elektroenerģijas ražošanai no AER”, apskatot tai skaitā jautājumu par iespējamiem energoietilpīgo uzņēmumu atbrīvojumiem no OIK maksājumiem. Jāatzīst, ka šis pētījums ir izstrādāts pirms EK publicējusi iepriekšminētās pamatnostādnes, tomēr, tajā ir ietvertas atsevišķas indikācijas par iespējamiem risinājumiem.</w:t>
      </w:r>
    </w:p>
    <w:p w:rsidR="00332BEF" w:rsidRPr="00332BEF" w:rsidRDefault="00332BEF" w:rsidP="00332BEF">
      <w:pPr>
        <w:jc w:val="both"/>
        <w:rPr>
          <w:rFonts w:eastAsia="Times New Roman" w:cs="Times New Roman"/>
          <w:bCs/>
          <w:color w:val="000000"/>
          <w:sz w:val="28"/>
          <w:szCs w:val="28"/>
          <w:lang w:eastAsia="lv-LV"/>
        </w:rPr>
      </w:pPr>
      <w:r w:rsidRPr="00332BEF">
        <w:rPr>
          <w:rFonts w:eastAsia="Times New Roman" w:cs="Times New Roman"/>
          <w:bCs/>
          <w:color w:val="000000"/>
          <w:sz w:val="28"/>
          <w:szCs w:val="28"/>
          <w:lang w:eastAsia="lv-LV"/>
        </w:rPr>
        <w:tab/>
        <w:t>KPMG rosināja sadalīt visus Latvijas elektroenerģijas lietotājus trijās grupās pēc patēriņa, attiecīgi tālāk noteikt katrai grupai piemērojamus OIK maksājumus. Latvijas 3.energosistēmas līmenis ietver mājsaimniecības un birojus, 2.energosistēmas līmenis galvenokārt ietver mazos un vidējos uzņēmumus un 1.energosistēmas līmenis ietver lielos ražotājus. Elektroenerģijas patēriņš katrā patērētāju grupā kā daļa no kopējā elektroenerģijas patēriņa tika iegūts no Latvijas Statistikas biroja datiem par 2011.gadu. Tād</w:t>
      </w:r>
      <w:r w:rsidR="0048377D">
        <w:rPr>
          <w:rFonts w:eastAsia="Times New Roman" w:cs="Times New Roman"/>
          <w:bCs/>
          <w:color w:val="000000"/>
          <w:sz w:val="28"/>
          <w:szCs w:val="28"/>
          <w:lang w:eastAsia="lv-LV"/>
        </w:rPr>
        <w:t>ē</w:t>
      </w:r>
      <w:r w:rsidRPr="00332BEF">
        <w:rPr>
          <w:rFonts w:eastAsia="Times New Roman" w:cs="Times New Roman"/>
          <w:bCs/>
          <w:color w:val="000000"/>
          <w:sz w:val="28"/>
          <w:szCs w:val="28"/>
          <w:lang w:eastAsia="lv-LV"/>
        </w:rPr>
        <w:t>jādi 1.energosistēmas līmenis patērē 19.58%, 2. energosistēmas līmenis patērē 39.34% un 3.energosistēmas līmenis 41.08% no kopējās Latvijā patērētās elektroenerģijas.</w:t>
      </w:r>
    </w:p>
    <w:p w:rsidR="00332BEF" w:rsidRPr="00332BEF" w:rsidRDefault="00332BEF" w:rsidP="00332BEF">
      <w:pPr>
        <w:jc w:val="both"/>
        <w:rPr>
          <w:rFonts w:eastAsia="Times New Roman" w:cs="Times New Roman"/>
          <w:bCs/>
          <w:color w:val="000000"/>
          <w:sz w:val="28"/>
          <w:szCs w:val="28"/>
          <w:lang w:eastAsia="lv-LV"/>
        </w:rPr>
      </w:pPr>
      <w:r w:rsidRPr="00332BEF">
        <w:rPr>
          <w:rFonts w:eastAsia="Times New Roman" w:cs="Times New Roman"/>
          <w:bCs/>
          <w:color w:val="000000"/>
          <w:sz w:val="28"/>
          <w:szCs w:val="28"/>
          <w:lang w:eastAsia="lv-LV"/>
        </w:rPr>
        <w:tab/>
        <w:t>Modelēšanas rezultāti (piedāvātā regulējuma neto ietekme Latvijā (tikai atbalsts elektroenerģijas ražošanai no AER)) iezīmēja, ka uzreiz pēc OIK atbrīvošanas shēmas ieviešanas lieli ražošanas uzņēmumi (64 uzņēmumi pēc KPMG piedāvātās klasifikācijas) varētu ietaupīt līdz 17,1% no elektroenerģijas tarifa.</w:t>
      </w:r>
    </w:p>
    <w:p w:rsidR="00332BEF" w:rsidRPr="00332BEF" w:rsidRDefault="00332BEF" w:rsidP="00332BEF">
      <w:pPr>
        <w:jc w:val="both"/>
        <w:rPr>
          <w:rFonts w:eastAsia="Times New Roman" w:cs="Times New Roman"/>
          <w:bCs/>
          <w:color w:val="000000"/>
          <w:sz w:val="28"/>
          <w:szCs w:val="28"/>
          <w:lang w:eastAsia="lv-LV"/>
        </w:rPr>
      </w:pPr>
      <w:r w:rsidRPr="00332BEF">
        <w:rPr>
          <w:rFonts w:eastAsia="Times New Roman" w:cs="Times New Roman"/>
          <w:bCs/>
          <w:color w:val="000000"/>
          <w:sz w:val="28"/>
          <w:szCs w:val="28"/>
          <w:lang w:eastAsia="lv-LV"/>
        </w:rPr>
        <w:tab/>
        <w:t xml:space="preserve">Papildus minētajam KPMG aprēķinam EM veica  analīzi par ietekmi uz lielākajiem  </w:t>
      </w:r>
      <w:proofErr w:type="spellStart"/>
      <w:r w:rsidRPr="00332BEF">
        <w:rPr>
          <w:rFonts w:eastAsia="Times New Roman" w:cs="Times New Roman"/>
          <w:bCs/>
          <w:color w:val="000000"/>
          <w:sz w:val="28"/>
          <w:szCs w:val="28"/>
          <w:lang w:eastAsia="lv-LV"/>
        </w:rPr>
        <w:t>energointensīvajiem</w:t>
      </w:r>
      <w:proofErr w:type="spellEnd"/>
      <w:r w:rsidRPr="00332BEF">
        <w:rPr>
          <w:rFonts w:eastAsia="Times New Roman" w:cs="Times New Roman"/>
          <w:bCs/>
          <w:color w:val="000000"/>
          <w:sz w:val="28"/>
          <w:szCs w:val="28"/>
          <w:lang w:eastAsia="lv-LV"/>
        </w:rPr>
        <w:t xml:space="preserve"> uzņēmumiem, balstoties uz Vadlīnijās minētajiem nosacījumiem. Būtiski ir uzsvērt, ka Vadlīnijās ir noteikts ierobežojums attiecībā uz nozarēm, kurām būtu piemērojams Vadlīnijās ietvertais OIK samazinājums, kā arī Vadlīnijas nosaka vairākus nosacījumus: </w:t>
      </w:r>
      <w:r w:rsidRPr="00332BEF">
        <w:rPr>
          <w:rFonts w:eastAsia="Times New Roman" w:cs="Times New Roman"/>
          <w:bCs/>
          <w:color w:val="000000"/>
          <w:sz w:val="28"/>
          <w:szCs w:val="28"/>
          <w:lang w:eastAsia="lv-LV"/>
        </w:rPr>
        <w:lastRenderedPageBreak/>
        <w:t>OIK atvieglojumi attiecas tikai uz AER, kas, kā minēts iepriekš veido 35% no OIK komponentes. Pie tam, atbalsta saņēmēji vismaz attiecībā uz 15% no maksājamajām papildu izmaksām nesaņem samazinājumu, tātad samazinājums var būt līdz 85%.</w:t>
      </w:r>
    </w:p>
    <w:p w:rsidR="00332BEF" w:rsidRPr="00332BEF" w:rsidRDefault="00332BEF" w:rsidP="00332BEF">
      <w:pPr>
        <w:jc w:val="both"/>
        <w:rPr>
          <w:rFonts w:eastAsia="Times New Roman" w:cs="Times New Roman"/>
          <w:bCs/>
          <w:color w:val="000000"/>
          <w:sz w:val="28"/>
          <w:szCs w:val="28"/>
          <w:lang w:eastAsia="lv-LV"/>
        </w:rPr>
      </w:pPr>
      <w:r w:rsidRPr="00332BEF">
        <w:rPr>
          <w:rFonts w:eastAsia="Times New Roman" w:cs="Times New Roman"/>
          <w:bCs/>
          <w:color w:val="000000"/>
          <w:sz w:val="28"/>
          <w:szCs w:val="28"/>
          <w:lang w:eastAsia="lv-LV"/>
        </w:rPr>
        <w:tab/>
        <w:t xml:space="preserve">Lai veiktu sākotnējo aprēķinus un novērtētu sākotnējo ietekmi, tika izvirzīti vairāki pieņēmumi: </w:t>
      </w:r>
    </w:p>
    <w:p w:rsidR="00332BEF" w:rsidRPr="00332BEF" w:rsidRDefault="00332BEF" w:rsidP="00332BEF">
      <w:pPr>
        <w:pStyle w:val="ListParagraph"/>
        <w:numPr>
          <w:ilvl w:val="0"/>
          <w:numId w:val="3"/>
        </w:numPr>
        <w:jc w:val="both"/>
        <w:rPr>
          <w:rFonts w:eastAsia="Times New Roman" w:cs="Times New Roman"/>
          <w:bCs/>
          <w:color w:val="000000"/>
          <w:sz w:val="28"/>
          <w:szCs w:val="28"/>
          <w:lang w:eastAsia="lv-LV"/>
        </w:rPr>
      </w:pPr>
      <w:r w:rsidRPr="00332BEF">
        <w:rPr>
          <w:rFonts w:eastAsia="Times New Roman" w:cs="Times New Roman"/>
          <w:bCs/>
          <w:color w:val="000000"/>
          <w:sz w:val="28"/>
          <w:szCs w:val="28"/>
          <w:lang w:eastAsia="lv-LV"/>
        </w:rPr>
        <w:t xml:space="preserve">Analīze tika veikt par uzņēmumiem, kuri 2012.gadā patērēja vairāk kā 50 000 000 </w:t>
      </w:r>
      <w:proofErr w:type="spellStart"/>
      <w:r w:rsidRPr="00332BEF">
        <w:rPr>
          <w:rFonts w:eastAsia="Times New Roman" w:cs="Times New Roman"/>
          <w:bCs/>
          <w:color w:val="000000"/>
          <w:sz w:val="28"/>
          <w:szCs w:val="28"/>
          <w:lang w:eastAsia="lv-LV"/>
        </w:rPr>
        <w:t>kwh</w:t>
      </w:r>
      <w:proofErr w:type="spellEnd"/>
      <w:r w:rsidRPr="00332BEF">
        <w:rPr>
          <w:rFonts w:eastAsia="Times New Roman" w:cs="Times New Roman"/>
          <w:bCs/>
          <w:color w:val="000000"/>
          <w:sz w:val="28"/>
          <w:szCs w:val="28"/>
          <w:lang w:eastAsia="lv-LV"/>
        </w:rPr>
        <w:t>, kas veidoja 9.5% no valsts kopējā patēriņa</w:t>
      </w:r>
    </w:p>
    <w:p w:rsidR="00332BEF" w:rsidRPr="00332BEF" w:rsidRDefault="00332BEF" w:rsidP="00332BEF">
      <w:pPr>
        <w:pStyle w:val="ListParagraph"/>
        <w:numPr>
          <w:ilvl w:val="0"/>
          <w:numId w:val="3"/>
        </w:numPr>
        <w:jc w:val="both"/>
        <w:rPr>
          <w:rFonts w:eastAsia="Times New Roman" w:cs="Times New Roman"/>
          <w:bCs/>
          <w:color w:val="000000"/>
          <w:sz w:val="28"/>
          <w:szCs w:val="28"/>
          <w:lang w:eastAsia="lv-LV"/>
        </w:rPr>
      </w:pPr>
      <w:r w:rsidRPr="00332BEF">
        <w:rPr>
          <w:rFonts w:eastAsia="Times New Roman" w:cs="Times New Roman"/>
          <w:bCs/>
          <w:color w:val="000000"/>
          <w:sz w:val="28"/>
          <w:szCs w:val="28"/>
          <w:lang w:eastAsia="lv-LV"/>
        </w:rPr>
        <w:t>Analīzes netika ietverti uzņēmumi, kas neatbilst Vadlīnijās definētām NACE kategorijām</w:t>
      </w:r>
    </w:p>
    <w:p w:rsidR="00332BEF" w:rsidRPr="00332BEF" w:rsidRDefault="00332BEF" w:rsidP="00332BEF">
      <w:pPr>
        <w:pStyle w:val="ListParagraph"/>
        <w:numPr>
          <w:ilvl w:val="0"/>
          <w:numId w:val="3"/>
        </w:numPr>
        <w:jc w:val="both"/>
        <w:rPr>
          <w:rFonts w:eastAsia="Times New Roman" w:cs="Times New Roman"/>
          <w:bCs/>
          <w:color w:val="000000"/>
          <w:sz w:val="28"/>
          <w:szCs w:val="28"/>
          <w:lang w:eastAsia="lv-LV"/>
        </w:rPr>
      </w:pPr>
      <w:r w:rsidRPr="00332BEF">
        <w:rPr>
          <w:rFonts w:eastAsia="Times New Roman" w:cs="Times New Roman"/>
          <w:bCs/>
          <w:color w:val="000000"/>
          <w:sz w:val="28"/>
          <w:szCs w:val="28"/>
          <w:lang w:eastAsia="lv-LV"/>
        </w:rPr>
        <w:t xml:space="preserve">Bāzes OIK, tiek balstīts ņemot vērā EM prognozes un tajā ir ietverti līdz šim pieņemtie lēmumi attiecībā uz risinājumiem OIK samazināšanā. </w:t>
      </w:r>
    </w:p>
    <w:p w:rsidR="00332BEF" w:rsidRPr="00332BEF" w:rsidRDefault="00332BEF" w:rsidP="00332BEF">
      <w:pPr>
        <w:rPr>
          <w:rFonts w:eastAsia="Times New Roman" w:cs="Times New Roman"/>
          <w:bCs/>
          <w:color w:val="000000"/>
          <w:sz w:val="28"/>
          <w:szCs w:val="28"/>
          <w:lang w:eastAsia="lv-LV"/>
        </w:rPr>
      </w:pPr>
    </w:p>
    <w:p w:rsidR="00332BEF" w:rsidRPr="00332BEF" w:rsidRDefault="00332BEF" w:rsidP="00332BEF">
      <w:pPr>
        <w:jc w:val="both"/>
        <w:rPr>
          <w:rFonts w:cs="Times New Roman"/>
          <w:i/>
          <w:sz w:val="28"/>
          <w:szCs w:val="28"/>
        </w:rPr>
      </w:pPr>
      <w:r w:rsidRPr="00332BEF">
        <w:rPr>
          <w:rFonts w:cs="Times New Roman"/>
          <w:i/>
          <w:sz w:val="28"/>
          <w:szCs w:val="28"/>
        </w:rPr>
        <w:t>EM prognoze par OIK atvieglojumu un pārējo lietotāju kompensācijas apmēru</w:t>
      </w:r>
    </w:p>
    <w:p w:rsidR="00332BEF" w:rsidRPr="00332BEF" w:rsidRDefault="00332BEF" w:rsidP="00332BEF">
      <w:pPr>
        <w:jc w:val="center"/>
        <w:rPr>
          <w:rFonts w:cs="Times New Roman"/>
          <w:b/>
          <w:sz w:val="28"/>
          <w:szCs w:val="28"/>
        </w:rPr>
      </w:pPr>
    </w:p>
    <w:tbl>
      <w:tblPr>
        <w:tblStyle w:val="TableGrid"/>
        <w:tblW w:w="0" w:type="auto"/>
        <w:tblLook w:val="04A0" w:firstRow="1" w:lastRow="0" w:firstColumn="1" w:lastColumn="0" w:noHBand="0" w:noVBand="1"/>
      </w:tblPr>
      <w:tblGrid>
        <w:gridCol w:w="3936"/>
        <w:gridCol w:w="1783"/>
        <w:gridCol w:w="1784"/>
        <w:gridCol w:w="1784"/>
      </w:tblGrid>
      <w:tr w:rsidR="00332BEF" w:rsidRPr="00332BEF" w:rsidTr="00091E2E">
        <w:tc>
          <w:tcPr>
            <w:tcW w:w="3936" w:type="dxa"/>
          </w:tcPr>
          <w:p w:rsidR="00332BEF" w:rsidRPr="00332BEF" w:rsidRDefault="00332BEF" w:rsidP="00091E2E">
            <w:pPr>
              <w:jc w:val="both"/>
              <w:rPr>
                <w:rFonts w:cs="Times New Roman"/>
                <w:sz w:val="28"/>
                <w:szCs w:val="28"/>
              </w:rPr>
            </w:pPr>
          </w:p>
        </w:tc>
        <w:tc>
          <w:tcPr>
            <w:tcW w:w="1783" w:type="dxa"/>
            <w:vAlign w:val="bottom"/>
          </w:tcPr>
          <w:p w:rsidR="00332BEF" w:rsidRPr="00332BEF" w:rsidRDefault="00332BEF" w:rsidP="00091E2E">
            <w:pPr>
              <w:jc w:val="center"/>
              <w:rPr>
                <w:rFonts w:eastAsia="Times New Roman" w:cs="Times New Roman"/>
                <w:color w:val="000000"/>
                <w:sz w:val="28"/>
                <w:szCs w:val="28"/>
                <w:lang w:eastAsia="lv-LV"/>
              </w:rPr>
            </w:pPr>
            <w:r w:rsidRPr="00332BEF">
              <w:rPr>
                <w:rFonts w:eastAsia="Times New Roman" w:cs="Times New Roman"/>
                <w:color w:val="000000"/>
                <w:sz w:val="28"/>
                <w:szCs w:val="28"/>
                <w:lang w:eastAsia="lv-LV"/>
              </w:rPr>
              <w:t>2017</w:t>
            </w:r>
          </w:p>
        </w:tc>
        <w:tc>
          <w:tcPr>
            <w:tcW w:w="1784" w:type="dxa"/>
            <w:vAlign w:val="bottom"/>
          </w:tcPr>
          <w:p w:rsidR="00332BEF" w:rsidRPr="00332BEF" w:rsidRDefault="00332BEF" w:rsidP="00091E2E">
            <w:pPr>
              <w:jc w:val="center"/>
              <w:rPr>
                <w:rFonts w:eastAsia="Times New Roman" w:cs="Times New Roman"/>
                <w:color w:val="000000"/>
                <w:sz w:val="28"/>
                <w:szCs w:val="28"/>
                <w:lang w:eastAsia="lv-LV"/>
              </w:rPr>
            </w:pPr>
            <w:r w:rsidRPr="00332BEF">
              <w:rPr>
                <w:rFonts w:eastAsia="Times New Roman" w:cs="Times New Roman"/>
                <w:color w:val="000000"/>
                <w:sz w:val="28"/>
                <w:szCs w:val="28"/>
                <w:lang w:eastAsia="lv-LV"/>
              </w:rPr>
              <w:t>2018</w:t>
            </w:r>
          </w:p>
        </w:tc>
        <w:tc>
          <w:tcPr>
            <w:tcW w:w="1784" w:type="dxa"/>
            <w:vAlign w:val="bottom"/>
          </w:tcPr>
          <w:p w:rsidR="00332BEF" w:rsidRPr="00332BEF" w:rsidRDefault="00332BEF" w:rsidP="00091E2E">
            <w:pPr>
              <w:jc w:val="center"/>
              <w:rPr>
                <w:rFonts w:eastAsia="Times New Roman" w:cs="Times New Roman"/>
                <w:color w:val="000000"/>
                <w:sz w:val="28"/>
                <w:szCs w:val="28"/>
                <w:lang w:eastAsia="lv-LV"/>
              </w:rPr>
            </w:pPr>
            <w:r w:rsidRPr="00332BEF">
              <w:rPr>
                <w:rFonts w:eastAsia="Times New Roman" w:cs="Times New Roman"/>
                <w:color w:val="000000"/>
                <w:sz w:val="28"/>
                <w:szCs w:val="28"/>
                <w:lang w:eastAsia="lv-LV"/>
              </w:rPr>
              <w:t>2019</w:t>
            </w:r>
          </w:p>
        </w:tc>
      </w:tr>
      <w:tr w:rsidR="00332BEF" w:rsidRPr="00332BEF" w:rsidTr="00091E2E">
        <w:tc>
          <w:tcPr>
            <w:tcW w:w="3936" w:type="dxa"/>
            <w:vAlign w:val="bottom"/>
          </w:tcPr>
          <w:p w:rsidR="00332BEF" w:rsidRPr="00332BEF" w:rsidRDefault="00332BEF" w:rsidP="00091E2E">
            <w:pPr>
              <w:rPr>
                <w:rFonts w:eastAsia="Times New Roman" w:cs="Times New Roman"/>
                <w:color w:val="000000"/>
                <w:sz w:val="28"/>
                <w:szCs w:val="28"/>
                <w:lang w:eastAsia="lv-LV"/>
              </w:rPr>
            </w:pPr>
            <w:r w:rsidRPr="00332BEF">
              <w:rPr>
                <w:rFonts w:eastAsia="Times New Roman" w:cs="Times New Roman"/>
                <w:color w:val="000000"/>
                <w:sz w:val="28"/>
                <w:szCs w:val="28"/>
                <w:lang w:eastAsia="lv-LV"/>
              </w:rPr>
              <w:t>EM OIK prognozes , EUR centi/</w:t>
            </w:r>
            <w:proofErr w:type="spellStart"/>
            <w:r w:rsidRPr="00332BEF">
              <w:rPr>
                <w:rFonts w:eastAsia="Times New Roman" w:cs="Times New Roman"/>
                <w:color w:val="000000"/>
                <w:sz w:val="28"/>
                <w:szCs w:val="28"/>
                <w:lang w:eastAsia="lv-LV"/>
              </w:rPr>
              <w:t>kwh</w:t>
            </w:r>
            <w:proofErr w:type="spellEnd"/>
          </w:p>
        </w:tc>
        <w:tc>
          <w:tcPr>
            <w:tcW w:w="1783" w:type="dxa"/>
            <w:vAlign w:val="bottom"/>
          </w:tcPr>
          <w:p w:rsidR="00332BEF" w:rsidRPr="00332BEF" w:rsidRDefault="00332BEF" w:rsidP="00091E2E">
            <w:pPr>
              <w:jc w:val="center"/>
              <w:rPr>
                <w:rFonts w:eastAsia="Times New Roman" w:cs="Times New Roman"/>
                <w:color w:val="000000"/>
                <w:sz w:val="28"/>
                <w:szCs w:val="28"/>
                <w:lang w:eastAsia="lv-LV"/>
              </w:rPr>
            </w:pPr>
            <w:r w:rsidRPr="00332BEF">
              <w:rPr>
                <w:rFonts w:eastAsia="Times New Roman" w:cs="Times New Roman"/>
                <w:color w:val="000000"/>
                <w:sz w:val="28"/>
                <w:szCs w:val="28"/>
                <w:lang w:eastAsia="lv-LV"/>
              </w:rPr>
              <w:t>3,71</w:t>
            </w:r>
          </w:p>
        </w:tc>
        <w:tc>
          <w:tcPr>
            <w:tcW w:w="1784" w:type="dxa"/>
            <w:vAlign w:val="bottom"/>
          </w:tcPr>
          <w:p w:rsidR="00332BEF" w:rsidRPr="00332BEF" w:rsidRDefault="00332BEF" w:rsidP="00091E2E">
            <w:pPr>
              <w:jc w:val="center"/>
              <w:rPr>
                <w:rFonts w:eastAsia="Times New Roman" w:cs="Times New Roman"/>
                <w:color w:val="000000"/>
                <w:sz w:val="28"/>
                <w:szCs w:val="28"/>
                <w:lang w:eastAsia="lv-LV"/>
              </w:rPr>
            </w:pPr>
            <w:r w:rsidRPr="00332BEF">
              <w:rPr>
                <w:rFonts w:eastAsia="Times New Roman" w:cs="Times New Roman"/>
                <w:color w:val="000000"/>
                <w:sz w:val="28"/>
                <w:szCs w:val="28"/>
                <w:lang w:eastAsia="lv-LV"/>
              </w:rPr>
              <w:t>3,59</w:t>
            </w:r>
          </w:p>
        </w:tc>
        <w:tc>
          <w:tcPr>
            <w:tcW w:w="1784" w:type="dxa"/>
            <w:vAlign w:val="bottom"/>
          </w:tcPr>
          <w:p w:rsidR="00332BEF" w:rsidRPr="00332BEF" w:rsidRDefault="00332BEF" w:rsidP="00091E2E">
            <w:pPr>
              <w:jc w:val="center"/>
              <w:rPr>
                <w:rFonts w:eastAsia="Times New Roman" w:cs="Times New Roman"/>
                <w:color w:val="000000"/>
                <w:sz w:val="28"/>
                <w:szCs w:val="28"/>
                <w:lang w:eastAsia="lv-LV"/>
              </w:rPr>
            </w:pPr>
            <w:r w:rsidRPr="00332BEF">
              <w:rPr>
                <w:rFonts w:eastAsia="Times New Roman" w:cs="Times New Roman"/>
                <w:color w:val="000000"/>
                <w:sz w:val="28"/>
                <w:szCs w:val="28"/>
                <w:lang w:eastAsia="lv-LV"/>
              </w:rPr>
              <w:t>3,41</w:t>
            </w:r>
          </w:p>
        </w:tc>
      </w:tr>
      <w:tr w:rsidR="00332BEF" w:rsidRPr="00332BEF" w:rsidTr="00091E2E">
        <w:tc>
          <w:tcPr>
            <w:tcW w:w="3936" w:type="dxa"/>
            <w:vAlign w:val="bottom"/>
          </w:tcPr>
          <w:p w:rsidR="00332BEF" w:rsidRPr="00332BEF" w:rsidRDefault="00332BEF" w:rsidP="00091E2E">
            <w:pPr>
              <w:rPr>
                <w:rFonts w:eastAsia="Times New Roman" w:cs="Times New Roman"/>
                <w:color w:val="000000"/>
                <w:sz w:val="28"/>
                <w:szCs w:val="28"/>
                <w:lang w:eastAsia="lv-LV"/>
              </w:rPr>
            </w:pPr>
            <w:r w:rsidRPr="00332BEF">
              <w:rPr>
                <w:rFonts w:eastAsia="Times New Roman" w:cs="Times New Roman"/>
                <w:color w:val="000000"/>
                <w:sz w:val="28"/>
                <w:szCs w:val="28"/>
                <w:lang w:eastAsia="lv-LV"/>
              </w:rPr>
              <w:t>Atjaunojamo resursu daļa (35%)</w:t>
            </w:r>
          </w:p>
        </w:tc>
        <w:tc>
          <w:tcPr>
            <w:tcW w:w="1783" w:type="dxa"/>
            <w:vAlign w:val="bottom"/>
          </w:tcPr>
          <w:p w:rsidR="00332BEF" w:rsidRPr="00332BEF" w:rsidRDefault="00332BEF" w:rsidP="00091E2E">
            <w:pPr>
              <w:jc w:val="center"/>
              <w:rPr>
                <w:rFonts w:eastAsia="Times New Roman" w:cs="Times New Roman"/>
                <w:color w:val="000000"/>
                <w:sz w:val="28"/>
                <w:szCs w:val="28"/>
                <w:lang w:eastAsia="lv-LV"/>
              </w:rPr>
            </w:pPr>
            <w:r w:rsidRPr="00332BEF">
              <w:rPr>
                <w:rFonts w:eastAsia="Times New Roman" w:cs="Times New Roman"/>
                <w:color w:val="000000"/>
                <w:sz w:val="28"/>
                <w:szCs w:val="28"/>
                <w:lang w:eastAsia="lv-LV"/>
              </w:rPr>
              <w:t>1,30</w:t>
            </w:r>
          </w:p>
        </w:tc>
        <w:tc>
          <w:tcPr>
            <w:tcW w:w="1784" w:type="dxa"/>
            <w:vAlign w:val="bottom"/>
          </w:tcPr>
          <w:p w:rsidR="00332BEF" w:rsidRPr="00332BEF" w:rsidRDefault="00332BEF" w:rsidP="00091E2E">
            <w:pPr>
              <w:jc w:val="center"/>
              <w:rPr>
                <w:rFonts w:eastAsia="Times New Roman" w:cs="Times New Roman"/>
                <w:color w:val="000000"/>
                <w:sz w:val="28"/>
                <w:szCs w:val="28"/>
                <w:lang w:eastAsia="lv-LV"/>
              </w:rPr>
            </w:pPr>
            <w:r w:rsidRPr="00332BEF">
              <w:rPr>
                <w:rFonts w:eastAsia="Times New Roman" w:cs="Times New Roman"/>
                <w:color w:val="000000"/>
                <w:sz w:val="28"/>
                <w:szCs w:val="28"/>
                <w:lang w:eastAsia="lv-LV"/>
              </w:rPr>
              <w:t>1,26</w:t>
            </w:r>
          </w:p>
        </w:tc>
        <w:tc>
          <w:tcPr>
            <w:tcW w:w="1784" w:type="dxa"/>
            <w:vAlign w:val="bottom"/>
          </w:tcPr>
          <w:p w:rsidR="00332BEF" w:rsidRPr="00332BEF" w:rsidRDefault="00332BEF" w:rsidP="00091E2E">
            <w:pPr>
              <w:jc w:val="center"/>
              <w:rPr>
                <w:rFonts w:eastAsia="Times New Roman" w:cs="Times New Roman"/>
                <w:color w:val="000000"/>
                <w:sz w:val="28"/>
                <w:szCs w:val="28"/>
                <w:lang w:eastAsia="lv-LV"/>
              </w:rPr>
            </w:pPr>
            <w:r w:rsidRPr="00332BEF">
              <w:rPr>
                <w:rFonts w:eastAsia="Times New Roman" w:cs="Times New Roman"/>
                <w:color w:val="000000"/>
                <w:sz w:val="28"/>
                <w:szCs w:val="28"/>
                <w:lang w:eastAsia="lv-LV"/>
              </w:rPr>
              <w:t>1,19</w:t>
            </w:r>
          </w:p>
        </w:tc>
      </w:tr>
      <w:tr w:rsidR="00332BEF" w:rsidRPr="00332BEF" w:rsidTr="00091E2E">
        <w:tc>
          <w:tcPr>
            <w:tcW w:w="3936" w:type="dxa"/>
            <w:vAlign w:val="bottom"/>
          </w:tcPr>
          <w:p w:rsidR="00332BEF" w:rsidRPr="00332BEF" w:rsidRDefault="00332BEF" w:rsidP="00091E2E">
            <w:pPr>
              <w:rPr>
                <w:rFonts w:eastAsia="Times New Roman" w:cs="Times New Roman"/>
                <w:color w:val="000000"/>
                <w:sz w:val="28"/>
                <w:szCs w:val="28"/>
                <w:lang w:eastAsia="lv-LV"/>
              </w:rPr>
            </w:pPr>
            <w:r w:rsidRPr="00332BEF">
              <w:rPr>
                <w:rFonts w:eastAsia="Times New Roman" w:cs="Times New Roman"/>
                <w:color w:val="000000"/>
                <w:sz w:val="28"/>
                <w:szCs w:val="28"/>
                <w:lang w:eastAsia="lv-LV"/>
              </w:rPr>
              <w:t xml:space="preserve">   </w:t>
            </w:r>
            <w:proofErr w:type="spellStart"/>
            <w:r w:rsidRPr="00332BEF">
              <w:rPr>
                <w:rFonts w:eastAsia="Times New Roman" w:cs="Times New Roman"/>
                <w:color w:val="000000"/>
                <w:sz w:val="28"/>
                <w:szCs w:val="28"/>
                <w:lang w:eastAsia="lv-LV"/>
              </w:rPr>
              <w:t>t.sk</w:t>
            </w:r>
            <w:proofErr w:type="spellEnd"/>
            <w:r w:rsidRPr="00332BEF">
              <w:rPr>
                <w:rFonts w:eastAsia="Times New Roman" w:cs="Times New Roman"/>
                <w:color w:val="000000"/>
                <w:sz w:val="28"/>
                <w:szCs w:val="28"/>
                <w:lang w:eastAsia="lv-LV"/>
              </w:rPr>
              <w:t>. daļa, kuru var pārdalīt uz citām lietotāju grupām  (85%)</w:t>
            </w:r>
          </w:p>
        </w:tc>
        <w:tc>
          <w:tcPr>
            <w:tcW w:w="1783" w:type="dxa"/>
            <w:vAlign w:val="bottom"/>
          </w:tcPr>
          <w:p w:rsidR="00332BEF" w:rsidRPr="00332BEF" w:rsidRDefault="00332BEF" w:rsidP="00091E2E">
            <w:pPr>
              <w:jc w:val="center"/>
              <w:rPr>
                <w:rFonts w:eastAsia="Times New Roman" w:cs="Times New Roman"/>
                <w:color w:val="000000"/>
                <w:sz w:val="28"/>
                <w:szCs w:val="28"/>
                <w:lang w:eastAsia="lv-LV"/>
              </w:rPr>
            </w:pPr>
            <w:r w:rsidRPr="00332BEF">
              <w:rPr>
                <w:rFonts w:eastAsia="Times New Roman" w:cs="Times New Roman"/>
                <w:color w:val="000000"/>
                <w:sz w:val="28"/>
                <w:szCs w:val="28"/>
                <w:lang w:eastAsia="lv-LV"/>
              </w:rPr>
              <w:t>1,10</w:t>
            </w:r>
          </w:p>
        </w:tc>
        <w:tc>
          <w:tcPr>
            <w:tcW w:w="1784" w:type="dxa"/>
            <w:vAlign w:val="bottom"/>
          </w:tcPr>
          <w:p w:rsidR="00332BEF" w:rsidRPr="00332BEF" w:rsidRDefault="00332BEF" w:rsidP="00091E2E">
            <w:pPr>
              <w:jc w:val="center"/>
              <w:rPr>
                <w:rFonts w:eastAsia="Times New Roman" w:cs="Times New Roman"/>
                <w:color w:val="000000"/>
                <w:sz w:val="28"/>
                <w:szCs w:val="28"/>
                <w:lang w:eastAsia="lv-LV"/>
              </w:rPr>
            </w:pPr>
            <w:r w:rsidRPr="00332BEF">
              <w:rPr>
                <w:rFonts w:eastAsia="Times New Roman" w:cs="Times New Roman"/>
                <w:color w:val="000000"/>
                <w:sz w:val="28"/>
                <w:szCs w:val="28"/>
                <w:lang w:eastAsia="lv-LV"/>
              </w:rPr>
              <w:t>1,07</w:t>
            </w:r>
          </w:p>
        </w:tc>
        <w:tc>
          <w:tcPr>
            <w:tcW w:w="1784" w:type="dxa"/>
            <w:vAlign w:val="bottom"/>
          </w:tcPr>
          <w:p w:rsidR="00332BEF" w:rsidRPr="00332BEF" w:rsidRDefault="00332BEF" w:rsidP="00091E2E">
            <w:pPr>
              <w:jc w:val="center"/>
              <w:rPr>
                <w:rFonts w:eastAsia="Times New Roman" w:cs="Times New Roman"/>
                <w:color w:val="000000"/>
                <w:sz w:val="28"/>
                <w:szCs w:val="28"/>
                <w:lang w:eastAsia="lv-LV"/>
              </w:rPr>
            </w:pPr>
            <w:r w:rsidRPr="00332BEF">
              <w:rPr>
                <w:rFonts w:eastAsia="Times New Roman" w:cs="Times New Roman"/>
                <w:color w:val="000000"/>
                <w:sz w:val="28"/>
                <w:szCs w:val="28"/>
                <w:lang w:eastAsia="lv-LV"/>
              </w:rPr>
              <w:t>1,01</w:t>
            </w:r>
          </w:p>
        </w:tc>
      </w:tr>
      <w:tr w:rsidR="00332BEF" w:rsidRPr="00332BEF" w:rsidTr="00091E2E">
        <w:tc>
          <w:tcPr>
            <w:tcW w:w="3936" w:type="dxa"/>
            <w:vAlign w:val="bottom"/>
          </w:tcPr>
          <w:p w:rsidR="00332BEF" w:rsidRPr="00332BEF" w:rsidRDefault="00332BEF" w:rsidP="00091E2E">
            <w:pPr>
              <w:rPr>
                <w:rFonts w:eastAsia="Times New Roman" w:cs="Times New Roman"/>
                <w:color w:val="000000"/>
                <w:sz w:val="28"/>
                <w:szCs w:val="28"/>
                <w:lang w:eastAsia="lv-LV"/>
              </w:rPr>
            </w:pPr>
            <w:r w:rsidRPr="00332BEF">
              <w:rPr>
                <w:rFonts w:eastAsia="Times New Roman" w:cs="Times New Roman"/>
                <w:color w:val="000000"/>
                <w:sz w:val="28"/>
                <w:szCs w:val="28"/>
                <w:lang w:eastAsia="lv-LV"/>
              </w:rPr>
              <w:t>Lielo lietotāju OIK komponente, EUR centi/</w:t>
            </w:r>
            <w:proofErr w:type="spellStart"/>
            <w:r w:rsidRPr="00332BEF">
              <w:rPr>
                <w:rFonts w:eastAsia="Times New Roman" w:cs="Times New Roman"/>
                <w:color w:val="000000"/>
                <w:sz w:val="28"/>
                <w:szCs w:val="28"/>
                <w:lang w:eastAsia="lv-LV"/>
              </w:rPr>
              <w:t>kwh</w:t>
            </w:r>
            <w:proofErr w:type="spellEnd"/>
          </w:p>
        </w:tc>
        <w:tc>
          <w:tcPr>
            <w:tcW w:w="1783" w:type="dxa"/>
            <w:vAlign w:val="bottom"/>
          </w:tcPr>
          <w:p w:rsidR="00332BEF" w:rsidRPr="00332BEF" w:rsidRDefault="00332BEF" w:rsidP="00091E2E">
            <w:pPr>
              <w:jc w:val="center"/>
              <w:rPr>
                <w:rFonts w:cs="Times New Roman"/>
                <w:b/>
                <w:bCs/>
                <w:color w:val="000000"/>
                <w:sz w:val="28"/>
                <w:szCs w:val="28"/>
              </w:rPr>
            </w:pPr>
            <w:r w:rsidRPr="00332BEF">
              <w:rPr>
                <w:rFonts w:cs="Times New Roman"/>
                <w:b/>
                <w:bCs/>
                <w:color w:val="000000"/>
                <w:sz w:val="28"/>
                <w:szCs w:val="28"/>
              </w:rPr>
              <w:t>2,61</w:t>
            </w:r>
          </w:p>
        </w:tc>
        <w:tc>
          <w:tcPr>
            <w:tcW w:w="1784" w:type="dxa"/>
            <w:vAlign w:val="bottom"/>
          </w:tcPr>
          <w:p w:rsidR="00332BEF" w:rsidRPr="00332BEF" w:rsidRDefault="00332BEF" w:rsidP="00091E2E">
            <w:pPr>
              <w:jc w:val="center"/>
              <w:rPr>
                <w:rFonts w:cs="Times New Roman"/>
                <w:b/>
                <w:bCs/>
                <w:color w:val="000000"/>
                <w:sz w:val="28"/>
                <w:szCs w:val="28"/>
              </w:rPr>
            </w:pPr>
            <w:r w:rsidRPr="00332BEF">
              <w:rPr>
                <w:rFonts w:cs="Times New Roman"/>
                <w:b/>
                <w:bCs/>
                <w:color w:val="000000"/>
                <w:sz w:val="28"/>
                <w:szCs w:val="28"/>
              </w:rPr>
              <w:t>2,52</w:t>
            </w:r>
          </w:p>
        </w:tc>
        <w:tc>
          <w:tcPr>
            <w:tcW w:w="1784" w:type="dxa"/>
            <w:vAlign w:val="bottom"/>
          </w:tcPr>
          <w:p w:rsidR="00332BEF" w:rsidRPr="00332BEF" w:rsidRDefault="00332BEF" w:rsidP="00091E2E">
            <w:pPr>
              <w:jc w:val="center"/>
              <w:rPr>
                <w:rFonts w:cs="Times New Roman"/>
                <w:b/>
                <w:bCs/>
                <w:color w:val="000000"/>
                <w:sz w:val="28"/>
                <w:szCs w:val="28"/>
              </w:rPr>
            </w:pPr>
            <w:r w:rsidRPr="00332BEF">
              <w:rPr>
                <w:rFonts w:cs="Times New Roman"/>
                <w:b/>
                <w:bCs/>
                <w:color w:val="000000"/>
                <w:sz w:val="28"/>
                <w:szCs w:val="28"/>
              </w:rPr>
              <w:t>2,40</w:t>
            </w:r>
          </w:p>
        </w:tc>
      </w:tr>
      <w:tr w:rsidR="00332BEF" w:rsidRPr="00332BEF" w:rsidTr="00091E2E">
        <w:tc>
          <w:tcPr>
            <w:tcW w:w="3936" w:type="dxa"/>
            <w:vAlign w:val="bottom"/>
          </w:tcPr>
          <w:p w:rsidR="00332BEF" w:rsidRPr="00332BEF" w:rsidRDefault="00332BEF" w:rsidP="00091E2E">
            <w:pPr>
              <w:rPr>
                <w:rFonts w:eastAsia="Times New Roman" w:cs="Times New Roman"/>
                <w:color w:val="000000"/>
                <w:sz w:val="28"/>
                <w:szCs w:val="28"/>
                <w:lang w:eastAsia="lv-LV"/>
              </w:rPr>
            </w:pPr>
            <w:r w:rsidRPr="00332BEF">
              <w:rPr>
                <w:rFonts w:eastAsia="Times New Roman" w:cs="Times New Roman"/>
                <w:color w:val="000000"/>
                <w:sz w:val="28"/>
                <w:szCs w:val="28"/>
                <w:lang w:eastAsia="lv-LV"/>
              </w:rPr>
              <w:t xml:space="preserve">Pārējo lietotāju OIK komponente (ar kompensējošo palielinājumu) </w:t>
            </w:r>
          </w:p>
        </w:tc>
        <w:tc>
          <w:tcPr>
            <w:tcW w:w="1783" w:type="dxa"/>
            <w:vAlign w:val="bottom"/>
          </w:tcPr>
          <w:p w:rsidR="00332BEF" w:rsidRPr="00332BEF" w:rsidRDefault="00332BEF" w:rsidP="00091E2E">
            <w:pPr>
              <w:jc w:val="center"/>
              <w:rPr>
                <w:rFonts w:cs="Times New Roman"/>
                <w:b/>
                <w:bCs/>
                <w:color w:val="000000"/>
                <w:sz w:val="28"/>
                <w:szCs w:val="28"/>
              </w:rPr>
            </w:pPr>
            <w:r w:rsidRPr="00332BEF">
              <w:rPr>
                <w:rFonts w:cs="Times New Roman"/>
                <w:b/>
                <w:bCs/>
                <w:color w:val="000000"/>
                <w:sz w:val="28"/>
                <w:szCs w:val="28"/>
              </w:rPr>
              <w:t>3,83</w:t>
            </w:r>
          </w:p>
        </w:tc>
        <w:tc>
          <w:tcPr>
            <w:tcW w:w="1784" w:type="dxa"/>
            <w:vAlign w:val="bottom"/>
          </w:tcPr>
          <w:p w:rsidR="00332BEF" w:rsidRPr="00332BEF" w:rsidRDefault="00332BEF" w:rsidP="00091E2E">
            <w:pPr>
              <w:jc w:val="center"/>
              <w:rPr>
                <w:rFonts w:cs="Times New Roman"/>
                <w:b/>
                <w:bCs/>
                <w:color w:val="000000"/>
                <w:sz w:val="28"/>
                <w:szCs w:val="28"/>
              </w:rPr>
            </w:pPr>
            <w:r w:rsidRPr="00332BEF">
              <w:rPr>
                <w:rFonts w:cs="Times New Roman"/>
                <w:b/>
                <w:bCs/>
                <w:color w:val="000000"/>
                <w:sz w:val="28"/>
                <w:szCs w:val="28"/>
              </w:rPr>
              <w:t>3,70</w:t>
            </w:r>
          </w:p>
        </w:tc>
        <w:tc>
          <w:tcPr>
            <w:tcW w:w="1784" w:type="dxa"/>
            <w:vAlign w:val="bottom"/>
          </w:tcPr>
          <w:p w:rsidR="00332BEF" w:rsidRPr="00332BEF" w:rsidRDefault="00332BEF" w:rsidP="00091E2E">
            <w:pPr>
              <w:jc w:val="center"/>
              <w:rPr>
                <w:rFonts w:cs="Times New Roman"/>
                <w:b/>
                <w:bCs/>
                <w:color w:val="000000"/>
                <w:sz w:val="28"/>
                <w:szCs w:val="28"/>
              </w:rPr>
            </w:pPr>
            <w:r w:rsidRPr="00332BEF">
              <w:rPr>
                <w:rFonts w:cs="Times New Roman"/>
                <w:b/>
                <w:bCs/>
                <w:color w:val="000000"/>
                <w:sz w:val="28"/>
                <w:szCs w:val="28"/>
              </w:rPr>
              <w:t>3,52</w:t>
            </w:r>
          </w:p>
        </w:tc>
      </w:tr>
    </w:tbl>
    <w:p w:rsidR="00332BEF" w:rsidRPr="00332BEF" w:rsidRDefault="00332BEF" w:rsidP="00332BEF">
      <w:pPr>
        <w:jc w:val="both"/>
        <w:rPr>
          <w:rFonts w:eastAsia="Times New Roman" w:cs="Times New Roman"/>
          <w:bCs/>
          <w:color w:val="000000"/>
          <w:sz w:val="28"/>
          <w:szCs w:val="28"/>
          <w:lang w:eastAsia="lv-LV"/>
        </w:rPr>
      </w:pPr>
    </w:p>
    <w:p w:rsidR="00332BEF" w:rsidRPr="00332BEF" w:rsidRDefault="00332BEF" w:rsidP="00332BEF">
      <w:pPr>
        <w:ind w:firstLine="720"/>
        <w:jc w:val="both"/>
        <w:rPr>
          <w:rFonts w:eastAsia="Times New Roman" w:cs="Times New Roman"/>
          <w:bCs/>
          <w:color w:val="000000"/>
          <w:sz w:val="28"/>
          <w:szCs w:val="28"/>
          <w:lang w:eastAsia="lv-LV"/>
        </w:rPr>
      </w:pPr>
      <w:r w:rsidRPr="00332BEF">
        <w:rPr>
          <w:rFonts w:eastAsia="Times New Roman" w:cs="Times New Roman"/>
          <w:bCs/>
          <w:color w:val="000000"/>
          <w:sz w:val="28"/>
          <w:szCs w:val="28"/>
          <w:lang w:eastAsia="lv-LV"/>
        </w:rPr>
        <w:t xml:space="preserve">Atbilstoši veiktajiem aprēķiniem, kas balstīti uz augstāk minētajiem ierobežojumiem un pieņēmumiem, </w:t>
      </w:r>
      <w:proofErr w:type="spellStart"/>
      <w:r w:rsidRPr="00332BEF">
        <w:rPr>
          <w:rFonts w:eastAsia="Times New Roman" w:cs="Times New Roman"/>
          <w:bCs/>
          <w:color w:val="000000"/>
          <w:sz w:val="28"/>
          <w:szCs w:val="28"/>
          <w:lang w:eastAsia="lv-LV"/>
        </w:rPr>
        <w:t>energointensīvo</w:t>
      </w:r>
      <w:proofErr w:type="spellEnd"/>
      <w:r w:rsidRPr="00332BEF">
        <w:rPr>
          <w:rFonts w:eastAsia="Times New Roman" w:cs="Times New Roman"/>
          <w:bCs/>
          <w:color w:val="000000"/>
          <w:sz w:val="28"/>
          <w:szCs w:val="28"/>
          <w:lang w:eastAsia="lv-LV"/>
        </w:rPr>
        <w:t xml:space="preserve"> uzņēmumu izmaksas par elektroenerģiju samazināsies par 10-11%, atbilstoši pārējiem lietotājiem lineārā izlīdzinājuma gadījumā tās pieaugs par 1,0-1,2%.</w:t>
      </w:r>
    </w:p>
    <w:p w:rsidR="00332BEF" w:rsidRPr="00332BEF" w:rsidRDefault="00332BEF" w:rsidP="00332BEF">
      <w:pPr>
        <w:jc w:val="both"/>
        <w:rPr>
          <w:rFonts w:eastAsia="Times New Roman" w:cs="Times New Roman"/>
          <w:bCs/>
          <w:color w:val="000000"/>
          <w:sz w:val="28"/>
          <w:szCs w:val="28"/>
          <w:lang w:eastAsia="lv-LV"/>
        </w:rPr>
      </w:pPr>
    </w:p>
    <w:p w:rsidR="00332BEF" w:rsidRPr="00332BEF" w:rsidRDefault="00332BEF" w:rsidP="00332BEF">
      <w:pPr>
        <w:jc w:val="both"/>
        <w:rPr>
          <w:rFonts w:eastAsia="Times New Roman" w:cs="Times New Roman"/>
          <w:bCs/>
          <w:color w:val="000000"/>
          <w:sz w:val="28"/>
          <w:szCs w:val="28"/>
          <w:lang w:eastAsia="lv-LV"/>
        </w:rPr>
      </w:pPr>
      <w:r w:rsidRPr="00332BEF">
        <w:rPr>
          <w:rFonts w:eastAsia="Times New Roman" w:cs="Times New Roman"/>
          <w:bCs/>
          <w:color w:val="000000"/>
          <w:sz w:val="28"/>
          <w:szCs w:val="28"/>
          <w:lang w:eastAsia="lv-LV"/>
        </w:rPr>
        <w:tab/>
        <w:t>OIK atbrīvošanas mehānismu ieviešanai ir konsekventi veicami šādi pasākumi:</w:t>
      </w:r>
    </w:p>
    <w:p w:rsidR="00332BEF" w:rsidRPr="00332BEF" w:rsidRDefault="00332BEF" w:rsidP="00332BEF">
      <w:pPr>
        <w:pStyle w:val="ListParagraph"/>
        <w:numPr>
          <w:ilvl w:val="3"/>
          <w:numId w:val="1"/>
        </w:numPr>
        <w:ind w:left="1134"/>
        <w:jc w:val="both"/>
        <w:rPr>
          <w:rFonts w:eastAsia="Times New Roman" w:cs="Times New Roman"/>
          <w:bCs/>
          <w:color w:val="000000"/>
          <w:sz w:val="28"/>
          <w:szCs w:val="28"/>
          <w:lang w:eastAsia="lv-LV"/>
        </w:rPr>
      </w:pPr>
      <w:r w:rsidRPr="00332BEF">
        <w:rPr>
          <w:rFonts w:eastAsia="Times New Roman" w:cs="Times New Roman"/>
          <w:bCs/>
          <w:color w:val="000000"/>
          <w:sz w:val="28"/>
          <w:szCs w:val="28"/>
          <w:lang w:eastAsia="lv-LV"/>
        </w:rPr>
        <w:t>Mērķa auditorijas noteikšana, pamatojoties uz EK pamatnostādnēm, kā arī ievērojot aktuālo informāciju par patēriņa struktūru un tās nākotnes izmaiņām;</w:t>
      </w:r>
    </w:p>
    <w:p w:rsidR="00332BEF" w:rsidRPr="00332BEF" w:rsidRDefault="00332BEF" w:rsidP="00332BEF">
      <w:pPr>
        <w:pStyle w:val="ListParagraph"/>
        <w:numPr>
          <w:ilvl w:val="3"/>
          <w:numId w:val="1"/>
        </w:numPr>
        <w:ind w:left="1134"/>
        <w:jc w:val="both"/>
        <w:rPr>
          <w:rFonts w:eastAsia="Times New Roman" w:cs="Times New Roman"/>
          <w:bCs/>
          <w:color w:val="000000"/>
          <w:sz w:val="28"/>
          <w:szCs w:val="28"/>
          <w:lang w:eastAsia="lv-LV"/>
        </w:rPr>
      </w:pPr>
      <w:r w:rsidRPr="00332BEF">
        <w:rPr>
          <w:rFonts w:eastAsia="Times New Roman" w:cs="Times New Roman"/>
          <w:bCs/>
          <w:color w:val="000000"/>
          <w:sz w:val="28"/>
          <w:szCs w:val="28"/>
          <w:lang w:eastAsia="lv-LV"/>
        </w:rPr>
        <w:t>Latvijas subsīdiju shēmas saskaņošana ar EK, pamatojoties uz publicētajām pamatnostādnēm;</w:t>
      </w:r>
    </w:p>
    <w:p w:rsidR="00332BEF" w:rsidRPr="00332BEF" w:rsidRDefault="00332BEF" w:rsidP="00332BEF">
      <w:pPr>
        <w:pStyle w:val="ListParagraph"/>
        <w:numPr>
          <w:ilvl w:val="3"/>
          <w:numId w:val="1"/>
        </w:numPr>
        <w:ind w:left="1134"/>
        <w:jc w:val="both"/>
        <w:rPr>
          <w:rFonts w:eastAsia="Times New Roman" w:cs="Times New Roman"/>
          <w:bCs/>
          <w:color w:val="000000"/>
          <w:sz w:val="28"/>
          <w:szCs w:val="28"/>
          <w:lang w:eastAsia="lv-LV"/>
        </w:rPr>
      </w:pPr>
      <w:r w:rsidRPr="00332BEF">
        <w:rPr>
          <w:rFonts w:eastAsia="Times New Roman" w:cs="Times New Roman"/>
          <w:bCs/>
          <w:color w:val="000000"/>
          <w:sz w:val="28"/>
          <w:szCs w:val="28"/>
          <w:lang w:eastAsia="lv-LV"/>
        </w:rPr>
        <w:t>Lēmumu pieņemšana par OIK sadalījumu starp citām lietotāju kategorijām, modelējot tādu iznākumu, kas nodrošinātu efektīvāku risinājumu no cenu konkurētspējas un sabiedrības interešu viedokļa.</w:t>
      </w:r>
    </w:p>
    <w:p w:rsidR="00CA3BE3" w:rsidRPr="00332BEF" w:rsidRDefault="00CA3BE3">
      <w:pPr>
        <w:rPr>
          <w:sz w:val="28"/>
          <w:szCs w:val="28"/>
        </w:rPr>
      </w:pPr>
    </w:p>
    <w:sectPr w:rsidR="00CA3BE3" w:rsidRPr="00332BEF" w:rsidSect="001657F3">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45" w:rsidRDefault="00125C45" w:rsidP="00332BEF">
      <w:r>
        <w:separator/>
      </w:r>
    </w:p>
  </w:endnote>
  <w:endnote w:type="continuationSeparator" w:id="0">
    <w:p w:rsidR="00125C45" w:rsidRDefault="00125C45" w:rsidP="0033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45" w:rsidRDefault="00125C45" w:rsidP="00332BEF">
      <w:r>
        <w:separator/>
      </w:r>
    </w:p>
  </w:footnote>
  <w:footnote w:type="continuationSeparator" w:id="0">
    <w:p w:rsidR="00125C45" w:rsidRDefault="00125C45" w:rsidP="00332BEF">
      <w:r>
        <w:continuationSeparator/>
      </w:r>
    </w:p>
  </w:footnote>
  <w:footnote w:id="1">
    <w:p w:rsidR="00332BEF" w:rsidRDefault="00332BEF" w:rsidP="00332BEF">
      <w:pPr>
        <w:pStyle w:val="FootnoteText"/>
      </w:pPr>
      <w:r>
        <w:rPr>
          <w:rStyle w:val="FootnoteReference"/>
        </w:rPr>
        <w:footnoteRef/>
      </w:r>
      <w:r>
        <w:t xml:space="preserve"> Informācija par ierosināto lietu - </w:t>
      </w:r>
      <w:r w:rsidRPr="003818BD">
        <w:t>http://ec.europa.eu/competition/elojade/isef/case_details.cfm?</w:t>
      </w:r>
      <w:r>
        <w:t xml:space="preserve"> </w:t>
      </w:r>
      <w:r w:rsidRPr="003818BD">
        <w:t>proc_code=3_SA_33995</w:t>
      </w:r>
    </w:p>
  </w:footnote>
  <w:footnote w:id="2">
    <w:p w:rsidR="00332BEF" w:rsidRDefault="00332BEF" w:rsidP="00332BEF">
      <w:pPr>
        <w:pStyle w:val="FootnoteText"/>
      </w:pPr>
      <w:r>
        <w:rPr>
          <w:rStyle w:val="FootnoteReference"/>
        </w:rPr>
        <w:footnoteRef/>
      </w:r>
      <w:r>
        <w:t xml:space="preserve"> </w:t>
      </w:r>
      <w:r w:rsidRPr="007F3FBF">
        <w:t xml:space="preserve">Eiropas Komisijas 2011.gada 8.marta lēmums lietā: </w:t>
      </w:r>
      <w:proofErr w:type="spellStart"/>
      <w:r w:rsidRPr="007F3FBF">
        <w:rPr>
          <w:i/>
        </w:rPr>
        <w:t>State</w:t>
      </w:r>
      <w:proofErr w:type="spellEnd"/>
      <w:r w:rsidRPr="007F3FBF">
        <w:rPr>
          <w:i/>
        </w:rPr>
        <w:t xml:space="preserve"> </w:t>
      </w:r>
      <w:proofErr w:type="spellStart"/>
      <w:r w:rsidRPr="007F3FBF">
        <w:rPr>
          <w:i/>
        </w:rPr>
        <w:t>aid</w:t>
      </w:r>
      <w:proofErr w:type="spellEnd"/>
      <w:r w:rsidRPr="007F3FBF">
        <w:rPr>
          <w:i/>
        </w:rPr>
        <w:t xml:space="preserve"> </w:t>
      </w:r>
      <w:proofErr w:type="spellStart"/>
      <w:r w:rsidRPr="007F3FBF">
        <w:rPr>
          <w:i/>
        </w:rPr>
        <w:t>measure</w:t>
      </w:r>
      <w:proofErr w:type="spellEnd"/>
      <w:r w:rsidRPr="007F3FBF">
        <w:rPr>
          <w:i/>
        </w:rPr>
        <w:t xml:space="preserve"> No C 24/2009 (</w:t>
      </w:r>
      <w:proofErr w:type="spellStart"/>
      <w:r w:rsidRPr="007F3FBF">
        <w:rPr>
          <w:i/>
        </w:rPr>
        <w:t>ex</w:t>
      </w:r>
      <w:proofErr w:type="spellEnd"/>
      <w:r w:rsidRPr="007F3FBF">
        <w:rPr>
          <w:i/>
        </w:rPr>
        <w:t xml:space="preserve"> N 446/2008), </w:t>
      </w:r>
      <w:proofErr w:type="spellStart"/>
      <w:r w:rsidRPr="007F3FBF">
        <w:rPr>
          <w:i/>
        </w:rPr>
        <w:t>State</w:t>
      </w:r>
      <w:proofErr w:type="spellEnd"/>
      <w:r w:rsidRPr="007F3FBF">
        <w:rPr>
          <w:i/>
        </w:rPr>
        <w:t xml:space="preserve"> </w:t>
      </w:r>
      <w:proofErr w:type="spellStart"/>
      <w:r w:rsidRPr="007F3FBF">
        <w:rPr>
          <w:i/>
        </w:rPr>
        <w:t>aid</w:t>
      </w:r>
      <w:proofErr w:type="spellEnd"/>
      <w:r w:rsidRPr="007F3FBF">
        <w:rPr>
          <w:i/>
        </w:rPr>
        <w:t xml:space="preserve"> </w:t>
      </w:r>
      <w:proofErr w:type="spellStart"/>
      <w:r w:rsidRPr="007F3FBF">
        <w:rPr>
          <w:i/>
        </w:rPr>
        <w:t>for</w:t>
      </w:r>
      <w:proofErr w:type="spellEnd"/>
      <w:r w:rsidRPr="007F3FBF">
        <w:rPr>
          <w:i/>
        </w:rPr>
        <w:t xml:space="preserve"> </w:t>
      </w:r>
      <w:proofErr w:type="spellStart"/>
      <w:r w:rsidRPr="007F3FBF">
        <w:rPr>
          <w:i/>
        </w:rPr>
        <w:t>energy-intensive</w:t>
      </w:r>
      <w:proofErr w:type="spellEnd"/>
      <w:r w:rsidRPr="007F3FBF">
        <w:rPr>
          <w:i/>
        </w:rPr>
        <w:t xml:space="preserve"> </w:t>
      </w:r>
      <w:proofErr w:type="spellStart"/>
      <w:r w:rsidRPr="007F3FBF">
        <w:rPr>
          <w:i/>
        </w:rPr>
        <w:t>businesses</w:t>
      </w:r>
      <w:proofErr w:type="spellEnd"/>
      <w:r w:rsidRPr="007F3FBF">
        <w:rPr>
          <w:i/>
        </w:rPr>
        <w:t xml:space="preserve"> </w:t>
      </w:r>
      <w:proofErr w:type="spellStart"/>
      <w:r w:rsidRPr="007F3FBF">
        <w:rPr>
          <w:i/>
        </w:rPr>
        <w:t>under</w:t>
      </w:r>
      <w:proofErr w:type="spellEnd"/>
      <w:r w:rsidRPr="007F3FBF">
        <w:rPr>
          <w:i/>
        </w:rPr>
        <w:t xml:space="preserve"> </w:t>
      </w:r>
      <w:proofErr w:type="spellStart"/>
      <w:r w:rsidRPr="007F3FBF">
        <w:rPr>
          <w:i/>
        </w:rPr>
        <w:t>the</w:t>
      </w:r>
      <w:proofErr w:type="spellEnd"/>
      <w:r w:rsidRPr="007F3FBF">
        <w:rPr>
          <w:i/>
        </w:rPr>
        <w:t xml:space="preserve"> </w:t>
      </w:r>
      <w:proofErr w:type="spellStart"/>
      <w:r w:rsidRPr="007F3FBF">
        <w:rPr>
          <w:i/>
        </w:rPr>
        <w:t>Green</w:t>
      </w:r>
      <w:proofErr w:type="spellEnd"/>
      <w:r w:rsidRPr="007F3FBF">
        <w:rPr>
          <w:i/>
        </w:rPr>
        <w:t xml:space="preserve"> </w:t>
      </w:r>
      <w:proofErr w:type="spellStart"/>
      <w:r w:rsidRPr="007F3FBF">
        <w:rPr>
          <w:i/>
        </w:rPr>
        <w:t>Electricity</w:t>
      </w:r>
      <w:proofErr w:type="spellEnd"/>
      <w:r w:rsidRPr="007F3FBF">
        <w:rPr>
          <w:i/>
        </w:rPr>
        <w:t xml:space="preserve"> </w:t>
      </w:r>
      <w:proofErr w:type="spellStart"/>
      <w:r w:rsidRPr="007F3FBF">
        <w:rPr>
          <w:i/>
        </w:rPr>
        <w:t>Act</w:t>
      </w:r>
      <w:proofErr w:type="spellEnd"/>
      <w:r w:rsidRPr="007F3FBF">
        <w:rPr>
          <w:i/>
        </w:rPr>
        <w:t xml:space="preserve"> </w:t>
      </w:r>
      <w:proofErr w:type="spellStart"/>
      <w:r w:rsidRPr="007F3FBF">
        <w:rPr>
          <w:i/>
        </w:rPr>
        <w:t>in</w:t>
      </w:r>
      <w:proofErr w:type="spellEnd"/>
      <w:r w:rsidRPr="007F3FBF">
        <w:rPr>
          <w:i/>
        </w:rPr>
        <w:t xml:space="preserve"> </w:t>
      </w:r>
      <w:proofErr w:type="spellStart"/>
      <w:r w:rsidRPr="007F3FBF">
        <w:rPr>
          <w:i/>
        </w:rPr>
        <w:t>Austria</w:t>
      </w:r>
      <w:proofErr w:type="spellEnd"/>
    </w:p>
  </w:footnote>
  <w:footnote w:id="3">
    <w:p w:rsidR="00332BEF" w:rsidRDefault="00332BEF" w:rsidP="00332BEF">
      <w:pPr>
        <w:pStyle w:val="FootnoteText"/>
      </w:pPr>
      <w:r>
        <w:rPr>
          <w:rStyle w:val="FootnoteReference"/>
        </w:rPr>
        <w:footnoteRef/>
      </w:r>
      <w:r>
        <w:t xml:space="preserve"> </w:t>
      </w:r>
      <w:r w:rsidRPr="007F3FBF">
        <w:t xml:space="preserve">Eiropas Komisijas 2012. gada 8. februāra lēmums lietā: </w:t>
      </w:r>
      <w:proofErr w:type="spellStart"/>
      <w:r w:rsidRPr="007F3FBF">
        <w:rPr>
          <w:i/>
        </w:rPr>
        <w:t>State</w:t>
      </w:r>
      <w:proofErr w:type="spellEnd"/>
      <w:r w:rsidRPr="007F3FBF">
        <w:rPr>
          <w:i/>
        </w:rPr>
        <w:t xml:space="preserve"> </w:t>
      </w:r>
      <w:proofErr w:type="spellStart"/>
      <w:r w:rsidRPr="007F3FBF">
        <w:rPr>
          <w:i/>
        </w:rPr>
        <w:t>aid</w:t>
      </w:r>
      <w:proofErr w:type="spellEnd"/>
      <w:r w:rsidRPr="007F3FBF">
        <w:rPr>
          <w:i/>
        </w:rPr>
        <w:t xml:space="preserve"> SA.33384 (2011/N) – </w:t>
      </w:r>
      <w:proofErr w:type="spellStart"/>
      <w:r w:rsidRPr="007F3FBF">
        <w:rPr>
          <w:i/>
        </w:rPr>
        <w:t>Austria</w:t>
      </w:r>
      <w:proofErr w:type="spellEnd"/>
      <w:r w:rsidRPr="007F3FBF">
        <w:rPr>
          <w:i/>
        </w:rPr>
        <w:t xml:space="preserve"> </w:t>
      </w:r>
      <w:proofErr w:type="spellStart"/>
      <w:r w:rsidRPr="007F3FBF">
        <w:rPr>
          <w:i/>
        </w:rPr>
        <w:t>Ökostromgesetz</w:t>
      </w:r>
      <w:proofErr w:type="spellEnd"/>
      <w:r w:rsidRPr="007F3FBF">
        <w:rPr>
          <w:i/>
        </w:rPr>
        <w:t xml:space="preserve"> 2012 (</w:t>
      </w:r>
      <w:proofErr w:type="spellStart"/>
      <w:r w:rsidRPr="007F3FBF">
        <w:rPr>
          <w:i/>
        </w:rPr>
        <w:t>Green</w:t>
      </w:r>
      <w:proofErr w:type="spellEnd"/>
      <w:r w:rsidRPr="007F3FBF">
        <w:rPr>
          <w:i/>
        </w:rPr>
        <w:t xml:space="preserve"> </w:t>
      </w:r>
      <w:proofErr w:type="spellStart"/>
      <w:r w:rsidRPr="007F3FBF">
        <w:rPr>
          <w:i/>
        </w:rPr>
        <w:t>Electricity</w:t>
      </w:r>
      <w:proofErr w:type="spellEnd"/>
      <w:r w:rsidRPr="007F3FBF">
        <w:rPr>
          <w:i/>
        </w:rPr>
        <w:t xml:space="preserve"> </w:t>
      </w:r>
      <w:proofErr w:type="spellStart"/>
      <w:r w:rsidRPr="007F3FBF">
        <w:rPr>
          <w:i/>
        </w:rPr>
        <w:t>Act</w:t>
      </w:r>
      <w:proofErr w:type="spellEnd"/>
      <w:r w:rsidRPr="007F3FBF">
        <w:rPr>
          <w:i/>
        </w:rPr>
        <w:t xml:space="preserve"> 2012)</w:t>
      </w:r>
    </w:p>
  </w:footnote>
  <w:footnote w:id="4">
    <w:p w:rsidR="00332BEF" w:rsidRDefault="00332BEF" w:rsidP="00332BEF">
      <w:pPr>
        <w:pStyle w:val="FootnoteText"/>
      </w:pPr>
      <w:r w:rsidRPr="001519DB">
        <w:rPr>
          <w:rStyle w:val="FootnoteReference"/>
          <w:color w:val="000000" w:themeColor="text1"/>
        </w:rPr>
        <w:footnoteRef/>
      </w:r>
      <w:r w:rsidRPr="001519DB">
        <w:rPr>
          <w:color w:val="000000" w:themeColor="text1"/>
        </w:rPr>
        <w:t xml:space="preserve"> </w:t>
      </w:r>
      <w:hyperlink r:id="rId1" w:history="1">
        <w:r w:rsidRPr="001519DB">
          <w:rPr>
            <w:rStyle w:val="Hyperlink"/>
            <w:color w:val="000000" w:themeColor="text1"/>
          </w:rPr>
          <w:t>http://eur-lex.europa.eu/legal-content/EN/TXT/HTML/?uri=OJ:C:2014:200:FULL&amp;from=EN</w:t>
        </w:r>
      </w:hyperlink>
      <w:r w:rsidRPr="001519DB">
        <w:rPr>
          <w:color w:val="000000" w:themeColor="text1"/>
        </w:rPr>
        <w:t xml:space="preserve"> </w:t>
      </w:r>
    </w:p>
  </w:footnote>
  <w:footnote w:id="5">
    <w:p w:rsidR="00332BEF" w:rsidRDefault="00332BEF" w:rsidP="00332BEF">
      <w:pPr>
        <w:pStyle w:val="FootnoteText"/>
      </w:pPr>
      <w:r>
        <w:rPr>
          <w:rStyle w:val="FootnoteReference"/>
        </w:rPr>
        <w:footnoteRef/>
      </w:r>
      <w:r>
        <w:t xml:space="preserve"> </w:t>
      </w:r>
      <w:r w:rsidRPr="00DF774B">
        <w:t>http://www.latvenergo.lv/lat/oik/obligata_iepirkuma_komponente/subsidiju_sadalijums_elektroenergijas_razosanai_latvija/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3AC1"/>
    <w:multiLevelType w:val="hybridMultilevel"/>
    <w:tmpl w:val="E08AC49E"/>
    <w:lvl w:ilvl="0" w:tplc="B3C042D6">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9B186A50">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9C504C"/>
    <w:multiLevelType w:val="hybridMultilevel"/>
    <w:tmpl w:val="8E1AEF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6114617"/>
    <w:multiLevelType w:val="hybridMultilevel"/>
    <w:tmpl w:val="417A3A92"/>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EF"/>
    <w:rsid w:val="00125C45"/>
    <w:rsid w:val="001657F3"/>
    <w:rsid w:val="002B1C9E"/>
    <w:rsid w:val="00332BEF"/>
    <w:rsid w:val="00425B72"/>
    <w:rsid w:val="0048377D"/>
    <w:rsid w:val="00637795"/>
    <w:rsid w:val="007179A2"/>
    <w:rsid w:val="007E6E78"/>
    <w:rsid w:val="00CA3BE3"/>
    <w:rsid w:val="00F71D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D8A"/>
    <w:pPr>
      <w:ind w:left="720"/>
      <w:contextualSpacing/>
    </w:pPr>
  </w:style>
  <w:style w:type="character" w:styleId="Hyperlink">
    <w:name w:val="Hyperlink"/>
    <w:basedOn w:val="DefaultParagraphFont"/>
    <w:uiPriority w:val="99"/>
    <w:unhideWhenUsed/>
    <w:rsid w:val="00332BEF"/>
    <w:rPr>
      <w:color w:val="0000FF"/>
      <w:u w:val="single"/>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332BEF"/>
    <w:pPr>
      <w:ind w:firstLine="720"/>
      <w:jc w:val="both"/>
    </w:pPr>
    <w:rPr>
      <w:rFonts w:cs="Times New Roman"/>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332BEF"/>
    <w:rPr>
      <w:rFonts w:cs="Times New Roman"/>
      <w:sz w:val="20"/>
      <w:szCs w:val="20"/>
    </w:rPr>
  </w:style>
  <w:style w:type="character" w:styleId="FootnoteReference">
    <w:name w:val="footnote reference"/>
    <w:aliases w:val="Footnote Reference Number,SUPERS,Footnote symbol,Stinking Styles22,BVI fnr,Footnote Reference Superscript,(Footnote Reference),Footnote reference number,note TESI,EN Footnote Reference,Voetnootverwijzing,Times 10 Point,No"/>
    <w:basedOn w:val="DefaultParagraphFont"/>
    <w:uiPriority w:val="99"/>
    <w:unhideWhenUsed/>
    <w:rsid w:val="00332BEF"/>
    <w:rPr>
      <w:vertAlign w:val="superscript"/>
    </w:rPr>
  </w:style>
  <w:style w:type="table" w:styleId="TableGrid">
    <w:name w:val="Table Grid"/>
    <w:basedOn w:val="TableNormal"/>
    <w:uiPriority w:val="59"/>
    <w:rsid w:val="00332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BEF"/>
    <w:rPr>
      <w:rFonts w:ascii="Tahoma" w:hAnsi="Tahoma" w:cs="Tahoma"/>
      <w:sz w:val="16"/>
      <w:szCs w:val="16"/>
    </w:rPr>
  </w:style>
  <w:style w:type="character" w:customStyle="1" w:styleId="BalloonTextChar">
    <w:name w:val="Balloon Text Char"/>
    <w:basedOn w:val="DefaultParagraphFont"/>
    <w:link w:val="BalloonText"/>
    <w:uiPriority w:val="99"/>
    <w:semiHidden/>
    <w:rsid w:val="00332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D8A"/>
    <w:pPr>
      <w:ind w:left="720"/>
      <w:contextualSpacing/>
    </w:pPr>
  </w:style>
  <w:style w:type="character" w:styleId="Hyperlink">
    <w:name w:val="Hyperlink"/>
    <w:basedOn w:val="DefaultParagraphFont"/>
    <w:uiPriority w:val="99"/>
    <w:unhideWhenUsed/>
    <w:rsid w:val="00332BEF"/>
    <w:rPr>
      <w:color w:val="0000FF"/>
      <w:u w:val="single"/>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332BEF"/>
    <w:pPr>
      <w:ind w:firstLine="720"/>
      <w:jc w:val="both"/>
    </w:pPr>
    <w:rPr>
      <w:rFonts w:cs="Times New Roman"/>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332BEF"/>
    <w:rPr>
      <w:rFonts w:cs="Times New Roman"/>
      <w:sz w:val="20"/>
      <w:szCs w:val="20"/>
    </w:rPr>
  </w:style>
  <w:style w:type="character" w:styleId="FootnoteReference">
    <w:name w:val="footnote reference"/>
    <w:aliases w:val="Footnote Reference Number,SUPERS,Footnote symbol,Stinking Styles22,BVI fnr,Footnote Reference Superscript,(Footnote Reference),Footnote reference number,note TESI,EN Footnote Reference,Voetnootverwijzing,Times 10 Point,No"/>
    <w:basedOn w:val="DefaultParagraphFont"/>
    <w:uiPriority w:val="99"/>
    <w:unhideWhenUsed/>
    <w:rsid w:val="00332BEF"/>
    <w:rPr>
      <w:vertAlign w:val="superscript"/>
    </w:rPr>
  </w:style>
  <w:style w:type="table" w:styleId="TableGrid">
    <w:name w:val="Table Grid"/>
    <w:basedOn w:val="TableNormal"/>
    <w:uiPriority w:val="59"/>
    <w:rsid w:val="00332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BEF"/>
    <w:rPr>
      <w:rFonts w:ascii="Tahoma" w:hAnsi="Tahoma" w:cs="Tahoma"/>
      <w:sz w:val="16"/>
      <w:szCs w:val="16"/>
    </w:rPr>
  </w:style>
  <w:style w:type="character" w:customStyle="1" w:styleId="BalloonTextChar">
    <w:name w:val="Balloon Text Char"/>
    <w:basedOn w:val="DefaultParagraphFont"/>
    <w:link w:val="BalloonText"/>
    <w:uiPriority w:val="99"/>
    <w:semiHidden/>
    <w:rsid w:val="00332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HTML/?uri=OJ:C:2014:200:FULL&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9045</Words>
  <Characters>5156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Spiridonovs</dc:creator>
  <cp:lastModifiedBy>Ingars Sils</cp:lastModifiedBy>
  <cp:revision>5</cp:revision>
  <dcterms:created xsi:type="dcterms:W3CDTF">2014-09-15T12:39:00Z</dcterms:created>
  <dcterms:modified xsi:type="dcterms:W3CDTF">2014-09-19T13:13:00Z</dcterms:modified>
</cp:coreProperties>
</file>