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24" w:rsidRDefault="00E72824" w:rsidP="00E72824">
      <w:pPr>
        <w:jc w:val="right"/>
      </w:pPr>
      <w:bookmarkStart w:id="0" w:name="_Toc394679722"/>
      <w:r>
        <w:t>Pielikums Nr.</w:t>
      </w:r>
      <w:r w:rsidR="00E84BC0">
        <w:t>4</w:t>
      </w:r>
    </w:p>
    <w:p w:rsidR="00E72824" w:rsidRPr="00F770E7" w:rsidRDefault="00E72824" w:rsidP="00E72824">
      <w:pPr>
        <w:pStyle w:val="Heading1"/>
        <w:ind w:left="720"/>
        <w:jc w:val="center"/>
      </w:pPr>
      <w:r w:rsidRPr="00F770E7">
        <w:t>Sasaiste ar citiem plānošanas dokumentiem</w:t>
      </w:r>
      <w:bookmarkEnd w:id="0"/>
    </w:p>
    <w:p w:rsidR="00E72824" w:rsidRDefault="00E72824" w:rsidP="00E72824">
      <w:pPr>
        <w:ind w:firstLine="720"/>
        <w:jc w:val="both"/>
        <w:rPr>
          <w:szCs w:val="28"/>
        </w:rPr>
      </w:pPr>
      <w:r>
        <w:t>Enerģētikas pamatnostādnes ir saistītas ES un nacionālā līmeņa politiskās plānošanas dokumentiem, no kuriem aktuālākie nacionālā līmenī ir</w:t>
      </w:r>
      <w:r w:rsidRPr="007978EF">
        <w:rPr>
          <w:szCs w:val="28"/>
        </w:rPr>
        <w:t xml:space="preserve">: </w:t>
      </w:r>
      <w:r w:rsidRPr="007978EF">
        <w:rPr>
          <w:rFonts w:eastAsia="Times New Roman" w:cs="Times New Roman"/>
          <w:szCs w:val="28"/>
          <w:lang w:eastAsia="lv-LV"/>
        </w:rPr>
        <w:t>„Latvijas Ilgtspējīgas attīstības stratēģija līdz 2030.gadam”,  Latvijas nacionālā reformu programma „ES 2020”stratēģijas īstenošanai</w:t>
      </w:r>
      <w:r>
        <w:rPr>
          <w:rFonts w:eastAsia="Times New Roman" w:cs="Times New Roman"/>
          <w:szCs w:val="28"/>
          <w:lang w:eastAsia="lv-LV"/>
        </w:rPr>
        <w:t xml:space="preserve">, </w:t>
      </w:r>
      <w:r w:rsidRPr="007978EF">
        <w:rPr>
          <w:rFonts w:eastAsia="Times New Roman" w:cs="Times New Roman"/>
          <w:szCs w:val="28"/>
          <w:lang w:eastAsia="lv-LV"/>
        </w:rPr>
        <w:t>„Latvijas Nacionālais attīstības plāns 2014.-2020.gadam” un „Latvijas Enerģētikas ilgtermiņa stratēģija 2030 – konkurētspējīga enerģētika sabiedrībai”</w:t>
      </w:r>
      <w:r>
        <w:rPr>
          <w:rFonts w:eastAsia="Times New Roman" w:cs="Times New Roman"/>
          <w:szCs w:val="28"/>
          <w:lang w:eastAsia="lv-LV"/>
        </w:rPr>
        <w:t>. Tāpat, atsevišķi Pamatnostādņu  politikas mērķi un principi sasaucas arī ar citu jomu vidēja termiņa politiskās plānošanas dokumentiem – tādiem kā „</w:t>
      </w:r>
      <w:r w:rsidRPr="007978EF">
        <w:rPr>
          <w:szCs w:val="28"/>
        </w:rPr>
        <w:t>Nacionālās industriālās politikas pamatnostādnes 2014.-2020.gadam</w:t>
      </w:r>
      <w:r>
        <w:rPr>
          <w:szCs w:val="28"/>
        </w:rPr>
        <w:t>” un „</w:t>
      </w:r>
      <w:r w:rsidRPr="007978EF">
        <w:rPr>
          <w:szCs w:val="28"/>
        </w:rPr>
        <w:t>Transporta attīstības pamatnostādnes 2014.-2020.gadam</w:t>
      </w:r>
      <w:r>
        <w:rPr>
          <w:szCs w:val="28"/>
        </w:rPr>
        <w:t>”.</w:t>
      </w:r>
    </w:p>
    <w:p w:rsidR="00E72824" w:rsidRPr="003F7B34" w:rsidRDefault="00E72824" w:rsidP="00E72824">
      <w:pPr>
        <w:spacing w:after="120"/>
        <w:ind w:firstLine="644"/>
        <w:jc w:val="both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 xml:space="preserve">ES politiskās plānošanas dokumentu jomā </w:t>
      </w:r>
      <w:r w:rsidRPr="003F7B34">
        <w:rPr>
          <w:szCs w:val="28"/>
        </w:rPr>
        <w:t>ar Pamatnostādn</w:t>
      </w:r>
      <w:r>
        <w:rPr>
          <w:szCs w:val="28"/>
        </w:rPr>
        <w:t>ēm</w:t>
      </w:r>
      <w:r w:rsidRPr="003F7B34">
        <w:rPr>
          <w:szCs w:val="28"/>
        </w:rPr>
        <w:t xml:space="preserve"> ir </w:t>
      </w:r>
      <w:r>
        <w:rPr>
          <w:szCs w:val="28"/>
        </w:rPr>
        <w:t xml:space="preserve">saistīti gan vidēja, gan ilga plānošanas perioda dokumenti, tādi kā: </w:t>
      </w:r>
      <w:r w:rsidRPr="003F7B34">
        <w:rPr>
          <w:szCs w:val="28"/>
        </w:rPr>
        <w:t>„</w:t>
      </w:r>
      <w:r w:rsidRPr="003F7B34">
        <w:rPr>
          <w:rFonts w:eastAsia="Times New Roman" w:cs="Times New Roman"/>
          <w:szCs w:val="28"/>
          <w:lang w:eastAsia="lv-LV"/>
        </w:rPr>
        <w:t xml:space="preserve">Enerģētikas ceļvedis līdz 2050.gadam”, „Klimata un enerģijas mērķi konkurētspējīgai un drošai </w:t>
      </w:r>
      <w:r>
        <w:rPr>
          <w:rFonts w:eastAsia="Times New Roman" w:cs="Times New Roman"/>
          <w:szCs w:val="28"/>
          <w:lang w:eastAsia="lv-LV"/>
        </w:rPr>
        <w:t xml:space="preserve">zema </w:t>
      </w:r>
      <w:r w:rsidRPr="003F7B34">
        <w:rPr>
          <w:rFonts w:eastAsia="Times New Roman" w:cs="Times New Roman"/>
          <w:szCs w:val="28"/>
          <w:lang w:eastAsia="lv-LV"/>
        </w:rPr>
        <w:t xml:space="preserve">oglekļa ES ekonomikai līdz 2030. gadam”, „Eiropa 2020 – Stratēģija gudrai, ilgtspējīgai un integrējošai izaugsmei”, „Atjaunojamie energoresursi pēc 2020. gada — izaugsmes plāns”.  </w:t>
      </w:r>
      <w:r>
        <w:rPr>
          <w:rFonts w:eastAsia="Times New Roman" w:cs="Times New Roman"/>
          <w:szCs w:val="28"/>
          <w:lang w:eastAsia="lv-LV"/>
        </w:rPr>
        <w:t xml:space="preserve">Saistīto politiskās plānošanas dokumentu galveno uzstādījumu kopsavilkums </w:t>
      </w:r>
      <w:r w:rsidRPr="001F62A4">
        <w:rPr>
          <w:rFonts w:eastAsia="Times New Roman" w:cs="Times New Roman"/>
          <w:szCs w:val="28"/>
          <w:lang w:eastAsia="lv-LV"/>
        </w:rPr>
        <w:t xml:space="preserve">apkopots </w:t>
      </w:r>
      <w:r w:rsidRPr="00847A8C">
        <w:rPr>
          <w:rFonts w:eastAsia="Times New Roman" w:cs="Times New Roman"/>
          <w:szCs w:val="28"/>
          <w:lang w:eastAsia="lv-LV"/>
        </w:rPr>
        <w:t>tabulā</w:t>
      </w:r>
      <w:r w:rsidRPr="001F62A4">
        <w:rPr>
          <w:rFonts w:eastAsia="Times New Roman" w:cs="Times New Roman"/>
          <w:szCs w:val="28"/>
          <w:lang w:eastAsia="lv-LV"/>
        </w:rPr>
        <w:t>.</w:t>
      </w:r>
    </w:p>
    <w:p w:rsidR="00E72824" w:rsidRDefault="00E72824" w:rsidP="00E72824">
      <w:pPr>
        <w:spacing w:after="60"/>
        <w:jc w:val="both"/>
        <w:rPr>
          <w:b/>
        </w:rPr>
      </w:pPr>
    </w:p>
    <w:p w:rsidR="00E72824" w:rsidRDefault="00E72824" w:rsidP="00E72824">
      <w:pPr>
        <w:spacing w:after="60"/>
        <w:jc w:val="center"/>
        <w:rPr>
          <w:b/>
        </w:rPr>
      </w:pPr>
      <w:r>
        <w:rPr>
          <w:b/>
        </w:rPr>
        <w:t>Sasaiste ar citiem plānošanas dokumentiem</w:t>
      </w:r>
    </w:p>
    <w:p w:rsidR="00E72824" w:rsidRDefault="00E72824" w:rsidP="00E72824">
      <w:pPr>
        <w:spacing w:after="6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153"/>
        <w:gridCol w:w="1276"/>
        <w:gridCol w:w="1275"/>
        <w:gridCol w:w="4111"/>
      </w:tblGrid>
      <w:tr w:rsidR="00E72824" w:rsidRPr="00FB5563" w:rsidTr="0028309C">
        <w:trPr>
          <w:tblHeader/>
        </w:trPr>
        <w:tc>
          <w:tcPr>
            <w:tcW w:w="507" w:type="dxa"/>
          </w:tcPr>
          <w:p w:rsidR="00E72824" w:rsidRPr="00FB5563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proofErr w:type="spellStart"/>
            <w:r w:rsidRPr="00FB5563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N.p.k</w:t>
            </w:r>
            <w:proofErr w:type="spellEnd"/>
            <w:r w:rsidRPr="00FB5563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153" w:type="dxa"/>
          </w:tcPr>
          <w:p w:rsidR="00E72824" w:rsidRPr="00FB5563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FB5563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</w:tcPr>
          <w:p w:rsidR="00E72824" w:rsidRPr="00FB5563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FB5563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 xml:space="preserve">Kas </w:t>
            </w:r>
            <w:r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 xml:space="preserve">un kad </w:t>
            </w:r>
            <w:r w:rsidRPr="00FB5563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apstiprinājis</w:t>
            </w:r>
          </w:p>
        </w:tc>
        <w:tc>
          <w:tcPr>
            <w:tcW w:w="1275" w:type="dxa"/>
          </w:tcPr>
          <w:p w:rsidR="00E72824" w:rsidRPr="00FB5563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FB5563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Darbības termiņš</w:t>
            </w:r>
          </w:p>
        </w:tc>
        <w:tc>
          <w:tcPr>
            <w:tcW w:w="4111" w:type="dxa"/>
          </w:tcPr>
          <w:p w:rsidR="00E72824" w:rsidRPr="00FB5563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 xml:space="preserve">Galvenie uzstādījumi </w:t>
            </w:r>
          </w:p>
        </w:tc>
      </w:tr>
      <w:tr w:rsidR="00E72824" w:rsidRPr="00FB5563" w:rsidTr="0028309C">
        <w:trPr>
          <w:tblHeader/>
        </w:trPr>
        <w:tc>
          <w:tcPr>
            <w:tcW w:w="507" w:type="dxa"/>
          </w:tcPr>
          <w:p w:rsidR="00E72824" w:rsidRPr="00FB5563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4704" w:type="dxa"/>
            <w:gridSpan w:val="3"/>
          </w:tcPr>
          <w:p w:rsidR="00E72824" w:rsidRPr="00C93C7D" w:rsidRDefault="00E72824" w:rsidP="0028309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C93C7D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 xml:space="preserve">ES politikas plānošanas dokumenti </w:t>
            </w:r>
          </w:p>
        </w:tc>
        <w:tc>
          <w:tcPr>
            <w:tcW w:w="4111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2153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Enerģētikas ceļvedis līdz 2050.gadam </w:t>
            </w:r>
          </w:p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EK paziņojums, 15.12.2011.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ES Padomes secinājumi </w:t>
            </w:r>
          </w:p>
        </w:tc>
        <w:tc>
          <w:tcPr>
            <w:tcW w:w="1275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Līdz 2050.gadam </w:t>
            </w:r>
          </w:p>
        </w:tc>
        <w:tc>
          <w:tcPr>
            <w:tcW w:w="4111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Līdz 2050. gadam samazināt emisijas 80%-95% salīdzinot ar 1990.gada līmeni.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Klimata un enerģijas mērķi konkurētspējīgai un drošai </w:t>
            </w:r>
            <w:proofErr w:type="spellStart"/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mazog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lekļa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ES ekonomikai līdz 2030. g</w:t>
            </w: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adam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6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EK paziņojums, 22.01.2014.</w:t>
            </w:r>
          </w:p>
        </w:tc>
        <w:tc>
          <w:tcPr>
            <w:tcW w:w="1275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Līdz 2030.gadam</w:t>
            </w:r>
          </w:p>
        </w:tc>
        <w:tc>
          <w:tcPr>
            <w:tcW w:w="4111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-Juridiski saistošs mērķis samazināt siltumnīcefekta gāzu (SEG) emisijas par 40 % salīdzinājumā ar 1990. gada līmeni. 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-ES mērogā saistošs mērķis panākt, lai atjaunojamās enerģijas īpatsvars būtu vismaz 27 %, dalībvalstīm nav paredzēti obligāti mērķi. 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-Uzlabota energoefektivitāte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-ES ETS reforma. 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-Uz konkurenci balstīta un droša energoapgāde par pieņemamām cenām. 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-Ierosināta jauna pārvaldības sistēma, 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</w:t>
            </w: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aunu indikatoru komplekts, lai nodrošinātu konkurētspējīgu un drošu energosistēmu.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Eiropa 2020 – Stratēģija gudrai, ilgtspējīgai un integrējošai izaugsmei </w:t>
            </w:r>
          </w:p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Pamatiniciatīva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– Resursu ziņā efektīva Eiropa</w:t>
            </w:r>
          </w:p>
        </w:tc>
        <w:tc>
          <w:tcPr>
            <w:tcW w:w="1276" w:type="dxa"/>
          </w:tcPr>
          <w:p w:rsidR="00E72824" w:rsidRPr="00780C5A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80C5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EK paziņojums, 03.03.2012. </w:t>
            </w:r>
          </w:p>
        </w:tc>
        <w:tc>
          <w:tcPr>
            <w:tcW w:w="1275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Līdz 2020.gadam</w:t>
            </w:r>
          </w:p>
        </w:tc>
        <w:tc>
          <w:tcPr>
            <w:tcW w:w="4111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Iniciatīvas mērķis ir nodalīt ekonomikas izaugsmi no resursu un enerģijas izmantošanas, samazināt CO</w:t>
            </w:r>
            <w:r w:rsidRPr="0084215D">
              <w:rPr>
                <w:rFonts w:eastAsia="Times New Roman" w:cs="Times New Roman"/>
                <w:sz w:val="20"/>
                <w:szCs w:val="20"/>
                <w:vertAlign w:val="subscript"/>
                <w:lang w:eastAsia="lv-LV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emisijas, palielināt konkurētspēju un sekmēt lielāku energoapgādes drošību.  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rFonts w:eastAsia="Times New Roman" w:cs="Times New Roman"/>
                <w:sz w:val="20"/>
                <w:szCs w:val="20"/>
                <w:lang w:eastAsia="lv-LV"/>
              </w:rPr>
              <w:t>Atjaunojamie energoresursi pēc 2020. gada — izaugsmes plāns</w:t>
            </w:r>
          </w:p>
        </w:tc>
        <w:tc>
          <w:tcPr>
            <w:tcW w:w="1276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EK paziņojums, 08.06.2012. </w:t>
            </w:r>
          </w:p>
        </w:tc>
        <w:tc>
          <w:tcPr>
            <w:tcW w:w="1275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Pēc 2020.gada</w:t>
            </w:r>
          </w:p>
        </w:tc>
        <w:tc>
          <w:tcPr>
            <w:tcW w:w="4111" w:type="dxa"/>
          </w:tcPr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6AE">
              <w:rPr>
                <w:rFonts w:eastAsia="Times New Roman" w:cs="Times New Roman"/>
                <w:sz w:val="20"/>
                <w:szCs w:val="20"/>
                <w:lang w:eastAsia="lv-LV"/>
              </w:rPr>
              <w:t>pakāpeniski jālikvidē subsīdijas fosilajiem energoresursiem,</w:t>
            </w:r>
          </w:p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6A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jāpārskata enerģijas nodokļi, lai pastiprinātu ieguldījumus zemas oglekļa emisijas tehnoloģijā, </w:t>
            </w:r>
          </w:p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6A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pakāpeniski jāsamazina vai jāizbeidz atbalsts atjaunojamajiem energoresursiem, lai motivētu šo nozari ilgtermiņā kļūt spējīgākai konkurēt ar citiem enerģijas avotiem. </w:t>
            </w:r>
          </w:p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6AE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jāreformē arī dalībvalstu atbalsta programmas, lai sekmētu izmaksu samazināšanu. </w:t>
            </w:r>
          </w:p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346AE">
              <w:rPr>
                <w:rFonts w:eastAsia="Times New Roman" w:cs="Times New Roman"/>
                <w:sz w:val="20"/>
                <w:szCs w:val="20"/>
                <w:lang w:eastAsia="lv-LV"/>
              </w:rPr>
              <w:t>ES jāstimulē vēja un saules enerģijas ražošana tur, kur to darīt ir lētāk.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Konkurētspējīgas, ilgtspējīgas un drošas enerģijas stratēģija</w:t>
            </w:r>
          </w:p>
        </w:tc>
        <w:tc>
          <w:tcPr>
            <w:tcW w:w="1276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EK paziņojums, 10.11.2010.</w:t>
            </w:r>
          </w:p>
        </w:tc>
        <w:tc>
          <w:tcPr>
            <w:tcW w:w="1275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11" w:type="dxa"/>
          </w:tcPr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ērķis ir definēt – kā mainīt veidu kā Eiropā enerģija tiek ražota un patērēta. Stratēģija ir strukturēta ņemot par pamatu piecas prioritātes: </w:t>
            </w:r>
          </w:p>
          <w:p w:rsidR="00E72824" w:rsidRPr="00DC180F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ierobežot Eiropā enerģijas patēriņu, </w:t>
            </w:r>
          </w:p>
          <w:p w:rsidR="00E72824" w:rsidRPr="00DC180F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izveidot integrētu iekšējo tirgu; </w:t>
            </w:r>
          </w:p>
          <w:p w:rsidR="00E72824" w:rsidRPr="00DC180F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stiprināt lietotājus un sasniegt augstāko drošības un drošuma līmeni; </w:t>
            </w:r>
          </w:p>
          <w:p w:rsidR="00E72824" w:rsidRPr="00DC180F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paplašināt Eiropas vadošo lomu enerģijas tehnoloģiju un inovāciju attīstībā;  </w:t>
            </w:r>
          </w:p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stiprināt ES enerģijas tirgus ārējo dimensiju.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Eiropas energoapgādes drošības stratēģija</w:t>
            </w:r>
          </w:p>
        </w:tc>
        <w:tc>
          <w:tcPr>
            <w:tcW w:w="1276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EK paziņojums, 28.05.2014.</w:t>
            </w:r>
          </w:p>
        </w:tc>
        <w:tc>
          <w:tcPr>
            <w:tcW w:w="1275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Sākot no 2014.gada</w:t>
            </w:r>
          </w:p>
        </w:tc>
        <w:tc>
          <w:tcPr>
            <w:tcW w:w="4111" w:type="dxa"/>
          </w:tcPr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Lai risinātu apgādes drošības problēmas, Komisija ir ierosinājusi veikt pasākumus vairākās nozīmīgās jomās:</w:t>
            </w:r>
          </w:p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  <w:t xml:space="preserve">pabeigt iekšējā enerģijas tirgus izveidi un izveidot iztrūkstošos infrastruktūras savienojumus.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U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zstādītās elektroenerģijas jaudas </w:t>
            </w:r>
            <w:proofErr w:type="spellStart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starpsavienojumiem</w:t>
            </w:r>
            <w:proofErr w:type="spellEnd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2030.g. palielināt mērķi līdz 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15 %, (dalībvalstis jau ir apņēmušās līdz 2020. gadam nodrošināt </w:t>
            </w:r>
            <w:proofErr w:type="spellStart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starpsavienojumus</w:t>
            </w:r>
            <w:proofErr w:type="spellEnd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10 % apmērā); </w:t>
            </w:r>
          </w:p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</w:r>
            <w:proofErr w:type="spellStart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piegādātājvalstu</w:t>
            </w:r>
            <w:proofErr w:type="spellEnd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un piegādes maršrutu dažādošana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;</w:t>
            </w:r>
          </w:p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  <w:t xml:space="preserve">ārkārtas situāciju un solidaritātes mehānismu nostiprināšana un kritiskās infrastruktūras aizsardzība. </w:t>
            </w:r>
          </w:p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  <w:t xml:space="preserve">vietējās enerģijas ražošanas apjomu palielināšana. </w:t>
            </w:r>
          </w:p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  <w:t xml:space="preserve">enerģētikas politikas saskaņošana starp dalībvalstīm un vienota nostāja ārējā enerģētikas politikā. </w:t>
            </w:r>
          </w:p>
          <w:p w:rsidR="00E72824" w:rsidRPr="00DC180F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</w:r>
            <w:proofErr w:type="spellStart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energotehnoloģiju</w:t>
            </w:r>
            <w:proofErr w:type="spellEnd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attīstīšana; </w:t>
            </w:r>
          </w:p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ab/>
              <w:t xml:space="preserve">energoefektivitātes uzlabošana. Tā kā ēku </w:t>
            </w:r>
            <w:proofErr w:type="spellStart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energopatēriņš</w:t>
            </w:r>
            <w:proofErr w:type="spellEnd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veido 40 % no kopējā </w:t>
            </w:r>
            <w:proofErr w:type="spellStart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>energopatēriņa</w:t>
            </w:r>
            <w:proofErr w:type="spellEnd"/>
            <w:r w:rsidRPr="00DC180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un tās patērē vienu trešo daļu no izmantotajiem dabasgāzes resursiem, šis ir ļoti nozīmīgs sektors.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 xml:space="preserve">A </w:t>
            </w:r>
          </w:p>
        </w:tc>
        <w:tc>
          <w:tcPr>
            <w:tcW w:w="2153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cs="Times New Roman"/>
                <w:bCs/>
                <w:color w:val="000000"/>
                <w:sz w:val="20"/>
                <w:szCs w:val="20"/>
              </w:rPr>
              <w:t>Eiropas Parlamenta un Padomes 2009. gada 23. aprīļa direktīva 2009/28/EK par atjaunojamo energoresursu izmantošanas veicināšanu un ar ko groza un sekojoši atceļ Direktīvas 2001/77/EK un 2003/30/EK (Direktīva 2009/28/EK</w:t>
            </w:r>
            <w:r w:rsidRPr="00847A8C">
              <w:rPr>
                <w:rFonts w:cs="Times New Roman"/>
                <w:bCs/>
                <w:color w:val="000000"/>
                <w:sz w:val="20"/>
                <w:szCs w:val="20"/>
                <w:shd w:val="clear" w:color="auto" w:fill="BAC3C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Direktīva</w:t>
            </w:r>
          </w:p>
        </w:tc>
        <w:tc>
          <w:tcPr>
            <w:tcW w:w="1275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Spēkā no 2009.gada 25.jūnija</w:t>
            </w:r>
          </w:p>
        </w:tc>
        <w:tc>
          <w:tcPr>
            <w:tcW w:w="4111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Direktīva izstrādāta nolūkā radīt Eiropas Savienības dalībvalstīs kopēju ietvaru atjaunojamo energoresursu izmantošanai, nosakot obligātus mērķus Eiropas Savienības kopējam atjaunojamo energoresursu īpatsvaram energoresursu gala patēriņā un transporta degvielas patēriņam.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Eiropas Parlamenta un Padomes 2012.gada 25.oktobra Direktīva 2012/27/ES par energoefektivitāti, ar ko groza Direktīvas 2009/125/EK un 2012/30/ES, un atceļ Direktīvas 2004/8/EK un 2006/32/EK</w:t>
            </w:r>
          </w:p>
        </w:tc>
        <w:tc>
          <w:tcPr>
            <w:tcW w:w="1276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Direktīva</w:t>
            </w:r>
          </w:p>
        </w:tc>
        <w:tc>
          <w:tcPr>
            <w:tcW w:w="1275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Spēkā no 2012.gada 25.oktobra</w:t>
            </w:r>
          </w:p>
        </w:tc>
        <w:tc>
          <w:tcPr>
            <w:tcW w:w="4111" w:type="dxa"/>
            <w:shd w:val="clear" w:color="auto" w:fill="auto"/>
          </w:tcPr>
          <w:p w:rsidR="00E72824" w:rsidRPr="00847A8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Direktīva izveido kopēju pasākumu klāstu, lai veicinātu energoefektivitāti:</w:t>
            </w:r>
          </w:p>
          <w:p w:rsidR="00E72824" w:rsidRPr="00847A8C" w:rsidRDefault="00E72824" w:rsidP="0028309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Nacionālo energoefektivitātes mērķu aprēķināšanas kārtība;</w:t>
            </w:r>
          </w:p>
          <w:p w:rsidR="00E72824" w:rsidRPr="00847A8C" w:rsidRDefault="00E72824" w:rsidP="0028309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Ēku ilgtermiņa stratēģijas sagatavošana;</w:t>
            </w:r>
          </w:p>
          <w:p w:rsidR="00E72824" w:rsidRPr="00847A8C" w:rsidRDefault="00E72824" w:rsidP="0028309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pienākumu shēmas izveidošanu;</w:t>
            </w:r>
          </w:p>
          <w:p w:rsidR="00E72824" w:rsidRPr="00847A8C" w:rsidRDefault="00E72824" w:rsidP="0028309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Normas energopakalpojumu attīstībai;</w:t>
            </w:r>
          </w:p>
          <w:p w:rsidR="00E72824" w:rsidRPr="00847A8C" w:rsidRDefault="00E72824" w:rsidP="0028309C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847A8C">
              <w:rPr>
                <w:rFonts w:eastAsia="Times New Roman" w:cs="Times New Roman"/>
                <w:sz w:val="20"/>
                <w:szCs w:val="20"/>
                <w:lang w:eastAsia="lv-LV"/>
              </w:rPr>
              <w:t>Sabiedrības izglītošanas pasākumus.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9C488C" w:rsidRDefault="00E72824" w:rsidP="0028309C">
            <w:pPr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15" w:type="dxa"/>
            <w:gridSpan w:val="4"/>
          </w:tcPr>
          <w:p w:rsidR="00E72824" w:rsidRPr="00634904" w:rsidRDefault="00E72824" w:rsidP="0028309C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34904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 xml:space="preserve">Latvijas politikas plānošanas dokumenti  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74AD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„Latvijas Ilgtspējīgas attīstības stratēģija līdz 2030.gadam”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,  (turpmāk – Latvija 2030)</w:t>
            </w:r>
          </w:p>
        </w:tc>
        <w:tc>
          <w:tcPr>
            <w:tcW w:w="1276" w:type="dxa"/>
          </w:tcPr>
          <w:p w:rsidR="00E72824" w:rsidRPr="009F609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09C">
              <w:rPr>
                <w:rFonts w:eastAsia="Times New Roman" w:cs="Times New Roman"/>
                <w:sz w:val="20"/>
                <w:szCs w:val="20"/>
                <w:lang w:eastAsia="lv-LV"/>
              </w:rPr>
              <w:t>MK, 10.06.2010.</w:t>
            </w:r>
          </w:p>
          <w:p w:rsidR="00E72824" w:rsidRPr="009F609C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09C">
              <w:rPr>
                <w:rFonts w:eastAsia="Times New Roman" w:cs="Times New Roman"/>
                <w:sz w:val="20"/>
                <w:szCs w:val="20"/>
                <w:lang w:eastAsia="lv-LV"/>
              </w:rPr>
              <w:t>Saeima – 10.06.2010</w:t>
            </w:r>
          </w:p>
        </w:tc>
        <w:tc>
          <w:tcPr>
            <w:tcW w:w="1275" w:type="dxa"/>
          </w:tcPr>
          <w:p w:rsidR="00E72824" w:rsidRPr="00CB088E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Līdz 2030.gadam</w:t>
            </w:r>
          </w:p>
        </w:tc>
        <w:tc>
          <w:tcPr>
            <w:tcW w:w="4111" w:type="dxa"/>
          </w:tcPr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Enerģētiskā drošība un neatkarība,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samazināt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>nergoatkarīb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u</w:t>
            </w:r>
            <w:proofErr w:type="spellEnd"/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– (neto energoresursu imports/ bruto iekšzemes enerģijas patēriņš plus </w:t>
            </w:r>
            <w:proofErr w:type="spellStart"/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>bunkurēšana</w:t>
            </w:r>
            <w:proofErr w:type="spellEnd"/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>, %)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zem 50%. 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>Atjaunojamo energoresursu izmantošana un inovācija,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palielināt atjaunojamo energoresursu īpatsvaru bruto enerģijas galapatēriņā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vismaz līdz 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>50%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</w:p>
          <w:p w:rsidR="00E72824" w:rsidRPr="002346AE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pasākumi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energointensitāte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ekonomikā  </w:t>
            </w:r>
            <w:r w:rsidRPr="000420FA">
              <w:rPr>
                <w:rFonts w:eastAsia="Times New Roman" w:cs="Times New Roman"/>
                <w:sz w:val="20"/>
                <w:szCs w:val="20"/>
                <w:lang w:eastAsia="lv-LV"/>
              </w:rPr>
              <w:t>(bruto iekšzemes enerģijas  patēriņš pret IKP, kg naftas ekvivalenta uz 1000 EUR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???</w:t>
            </w:r>
            <w:r w:rsidRPr="000420F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no IKP)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2030.g. nedrīkst pārsniegt 150. 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Pr="00F74AD9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Informatīvais ziņojums „</w:t>
            </w:r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>Latvijas Enerģētikas ilgtermiņa stratēģija 2030 – konkurētspējīga enerģētika sabiedrībai”</w:t>
            </w:r>
          </w:p>
        </w:tc>
        <w:tc>
          <w:tcPr>
            <w:tcW w:w="1276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F609C">
              <w:rPr>
                <w:rFonts w:eastAsia="Times New Roman" w:cs="Times New Roman"/>
                <w:sz w:val="20"/>
                <w:szCs w:val="20"/>
                <w:lang w:eastAsia="lv-LV"/>
              </w:rPr>
              <w:t>MK, 28.05.2013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1275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Līdz 2030.gadam </w:t>
            </w:r>
          </w:p>
        </w:tc>
        <w:tc>
          <w:tcPr>
            <w:tcW w:w="4111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Galvenie mērķi 2030.gadam. </w:t>
            </w:r>
          </w:p>
          <w:p w:rsidR="00E72824" w:rsidRPr="000517C1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>Galvenais mērķis - Konkurētspējīga ekonomika,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palielināt apstrādes rūpniecības daļu kopējā ekonomikā līdz 20%.</w:t>
            </w:r>
          </w:p>
          <w:p w:rsidR="00E72824" w:rsidRPr="000517C1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>Apakšmērķi</w:t>
            </w:r>
            <w:proofErr w:type="spellEnd"/>
            <w:r w:rsidRPr="000517C1">
              <w:rPr>
                <w:rFonts w:eastAsia="Times New Roman" w:cs="Times New Roman"/>
                <w:sz w:val="20"/>
                <w:szCs w:val="20"/>
                <w:lang w:eastAsia="lv-LV"/>
              </w:rPr>
              <w:t>: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Ilgtspējīga enerģētika – 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līdz 2030.gadam vidējais siltumenerģijas patēriņš apkurei jāsamazina par 50% pret (kura gada??) rādītāju, kas ar klimata korekciju ir aptuveni </w:t>
            </w:r>
            <w:r w:rsidRPr="00722841">
              <w:rPr>
                <w:rFonts w:eastAsia="Times New Roman" w:cs="Times New Roman"/>
                <w:sz w:val="20"/>
                <w:szCs w:val="20"/>
                <w:lang w:eastAsia="lv-LV"/>
              </w:rPr>
              <w:t>200 kWh/m2 gadā (2009. gadā – 202 kWh/m2) un</w:t>
            </w:r>
            <w:r w:rsidRPr="00722841">
              <w:rPr>
                <w:sz w:val="20"/>
                <w:szCs w:val="20"/>
              </w:rPr>
              <w:t xml:space="preserve"> nodrošināt 50% AER īpatsvaru bruto enerģijas patēriņā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(indikatīvs mērķis); </w:t>
            </w:r>
          </w:p>
          <w:p w:rsidR="00E72824" w:rsidRPr="000517C1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Energoapgādes drošības paaugstināšana - 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par 50% samazināt enerģijas un energoresursu importu no esošajiem trešo valstu piegādātājiem, salīdzinot ar 2011.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g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>adu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  <w:r w:rsidRPr="000F306F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E7282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Latvijas nacionālā reformu programma „ES 2020”stratēģijas īstenošanai </w:t>
            </w:r>
          </w:p>
        </w:tc>
        <w:tc>
          <w:tcPr>
            <w:tcW w:w="1276" w:type="dxa"/>
          </w:tcPr>
          <w:p w:rsidR="00E72824" w:rsidRPr="0084215D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201</w:t>
            </w:r>
            <w:r w:rsidRPr="0084215D">
              <w:rPr>
                <w:rFonts w:eastAsia="Times New Roman" w:cs="Times New Roman"/>
                <w:sz w:val="20"/>
                <w:szCs w:val="20"/>
                <w:lang w:eastAsia="lv-LV"/>
              </w:rPr>
              <w:t>1.gada 26.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aprīļa MK protokols, TA –1013, Nr.27, </w:t>
            </w:r>
            <w:r w:rsidRPr="0084215D">
              <w:rPr>
                <w:rFonts w:eastAsia="Times New Roman" w:cs="Times New Roman"/>
                <w:sz w:val="20"/>
                <w:szCs w:val="20"/>
                <w:lang w:eastAsia="lv-LV"/>
              </w:rPr>
              <w:t>34.§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:rsidR="00E72824" w:rsidRPr="0084215D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Līdz 2020.gadam</w:t>
            </w:r>
          </w:p>
        </w:tc>
        <w:tc>
          <w:tcPr>
            <w:tcW w:w="4111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725E8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Energoefektivitātes palielināšana, enerģijas ietaupījuma mērķis 2020.gadā 0,433 (bez pārveidošanas sektora), 0,668 </w:t>
            </w:r>
            <w:proofErr w:type="spellStart"/>
            <w:r w:rsidRPr="00A725E8">
              <w:rPr>
                <w:rFonts w:eastAsia="Times New Roman" w:cs="Times New Roman"/>
                <w:sz w:val="20"/>
                <w:szCs w:val="20"/>
                <w:lang w:eastAsia="lv-LV"/>
              </w:rPr>
              <w:t>Mtoe</w:t>
            </w:r>
            <w:proofErr w:type="spellEnd"/>
            <w:r w:rsidRPr="00A725E8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(ieskaitot pārveidošanas sektoru)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Mājokļu siltināšana,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paaugstināšana sabiedriskās un ražošanas ēkās,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Efektīvas apgaismojuma infrastruktūras ieviešana pašvaldību publiskajās teritorijās,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paaugstināšana siltumenerģijas ražošanā,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paaugstināšana transporta sektorā,</w:t>
            </w:r>
          </w:p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 atjaunojamiem energoresursiem saražotās enerģijas īpatsvars kopējā enerģijas bruto galapatēriņā – 2020.gadā 40%. 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Tiesiskās bāzes sakārtošana,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Finanšu resursu pieejamības nodrošināšana atjaunojamās enerģijas ražošanai,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Biodegvielas izmantošanas veicināšana transporta sektorā,</w:t>
            </w:r>
          </w:p>
          <w:p w:rsidR="00E72824" w:rsidRPr="000420FA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SEG emisiju samazināšana: ierobežot valsts kopējās SEG emisijas, lai 2020.g. tās nepārsniegtu 12,19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CO2 ekvivalenta; ne-ETS nozarēs SEG emisiju pieaugums nedrīkst pārsniegt 17% salīdzinot ar 2005.gadu; ETS nozarēm kopīgs ES mērķis ir samazināt 21% pret 2005.gadu.    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Ne-ETS nozaru emisiju ierobežošana</w:t>
            </w:r>
          </w:p>
          <w:p w:rsidR="00E72824" w:rsidRPr="00A725E8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420F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Pētniecība, inovācijas, sabiedrības informēšana. </w:t>
            </w:r>
          </w:p>
        </w:tc>
      </w:tr>
      <w:tr w:rsidR="000E70EE" w:rsidRPr="00CB088E" w:rsidTr="007F10BF">
        <w:tc>
          <w:tcPr>
            <w:tcW w:w="507" w:type="dxa"/>
          </w:tcPr>
          <w:p w:rsidR="000E70EE" w:rsidRPr="00CB088E" w:rsidRDefault="000E70EE" w:rsidP="000E70EE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153" w:type="dxa"/>
          </w:tcPr>
          <w:p w:rsidR="000E70EE" w:rsidRPr="00CB088E" w:rsidRDefault="000E70EE" w:rsidP="007F10B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B088E">
              <w:rPr>
                <w:sz w:val="20"/>
                <w:szCs w:val="20"/>
              </w:rPr>
              <w:t>Nacionālās industriālās politikas pamatnostādnes 2014.-2020.gadam</w:t>
            </w:r>
          </w:p>
        </w:tc>
        <w:tc>
          <w:tcPr>
            <w:tcW w:w="1276" w:type="dxa"/>
          </w:tcPr>
          <w:p w:rsidR="000E70EE" w:rsidRPr="00CB088E" w:rsidRDefault="000E70EE" w:rsidP="007F10B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MK, 28.06.2013.</w:t>
            </w:r>
          </w:p>
        </w:tc>
        <w:tc>
          <w:tcPr>
            <w:tcW w:w="1275" w:type="dxa"/>
          </w:tcPr>
          <w:p w:rsidR="000E70EE" w:rsidRPr="00CB088E" w:rsidRDefault="000E70EE" w:rsidP="007F10B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2014.-2020. </w:t>
            </w:r>
          </w:p>
        </w:tc>
        <w:tc>
          <w:tcPr>
            <w:tcW w:w="4111" w:type="dxa"/>
          </w:tcPr>
          <w:p w:rsidR="000E70EE" w:rsidRDefault="000E70EE" w:rsidP="007F10B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Mērķis – veicināt ekonomikas strukturālās izmaiņas par labu preču un pakalpojumu ar augstāku pievienoto vērtību ražošanai,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t.sk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rūpniecības lomas palielināšanai, rūpniecības un pakalpojumu modernizācijai un eksporta sarežģītības attīstībai. </w:t>
            </w:r>
          </w:p>
          <w:p w:rsidR="000E70EE" w:rsidRPr="00CB088E" w:rsidRDefault="000E70EE" w:rsidP="007F10B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Rezultatīvie rādītāji – apstrādes rūpniecības īpatsvars IKP 2020.gadā sasniedz 20% (2011.g. – 14,1%; 2017.g. – 17,4%). </w:t>
            </w:r>
          </w:p>
        </w:tc>
      </w:tr>
      <w:tr w:rsidR="000E70EE" w:rsidRPr="00CB088E" w:rsidTr="009507B4">
        <w:tc>
          <w:tcPr>
            <w:tcW w:w="507" w:type="dxa"/>
          </w:tcPr>
          <w:p w:rsidR="000E70EE" w:rsidRPr="00CB088E" w:rsidRDefault="000E70EE" w:rsidP="000E70EE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153" w:type="dxa"/>
          </w:tcPr>
          <w:p w:rsidR="000E70EE" w:rsidRPr="00CB088E" w:rsidRDefault="000E70EE" w:rsidP="00950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Transporta attīstības pamatnostādnes 2014.-2020.gadam</w:t>
            </w:r>
          </w:p>
        </w:tc>
        <w:tc>
          <w:tcPr>
            <w:tcW w:w="1276" w:type="dxa"/>
          </w:tcPr>
          <w:p w:rsidR="000E70EE" w:rsidRPr="00CB088E" w:rsidRDefault="000E70EE" w:rsidP="009507B4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MK, 27.12.2013.</w:t>
            </w:r>
          </w:p>
        </w:tc>
        <w:tc>
          <w:tcPr>
            <w:tcW w:w="1275" w:type="dxa"/>
          </w:tcPr>
          <w:p w:rsidR="000E70EE" w:rsidRPr="00CB088E" w:rsidRDefault="000E70EE" w:rsidP="009507B4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2014.-2020. </w:t>
            </w:r>
          </w:p>
        </w:tc>
        <w:tc>
          <w:tcPr>
            <w:tcW w:w="4111" w:type="dxa"/>
          </w:tcPr>
          <w:p w:rsidR="000E70EE" w:rsidRDefault="000E70EE" w:rsidP="009507B4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Mērķis – konkurētspējīga, ilgtspējīga,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komodāla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transporta sistēma, kas nodrošina augstas kvalitātes mobilitāti, efektīvi izmantojot resursus,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t.sk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ES fondus. </w:t>
            </w:r>
          </w:p>
          <w:p w:rsidR="000E70EE" w:rsidRDefault="000E70EE" w:rsidP="009507B4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Prioritātes līdz 2020.gadam – </w:t>
            </w:r>
          </w:p>
          <w:p w:rsidR="000E70EE" w:rsidRPr="00393BAE" w:rsidRDefault="000E70EE" w:rsidP="009507B4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Dzelzceļa elektrifikācija, politikas rezultāts – par 20% palielināts elektrificēto dzelzceļa līniju garums; CO2 izmešu samazinājums dzelzceļa kravu pārvadājumos 60% attiecībā pret 2012.gadu.   </w:t>
            </w:r>
          </w:p>
        </w:tc>
      </w:tr>
      <w:tr w:rsidR="00E72824" w:rsidRPr="00CB088E" w:rsidTr="0028309C">
        <w:trPr>
          <w:tblHeader/>
        </w:trPr>
        <w:tc>
          <w:tcPr>
            <w:tcW w:w="507" w:type="dxa"/>
          </w:tcPr>
          <w:p w:rsidR="00E72824" w:rsidRPr="00CB088E" w:rsidRDefault="00E72824" w:rsidP="000E70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bookmarkStart w:id="1" w:name="_GoBack"/>
            <w:bookmarkEnd w:id="1"/>
          </w:p>
        </w:tc>
        <w:tc>
          <w:tcPr>
            <w:tcW w:w="2153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Latvijas Nacionālais attīstības plāns 2014.-2020.gadam </w:t>
            </w:r>
          </w:p>
        </w:tc>
        <w:tc>
          <w:tcPr>
            <w:tcW w:w="1276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Saeima, 20.12.2012.</w:t>
            </w:r>
          </w:p>
        </w:tc>
        <w:tc>
          <w:tcPr>
            <w:tcW w:w="1275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2014.-2020. </w:t>
            </w:r>
          </w:p>
        </w:tc>
        <w:tc>
          <w:tcPr>
            <w:tcW w:w="4111" w:type="dxa"/>
          </w:tcPr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Nodrošināt tautas saimniecībai nepieciešamo energoresursu ilgtspējīgu izmantošanu, veicinot resursu tirgus pieejamību, sektoru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energointensitātes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un emisiju intensitātes samazināšanos un vietējo atjaunojamo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energoresusrsu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īpatsvara palielināšanos kopējā patērētajā apjomā, fokusējoties uz konkurētspējīgām enerģijas cenām. </w:t>
            </w:r>
          </w:p>
          <w:p w:rsidR="00E72824" w:rsidRPr="00362B45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362B4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Energoefektivitāte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 – enerģijas patēriņš iekšzemes kopprodukta radīšanai (kg naftas ekvivalenta uz 1000EUR no IKP) - 280;</w:t>
            </w:r>
          </w:p>
          <w:p w:rsidR="00E72824" w:rsidRPr="00DF1A83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F1A83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pašvaldību </w:t>
            </w:r>
            <w:proofErr w:type="spellStart"/>
            <w:r w:rsidRPr="00DF1A83">
              <w:rPr>
                <w:rFonts w:eastAsia="Times New Roman" w:cs="Times New Roman"/>
                <w:sz w:val="20"/>
                <w:szCs w:val="20"/>
                <w:lang w:eastAsia="lv-LV"/>
              </w:rPr>
              <w:t>energoplānu</w:t>
            </w:r>
            <w:proofErr w:type="spellEnd"/>
            <w:r w:rsidRPr="00DF1A83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izstrāde, 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DF1A83"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progra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mmas valsts, pašvaldību un dzīvojamo ēku energoefektivitātei,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inovatīvu enerģētikas un energoefektivitātes tehnoloģiju attīstība,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energoefektivitātes veicināšana centralizētajā siltumapgādē.</w:t>
            </w:r>
          </w:p>
          <w:p w:rsidR="00E72824" w:rsidRPr="00362B45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362B4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AER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 – no AER saražotās enerģijas īpatsvars kopējā bruto enerģijas galapatēriņā vismaz 40% 2020.g.</w:t>
            </w:r>
            <w:r w:rsidRPr="00362B4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: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pāreja uz AER transportā un nepieciešamās infrastruktūras nodrošināšana, 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AER izmantošana enerģijas ražošanā</w:t>
            </w:r>
          </w:p>
          <w:p w:rsidR="00E72824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Energoatkarība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 – neto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energoresusrsu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 imports/bruto iekšzemes enerģijas patēriņš plus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bunkurēšana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 (%) – 1,13.</w:t>
            </w:r>
          </w:p>
          <w:p w:rsidR="00E72824" w:rsidRDefault="00E72824" w:rsidP="0028309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proofErr w:type="spellStart"/>
            <w:r w:rsidRPr="00722841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Energoinfrastruktūras</w:t>
            </w:r>
            <w:proofErr w:type="spellEnd"/>
            <w:r w:rsidRPr="00722841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 tīklu attīstība    </w:t>
            </w:r>
          </w:p>
          <w:p w:rsidR="00E72824" w:rsidRPr="00722841" w:rsidRDefault="00E72824" w:rsidP="0028309C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 xml:space="preserve">Tautsaimniecības siltumnīcefekta gāzu emisiju intensitāte ( t CO2 ekvivalenta/ uz 1000 LVL no IKP) – 1,13. </w:t>
            </w:r>
          </w:p>
        </w:tc>
      </w:tr>
    </w:tbl>
    <w:p w:rsidR="00E72824" w:rsidRDefault="00E72824" w:rsidP="00E72824">
      <w:pPr>
        <w:spacing w:after="60"/>
        <w:jc w:val="both"/>
        <w:rPr>
          <w:b/>
        </w:rPr>
      </w:pPr>
    </w:p>
    <w:p w:rsidR="00E72824" w:rsidRDefault="00E72824" w:rsidP="00E72824">
      <w:pPr>
        <w:jc w:val="both"/>
        <w:rPr>
          <w:b/>
        </w:rPr>
      </w:pPr>
    </w:p>
    <w:p w:rsidR="00E72824" w:rsidRPr="00CB088E" w:rsidRDefault="00E72824" w:rsidP="00E72824"/>
    <w:p w:rsidR="00B44D9E" w:rsidRDefault="000E70EE"/>
    <w:sectPr w:rsidR="00B44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8C3"/>
    <w:multiLevelType w:val="hybridMultilevel"/>
    <w:tmpl w:val="4F782BEA"/>
    <w:lvl w:ilvl="0" w:tplc="CBCE4A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D334C"/>
    <w:multiLevelType w:val="hybridMultilevel"/>
    <w:tmpl w:val="A69AF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7C85"/>
    <w:multiLevelType w:val="multilevel"/>
    <w:tmpl w:val="6320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52443799"/>
    <w:multiLevelType w:val="hybridMultilevel"/>
    <w:tmpl w:val="4EBE6398"/>
    <w:lvl w:ilvl="0" w:tplc="D494CE5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4"/>
    <w:rsid w:val="000E70EE"/>
    <w:rsid w:val="00943973"/>
    <w:rsid w:val="00E72824"/>
    <w:rsid w:val="00E80D49"/>
    <w:rsid w:val="00E84BC0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4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qFormat/>
    <w:rsid w:val="00E72824"/>
    <w:pPr>
      <w:keepNext/>
      <w:spacing w:before="240" w:after="240" w:line="360" w:lineRule="auto"/>
      <w:jc w:val="both"/>
      <w:outlineLvl w:val="0"/>
    </w:pPr>
    <w:rPr>
      <w:rFonts w:eastAsia="Times New Roman" w:cs="Times New Roman"/>
      <w:b/>
      <w:bCs/>
      <w:kern w:val="36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824"/>
    <w:rPr>
      <w:rFonts w:ascii="Times New Roman" w:eastAsia="Times New Roman" w:hAnsi="Times New Roman" w:cs="Times New Roman"/>
      <w:b/>
      <w:bCs/>
      <w:kern w:val="36"/>
      <w:sz w:val="28"/>
      <w:szCs w:val="2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728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282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4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qFormat/>
    <w:rsid w:val="00E72824"/>
    <w:pPr>
      <w:keepNext/>
      <w:spacing w:before="240" w:after="240" w:line="360" w:lineRule="auto"/>
      <w:jc w:val="both"/>
      <w:outlineLvl w:val="0"/>
    </w:pPr>
    <w:rPr>
      <w:rFonts w:eastAsia="Times New Roman" w:cs="Times New Roman"/>
      <w:b/>
      <w:bCs/>
      <w:kern w:val="36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824"/>
    <w:rPr>
      <w:rFonts w:ascii="Times New Roman" w:eastAsia="Times New Roman" w:hAnsi="Times New Roman" w:cs="Times New Roman"/>
      <w:b/>
      <w:bCs/>
      <w:kern w:val="36"/>
      <w:sz w:val="28"/>
      <w:szCs w:val="2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728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28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6769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Ingars Sils</cp:lastModifiedBy>
  <cp:revision>4</cp:revision>
  <dcterms:created xsi:type="dcterms:W3CDTF">2014-09-15T12:42:00Z</dcterms:created>
  <dcterms:modified xsi:type="dcterms:W3CDTF">2014-10-20T13:15:00Z</dcterms:modified>
</cp:coreProperties>
</file>