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F" w:rsidRPr="00AC28D5" w:rsidRDefault="00607431" w:rsidP="00EA208F">
      <w:pPr>
        <w:spacing w:after="1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Pielikums Nr.</w:t>
      </w:r>
      <w:r w:rsidR="00145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5</w:t>
      </w:r>
    </w:p>
    <w:p w:rsidR="00296D9B" w:rsidRPr="00144FBE" w:rsidRDefault="00296D9B" w:rsidP="00EA208F">
      <w:pPr>
        <w:pStyle w:val="Heading1"/>
        <w:ind w:left="419"/>
        <w:jc w:val="center"/>
      </w:pPr>
      <w:r w:rsidRPr="00144FBE">
        <w:t>Eiropas Savienības</w:t>
      </w:r>
      <w:bookmarkStart w:id="0" w:name="_GoBack"/>
      <w:bookmarkEnd w:id="0"/>
      <w:r w:rsidRPr="00144FBE">
        <w:t xml:space="preserve"> atbalsts </w:t>
      </w:r>
      <w:r w:rsidR="0093111B">
        <w:t>enerģētikas jomā.</w:t>
      </w:r>
    </w:p>
    <w:p w:rsidR="00296D9B" w:rsidRPr="00144FBE" w:rsidRDefault="0093111B" w:rsidP="00607431">
      <w:pPr>
        <w:pStyle w:val="Heading1"/>
        <w:spacing w:after="0"/>
        <w:ind w:firstLine="4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Šajā pielikumā ir apkopota informācija par</w:t>
      </w:r>
      <w:r w:rsidR="008E736A" w:rsidRPr="00144FBE">
        <w:rPr>
          <w:b w:val="0"/>
          <w:sz w:val="24"/>
          <w:szCs w:val="24"/>
        </w:rPr>
        <w:t xml:space="preserve"> Eiro</w:t>
      </w:r>
      <w:r>
        <w:rPr>
          <w:b w:val="0"/>
          <w:sz w:val="24"/>
          <w:szCs w:val="24"/>
        </w:rPr>
        <w:t>pas Savienības fondu finansējumu</w:t>
      </w:r>
      <w:r w:rsidR="008E736A" w:rsidRPr="00144FBE">
        <w:rPr>
          <w:b w:val="0"/>
          <w:sz w:val="24"/>
          <w:szCs w:val="24"/>
        </w:rPr>
        <w:t>, kas ticis piesaistīts</w:t>
      </w:r>
      <w:r w:rsidR="00FF29BC">
        <w:rPr>
          <w:b w:val="0"/>
          <w:sz w:val="24"/>
          <w:szCs w:val="24"/>
        </w:rPr>
        <w:t>, lai atbalstītu</w:t>
      </w:r>
      <w:r>
        <w:rPr>
          <w:b w:val="0"/>
          <w:sz w:val="24"/>
          <w:szCs w:val="24"/>
        </w:rPr>
        <w:t xml:space="preserve"> projektus</w:t>
      </w:r>
      <w:r w:rsidR="0043511B">
        <w:rPr>
          <w:b w:val="0"/>
          <w:sz w:val="24"/>
          <w:szCs w:val="24"/>
        </w:rPr>
        <w:t xml:space="preserve"> </w:t>
      </w:r>
      <w:r w:rsidR="00FF29BC">
        <w:rPr>
          <w:b w:val="0"/>
          <w:sz w:val="24"/>
          <w:szCs w:val="24"/>
        </w:rPr>
        <w:t>atjaunojamo energores</w:t>
      </w:r>
      <w:r w:rsidR="0043511B">
        <w:rPr>
          <w:b w:val="0"/>
          <w:sz w:val="24"/>
          <w:szCs w:val="24"/>
        </w:rPr>
        <w:t>ursu un energoefektivitātes jomā</w:t>
      </w:r>
      <w:r w:rsidR="00FF29BC">
        <w:rPr>
          <w:b w:val="0"/>
          <w:sz w:val="24"/>
          <w:szCs w:val="24"/>
        </w:rPr>
        <w:t>s</w:t>
      </w:r>
      <w:r w:rsidR="008E736A" w:rsidRPr="00144FBE">
        <w:rPr>
          <w:b w:val="0"/>
          <w:sz w:val="24"/>
          <w:szCs w:val="24"/>
        </w:rPr>
        <w:t xml:space="preserve"> 2007.- 201</w:t>
      </w:r>
      <w:r w:rsidR="00720E17">
        <w:rPr>
          <w:b w:val="0"/>
          <w:sz w:val="24"/>
          <w:szCs w:val="24"/>
        </w:rPr>
        <w:t>3</w:t>
      </w:r>
      <w:r w:rsidR="008E736A" w:rsidRPr="00144FBE">
        <w:rPr>
          <w:b w:val="0"/>
          <w:sz w:val="24"/>
          <w:szCs w:val="24"/>
        </w:rPr>
        <w:t>.</w:t>
      </w:r>
      <w:r w:rsidR="00FF29BC">
        <w:rPr>
          <w:b w:val="0"/>
          <w:sz w:val="24"/>
          <w:szCs w:val="24"/>
        </w:rPr>
        <w:t>g</w:t>
      </w:r>
      <w:r w:rsidR="008E736A" w:rsidRPr="00144FBE">
        <w:rPr>
          <w:b w:val="0"/>
          <w:sz w:val="24"/>
          <w:szCs w:val="24"/>
        </w:rPr>
        <w:t>ada</w:t>
      </w:r>
      <w:r w:rsidR="00FF29BC">
        <w:rPr>
          <w:b w:val="0"/>
          <w:sz w:val="24"/>
          <w:szCs w:val="24"/>
        </w:rPr>
        <w:t xml:space="preserve"> ES</w:t>
      </w:r>
      <w:r w:rsidR="008E736A" w:rsidRPr="00144FBE">
        <w:rPr>
          <w:b w:val="0"/>
          <w:sz w:val="24"/>
          <w:szCs w:val="24"/>
        </w:rPr>
        <w:t xml:space="preserve"> finanšu plānošanas periodā. </w:t>
      </w:r>
    </w:p>
    <w:p w:rsidR="00296D9B" w:rsidRPr="00607431" w:rsidRDefault="00296D9B" w:rsidP="009A6F47">
      <w:pPr>
        <w:pStyle w:val="ListParagraph"/>
        <w:numPr>
          <w:ilvl w:val="0"/>
          <w:numId w:val="2"/>
        </w:numPr>
        <w:jc w:val="right"/>
        <w:rPr>
          <w:rFonts w:cs="Times New Roman"/>
          <w:sz w:val="24"/>
          <w:szCs w:val="24"/>
        </w:rPr>
      </w:pPr>
      <w:r w:rsidRPr="00607431">
        <w:rPr>
          <w:rFonts w:cs="Times New Roman"/>
          <w:sz w:val="24"/>
          <w:szCs w:val="24"/>
        </w:rPr>
        <w:t xml:space="preserve">tabula </w:t>
      </w:r>
    </w:p>
    <w:p w:rsidR="009A6F47" w:rsidRPr="00AC28D5" w:rsidRDefault="009A6F47" w:rsidP="009A6F47">
      <w:pPr>
        <w:pStyle w:val="ListParagraph"/>
        <w:jc w:val="center"/>
        <w:rPr>
          <w:rFonts w:cs="Times New Roman"/>
          <w:b/>
          <w:sz w:val="24"/>
          <w:szCs w:val="24"/>
        </w:rPr>
      </w:pPr>
      <w:r w:rsidRPr="00AC28D5">
        <w:rPr>
          <w:rFonts w:cs="Times New Roman"/>
          <w:b/>
          <w:sz w:val="24"/>
          <w:szCs w:val="24"/>
        </w:rPr>
        <w:t xml:space="preserve">ERAF finansējuma </w:t>
      </w:r>
      <w:r w:rsidR="00C91079" w:rsidRPr="00AC28D5">
        <w:rPr>
          <w:rFonts w:cs="Times New Roman"/>
          <w:b/>
          <w:sz w:val="24"/>
          <w:szCs w:val="24"/>
        </w:rPr>
        <w:t>piesaiste</w:t>
      </w:r>
      <w:r w:rsidRPr="00AC28D5">
        <w:rPr>
          <w:rFonts w:cs="Times New Roman"/>
          <w:b/>
          <w:sz w:val="24"/>
          <w:szCs w:val="24"/>
        </w:rPr>
        <w:t xml:space="preserve"> 2007-201</w:t>
      </w:r>
      <w:r w:rsidR="00720E17">
        <w:rPr>
          <w:rFonts w:cs="Times New Roman"/>
          <w:b/>
          <w:sz w:val="24"/>
          <w:szCs w:val="24"/>
        </w:rPr>
        <w:t>3</w:t>
      </w:r>
      <w:r w:rsidRPr="00AC28D5">
        <w:rPr>
          <w:rFonts w:cs="Times New Roman"/>
          <w:b/>
          <w:sz w:val="24"/>
          <w:szCs w:val="24"/>
        </w:rPr>
        <w:t>, EUR</w:t>
      </w:r>
    </w:p>
    <w:tbl>
      <w:tblPr>
        <w:tblW w:w="7839" w:type="dxa"/>
        <w:jc w:val="center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8"/>
        <w:gridCol w:w="1604"/>
        <w:gridCol w:w="1707"/>
        <w:gridCol w:w="1250"/>
        <w:gridCol w:w="1250"/>
      </w:tblGrid>
      <w:tr w:rsidR="006712FB" w:rsidRPr="00144FBE" w:rsidTr="006712FB">
        <w:trPr>
          <w:trHeight w:val="780"/>
          <w:tblHeader/>
          <w:jc w:val="center"/>
        </w:trPr>
        <w:tc>
          <w:tcPr>
            <w:tcW w:w="2028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Investīciju joma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Kopā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 xml:space="preserve">ES fondu finansējums un </w:t>
            </w:r>
            <w:proofErr w:type="spellStart"/>
            <w:r w:rsidRPr="00144FBE">
              <w:rPr>
                <w:rFonts w:ascii="Times New Roman" w:hAnsi="Times New Roman" w:cs="Times New Roman"/>
                <w:b/>
                <w:sz w:val="20"/>
              </w:rPr>
              <w:t>virssaistības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Nacionālais publiskais finansējums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712FB" w:rsidRPr="00144FBE" w:rsidRDefault="006712FB" w:rsidP="008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Privātais kapitāls</w:t>
            </w:r>
          </w:p>
        </w:tc>
      </w:tr>
      <w:tr w:rsidR="006712FB" w:rsidRPr="00144FBE" w:rsidTr="006712FB">
        <w:trPr>
          <w:trHeight w:val="412"/>
          <w:jc w:val="center"/>
        </w:trPr>
        <w:tc>
          <w:tcPr>
            <w:tcW w:w="2028" w:type="dxa"/>
            <w:shd w:val="clear" w:color="auto" w:fill="auto"/>
            <w:vAlign w:val="center"/>
            <w:hideMark/>
          </w:tcPr>
          <w:p w:rsidR="006712FB" w:rsidRPr="00144FBE" w:rsidRDefault="006712FB" w:rsidP="00671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 xml:space="preserve">3.4.4. Mājokļu energoefektivitāte 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153 223 201,48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96 202 712,48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2 301 117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54 719 372</w:t>
            </w:r>
          </w:p>
        </w:tc>
      </w:tr>
      <w:tr w:rsidR="006712FB" w:rsidRPr="00144FBE" w:rsidTr="006712FB">
        <w:trPr>
          <w:trHeight w:val="270"/>
          <w:jc w:val="center"/>
        </w:trPr>
        <w:tc>
          <w:tcPr>
            <w:tcW w:w="2028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3.4.4.1.</w:t>
            </w:r>
            <w:r w:rsidR="00355B17">
              <w:rPr>
                <w:rFonts w:ascii="Times New Roman" w:hAnsi="Times New Roman" w:cs="Times New Roman"/>
                <w:sz w:val="20"/>
              </w:rPr>
              <w:t>aktivitāte.</w:t>
            </w:r>
            <w:r w:rsidRPr="00144FBE">
              <w:rPr>
                <w:rFonts w:ascii="Times New Roman" w:hAnsi="Times New Roman" w:cs="Times New Roman"/>
                <w:sz w:val="20"/>
              </w:rPr>
              <w:t xml:space="preserve"> Daudzdzīvokļu māju </w:t>
            </w:r>
            <w:proofErr w:type="spellStart"/>
            <w:r w:rsidRPr="00144FBE">
              <w:rPr>
                <w:rFonts w:ascii="Times New Roman" w:hAnsi="Times New Roman" w:cs="Times New Roman"/>
                <w:sz w:val="20"/>
              </w:rPr>
              <w:t>siltumnoturības</w:t>
            </w:r>
            <w:proofErr w:type="spellEnd"/>
            <w:r w:rsidRPr="00144FBE">
              <w:rPr>
                <w:rFonts w:ascii="Times New Roman" w:hAnsi="Times New Roman" w:cs="Times New Roman"/>
                <w:sz w:val="20"/>
              </w:rPr>
              <w:t xml:space="preserve"> uzlabošanas pasākumi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6712FB" w:rsidRPr="006712FB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12FB">
              <w:rPr>
                <w:rFonts w:ascii="Times New Roman" w:hAnsi="Times New Roman" w:cs="Times New Roman"/>
                <w:sz w:val="20"/>
              </w:rPr>
              <w:t>144 018 733,48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712FB" w:rsidRPr="006712FB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712FB">
              <w:rPr>
                <w:rFonts w:ascii="Times New Roman" w:hAnsi="Times New Roman" w:cs="Times New Roman"/>
                <w:sz w:val="20"/>
              </w:rPr>
              <w:t>89 299 361,48 (</w:t>
            </w:r>
            <w:proofErr w:type="spellStart"/>
            <w:r w:rsidRPr="006712FB">
              <w:rPr>
                <w:rFonts w:ascii="Times New Roman" w:hAnsi="Times New Roman" w:cs="Times New Roman"/>
                <w:sz w:val="20"/>
              </w:rPr>
              <w:t>t.sk</w:t>
            </w:r>
            <w:proofErr w:type="spellEnd"/>
            <w:r w:rsidRPr="006712F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712FB">
              <w:rPr>
                <w:rFonts w:ascii="Times New Roman" w:hAnsi="Times New Roman" w:cs="Times New Roman"/>
                <w:sz w:val="20"/>
              </w:rPr>
              <w:t>virssaistības</w:t>
            </w:r>
            <w:proofErr w:type="spellEnd"/>
            <w:r w:rsidRPr="006712FB">
              <w:rPr>
                <w:rFonts w:ascii="Times New Roman" w:hAnsi="Times New Roman" w:cs="Times New Roman"/>
                <w:sz w:val="20"/>
              </w:rPr>
              <w:t xml:space="preserve"> 11 382 974,48)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6712FB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12FB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6712FB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712FB">
              <w:rPr>
                <w:rFonts w:ascii="Times New Roman" w:hAnsi="Times New Roman" w:cs="Times New Roman"/>
                <w:bCs/>
                <w:sz w:val="20"/>
              </w:rPr>
              <w:t>54 719 372</w:t>
            </w:r>
          </w:p>
        </w:tc>
      </w:tr>
      <w:tr w:rsidR="006712FB" w:rsidRPr="00144FBE" w:rsidTr="006712FB">
        <w:trPr>
          <w:trHeight w:val="270"/>
          <w:jc w:val="center"/>
        </w:trPr>
        <w:tc>
          <w:tcPr>
            <w:tcW w:w="2028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3.4.4.2.</w:t>
            </w:r>
            <w:r w:rsidR="00355B17">
              <w:rPr>
                <w:rFonts w:ascii="Times New Roman" w:hAnsi="Times New Roman" w:cs="Times New Roman"/>
                <w:sz w:val="20"/>
              </w:rPr>
              <w:t>aktivitāte.</w:t>
            </w:r>
            <w:r w:rsidRPr="00144FBE">
              <w:rPr>
                <w:rFonts w:ascii="Times New Roman" w:hAnsi="Times New Roman" w:cs="Times New Roman"/>
              </w:rPr>
              <w:t xml:space="preserve"> </w:t>
            </w:r>
            <w:r w:rsidRPr="00144FBE">
              <w:rPr>
                <w:rFonts w:ascii="Times New Roman" w:hAnsi="Times New Roman" w:cs="Times New Roman"/>
                <w:sz w:val="20"/>
              </w:rPr>
              <w:t xml:space="preserve">Sociālo dzīvojamo māju </w:t>
            </w:r>
            <w:proofErr w:type="spellStart"/>
            <w:r w:rsidRPr="00144FBE">
              <w:rPr>
                <w:rFonts w:ascii="Times New Roman" w:hAnsi="Times New Roman" w:cs="Times New Roman"/>
                <w:sz w:val="20"/>
              </w:rPr>
              <w:t>siltumnoturības</w:t>
            </w:r>
            <w:proofErr w:type="spellEnd"/>
            <w:r w:rsidRPr="00144FBE">
              <w:rPr>
                <w:rFonts w:ascii="Times New Roman" w:hAnsi="Times New Roman" w:cs="Times New Roman"/>
                <w:sz w:val="20"/>
              </w:rPr>
              <w:t xml:space="preserve"> uzlabošanas pasākumi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9 204 468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6 903 351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2 301 117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</w:tbl>
    <w:p w:rsidR="0081363A" w:rsidRDefault="0081363A" w:rsidP="002969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6CC5" w:rsidRPr="00296984" w:rsidRDefault="00355B17" w:rsidP="002969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984">
        <w:rPr>
          <w:rFonts w:ascii="Times New Roman" w:hAnsi="Times New Roman" w:cs="Times New Roman"/>
          <w:sz w:val="24"/>
          <w:szCs w:val="24"/>
        </w:rPr>
        <w:t xml:space="preserve">3.4.4.1.aktivitātē „Daudzdzīvokļu māju </w:t>
      </w:r>
      <w:proofErr w:type="spellStart"/>
      <w:r w:rsidRPr="00296984">
        <w:rPr>
          <w:rFonts w:ascii="Times New Roman" w:hAnsi="Times New Roman" w:cs="Times New Roman"/>
          <w:sz w:val="24"/>
          <w:szCs w:val="24"/>
        </w:rPr>
        <w:t>siltumnoturības</w:t>
      </w:r>
      <w:proofErr w:type="spellEnd"/>
      <w:r w:rsidRPr="00296984">
        <w:rPr>
          <w:rFonts w:ascii="Times New Roman" w:hAnsi="Times New Roman" w:cs="Times New Roman"/>
          <w:sz w:val="24"/>
          <w:szCs w:val="24"/>
        </w:rPr>
        <w:t xml:space="preserve"> uzlabošanas pasākumi” l</w:t>
      </w:r>
      <w:r w:rsidR="000C2E8E" w:rsidRPr="00296984">
        <w:rPr>
          <w:rFonts w:ascii="Times New Roman" w:hAnsi="Times New Roman" w:cs="Times New Roman"/>
          <w:sz w:val="24"/>
          <w:szCs w:val="24"/>
        </w:rPr>
        <w:t>īdz 2</w:t>
      </w:r>
      <w:r w:rsidRPr="00296984">
        <w:rPr>
          <w:rFonts w:ascii="Times New Roman" w:hAnsi="Times New Roman" w:cs="Times New Roman"/>
          <w:sz w:val="24"/>
          <w:szCs w:val="24"/>
        </w:rPr>
        <w:t>0</w:t>
      </w:r>
      <w:r w:rsidR="000C2E8E" w:rsidRPr="00296984">
        <w:rPr>
          <w:rFonts w:ascii="Times New Roman" w:hAnsi="Times New Roman" w:cs="Times New Roman"/>
          <w:sz w:val="24"/>
          <w:szCs w:val="24"/>
        </w:rPr>
        <w:t>1</w:t>
      </w:r>
      <w:r w:rsidRPr="00296984">
        <w:rPr>
          <w:rFonts w:ascii="Times New Roman" w:hAnsi="Times New Roman" w:cs="Times New Roman"/>
          <w:sz w:val="24"/>
          <w:szCs w:val="24"/>
        </w:rPr>
        <w:t xml:space="preserve">4.gada 26.augustam noslēgti 889 līgumi par projektu īstenošanu par </w:t>
      </w:r>
      <w:r w:rsidR="00E07135" w:rsidRPr="00296984">
        <w:rPr>
          <w:rFonts w:ascii="Times New Roman" w:hAnsi="Times New Roman" w:cs="Times New Roman"/>
          <w:sz w:val="24"/>
          <w:szCs w:val="24"/>
        </w:rPr>
        <w:t xml:space="preserve">Eiropas Reģionālās attīstības fonda finansējumu (turpmāk – </w:t>
      </w:r>
      <w:r w:rsidRPr="00296984">
        <w:rPr>
          <w:rFonts w:ascii="Times New Roman" w:hAnsi="Times New Roman" w:cs="Times New Roman"/>
          <w:sz w:val="24"/>
          <w:szCs w:val="24"/>
        </w:rPr>
        <w:t>ERAF</w:t>
      </w:r>
      <w:r w:rsidR="00E07135" w:rsidRPr="00296984">
        <w:rPr>
          <w:rFonts w:ascii="Times New Roman" w:hAnsi="Times New Roman" w:cs="Times New Roman"/>
          <w:sz w:val="24"/>
          <w:szCs w:val="24"/>
        </w:rPr>
        <w:t>)</w:t>
      </w:r>
      <w:r w:rsidRPr="00296984">
        <w:rPr>
          <w:rFonts w:ascii="Times New Roman" w:hAnsi="Times New Roman" w:cs="Times New Roman"/>
          <w:sz w:val="24"/>
          <w:szCs w:val="24"/>
        </w:rPr>
        <w:t xml:space="preserve"> finansējumu 78 145 930,44 EUR, no tiem pabeigti 432 projekti par ERAF finansējumu 33 306 153,41 EUR</w:t>
      </w:r>
      <w:r w:rsidR="00486104" w:rsidRPr="00296984">
        <w:rPr>
          <w:rFonts w:ascii="Times New Roman" w:hAnsi="Times New Roman" w:cs="Times New Roman"/>
          <w:sz w:val="24"/>
          <w:szCs w:val="24"/>
        </w:rPr>
        <w:t xml:space="preserve">. </w:t>
      </w:r>
      <w:r w:rsidR="00466FFD" w:rsidRPr="00296984">
        <w:rPr>
          <w:rFonts w:ascii="Times New Roman" w:hAnsi="Times New Roman" w:cs="Times New Roman"/>
          <w:sz w:val="24"/>
          <w:szCs w:val="24"/>
        </w:rPr>
        <w:t>Projekt</w:t>
      </w:r>
      <w:r w:rsidRPr="00296984">
        <w:rPr>
          <w:rFonts w:ascii="Times New Roman" w:hAnsi="Times New Roman" w:cs="Times New Roman"/>
          <w:sz w:val="24"/>
          <w:szCs w:val="24"/>
        </w:rPr>
        <w:t>u</w:t>
      </w:r>
      <w:r w:rsidR="00466FFD" w:rsidRPr="00296984">
        <w:rPr>
          <w:rFonts w:ascii="Times New Roman" w:hAnsi="Times New Roman" w:cs="Times New Roman"/>
          <w:sz w:val="24"/>
          <w:szCs w:val="24"/>
        </w:rPr>
        <w:t xml:space="preserve"> īstenošana </w:t>
      </w:r>
      <w:r w:rsidRPr="00296984">
        <w:rPr>
          <w:rFonts w:ascii="Times New Roman" w:hAnsi="Times New Roman" w:cs="Times New Roman"/>
          <w:sz w:val="24"/>
          <w:szCs w:val="24"/>
        </w:rPr>
        <w:t>turpinās</w:t>
      </w:r>
      <w:r w:rsidR="00466FFD" w:rsidRPr="00296984">
        <w:rPr>
          <w:rFonts w:ascii="Times New Roman" w:hAnsi="Times New Roman" w:cs="Times New Roman"/>
          <w:sz w:val="24"/>
          <w:szCs w:val="24"/>
        </w:rPr>
        <w:t>.</w:t>
      </w:r>
    </w:p>
    <w:p w:rsidR="00355B17" w:rsidRPr="00296984" w:rsidRDefault="00355B17" w:rsidP="0060743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6984">
        <w:rPr>
          <w:rFonts w:ascii="Times New Roman" w:hAnsi="Times New Roman" w:cs="Times New Roman"/>
          <w:sz w:val="24"/>
          <w:szCs w:val="24"/>
        </w:rPr>
        <w:t xml:space="preserve">3.4.4.2.aktivitātes „Sociālo dzīvojamo māju </w:t>
      </w:r>
      <w:proofErr w:type="spellStart"/>
      <w:r w:rsidRPr="00296984">
        <w:rPr>
          <w:rFonts w:ascii="Times New Roman" w:hAnsi="Times New Roman" w:cs="Times New Roman"/>
          <w:sz w:val="24"/>
          <w:szCs w:val="24"/>
        </w:rPr>
        <w:t>siltumnoturības</w:t>
      </w:r>
      <w:proofErr w:type="spellEnd"/>
      <w:r w:rsidRPr="00296984">
        <w:rPr>
          <w:rFonts w:ascii="Times New Roman" w:hAnsi="Times New Roman" w:cs="Times New Roman"/>
          <w:sz w:val="24"/>
          <w:szCs w:val="24"/>
        </w:rPr>
        <w:t xml:space="preserve"> uzlabošanas pasākumi” ietvaros ir noslēgti līgumi par 55 projektu īstenošanu par ERAF finansējumu 5 188 610,76 EUR, no tiem pabeigti 52 projekti, vēl 3 projektu īstenošana noslēgsies līdz </w:t>
      </w:r>
      <w:r w:rsidR="00E07135" w:rsidRPr="00296984">
        <w:rPr>
          <w:rFonts w:ascii="Times New Roman" w:hAnsi="Times New Roman" w:cs="Times New Roman"/>
          <w:sz w:val="24"/>
          <w:szCs w:val="24"/>
        </w:rPr>
        <w:t>2014.</w:t>
      </w:r>
      <w:r w:rsidRPr="00296984">
        <w:rPr>
          <w:rFonts w:ascii="Times New Roman" w:hAnsi="Times New Roman" w:cs="Times New Roman"/>
          <w:sz w:val="24"/>
          <w:szCs w:val="24"/>
        </w:rPr>
        <w:t>gada beigām.</w:t>
      </w:r>
    </w:p>
    <w:p w:rsidR="00296D9B" w:rsidRPr="00607431" w:rsidRDefault="00296D9B" w:rsidP="00607431">
      <w:pPr>
        <w:pStyle w:val="ListParagraph"/>
        <w:numPr>
          <w:ilvl w:val="0"/>
          <w:numId w:val="2"/>
        </w:numPr>
        <w:ind w:left="714" w:hanging="357"/>
        <w:jc w:val="right"/>
        <w:rPr>
          <w:rFonts w:cs="Times New Roman"/>
          <w:sz w:val="24"/>
          <w:szCs w:val="24"/>
        </w:rPr>
      </w:pPr>
      <w:r w:rsidRPr="00607431">
        <w:rPr>
          <w:rFonts w:cs="Times New Roman"/>
          <w:sz w:val="24"/>
          <w:szCs w:val="24"/>
        </w:rPr>
        <w:t xml:space="preserve">tabula </w:t>
      </w:r>
    </w:p>
    <w:p w:rsidR="009A6F47" w:rsidRPr="00AC28D5" w:rsidRDefault="009A6F47" w:rsidP="009A6F47">
      <w:pPr>
        <w:pStyle w:val="ListParagraph"/>
        <w:jc w:val="center"/>
        <w:rPr>
          <w:rFonts w:cs="Times New Roman"/>
          <w:b/>
          <w:sz w:val="24"/>
          <w:szCs w:val="24"/>
        </w:rPr>
      </w:pPr>
      <w:r w:rsidRPr="00AC28D5">
        <w:rPr>
          <w:rFonts w:cs="Times New Roman"/>
          <w:b/>
          <w:sz w:val="24"/>
          <w:szCs w:val="24"/>
        </w:rPr>
        <w:t>K</w:t>
      </w:r>
      <w:r w:rsidR="00FF29BC" w:rsidRPr="00AC28D5">
        <w:rPr>
          <w:rFonts w:cs="Times New Roman"/>
          <w:b/>
          <w:sz w:val="24"/>
          <w:szCs w:val="24"/>
        </w:rPr>
        <w:t>ohēzijas fonda</w:t>
      </w:r>
      <w:r w:rsidRPr="00AC28D5">
        <w:rPr>
          <w:rFonts w:cs="Times New Roman"/>
          <w:b/>
          <w:sz w:val="24"/>
          <w:szCs w:val="24"/>
        </w:rPr>
        <w:t xml:space="preserve"> finansējuma </w:t>
      </w:r>
      <w:r w:rsidR="00C91079" w:rsidRPr="00AC28D5">
        <w:rPr>
          <w:rFonts w:cs="Times New Roman"/>
          <w:b/>
          <w:sz w:val="24"/>
          <w:szCs w:val="24"/>
        </w:rPr>
        <w:t>piesaiste</w:t>
      </w:r>
      <w:r w:rsidRPr="00AC28D5">
        <w:rPr>
          <w:rFonts w:cs="Times New Roman"/>
          <w:b/>
          <w:sz w:val="24"/>
          <w:szCs w:val="24"/>
        </w:rPr>
        <w:t xml:space="preserve"> 2007</w:t>
      </w:r>
      <w:r w:rsidR="0018114F" w:rsidRPr="00AC28D5">
        <w:rPr>
          <w:rFonts w:cs="Times New Roman"/>
          <w:b/>
          <w:sz w:val="24"/>
          <w:szCs w:val="24"/>
        </w:rPr>
        <w:t>-201</w:t>
      </w:r>
      <w:r w:rsidR="00720E17">
        <w:rPr>
          <w:rFonts w:cs="Times New Roman"/>
          <w:b/>
          <w:sz w:val="24"/>
          <w:szCs w:val="24"/>
        </w:rPr>
        <w:t>3</w:t>
      </w:r>
      <w:r w:rsidRPr="00AC28D5">
        <w:rPr>
          <w:rFonts w:cs="Times New Roman"/>
          <w:b/>
          <w:sz w:val="24"/>
          <w:szCs w:val="24"/>
        </w:rPr>
        <w:t>, EUR</w:t>
      </w:r>
    </w:p>
    <w:tbl>
      <w:tblPr>
        <w:tblW w:w="6088" w:type="dxa"/>
        <w:jc w:val="center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6"/>
        <w:gridCol w:w="1586"/>
        <w:gridCol w:w="1707"/>
        <w:gridCol w:w="1250"/>
      </w:tblGrid>
      <w:tr w:rsidR="006712FB" w:rsidRPr="00144FBE" w:rsidTr="006712FB">
        <w:trPr>
          <w:trHeight w:val="27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Investīciju joma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Kopā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 xml:space="preserve">ES fondu finansējums un </w:t>
            </w:r>
            <w:proofErr w:type="spellStart"/>
            <w:r w:rsidRPr="00144FBE">
              <w:rPr>
                <w:rFonts w:ascii="Times New Roman" w:hAnsi="Times New Roman" w:cs="Times New Roman"/>
                <w:b/>
                <w:sz w:val="20"/>
              </w:rPr>
              <w:t>virssaistības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712FB" w:rsidRPr="00144FBE" w:rsidRDefault="006712FB" w:rsidP="008E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sz w:val="20"/>
              </w:rPr>
              <w:t>Privātais kapitāls</w:t>
            </w:r>
          </w:p>
        </w:tc>
      </w:tr>
      <w:tr w:rsidR="006712FB" w:rsidRPr="00144FBE" w:rsidTr="006712FB">
        <w:trPr>
          <w:trHeight w:val="270"/>
          <w:jc w:val="center"/>
        </w:trPr>
        <w:tc>
          <w:tcPr>
            <w:tcW w:w="1545" w:type="dxa"/>
            <w:shd w:val="clear" w:color="auto" w:fill="auto"/>
            <w:vAlign w:val="center"/>
            <w:hideMark/>
          </w:tcPr>
          <w:p w:rsidR="006712FB" w:rsidRPr="00144FBE" w:rsidRDefault="006712FB" w:rsidP="006712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3.5.2. Enerģētika 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228 077 100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114 038 550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114 038 550</w:t>
            </w:r>
          </w:p>
        </w:tc>
      </w:tr>
      <w:tr w:rsidR="006712FB" w:rsidRPr="00144FBE" w:rsidTr="006712FB">
        <w:trPr>
          <w:trHeight w:val="270"/>
          <w:jc w:val="center"/>
        </w:trPr>
        <w:tc>
          <w:tcPr>
            <w:tcW w:w="1545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3.5.2.1.1.</w:t>
            </w:r>
            <w:r w:rsidR="00EE209D">
              <w:rPr>
                <w:rFonts w:ascii="Times New Roman" w:hAnsi="Times New Roman" w:cs="Times New Roman"/>
                <w:sz w:val="20"/>
              </w:rPr>
              <w:t>apakšaktivitāte.</w:t>
            </w:r>
            <w:r w:rsidRPr="00144FBE">
              <w:rPr>
                <w:rFonts w:ascii="Times New Roman" w:hAnsi="Times New Roman" w:cs="Times New Roman"/>
                <w:sz w:val="20"/>
              </w:rPr>
              <w:t xml:space="preserve"> Pasākumi centralizētās siltumapgādes sistēmu efektivitātes paaugstināšanai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168 897 766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84 448 883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84 448 883</w:t>
            </w:r>
          </w:p>
        </w:tc>
      </w:tr>
      <w:tr w:rsidR="006712FB" w:rsidRPr="00144FBE" w:rsidTr="006712FB">
        <w:trPr>
          <w:trHeight w:val="270"/>
          <w:jc w:val="center"/>
        </w:trPr>
        <w:tc>
          <w:tcPr>
            <w:tcW w:w="1545" w:type="dxa"/>
            <w:shd w:val="clear" w:color="auto" w:fill="auto"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3.5.2.2.</w:t>
            </w:r>
            <w:r w:rsidR="00EE209D">
              <w:rPr>
                <w:rFonts w:ascii="Times New Roman" w:hAnsi="Times New Roman" w:cs="Times New Roman"/>
                <w:sz w:val="20"/>
              </w:rPr>
              <w:t>aktivitāte.</w:t>
            </w:r>
            <w:r w:rsidRPr="00144FBE">
              <w:rPr>
                <w:rFonts w:ascii="Times New Roman" w:hAnsi="Times New Roman" w:cs="Times New Roman"/>
                <w:sz w:val="20"/>
              </w:rPr>
              <w:t xml:space="preserve"> Atjaunojamo energoresursu izmantojošu koģenerācijas elektrostaciju attīstība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144FBE">
              <w:rPr>
                <w:rFonts w:ascii="Times New Roman" w:hAnsi="Times New Roman" w:cs="Times New Roman"/>
                <w:bCs/>
                <w:color w:val="000000"/>
                <w:sz w:val="20"/>
              </w:rPr>
              <w:t>59 179 334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879E4">
            <w:pPr>
              <w:pStyle w:val="ListParagraph"/>
              <w:ind w:left="-83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144FBE">
              <w:rPr>
                <w:rFonts w:cs="Times New Roman"/>
                <w:bCs/>
                <w:color w:val="000000"/>
                <w:sz w:val="20"/>
              </w:rPr>
              <w:t>29 589 667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712FB" w:rsidRPr="00144FBE" w:rsidRDefault="006712FB" w:rsidP="00296D9B">
            <w:pPr>
              <w:pStyle w:val="ListParagraph"/>
              <w:numPr>
                <w:ilvl w:val="0"/>
                <w:numId w:val="3"/>
              </w:numPr>
              <w:contextualSpacing w:val="0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144FBE">
              <w:rPr>
                <w:rFonts w:cs="Times New Roman"/>
                <w:bCs/>
                <w:color w:val="000000"/>
                <w:sz w:val="20"/>
              </w:rPr>
              <w:t>589 667</w:t>
            </w:r>
          </w:p>
        </w:tc>
      </w:tr>
    </w:tbl>
    <w:p w:rsidR="00D33928" w:rsidRPr="009268A1" w:rsidRDefault="00720E17" w:rsidP="00EE20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09D">
        <w:rPr>
          <w:rFonts w:ascii="Times New Roman" w:hAnsi="Times New Roman" w:cs="Times New Roman"/>
          <w:sz w:val="24"/>
          <w:szCs w:val="24"/>
        </w:rPr>
        <w:lastRenderedPageBreak/>
        <w:t>3.5.2.1.1.apakšaktivitātes „Pasākumi centralizētās siltumapgādes sistēmu efektivitātes paaugstināšanai”</w:t>
      </w:r>
      <w:r w:rsidR="00486104">
        <w:rPr>
          <w:rFonts w:ascii="Times New Roman" w:hAnsi="Times New Roman" w:cs="Times New Roman"/>
          <w:sz w:val="24"/>
          <w:szCs w:val="24"/>
        </w:rPr>
        <w:t xml:space="preserve"> ietvaros</w:t>
      </w:r>
      <w:r w:rsidR="00466FFD">
        <w:rPr>
          <w:rFonts w:ascii="Times New Roman" w:hAnsi="Times New Roman" w:cs="Times New Roman"/>
          <w:sz w:val="24"/>
          <w:szCs w:val="24"/>
        </w:rPr>
        <w:t xml:space="preserve"> Kohēzijas fonda</w:t>
      </w:r>
      <w:r w:rsidR="00EE209D">
        <w:rPr>
          <w:rFonts w:ascii="Times New Roman" w:hAnsi="Times New Roman" w:cs="Times New Roman"/>
          <w:sz w:val="24"/>
          <w:szCs w:val="24"/>
        </w:rPr>
        <w:t xml:space="preserve"> (turpmāk – KF)</w:t>
      </w:r>
      <w:r w:rsidR="00466FFD">
        <w:rPr>
          <w:rFonts w:ascii="Times New Roman" w:hAnsi="Times New Roman" w:cs="Times New Roman"/>
          <w:sz w:val="24"/>
          <w:szCs w:val="24"/>
        </w:rPr>
        <w:t xml:space="preserve"> līdzfinansējum</w:t>
      </w:r>
      <w:r>
        <w:rPr>
          <w:rFonts w:ascii="Times New Roman" w:hAnsi="Times New Roman" w:cs="Times New Roman"/>
          <w:sz w:val="24"/>
          <w:szCs w:val="24"/>
        </w:rPr>
        <w:t>s paredzēts siltumtrašu un katlu māju rekonstrukcijai un būvniecībai</w:t>
      </w:r>
      <w:r w:rsidR="0048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Līdz 2014.gada 26.augustam ir noslēgti 109 līgumi par </w:t>
      </w:r>
      <w:r w:rsidR="00EE209D">
        <w:rPr>
          <w:rFonts w:ascii="Times New Roman" w:hAnsi="Times New Roman" w:cs="Times New Roman"/>
          <w:sz w:val="24"/>
          <w:szCs w:val="24"/>
        </w:rPr>
        <w:t xml:space="preserve">KF finansējumu </w:t>
      </w:r>
      <w:r w:rsidRPr="00720E1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E17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E17">
        <w:rPr>
          <w:rFonts w:ascii="Times New Roman" w:hAnsi="Times New Roman" w:cs="Times New Roman"/>
          <w:sz w:val="24"/>
          <w:szCs w:val="24"/>
        </w:rPr>
        <w:t>204,98</w:t>
      </w:r>
      <w:r>
        <w:rPr>
          <w:rFonts w:ascii="Times New Roman" w:hAnsi="Times New Roman" w:cs="Times New Roman"/>
          <w:sz w:val="24"/>
          <w:szCs w:val="24"/>
        </w:rPr>
        <w:t xml:space="preserve"> EUR, no tiem pabeigti 42 projekti par </w:t>
      </w:r>
      <w:r w:rsidR="00EE209D">
        <w:rPr>
          <w:rFonts w:ascii="Times New Roman" w:hAnsi="Times New Roman" w:cs="Times New Roman"/>
          <w:sz w:val="24"/>
          <w:szCs w:val="24"/>
        </w:rPr>
        <w:t xml:space="preserve">KF finansējumu </w:t>
      </w:r>
      <w:r w:rsidRPr="00720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E17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E17">
        <w:rPr>
          <w:rFonts w:ascii="Times New Roman" w:hAnsi="Times New Roman" w:cs="Times New Roman"/>
          <w:sz w:val="24"/>
          <w:szCs w:val="24"/>
        </w:rPr>
        <w:t>431,65</w:t>
      </w:r>
      <w:r>
        <w:rPr>
          <w:rFonts w:ascii="Times New Roman" w:hAnsi="Times New Roman" w:cs="Times New Roman"/>
          <w:sz w:val="24"/>
          <w:szCs w:val="24"/>
        </w:rPr>
        <w:t xml:space="preserve"> EUR. Plānota vēl viena projektu iesniegumu atlases kārta no 2014.gada 15.septembra līdz 14.novembrim, kur pieejamais </w:t>
      </w:r>
      <w:r w:rsidR="00EE209D">
        <w:rPr>
          <w:rFonts w:ascii="Times New Roman" w:hAnsi="Times New Roman" w:cs="Times New Roman"/>
          <w:sz w:val="24"/>
          <w:szCs w:val="24"/>
        </w:rPr>
        <w:t xml:space="preserve">KF </w:t>
      </w:r>
      <w:r>
        <w:rPr>
          <w:rFonts w:ascii="Times New Roman" w:hAnsi="Times New Roman" w:cs="Times New Roman"/>
          <w:sz w:val="24"/>
          <w:szCs w:val="24"/>
        </w:rPr>
        <w:t xml:space="preserve">finansējums </w:t>
      </w:r>
      <w:r w:rsidRPr="00EE209D">
        <w:rPr>
          <w:rFonts w:ascii="Times New Roman" w:hAnsi="Times New Roman" w:cs="Times New Roman"/>
          <w:sz w:val="24"/>
          <w:szCs w:val="24"/>
        </w:rPr>
        <w:t>14 196 678,02 EUR</w:t>
      </w:r>
      <w:r w:rsidR="00E83CFE">
        <w:rPr>
          <w:rFonts w:ascii="Times New Roman" w:hAnsi="Times New Roman" w:cs="Times New Roman"/>
          <w:sz w:val="24"/>
          <w:szCs w:val="24"/>
        </w:rPr>
        <w:t>.</w:t>
      </w:r>
    </w:p>
    <w:p w:rsidR="0093111B" w:rsidRPr="009268A1" w:rsidRDefault="00EE209D" w:rsidP="004160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B17">
        <w:rPr>
          <w:rFonts w:ascii="Times New Roman" w:hAnsi="Times New Roman" w:cs="Times New Roman"/>
          <w:sz w:val="24"/>
          <w:szCs w:val="24"/>
        </w:rPr>
        <w:t>3.5.2.2.aktivitātes „Atjaunojamo energoresursu izmantojošu koģenerācijas elektrostaciju attīstība”</w:t>
      </w:r>
      <w:r w:rsidR="0041603C" w:rsidRPr="00355B17">
        <w:rPr>
          <w:rFonts w:ascii="Times New Roman" w:hAnsi="Times New Roman" w:cs="Times New Roman"/>
          <w:sz w:val="24"/>
          <w:szCs w:val="24"/>
        </w:rPr>
        <w:t xml:space="preserve"> </w:t>
      </w:r>
      <w:r w:rsidR="0041603C">
        <w:rPr>
          <w:rFonts w:ascii="Times New Roman" w:hAnsi="Times New Roman" w:cs="Times New Roman"/>
          <w:sz w:val="24"/>
          <w:szCs w:val="24"/>
        </w:rPr>
        <w:t xml:space="preserve">ietvaros </w:t>
      </w:r>
      <w:r>
        <w:rPr>
          <w:rFonts w:ascii="Times New Roman" w:hAnsi="Times New Roman" w:cs="Times New Roman"/>
          <w:sz w:val="24"/>
          <w:szCs w:val="24"/>
        </w:rPr>
        <w:t>ir noslēgti</w:t>
      </w:r>
      <w:r w:rsidR="0041603C" w:rsidRPr="0041603C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līgumi par </w:t>
      </w:r>
      <w:r w:rsidR="0041603C" w:rsidRPr="0041603C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 īstenošanu par KF finansējumu</w:t>
      </w:r>
      <w:r w:rsidR="00365B26">
        <w:rPr>
          <w:rFonts w:ascii="Times New Roman" w:hAnsi="Times New Roman" w:cs="Times New Roman"/>
          <w:sz w:val="24"/>
          <w:szCs w:val="24"/>
        </w:rPr>
        <w:t xml:space="preserve"> </w:t>
      </w:r>
      <w:r w:rsidRPr="00EE209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209D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209D">
        <w:rPr>
          <w:rFonts w:ascii="Times New Roman" w:hAnsi="Times New Roman" w:cs="Times New Roman"/>
          <w:sz w:val="24"/>
          <w:szCs w:val="24"/>
        </w:rPr>
        <w:t>666,4</w:t>
      </w:r>
      <w:r>
        <w:rPr>
          <w:rFonts w:ascii="Times New Roman" w:hAnsi="Times New Roman" w:cs="Times New Roman"/>
          <w:sz w:val="24"/>
          <w:szCs w:val="24"/>
        </w:rPr>
        <w:t xml:space="preserve"> EUR, līdz šim (2014.gada 26.augustam) ir noslēgusies 8 projektu īstenošana, vēl 2 projektu īstenošana tiks pabeigta līdz 2014.gada beigām.</w:t>
      </w:r>
      <w:r w:rsidR="00365B26" w:rsidRPr="00365B26">
        <w:rPr>
          <w:rFonts w:ascii="Times New Roman" w:hAnsi="Times New Roman" w:cs="Times New Roman"/>
          <w:sz w:val="24"/>
          <w:szCs w:val="24"/>
        </w:rPr>
        <w:t>.</w:t>
      </w:r>
      <w:r w:rsidR="00365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65B26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603C" w:rsidRPr="0041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īstenošanas rezultātā veikti ieguldījumi</w:t>
      </w:r>
      <w:r w:rsidRPr="0041603C">
        <w:rPr>
          <w:rFonts w:ascii="Times New Roman" w:hAnsi="Times New Roman" w:cs="Times New Roman"/>
          <w:sz w:val="24"/>
          <w:szCs w:val="24"/>
        </w:rPr>
        <w:t xml:space="preserve"> </w:t>
      </w:r>
      <w:r w:rsidR="0041603C" w:rsidRPr="0041603C">
        <w:rPr>
          <w:rFonts w:ascii="Times New Roman" w:hAnsi="Times New Roman" w:cs="Times New Roman"/>
          <w:sz w:val="24"/>
          <w:szCs w:val="24"/>
        </w:rPr>
        <w:t>atjaunojamos energoresursus iz</w:t>
      </w:r>
      <w:r w:rsidR="0041603C">
        <w:rPr>
          <w:rFonts w:ascii="Times New Roman" w:hAnsi="Times New Roman" w:cs="Times New Roman"/>
          <w:sz w:val="24"/>
          <w:szCs w:val="24"/>
        </w:rPr>
        <w:t>mantojošu koģenerāci</w:t>
      </w:r>
      <w:r w:rsidR="00365B26">
        <w:rPr>
          <w:rFonts w:ascii="Times New Roman" w:hAnsi="Times New Roman" w:cs="Times New Roman"/>
          <w:sz w:val="24"/>
          <w:szCs w:val="24"/>
        </w:rPr>
        <w:t xml:space="preserve">jas </w:t>
      </w:r>
      <w:r>
        <w:rPr>
          <w:rFonts w:ascii="Times New Roman" w:hAnsi="Times New Roman" w:cs="Times New Roman"/>
          <w:sz w:val="24"/>
          <w:szCs w:val="24"/>
        </w:rPr>
        <w:t>elektro</w:t>
      </w:r>
      <w:r w:rsidR="00365B26">
        <w:rPr>
          <w:rFonts w:ascii="Times New Roman" w:hAnsi="Times New Roman" w:cs="Times New Roman"/>
          <w:sz w:val="24"/>
          <w:szCs w:val="24"/>
        </w:rPr>
        <w:t>stacij</w:t>
      </w:r>
      <w:r>
        <w:rPr>
          <w:rFonts w:ascii="Times New Roman" w:hAnsi="Times New Roman" w:cs="Times New Roman"/>
          <w:sz w:val="24"/>
          <w:szCs w:val="24"/>
        </w:rPr>
        <w:t>u attīstībai</w:t>
      </w:r>
      <w:r w:rsidR="0041603C">
        <w:rPr>
          <w:rFonts w:ascii="Times New Roman" w:hAnsi="Times New Roman" w:cs="Times New Roman"/>
          <w:sz w:val="24"/>
          <w:szCs w:val="24"/>
        </w:rPr>
        <w:t xml:space="preserve"> </w:t>
      </w:r>
      <w:r w:rsidR="00355B17">
        <w:rPr>
          <w:rFonts w:ascii="Times New Roman" w:hAnsi="Times New Roman" w:cs="Times New Roman"/>
          <w:sz w:val="24"/>
          <w:szCs w:val="24"/>
        </w:rPr>
        <w:t xml:space="preserve">Jelgavā, </w:t>
      </w:r>
      <w:r w:rsidR="0041603C">
        <w:rPr>
          <w:rFonts w:ascii="Times New Roman" w:hAnsi="Times New Roman" w:cs="Times New Roman"/>
          <w:sz w:val="24"/>
          <w:szCs w:val="24"/>
        </w:rPr>
        <w:t>Jēkabpilī, Saldū, Rīgā, Gulbenē, Liepājā, Kārsavā, Valkā un Kuldīgā.</w:t>
      </w:r>
    </w:p>
    <w:p w:rsidR="0018114F" w:rsidRPr="00607431" w:rsidRDefault="0018114F" w:rsidP="0018114F">
      <w:pPr>
        <w:pStyle w:val="ListParagraph"/>
        <w:numPr>
          <w:ilvl w:val="0"/>
          <w:numId w:val="2"/>
        </w:numPr>
        <w:jc w:val="right"/>
        <w:rPr>
          <w:rFonts w:cs="Times New Roman"/>
          <w:sz w:val="24"/>
          <w:szCs w:val="24"/>
        </w:rPr>
      </w:pPr>
      <w:r w:rsidRPr="00607431">
        <w:rPr>
          <w:rFonts w:cs="Times New Roman"/>
          <w:sz w:val="24"/>
          <w:szCs w:val="24"/>
        </w:rPr>
        <w:t xml:space="preserve">tabula </w:t>
      </w:r>
    </w:p>
    <w:p w:rsidR="009A6F47" w:rsidRPr="00F36094" w:rsidRDefault="00144FBE" w:rsidP="009A6F47">
      <w:pPr>
        <w:pStyle w:val="ListParagraph"/>
        <w:jc w:val="center"/>
        <w:rPr>
          <w:rFonts w:cs="Times New Roman"/>
          <w:b/>
          <w:sz w:val="24"/>
          <w:szCs w:val="24"/>
        </w:rPr>
      </w:pPr>
      <w:r w:rsidRPr="00F36094">
        <w:rPr>
          <w:rFonts w:cs="Times New Roman"/>
          <w:b/>
          <w:sz w:val="24"/>
          <w:szCs w:val="24"/>
        </w:rPr>
        <w:t>Eiropas Enerģētikas tīkla</w:t>
      </w:r>
      <w:r w:rsidR="009A6F47" w:rsidRPr="00F36094">
        <w:rPr>
          <w:rFonts w:cs="Times New Roman"/>
          <w:b/>
          <w:sz w:val="24"/>
          <w:szCs w:val="24"/>
        </w:rPr>
        <w:t xml:space="preserve"> finansējuma </w:t>
      </w:r>
      <w:r w:rsidR="00C91079" w:rsidRPr="00F36094">
        <w:rPr>
          <w:rFonts w:cs="Times New Roman"/>
          <w:b/>
          <w:sz w:val="24"/>
          <w:szCs w:val="24"/>
        </w:rPr>
        <w:t>piesaiste</w:t>
      </w:r>
      <w:r w:rsidR="009A6F47" w:rsidRPr="00F36094">
        <w:rPr>
          <w:rFonts w:cs="Times New Roman"/>
          <w:b/>
          <w:sz w:val="24"/>
          <w:szCs w:val="24"/>
        </w:rPr>
        <w:t>, EUR</w:t>
      </w:r>
    </w:p>
    <w:tbl>
      <w:tblPr>
        <w:tblW w:w="680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701"/>
      </w:tblGrid>
      <w:tr w:rsidR="00DD72DB" w:rsidRPr="00F36094" w:rsidTr="00DD72DB">
        <w:trPr>
          <w:trHeight w:val="60"/>
          <w:jc w:val="center"/>
        </w:trPr>
        <w:tc>
          <w:tcPr>
            <w:tcW w:w="2551" w:type="dxa"/>
            <w:shd w:val="clear" w:color="000000" w:fill="auto"/>
            <w:vAlign w:val="center"/>
            <w:hideMark/>
          </w:tcPr>
          <w:p w:rsidR="00DD72DB" w:rsidRPr="00F36094" w:rsidRDefault="009268A1" w:rsidP="006712FB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Eiropas Enerģētikas tīkls</w:t>
            </w:r>
            <w:r w:rsidR="00DD72DB" w:rsidRPr="00F3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D72DB" w:rsidRPr="00F36094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D72DB" w:rsidRPr="00F36094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 fondu finansējums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D72DB" w:rsidRPr="00F36094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Privātais kapitāls</w:t>
            </w:r>
          </w:p>
        </w:tc>
      </w:tr>
      <w:tr w:rsidR="00DD72DB" w:rsidRPr="00144FBE" w:rsidTr="00DD72DB">
        <w:trPr>
          <w:trHeight w:val="60"/>
          <w:jc w:val="center"/>
        </w:trPr>
        <w:tc>
          <w:tcPr>
            <w:tcW w:w="2551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Ģeoloģiskā un ekonomiskā izpēte par dabasgāzes pazemes krātuves iespējamo izveidi Latvijā, Dobeles rajonā  (2009-2010)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2 263 800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1 131 900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D72DB" w:rsidRPr="00144FBE" w:rsidRDefault="00DD72DB" w:rsidP="008C5DE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1 131 900</w:t>
            </w:r>
          </w:p>
        </w:tc>
      </w:tr>
      <w:tr w:rsidR="00DD72DB" w:rsidRPr="00144FBE" w:rsidTr="00DD72DB">
        <w:trPr>
          <w:trHeight w:val="60"/>
          <w:jc w:val="center"/>
        </w:trPr>
        <w:tc>
          <w:tcPr>
            <w:tcW w:w="2551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Kurzemes loka ietekmes uz vidi novērtējums un trases izpēte (2009-2013)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700 000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325 000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325 000</w:t>
            </w:r>
          </w:p>
        </w:tc>
      </w:tr>
      <w:tr w:rsidR="00486104" w:rsidRPr="00144FBE" w:rsidTr="00DD72DB">
        <w:trPr>
          <w:trHeight w:val="60"/>
          <w:jc w:val="center"/>
        </w:trPr>
        <w:tc>
          <w:tcPr>
            <w:tcW w:w="2551" w:type="dxa"/>
            <w:shd w:val="clear" w:color="000000" w:fill="auto"/>
            <w:vAlign w:val="center"/>
            <w:hideMark/>
          </w:tcPr>
          <w:p w:rsidR="00486104" w:rsidRPr="00144FBE" w:rsidRDefault="00486104" w:rsidP="002879E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 xml:space="preserve">Igaunijas-Latvijas trešā </w:t>
            </w:r>
            <w:proofErr w:type="spellStart"/>
            <w:r w:rsidRPr="00144FBE">
              <w:rPr>
                <w:rFonts w:ascii="Times New Roman" w:hAnsi="Times New Roman" w:cs="Times New Roman"/>
                <w:sz w:val="20"/>
              </w:rPr>
              <w:t>starpsavienojuma</w:t>
            </w:r>
            <w:proofErr w:type="spellEnd"/>
            <w:r w:rsidRPr="00144FBE">
              <w:rPr>
                <w:rFonts w:ascii="Times New Roman" w:hAnsi="Times New Roman" w:cs="Times New Roman"/>
                <w:sz w:val="20"/>
              </w:rPr>
              <w:t xml:space="preserve"> ietekmes uz vidi novērtējums un trases izpēte (2013-2015)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486104" w:rsidRPr="00144FBE" w:rsidRDefault="00486104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1 000 000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486104" w:rsidRPr="00144FBE" w:rsidRDefault="00486104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500 000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86104" w:rsidRPr="00144FBE" w:rsidRDefault="00486104" w:rsidP="0032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500 000</w:t>
            </w:r>
          </w:p>
        </w:tc>
      </w:tr>
    </w:tbl>
    <w:p w:rsidR="0093111B" w:rsidRDefault="0093111B" w:rsidP="00652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1B" w:rsidRDefault="0043511B" w:rsidP="0093111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Projekts </w:t>
      </w:r>
      <w:r w:rsidR="0093111B" w:rsidRPr="00486104">
        <w:rPr>
          <w:rFonts w:ascii="Times New Roman" w:hAnsi="Times New Roman" w:cs="Times New Roman"/>
          <w:i/>
          <w:sz w:val="24"/>
          <w:szCs w:val="24"/>
        </w:rPr>
        <w:t xml:space="preserve">Dobeles ģeoloģiskā un ekonomiskā izpēte par dabasgāzes pazemes krātuves </w:t>
      </w:r>
      <w:r w:rsidRPr="00486104">
        <w:rPr>
          <w:rFonts w:ascii="Times New Roman" w:hAnsi="Times New Roman" w:cs="Times New Roman"/>
          <w:i/>
          <w:sz w:val="24"/>
          <w:szCs w:val="24"/>
        </w:rPr>
        <w:t>iespējamo izveidi</w:t>
      </w:r>
      <w:r>
        <w:rPr>
          <w:rFonts w:ascii="Times New Roman" w:hAnsi="Times New Roman" w:cs="Times New Roman"/>
          <w:sz w:val="24"/>
          <w:szCs w:val="24"/>
        </w:rPr>
        <w:t xml:space="preserve"> ir noslēdzies</w:t>
      </w:r>
      <w:r w:rsidR="00486104">
        <w:rPr>
          <w:rFonts w:ascii="Times New Roman" w:hAnsi="Times New Roman" w:cs="Times New Roman"/>
          <w:sz w:val="24"/>
          <w:szCs w:val="24"/>
        </w:rPr>
        <w:t xml:space="preserve"> 2010.gada novembrī</w:t>
      </w:r>
      <w:r w:rsidR="00931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Projekta ietvaros t</w:t>
      </w:r>
      <w:r w:rsidR="0093111B">
        <w:rPr>
          <w:rFonts w:ascii="Times New Roman" w:hAnsi="Times New Roman" w:cs="Times New Roman"/>
          <w:sz w:val="24"/>
          <w:szCs w:val="24"/>
        </w:rPr>
        <w:t>ika noteikts, ka Dobeles struktūra ir piemērota paz</w:t>
      </w:r>
      <w:r w:rsidR="009268A1">
        <w:rPr>
          <w:rFonts w:ascii="Times New Roman" w:hAnsi="Times New Roman" w:cs="Times New Roman"/>
          <w:sz w:val="24"/>
          <w:szCs w:val="24"/>
        </w:rPr>
        <w:t>emes gāzes krātuves ierīkošanai. T</w:t>
      </w:r>
      <w:r w:rsidR="0093111B">
        <w:rPr>
          <w:rFonts w:ascii="Times New Roman" w:hAnsi="Times New Roman" w:cs="Times New Roman"/>
          <w:sz w:val="24"/>
          <w:szCs w:val="24"/>
        </w:rPr>
        <w:t>urklāt, tā</w:t>
      </w:r>
      <w:r w:rsidR="009268A1">
        <w:rPr>
          <w:rFonts w:ascii="Times New Roman" w:hAnsi="Times New Roman" w:cs="Times New Roman"/>
          <w:sz w:val="24"/>
          <w:szCs w:val="24"/>
        </w:rPr>
        <w:t xml:space="preserve"> potenciāli</w:t>
      </w:r>
      <w:r w:rsidR="0093111B">
        <w:rPr>
          <w:rFonts w:ascii="Times New Roman" w:hAnsi="Times New Roman" w:cs="Times New Roman"/>
          <w:sz w:val="24"/>
          <w:szCs w:val="24"/>
        </w:rPr>
        <w:t xml:space="preserve"> varētu kļūt par lielāko pazemes gāzes krātuvi Eiropas Savienībā</w:t>
      </w:r>
      <w:r w:rsidR="00466FFD">
        <w:rPr>
          <w:rFonts w:ascii="Times New Roman" w:hAnsi="Times New Roman" w:cs="Times New Roman"/>
          <w:sz w:val="24"/>
          <w:szCs w:val="24"/>
        </w:rPr>
        <w:t>.</w:t>
      </w:r>
    </w:p>
    <w:p w:rsidR="00DD72DB" w:rsidRDefault="00DD72DB" w:rsidP="0093111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104">
        <w:rPr>
          <w:rFonts w:ascii="Times New Roman" w:hAnsi="Times New Roman" w:cs="Times New Roman"/>
          <w:i/>
          <w:sz w:val="24"/>
          <w:szCs w:val="24"/>
        </w:rPr>
        <w:t>Kurzemes loka ietekmes uz vidi novērtējuma un trases izpētes</w:t>
      </w:r>
      <w:r>
        <w:rPr>
          <w:rFonts w:ascii="Times New Roman" w:hAnsi="Times New Roman" w:cs="Times New Roman"/>
          <w:sz w:val="24"/>
          <w:szCs w:val="24"/>
        </w:rPr>
        <w:t xml:space="preserve"> projekts ir noslēdzies</w:t>
      </w:r>
      <w:r w:rsidR="00486104">
        <w:rPr>
          <w:rFonts w:ascii="Times New Roman" w:hAnsi="Times New Roman" w:cs="Times New Roman"/>
          <w:sz w:val="24"/>
          <w:szCs w:val="24"/>
        </w:rPr>
        <w:t xml:space="preserve"> 2013.gada 5.aprīlī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104">
        <w:rPr>
          <w:rFonts w:ascii="Times New Roman" w:hAnsi="Times New Roman" w:cs="Times New Roman"/>
          <w:sz w:val="24"/>
          <w:szCs w:val="24"/>
        </w:rPr>
        <w:t xml:space="preserve">Projekta rezultātā tika izvērtēta Kurzemes loka ietekme uz vidi, kas </w:t>
      </w:r>
      <w:r w:rsidR="00466FFD">
        <w:rPr>
          <w:rFonts w:ascii="Times New Roman" w:hAnsi="Times New Roman" w:cs="Times New Roman"/>
          <w:sz w:val="24"/>
          <w:szCs w:val="24"/>
        </w:rPr>
        <w:t>nepieciešams Kurzemes loka izbūves uzsākšanai.</w:t>
      </w:r>
    </w:p>
    <w:p w:rsidR="00C66C5F" w:rsidRDefault="00DD72DB" w:rsidP="00D339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104">
        <w:rPr>
          <w:rFonts w:ascii="Times New Roman" w:hAnsi="Times New Roman" w:cs="Times New Roman"/>
          <w:i/>
          <w:sz w:val="24"/>
          <w:szCs w:val="24"/>
        </w:rPr>
        <w:t xml:space="preserve">Igaunijas- Latvijas trešā </w:t>
      </w:r>
      <w:proofErr w:type="spellStart"/>
      <w:r w:rsidRPr="00486104">
        <w:rPr>
          <w:rFonts w:ascii="Times New Roman" w:hAnsi="Times New Roman" w:cs="Times New Roman"/>
          <w:i/>
          <w:sz w:val="24"/>
          <w:szCs w:val="24"/>
        </w:rPr>
        <w:t>starpsavienojuma</w:t>
      </w:r>
      <w:proofErr w:type="spellEnd"/>
      <w:r w:rsidRPr="00486104">
        <w:rPr>
          <w:rFonts w:ascii="Times New Roman" w:hAnsi="Times New Roman" w:cs="Times New Roman"/>
          <w:i/>
          <w:sz w:val="24"/>
          <w:szCs w:val="24"/>
        </w:rPr>
        <w:t xml:space="preserve"> ietekmes uz vidi novērtējums un trases izpētes</w:t>
      </w:r>
      <w:r>
        <w:rPr>
          <w:rFonts w:ascii="Times New Roman" w:hAnsi="Times New Roman" w:cs="Times New Roman"/>
          <w:sz w:val="24"/>
          <w:szCs w:val="24"/>
        </w:rPr>
        <w:t xml:space="preserve"> projekts </w:t>
      </w:r>
      <w:r w:rsidR="0043511B">
        <w:rPr>
          <w:rFonts w:ascii="Times New Roman" w:hAnsi="Times New Roman" w:cs="Times New Roman"/>
          <w:sz w:val="24"/>
          <w:szCs w:val="24"/>
        </w:rPr>
        <w:t>noslēgsies 2015.gada 31.decembrī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43DA">
        <w:rPr>
          <w:rFonts w:ascii="Times New Roman" w:hAnsi="Times New Roman" w:cs="Times New Roman"/>
          <w:sz w:val="24"/>
          <w:szCs w:val="24"/>
        </w:rPr>
        <w:t xml:space="preserve">2012.gada 21.februārī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3DA">
        <w:rPr>
          <w:rFonts w:ascii="Times New Roman" w:hAnsi="Times New Roman" w:cs="Times New Roman"/>
          <w:sz w:val="24"/>
          <w:szCs w:val="24"/>
        </w:rPr>
        <w:t>ticis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3DA">
        <w:rPr>
          <w:rFonts w:ascii="Times New Roman" w:hAnsi="Times New Roman" w:cs="Times New Roman"/>
          <w:sz w:val="24"/>
          <w:szCs w:val="24"/>
        </w:rPr>
        <w:lastRenderedPageBreak/>
        <w:t>parakstīts nodomu protokols</w:t>
      </w:r>
      <w:r w:rsidR="009268A1">
        <w:rPr>
          <w:rFonts w:ascii="Times New Roman" w:hAnsi="Times New Roman" w:cs="Times New Roman"/>
          <w:sz w:val="24"/>
          <w:szCs w:val="24"/>
        </w:rPr>
        <w:t xml:space="preserve"> starp </w:t>
      </w:r>
      <w:r w:rsidR="009268A1" w:rsidRPr="009268A1">
        <w:rPr>
          <w:rFonts w:ascii="Times New Roman" w:hAnsi="Times New Roman" w:cs="Times New Roman"/>
          <w:sz w:val="24"/>
          <w:szCs w:val="24"/>
        </w:rPr>
        <w:t>PSO „</w:t>
      </w:r>
      <w:proofErr w:type="spellStart"/>
      <w:r w:rsidR="009268A1" w:rsidRPr="009268A1">
        <w:rPr>
          <w:rFonts w:ascii="Times New Roman" w:hAnsi="Times New Roman" w:cs="Times New Roman"/>
          <w:sz w:val="24"/>
          <w:szCs w:val="24"/>
        </w:rPr>
        <w:t>Elering</w:t>
      </w:r>
      <w:proofErr w:type="spellEnd"/>
      <w:r w:rsidR="009268A1" w:rsidRPr="009268A1">
        <w:rPr>
          <w:rFonts w:ascii="Times New Roman" w:hAnsi="Times New Roman" w:cs="Times New Roman"/>
          <w:sz w:val="24"/>
          <w:szCs w:val="24"/>
        </w:rPr>
        <w:t xml:space="preserve"> AS”, Latvijas PSO AS „Augstsprieguma tīkls” un AS „Latvijas Elektriskie tīkli”</w:t>
      </w:r>
      <w:r w:rsidR="009268A1">
        <w:rPr>
          <w:rFonts w:ascii="Times New Roman" w:hAnsi="Times New Roman" w:cs="Times New Roman"/>
          <w:sz w:val="24"/>
          <w:szCs w:val="24"/>
        </w:rPr>
        <w:t xml:space="preserve"> par sadarbības principiem.</w:t>
      </w:r>
      <w:r w:rsidR="006712FB">
        <w:rPr>
          <w:rFonts w:ascii="Times New Roman" w:hAnsi="Times New Roman" w:cs="Times New Roman"/>
          <w:sz w:val="24"/>
          <w:szCs w:val="24"/>
        </w:rPr>
        <w:t xml:space="preserve"> </w:t>
      </w:r>
      <w:r w:rsidR="006E43DA">
        <w:rPr>
          <w:rFonts w:ascii="Times New Roman" w:hAnsi="Times New Roman" w:cs="Times New Roman"/>
          <w:sz w:val="24"/>
          <w:szCs w:val="24"/>
        </w:rPr>
        <w:t>2</w:t>
      </w:r>
      <w:r w:rsidR="006E43DA" w:rsidRPr="006E43DA">
        <w:rPr>
          <w:rFonts w:ascii="Times New Roman" w:hAnsi="Times New Roman" w:cs="Times New Roman"/>
          <w:sz w:val="24"/>
          <w:szCs w:val="24"/>
        </w:rPr>
        <w:t>012.gadā sākumā Latvijas puse pieteicās TEN-E līdzfinansējumam uz 2013.gadu trases izpētes un IVN</w:t>
      </w:r>
      <w:r w:rsidR="006E43DA">
        <w:rPr>
          <w:rFonts w:ascii="Times New Roman" w:hAnsi="Times New Roman" w:cs="Times New Roman"/>
          <w:sz w:val="24"/>
          <w:szCs w:val="24"/>
        </w:rPr>
        <w:t xml:space="preserve"> veikšanai Latvijas teritorijā. </w:t>
      </w:r>
      <w:r w:rsidR="006E43DA" w:rsidRPr="006E43DA">
        <w:rPr>
          <w:rFonts w:ascii="Times New Roman" w:hAnsi="Times New Roman" w:cs="Times New Roman"/>
          <w:sz w:val="24"/>
          <w:szCs w:val="24"/>
        </w:rPr>
        <w:t xml:space="preserve">TEN-E – līdzfinansē projekta izpētes un </w:t>
      </w:r>
      <w:r w:rsidR="00466FFD">
        <w:rPr>
          <w:rFonts w:ascii="Times New Roman" w:hAnsi="Times New Roman" w:cs="Times New Roman"/>
          <w:sz w:val="24"/>
          <w:szCs w:val="24"/>
        </w:rPr>
        <w:t>infrastruktūras izbūves darbus.</w:t>
      </w:r>
    </w:p>
    <w:p w:rsidR="00270495" w:rsidRPr="00607431" w:rsidRDefault="00270495" w:rsidP="0018114F">
      <w:pPr>
        <w:pStyle w:val="ListParagraph"/>
        <w:numPr>
          <w:ilvl w:val="0"/>
          <w:numId w:val="2"/>
        </w:numPr>
        <w:jc w:val="right"/>
        <w:rPr>
          <w:rFonts w:cs="Times New Roman"/>
          <w:sz w:val="24"/>
          <w:szCs w:val="24"/>
        </w:rPr>
      </w:pPr>
      <w:r w:rsidRPr="00607431">
        <w:rPr>
          <w:rFonts w:cs="Times New Roman"/>
          <w:sz w:val="24"/>
          <w:szCs w:val="24"/>
        </w:rPr>
        <w:t xml:space="preserve">tabula </w:t>
      </w:r>
    </w:p>
    <w:p w:rsidR="009A6F47" w:rsidRPr="00AC28D5" w:rsidRDefault="009A6F47" w:rsidP="009A6F47">
      <w:pPr>
        <w:pStyle w:val="ListParagraph"/>
        <w:jc w:val="center"/>
        <w:rPr>
          <w:rFonts w:cs="Times New Roman"/>
          <w:b/>
          <w:sz w:val="24"/>
          <w:szCs w:val="24"/>
        </w:rPr>
      </w:pPr>
      <w:r w:rsidRPr="00AC28D5">
        <w:rPr>
          <w:rFonts w:cs="Times New Roman"/>
          <w:b/>
          <w:sz w:val="24"/>
          <w:szCs w:val="24"/>
        </w:rPr>
        <w:t xml:space="preserve">Eiropas Enerģētikas atjaunošanas programmas finansējuma </w:t>
      </w:r>
      <w:r w:rsidR="00C91079" w:rsidRPr="00AC28D5">
        <w:rPr>
          <w:rFonts w:cs="Times New Roman"/>
          <w:b/>
          <w:sz w:val="24"/>
          <w:szCs w:val="24"/>
        </w:rPr>
        <w:t>piesaiste</w:t>
      </w:r>
      <w:r w:rsidRPr="00AC28D5">
        <w:rPr>
          <w:rFonts w:cs="Times New Roman"/>
          <w:b/>
          <w:sz w:val="24"/>
          <w:szCs w:val="24"/>
        </w:rPr>
        <w:t>, EUR</w:t>
      </w:r>
    </w:p>
    <w:tbl>
      <w:tblPr>
        <w:tblW w:w="68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701"/>
      </w:tblGrid>
      <w:tr w:rsidR="00DD72DB" w:rsidRPr="00144FBE" w:rsidTr="00DD72DB">
        <w:trPr>
          <w:trHeight w:val="60"/>
          <w:jc w:val="center"/>
        </w:trPr>
        <w:tc>
          <w:tcPr>
            <w:tcW w:w="2552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Eiropas Enerģētikas atjaunošanas programma (</w:t>
            </w:r>
            <w:proofErr w:type="spellStart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European</w:t>
            </w:r>
            <w:proofErr w:type="spellEnd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Energy</w:t>
            </w:r>
            <w:proofErr w:type="spellEnd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Programme</w:t>
            </w:r>
            <w:proofErr w:type="spellEnd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for</w:t>
            </w:r>
            <w:proofErr w:type="spellEnd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Recovery</w:t>
            </w:r>
            <w:proofErr w:type="spellEnd"/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D72DB" w:rsidRPr="00144FBE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Kopā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ES fondu finansējums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4FBE">
              <w:rPr>
                <w:rFonts w:ascii="Times New Roman" w:hAnsi="Times New Roman" w:cs="Times New Roman"/>
                <w:b/>
                <w:bCs/>
                <w:sz w:val="20"/>
              </w:rPr>
              <w:t>Privātais kapitāls</w:t>
            </w:r>
          </w:p>
        </w:tc>
      </w:tr>
      <w:tr w:rsidR="00DD72DB" w:rsidRPr="00144FBE" w:rsidTr="00DD72DB">
        <w:trPr>
          <w:trHeight w:val="60"/>
          <w:jc w:val="center"/>
        </w:trPr>
        <w:tc>
          <w:tcPr>
            <w:tcW w:w="2552" w:type="dxa"/>
            <w:shd w:val="clear" w:color="000000" w:fill="auto"/>
            <w:vAlign w:val="center"/>
            <w:hideMark/>
          </w:tcPr>
          <w:p w:rsidR="00DD72DB" w:rsidRPr="00144FBE" w:rsidRDefault="00DD72DB" w:rsidP="005401BA">
            <w:pPr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Kurzemes loka 1. un 2. posms (2009-2014)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88 298 676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44 000 000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  <w:szCs w:val="20"/>
              </w:rPr>
              <w:t>44 298 676</w:t>
            </w:r>
          </w:p>
        </w:tc>
      </w:tr>
      <w:tr w:rsidR="00DD72DB" w:rsidRPr="00144FBE" w:rsidTr="00DD72DB">
        <w:trPr>
          <w:trHeight w:val="60"/>
          <w:jc w:val="center"/>
        </w:trPr>
        <w:tc>
          <w:tcPr>
            <w:tcW w:w="2552" w:type="dxa"/>
            <w:shd w:val="clear" w:color="000000" w:fill="auto"/>
            <w:vAlign w:val="center"/>
            <w:hideMark/>
          </w:tcPr>
          <w:p w:rsidR="00DD72DB" w:rsidRPr="00144FBE" w:rsidRDefault="00DD72DB" w:rsidP="00C66C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Latvijas-</w:t>
            </w:r>
            <w:r w:rsidRPr="00144FBE">
              <w:rPr>
                <w:rFonts w:ascii="Times New Roman" w:hAnsi="Times New Roman" w:cs="Times New Roman"/>
                <w:sz w:val="20"/>
              </w:rPr>
              <w:t xml:space="preserve">Lietuvas gāzes </w:t>
            </w:r>
            <w:proofErr w:type="spellStart"/>
            <w:r w:rsidRPr="00144FBE">
              <w:rPr>
                <w:rFonts w:ascii="Times New Roman" w:hAnsi="Times New Roman" w:cs="Times New Roman"/>
                <w:sz w:val="20"/>
              </w:rPr>
              <w:t>starpsavienojums</w:t>
            </w:r>
            <w:proofErr w:type="spellEnd"/>
            <w:r w:rsidRPr="00144FBE">
              <w:rPr>
                <w:rFonts w:ascii="Times New Roman" w:hAnsi="Times New Roman" w:cs="Times New Roman"/>
                <w:sz w:val="20"/>
              </w:rPr>
              <w:t xml:space="preserve"> (2009-2013)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33 000 000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12 940 000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D72DB" w:rsidRPr="00144FBE" w:rsidRDefault="00DD72DB" w:rsidP="002879E4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44FBE">
              <w:rPr>
                <w:rFonts w:ascii="Times New Roman" w:hAnsi="Times New Roman" w:cs="Times New Roman"/>
                <w:sz w:val="20"/>
              </w:rPr>
              <w:t>12 940 000</w:t>
            </w:r>
          </w:p>
        </w:tc>
      </w:tr>
    </w:tbl>
    <w:p w:rsidR="00E66B1B" w:rsidRDefault="00E66B1B" w:rsidP="008E736A">
      <w:pPr>
        <w:rPr>
          <w:rFonts w:ascii="Times New Roman" w:hAnsi="Times New Roman" w:cs="Times New Roman"/>
          <w:sz w:val="24"/>
          <w:szCs w:val="24"/>
        </w:rPr>
      </w:pPr>
    </w:p>
    <w:p w:rsidR="00DD72DB" w:rsidRDefault="00DD72DB" w:rsidP="006E4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Kurzemes loka</w:t>
      </w:r>
      <w:r w:rsidR="006E43DA">
        <w:rPr>
          <w:rFonts w:ascii="Times New Roman" w:hAnsi="Times New Roman" w:cs="Times New Roman"/>
          <w:sz w:val="24"/>
          <w:szCs w:val="24"/>
        </w:rPr>
        <w:t xml:space="preserve"> izbūves</w:t>
      </w:r>
      <w:r w:rsidR="00D14511">
        <w:rPr>
          <w:rFonts w:ascii="Times New Roman" w:hAnsi="Times New Roman" w:cs="Times New Roman"/>
          <w:sz w:val="24"/>
          <w:szCs w:val="24"/>
        </w:rPr>
        <w:t xml:space="preserve"> 1. un 2.posmi ir sekmīgi noslēgušies, atbilstoši, 2013.gada septembrī un 2014.gada vidū</w:t>
      </w:r>
      <w:r w:rsidR="006E4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Tā rezultātā ir tikusi s</w:t>
      </w:r>
      <w:r w:rsidRPr="00DD72DB">
        <w:rPr>
          <w:rFonts w:ascii="Times New Roman" w:hAnsi="Times New Roman" w:cs="Times New Roman"/>
          <w:sz w:val="24"/>
          <w:szCs w:val="24"/>
        </w:rPr>
        <w:t>avienota „Rīga TEC-1” ar apakšstaciju „Imanta”</w:t>
      </w:r>
      <w:r>
        <w:rPr>
          <w:rFonts w:ascii="Times New Roman" w:hAnsi="Times New Roman" w:cs="Times New Roman"/>
          <w:sz w:val="24"/>
          <w:szCs w:val="24"/>
        </w:rPr>
        <w:t>, noslēdzot 330kV loku ap Rīgu</w:t>
      </w:r>
      <w:r w:rsidR="00783432">
        <w:rPr>
          <w:rFonts w:ascii="Times New Roman" w:hAnsi="Times New Roman" w:cs="Times New Roman"/>
          <w:sz w:val="24"/>
          <w:szCs w:val="24"/>
        </w:rPr>
        <w:t xml:space="preserve">, </w:t>
      </w:r>
      <w:r w:rsidR="0011314C">
        <w:rPr>
          <w:rFonts w:ascii="Times New Roman" w:hAnsi="Times New Roman" w:cs="Times New Roman"/>
          <w:sz w:val="24"/>
          <w:szCs w:val="24"/>
        </w:rPr>
        <w:t>kā arī tika</w:t>
      </w:r>
      <w:r w:rsidR="00783432">
        <w:rPr>
          <w:rFonts w:ascii="Times New Roman" w:hAnsi="Times New Roman" w:cs="Times New Roman"/>
          <w:sz w:val="24"/>
          <w:szCs w:val="24"/>
        </w:rPr>
        <w:t xml:space="preserve"> izveidota</w:t>
      </w:r>
      <w:r>
        <w:rPr>
          <w:rFonts w:ascii="Times New Roman" w:hAnsi="Times New Roman" w:cs="Times New Roman"/>
          <w:sz w:val="24"/>
          <w:szCs w:val="24"/>
        </w:rPr>
        <w:t xml:space="preserve"> 330kV līnija Ventspils-Grobiņa.</w:t>
      </w:r>
    </w:p>
    <w:p w:rsidR="00DD72DB" w:rsidRPr="0065286F" w:rsidRDefault="00DD72DB" w:rsidP="006E4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Latvijas- Lietuvas gāzes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starpsavienojuma</w:t>
      </w:r>
      <w:proofErr w:type="spellEnd"/>
      <w:r w:rsidR="006E43DA">
        <w:rPr>
          <w:rFonts w:ascii="Times New Roman" w:hAnsi="Times New Roman" w:cs="Times New Roman"/>
          <w:sz w:val="24"/>
          <w:szCs w:val="24"/>
        </w:rPr>
        <w:t xml:space="preserve"> kapacitātes palielināšanas</w:t>
      </w:r>
      <w:r>
        <w:rPr>
          <w:rFonts w:ascii="Times New Roman" w:hAnsi="Times New Roman" w:cs="Times New Roman"/>
          <w:sz w:val="24"/>
          <w:szCs w:val="24"/>
        </w:rPr>
        <w:t xml:space="preserve"> projekts ir veiksmīgi noslēdzies</w:t>
      </w:r>
      <w:r w:rsidR="006E43DA">
        <w:rPr>
          <w:rFonts w:ascii="Times New Roman" w:hAnsi="Times New Roman" w:cs="Times New Roman"/>
          <w:sz w:val="24"/>
          <w:szCs w:val="24"/>
        </w:rPr>
        <w:t xml:space="preserve"> 2013.gada decembrī</w:t>
      </w:r>
      <w:r>
        <w:rPr>
          <w:rFonts w:ascii="Times New Roman" w:hAnsi="Times New Roman" w:cs="Times New Roman"/>
          <w:sz w:val="24"/>
          <w:szCs w:val="24"/>
        </w:rPr>
        <w:t xml:space="preserve">. Šī projekta rezultātā ir tikusi palielināta Latvijas-Lietuvas gāzes </w:t>
      </w:r>
      <w:proofErr w:type="spellStart"/>
      <w:r w:rsidRPr="00DD72DB">
        <w:rPr>
          <w:rFonts w:ascii="Times New Roman" w:hAnsi="Times New Roman" w:cs="Times New Roman"/>
          <w:sz w:val="24"/>
          <w:szCs w:val="24"/>
        </w:rPr>
        <w:t>starpsavienojuma</w:t>
      </w:r>
      <w:proofErr w:type="spellEnd"/>
      <w:r w:rsidRPr="00DD72DB">
        <w:rPr>
          <w:rFonts w:ascii="Times New Roman" w:hAnsi="Times New Roman" w:cs="Times New Roman"/>
          <w:sz w:val="24"/>
          <w:szCs w:val="24"/>
        </w:rPr>
        <w:t xml:space="preserve"> kapacitāte līdz 6milj m3/dienā.</w:t>
      </w:r>
    </w:p>
    <w:sectPr w:rsidR="00DD72DB" w:rsidRPr="00652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6A2"/>
    <w:multiLevelType w:val="hybridMultilevel"/>
    <w:tmpl w:val="27E4A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3A5"/>
    <w:multiLevelType w:val="hybridMultilevel"/>
    <w:tmpl w:val="3F3099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798D"/>
    <w:multiLevelType w:val="hybridMultilevel"/>
    <w:tmpl w:val="B1A0FC4C"/>
    <w:lvl w:ilvl="0" w:tplc="BB625120">
      <w:start w:val="29"/>
      <w:numFmt w:val="decimal"/>
      <w:lvlText w:val="%1"/>
      <w:lvlJc w:val="left"/>
      <w:pPr>
        <w:ind w:left="2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97" w:hanging="360"/>
      </w:pPr>
    </w:lvl>
    <w:lvl w:ilvl="2" w:tplc="0426001B" w:tentative="1">
      <w:start w:val="1"/>
      <w:numFmt w:val="lowerRoman"/>
      <w:lvlText w:val="%3."/>
      <w:lvlJc w:val="right"/>
      <w:pPr>
        <w:ind w:left="1717" w:hanging="180"/>
      </w:pPr>
    </w:lvl>
    <w:lvl w:ilvl="3" w:tplc="0426000F" w:tentative="1">
      <w:start w:val="1"/>
      <w:numFmt w:val="decimal"/>
      <w:lvlText w:val="%4."/>
      <w:lvlJc w:val="left"/>
      <w:pPr>
        <w:ind w:left="2437" w:hanging="360"/>
      </w:pPr>
    </w:lvl>
    <w:lvl w:ilvl="4" w:tplc="04260019" w:tentative="1">
      <w:start w:val="1"/>
      <w:numFmt w:val="lowerLetter"/>
      <w:lvlText w:val="%5."/>
      <w:lvlJc w:val="left"/>
      <w:pPr>
        <w:ind w:left="3157" w:hanging="360"/>
      </w:pPr>
    </w:lvl>
    <w:lvl w:ilvl="5" w:tplc="0426001B" w:tentative="1">
      <w:start w:val="1"/>
      <w:numFmt w:val="lowerRoman"/>
      <w:lvlText w:val="%6."/>
      <w:lvlJc w:val="right"/>
      <w:pPr>
        <w:ind w:left="3877" w:hanging="180"/>
      </w:pPr>
    </w:lvl>
    <w:lvl w:ilvl="6" w:tplc="0426000F" w:tentative="1">
      <w:start w:val="1"/>
      <w:numFmt w:val="decimal"/>
      <w:lvlText w:val="%7."/>
      <w:lvlJc w:val="left"/>
      <w:pPr>
        <w:ind w:left="4597" w:hanging="360"/>
      </w:pPr>
    </w:lvl>
    <w:lvl w:ilvl="7" w:tplc="04260019" w:tentative="1">
      <w:start w:val="1"/>
      <w:numFmt w:val="lowerLetter"/>
      <w:lvlText w:val="%8."/>
      <w:lvlJc w:val="left"/>
      <w:pPr>
        <w:ind w:left="5317" w:hanging="360"/>
      </w:pPr>
    </w:lvl>
    <w:lvl w:ilvl="8" w:tplc="0426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">
    <w:nsid w:val="4C620B97"/>
    <w:multiLevelType w:val="multilevel"/>
    <w:tmpl w:val="97FAEE24"/>
    <w:lvl w:ilvl="0">
      <w:start w:val="6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285EA0"/>
    <w:multiLevelType w:val="hybridMultilevel"/>
    <w:tmpl w:val="50CAB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1E77"/>
    <w:multiLevelType w:val="hybridMultilevel"/>
    <w:tmpl w:val="3BCEA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74B6C"/>
    <w:multiLevelType w:val="hybridMultilevel"/>
    <w:tmpl w:val="5D38B770"/>
    <w:lvl w:ilvl="0" w:tplc="4A90F046">
      <w:start w:val="9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A5"/>
    <w:rsid w:val="000C2E8E"/>
    <w:rsid w:val="00107668"/>
    <w:rsid w:val="0011314C"/>
    <w:rsid w:val="00144FBE"/>
    <w:rsid w:val="0014592A"/>
    <w:rsid w:val="0015728C"/>
    <w:rsid w:val="0018114F"/>
    <w:rsid w:val="001A26E3"/>
    <w:rsid w:val="00270495"/>
    <w:rsid w:val="00296984"/>
    <w:rsid w:val="00296D9B"/>
    <w:rsid w:val="00355B17"/>
    <w:rsid w:val="00365B26"/>
    <w:rsid w:val="0041603C"/>
    <w:rsid w:val="0043511B"/>
    <w:rsid w:val="00466FFD"/>
    <w:rsid w:val="00486104"/>
    <w:rsid w:val="00493CFE"/>
    <w:rsid w:val="004B2EA5"/>
    <w:rsid w:val="005401BA"/>
    <w:rsid w:val="00554981"/>
    <w:rsid w:val="00607431"/>
    <w:rsid w:val="0065286F"/>
    <w:rsid w:val="006712FB"/>
    <w:rsid w:val="00696CC5"/>
    <w:rsid w:val="006E43DA"/>
    <w:rsid w:val="00720E17"/>
    <w:rsid w:val="00747921"/>
    <w:rsid w:val="00761B73"/>
    <w:rsid w:val="00783432"/>
    <w:rsid w:val="0081363A"/>
    <w:rsid w:val="008C4DE2"/>
    <w:rsid w:val="008C5DEC"/>
    <w:rsid w:val="008E736A"/>
    <w:rsid w:val="009268A1"/>
    <w:rsid w:val="0093111B"/>
    <w:rsid w:val="009A6F47"/>
    <w:rsid w:val="00A147D3"/>
    <w:rsid w:val="00A14FE7"/>
    <w:rsid w:val="00A55948"/>
    <w:rsid w:val="00A56645"/>
    <w:rsid w:val="00AC28D5"/>
    <w:rsid w:val="00B34F8C"/>
    <w:rsid w:val="00B62E66"/>
    <w:rsid w:val="00B644C1"/>
    <w:rsid w:val="00C603CC"/>
    <w:rsid w:val="00C66C5F"/>
    <w:rsid w:val="00C91079"/>
    <w:rsid w:val="00C93AF6"/>
    <w:rsid w:val="00CD1CA8"/>
    <w:rsid w:val="00D14511"/>
    <w:rsid w:val="00D33928"/>
    <w:rsid w:val="00D925F5"/>
    <w:rsid w:val="00DA58FB"/>
    <w:rsid w:val="00DB058D"/>
    <w:rsid w:val="00DD72DB"/>
    <w:rsid w:val="00DE3620"/>
    <w:rsid w:val="00E07135"/>
    <w:rsid w:val="00E37A63"/>
    <w:rsid w:val="00E45E10"/>
    <w:rsid w:val="00E56A19"/>
    <w:rsid w:val="00E66B1B"/>
    <w:rsid w:val="00E83CFE"/>
    <w:rsid w:val="00EA208F"/>
    <w:rsid w:val="00EE209D"/>
    <w:rsid w:val="00F36094"/>
    <w:rsid w:val="00F4088E"/>
    <w:rsid w:val="00F8405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6D9B"/>
    <w:pPr>
      <w:keepNext/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D9B"/>
    <w:rPr>
      <w:rFonts w:ascii="Times New Roman" w:eastAsia="Times New Roman" w:hAnsi="Times New Roman" w:cs="Times New Roman"/>
      <w:b/>
      <w:bCs/>
      <w:kern w:val="36"/>
      <w:sz w:val="28"/>
      <w:szCs w:val="28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296D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96D9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296D9B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6D9B"/>
    <w:pPr>
      <w:keepNext/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D9B"/>
    <w:rPr>
      <w:rFonts w:ascii="Times New Roman" w:eastAsia="Times New Roman" w:hAnsi="Times New Roman" w:cs="Times New Roman"/>
      <w:b/>
      <w:bCs/>
      <w:kern w:val="36"/>
      <w:sz w:val="28"/>
      <w:szCs w:val="28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296D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96D9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296D9B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Arkādijs Zvaigzne</dc:creator>
  <cp:lastModifiedBy>Ingars Sils</cp:lastModifiedBy>
  <cp:revision>3</cp:revision>
  <cp:lastPrinted>2014-08-20T08:42:00Z</cp:lastPrinted>
  <dcterms:created xsi:type="dcterms:W3CDTF">2014-09-15T12:49:00Z</dcterms:created>
  <dcterms:modified xsi:type="dcterms:W3CDTF">2014-09-16T11:37:00Z</dcterms:modified>
</cp:coreProperties>
</file>