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(Ministru kabineta</w:t>
      </w:r>
    </w:p>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2014. gada __.____________</w:t>
      </w:r>
    </w:p>
    <w:p w:rsidR="00C11EDA" w:rsidRPr="00C11EDA" w:rsidRDefault="00C11EDA" w:rsidP="00C11EDA">
      <w:pPr>
        <w:spacing w:after="0" w:line="240" w:lineRule="auto"/>
        <w:jc w:val="right"/>
        <w:rPr>
          <w:rFonts w:ascii="Times New Roman" w:eastAsia="Calibri" w:hAnsi="Times New Roman" w:cs="Times New Roman"/>
          <w:sz w:val="24"/>
          <w:szCs w:val="24"/>
        </w:rPr>
      </w:pPr>
      <w:r w:rsidRPr="00C11EDA">
        <w:rPr>
          <w:rFonts w:ascii="Times New Roman" w:eastAsia="Calibri" w:hAnsi="Times New Roman" w:cs="Times New Roman"/>
          <w:sz w:val="24"/>
          <w:szCs w:val="24"/>
        </w:rPr>
        <w:t>rīkojums Nr.___)</w:t>
      </w: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right"/>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Intelektuālā īpašuma tiesību aizsardzības un nodrošināšanas pamatnostādnes</w:t>
      </w: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2014.–2018. gadam</w:t>
      </w:r>
      <w:r w:rsidR="00542C40">
        <w:rPr>
          <w:rFonts w:ascii="Times New Roman" w:eastAsia="Calibri" w:hAnsi="Times New Roman" w:cs="Times New Roman"/>
          <w:b/>
          <w:sz w:val="24"/>
          <w:szCs w:val="24"/>
        </w:rPr>
        <w:t xml:space="preserve"> </w:t>
      </w:r>
      <w:bookmarkStart w:id="0" w:name="_GoBack"/>
      <w:bookmarkEnd w:id="0"/>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(Informatīvā daļa)</w:t>
      </w: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rPr>
          <w:rFonts w:ascii="Times New Roman" w:eastAsia="Calibri" w:hAnsi="Times New Roman" w:cs="Times New Roman"/>
          <w:sz w:val="24"/>
          <w:szCs w:val="24"/>
        </w:rPr>
      </w:pPr>
    </w:p>
    <w:p w:rsidR="00C11EDA" w:rsidRPr="00C11EDA" w:rsidRDefault="00C11EDA" w:rsidP="00C11EDA">
      <w:pPr>
        <w:keepNext/>
        <w:keepLines/>
        <w:spacing w:before="480" w:after="0"/>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lastRenderedPageBreak/>
        <w:t>Satura rādītājs</w:t>
      </w:r>
    </w:p>
    <w:p w:rsidR="00C11EDA" w:rsidRPr="00C11EDA" w:rsidRDefault="00C11EDA" w:rsidP="00C11EDA">
      <w:pPr>
        <w:rPr>
          <w:rFonts w:ascii="Times New Roman" w:eastAsia="Calibri" w:hAnsi="Times New Roman" w:cs="Times New Roman"/>
          <w:b/>
          <w:sz w:val="24"/>
          <w:szCs w:val="24"/>
        </w:rPr>
      </w:pPr>
    </w:p>
    <w:p w:rsidR="00C11EDA" w:rsidRPr="00C11EDA" w:rsidRDefault="00C11EDA" w:rsidP="00C11EDA">
      <w:pPr>
        <w:tabs>
          <w:tab w:val="right" w:leader="dot" w:pos="9061"/>
        </w:tabs>
        <w:spacing w:after="100"/>
        <w:ind w:left="220"/>
        <w:rPr>
          <w:rFonts w:ascii="Times New Roman" w:eastAsia="Times New Roman" w:hAnsi="Times New Roman" w:cs="Times New Roman"/>
          <w:noProof/>
          <w:sz w:val="24"/>
          <w:szCs w:val="24"/>
          <w:lang w:eastAsia="lv-LV"/>
        </w:rPr>
      </w:pPr>
      <w:r w:rsidRPr="00C11EDA">
        <w:rPr>
          <w:rFonts w:ascii="Times New Roman" w:eastAsia="Calibri" w:hAnsi="Times New Roman" w:cs="Times New Roman"/>
          <w:sz w:val="24"/>
          <w:szCs w:val="24"/>
        </w:rPr>
        <w:fldChar w:fldCharType="begin"/>
      </w:r>
      <w:r w:rsidRPr="00C11EDA">
        <w:rPr>
          <w:rFonts w:ascii="Times New Roman" w:eastAsia="Calibri" w:hAnsi="Times New Roman" w:cs="Times New Roman"/>
          <w:sz w:val="24"/>
          <w:szCs w:val="24"/>
        </w:rPr>
        <w:instrText xml:space="preserve"> TOC \o "1-3" \h \z \u </w:instrText>
      </w:r>
      <w:r w:rsidRPr="00C11EDA">
        <w:rPr>
          <w:rFonts w:ascii="Times New Roman" w:eastAsia="Calibri" w:hAnsi="Times New Roman" w:cs="Times New Roman"/>
          <w:sz w:val="24"/>
          <w:szCs w:val="24"/>
        </w:rPr>
        <w:fldChar w:fldCharType="separate"/>
      </w:r>
      <w:hyperlink w:anchor="_Toc365544724" w:history="1">
        <w:r w:rsidRPr="00C11EDA">
          <w:rPr>
            <w:rFonts w:ascii="Times New Roman" w:eastAsia="Calibri" w:hAnsi="Times New Roman" w:cs="Times New Roman"/>
            <w:noProof/>
            <w:sz w:val="24"/>
            <w:szCs w:val="24"/>
            <w:u w:val="single"/>
          </w:rPr>
          <w:t>Lietoto saīsinājumu saraksts</w:t>
        </w:r>
        <w:r w:rsidRPr="00C11EDA">
          <w:rPr>
            <w:rFonts w:ascii="Times New Roman" w:eastAsia="Calibri" w:hAnsi="Times New Roman" w:cs="Times New Roman"/>
            <w:noProof/>
            <w:webHidden/>
            <w:sz w:val="24"/>
            <w:szCs w:val="24"/>
          </w:rPr>
          <w:tab/>
        </w:r>
        <w:r w:rsidRPr="00C11EDA">
          <w:rPr>
            <w:rFonts w:ascii="Times New Roman" w:eastAsia="Calibri" w:hAnsi="Times New Roman" w:cs="Times New Roman"/>
            <w:noProof/>
            <w:webHidden/>
            <w:sz w:val="24"/>
            <w:szCs w:val="24"/>
          </w:rPr>
          <w:fldChar w:fldCharType="begin"/>
        </w:r>
        <w:r w:rsidRPr="00C11EDA">
          <w:rPr>
            <w:rFonts w:ascii="Times New Roman" w:eastAsia="Calibri" w:hAnsi="Times New Roman" w:cs="Times New Roman"/>
            <w:noProof/>
            <w:webHidden/>
            <w:sz w:val="24"/>
            <w:szCs w:val="24"/>
          </w:rPr>
          <w:instrText xml:space="preserve"> PAGEREF _Toc365544724 \h </w:instrText>
        </w:r>
        <w:r w:rsidRPr="00C11EDA">
          <w:rPr>
            <w:rFonts w:ascii="Times New Roman" w:eastAsia="Calibri" w:hAnsi="Times New Roman" w:cs="Times New Roman"/>
            <w:noProof/>
            <w:webHidden/>
            <w:sz w:val="24"/>
            <w:szCs w:val="24"/>
          </w:rPr>
        </w:r>
        <w:r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3</w:t>
        </w:r>
        <w:r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5" w:history="1">
        <w:r w:rsidR="00C11EDA" w:rsidRPr="00C11EDA">
          <w:rPr>
            <w:rFonts w:ascii="Times New Roman" w:eastAsia="Calibri" w:hAnsi="Times New Roman" w:cs="Times New Roman"/>
            <w:noProof/>
            <w:sz w:val="24"/>
            <w:szCs w:val="24"/>
            <w:u w:val="single"/>
          </w:rPr>
          <w:t>1. Informācija par pamatnostādņu izstrādi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_Toc365544725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4</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6" w:history="1">
        <w:r w:rsidR="00C11EDA" w:rsidRPr="00C11EDA">
          <w:rPr>
            <w:rFonts w:ascii="Times New Roman" w:eastAsia="Calibri" w:hAnsi="Times New Roman" w:cs="Times New Roman"/>
            <w:noProof/>
            <w:sz w:val="24"/>
            <w:szCs w:val="24"/>
            <w:u w:val="single"/>
          </w:rPr>
          <w:t>2. Intelektuālā īpašuma tiesību politikas pamatprincipi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_Toc365544726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4</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7" w:history="1">
        <w:r w:rsidR="00C11EDA" w:rsidRPr="00C11EDA">
          <w:rPr>
            <w:rFonts w:ascii="Times New Roman" w:eastAsia="Calibri" w:hAnsi="Times New Roman" w:cs="Times New Roman"/>
            <w:noProof/>
            <w:sz w:val="24"/>
            <w:szCs w:val="24"/>
            <w:u w:val="single"/>
          </w:rPr>
          <w:t>3. Intelektuālā īpašuma tiesību politikas mērķi</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_Toc365544727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5</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8" w:history="1">
        <w:r w:rsidR="00C11EDA" w:rsidRPr="00C11EDA">
          <w:rPr>
            <w:rFonts w:ascii="Times New Roman" w:eastAsia="Calibri" w:hAnsi="Times New Roman" w:cs="Times New Roman"/>
            <w:noProof/>
            <w:sz w:val="24"/>
            <w:szCs w:val="24"/>
            <w:u w:val="single"/>
          </w:rPr>
          <w:t>4. Pamatnostādņu sasaiste ar citiem attīstības plānošanas dokumentiem</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_Toc365544728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6</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29" w:history="1">
        <w:r w:rsidR="00C11EDA" w:rsidRPr="00C11EDA">
          <w:rPr>
            <w:rFonts w:ascii="Times New Roman" w:eastAsia="Calibri" w:hAnsi="Times New Roman" w:cs="Times New Roman"/>
            <w:noProof/>
            <w:sz w:val="24"/>
            <w:szCs w:val="24"/>
            <w:u w:val="single"/>
          </w:rPr>
          <w:t>5. Situācijas raksturojums intelektuālā īpašuma tiesību jomā</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_Toc365544729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8</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0" w:history="1">
        <w:r w:rsidR="00C11EDA" w:rsidRPr="00C11EDA">
          <w:rPr>
            <w:rFonts w:ascii="Times New Roman" w:eastAsia="Times New Roman" w:hAnsi="Times New Roman" w:cs="Times New Roman"/>
            <w:noProof/>
            <w:sz w:val="24"/>
            <w:szCs w:val="24"/>
            <w:u w:val="single"/>
          </w:rPr>
          <w:t>5.1. Iepriekšējā perioda pamatnostādņu izpildes izvērtējums.</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_Toc365544730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8</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1" w:history="1">
        <w:r w:rsidR="00C11EDA" w:rsidRPr="00C11EDA">
          <w:rPr>
            <w:rFonts w:ascii="Times New Roman" w:eastAsia="Times New Roman" w:hAnsi="Times New Roman" w:cs="Times New Roman"/>
            <w:noProof/>
            <w:sz w:val="24"/>
            <w:szCs w:val="24"/>
            <w:u w:val="single"/>
          </w:rPr>
          <w:t>5.2. Esošās situācijas raksturojums</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_Toc365544731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13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32" w:history="1">
        <w:r w:rsidR="00C11EDA" w:rsidRPr="00C11EDA">
          <w:rPr>
            <w:rFonts w:ascii="Times New Roman" w:eastAsia="Calibri" w:hAnsi="Times New Roman" w:cs="Times New Roman"/>
            <w:noProof/>
            <w:sz w:val="24"/>
            <w:szCs w:val="24"/>
            <w:u w:val="single"/>
          </w:rPr>
          <w:t xml:space="preserve">6. Problēmu formulējums, kuru risināšanai nepieciešams īstenot noteiktu valdības politiku un </w:t>
        </w:r>
        <w:r w:rsidR="00C11EDA" w:rsidRPr="00C11EDA">
          <w:rPr>
            <w:rFonts w:ascii="Times New Roman" w:eastAsia="Calibri" w:hAnsi="Times New Roman" w:cs="Times New Roman"/>
            <w:i/>
            <w:noProof/>
            <w:sz w:val="24"/>
            <w:szCs w:val="24"/>
            <w:u w:val="single"/>
          </w:rPr>
          <w:t>ex ante</w:t>
        </w:r>
        <w:r w:rsidR="00C11EDA" w:rsidRPr="00C11EDA">
          <w:rPr>
            <w:rFonts w:ascii="Times New Roman" w:eastAsia="Calibri" w:hAnsi="Times New Roman" w:cs="Times New Roman"/>
            <w:noProof/>
            <w:sz w:val="24"/>
            <w:szCs w:val="24"/>
            <w:u w:val="single"/>
          </w:rPr>
          <w:t xml:space="preserve"> ietekmes novērtējums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_Toc365544732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21</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3" w:history="1">
        <w:r w:rsidR="00C11EDA" w:rsidRPr="00C11EDA">
          <w:rPr>
            <w:rFonts w:ascii="Times New Roman" w:eastAsia="Times New Roman" w:hAnsi="Times New Roman" w:cs="Times New Roman"/>
            <w:noProof/>
            <w:sz w:val="24"/>
            <w:szCs w:val="24"/>
            <w:u w:val="single"/>
          </w:rPr>
          <w:t xml:space="preserve">6.1. </w:t>
        </w:r>
        <w:r w:rsidR="00C11EDA" w:rsidRPr="00C11EDA">
          <w:rPr>
            <w:rFonts w:ascii="Times New Roman" w:eastAsia="Calibri" w:hAnsi="Times New Roman" w:cs="Times New Roman"/>
            <w:iCs/>
            <w:noProof/>
            <w:sz w:val="24"/>
            <w:szCs w:val="24"/>
            <w:u w:val="single"/>
            <w:lang w:eastAsia="lv-LV"/>
          </w:rPr>
          <w:t>Nacionālā normatīvā regulējuma pilnveidošana attiecībā uz intelektuālā īpašuma tiesību aizsardzību un pārvaldību</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_Toc365544733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21</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4" w:history="1">
        <w:r w:rsidR="00C11EDA" w:rsidRPr="00C11EDA">
          <w:rPr>
            <w:rFonts w:ascii="Times New Roman" w:eastAsia="Times New Roman" w:hAnsi="Times New Roman" w:cs="Times New Roman"/>
            <w:noProof/>
            <w:sz w:val="24"/>
            <w:szCs w:val="24"/>
            <w:u w:val="single"/>
          </w:rPr>
          <w:t>6.2. Nepilnības sabiedrības un uzņēmēju izglītības un informēšanas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_Toc365544734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27</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5" w:history="1">
        <w:r w:rsidR="00C11EDA" w:rsidRPr="00C11EDA">
          <w:rPr>
            <w:rFonts w:ascii="Times New Roman" w:eastAsia="Times New Roman" w:hAnsi="Times New Roman" w:cs="Times New Roman"/>
            <w:noProof/>
            <w:sz w:val="24"/>
            <w:szCs w:val="24"/>
            <w:u w:val="single"/>
          </w:rPr>
          <w:t>6.3. Nepilnības izgudrotājdarbības veicināšanas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_Toc365544735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31</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6" w:history="1">
        <w:r w:rsidR="00C11EDA" w:rsidRPr="00C11EDA">
          <w:rPr>
            <w:rFonts w:ascii="Times New Roman" w:eastAsia="Times New Roman" w:hAnsi="Times New Roman" w:cs="Times New Roman"/>
            <w:noProof/>
            <w:sz w:val="24"/>
            <w:szCs w:val="24"/>
            <w:u w:val="single"/>
          </w:rPr>
          <w:t>6.4. Pētījumu trūkums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_Toc365544736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33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7" w:history="1">
        <w:r w:rsidR="00C11EDA" w:rsidRPr="00C11EDA">
          <w:rPr>
            <w:rFonts w:ascii="Times New Roman" w:eastAsia="Times New Roman" w:hAnsi="Times New Roman" w:cs="Times New Roman"/>
            <w:noProof/>
            <w:sz w:val="24"/>
            <w:szCs w:val="24"/>
            <w:u w:val="single"/>
          </w:rPr>
          <w:t>6.5. Trūkumi cīņai ar pirātismu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_Toc365544737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34</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38" w:history="1">
        <w:r w:rsidR="00C11EDA" w:rsidRPr="00C11EDA">
          <w:rPr>
            <w:rFonts w:ascii="Times New Roman" w:eastAsia="Calibri" w:hAnsi="Times New Roman" w:cs="Times New Roman"/>
            <w:noProof/>
            <w:sz w:val="24"/>
            <w:szCs w:val="24"/>
            <w:u w:val="single"/>
          </w:rPr>
          <w:t>7. Pamatnostādnēs paredzēto uzdevumu un pasākumu plāns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_Toc365544738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36</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39" w:history="1">
        <w:r w:rsidR="00C11EDA" w:rsidRPr="00C11EDA">
          <w:rPr>
            <w:rFonts w:ascii="Times New Roman" w:eastAsia="Times New Roman" w:hAnsi="Times New Roman" w:cs="Times New Roman"/>
            <w:noProof/>
            <w:sz w:val="24"/>
            <w:szCs w:val="24"/>
            <w:u w:val="single"/>
          </w:rPr>
          <w:t>A. Sakārtots nacionālais normatīvais regulējums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_Toc365544739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36</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0" w:history="1">
        <w:r w:rsidR="00C11EDA" w:rsidRPr="00C11EDA">
          <w:rPr>
            <w:rFonts w:ascii="Times New Roman" w:eastAsia="Times New Roman" w:hAnsi="Times New Roman" w:cs="Times New Roman"/>
            <w:noProof/>
            <w:sz w:val="24"/>
            <w:szCs w:val="24"/>
            <w:u w:val="single"/>
          </w:rPr>
          <w:t>B. Sabiedrības izpratnes par intelektuālā īpašuma tiesībām pilnveidošana, panākot šo tiesību ievērošanu</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_Toc365544740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40</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1" w:history="1">
        <w:r w:rsidR="00C11EDA" w:rsidRPr="00C11EDA">
          <w:rPr>
            <w:rFonts w:ascii="Times New Roman" w:eastAsia="Times New Roman" w:hAnsi="Times New Roman" w:cs="Times New Roman"/>
            <w:noProof/>
            <w:sz w:val="24"/>
            <w:szCs w:val="24"/>
            <w:u w:val="single"/>
          </w:rPr>
          <w:t>C. Izgudrotājdarbības veicināšana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_Toc365544741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42</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2" w:history="1">
        <w:r w:rsidR="00C11EDA" w:rsidRPr="00C11EDA">
          <w:rPr>
            <w:rFonts w:ascii="Times New Roman" w:eastAsia="Times New Roman" w:hAnsi="Times New Roman" w:cs="Times New Roman"/>
            <w:noProof/>
            <w:sz w:val="24"/>
            <w:szCs w:val="24"/>
            <w:u w:val="single"/>
          </w:rPr>
          <w:t>D. Pētījumu veikšana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_Toc365544742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3" w:history="1">
        <w:r w:rsidR="00C11EDA" w:rsidRPr="00C11EDA">
          <w:rPr>
            <w:rFonts w:ascii="Times New Roman" w:eastAsia="Times New Roman" w:hAnsi="Times New Roman" w:cs="Times New Roman"/>
            <w:noProof/>
            <w:sz w:val="24"/>
            <w:szCs w:val="24"/>
            <w:u w:val="single"/>
            <w:lang w:eastAsia="lv-LV"/>
          </w:rPr>
          <w:t>E. Efektīva pirātisma novēršana un apkarošana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_Toc365544743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44</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44" w:history="1">
        <w:r w:rsidR="00C11EDA" w:rsidRPr="00C11EDA">
          <w:rPr>
            <w:rFonts w:ascii="Times New Roman" w:eastAsia="Calibri" w:hAnsi="Times New Roman" w:cs="Times New Roman"/>
            <w:noProof/>
            <w:sz w:val="24"/>
            <w:szCs w:val="24"/>
            <w:u w:val="single"/>
          </w:rPr>
          <w:t>8. Mērķu un rezultātu, to rezultatīvo rādītāju hierarhija</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_Toc365544744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45</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5" w:history="1">
        <w:r w:rsidR="00C11EDA" w:rsidRPr="00C11EDA">
          <w:rPr>
            <w:rFonts w:ascii="Times New Roman" w:eastAsia="Times New Roman" w:hAnsi="Times New Roman" w:cs="Times New Roman"/>
            <w:noProof/>
            <w:sz w:val="24"/>
            <w:szCs w:val="24"/>
            <w:u w:val="single"/>
          </w:rPr>
          <w:t>A.  Sakārtots nacionālais normatīvais regulējums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_Toc365544745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45</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6" w:history="1">
        <w:r w:rsidR="00C11EDA" w:rsidRPr="00C11EDA">
          <w:rPr>
            <w:rFonts w:ascii="Times New Roman" w:eastAsia="Times New Roman" w:hAnsi="Times New Roman" w:cs="Times New Roman"/>
            <w:noProof/>
            <w:sz w:val="24"/>
            <w:szCs w:val="24"/>
            <w:u w:val="single"/>
          </w:rPr>
          <w:t>B.  Intelektuālā īpašuma tiesību jautājumos informēta sabiedrība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_Toc365544746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48</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7" w:history="1">
        <w:r w:rsidR="00C11EDA" w:rsidRPr="00C11EDA">
          <w:rPr>
            <w:rFonts w:ascii="Times New Roman" w:eastAsia="Times New Roman" w:hAnsi="Times New Roman" w:cs="Times New Roman"/>
            <w:noProof/>
            <w:sz w:val="24"/>
            <w:szCs w:val="24"/>
            <w:u w:val="single"/>
          </w:rPr>
          <w:t>C. Izgudrotājdarbības veicināšana</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_Toc365544747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52</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8" w:history="1">
        <w:r w:rsidR="00C11EDA" w:rsidRPr="00C11EDA">
          <w:rPr>
            <w:rFonts w:ascii="Times New Roman" w:eastAsia="Times New Roman" w:hAnsi="Times New Roman" w:cs="Times New Roman"/>
            <w:noProof/>
            <w:sz w:val="24"/>
            <w:szCs w:val="24"/>
            <w:u w:val="single"/>
          </w:rPr>
          <w:t>D. Pētījumu veikšana intelektuālā īpašuma tiesību jomā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_Toc365544748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52</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440"/>
        <w:rPr>
          <w:rFonts w:ascii="Times New Roman" w:eastAsia="Times New Roman" w:hAnsi="Times New Roman" w:cs="Times New Roman"/>
          <w:noProof/>
          <w:sz w:val="24"/>
          <w:szCs w:val="24"/>
          <w:lang w:eastAsia="lv-LV"/>
        </w:rPr>
      </w:pPr>
      <w:hyperlink w:anchor="_Toc365544749" w:history="1">
        <w:r w:rsidR="00C11EDA" w:rsidRPr="00C11EDA">
          <w:rPr>
            <w:rFonts w:ascii="Times New Roman" w:eastAsia="Times New Roman" w:hAnsi="Times New Roman" w:cs="Times New Roman"/>
            <w:noProof/>
            <w:sz w:val="24"/>
            <w:szCs w:val="24"/>
            <w:u w:val="single"/>
          </w:rPr>
          <w:t>E. Efektīva pirātisma novēršana un apkarošana internetā</w:t>
        </w:r>
        <w:r w:rsidR="00C11EDA" w:rsidRPr="00C11EDA">
          <w:rPr>
            <w:rFonts w:ascii="Times New Roman" w:eastAsia="Times New Roman" w:hAnsi="Times New Roman" w:cs="Times New Roman"/>
            <w:noProof/>
            <w:webHidden/>
            <w:sz w:val="24"/>
            <w:szCs w:val="24"/>
          </w:rPr>
          <w:tab/>
        </w:r>
        <w:r w:rsidR="00C11EDA" w:rsidRPr="00C11EDA">
          <w:rPr>
            <w:rFonts w:ascii="Times New Roman" w:eastAsia="Times New Roman" w:hAnsi="Times New Roman" w:cs="Times New Roman"/>
            <w:noProof/>
            <w:webHidden/>
            <w:sz w:val="24"/>
            <w:szCs w:val="24"/>
          </w:rPr>
          <w:fldChar w:fldCharType="begin"/>
        </w:r>
        <w:r w:rsidR="00C11EDA" w:rsidRPr="00C11EDA">
          <w:rPr>
            <w:rFonts w:ascii="Times New Roman" w:eastAsia="Times New Roman" w:hAnsi="Times New Roman" w:cs="Times New Roman"/>
            <w:noProof/>
            <w:webHidden/>
            <w:sz w:val="24"/>
            <w:szCs w:val="24"/>
          </w:rPr>
          <w:instrText xml:space="preserve"> PAGEREF _Toc365544749 \h </w:instrText>
        </w:r>
        <w:r w:rsidR="00C11EDA" w:rsidRPr="00C11EDA">
          <w:rPr>
            <w:rFonts w:ascii="Times New Roman" w:eastAsia="Times New Roman" w:hAnsi="Times New Roman" w:cs="Times New Roman"/>
            <w:noProof/>
            <w:webHidden/>
            <w:sz w:val="24"/>
            <w:szCs w:val="24"/>
          </w:rPr>
        </w:r>
        <w:r w:rsidR="00C11EDA" w:rsidRPr="00C11EDA">
          <w:rPr>
            <w:rFonts w:ascii="Times New Roman" w:eastAsia="Times New Roman" w:hAnsi="Times New Roman" w:cs="Times New Roman"/>
            <w:noProof/>
            <w:webHidden/>
            <w:sz w:val="24"/>
            <w:szCs w:val="24"/>
          </w:rPr>
          <w:fldChar w:fldCharType="separate"/>
        </w:r>
        <w:r w:rsidR="0035194E">
          <w:rPr>
            <w:rFonts w:ascii="Times New Roman" w:eastAsia="Times New Roman" w:hAnsi="Times New Roman" w:cs="Times New Roman"/>
            <w:noProof/>
            <w:webHidden/>
            <w:sz w:val="24"/>
            <w:szCs w:val="24"/>
          </w:rPr>
          <w:t>53</w:t>
        </w:r>
        <w:r w:rsidR="00C11EDA" w:rsidRPr="00C11EDA">
          <w:rPr>
            <w:rFonts w:ascii="Times New Roman" w:eastAsia="Times New Roman"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50" w:history="1">
        <w:r w:rsidR="00C11EDA" w:rsidRPr="00C11EDA">
          <w:rPr>
            <w:rFonts w:ascii="Times New Roman" w:eastAsia="Calibri" w:hAnsi="Times New Roman" w:cs="Times New Roman"/>
            <w:noProof/>
            <w:sz w:val="24"/>
            <w:szCs w:val="24"/>
            <w:u w:val="single"/>
          </w:rPr>
          <w:t>9. Ietekmes uz valsts budžetu un pašvaldību budžetiem novērtējums</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_Toc365544750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54</w:t>
        </w:r>
        <w:r w:rsidR="00C11EDA" w:rsidRPr="00C11EDA">
          <w:rPr>
            <w:rFonts w:ascii="Times New Roman" w:eastAsia="Calibri" w:hAnsi="Times New Roman" w:cs="Times New Roman"/>
            <w:noProof/>
            <w:webHidden/>
            <w:sz w:val="24"/>
            <w:szCs w:val="24"/>
          </w:rPr>
          <w:fldChar w:fldCharType="end"/>
        </w:r>
      </w:hyperlink>
    </w:p>
    <w:p w:rsidR="00C11EDA" w:rsidRPr="00C11EDA" w:rsidRDefault="00542C40" w:rsidP="00C11EDA">
      <w:pPr>
        <w:tabs>
          <w:tab w:val="right" w:leader="dot" w:pos="9061"/>
        </w:tabs>
        <w:spacing w:after="100"/>
        <w:ind w:left="220"/>
        <w:rPr>
          <w:rFonts w:ascii="Times New Roman" w:eastAsia="Times New Roman" w:hAnsi="Times New Roman" w:cs="Times New Roman"/>
          <w:noProof/>
          <w:sz w:val="24"/>
          <w:szCs w:val="24"/>
          <w:lang w:eastAsia="lv-LV"/>
        </w:rPr>
      </w:pPr>
      <w:hyperlink w:anchor="_Toc365544751" w:history="1">
        <w:r w:rsidR="00C11EDA" w:rsidRPr="00C11EDA">
          <w:rPr>
            <w:rFonts w:ascii="Times New Roman" w:eastAsia="Calibri" w:hAnsi="Times New Roman" w:cs="Times New Roman"/>
            <w:noProof/>
            <w:sz w:val="24"/>
            <w:szCs w:val="24"/>
            <w:u w:val="single"/>
          </w:rPr>
          <w:t>10. Pārskatu sniegšanas un novērtēšanas kārtība</w:t>
        </w:r>
        <w:r w:rsidR="00C11EDA" w:rsidRPr="00C11EDA">
          <w:rPr>
            <w:rFonts w:ascii="Times New Roman" w:eastAsia="Calibri" w:hAnsi="Times New Roman" w:cs="Times New Roman"/>
            <w:noProof/>
            <w:webHidden/>
            <w:sz w:val="24"/>
            <w:szCs w:val="24"/>
          </w:rPr>
          <w:tab/>
        </w:r>
        <w:r w:rsidR="00C11EDA" w:rsidRPr="00C11EDA">
          <w:rPr>
            <w:rFonts w:ascii="Times New Roman" w:eastAsia="Calibri" w:hAnsi="Times New Roman" w:cs="Times New Roman"/>
            <w:noProof/>
            <w:webHidden/>
            <w:sz w:val="24"/>
            <w:szCs w:val="24"/>
          </w:rPr>
          <w:fldChar w:fldCharType="begin"/>
        </w:r>
        <w:r w:rsidR="00C11EDA" w:rsidRPr="00C11EDA">
          <w:rPr>
            <w:rFonts w:ascii="Times New Roman" w:eastAsia="Calibri" w:hAnsi="Times New Roman" w:cs="Times New Roman"/>
            <w:noProof/>
            <w:webHidden/>
            <w:sz w:val="24"/>
            <w:szCs w:val="24"/>
          </w:rPr>
          <w:instrText xml:space="preserve"> PAGEREF _Toc365544751 \h </w:instrText>
        </w:r>
        <w:r w:rsidR="00C11EDA" w:rsidRPr="00C11EDA">
          <w:rPr>
            <w:rFonts w:ascii="Times New Roman" w:eastAsia="Calibri" w:hAnsi="Times New Roman" w:cs="Times New Roman"/>
            <w:noProof/>
            <w:webHidden/>
            <w:sz w:val="24"/>
            <w:szCs w:val="24"/>
          </w:rPr>
        </w:r>
        <w:r w:rsidR="00C11EDA" w:rsidRPr="00C11EDA">
          <w:rPr>
            <w:rFonts w:ascii="Times New Roman" w:eastAsia="Calibri" w:hAnsi="Times New Roman" w:cs="Times New Roman"/>
            <w:noProof/>
            <w:webHidden/>
            <w:sz w:val="24"/>
            <w:szCs w:val="24"/>
          </w:rPr>
          <w:fldChar w:fldCharType="separate"/>
        </w:r>
        <w:r w:rsidR="0035194E">
          <w:rPr>
            <w:rFonts w:ascii="Times New Roman" w:eastAsia="Calibri" w:hAnsi="Times New Roman" w:cs="Times New Roman"/>
            <w:noProof/>
            <w:webHidden/>
            <w:sz w:val="24"/>
            <w:szCs w:val="24"/>
          </w:rPr>
          <w:t>62</w:t>
        </w:r>
        <w:r w:rsidR="00C11EDA" w:rsidRPr="00C11EDA">
          <w:rPr>
            <w:rFonts w:ascii="Times New Roman" w:eastAsia="Calibri" w:hAnsi="Times New Roman" w:cs="Times New Roman"/>
            <w:noProof/>
            <w:webHidden/>
            <w:sz w:val="24"/>
            <w:szCs w:val="24"/>
          </w:rPr>
          <w:fldChar w:fldCharType="end"/>
        </w:r>
      </w:hyperlink>
    </w:p>
    <w:p w:rsidR="00C11EDA" w:rsidRPr="00C11EDA" w:rsidRDefault="00C11EDA" w:rsidP="00C11EDA">
      <w:pPr>
        <w:rPr>
          <w:rFonts w:ascii="Times New Roman" w:eastAsia="Calibri" w:hAnsi="Times New Roman" w:cs="Times New Roman"/>
          <w:sz w:val="24"/>
          <w:szCs w:val="24"/>
        </w:rPr>
      </w:pPr>
      <w:r w:rsidRPr="00C11EDA">
        <w:rPr>
          <w:rFonts w:ascii="Times New Roman" w:eastAsia="Calibri" w:hAnsi="Times New Roman" w:cs="Times New Roman"/>
          <w:b/>
          <w:bCs/>
          <w:noProof/>
          <w:sz w:val="24"/>
          <w:szCs w:val="24"/>
        </w:rPr>
        <w:fldChar w:fldCharType="end"/>
      </w: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4"/>
          <w:szCs w:val="24"/>
          <w:lang w:val="x-none" w:eastAsia="lv-LV"/>
        </w:rPr>
      </w:pPr>
      <w:r w:rsidRPr="00C11EDA">
        <w:rPr>
          <w:rFonts w:ascii="Times New Roman" w:eastAsia="Times New Roman" w:hAnsi="Times New Roman" w:cs="Times New Roman"/>
          <w:b/>
          <w:bCs/>
          <w:iCs/>
          <w:sz w:val="24"/>
          <w:szCs w:val="24"/>
          <w:lang w:eastAsia="lv-LV"/>
        </w:rPr>
        <w:br w:type="page"/>
      </w:r>
      <w:bookmarkStart w:id="1" w:name="_Toc365544724"/>
      <w:r w:rsidRPr="00C11EDA">
        <w:rPr>
          <w:rFonts w:ascii="Times New Roman" w:eastAsia="Times New Roman" w:hAnsi="Times New Roman" w:cs="Times New Roman"/>
          <w:b/>
          <w:bCs/>
          <w:iCs/>
          <w:sz w:val="24"/>
          <w:szCs w:val="24"/>
          <w:lang w:val="x-none" w:eastAsia="lv-LV"/>
        </w:rPr>
        <w:lastRenderedPageBreak/>
        <w:t>Lietoto saīsinājumu saraksts</w:t>
      </w:r>
      <w:bookmarkEnd w:id="1"/>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ĀM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Ārlietu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roofErr w:type="spellStart"/>
      <w:r w:rsidRPr="00C11EDA">
        <w:rPr>
          <w:rFonts w:ascii="Times New Roman" w:eastAsia="Calibri" w:hAnsi="Times New Roman" w:cs="Times New Roman"/>
          <w:b/>
          <w:sz w:val="24"/>
          <w:szCs w:val="24"/>
        </w:rPr>
        <w:t>AiM</w:t>
      </w:r>
      <w:proofErr w:type="spellEnd"/>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Aizsardzības ministrijas</w:t>
      </w:r>
    </w:p>
    <w:p w:rsidR="00C11EDA" w:rsidRPr="00C11EDA" w:rsidRDefault="00C11EDA" w:rsidP="00C11EDA">
      <w:pPr>
        <w:spacing w:after="0" w:line="360" w:lineRule="auto"/>
        <w:ind w:left="2160" w:hanging="216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Ekspertu grupa</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t xml:space="preserve">ekspertu grupa intelektuālā īpašuma tiesību jomā, kas izveidota ar Ministru prezidenta 2006. gada </w:t>
      </w:r>
      <w:proofErr w:type="gramStart"/>
      <w:r w:rsidRPr="00C11EDA">
        <w:rPr>
          <w:rFonts w:ascii="Times New Roman" w:eastAsia="Calibri" w:hAnsi="Times New Roman" w:cs="Times New Roman"/>
          <w:sz w:val="24"/>
          <w:szCs w:val="24"/>
        </w:rPr>
        <w:t>3.augusta</w:t>
      </w:r>
      <w:proofErr w:type="gramEnd"/>
      <w:r w:rsidRPr="00C11EDA">
        <w:rPr>
          <w:rFonts w:ascii="Times New Roman" w:eastAsia="Calibri" w:hAnsi="Times New Roman" w:cs="Times New Roman"/>
          <w:sz w:val="24"/>
          <w:szCs w:val="24"/>
        </w:rPr>
        <w:t xml:space="preserve"> rīkojumu Nr.388 „Par ekspertu grupu intelektuālā īpašuma tiesību jomā”;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Ekonomikas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Eiropas Savienība;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FM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 xml:space="preserve">Finanšu ministrija; </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FTP</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failu transporta protokols</w:t>
      </w:r>
    </w:p>
    <w:tbl>
      <w:tblPr>
        <w:tblW w:w="0" w:type="auto"/>
        <w:tblLook w:val="04A0" w:firstRow="1" w:lastRow="0" w:firstColumn="1" w:lastColumn="0" w:noHBand="0" w:noVBand="1"/>
      </w:tblPr>
      <w:tblGrid>
        <w:gridCol w:w="2093"/>
        <w:gridCol w:w="7194"/>
      </w:tblGrid>
      <w:tr w:rsidR="00C11EDA" w:rsidRPr="00C11EDA" w:rsidTr="00D25A7A">
        <w:tc>
          <w:tcPr>
            <w:tcW w:w="2093" w:type="dxa"/>
            <w:shd w:val="clear" w:color="auto" w:fill="auto"/>
          </w:tcPr>
          <w:p w:rsidR="00C11EDA" w:rsidRPr="00C11EDA" w:rsidRDefault="00C11EDA" w:rsidP="00C11EDA">
            <w:pPr>
              <w:spacing w:after="0" w:line="360" w:lineRule="auto"/>
              <w:contextualSpacing/>
              <w:jc w:val="both"/>
              <w:rPr>
                <w:rFonts w:ascii="Times New Roman" w:eastAsia="Calibri" w:hAnsi="Times New Roman" w:cs="Times New Roman"/>
                <w:sz w:val="24"/>
                <w:szCs w:val="24"/>
              </w:rPr>
            </w:pPr>
            <w:proofErr w:type="spellStart"/>
            <w:r w:rsidRPr="00C11EDA">
              <w:rPr>
                <w:rFonts w:ascii="Times New Roman" w:eastAsia="Calibri" w:hAnsi="Times New Roman" w:cs="Times New Roman"/>
                <w:b/>
                <w:sz w:val="24"/>
                <w:szCs w:val="24"/>
              </w:rPr>
              <w:t>GKrPP</w:t>
            </w:r>
            <w:proofErr w:type="spellEnd"/>
            <w:r w:rsidRPr="00C11EDA">
              <w:rPr>
                <w:rFonts w:ascii="Times New Roman" w:eastAsia="Calibri" w:hAnsi="Times New Roman" w:cs="Times New Roman"/>
                <w:b/>
                <w:sz w:val="24"/>
                <w:szCs w:val="24"/>
              </w:rPr>
              <w:t xml:space="preserve"> ENAP</w:t>
            </w:r>
          </w:p>
        </w:tc>
        <w:tc>
          <w:tcPr>
            <w:tcW w:w="7194" w:type="dxa"/>
            <w:shd w:val="clear" w:color="auto" w:fill="auto"/>
          </w:tcPr>
          <w:p w:rsidR="00C11EDA" w:rsidRPr="00C11EDA" w:rsidRDefault="00C11EDA" w:rsidP="00C11EDA">
            <w:pPr>
              <w:spacing w:after="120" w:line="24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Valsts policijas Galvenās kriminālpolicijas pārvaldes Ekonomisko noziegumu apkarošanas pārvalde;</w:t>
            </w:r>
          </w:p>
        </w:tc>
      </w:tr>
    </w:tbl>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ĢP</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Ģenerālprokuratūra;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IeM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Iekšlietu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IT</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Informācijas tehnoloģijas;</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roofErr w:type="spellStart"/>
      <w:r w:rsidRPr="00C11EDA">
        <w:rPr>
          <w:rFonts w:ascii="Times New Roman" w:eastAsia="Calibri" w:hAnsi="Times New Roman" w:cs="Times New Roman"/>
          <w:b/>
          <w:sz w:val="24"/>
          <w:szCs w:val="24"/>
        </w:rPr>
        <w:t>IzM</w:t>
      </w:r>
      <w:proofErr w:type="spellEnd"/>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Izglītības un zinātnes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KM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Kultūras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Latvija2030</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Latvijas ilgtspējīgas attīstības stratēģija līdz 2030.</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LIAA</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Latvijas Investīciju un attīstības aģentūra;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LTRK</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Latvijas Tirdzniecības un rūpniecības kamera;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MVU</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mazie un vidējie uzņēmumi;</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NAP2020</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Nacionālās attīstības plāns 2014.-2020.</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NVO</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nevalstiskās organizācijas;</w:t>
      </w:r>
    </w:p>
    <w:tbl>
      <w:tblPr>
        <w:tblW w:w="0" w:type="auto"/>
        <w:tblLook w:val="04A0" w:firstRow="1" w:lastRow="0" w:firstColumn="1" w:lastColumn="0" w:noHBand="0" w:noVBand="1"/>
      </w:tblPr>
      <w:tblGrid>
        <w:gridCol w:w="2660"/>
        <w:gridCol w:w="6627"/>
      </w:tblGrid>
      <w:tr w:rsidR="00C11EDA" w:rsidRPr="00C11EDA" w:rsidTr="00D25A7A">
        <w:tc>
          <w:tcPr>
            <w:tcW w:w="2660" w:type="dxa"/>
            <w:shd w:val="clear" w:color="auto" w:fill="auto"/>
          </w:tcPr>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Piemērošanas direktīva</w:t>
            </w:r>
          </w:p>
        </w:tc>
        <w:tc>
          <w:tcPr>
            <w:tcW w:w="6627" w:type="dxa"/>
            <w:shd w:val="clear" w:color="auto" w:fill="auto"/>
          </w:tcPr>
          <w:p w:rsidR="00C11EDA" w:rsidRPr="00C11EDA" w:rsidRDefault="00C11EDA" w:rsidP="00C11EDA">
            <w:pPr>
              <w:spacing w:after="120" w:line="24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Eiropas Parlamenta un Padomes direktīva 2004/48/EK </w:t>
            </w:r>
            <w:r w:rsidRPr="00C11EDA">
              <w:rPr>
                <w:rFonts w:ascii="Times New Roman" w:eastAsia="Calibri" w:hAnsi="Times New Roman" w:cs="Times New Roman"/>
                <w:iCs/>
                <w:sz w:val="24"/>
                <w:szCs w:val="24"/>
              </w:rPr>
              <w:t>Par intelektuālā īpašuma tiesību piemērošanu;</w:t>
            </w:r>
          </w:p>
        </w:tc>
      </w:tr>
    </w:tbl>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PV</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Patentu valde;</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SM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Satiksmes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TM</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Tieslietu ministrija;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TRIPS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Līgums par ar tirdzniecību saistītajām intelektuālā īpašuma tiesībām;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VID</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t>Valsts ieņēmumu dienests.</w:t>
      </w: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4"/>
          <w:szCs w:val="24"/>
          <w:lang w:val="x-none" w:eastAsia="lv-LV"/>
        </w:rPr>
      </w:pPr>
      <w:bookmarkStart w:id="2" w:name="_Toc143588645"/>
      <w:r w:rsidRPr="00C11EDA">
        <w:rPr>
          <w:rFonts w:ascii="Times New Roman" w:eastAsia="Times New Roman" w:hAnsi="Times New Roman" w:cs="Times New Roman"/>
          <w:b/>
          <w:bCs/>
          <w:iCs/>
          <w:sz w:val="24"/>
          <w:szCs w:val="24"/>
          <w:lang w:val="x-none" w:eastAsia="lv-LV"/>
        </w:rPr>
        <w:br w:type="page"/>
      </w:r>
      <w:bookmarkStart w:id="3" w:name="_Toc365544725"/>
      <w:r w:rsidRPr="00C11EDA">
        <w:rPr>
          <w:rFonts w:ascii="Times New Roman" w:eastAsia="Times New Roman" w:hAnsi="Times New Roman" w:cs="Times New Roman"/>
          <w:b/>
          <w:bCs/>
          <w:iCs/>
          <w:sz w:val="24"/>
          <w:szCs w:val="24"/>
          <w:lang w:val="x-none" w:eastAsia="lv-LV"/>
        </w:rPr>
        <w:t>1. Informācija par pamatnostādņu izstrādi</w:t>
      </w:r>
      <w:bookmarkEnd w:id="3"/>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aizsardzības un nodrošināšanas pamatnostādnes 2014. - 2018. gadam” ir vidēja termiņa politikas plānošanas dokuments, kas nosaka Latvijas valdības politikas pamatprincipus, mērķus un rīcības virzienus intelektuālā īpašuma tiesību aizsardzībā un nodrošināšanā turpmākajiem pieciem gadiem un iezīmē arī nozares ilgtermiņa attīstības virzienus.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Deklarācijā par Laimdotas Straujumas vadītā Ministru kabineta iecerēto darbību kā viens no uzdevumiem ir noteikts - intelektuālā īpašuma tiesiskā regulējuma uzlabošana. Ņemot vērā minēto, politikas plānošanas dokuments „Intelektuālā īpašuma tiesību aizsardzības un nodrošināšanas pamatnostādnes 2014. – 2018.</w:t>
      </w:r>
      <w:r>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 identificē intelektuālā īpašuma tiesiskā regulējuma nepilnības un nosaka virzienus tā pilnveidošanai.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Šīs pamatnostādnes ir izstrādātas, pamatojoties uz attīstības plānošanas dokumenta „Intelektuālā īpašuma tiesību aizsardzības un nodrošināšanas pamatnostādnes 2008. - 2012. gadam” 7. punktā iekļauto turpmākās rīcības plāna otro posmu. Pamatnostādnes izstrādāja TM. Pamatnostādņu projekts apspriests Ekspertu grupā. Ekspertu grupā piedalījās pārstāvji no PV, ĢP, Rektoru padomes, Augstākās tiesas, Valsts policijas, Vides aizsardzības un reģionālās attīstības ministrijas, EM, </w:t>
      </w:r>
      <w:proofErr w:type="spellStart"/>
      <w:r w:rsidRPr="00C11EDA">
        <w:rPr>
          <w:rFonts w:ascii="Times New Roman" w:eastAsia="Calibri" w:hAnsi="Times New Roman" w:cs="Times New Roman"/>
          <w:sz w:val="24"/>
          <w:szCs w:val="24"/>
        </w:rPr>
        <w:t>IzM</w:t>
      </w:r>
      <w:proofErr w:type="spellEnd"/>
      <w:r w:rsidRPr="00C11EDA">
        <w:rPr>
          <w:rFonts w:ascii="Times New Roman" w:eastAsia="Calibri" w:hAnsi="Times New Roman" w:cs="Times New Roman"/>
          <w:sz w:val="24"/>
          <w:szCs w:val="24"/>
        </w:rPr>
        <w:t xml:space="preserve">, ĀM, VID, Zemkopības ministrijas, KM, kā arī pārstāvji no NVO un augstskolām.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Pamatnostādnēs ietvertie uzdevumi un pasākumi turpmākai rīcībai ir izstrādāti ņemot vērā Eiropas Sociālā fonda projekta Nr.1DP/1.5.1.2.0/08/IPIA/SIF/001 „Administratīvā sloga samazināšana un administratīvo procedūru vienkāršošana” ietvaros veiktā pētījuma „Administratīvā sloga jautājumu pārskatīšana intelektuālā īpašuma aizsardzības nodrošināšanai” rezultātus.</w:t>
      </w:r>
    </w:p>
    <w:p w:rsidR="00C11EDA" w:rsidRPr="00C11EDA" w:rsidRDefault="00C11EDA" w:rsidP="00C11EDA">
      <w:pPr>
        <w:spacing w:after="0" w:line="360" w:lineRule="auto"/>
        <w:ind w:firstLine="360"/>
        <w:contextualSpacing/>
        <w:jc w:val="center"/>
        <w:rPr>
          <w:rFonts w:ascii="Times New Roman" w:eastAsia="Times New Roman" w:hAnsi="Times New Roman" w:cs="Times New Roman"/>
          <w:b/>
          <w:bCs/>
          <w:sz w:val="24"/>
          <w:szCs w:val="24"/>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
          <w:iCs/>
          <w:sz w:val="24"/>
          <w:szCs w:val="24"/>
          <w:lang w:eastAsia="lv-LV"/>
        </w:rPr>
      </w:pPr>
      <w:bookmarkStart w:id="4" w:name="_Toc143588657"/>
      <w:bookmarkStart w:id="5" w:name="_Toc334018304"/>
      <w:bookmarkStart w:id="6" w:name="_Toc365544726"/>
      <w:r w:rsidRPr="00C11EDA">
        <w:rPr>
          <w:rFonts w:ascii="Times New Roman" w:eastAsia="Times New Roman" w:hAnsi="Times New Roman" w:cs="Times New Roman"/>
          <w:b/>
          <w:bCs/>
          <w:iCs/>
          <w:sz w:val="24"/>
          <w:szCs w:val="24"/>
          <w:lang w:val="x-none" w:eastAsia="lv-LV"/>
        </w:rPr>
        <w:t>2. Intelektuālā īpašuma tiesību politikas pamatprincipi</w:t>
      </w:r>
      <w:bookmarkEnd w:id="4"/>
      <w:bookmarkEnd w:id="5"/>
      <w:bookmarkEnd w:id="6"/>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nodrošināšana un aizsardzība tiek balstīta uz šādiem pamatprincipiem: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bookmarkStart w:id="7" w:name="_Toc143588658"/>
      <w:r w:rsidRPr="00C11EDA">
        <w:rPr>
          <w:rFonts w:ascii="Times New Roman" w:eastAsia="Calibri" w:hAnsi="Times New Roman" w:cs="Times New Roman"/>
          <w:sz w:val="24"/>
          <w:szCs w:val="24"/>
        </w:rPr>
        <w:t xml:space="preserve">1) </w:t>
      </w:r>
      <w:r w:rsidRPr="00C11EDA">
        <w:rPr>
          <w:rFonts w:ascii="Times New Roman" w:eastAsia="Calibri" w:hAnsi="Times New Roman" w:cs="Times New Roman"/>
          <w:sz w:val="24"/>
          <w:szCs w:val="24"/>
          <w:u w:val="single"/>
        </w:rPr>
        <w:t>attīstība</w:t>
      </w:r>
      <w:r w:rsidRPr="00C11EDA">
        <w:rPr>
          <w:rFonts w:ascii="Times New Roman" w:eastAsia="Calibri" w:hAnsi="Times New Roman" w:cs="Times New Roman"/>
          <w:sz w:val="24"/>
          <w:szCs w:val="24"/>
        </w:rPr>
        <w:t xml:space="preserve"> – jaunu produktu un tehnoloģiju izstrādes un ražošanas attīstības iespējas;</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Calibri" w:hAnsi="Times New Roman" w:cs="Times New Roman"/>
          <w:sz w:val="24"/>
          <w:szCs w:val="24"/>
          <w:u w:val="single"/>
        </w:rPr>
        <w:t>sadarbība</w:t>
      </w:r>
      <w:r w:rsidRPr="00C11EDA">
        <w:rPr>
          <w:rFonts w:ascii="Times New Roman" w:eastAsia="Calibri" w:hAnsi="Times New Roman" w:cs="Times New Roman"/>
          <w:sz w:val="24"/>
          <w:szCs w:val="24"/>
        </w:rPr>
        <w:t xml:space="preserve"> – valsts institūciju un privāto institūciju savstarpējā sadarbošanās, sadarbība starp pētniecību un uzņēmējdarbību;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 </w:t>
      </w:r>
      <w:r w:rsidRPr="00C11EDA">
        <w:rPr>
          <w:rFonts w:ascii="Times New Roman" w:eastAsia="Calibri" w:hAnsi="Times New Roman" w:cs="Times New Roman"/>
          <w:sz w:val="24"/>
          <w:szCs w:val="24"/>
          <w:u w:val="single"/>
        </w:rPr>
        <w:t>izpratne</w:t>
      </w:r>
      <w:r w:rsidRPr="00C11EDA">
        <w:rPr>
          <w:rFonts w:ascii="Times New Roman" w:eastAsia="Calibri" w:hAnsi="Times New Roman" w:cs="Times New Roman"/>
          <w:sz w:val="24"/>
          <w:szCs w:val="24"/>
        </w:rPr>
        <w:t xml:space="preserve"> – informētība intelektuālā īpašuma tiesību jomā, tai skaitā informētība par intelektuālā īpašuma tiesību pielietojumu savu tiesību aizsardzībā.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8" w:name="_Toc365544727"/>
      <w:r w:rsidRPr="00C11EDA">
        <w:rPr>
          <w:rFonts w:ascii="Times New Roman" w:eastAsia="Times New Roman" w:hAnsi="Times New Roman" w:cs="Times New Roman"/>
          <w:b/>
          <w:bCs/>
          <w:iCs/>
          <w:sz w:val="24"/>
          <w:szCs w:val="24"/>
          <w:lang w:val="x-none" w:eastAsia="lv-LV"/>
        </w:rPr>
        <w:t>3. Intelektuālā īpašuma tiesību politikas mērķi</w:t>
      </w:r>
      <w:bookmarkEnd w:id="7"/>
      <w:bookmarkEnd w:id="8"/>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u w:val="single"/>
        </w:rPr>
      </w:pPr>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u w:val="single"/>
        </w:rPr>
        <w:t>Vīzija</w:t>
      </w:r>
      <w:r w:rsidRPr="00C11EDA">
        <w:rPr>
          <w:rFonts w:ascii="Times New Roman" w:eastAsia="Calibri" w:hAnsi="Times New Roman" w:cs="Times New Roman"/>
          <w:sz w:val="24"/>
          <w:szCs w:val="24"/>
        </w:rPr>
        <w:t xml:space="preserve"> – attīstīta intelektuālā īpašuma tiesību joma, ko nodrošina intelektuālā īpašuma tiesību jautājumos izglītota sabiedrība, tiesībsargājošo institūciju apmācība intelektuālā īpašuma tiesību aizsardzības jomā, jaunu produktu un tehnoloģiju izstrādes un ražošanas attīstība</w:t>
      </w:r>
      <w:r w:rsidRPr="00C11EDA">
        <w:rPr>
          <w:rFonts w:ascii="Times New Roman" w:eastAsia="Calibri" w:hAnsi="Times New Roman" w:cs="Times New Roman"/>
          <w:szCs w:val="24"/>
          <w:vertAlign w:val="superscript"/>
        </w:rPr>
        <w:footnoteReference w:id="1"/>
      </w:r>
      <w:r w:rsidRPr="00C11EDA">
        <w:rPr>
          <w:rFonts w:ascii="Times New Roman" w:eastAsia="Calibri" w:hAnsi="Times New Roman" w:cs="Times New Roman"/>
          <w:sz w:val="24"/>
          <w:szCs w:val="24"/>
        </w:rPr>
        <w:t xml:space="preserve">, efektīva un sabiedrībai viegli pieejama intelektuālā īpašuma aizsardzība, kā arī spēkā esošo normatīvo aktu intelektuālā īpašuma tiesību jomā uzlabošana. </w:t>
      </w:r>
    </w:p>
    <w:p w:rsidR="00C11EDA" w:rsidRPr="00C11EDA" w:rsidRDefault="00C11EDA" w:rsidP="00C11EDA">
      <w:pPr>
        <w:spacing w:after="0" w:line="360" w:lineRule="auto"/>
        <w:ind w:firstLine="539"/>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Pamatojoties uz politikas pamatprincipiem, </w:t>
      </w:r>
      <w:bookmarkStart w:id="9" w:name="OLE_LINK3"/>
      <w:bookmarkStart w:id="10" w:name="OLE_LINK4"/>
      <w:r w:rsidRPr="00C11EDA">
        <w:rPr>
          <w:rFonts w:ascii="Times New Roman" w:eastAsia="Calibri" w:hAnsi="Times New Roman" w:cs="Times New Roman"/>
          <w:sz w:val="24"/>
          <w:szCs w:val="24"/>
        </w:rPr>
        <w:t xml:space="preserve">tiek izvirzīts šāds </w:t>
      </w:r>
      <w:r w:rsidRPr="00C11EDA">
        <w:rPr>
          <w:rFonts w:ascii="Times New Roman" w:eastAsia="Calibri" w:hAnsi="Times New Roman" w:cs="Times New Roman"/>
          <w:sz w:val="24"/>
          <w:szCs w:val="24"/>
          <w:u w:val="single"/>
        </w:rPr>
        <w:t>politikas mērķis</w:t>
      </w:r>
      <w:r w:rsidRPr="00C11EDA">
        <w:rPr>
          <w:rFonts w:ascii="Times New Roman" w:eastAsia="Calibri" w:hAnsi="Times New Roman" w:cs="Times New Roman"/>
          <w:sz w:val="24"/>
          <w:szCs w:val="24"/>
        </w:rPr>
        <w:t xml:space="preserve"> – indivīda (autors, izgudrotājs, kas rada intelektuālo īpašumu) darbība un uzņēmējdarbība ar augstāko pievienoto vērtību intelektuālā īpašuma tiesību jomā, intelektuālā īpašuma jomā izglītota sabiedrība un paaugstināts novitāšu aizsardzības līmenis. </w:t>
      </w:r>
      <w:bookmarkEnd w:id="9"/>
      <w:bookmarkEnd w:id="10"/>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539"/>
        <w:contextualSpacing/>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Lai sasniegtu intelektuālā īpašuma tiesību aizsardzības politikas mērķi, tiek izvirzīti šādi apakšmērķi:</w:t>
      </w:r>
    </w:p>
    <w:p w:rsidR="00C11EDA" w:rsidRPr="00C11EDA" w:rsidRDefault="00C11EDA" w:rsidP="00C11EDA">
      <w:pPr>
        <w:spacing w:after="0" w:line="360" w:lineRule="auto"/>
        <w:ind w:firstLine="539"/>
        <w:contextualSpacing/>
        <w:jc w:val="both"/>
        <w:rPr>
          <w:rFonts w:ascii="Times New Roman" w:eastAsia="Calibri" w:hAnsi="Times New Roman" w:cs="Times New Roman"/>
          <w:b/>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w:t>
      </w:r>
      <w:r w:rsidRPr="00C11EDA">
        <w:rPr>
          <w:rFonts w:ascii="Times New Roman" w:eastAsia="Calibri" w:hAnsi="Times New Roman" w:cs="Times New Roman"/>
          <w:sz w:val="24"/>
          <w:szCs w:val="24"/>
          <w:u w:val="single"/>
        </w:rPr>
        <w:t>Sakārtots nacionālais normatīvais regulējums intelektuālā īpašuma tiesību jomā</w:t>
      </w:r>
      <w:r w:rsidRPr="00C11EDA">
        <w:rPr>
          <w:rFonts w:ascii="Times New Roman" w:eastAsia="Calibri" w:hAnsi="Times New Roman" w:cs="Times New Roman"/>
          <w:sz w:val="24"/>
          <w:szCs w:val="24"/>
        </w:rPr>
        <w:t xml:space="preserve"> - </w:t>
      </w:r>
      <w:r w:rsidRPr="00C11EDA">
        <w:rPr>
          <w:rFonts w:ascii="Times New Roman" w:eastAsia="Calibri" w:hAnsi="Times New Roman" w:cs="Times New Roman"/>
          <w:sz w:val="24"/>
          <w:szCs w:val="24"/>
          <w:u w:val="single"/>
        </w:rPr>
        <w:t>novērsti trūkumi un neprecizitātes normatīvajos aktos</w:t>
      </w:r>
      <w:r w:rsidRPr="00C11EDA">
        <w:rPr>
          <w:rFonts w:ascii="Times New Roman" w:eastAsia="Calibri" w:hAnsi="Times New Roman" w:cs="Times New Roman"/>
          <w:sz w:val="24"/>
          <w:szCs w:val="24"/>
        </w:rPr>
        <w:t xml:space="preserve"> attiecībā uz intelektuālā īpašuma tiesību aizsardzību. Līdz ar to tiek sakārtots normatīvais regulējums intelektuālā īpašuma tiesību jomā, nodrošinot efektīvu intelektuālā īpašuma tiesību īstenošanu;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Calibri" w:hAnsi="Times New Roman" w:cs="Times New Roman"/>
          <w:sz w:val="24"/>
          <w:szCs w:val="24"/>
          <w:u w:val="single"/>
        </w:rPr>
        <w:t>Sabiedrības izpratnes par intelektuālā īpašuma tiesībām pilnveidošana, panākot šo tiesību ievērošanu,</w:t>
      </w:r>
      <w:r w:rsidRPr="00C11EDA">
        <w:rPr>
          <w:rFonts w:ascii="Times New Roman" w:eastAsia="Calibri" w:hAnsi="Times New Roman" w:cs="Times New Roman"/>
          <w:sz w:val="24"/>
          <w:szCs w:val="24"/>
        </w:rPr>
        <w:t xml:space="preserve"> kā rezultātā samazinās intelektuālā īpašuma tiesību pārkāpumu skaits, un paaugstinās intelektuālā īpašuma tiesību nozīme sabiedrībā, tādējādi var sekmīgāk attīstīties indivīda prasmes, kā arī uzņēmējdarbības vide;</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 </w:t>
      </w:r>
      <w:r w:rsidRPr="00C11EDA">
        <w:rPr>
          <w:rFonts w:ascii="Times New Roman" w:eastAsia="Calibri" w:hAnsi="Times New Roman" w:cs="Times New Roman"/>
          <w:sz w:val="24"/>
          <w:szCs w:val="24"/>
          <w:u w:val="single"/>
        </w:rPr>
        <w:t xml:space="preserve">Attīstīta </w:t>
      </w:r>
      <w:proofErr w:type="spellStart"/>
      <w:r w:rsidRPr="00C11EDA">
        <w:rPr>
          <w:rFonts w:ascii="Times New Roman" w:eastAsia="Calibri" w:hAnsi="Times New Roman" w:cs="Times New Roman"/>
          <w:sz w:val="24"/>
          <w:szCs w:val="24"/>
          <w:u w:val="single"/>
        </w:rPr>
        <w:t>izgudrotājdarbība</w:t>
      </w:r>
      <w:proofErr w:type="spellEnd"/>
      <w:r w:rsidRPr="00C11EDA">
        <w:rPr>
          <w:rFonts w:ascii="Times New Roman" w:eastAsia="Calibri" w:hAnsi="Times New Roman" w:cs="Times New Roman"/>
          <w:sz w:val="24"/>
          <w:szCs w:val="24"/>
        </w:rPr>
        <w:t xml:space="preserve"> – palielināta inovāciju nozīme sabiedrībā, kas veicina ekonomisko attīstību;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4. </w:t>
      </w:r>
      <w:r w:rsidRPr="00C11EDA">
        <w:rPr>
          <w:rFonts w:ascii="Times New Roman" w:eastAsia="Calibri" w:hAnsi="Times New Roman" w:cs="Times New Roman"/>
          <w:sz w:val="24"/>
          <w:szCs w:val="24"/>
          <w:u w:val="single"/>
        </w:rPr>
        <w:t>Pētījumi intelektuālā īpašuma tiesību jomā</w:t>
      </w:r>
      <w:r w:rsidRPr="00C11EDA">
        <w:rPr>
          <w:rFonts w:ascii="Times New Roman" w:eastAsia="Calibri" w:hAnsi="Times New Roman" w:cs="Times New Roman"/>
          <w:sz w:val="24"/>
          <w:szCs w:val="24"/>
        </w:rPr>
        <w:t xml:space="preserve">, tai skaitā, citu valstu likumu, kas noteic tiesisko regulējumu intelektuālā īpašuma tiesību jomā un to piemērošanas analīze. Tādējādi tiek noskaidrota Latvijā pastāvošā situācija intelektuālā īpašuma tiesību jomā un veikts tās salīdzinājums ar citām Eiropas un pasaules valstīm. Pētījumu izmantošana intelektuālā īpašuma tiesību jomas aizsardzības tālākai attīstībai, kā rezultātā uzlabojas uzņēmējdarbības vide; </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w:t>
      </w:r>
      <w:r w:rsidRPr="00C11EDA">
        <w:rPr>
          <w:rFonts w:ascii="Times New Roman" w:eastAsia="Calibri" w:hAnsi="Times New Roman" w:cs="Times New Roman"/>
          <w:sz w:val="24"/>
          <w:szCs w:val="24"/>
          <w:u w:val="single"/>
        </w:rPr>
        <w:t>Efektīva pirātisma novēršana un apkarošana internetā</w:t>
      </w:r>
      <w:r w:rsidRPr="00C11EDA">
        <w:rPr>
          <w:rFonts w:ascii="Times New Roman" w:eastAsia="Calibri" w:hAnsi="Times New Roman" w:cs="Times New Roman"/>
          <w:sz w:val="24"/>
          <w:szCs w:val="24"/>
        </w:rPr>
        <w:t xml:space="preserve"> -</w:t>
      </w:r>
      <w:bookmarkStart w:id="11" w:name="_Toc334018305"/>
      <w:r w:rsidRPr="00C11EDA">
        <w:rPr>
          <w:rFonts w:ascii="Times New Roman" w:eastAsia="Calibri" w:hAnsi="Times New Roman" w:cs="Times New Roman"/>
          <w:sz w:val="24"/>
          <w:szCs w:val="24"/>
        </w:rPr>
        <w:t xml:space="preserve"> izstrādāts pētījums un, pamatojoties uz to, visaptverošs rīcības plāns, kas ietver pasākumu kopumu attiecībā uz pirātisma apkarošanu un novēršanu digitālā vidē.</w:t>
      </w:r>
    </w:p>
    <w:p w:rsidR="00C11EDA" w:rsidRPr="00C11EDA" w:rsidRDefault="00C11EDA" w:rsidP="00C11EDA">
      <w:pPr>
        <w:rPr>
          <w:rFonts w:ascii="Times New Roman" w:eastAsia="Calibri" w:hAnsi="Times New Roman" w:cs="Times New Roman"/>
          <w:sz w:val="24"/>
          <w:szCs w:val="24"/>
          <w:lang w:eastAsia="lv-LV"/>
        </w:rPr>
      </w:pPr>
    </w:p>
    <w:p w:rsidR="00C11EDA" w:rsidRPr="00C11EDA" w:rsidRDefault="00C11EDA" w:rsidP="00C11EDA">
      <w:pPr>
        <w:keepNext/>
        <w:spacing w:after="0" w:line="360" w:lineRule="auto"/>
        <w:ind w:firstLine="720"/>
        <w:contextualSpacing/>
        <w:outlineLvl w:val="1"/>
        <w:rPr>
          <w:rFonts w:ascii="Times New Roman" w:eastAsia="Times New Roman" w:hAnsi="Times New Roman" w:cs="Times New Roman"/>
          <w:b/>
          <w:bCs/>
          <w:iCs/>
          <w:sz w:val="24"/>
          <w:szCs w:val="24"/>
          <w:lang w:eastAsia="lv-LV"/>
        </w:rPr>
      </w:pPr>
      <w:bookmarkStart w:id="12" w:name="_Toc365544728"/>
      <w:r w:rsidRPr="00C11EDA">
        <w:rPr>
          <w:rFonts w:ascii="Times New Roman" w:eastAsia="Times New Roman" w:hAnsi="Times New Roman" w:cs="Times New Roman"/>
          <w:b/>
          <w:bCs/>
          <w:iCs/>
          <w:sz w:val="24"/>
          <w:szCs w:val="24"/>
          <w:lang w:val="x-none" w:eastAsia="lv-LV"/>
        </w:rPr>
        <w:t xml:space="preserve">4. Pamatnostādņu sasaiste ar </w:t>
      </w:r>
      <w:bookmarkEnd w:id="11"/>
      <w:r w:rsidRPr="00C11EDA">
        <w:rPr>
          <w:rFonts w:ascii="Times New Roman" w:eastAsia="Times New Roman" w:hAnsi="Times New Roman" w:cs="Times New Roman"/>
          <w:b/>
          <w:bCs/>
          <w:iCs/>
          <w:sz w:val="24"/>
          <w:szCs w:val="24"/>
          <w:lang w:eastAsia="lv-LV"/>
        </w:rPr>
        <w:t>citiem attīstības plānošanas dokumentiem</w:t>
      </w:r>
      <w:bookmarkEnd w:id="12"/>
    </w:p>
    <w:p w:rsidR="00C11EDA" w:rsidRPr="00C11EDA" w:rsidRDefault="00C11EDA" w:rsidP="00C11EDA">
      <w:pPr>
        <w:spacing w:after="0" w:line="360" w:lineRule="auto"/>
        <w:ind w:firstLine="720"/>
        <w:jc w:val="both"/>
        <w:rPr>
          <w:rFonts w:ascii="Times New Roman" w:eastAsia="Calibri" w:hAnsi="Times New Roman" w:cs="Times New Roman"/>
          <w:sz w:val="24"/>
          <w:szCs w:val="24"/>
          <w:lang w:eastAsia="zh-CN"/>
        </w:rPr>
      </w:pPr>
    </w:p>
    <w:p w:rsidR="00C11EDA" w:rsidRPr="00C11EDA" w:rsidRDefault="00C11EDA" w:rsidP="00C11EDA">
      <w:pPr>
        <w:spacing w:after="0" w:line="360" w:lineRule="auto"/>
        <w:ind w:firstLine="720"/>
        <w:jc w:val="both"/>
        <w:rPr>
          <w:rFonts w:ascii="Times New Roman" w:eastAsia="Calibri" w:hAnsi="Times New Roman" w:cs="Times New Roman"/>
          <w:sz w:val="24"/>
          <w:szCs w:val="24"/>
          <w:lang w:eastAsia="zh-CN"/>
        </w:rPr>
      </w:pPr>
      <w:r w:rsidRPr="00C11EDA">
        <w:rPr>
          <w:rFonts w:ascii="Times New Roman" w:eastAsia="Calibri" w:hAnsi="Times New Roman" w:cs="Times New Roman"/>
          <w:sz w:val="24"/>
          <w:szCs w:val="24"/>
          <w:lang w:eastAsia="zh-CN"/>
        </w:rPr>
        <w:t>Pamatnostādnēm ir sasaite ar vairākiem attīstības plānošanas dokumentiem un tajos izvirzītajām prioritātēm, kas ietver ar uzņēmējdarbības vides uzlabošanu saistītos jautājumus:</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sz w:val="24"/>
          <w:szCs w:val="24"/>
        </w:rPr>
        <w:t xml:space="preserve">ES izaugsmes stratēģijā </w:t>
      </w:r>
      <w:proofErr w:type="spellStart"/>
      <w:r w:rsidRPr="00C11EDA">
        <w:rPr>
          <w:rFonts w:ascii="Times New Roman" w:eastAsia="Calibri" w:hAnsi="Times New Roman" w:cs="Times New Roman"/>
          <w:i/>
          <w:sz w:val="24"/>
          <w:szCs w:val="24"/>
        </w:rPr>
        <w:t>Europe</w:t>
      </w:r>
      <w:proofErr w:type="spellEnd"/>
      <w:r w:rsidRPr="00C11EDA">
        <w:rPr>
          <w:rFonts w:ascii="Times New Roman" w:eastAsia="Calibri" w:hAnsi="Times New Roman" w:cs="Times New Roman"/>
          <w:i/>
          <w:sz w:val="24"/>
          <w:szCs w:val="24"/>
        </w:rPr>
        <w:t xml:space="preserve"> 2020 </w:t>
      </w:r>
      <w:r w:rsidRPr="00C11EDA">
        <w:rPr>
          <w:rFonts w:ascii="Times New Roman" w:eastAsia="Calibri" w:hAnsi="Times New Roman" w:cs="Times New Roman"/>
          <w:sz w:val="24"/>
          <w:szCs w:val="24"/>
        </w:rPr>
        <w:t>paredzētā nepieciešamība pilnveidot atbalstu pētniecībai un inovācijām</w:t>
      </w:r>
      <w:proofErr w:type="gramStart"/>
      <w:r w:rsidRPr="00C11EDA">
        <w:rPr>
          <w:rFonts w:ascii="Times New Roman" w:eastAsia="Calibri" w:hAnsi="Times New Roman" w:cs="Times New Roman"/>
          <w:sz w:val="24"/>
          <w:szCs w:val="24"/>
        </w:rPr>
        <w:t xml:space="preserve"> līdz inovatīvās idejas tiek pārvērstas precēs un pakalpojumos, tādējādi radot kopējo izaugsmi un jaunas darbavietas</w:t>
      </w:r>
      <w:proofErr w:type="gramEnd"/>
      <w:r w:rsidRPr="00C11EDA">
        <w:rPr>
          <w:rFonts w:ascii="Times New Roman" w:eastAsia="Calibri" w:hAnsi="Times New Roman" w:cs="Times New Roman"/>
          <w:sz w:val="24"/>
          <w:szCs w:val="24"/>
        </w:rPr>
        <w:t xml:space="preserve">, kā arī dzīves kvalitātes uzlabošana un rūpnieciskās bāzes stiprināšana (kā daļa no </w:t>
      </w:r>
      <w:proofErr w:type="spellStart"/>
      <w:r w:rsidRPr="00C11EDA">
        <w:rPr>
          <w:rFonts w:ascii="Times New Roman" w:eastAsia="Calibri" w:hAnsi="Times New Roman" w:cs="Times New Roman"/>
          <w:i/>
          <w:sz w:val="24"/>
          <w:szCs w:val="24"/>
        </w:rPr>
        <w:t>Europe</w:t>
      </w:r>
      <w:proofErr w:type="spellEnd"/>
      <w:r w:rsidRPr="00C11EDA">
        <w:rPr>
          <w:rFonts w:ascii="Times New Roman" w:eastAsia="Calibri" w:hAnsi="Times New Roman" w:cs="Times New Roman"/>
          <w:i/>
          <w:sz w:val="24"/>
          <w:szCs w:val="24"/>
        </w:rPr>
        <w:t xml:space="preserve"> 2020 </w:t>
      </w:r>
      <w:proofErr w:type="spellStart"/>
      <w:r w:rsidRPr="00C11EDA">
        <w:rPr>
          <w:rFonts w:ascii="Times New Roman" w:eastAsia="Calibri" w:hAnsi="Times New Roman" w:cs="Times New Roman"/>
          <w:sz w:val="24"/>
          <w:szCs w:val="24"/>
        </w:rPr>
        <w:t>pamatiniciatīvas</w:t>
      </w:r>
      <w:proofErr w:type="spellEnd"/>
      <w:r w:rsidRPr="00C11EDA">
        <w:rPr>
          <w:rFonts w:ascii="Times New Roman" w:eastAsia="Calibri" w:hAnsi="Times New Roman" w:cs="Times New Roman"/>
          <w:sz w:val="24"/>
          <w:szCs w:val="24"/>
        </w:rPr>
        <w:t>) rūpnieciskās politikas globalizācijas laikmetā, uzlabojot intelektuālā īpašuma tiesību īstenošanas apstākļus, patentu sistēmas reforma Eiropā, preču zīmju sistēmas modernizācija, visaptveroša autortiesību digitālā vienotā tirgus ietvara radīšana, koncentrēšanās uz papildu aizsardzības problēmjautājumiem attiecībā uz nemateriālajām vērtībām, ciešāka cīņa pret viltošanu un pirātismu</w:t>
      </w:r>
      <w:r w:rsidR="00907200">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tādējādi sniedzot iespēju lielajiem uzņēmumiem un MVU konkurēt globālā mērogā</w:t>
      </w:r>
      <w:r w:rsidRPr="00C11EDA">
        <w:rPr>
          <w:rFonts w:ascii="Times New Roman" w:eastAsia="Calibri" w:hAnsi="Times New Roman" w:cs="Times New Roman"/>
          <w:sz w:val="24"/>
          <w:szCs w:val="24"/>
          <w:vertAlign w:val="superscript"/>
        </w:rPr>
        <w:footnoteReference w:id="2"/>
      </w:r>
      <w:r w:rsidRPr="00C11EDA">
        <w:rPr>
          <w:rFonts w:ascii="Times New Roman" w:eastAsia="Calibri" w:hAnsi="Times New Roman" w:cs="Times New Roman"/>
          <w:sz w:val="24"/>
          <w:szCs w:val="24"/>
        </w:rPr>
        <w:t xml:space="preserve"> ir tās prioritātes, kas saistāmas ar intelektuālā īpašuma aizsardzību;</w:t>
      </w:r>
    </w:p>
    <w:p w:rsidR="00C11EDA" w:rsidRPr="00C11EDA" w:rsidRDefault="00C11EDA" w:rsidP="00C11EDA">
      <w:pPr>
        <w:numPr>
          <w:ilvl w:val="0"/>
          <w:numId w:val="41"/>
        </w:numPr>
        <w:spacing w:after="0" w:line="36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NAP2020 ir galvenais vidēja termiņa attīstības plānošanas dokuments Latvijā, kura mērķis ir tautsaimniecības attīstība, un kas paredz pasākumus intelektuālā īpašuma tiesību aizsardzības sistēmas pilnveidošanai, tai skaitā radot jaunus inovatīvus un radošus, globālajā tirgū konkurētspējīgus produktus un pakalpojumus, kā arī nosakot, ka fundamentālās un lietišķās zinātnes un pētniecības potenciāla atjaunošanas un attīstības ietvaros ir jāizstrādā intelektuālā īpašuma aizsardzības transakcijas un finansēšanas sistēma;</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bCs/>
          <w:sz w:val="24"/>
          <w:szCs w:val="24"/>
        </w:rPr>
        <w:t>Latvijas ilgtspējīgas attīstības stratēģijas līdz 2030.</w:t>
      </w:r>
      <w:r w:rsidR="00CC5B51">
        <w:rPr>
          <w:rFonts w:ascii="Times New Roman" w:eastAsia="Calibri" w:hAnsi="Times New Roman" w:cs="Times New Roman"/>
          <w:bCs/>
          <w:sz w:val="24"/>
          <w:szCs w:val="24"/>
        </w:rPr>
        <w:t> </w:t>
      </w:r>
      <w:r w:rsidRPr="00C11EDA">
        <w:rPr>
          <w:rFonts w:ascii="Times New Roman" w:eastAsia="Calibri" w:hAnsi="Times New Roman" w:cs="Times New Roman"/>
          <w:bCs/>
          <w:sz w:val="24"/>
          <w:szCs w:val="24"/>
        </w:rPr>
        <w:t xml:space="preserve">gadam ietvertās prioritātes: </w:t>
      </w:r>
      <w:r w:rsidRPr="00C11EDA">
        <w:rPr>
          <w:rFonts w:ascii="Times New Roman" w:eastAsia="Calibri" w:hAnsi="Times New Roman" w:cs="Times New Roman"/>
          <w:sz w:val="24"/>
          <w:szCs w:val="24"/>
        </w:rPr>
        <w:t xml:space="preserve">laimīgs cilvēks </w:t>
      </w:r>
      <w:proofErr w:type="spellStart"/>
      <w:r w:rsidRPr="00C11EDA">
        <w:rPr>
          <w:rFonts w:ascii="Times New Roman" w:eastAsia="Calibri" w:hAnsi="Times New Roman" w:cs="Times New Roman"/>
          <w:sz w:val="24"/>
          <w:szCs w:val="24"/>
        </w:rPr>
        <w:t>labklājīgā</w:t>
      </w:r>
      <w:proofErr w:type="spellEnd"/>
      <w:r w:rsidRPr="00C11EDA">
        <w:rPr>
          <w:rFonts w:ascii="Times New Roman" w:eastAsia="Calibri" w:hAnsi="Times New Roman" w:cs="Times New Roman"/>
          <w:sz w:val="24"/>
          <w:szCs w:val="24"/>
        </w:rPr>
        <w:t xml:space="preserve"> valstī, inovatīva un efektīva ekonomika, kā arī</w:t>
      </w:r>
      <w:proofErr w:type="gramStart"/>
      <w:r w:rsidRPr="00C11EDA">
        <w:rPr>
          <w:rFonts w:ascii="Times New Roman" w:eastAsia="Calibri" w:hAnsi="Times New Roman" w:cs="Times New Roman"/>
          <w:sz w:val="24"/>
          <w:szCs w:val="24"/>
        </w:rPr>
        <w:t xml:space="preserve">  </w:t>
      </w:r>
      <w:proofErr w:type="gramEnd"/>
      <w:r w:rsidRPr="00C11EDA">
        <w:rPr>
          <w:rFonts w:ascii="Times New Roman" w:eastAsia="Calibri" w:hAnsi="Times New Roman" w:cs="Times New Roman"/>
          <w:sz w:val="24"/>
          <w:szCs w:val="24"/>
        </w:rPr>
        <w:t xml:space="preserve">ieguldījumi cilvēkkapitālā, un šīs prioritātes ir saistāmas ar intelektuālā īpašuma tiesību aizsardzību; </w:t>
      </w:r>
    </w:p>
    <w:p w:rsidR="00C11EDA" w:rsidRPr="00C11EDA" w:rsidRDefault="00C11EDA" w:rsidP="00C11EDA">
      <w:pPr>
        <w:numPr>
          <w:ilvl w:val="0"/>
          <w:numId w:val="41"/>
        </w:numPr>
        <w:spacing w:after="0" w:line="360" w:lineRule="auto"/>
        <w:jc w:val="both"/>
        <w:rPr>
          <w:rFonts w:ascii="Calibri" w:eastAsia="Calibri" w:hAnsi="Calibri" w:cs="Times New Roman"/>
          <w:sz w:val="24"/>
          <w:szCs w:val="24"/>
          <w:lang w:eastAsia="lv-LV"/>
        </w:rPr>
      </w:pPr>
      <w:r w:rsidRPr="00C11EDA">
        <w:rPr>
          <w:rFonts w:ascii="Times New Roman" w:eastAsia="Calibri" w:hAnsi="Times New Roman" w:cs="Times New Roman"/>
          <w:sz w:val="24"/>
          <w:szCs w:val="24"/>
        </w:rPr>
        <w:t>Nacionālās industriālās politikas pamatnostādnes 2014. - 2020.</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gadam</w:t>
      </w:r>
      <w:r w:rsidR="00CC5B51">
        <w:rPr>
          <w:rFonts w:ascii="Times New Roman" w:eastAsia="Calibri" w:hAnsi="Times New Roman" w:cs="Times New Roman"/>
          <w:sz w:val="24"/>
          <w:szCs w:val="24"/>
        </w:rPr>
        <w:t xml:space="preserve"> vērstas uz</w:t>
      </w:r>
      <w:r w:rsidRPr="00C11EDA">
        <w:rPr>
          <w:rFonts w:ascii="Times New Roman" w:eastAsia="Calibri" w:hAnsi="Times New Roman" w:cs="Times New Roman"/>
          <w:sz w:val="24"/>
          <w:szCs w:val="24"/>
        </w:rPr>
        <w:t xml:space="preserve"> nepieciešamību noteikt galvenos industriālās politikas virzienus, ņemot vērā esošās attīstības tendences, globālos izaicinājumus un nozaru potenciālās iespējas virzībā uz augstākas pievienotās vērtības produktu ražošanu, tādējādi nodrošinot inovatīvu un efektīvu ekonomiku, kas ir saistīts ar intelektuālā īpašuma tiesību aizsardzību.</w:t>
      </w:r>
    </w:p>
    <w:p w:rsidR="00C11EDA" w:rsidRPr="00C11EDA" w:rsidRDefault="00C11EDA" w:rsidP="00C11EDA">
      <w:pPr>
        <w:autoSpaceDE w:val="0"/>
        <w:autoSpaceDN w:val="0"/>
        <w:adjustRightInd w:val="0"/>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 xml:space="preserve"> </w:t>
      </w:r>
    </w:p>
    <w:p w:rsidR="00C11EDA" w:rsidRPr="00C11EDA" w:rsidRDefault="00C11EDA" w:rsidP="00C11EDA">
      <w:pPr>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13" w:name="_Toc334018306"/>
      <w:r w:rsidRPr="00C11EDA">
        <w:rPr>
          <w:rFonts w:ascii="Times New Roman" w:eastAsia="Times New Roman" w:hAnsi="Times New Roman" w:cs="Times New Roman"/>
          <w:b/>
          <w:bCs/>
          <w:iCs/>
          <w:sz w:val="24"/>
          <w:szCs w:val="24"/>
          <w:lang w:val="x-none" w:eastAsia="lv-LV"/>
        </w:rPr>
        <w:br w:type="page"/>
      </w:r>
      <w:bookmarkStart w:id="14" w:name="_Toc365544729"/>
      <w:r w:rsidRPr="00C11EDA">
        <w:rPr>
          <w:rFonts w:ascii="Times New Roman" w:eastAsia="Times New Roman" w:hAnsi="Times New Roman" w:cs="Times New Roman"/>
          <w:b/>
          <w:bCs/>
          <w:iCs/>
          <w:sz w:val="24"/>
          <w:szCs w:val="24"/>
          <w:lang w:val="x-none" w:eastAsia="lv-LV"/>
        </w:rPr>
        <w:t>5. Situācijas raksturojums</w:t>
      </w:r>
      <w:bookmarkEnd w:id="2"/>
      <w:r w:rsidRPr="00C11EDA">
        <w:rPr>
          <w:rFonts w:ascii="Times New Roman" w:eastAsia="Times New Roman" w:hAnsi="Times New Roman" w:cs="Times New Roman"/>
          <w:b/>
          <w:bCs/>
          <w:iCs/>
          <w:sz w:val="24"/>
          <w:szCs w:val="24"/>
          <w:lang w:val="x-none" w:eastAsia="lv-LV"/>
        </w:rPr>
        <w:t xml:space="preserve"> intelektuālā īpašuma tiesību jomā</w:t>
      </w:r>
      <w:bookmarkStart w:id="15" w:name="_Toc365544730"/>
      <w:bookmarkEnd w:id="13"/>
      <w:bookmarkEnd w:id="14"/>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val="x-none" w:eastAsia="lv-LV"/>
        </w:rPr>
      </w:pPr>
      <w:r w:rsidRPr="00C11EDA">
        <w:rPr>
          <w:rFonts w:ascii="Times New Roman" w:eastAsia="Times New Roman" w:hAnsi="Times New Roman" w:cs="Times New Roman"/>
          <w:b/>
          <w:bCs/>
          <w:iCs/>
          <w:sz w:val="24"/>
          <w:szCs w:val="24"/>
          <w:lang w:val="x-none" w:eastAsia="lv-LV"/>
        </w:rPr>
        <w:t>5.1. Iepriekšējā perioda pamatnostādņu izpildes izvērtējums.</w:t>
      </w:r>
      <w:bookmarkEnd w:id="15"/>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Situācijas raksturojums sniegts par laika posmu no 2008. līdz 2012. gadam, ņemot vērā pamatnostādnēs iekļauto uzdevumu realizētāju sniegto informāciju par uzdevumu īstenošanu. Kopumā pamatnostādnēs 2008. līdz 2012. gadam tika izvirzīti 38 uzdevumi.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5.1.1.</w:t>
      </w:r>
      <w:r w:rsidRPr="00C11EDA">
        <w:rPr>
          <w:rFonts w:ascii="Times New Roman" w:eastAsia="Calibri" w:hAnsi="Times New Roman" w:cs="Times New Roman"/>
          <w:sz w:val="24"/>
          <w:szCs w:val="24"/>
        </w:rPr>
        <w:t xml:space="preserve"> 2008. gadā pilnībā tika izpildīti 7 uzdevumi; 8 uzdevumi bija pastāvīgi veicami arī turpmākajos pamatnostādņu īstenošanas gados.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2008. </w:t>
      </w:r>
      <w:r w:rsidR="00907200">
        <w:rPr>
          <w:rFonts w:ascii="Times New Roman" w:eastAsia="Calibri" w:hAnsi="Times New Roman" w:cs="Times New Roman"/>
          <w:sz w:val="24"/>
          <w:szCs w:val="24"/>
        </w:rPr>
        <w:t xml:space="preserve">gadā </w:t>
      </w:r>
      <w:r w:rsidRPr="00C11EDA">
        <w:rPr>
          <w:rFonts w:ascii="Times New Roman" w:eastAsia="Calibri" w:hAnsi="Times New Roman" w:cs="Times New Roman"/>
          <w:sz w:val="24"/>
          <w:szCs w:val="24"/>
        </w:rPr>
        <w:t>veiksmīgi tika realizēti pamatnostādnēs rīcības pamatvirzienā „Izpratnes veicināšana par intelektuālā īpašuma tiesībām. Izglītības pilnveidošana” noteiktie uzdevumi: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intelektuālā īpašuma jautājumi tika iekļauti Izglītības satura un eksaminācijas centra veidotajos mācību priekšmetu standartu projektos, kā arī pedagogu tālākizglītības programmās tika iekļautas tēmas, kas saistītas ar intelektuālā īpašuma tiesību aizsardzību (kopumā intelektuālā īpašuma tiesību jautājumi tika iekļauti četru mācību priekšmetu standartos);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tika uzsāktas sarunas ar Latvijas Republikas augstāko mācību iestāžu pārstāvjiem par iespēju iekļaut jaunas mācību programmas intelektuālā īpašuma tiesību jomā augstskolu studentiem;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35 augstskolās un koledžās šajā periodā 135 programmu ietvaros tika īstenoti 55 studiju kursi, kuros iekļautas tēmas par intelektuālā īpašuma tiesību aizsardzības jautājumiem;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attiecībā uz pirmsskolas vecuma bērnu iepazīstināšanu ar intelektuālā īpašuma tiesībām rezultāts sasniegts daļēji, jo jaunu materiālu sagatavošana un publicēšana, kā arī jau sagatavoto materiālu publicēšana nebija iespējama finansējuma trūkuma dēļ.</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2008. gadā ir organizētas tiesnešu, VID amatpersonu, muitas iestāžu darbinieku apmācības, kā arī kopīgi apmācības kursi tiesnešiem, prokuroriem un policijas darbiniekiem.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2008. gadā trīs uzdevumi tika izpildīti daļēji. Šajā laika periodā netika pabeigti TM un ĢP sadarbības projekti par normatīvā regulējuma pilnveidošanu Krimināllikumā un Latvijas Administratīvo pārkāpumu kodeksā attiecībā uz sankcijām par autortiesību un blakustiesību pārkāpumiem.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5.1.2.</w:t>
      </w:r>
      <w:r w:rsidRPr="00C11EDA">
        <w:rPr>
          <w:rFonts w:ascii="Times New Roman" w:eastAsia="Calibri" w:hAnsi="Times New Roman" w:cs="Times New Roman"/>
          <w:sz w:val="24"/>
          <w:szCs w:val="24"/>
        </w:rPr>
        <w:t xml:space="preserve"> Pamatnostādņu īstenošanas periodā 2009. un 2010. gadā pilnībā tika izpildīti 8 uzdevumi; 17 uzdevumi tika izpildīti, bet to izpilde paredzēta arī turpmākajos gados; 2 uzdevumi tika izpildīti daļēji, bet to izpilde paredzēta arī turpmākajos gados; 5 uzdevumi tika izpildīti daļēji finansējuma trūkuma dēļ; 5 uzdevumi netika izpildīti finansējuma trūkuma dēļ (no tiem 2 uzdevumu izpilde ir paredzēta arī turpmākajos gados); 3 uzdevumi netika izpildīti, jo netika gūta mērķauditorijas atsaucība.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2009. gadā veiksmīgi turpinājās pamatnostādnēs rīcības pamatvirzienā „Izpratnes veicināšana par intelektuālā īpašuma tiesībām. Izglītības pilnveidošana</w:t>
      </w:r>
      <w:r w:rsidR="00907200">
        <w:rPr>
          <w:rFonts w:ascii="Times New Roman" w:eastAsia="Calibri" w:hAnsi="Times New Roman" w:cs="Times New Roman"/>
          <w:sz w:val="24"/>
          <w:szCs w:val="24"/>
        </w:rPr>
        <w:t>.</w:t>
      </w:r>
      <w:r w:rsidRPr="00C11EDA">
        <w:rPr>
          <w:rFonts w:ascii="Times New Roman" w:eastAsia="Calibri" w:hAnsi="Times New Roman" w:cs="Times New Roman"/>
          <w:sz w:val="24"/>
          <w:szCs w:val="24"/>
        </w:rPr>
        <w:t>” noteiktā uzdevuma realizācija - intelektuālā īpašuma tiesību jautājumi tika iekļauti septiņos mācību priekšmetu standartos (politikas un tiesību, biznesa, ekonomisko pamatu, informātikas, vizuālās mākslas, mūzikas, literatūras). Līdz ar to pamatnostādnēs izvirzītais darbības rezultāts tika sasniegts pilnībā.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Tā kā intelektuālā īpašuma tiesību aizsardzībā iesaistīto personu (prokurori, muitas un policijas darbinieki) apmācība pamatnostādnēs tika noteikts kā pastāvīgi īstenojams uzdevums, 2009. un 2010. gadā tika veikta šo personu apmācība. Veiksmīgi norisinājās VID amatpersonu un Valsts policijas apmācību organizēšana, kopumā pārskata periodā apmācot 471 VID amatpersonas. Valsts policijas amatpersonas piedalījušās gan nacionālo institūciju, gan starptautisko institūciju organizētajos semināros un pieredzes apmaiņas pasākumos. Daļēji sasniegti darbības rezultāti attiecībā uz prokuroru apmācību un kopīgo apmācību kursu organizēšanu tiesnešiem, prokuroriem un policijas darbiniekiem. Finansējuma trūkuma dēļ šīs apmācības netika veiktas visos plānotajos reģionos.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Attiecībā uz rīcības pamatvirzienu „Izpratnes veicināšana par intelektuālā īpašuma tiesībām. Sabiedrības informēšana</w:t>
      </w:r>
      <w:r w:rsidR="006322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tika papildināts informācijas krājums intelektuālā īpašuma jomā PV departamentā „Patentu tehniskā bibliotēka”. Ierobežoti pieejamā finansējuma dēļ krājums netika papildināts tādā apmērā, kā to noteica pamatnostādnēs iekļautais pasākumu plāns.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Rīcības pamatvirziena „</w:t>
      </w:r>
      <w:proofErr w:type="spellStart"/>
      <w:r w:rsidRPr="00C11EDA">
        <w:rPr>
          <w:rFonts w:ascii="Times New Roman" w:eastAsia="Calibri" w:hAnsi="Times New Roman" w:cs="Times New Roman"/>
          <w:sz w:val="24"/>
          <w:szCs w:val="24"/>
        </w:rPr>
        <w:t>Izgudrotājdarbības</w:t>
      </w:r>
      <w:proofErr w:type="spellEnd"/>
      <w:r w:rsidRPr="00C11EDA">
        <w:rPr>
          <w:rFonts w:ascii="Times New Roman" w:eastAsia="Calibri" w:hAnsi="Times New Roman" w:cs="Times New Roman"/>
          <w:sz w:val="24"/>
          <w:szCs w:val="24"/>
        </w:rPr>
        <w:t xml:space="preserve"> veicināšana” ietvaros sasniegti plānotie darbības rezultāti attiecībā uz šajā periodā plānotajiem pasākumiem – apmācību kursu programmu izstrādi, konsultāciju un pakalpojumu iespēju paplašināšanu.</w:t>
      </w:r>
    </w:p>
    <w:p w:rsidR="00C11EDA" w:rsidRPr="00C11EDA" w:rsidRDefault="00C11EDA" w:rsidP="00C11EDA">
      <w:pPr>
        <w:tabs>
          <w:tab w:val="left" w:pos="851"/>
        </w:tabs>
        <w:spacing w:after="0" w:line="360" w:lineRule="auto"/>
        <w:ind w:firstLine="851"/>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Attiecībā uz rīcības pamatvirzienu „Sadarbības sistēmas pilnveidošana starp valsts un privātajām institūcijām” situācija valstī tika būtiski uzlabota, un ievērojami tika veicināta muitas iestāžu un uzņēmēju savstarpējā uzticēšanās un sadarbība, kas ir īpaši svarīgi, jo tiesību pārkāpumu konstatēšana lielā mērā ir atkarīga no valsts un privātpersonu sadarbības. Šā rīcības pamatvirziena ietvaros tika nodrošināta brīva bezmaksas piekļuve preču zīmju un dizainparaugu datubāzei tiešsaistē no PV </w:t>
      </w:r>
      <w:proofErr w:type="gramStart"/>
      <w:r w:rsidRPr="00C11EDA">
        <w:rPr>
          <w:rFonts w:ascii="Times New Roman" w:eastAsia="Calibri" w:hAnsi="Times New Roman" w:cs="Times New Roman"/>
          <w:sz w:val="24"/>
          <w:szCs w:val="24"/>
        </w:rPr>
        <w:t>mājas lapas</w:t>
      </w:r>
      <w:proofErr w:type="gramEnd"/>
      <w:r w:rsidRPr="00C11EDA">
        <w:rPr>
          <w:rFonts w:ascii="Times New Roman" w:eastAsia="Calibri" w:hAnsi="Times New Roman" w:cs="Times New Roman"/>
          <w:sz w:val="24"/>
          <w:szCs w:val="24"/>
        </w:rPr>
        <w:t xml:space="preserve">. 2010. gadā tika nodrošināta PV oficiālā izdevuma Patentu valdes oficiālais vēstnesis „Patenti un preču zīmes” publicēšana un pieejamība elektroniskā formātā PV mājas lapā, nodrošinot ikvienam bezmaksas piekļuvi ziņām no PV uzturētiem reģistriem un citai noderīgai informācijai.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Tika sasniegts darbības rezultāts attiecībā uz plānošanas periodu rīcības pamatvirzienā „Policijas kapacitātes palielināšana saistībā ar intelektuālā īpašuma tiesību aizsardzību” iekļautajiem uzdevumiem. Šā rīcības pamatvirziena ietvaros palielinājās veikto reidu skaits.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Rīcības pamatvirzienā „Sadarbības sistēmas pilnveidošana starp valsts un privātajām institūcijām” ir nodrošināta piekļuve informācijai par spēkā esošajiem korporatīvajiem un citiem līgumiem, kas dod iespēju komersantiem un organizācijām izmantot komerciāla statusa datorprogrammas.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uzdevumi finansējuma trūkuma dēļ tika izpildīti daļēji, tie ietilpst rīcības pamatvirzienos „Izglītības pilnveidošana”, „</w:t>
      </w:r>
      <w:proofErr w:type="spellStart"/>
      <w:r w:rsidRPr="00C11EDA">
        <w:rPr>
          <w:rFonts w:ascii="Times New Roman" w:eastAsia="Calibri" w:hAnsi="Times New Roman" w:cs="Times New Roman"/>
          <w:sz w:val="24"/>
          <w:szCs w:val="24"/>
        </w:rPr>
        <w:t>Izgudrotājdarbības</w:t>
      </w:r>
      <w:proofErr w:type="spellEnd"/>
      <w:r w:rsidRPr="00C11EDA">
        <w:rPr>
          <w:rFonts w:ascii="Times New Roman" w:eastAsia="Calibri" w:hAnsi="Times New Roman" w:cs="Times New Roman"/>
          <w:sz w:val="24"/>
          <w:szCs w:val="24"/>
        </w:rPr>
        <w:t xml:space="preserve"> veicināšana” un „Sadarbības uzlabošana intelektuālā īpašuma tiesību jomā. Informācijas apmaiņa starp tiesību aizsardzības iestādēm”.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5 uzdevumi netika izpildīti finansējuma trūkuma dēļ. Finansējuma trūkuma dēļ netika izveidota intelektuālā īpašuma </w:t>
      </w:r>
      <w:proofErr w:type="gramStart"/>
      <w:r w:rsidRPr="00C11EDA">
        <w:rPr>
          <w:rFonts w:ascii="Times New Roman" w:eastAsia="Calibri" w:hAnsi="Times New Roman" w:cs="Times New Roman"/>
          <w:sz w:val="24"/>
          <w:szCs w:val="24"/>
        </w:rPr>
        <w:t>mājas lapa</w:t>
      </w:r>
      <w:proofErr w:type="gramEnd"/>
      <w:r w:rsidRPr="00C11EDA">
        <w:rPr>
          <w:rFonts w:ascii="Times New Roman" w:eastAsia="Calibri" w:hAnsi="Times New Roman" w:cs="Times New Roman"/>
          <w:sz w:val="24"/>
          <w:szCs w:val="24"/>
        </w:rPr>
        <w:t xml:space="preserve"> </w:t>
      </w:r>
      <w:hyperlink r:id="rId8" w:history="1">
        <w:r w:rsidRPr="00C11EDA">
          <w:rPr>
            <w:rFonts w:ascii="Times New Roman" w:eastAsia="Calibri" w:hAnsi="Times New Roman" w:cs="Times New Roman"/>
            <w:sz w:val="24"/>
            <w:szCs w:val="24"/>
          </w:rPr>
          <w:t>www.intelektualais-ipasums.lv</w:t>
        </w:r>
      </w:hyperlink>
      <w:r w:rsidRPr="00C11EDA">
        <w:rPr>
          <w:rFonts w:ascii="Times New Roman" w:eastAsia="Calibri" w:hAnsi="Times New Roman" w:cs="Times New Roman"/>
          <w:sz w:val="24"/>
          <w:szCs w:val="24"/>
        </w:rPr>
        <w:t xml:space="preserve">, taču informācija, kuru tika plānots ievietot šajā mājas lapā, pieejama TM mājas lapā </w:t>
      </w:r>
      <w:hyperlink r:id="rId9" w:history="1">
        <w:r w:rsidRPr="00C11EDA">
          <w:rPr>
            <w:rFonts w:ascii="Times New Roman" w:eastAsia="Calibri" w:hAnsi="Times New Roman" w:cs="Times New Roman"/>
            <w:sz w:val="24"/>
            <w:szCs w:val="24"/>
          </w:rPr>
          <w:t>www.tm.gov.lv</w:t>
        </w:r>
      </w:hyperlink>
      <w:r w:rsidRPr="00C11EDA">
        <w:rPr>
          <w:rFonts w:ascii="Times New Roman" w:eastAsia="Calibri" w:hAnsi="Times New Roman" w:cs="Times New Roman"/>
          <w:sz w:val="24"/>
          <w:szCs w:val="24"/>
        </w:rPr>
        <w:t>, tomēr tas nav uzskatāms par pietiekamu. Rīcības virzienā „Pētījumu veikšana intelektuālā īpašuma jomā” netika sasniegts neviens darbības rezultāts finansējuma trūkuma un ierobežotā darbinieku skaita dēļ. Netika veikts neviens no plānā paredzētajiem pētījumiem. Rīkotās aptaujas tiek uzskatītas par nenotikušām, jo tās neguva pietiekamu atsaucību.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17 uzdevumi, kas tika pabeigti 2009. un 2010. gada laikā, bet to izpilde plānota pastāvīgi visā pamatnostādņu plānošanas periodā, ietilpst sabiedrības izglītošanas un informācijas pieejamības nodrošināšanas rīcības pamatvirzienā.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5.1.3.</w:t>
      </w:r>
      <w:r w:rsidRPr="00C11EDA">
        <w:rPr>
          <w:rFonts w:ascii="Times New Roman" w:eastAsia="Calibri" w:hAnsi="Times New Roman" w:cs="Times New Roman"/>
          <w:sz w:val="24"/>
          <w:szCs w:val="24"/>
        </w:rPr>
        <w:t xml:space="preserve"> Kopumā izpildei 2011. un 2012. gadā tika izvirzīti 10 uzdevumi. No šiem 10 uzdevumiem 7 uzdevumu izpilde tika paredzēta gan 2011. gadā, gan 2012. gadā. 5 no 7 uzdevumiem tika izpildīti daļēji, bet 3 uzdevumu izpilde tika veikta pilnībā. Viens uzdevums, kura izpilde tika paredzēta 2011. gadā, netika izpildīts finansējuma trūkuma dēļ, bet no 2012. gadā paredzētajiem uzdevumiem kopumā netika izpildīti 2 uzdevumi. Tātad pavisam pārskata periodā ir 3 neizpildīti uzdevumi, no kuriem 2 uzdevumu izpilde bija paredzēta 2012. gadā, bet viena - 2011. gadā.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Šādi uzdevumi ir izpildīti pilnībā: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muitas darbinieku apmācības kursu organizēšana;</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policijas darbinieku apmācības intelektuālā īpašuma tiesību jomā;</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policijas kapacitātes palielināšana intelektuālā īpašuma tiesību aizsardzības jomā.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gan ir sasniegts mērķis attiecībā uz apmācības kursu organizēšanu muitas un policijas darbinieku zināšanu papildināšanai un nostiprināšanai, tomēr, ņemot vērā, ka intelektuālā īpašuma tiesību nozares attīstība ir nepārtraukta, nepieciešams apmācības turpināt arī nākamajā plānošanas periodā. Apmācības kursu galvenais mērķis ir nodrošināt apmācāmās personas ar vispusīgu, aktuālu teorētisko informāciju, kas nepieciešama praksē, pildot profesionālos pienākumus intelektuālā īpašuma tiesību aizsardzības jomā. Nepieciešamība veikt apmācības izriet no apstākļa, ka: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pēdējo gadu laikā notiek bieža kadru maiņa gan policijā, gan muitas iestādēs. Aplūkojot projekta „Valsts policijas attīstības koncepcija 2013. -2020” iekļautos personāla un izglītības jautājumus, secināts, ka laika posmā no </w:t>
      </w:r>
      <w:proofErr w:type="gramStart"/>
      <w:r w:rsidRPr="00C11EDA">
        <w:rPr>
          <w:rFonts w:ascii="Times New Roman" w:eastAsia="Calibri" w:hAnsi="Times New Roman" w:cs="Times New Roman"/>
          <w:sz w:val="24"/>
          <w:szCs w:val="24"/>
        </w:rPr>
        <w:t>2007.gada</w:t>
      </w:r>
      <w:proofErr w:type="gramEnd"/>
      <w:r w:rsidRPr="00C11EDA">
        <w:rPr>
          <w:rFonts w:ascii="Times New Roman" w:eastAsia="Calibri" w:hAnsi="Times New Roman" w:cs="Times New Roman"/>
          <w:sz w:val="24"/>
          <w:szCs w:val="24"/>
        </w:rPr>
        <w:t xml:space="preserve"> līdz 2011.gadam ir saglabājusies nemainīga tendence - no dienesta aizplūst vairāk personāla, nekā tiek pieņemts darbā.</w:t>
      </w:r>
      <w:r w:rsidRPr="00C11EDA">
        <w:rPr>
          <w:rFonts w:ascii="Times New Roman" w:eastAsia="Calibri" w:hAnsi="Times New Roman" w:cs="Times New Roman"/>
          <w:sz w:val="24"/>
          <w:szCs w:val="24"/>
          <w:vertAlign w:val="superscript"/>
        </w:rPr>
        <w:footnoteReference w:id="3"/>
      </w:r>
      <w:r w:rsidRPr="00C11EDA">
        <w:rPr>
          <w:rFonts w:ascii="Times New Roman" w:eastAsia="Calibri" w:hAnsi="Times New Roman" w:cs="Times New Roman"/>
          <w:sz w:val="24"/>
          <w:szCs w:val="24"/>
        </w:rPr>
        <w:t xml:space="preserve"> Personāla mainība kopumā vājina Valsts policijas darbspēju, jo amatpersonas dienesta gaitā gūst un uzkrāj pieredzi, apmeklē dažādus profesionālās pilnveides kursus, bet jaunu darbinieku apmācībai atkal nepieciešami laika un finanšu resursi;</w:t>
      </w:r>
    </w:p>
    <w:p w:rsidR="00C11EDA" w:rsidRPr="00C11EDA" w:rsidRDefault="00C11EDA" w:rsidP="00C11EDA">
      <w:pPr>
        <w:shd w:val="clear" w:color="auto" w:fill="FFFFFF"/>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b/>
        <w:t>2) intelektuālā īpašuma tiesības ir strauji progresējošas, kā arī to regulējošajos normatīvajos aktos tiek veikti atbilstoši grozījumi. ES līmenī notiek regulārs darbs pie intelektuālā īpašuma tiesību aizsardzības uzlabošanas, tai skaitā arī saistībā ar muitas dienestu darbu. Muita ir ES pirmais priekšpostenis aizsardzībai pret viltotiem ražojumiem, kas apdraud iedzīvotāju drošību un kaitē likumīgiem uzņēmumiem. Latvijai kā valstij ar robežu ar trešajām valstīm šis jautājums ir aktuāls. Lai nodrošinātu veiksmīgu tiesību aizsardzības iestāžu darbu intelektuālā īpašuma tiesību aizsardzības īstenošanā, nepieciešams nodrošināt pastāvīgu darbinieku informētību un izglītotību intelektuālā īpašuma jautājumos.</w:t>
      </w: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Līdz ar to nepieciešamība veikt policijas un muitas darbinieku apmācību saglabā savu aktualitāti arī turpmākajos gados. Lai veicinātu tiesībaizsardzības iestāžu savstarpējo sadarbību, noderīgi ir veidot kopējus apmācības kursus.</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Veiksmīgi organizētas arī prokuroru apmācības, nodrošinot arī sadarbību ar ārvalstu organizācijām apmācību organizēšanā, taču neskatoties uz to, tomēr nav jūtama sistemātiska un mērķtiecīga prokuroru profesionālo zināšanu papildināšana regulāros apmācības kursos, līdz ar to būtu nepieciešams izstrādāt apmācību plānu un turpināt to organizēšanu.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Finansējuma trūkuma dēļ nebija iespējams organizēt informatīvās (reklāmas) kampaņas. Informatīvās kampaņas, kā arī reklāmas materiāli spēj pievērst plašākas sabiedrības uzmanību kampaņas objektam. Tā kā vēl joprojām lielas sabiedrības daļas zināšanas par intelektuālā īpašuma tiesībām ir nepietiekamas, ir lietderīgi informēt sabiedrību par šādu tiesību iegūšanas kārtību, kā arī pievērst sabiedrības uzmanību intelektuālā īpašuma tiesību sniegtajām priekšrocībām. Šā uzdevuma īstenošana nav zaudējusi aktualitāti, ņemot vērā sasniedzamo darbības rezultātu – pārkāpumu intelektuālā īpašuma tiesību jomā samazināšana. Lai veiktu visaptverošu, sistemātisku sabiedrības izglītošanu intelektuālā īpašuma tiesību jautājumos, nepieciešams noteikt šā uzdevuma realizēšanu arī nākamajā intelektuālā īpašuma attīstības plānošanas dokumentā, taču šī uzdevuma īstenošanai būtu jānosaka citi alternatīvi līdzekļi, jo prognozējams, ka informatīvu reklāmas kampaņu īstenošanai netiks piešķirts papildu finansējums, savukārt piešķirtā budžeta finansējuma ietvaros informatīvo reklāmas kampaņu nav iespējams realizēt pilnvērtīgi. Būtu lietderīgi apsvērt iespēju informatīvus reklāmas materiālus publicēt iestāžu un ministriju oficiālajās tīmekļa vietnēs, iespēju robežās – arī intelektuālā īpašuma tiesību Ekspertu darba grupas dalībnieku pārstāvēto organizāciju tīmekļa vietnēs, kā arī izmantot citus informācijas izplatīšanas līdzekļus, kas neprasa papildu finansējumu.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Veikto komersantu izpratnes par problēmām un vēlmju par nepieciešamajiem uzlabojumiem intelektuālā īpašuma tiesību jomā, kas skar uzņēmējus, noskaidrošanu (aptauja) un sabiedrības izpratnes par intelektuālā īpašuma tiesībām noskaidrošanu (aptauja) uzskata par nenotikušām, jo netika gūts pietiekams sabiedrības atbalsts.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Šo uzdevumu neizpildi varētu skaidrot ar to, ka sabiedrība nav vērsta uz sava viedokļa paušanu, bieži aizbildinoties ar laika trūkumu. Iespējams, ka viens no cēloņiem zemajai atsaucībai varētu būt arī anketu formulējums (jautājumu skaits un forma).</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Vēl joprojām ir aktuāla sabiedrības izpratnes par intelektuālā īpašuma jautājumiem apzināšana. Lai veicinātu sabiedrības izpratni par intelektuālā īpašuma jautājumiem, ir nepieciešams apzināt sabiedrības zināšanu līmeni, kā arī skatījumu uz problemātiku un vēlmēm attiecībā uz nepieciešamajiem uzlabojumiem intelektuālā īpašuma tiesību jomā, kas skar uzņēmējdarbību. Attiecīgi, izejot no šā uzdevuma izpildes rezultātiem, ir iespējams sekmīgāk un lietderīgāk veikt sabiedrības informēšanas akcijas, kā arī nodrošināt informācijas resursu papildināšanu atbilstoši sabiedrības interesēm. Tāpat, apzinot sabiedrības skatījumu uz problemātiku intelektuālā īpašuma tiesību normatīvajā regulējumā, ir iespējams savlaicīgi novērst normatīvās bāzes trūkumus un nepilnības. Lai sasniegtu mērķauditoriju, nepieciešams plānot pēc iespējas dažādākus kanālus tās sasniegšanai, ietverot gan internetu (sociālie tīkli: </w:t>
      </w:r>
      <w:proofErr w:type="spellStart"/>
      <w:r w:rsidRPr="00C11EDA">
        <w:rPr>
          <w:rFonts w:ascii="Times New Roman" w:eastAsia="Calibri" w:hAnsi="Times New Roman" w:cs="Times New Roman"/>
          <w:i/>
          <w:sz w:val="24"/>
          <w:szCs w:val="24"/>
        </w:rPr>
        <w:t>Twiter</w:t>
      </w:r>
      <w:proofErr w:type="spellEnd"/>
      <w:r w:rsidRPr="00C11EDA">
        <w:rPr>
          <w:rFonts w:ascii="Times New Roman" w:eastAsia="Calibri" w:hAnsi="Times New Roman" w:cs="Times New Roman"/>
          <w:i/>
          <w:sz w:val="24"/>
          <w:szCs w:val="24"/>
        </w:rPr>
        <w:t xml:space="preserve">, </w:t>
      </w:r>
      <w:proofErr w:type="spellStart"/>
      <w:r w:rsidRPr="00C11EDA">
        <w:rPr>
          <w:rFonts w:ascii="Times New Roman" w:eastAsia="Calibri" w:hAnsi="Times New Roman" w:cs="Times New Roman"/>
          <w:i/>
          <w:sz w:val="24"/>
          <w:szCs w:val="24"/>
        </w:rPr>
        <w:t>Facebook</w:t>
      </w:r>
      <w:proofErr w:type="spellEnd"/>
      <w:r w:rsidRPr="00C11EDA">
        <w:rPr>
          <w:rFonts w:ascii="Times New Roman" w:eastAsia="Calibri" w:hAnsi="Times New Roman" w:cs="Times New Roman"/>
          <w:sz w:val="24"/>
          <w:szCs w:val="24"/>
        </w:rPr>
        <w:t>), gan PV tīmekļa vietni, gan Ekspertu grupas locekļu palīdzību.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Šādi uzdevumi ir daļēji izpildīti: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izveidot adekvātu, pilnvērtīgu indikatoru sistēmu </w:t>
      </w:r>
      <w:proofErr w:type="spellStart"/>
      <w:r w:rsidRPr="00C11EDA">
        <w:rPr>
          <w:rFonts w:ascii="Times New Roman" w:eastAsia="Calibri" w:hAnsi="Times New Roman" w:cs="Times New Roman"/>
          <w:sz w:val="24"/>
          <w:szCs w:val="24"/>
        </w:rPr>
        <w:t>izgudrotājdarbības</w:t>
      </w:r>
      <w:proofErr w:type="spellEnd"/>
      <w:r w:rsidRPr="00C11EDA">
        <w:rPr>
          <w:rFonts w:ascii="Times New Roman" w:eastAsia="Calibri" w:hAnsi="Times New Roman" w:cs="Times New Roman"/>
          <w:sz w:val="24"/>
          <w:szCs w:val="24"/>
        </w:rPr>
        <w:t xml:space="preserve"> plānošanai, veicināšanai, monitoringam un izvērtēšanai. Svarīgs mērķis gan ES, gan dalībvalstu līmenī ir panākt izmaiņas politikas veidotāju līmenī un sabiedrības attieksmē pret MVU un komersantiem;</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organizēt informācijas krājumu intelektuālā īpašuma aizsardzības jomā resursu iegādi un nodrošināt to pieejamību sabiedrībai;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sniegt atbalstu komercsabiedrībām rūpnieciskā īpašuma aizsardzībai;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normatīvajos aktos paredzēts mehānisms pirātisma internetā apkarošanai;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turpināt</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prokuroru apmācību intelektuālā īpašuma tiesību jomā.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Lai mazinātu intelektuālā īpašuma tiesību pārkāpumu skaitu un uzlabotu kopējos ekonomiskos rādītājus, kas balstīti uz inovatīvu tehnoloģisko attīstību valstī, nepieciešams pastāvīgi sabiedrībai sniegt vispusīgu informāciju par aktuālākajām norisēm intelektuālā īpašuma tiesību jomā. Nepieciešams pastāvīgi papildināt intelektuālā īpašuma tiesību informācijas krājumus. Lai veicinātu sabiedrības interesi radīt intelektuālo īpašumu un reģistrēt intelektuālā īpašuma tiesību objektus, nepieciešams informēt sabiedrību par intelektuālā īpašuma pozitīvajiem aspektiem, kā arī vienkāršotā veidā sniegt informāciju par tā reģistrācijas kārtību. Vienīgi tāda sabiedrība, kas pietiekošā līmenī pārzina intelektuālā īpašuma tiesības, ir spējīga konkurēt kopējā tirgū, piedāvājot </w:t>
      </w:r>
      <w:proofErr w:type="spellStart"/>
      <w:r w:rsidRPr="00C11EDA">
        <w:rPr>
          <w:rFonts w:ascii="Times New Roman" w:eastAsia="Calibri" w:hAnsi="Times New Roman" w:cs="Times New Roman"/>
          <w:sz w:val="24"/>
          <w:szCs w:val="24"/>
        </w:rPr>
        <w:t>inovatīvākus</w:t>
      </w:r>
      <w:proofErr w:type="spellEnd"/>
      <w:r w:rsidRPr="00C11EDA">
        <w:rPr>
          <w:rFonts w:ascii="Times New Roman" w:eastAsia="Calibri" w:hAnsi="Times New Roman" w:cs="Times New Roman"/>
          <w:sz w:val="24"/>
          <w:szCs w:val="24"/>
        </w:rPr>
        <w:t xml:space="preserve"> risinājumus. Lai gan uzdevums attiecībā uz informācijas krājumu intelektuālā īpašuma aizsardzības jomā resursu iegādi un to pieejamības sabiedrībai nodrošināšanu realizēts 2011. un 2012. gadā, tomēr šāda veida aktivitātes ir jāveic pastāvīgi ilgtermiņā, jo līdz ar nozares attīstību, mainās arī informācija un tās aktualitāte.</w:t>
      </w: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16" w:name="_Toc365544731"/>
      <w:r w:rsidRPr="00C11EDA">
        <w:rPr>
          <w:rFonts w:ascii="Times New Roman" w:eastAsia="Times New Roman" w:hAnsi="Times New Roman" w:cs="Times New Roman"/>
          <w:b/>
          <w:bCs/>
          <w:sz w:val="24"/>
          <w:szCs w:val="24"/>
          <w:lang w:val="x-none"/>
        </w:rPr>
        <w:t>5.2. Esošās situācijas raksturojums</w:t>
      </w:r>
      <w:bookmarkEnd w:id="16"/>
    </w:p>
    <w:p w:rsidR="00C11EDA" w:rsidRPr="00C11EDA" w:rsidRDefault="00C11EDA" w:rsidP="00C11EDA">
      <w:pPr>
        <w:spacing w:after="0" w:line="360" w:lineRule="auto"/>
        <w:contextualSpacing/>
        <w:jc w:val="both"/>
        <w:rPr>
          <w:rFonts w:ascii="Times New Roman" w:eastAsia="Calibri" w:hAnsi="Times New Roman" w:cs="Times New Roman"/>
          <w:sz w:val="24"/>
          <w:szCs w:val="24"/>
          <w:lang w:val="x-none"/>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5.2.1.</w:t>
      </w:r>
      <w:r w:rsidRPr="00C11EDA">
        <w:rPr>
          <w:rFonts w:ascii="Times New Roman" w:eastAsia="Calibri" w:hAnsi="Times New Roman" w:cs="Times New Roman"/>
          <w:sz w:val="24"/>
          <w:szCs w:val="24"/>
        </w:rPr>
        <w:t xml:space="preserve"> Latvijā joprojām pastāv ļoti daudzas institūcijas, kas ir saistītas ar intelektuālā īpašuma tiesību aizsardzību. PV kā Tieslietu ministra pārraudzībā esošas tiešās pārvaldes valsts iestādes kompetencē ir šādas rūpnieciskā īpašuma tiesību kategorijas: preču zīmes, dizainparaugi, izgudrojumi un pusvadītāju izstrādājumu topogrāfijas. KM kompetencē ir autortiesību un blakustiesību aizsardzība.</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 xml:space="preserve">Zemkopības ministrija izstrādā valsts politiku augu šķirņu aizsardzības un pārtikas un lauksaimniecības produktu </w:t>
      </w:r>
      <w:r w:rsidRPr="00C11EDA">
        <w:rPr>
          <w:rFonts w:ascii="Times New Roman" w:eastAsia="Times New Roman" w:hAnsi="Times New Roman" w:cs="Times New Roman"/>
          <w:sz w:val="24"/>
          <w:szCs w:val="24"/>
          <w:lang w:eastAsia="lv-LV"/>
        </w:rPr>
        <w:t>aizsargātu ģeogrāfiskās izcelsmes norāžu</w:t>
      </w:r>
      <w:r w:rsidRPr="00C11EDA" w:rsidDel="00877EE0">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jomā. IeM kompetencē ir darbs ar pārkāpumiem intelektuālā īpašuma jomā, galvenokārt iesaistīta </w:t>
      </w:r>
      <w:proofErr w:type="spellStart"/>
      <w:r w:rsidRPr="00C11EDA">
        <w:rPr>
          <w:rFonts w:ascii="Times New Roman" w:eastAsia="Calibri" w:hAnsi="Times New Roman" w:cs="Times New Roman"/>
          <w:sz w:val="24"/>
          <w:szCs w:val="24"/>
        </w:rPr>
        <w:t>GKrPP</w:t>
      </w:r>
      <w:proofErr w:type="spellEnd"/>
      <w:r w:rsidRPr="00C11EDA">
        <w:rPr>
          <w:rFonts w:ascii="Times New Roman" w:eastAsia="Calibri" w:hAnsi="Times New Roman" w:cs="Times New Roman"/>
          <w:sz w:val="24"/>
          <w:szCs w:val="24"/>
        </w:rPr>
        <w:t xml:space="preserve"> Ekonomisko noziegumu apkarošanas pārvalde. </w:t>
      </w:r>
      <w:r w:rsidRPr="00C11EDA">
        <w:rPr>
          <w:rFonts w:ascii="Times New Roman" w:eastAsia="Calibri" w:hAnsi="Times New Roman" w:cs="Times New Roman"/>
          <w:b/>
          <w:sz w:val="24"/>
          <w:szCs w:val="24"/>
        </w:rPr>
        <w:t>EM kompetencē ir negodīgas konkurences jautājumi, inovācijas politikas izstrāde un īstenošana.</w:t>
      </w:r>
      <w:r w:rsidRPr="00C11EDA">
        <w:rPr>
          <w:rFonts w:ascii="Times New Roman" w:eastAsia="Calibri" w:hAnsi="Times New Roman" w:cs="Times New Roman"/>
          <w:sz w:val="24"/>
          <w:szCs w:val="24"/>
        </w:rPr>
        <w:t xml:space="preserve"> FM ietvaros intelektuālā īpašuma tiesību aizsardzības joma ir VID kompetencē. VID Muitas pārvaldes Riska vadības daļa veic tiesību īpašnieku pieteikumu muitas iestādēm apstrādi. VID muitas kontroles punktu amatpersonas veic muitas kontroles pasākumus un aiztur viltotās preces. VID Muitas pārvaldes atbildīgās struktūrvienības veic viltoto preču aizturēšanu un konfiscēto preču iznīcināšanu. VID Muitas kriminālpārvaldes kompetencē ir kontrabandas novēršanas un apkarošanas funkcijas. </w:t>
      </w:r>
      <w:proofErr w:type="spellStart"/>
      <w:r w:rsidRPr="00C11EDA">
        <w:rPr>
          <w:rFonts w:ascii="Times New Roman" w:eastAsia="Calibri" w:hAnsi="Times New Roman" w:cs="Times New Roman"/>
          <w:sz w:val="24"/>
          <w:szCs w:val="24"/>
        </w:rPr>
        <w:t>IzM</w:t>
      </w:r>
      <w:proofErr w:type="spellEnd"/>
      <w:r w:rsidRPr="00C11EDA">
        <w:rPr>
          <w:rFonts w:ascii="Times New Roman" w:eastAsia="Calibri" w:hAnsi="Times New Roman" w:cs="Times New Roman"/>
          <w:sz w:val="24"/>
          <w:szCs w:val="24"/>
        </w:rPr>
        <w:t xml:space="preserve"> kompetencē ir izglītošanas pasākumi par intelektuālā īpašuma tiesībām izglītības iestādēs. ĀM kompetencē ir </w:t>
      </w:r>
      <w:r w:rsidRPr="00C11EDA">
        <w:rPr>
          <w:rFonts w:ascii="Times New Roman" w:eastAsia="Calibri" w:hAnsi="Times New Roman" w:cs="Times New Roman"/>
          <w:b/>
          <w:sz w:val="24"/>
          <w:szCs w:val="24"/>
        </w:rPr>
        <w:t>ārējās tirdzniecības politikas izstrāde un īstenošana, nodrošinot Latvijas Republikas interešu pārstāvību Pasaules Tirdzniecības organizācijā un Eiropas Savienības institūcijās, pārstāvot Latvijas intereses ar tirdzniecību un intelektuālo īpašumu saistītās jomās ES tirdzniecības līgumos ar treš</w:t>
      </w:r>
      <w:r w:rsidR="00CC5B51" w:rsidRPr="001461B5">
        <w:rPr>
          <w:rFonts w:ascii="Times New Roman" w:eastAsia="Calibri" w:hAnsi="Times New Roman" w:cs="Times New Roman"/>
          <w:b/>
          <w:sz w:val="24"/>
          <w:szCs w:val="24"/>
        </w:rPr>
        <w:t>a</w:t>
      </w:r>
      <w:r w:rsidRPr="00C11EDA">
        <w:rPr>
          <w:rFonts w:ascii="Times New Roman" w:eastAsia="Calibri" w:hAnsi="Times New Roman" w:cs="Times New Roman"/>
          <w:b/>
          <w:sz w:val="24"/>
          <w:szCs w:val="24"/>
        </w:rPr>
        <w:t xml:space="preserve">jām valstīm. </w:t>
      </w:r>
      <w:r w:rsidRPr="00C11EDA">
        <w:rPr>
          <w:rFonts w:ascii="Times New Roman" w:eastAsia="Calibri" w:hAnsi="Times New Roman" w:cs="Times New Roman"/>
          <w:sz w:val="24"/>
          <w:szCs w:val="24"/>
        </w:rPr>
        <w:t xml:space="preserve">SM kompetencē ir jautājumi, kas saistīti ar domēniem, serveriem un </w:t>
      </w:r>
      <w:proofErr w:type="spellStart"/>
      <w:r w:rsidRPr="00C11EDA">
        <w:rPr>
          <w:rFonts w:ascii="Times New Roman" w:eastAsia="Calibri" w:hAnsi="Times New Roman" w:cs="Times New Roman"/>
          <w:sz w:val="24"/>
          <w:szCs w:val="24"/>
        </w:rPr>
        <w:t>lejupielādēm</w:t>
      </w:r>
      <w:proofErr w:type="spellEnd"/>
      <w:r w:rsidRPr="00C11EDA">
        <w:rPr>
          <w:rFonts w:ascii="Times New Roman" w:eastAsia="Calibri" w:hAnsi="Times New Roman" w:cs="Times New Roman"/>
          <w:sz w:val="24"/>
          <w:szCs w:val="24"/>
        </w:rPr>
        <w:t xml:space="preserve">, elektronisko pārvaldi, bet informācijas tehnoloģiju drošības jautājumu koordinēšana ir </w:t>
      </w:r>
      <w:proofErr w:type="spellStart"/>
      <w:r w:rsidR="00B1202A">
        <w:rPr>
          <w:rFonts w:ascii="Times New Roman" w:eastAsia="Calibri" w:hAnsi="Times New Roman" w:cs="Times New Roman"/>
          <w:sz w:val="24"/>
          <w:szCs w:val="24"/>
        </w:rPr>
        <w:t>AiM</w:t>
      </w:r>
      <w:proofErr w:type="spellEnd"/>
      <w:r w:rsidRPr="00C11EDA">
        <w:rPr>
          <w:rFonts w:ascii="Times New Roman" w:eastAsia="Calibri" w:hAnsi="Times New Roman" w:cs="Times New Roman"/>
          <w:sz w:val="24"/>
          <w:szCs w:val="24"/>
        </w:rPr>
        <w:t xml:space="preserve"> kompetencē. Prokuratūras un tiesu kompetencē ir intelektuālā īpašuma tiesību aizsardzība saistībā ar tiesību pārkāpumiem.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p>
    <w:p w:rsidR="00C11EDA" w:rsidRPr="00C11EDA" w:rsidRDefault="00C11EDA" w:rsidP="00C11EDA">
      <w:pPr>
        <w:tabs>
          <w:tab w:val="left" w:pos="0"/>
          <w:tab w:val="left" w:pos="284"/>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5.2.2.</w:t>
      </w:r>
      <w:r w:rsidRPr="00C11EDA">
        <w:rPr>
          <w:rFonts w:ascii="Times New Roman" w:eastAsia="Calibri" w:hAnsi="Times New Roman" w:cs="Times New Roman"/>
          <w:sz w:val="24"/>
          <w:szCs w:val="24"/>
        </w:rPr>
        <w:t xml:space="preserve"> Svarīgs aspekts intelektuālā īpašuma tiesību aizsardzības jomā ir profesionālu spriedumu sagatavošana un tiesu prakses apkopošana, kā arī šo spriedumu analīze. Līdz šim brīdim Latvijā nav veikta vispārīga visaptveroša tiesu prakses intelektuālā īpašuma tiesību jomā gan attiecībā uz nacionālajiem spriedumiem, gan Eiropas Savienības tiesas spriedumiem apkopošana un analīze.</w:t>
      </w:r>
    </w:p>
    <w:p w:rsidR="00C11EDA" w:rsidRPr="00C11EDA" w:rsidRDefault="00C11EDA" w:rsidP="00C11EDA">
      <w:pPr>
        <w:tabs>
          <w:tab w:val="left" w:pos="0"/>
          <w:tab w:val="left" w:pos="284"/>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tabs>
          <w:tab w:val="left" w:pos="0"/>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5.2.3.</w:t>
      </w:r>
      <w:r w:rsidRPr="00C11EDA">
        <w:rPr>
          <w:rFonts w:ascii="Times New Roman" w:eastAsia="Calibri" w:hAnsi="Times New Roman" w:cs="Times New Roman"/>
          <w:sz w:val="24"/>
          <w:szCs w:val="24"/>
        </w:rPr>
        <w:t xml:space="preserve"> Pasaulē un Eiropā, tostarp Latvijā, intelektuālā īpašuma tiesību aizsardzība ir aktuāls jautājums. Tas pamatots ar vairākiem apstākļiem. Pirmkārt, inovatīva darbība, kura ietver izgudrojumu radīšanu, patentēšanu un to izmantošanu komercdarbībā, var būtiski ietekmēt ekonomisko izaugsmi un valsts attīstību kopumā. Otrkārt, viens no faktoriem, kas ietekmē intelektuālā īpašuma tiesību attīstību, ir augsts sabiedrības zināšanu līmenis par intelektuālā īpašuma tiesībām. Sabiedrību izglītojoši pasākumi, tostarp izglītības iestādēs, veicina intelektuālā īpašuma tiesību ievērošanu, līdz ar to arī pārkāpumu skaita samazināšanos. Arī Eiropas attīstības stratēģijā </w:t>
      </w:r>
      <w:proofErr w:type="spellStart"/>
      <w:r w:rsidRPr="00C11EDA">
        <w:rPr>
          <w:rFonts w:ascii="Times New Roman" w:eastAsia="Calibri" w:hAnsi="Times New Roman" w:cs="Times New Roman"/>
          <w:i/>
          <w:sz w:val="24"/>
          <w:szCs w:val="24"/>
        </w:rPr>
        <w:t>Europe</w:t>
      </w:r>
      <w:proofErr w:type="spellEnd"/>
      <w:r w:rsidRPr="00C11EDA">
        <w:rPr>
          <w:rFonts w:ascii="Times New Roman" w:eastAsia="Calibri" w:hAnsi="Times New Roman" w:cs="Times New Roman"/>
          <w:i/>
          <w:sz w:val="24"/>
          <w:szCs w:val="24"/>
        </w:rPr>
        <w:t xml:space="preserve"> 2020</w:t>
      </w:r>
      <w:r w:rsidRPr="00C11EDA">
        <w:rPr>
          <w:rFonts w:ascii="Times New Roman" w:eastAsia="Calibri" w:hAnsi="Times New Roman" w:cs="Times New Roman"/>
          <w:sz w:val="24"/>
          <w:szCs w:val="24"/>
        </w:rPr>
        <w:t xml:space="preserve"> kā prioritātes līdzās tādiem objektiem kā nodarbinātība, sociālā integrācija, klimats/enerģētika</w:t>
      </w:r>
      <w:r w:rsidRPr="00C11EDA">
        <w:rPr>
          <w:rFonts w:ascii="Times New Roman" w:eastAsia="Calibri" w:hAnsi="Times New Roman" w:cs="Times New Roman"/>
          <w:i/>
          <w:sz w:val="24"/>
          <w:szCs w:val="24"/>
        </w:rPr>
        <w:t xml:space="preserve"> </w:t>
      </w:r>
      <w:r w:rsidRPr="00C11EDA">
        <w:rPr>
          <w:rFonts w:ascii="Times New Roman" w:eastAsia="Calibri" w:hAnsi="Times New Roman" w:cs="Times New Roman"/>
          <w:sz w:val="24"/>
          <w:szCs w:val="24"/>
        </w:rPr>
        <w:t>ir noteiktas arī kreativitāte un inovācijas.</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Komersantu informēšana par iespējām komercializēt savu intelektuālo īpašumu spēj palielināt uzņēmuma kapitālu, ienākumus un produktivitāti, jo zinoši komersanti var veiksmīgāk veikt komercdarbību, kas veicina arī ilgtspējīgu attīstību valstī kopumā. Līdz šim Latvijā dominē uzņēmumi ar zemu pievienoto vērtību, tas ir, uz dabas resursu pārstrādi un lēta darbaspēka priekšrocībām balstītas nozares. Lai ilgtermiņā nodrošinātu ekonomisko izaugsmi, nepieciešams uzņēmējdarbībai celt pievienoto vērtību un darba ražīgumu ar vispusīgiem inovācijas procesiem. Šīs inovācijas var izpausties dažādās formās – kā jauni produkti vai pakalpojumi, izdevumu sistēmas pilnveidošana, inovatīvu metožu un modeļu ieviešana. Labuma gūšana no inovācijām izpaužas visos peļņas – zaudējumu aspektos: papildus pārdošanas apjomu pieaugums, ieguvums no cenu pieauguma un izmaksu samazināšanās.</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r>
      <w:r w:rsidRPr="00C11EDA">
        <w:rPr>
          <w:rFonts w:ascii="Times New Roman" w:eastAsia="Calibri" w:hAnsi="Times New Roman" w:cs="Times New Roman"/>
          <w:b/>
          <w:sz w:val="24"/>
          <w:szCs w:val="24"/>
        </w:rPr>
        <w:t>5.2.4.</w:t>
      </w:r>
      <w:r w:rsidRPr="00C11EDA">
        <w:rPr>
          <w:rFonts w:ascii="Times New Roman" w:eastAsia="Calibri" w:hAnsi="Times New Roman" w:cs="Times New Roman"/>
          <w:sz w:val="24"/>
          <w:szCs w:val="24"/>
        </w:rPr>
        <w:t xml:space="preserve"> Tiesību aizsardzības iestāžu sadarbība un izpratne par intelektuālā īpašuma tiesību jomu var samazināt pārkāpumu skaitu intelektuālā īpašuma tiesību jomā, kā arī veicināt šo tiesību ievērošanu. Tiesību aizsardzības iestāžu sadarbība nodrošina to rīcībā esošo datu bāžu pieejamību citām tiesību aizsardzības iestādēm, līdz ar to iesaistītās institūcijas var patstāvīgi iegūt nepieciešamo informāciju, kas vajadzīga pārkāpumu konstatēšanai vai citam mērķim saistībā ar tiesību pārkāpumu.</w:t>
      </w:r>
    </w:p>
    <w:p w:rsidR="00C11EDA" w:rsidRPr="00C11EDA" w:rsidRDefault="00C11EDA" w:rsidP="00C11EDA">
      <w:pPr>
        <w:tabs>
          <w:tab w:val="left" w:pos="0"/>
          <w:tab w:val="left" w:pos="709"/>
        </w:tabs>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5.2.5.</w:t>
      </w:r>
      <w:r w:rsidRPr="00C11EDA">
        <w:rPr>
          <w:rFonts w:ascii="Times New Roman" w:eastAsia="Times New Roman" w:hAnsi="Times New Roman" w:cs="Times New Roman"/>
          <w:sz w:val="24"/>
          <w:szCs w:val="24"/>
          <w:lang w:eastAsia="lv-LV"/>
        </w:rPr>
        <w:t xml:space="preserve"> Lai arī regulāri tiek organizētas atbalsta programmas komercsabiedrībām </w:t>
      </w:r>
      <w:proofErr w:type="spellStart"/>
      <w:r w:rsidRPr="00C11EDA">
        <w:rPr>
          <w:rFonts w:ascii="Times New Roman" w:eastAsia="Times New Roman" w:hAnsi="Times New Roman" w:cs="Times New Roman"/>
          <w:sz w:val="24"/>
          <w:szCs w:val="24"/>
          <w:lang w:eastAsia="lv-LV"/>
        </w:rPr>
        <w:t>izgudrotājdarbības</w:t>
      </w:r>
      <w:proofErr w:type="spellEnd"/>
      <w:r w:rsidRPr="00C11EDA">
        <w:rPr>
          <w:rFonts w:ascii="Times New Roman" w:eastAsia="Times New Roman" w:hAnsi="Times New Roman" w:cs="Times New Roman"/>
          <w:sz w:val="24"/>
          <w:szCs w:val="24"/>
          <w:lang w:eastAsia="lv-LV"/>
        </w:rPr>
        <w:t xml:space="preserve"> veicināšanai, </w:t>
      </w:r>
      <w:proofErr w:type="spellStart"/>
      <w:r w:rsidRPr="00C11EDA">
        <w:rPr>
          <w:rFonts w:ascii="Times New Roman" w:eastAsia="Times New Roman" w:hAnsi="Times New Roman" w:cs="Times New Roman"/>
          <w:sz w:val="24"/>
          <w:szCs w:val="24"/>
          <w:lang w:eastAsia="lv-LV"/>
        </w:rPr>
        <w:t>inovitāšu</w:t>
      </w:r>
      <w:proofErr w:type="spellEnd"/>
      <w:r w:rsidRPr="00C11EDA">
        <w:rPr>
          <w:rFonts w:ascii="Times New Roman" w:eastAsia="Times New Roman" w:hAnsi="Times New Roman" w:cs="Times New Roman"/>
          <w:sz w:val="24"/>
          <w:szCs w:val="24"/>
          <w:lang w:eastAsia="lv-LV"/>
        </w:rPr>
        <w:t xml:space="preserve"> attīstībai u.tml., iesaiste no sabiedrības puses ir samēra maza. Turklāt laika periods no projekta izstrādes, iesniegšanas, akcepta līdz tā izpildei ir salīdzinoši garš, līdz ar to, ņemot vērā tirgus svārstības un no tā atkarīgo piedāvājuma – pieprasījuma proporciju, daudzu projektu darbība tiek pārtraukta. Liels ir arī to projektu skaits, kuri netiek akceptēti dažādu formālu prasību dēļ. Ir iespējams rīcības virziens, kurā tiek meklētas citas pieejas uzņēmēju atbalstam attiecībā uz inovatīvu darbību vai </w:t>
      </w:r>
      <w:proofErr w:type="spellStart"/>
      <w:r w:rsidRPr="00C11EDA">
        <w:rPr>
          <w:rFonts w:ascii="Times New Roman" w:eastAsia="Times New Roman" w:hAnsi="Times New Roman" w:cs="Times New Roman"/>
          <w:sz w:val="24"/>
          <w:szCs w:val="24"/>
          <w:lang w:eastAsia="lv-LV"/>
        </w:rPr>
        <w:t>izgudrotājdarbības</w:t>
      </w:r>
      <w:proofErr w:type="spellEnd"/>
      <w:r w:rsidRPr="00C11EDA">
        <w:rPr>
          <w:rFonts w:ascii="Times New Roman" w:eastAsia="Times New Roman" w:hAnsi="Times New Roman" w:cs="Times New Roman"/>
          <w:sz w:val="24"/>
          <w:szCs w:val="24"/>
          <w:lang w:eastAsia="lv-LV"/>
        </w:rPr>
        <w:t xml:space="preserve"> komercializēšanu, taču atteikties no palīdzības sniegšanas, īpaši materiālā atbalsta, nebūtu pieļaujams, jo inovācijas ir pamatfaktors konkurētspējas celšanai. Lai veicinātu ilgtspējīgu ekonomisko attīstību, valstij ir jāiegulda arī resursi. Nozīmīgs ir tieši atbalsts izgudrojumu komercializēšanā, jo šis process ir dārgs, un ne visi ir finansiāli spējīgi komercializēt savu izgudrojumu un ieviest to komerciālajā apritē. Līdz ar to arī turpmāk ir būtiski sniegt atbalstu komercsabiedrībām izgudrojumu komercializēšanā un </w:t>
      </w:r>
      <w:proofErr w:type="spellStart"/>
      <w:r w:rsidRPr="00C11EDA">
        <w:rPr>
          <w:rFonts w:ascii="Times New Roman" w:eastAsia="Times New Roman" w:hAnsi="Times New Roman" w:cs="Times New Roman"/>
          <w:sz w:val="24"/>
          <w:szCs w:val="24"/>
          <w:lang w:eastAsia="lv-LV"/>
        </w:rPr>
        <w:t>inovitāšu</w:t>
      </w:r>
      <w:proofErr w:type="spellEnd"/>
      <w:r w:rsidRPr="00C11EDA">
        <w:rPr>
          <w:rFonts w:ascii="Times New Roman" w:eastAsia="Times New Roman" w:hAnsi="Times New Roman" w:cs="Times New Roman"/>
          <w:sz w:val="24"/>
          <w:szCs w:val="24"/>
          <w:lang w:eastAsia="lv-LV"/>
        </w:rPr>
        <w:t xml:space="preserve"> ieviešanā komercdarbībā. LIAA sadarbībā ar EM astoto gadu pēc kārtas rīkoja pasākumu „Eksporta un inovācijas balva 2012”.</w:t>
      </w:r>
      <w:r w:rsidRPr="00C11EDA">
        <w:rPr>
          <w:rFonts w:ascii="Times New Roman" w:eastAsia="Times New Roman" w:hAnsi="Times New Roman" w:cs="Times New Roman"/>
          <w:i/>
          <w:sz w:val="24"/>
          <w:szCs w:val="24"/>
          <w:lang w:eastAsia="lv-LV"/>
        </w:rPr>
        <w:t xml:space="preserve"> </w:t>
      </w:r>
      <w:r w:rsidRPr="00C11EDA">
        <w:rPr>
          <w:rFonts w:ascii="Times New Roman" w:eastAsia="Times New Roman" w:hAnsi="Times New Roman" w:cs="Times New Roman"/>
          <w:sz w:val="24"/>
          <w:szCs w:val="24"/>
          <w:lang w:eastAsia="lv-LV"/>
        </w:rPr>
        <w:t xml:space="preserve">28 veiksmīgākajiem un </w:t>
      </w:r>
      <w:proofErr w:type="spellStart"/>
      <w:r w:rsidRPr="00C11EDA">
        <w:rPr>
          <w:rFonts w:ascii="Times New Roman" w:eastAsia="Times New Roman" w:hAnsi="Times New Roman" w:cs="Times New Roman"/>
          <w:sz w:val="24"/>
          <w:szCs w:val="24"/>
          <w:lang w:eastAsia="lv-LV"/>
        </w:rPr>
        <w:t>inovatīvākajiem</w:t>
      </w:r>
      <w:proofErr w:type="spellEnd"/>
      <w:r w:rsidRPr="00C11EDA">
        <w:rPr>
          <w:rFonts w:ascii="Times New Roman" w:eastAsia="Times New Roman" w:hAnsi="Times New Roman" w:cs="Times New Roman"/>
          <w:sz w:val="24"/>
          <w:szCs w:val="24"/>
          <w:lang w:eastAsia="lv-LV"/>
        </w:rPr>
        <w:t xml:space="preserve"> Latvijas uzņēmumiem dažādās kategorijās tika piešķirti konkursa „Eksporta un inovācijas balva 2012” atzinības raksti. Labākie un veiksmīgākie uzņēmumi tika apbalvoti piecās dažādās kategorijās: „Eksporta čempions”, „Eksportspējīgākais komersants” lielo/vidējo un mazo komercsabiedrību grupā, „Importa aizstājējprodukts”, „</w:t>
      </w:r>
      <w:proofErr w:type="spellStart"/>
      <w:r w:rsidRPr="00C11EDA">
        <w:rPr>
          <w:rFonts w:ascii="Times New Roman" w:eastAsia="Times New Roman" w:hAnsi="Times New Roman" w:cs="Times New Roman"/>
          <w:sz w:val="24"/>
          <w:szCs w:val="24"/>
          <w:lang w:eastAsia="lv-LV"/>
        </w:rPr>
        <w:t>Inovatīvākais</w:t>
      </w:r>
      <w:proofErr w:type="spellEnd"/>
      <w:r w:rsidRPr="00C11EDA">
        <w:rPr>
          <w:rFonts w:ascii="Times New Roman" w:eastAsia="Times New Roman" w:hAnsi="Times New Roman" w:cs="Times New Roman"/>
          <w:sz w:val="24"/>
          <w:szCs w:val="24"/>
          <w:lang w:eastAsia="lv-LV"/>
        </w:rPr>
        <w:t xml:space="preserve"> produkts”, „Rūpnieciskais dizains”. LIAA pastāvīgi organizē dažādus pasākumus, kuru mērķis ir arī sabiedrības informēšana.</w:t>
      </w:r>
    </w:p>
    <w:p w:rsidR="00C11EDA" w:rsidRPr="00C11EDA" w:rsidRDefault="00C11EDA" w:rsidP="00C11EDA">
      <w:pPr>
        <w:shd w:val="clear" w:color="auto" w:fill="FFFFFF"/>
        <w:spacing w:after="0" w:line="360" w:lineRule="auto"/>
        <w:ind w:firstLine="720"/>
        <w:contextualSpacing/>
        <w:jc w:val="both"/>
        <w:rPr>
          <w:rFonts w:ascii="Times New Roman" w:eastAsia="Times New Roman" w:hAnsi="Times New Roman" w:cs="Times New Roman"/>
          <w:sz w:val="24"/>
          <w:szCs w:val="24"/>
          <w:lang w:eastAsia="lv-LV"/>
        </w:rPr>
      </w:pPr>
    </w:p>
    <w:p w:rsidR="00C11EDA" w:rsidRPr="00C11EDA" w:rsidRDefault="00C11EDA" w:rsidP="00C11EDA">
      <w:pPr>
        <w:shd w:val="clear" w:color="auto" w:fill="FFFFFF"/>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lang w:eastAsia="x-none"/>
        </w:rPr>
        <w:tab/>
      </w:r>
      <w:r w:rsidRPr="00C11EDA">
        <w:rPr>
          <w:rFonts w:ascii="Times New Roman" w:eastAsia="Calibri" w:hAnsi="Times New Roman" w:cs="Times New Roman"/>
          <w:b/>
          <w:sz w:val="24"/>
          <w:szCs w:val="24"/>
          <w:lang w:eastAsia="x-none"/>
        </w:rPr>
        <w:t>5.2.6.</w:t>
      </w:r>
      <w:r w:rsidRPr="00C11EDA">
        <w:rPr>
          <w:rFonts w:ascii="Times New Roman" w:eastAsia="Calibri" w:hAnsi="Times New Roman" w:cs="Times New Roman"/>
          <w:sz w:val="24"/>
          <w:szCs w:val="24"/>
          <w:lang w:eastAsia="x-none"/>
        </w:rPr>
        <w:t xml:space="preserve"> </w:t>
      </w:r>
      <w:r w:rsidRPr="00C11EDA">
        <w:rPr>
          <w:rFonts w:ascii="Times New Roman" w:eastAsia="Times New Roman" w:hAnsi="Times New Roman" w:cs="Times New Roman"/>
          <w:sz w:val="24"/>
          <w:szCs w:val="24"/>
          <w:lang w:eastAsia="x-none"/>
        </w:rPr>
        <w:t xml:space="preserve">PV ir uzsākusi realizēt vairākas jaunas iniciatīvas, un proti, regulāri sadarbojoties ar Latvijas augstākajām mācību iestādēm, studentiem un pasniedzējiem rīko seminārus un lekcijas par rūpnieciskā īpašuma aizsardzības jautājumiem, sadarbībā ar tehnoloģiju pārneses un biznesa kompetenču centriem piedalās uzņēmēju informēšanas pasākumos par inovāciju atbalstu Latvijā, kā arī piedalās starptautiskās izstādēs Rīgā, lai noteiktam mērķauditorijas segmentam uzņēmējiem - ražotājiem sniegtu nepieciešamo informāciju par intelektuālā īpašuma tiesību aizsardzības aspektiem ES un Latvijā, par iespējām aizsargāt savu intelektuālo īpašumu, kā arī par šo tiesību lomu uzņēmējdarbībā. </w:t>
      </w:r>
      <w:r w:rsidRPr="00C11EDA">
        <w:rPr>
          <w:rFonts w:ascii="Times New Roman" w:eastAsia="Times New Roman" w:hAnsi="Times New Roman" w:cs="Times New Roman"/>
          <w:sz w:val="24"/>
          <w:szCs w:val="24"/>
          <w:lang w:eastAsia="lv-LV"/>
        </w:rPr>
        <w:t>Kopš 2010. gada PV departaments „Patentu tehniskā bibliotēka” organizē bezmaksas patentpilnvaroto konsultācijas interesentiem.</w:t>
      </w:r>
    </w:p>
    <w:p w:rsidR="00C11EDA" w:rsidRPr="00C11EDA" w:rsidRDefault="00C11EDA" w:rsidP="00C11EDA">
      <w:pPr>
        <w:shd w:val="clear" w:color="auto" w:fill="FFFFFF"/>
        <w:spacing w:after="0" w:line="360" w:lineRule="auto"/>
        <w:ind w:firstLine="425"/>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2012.</w:t>
      </w:r>
      <w:r w:rsidR="00625593">
        <w:rPr>
          <w:rFonts w:ascii="Times New Roman" w:eastAsia="Times New Roman"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 xml:space="preserve">gadā PV un LTRK noslēdza sadarbības līgumu, kura mērķis ir veicināt uzņēmēju izpratnes veidošanu par rūpnieciskā īpašuma aizsardzības nepieciešamību, ko PV īstenos gan informatīvi izglītojošā veidā, rīkojot kopīgus pasākumus rūpnieciskā īpašuma jomā, gan datu apmaiņas veidā – informējot par statistikas rādītājiem, kas saistīti ar rūpnieciskā īpašuma aizsardzību. Sadarbības ietvaros īstenota arī kopīga apbalvojuma piešķiršana veiksmīgākajām Latvijas uzņēmumu preču zīmēm. PV līdz šim jau sadarbojās ar Latvijas Zinātņu akadēmiju kopīgu apbalvojumu piešķiršanā </w:t>
      </w:r>
      <w:proofErr w:type="spellStart"/>
      <w:r w:rsidRPr="00C11EDA">
        <w:rPr>
          <w:rFonts w:ascii="Times New Roman" w:eastAsia="Times New Roman" w:hAnsi="Times New Roman" w:cs="Times New Roman"/>
          <w:sz w:val="24"/>
          <w:szCs w:val="24"/>
          <w:lang w:eastAsia="lv-LV"/>
        </w:rPr>
        <w:t>izgudrotājdarbības</w:t>
      </w:r>
      <w:proofErr w:type="spellEnd"/>
      <w:r w:rsidRPr="00C11EDA">
        <w:rPr>
          <w:rFonts w:ascii="Times New Roman" w:eastAsia="Times New Roman" w:hAnsi="Times New Roman" w:cs="Times New Roman"/>
          <w:sz w:val="24"/>
          <w:szCs w:val="24"/>
          <w:lang w:eastAsia="lv-LV"/>
        </w:rPr>
        <w:t xml:space="preserve"> veicināšanas jomā, pasniedzot Valtera </w:t>
      </w:r>
      <w:proofErr w:type="spellStart"/>
      <w:r w:rsidRPr="00C11EDA">
        <w:rPr>
          <w:rFonts w:ascii="Times New Roman" w:eastAsia="Times New Roman" w:hAnsi="Times New Roman" w:cs="Times New Roman"/>
          <w:sz w:val="24"/>
          <w:szCs w:val="24"/>
          <w:lang w:eastAsia="lv-LV"/>
        </w:rPr>
        <w:t>Capa</w:t>
      </w:r>
      <w:proofErr w:type="spellEnd"/>
      <w:r w:rsidRPr="00C11EDA">
        <w:rPr>
          <w:rFonts w:ascii="Times New Roman" w:eastAsia="Times New Roman" w:hAnsi="Times New Roman" w:cs="Times New Roman"/>
          <w:sz w:val="24"/>
          <w:szCs w:val="24"/>
          <w:lang w:eastAsia="lv-LV"/>
        </w:rPr>
        <w:t xml:space="preserve"> balvu par izciliem izgudrojumiem. 2013.</w:t>
      </w:r>
      <w:r w:rsidR="00CC5B51">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gadā PV ir noslēgusi sadarbības līgumu arī ar Latvijas Dizaineru savienību. PV un Uzņēmumu reģistrs ir pārrunājuši iespējamās sadarbības iespējas uzņēmēju informēšanā par rūpnieciskā īpašuma tiesībām un ar to saistītajiem riskiem uzņēmējam, ievērojot preču zīmju tiesības atbilstoši normatīvajiem aktiem.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bookmarkStart w:id="17" w:name="_Toc143588646"/>
      <w:bookmarkStart w:id="18" w:name="_Toc334018307"/>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5.2.7.</w:t>
      </w:r>
      <w:r w:rsidRPr="00C11EDA">
        <w:rPr>
          <w:rFonts w:ascii="Times New Roman" w:eastAsia="Calibri" w:hAnsi="Times New Roman" w:cs="Times New Roman"/>
          <w:sz w:val="24"/>
          <w:szCs w:val="24"/>
        </w:rPr>
        <w:t xml:space="preserve"> Ikgadējais kopējais Latvijā spēkā stājušos patentu skaits turpina pieaugt. Salīdzinot ar 2001. gadu, šis skaitlis ir trīskāršojies. Tas galvenokārt ir saistīts ar lielāka skaita Eiropas patentu apstiprināšanu Latvijā.</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Pēc pievienošanās Eiropas Patentu konvencijai 2005. gadā:</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pieaudzis apstiprināto Eiropas patentu skaits;</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samazinājies attiecināto Eiropas patentu skaits;</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pārtraukta starptautisko patentu pieteikumu (PCT) pieņemšana, kurus var iesniegt tikai caur Eiropas Patentu iestādi.</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Beigusies arī Eiropas patentu reģistrācija, ko paredzēja 1995. gada Patentu likums un kura attiecās uz Eiropas patenta pieteikumiem, kas iesniegti no 1991.-1995. gadam.</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Neskatoties uz patentu skaita pieaugumu, piešķirto patentu skaita pieaugums nacionālajā procedūrā ir neregulārs, nav viennozīmīgu attīstības tendenču. No 2008. gada vērojams ievērojams nacionālajā procedūrā piešķirto patentu skaita pieaugums (97% no piešķirtajiem patentiem ir Latvijas rezidentu izgudrojumi), kas 2007. gadā pieauga par 69 patentiem, un saglabā šādu tendenci. Analizējot galvenos pieteikumu iesniedzējus, izrādās, ka tie ir augstskolas un zinātniski pētnieciskie institūti (pēdējos gados apmēram 50%). Statistika arī rāda, ka patentu pieteikumi tiek publicēti pēc pieteicēja prasības paātrinātā kārtībā, nesasniedzot Patentu likumā paredzētos 18 mēnešus, kas norāda uz patentēšanas stratēģijas neesamību. Arī augstskolu pārstāvji informē, ka grūti atrast to projektiem un radītajiem izgudrojumiem ieviesējus, kas ļauj izdarīt secinājumu par zemo rūpniecības attīstības līmeni dažādās nozarēs. </w:t>
      </w:r>
    </w:p>
    <w:p w:rsidR="00C11EDA" w:rsidRPr="00C11EDA" w:rsidRDefault="00C11EDA" w:rsidP="00C11EDA">
      <w:pPr>
        <w:spacing w:after="0" w:line="360" w:lineRule="auto"/>
        <w:ind w:firstLine="425"/>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Tā kā 2015. gadā ir paredzēts ieviest </w:t>
      </w:r>
      <w:proofErr w:type="spellStart"/>
      <w:r w:rsidRPr="00C11EDA">
        <w:rPr>
          <w:rFonts w:ascii="Times New Roman" w:eastAsia="Calibri" w:hAnsi="Times New Roman" w:cs="Times New Roman"/>
          <w:sz w:val="24"/>
          <w:szCs w:val="24"/>
        </w:rPr>
        <w:t>patentmeklējumu</w:t>
      </w:r>
      <w:proofErr w:type="spellEnd"/>
      <w:r w:rsidRPr="00C11EDA">
        <w:rPr>
          <w:rFonts w:ascii="Times New Roman" w:eastAsia="Calibri" w:hAnsi="Times New Roman" w:cs="Times New Roman"/>
          <w:sz w:val="24"/>
          <w:szCs w:val="24"/>
        </w:rPr>
        <w:t xml:space="preserve"> veikšanu Latvijas pieteikumiem, līdz ar to uzlabojot Latvijas patentu kvalitāti, piešķirto patentu skaits</w:t>
      </w:r>
      <w:r w:rsidR="004D46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iespējams</w:t>
      </w:r>
      <w:r w:rsidR="004D46A6">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kritīsies, un pieteicēji būs spiesti vairāk domāt, kā piešķirto patentu veiksmīgāk izmantot. </w:t>
      </w:r>
    </w:p>
    <w:p w:rsidR="00C11EDA" w:rsidRDefault="00C11EDA" w:rsidP="00C11EDA">
      <w:pPr>
        <w:rPr>
          <w:rFonts w:ascii="Times New Roman" w:eastAsia="Calibri" w:hAnsi="Times New Roman" w:cs="Times New Roman"/>
          <w:b/>
          <w:i/>
          <w:sz w:val="24"/>
          <w:szCs w:val="24"/>
        </w:rPr>
      </w:pPr>
    </w:p>
    <w:p w:rsidR="00C11EDA" w:rsidRPr="00C11EDA" w:rsidRDefault="00C11EDA" w:rsidP="00C11EDA">
      <w:pPr>
        <w:rPr>
          <w:rFonts w:ascii="Times New Roman" w:eastAsia="Calibri" w:hAnsi="Times New Roman" w:cs="Times New Roman"/>
          <w:b/>
          <w:i/>
          <w:sz w:val="24"/>
          <w:szCs w:val="24"/>
        </w:rPr>
      </w:pPr>
      <w:r w:rsidRPr="00C11EDA">
        <w:rPr>
          <w:rFonts w:ascii="Times New Roman" w:eastAsia="Calibri" w:hAnsi="Times New Roman" w:cs="Times New Roman"/>
          <w:b/>
          <w:i/>
          <w:sz w:val="24"/>
          <w:szCs w:val="24"/>
        </w:rPr>
        <w:t xml:space="preserve">Patentu dinamika Latvijā laika periodā no </w:t>
      </w:r>
      <w:proofErr w:type="gramStart"/>
      <w:r w:rsidR="00CC5B51" w:rsidRPr="00C11EDA">
        <w:rPr>
          <w:rFonts w:ascii="Times New Roman" w:eastAsia="Calibri" w:hAnsi="Times New Roman" w:cs="Times New Roman"/>
          <w:b/>
          <w:i/>
          <w:sz w:val="24"/>
          <w:szCs w:val="24"/>
        </w:rPr>
        <w:t>1993. līdz 2012</w:t>
      </w:r>
      <w:proofErr w:type="gramEnd"/>
      <w:r w:rsidRPr="00C11EDA">
        <w:rPr>
          <w:rFonts w:ascii="Times New Roman" w:eastAsia="Calibri" w:hAnsi="Times New Roman" w:cs="Times New Roman"/>
          <w:b/>
          <w:i/>
          <w:sz w:val="24"/>
          <w:szCs w:val="24"/>
        </w:rPr>
        <w:t>. gadam</w:t>
      </w:r>
      <w:r w:rsidRPr="00C11EDA">
        <w:rPr>
          <w:rFonts w:ascii="Times New Roman" w:eastAsia="Calibri" w:hAnsi="Times New Roman" w:cs="Times New Roman"/>
          <w:b/>
          <w:i/>
          <w:sz w:val="24"/>
          <w:szCs w:val="24"/>
          <w:vertAlign w:val="superscript"/>
        </w:rPr>
        <w:footnoteReference w:id="4"/>
      </w:r>
    </w:p>
    <w:p w:rsidR="00C11EDA" w:rsidRPr="00C11EDA" w:rsidRDefault="00C11EDA" w:rsidP="00C11EDA">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lv-LV"/>
        </w:rPr>
        <w:drawing>
          <wp:inline distT="0" distB="0" distL="0" distR="0" wp14:anchorId="02B1A859" wp14:editId="74940C09">
            <wp:extent cx="5762625" cy="2743200"/>
            <wp:effectExtent l="0" t="0" r="0" b="0"/>
            <wp:docPr id="1" name="Diagramma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Default="00C11EDA" w:rsidP="00C11EDA">
      <w:pPr>
        <w:spacing w:after="0" w:line="360" w:lineRule="auto"/>
        <w:contextualSpacing/>
        <w:jc w:val="center"/>
        <w:rPr>
          <w:rFonts w:ascii="Times New Roman" w:eastAsia="Calibri" w:hAnsi="Times New Roman" w:cs="Times New Roman"/>
          <w:b/>
          <w:i/>
          <w:sz w:val="24"/>
          <w:szCs w:val="24"/>
        </w:rPr>
      </w:pPr>
    </w:p>
    <w:p w:rsidR="00C11EDA" w:rsidRPr="00C11EDA" w:rsidRDefault="00C11EDA" w:rsidP="00C11EDA">
      <w:pPr>
        <w:spacing w:after="0" w:line="360" w:lineRule="auto"/>
        <w:contextualSpacing/>
        <w:jc w:val="center"/>
        <w:rPr>
          <w:rFonts w:ascii="Times New Roman" w:eastAsia="Calibri" w:hAnsi="Times New Roman" w:cs="Times New Roman"/>
          <w:b/>
          <w:i/>
          <w:sz w:val="24"/>
          <w:szCs w:val="24"/>
        </w:rPr>
      </w:pPr>
      <w:r w:rsidRPr="00C11EDA">
        <w:rPr>
          <w:rFonts w:ascii="Times New Roman" w:eastAsia="Calibri" w:hAnsi="Times New Roman" w:cs="Times New Roman"/>
          <w:b/>
          <w:i/>
          <w:sz w:val="24"/>
          <w:szCs w:val="24"/>
        </w:rPr>
        <w:t xml:space="preserve">Statistika attiecībā uz patentu dinamiku Latvijā laika periodā no </w:t>
      </w:r>
      <w:proofErr w:type="gramStart"/>
      <w:r w:rsidRPr="00C11EDA">
        <w:rPr>
          <w:rFonts w:ascii="Times New Roman" w:eastAsia="Calibri" w:hAnsi="Times New Roman" w:cs="Times New Roman"/>
          <w:b/>
          <w:i/>
          <w:sz w:val="24"/>
          <w:szCs w:val="24"/>
        </w:rPr>
        <w:t>2001. līdz 2012</w:t>
      </w:r>
      <w:proofErr w:type="gramEnd"/>
      <w:r w:rsidRPr="00C11EDA">
        <w:rPr>
          <w:rFonts w:ascii="Times New Roman" w:eastAsia="Calibri" w:hAnsi="Times New Roman" w:cs="Times New Roman"/>
          <w:b/>
          <w:i/>
          <w:sz w:val="24"/>
          <w:szCs w:val="24"/>
        </w:rPr>
        <w:t>. gadam</w:t>
      </w:r>
      <w:r w:rsidRPr="00C11EDA">
        <w:rPr>
          <w:rFonts w:ascii="Times New Roman" w:eastAsia="Calibri" w:hAnsi="Times New Roman" w:cs="Times New Roman"/>
          <w:b/>
          <w:i/>
          <w:sz w:val="24"/>
          <w:szCs w:val="24"/>
          <w:vertAlign w:val="superscript"/>
        </w:rPr>
        <w:footnoteReference w:id="5"/>
      </w:r>
    </w:p>
    <w:tbl>
      <w:tblPr>
        <w:tblpPr w:leftFromText="180" w:rightFromText="180" w:vertAnchor="text" w:horzAnchor="page" w:tblpX="1872" w:tblpY="87"/>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567"/>
        <w:gridCol w:w="567"/>
        <w:gridCol w:w="567"/>
        <w:gridCol w:w="567"/>
        <w:gridCol w:w="567"/>
        <w:gridCol w:w="567"/>
        <w:gridCol w:w="567"/>
        <w:gridCol w:w="567"/>
        <w:gridCol w:w="567"/>
        <w:gridCol w:w="567"/>
        <w:gridCol w:w="567"/>
        <w:gridCol w:w="536"/>
      </w:tblGrid>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19"/>
                <w:szCs w:val="19"/>
              </w:rPr>
            </w:pP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2001</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2002</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2003</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2004</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2005</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2006</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2007</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2008</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2009</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2010</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2011</w:t>
            </w:r>
          </w:p>
        </w:tc>
        <w:tc>
          <w:tcPr>
            <w:tcW w:w="567"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2012</w:t>
            </w:r>
          </w:p>
        </w:tc>
        <w:tc>
          <w:tcPr>
            <w:tcW w:w="536" w:type="dxa"/>
          </w:tcPr>
          <w:p w:rsidR="00C11EDA" w:rsidRPr="00C11EDA" w:rsidRDefault="00C11EDA" w:rsidP="00C11EDA">
            <w:pPr>
              <w:jc w:val="both"/>
              <w:rPr>
                <w:rFonts w:ascii="Times New Roman" w:eastAsia="Calibri" w:hAnsi="Times New Roman" w:cs="Times New Roman"/>
                <w:b/>
                <w:sz w:val="16"/>
                <w:szCs w:val="16"/>
              </w:rPr>
            </w:pPr>
            <w:r w:rsidRPr="00C11EDA">
              <w:rPr>
                <w:rFonts w:ascii="Times New Roman" w:eastAsia="Calibri" w:hAnsi="Times New Roman" w:cs="Times New Roman"/>
                <w:b/>
                <w:sz w:val="16"/>
                <w:szCs w:val="16"/>
              </w:rPr>
              <w:t>kopā</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Izsniegti patenti, pamatojoties uz nacionālajiem pieteikumiem</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109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131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104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163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194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154</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1676</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Izsniegti patenti, pamatojoties uz PCT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15</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8</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378</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Apstiprināti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16</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370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540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674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832</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2579</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Attiecināti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142</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441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719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713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701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665</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547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424</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309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170</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182</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5660</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sz w:val="20"/>
                <w:szCs w:val="20"/>
              </w:rPr>
              <w:t>Reģistrēti Eiropas patenti</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23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17</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9</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3</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1</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67" w:type="dxa"/>
            <w:vAlign w:val="center"/>
          </w:tcPr>
          <w:p w:rsidR="00C11EDA" w:rsidRPr="00C11EDA" w:rsidRDefault="00C11EDA" w:rsidP="00C11EDA">
            <w:pPr>
              <w:jc w:val="center"/>
              <w:rPr>
                <w:rFonts w:ascii="Times New Roman" w:eastAsia="Calibri" w:hAnsi="Times New Roman" w:cs="Times New Roman"/>
                <w:sz w:val="20"/>
                <w:szCs w:val="20"/>
              </w:rPr>
            </w:pPr>
            <w:r w:rsidRPr="00C11EDA">
              <w:rPr>
                <w:rFonts w:ascii="Times New Roman" w:eastAsia="Calibri" w:hAnsi="Times New Roman" w:cs="Times New Roman"/>
                <w:sz w:val="20"/>
                <w:szCs w:val="20"/>
              </w:rPr>
              <w:t>-</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64</w:t>
            </w:r>
          </w:p>
        </w:tc>
      </w:tr>
      <w:tr w:rsidR="00C11EDA" w:rsidRPr="00C11EDA" w:rsidTr="00D25A7A">
        <w:tc>
          <w:tcPr>
            <w:tcW w:w="1668" w:type="dxa"/>
          </w:tcPr>
          <w:p w:rsidR="00C11EDA" w:rsidRPr="00C11EDA" w:rsidRDefault="00C11EDA" w:rsidP="00C11EDA">
            <w:pPr>
              <w:jc w:val="both"/>
              <w:rPr>
                <w:rFonts w:ascii="Times New Roman" w:eastAsia="Calibri" w:hAnsi="Times New Roman" w:cs="Times New Roman"/>
                <w:sz w:val="20"/>
                <w:szCs w:val="20"/>
              </w:rPr>
            </w:pPr>
            <w:r w:rsidRPr="00C11EDA">
              <w:rPr>
                <w:rFonts w:ascii="Times New Roman" w:eastAsia="Calibri" w:hAnsi="Times New Roman" w:cs="Times New Roman"/>
                <w:b/>
                <w:bCs/>
                <w:sz w:val="20"/>
                <w:szCs w:val="20"/>
              </w:rPr>
              <w:t>Kopējais patentu skaits</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323</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621</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874</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848</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769</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821</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803</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872</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996</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1033</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1024</w:t>
            </w:r>
          </w:p>
        </w:tc>
        <w:tc>
          <w:tcPr>
            <w:tcW w:w="567"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1373</w:t>
            </w:r>
          </w:p>
        </w:tc>
        <w:tc>
          <w:tcPr>
            <w:tcW w:w="536" w:type="dxa"/>
            <w:vAlign w:val="center"/>
          </w:tcPr>
          <w:p w:rsidR="00C11EDA" w:rsidRPr="00C11EDA" w:rsidRDefault="00C11EDA" w:rsidP="00C11EDA">
            <w:pPr>
              <w:jc w:val="center"/>
              <w:rPr>
                <w:rFonts w:ascii="Times New Roman" w:eastAsia="Calibri" w:hAnsi="Times New Roman" w:cs="Times New Roman"/>
                <w:b/>
                <w:sz w:val="20"/>
                <w:szCs w:val="20"/>
              </w:rPr>
            </w:pPr>
            <w:r w:rsidRPr="00C11EDA">
              <w:rPr>
                <w:rFonts w:ascii="Times New Roman" w:eastAsia="Calibri" w:hAnsi="Times New Roman" w:cs="Times New Roman"/>
                <w:b/>
                <w:sz w:val="20"/>
                <w:szCs w:val="20"/>
              </w:rPr>
              <w:t>10357</w:t>
            </w:r>
          </w:p>
        </w:tc>
      </w:tr>
    </w:tbl>
    <w:p w:rsidR="00C11EDA" w:rsidRPr="00C11EDA" w:rsidRDefault="00C11EDA" w:rsidP="00C11EDA">
      <w:pPr>
        <w:spacing w:after="0" w:line="360" w:lineRule="auto"/>
        <w:contextualSpacing/>
        <w:jc w:val="both"/>
        <w:rPr>
          <w:rFonts w:ascii="Times New Roman" w:eastAsia="Calibri" w:hAnsi="Times New Roman" w:cs="Times New Roman"/>
          <w:sz w:val="20"/>
          <w:szCs w:val="20"/>
        </w:rPr>
      </w:pPr>
    </w:p>
    <w:p w:rsidR="00C11EDA" w:rsidRPr="00C11EDA" w:rsidRDefault="00C11EDA" w:rsidP="00C11EDA">
      <w:pPr>
        <w:spacing w:after="0" w:line="360" w:lineRule="auto"/>
        <w:contextualSpacing/>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rPr>
          <w:rFonts w:ascii="Times New Roman" w:eastAsia="Calibri" w:hAnsi="Times New Roman" w:cs="Times New Roman"/>
          <w:sz w:val="24"/>
          <w:szCs w:val="24"/>
        </w:rPr>
      </w:pPr>
      <w:r w:rsidRPr="00C11EDA">
        <w:rPr>
          <w:rFonts w:ascii="Times New Roman" w:eastAsia="Calibri" w:hAnsi="Times New Roman" w:cs="Times New Roman"/>
          <w:b/>
          <w:sz w:val="24"/>
          <w:szCs w:val="24"/>
        </w:rPr>
        <w:t>5.2.8.</w:t>
      </w:r>
      <w:r w:rsidRPr="00C11EDA">
        <w:rPr>
          <w:rFonts w:ascii="Times New Roman" w:eastAsia="Calibri" w:hAnsi="Times New Roman" w:cs="Times New Roman"/>
          <w:sz w:val="24"/>
          <w:szCs w:val="24"/>
        </w:rPr>
        <w:t xml:space="preserve"> Vienotā spēka Eiropas patenta sistēma.</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Eiropas Savienības ietvaros 25 dalībvalstu starpā ir panākta vienošanās par Vienotā spēka Eiropas patenta piešķiršanu, kas pēc nepieciešamo juridisko procedūru īstenošanas dalībvalstīs pastāvēs līdzās nacionālajiem patentiem un klasiskajam Eiropas patentam</w:t>
      </w:r>
      <w:r w:rsidRPr="00C11EDA">
        <w:rPr>
          <w:rFonts w:ascii="Times New Roman" w:eastAsia="Calibri" w:hAnsi="Times New Roman" w:cs="Times New Roman"/>
          <w:sz w:val="24"/>
          <w:szCs w:val="24"/>
          <w:vertAlign w:val="superscript"/>
        </w:rPr>
        <w:footnoteReference w:id="6"/>
      </w:r>
      <w:r w:rsidRPr="00C11EDA">
        <w:rPr>
          <w:rFonts w:ascii="Times New Roman" w:eastAsia="Calibri" w:hAnsi="Times New Roman" w:cs="Times New Roman"/>
          <w:sz w:val="24"/>
          <w:szCs w:val="24"/>
        </w:rPr>
        <w:t xml:space="preserve"> (Eiropas patents ir jāapstiprina katrā valstī atsevišķi, ievērojot katras valsts prasības, tostarp arī tulkošanas prasības).</w:t>
      </w:r>
    </w:p>
    <w:p w:rsidR="00C11EDA" w:rsidRPr="00C11EDA" w:rsidRDefault="00C11EDA" w:rsidP="00C11EDA">
      <w:pPr>
        <w:spacing w:after="0" w:line="360" w:lineRule="auto"/>
        <w:ind w:firstLine="720"/>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būtība:</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darbosies visās Eiropas Savienības dalībvalstīs (izņemot Spāniju un Itāliju);</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būs pieejams „vienas pieturas aģentūrā”, jo to centralizēti piešķirs Eiropas Patentu iestāde un tam nebūs nepieciešama turpmāka apstiprināšana katrā dalībvalstī;</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iesaistītajām dalībvalstīm izveidos vienotu un specializētu tiesvedību patentu jautājumos, tādā veidā novēršot nepieciešamību dublēt tiesvedības procesus dažādās iesaistīto dalībvalstu tiesās un vairojot juridisko noteiktību. Tiks novērsts risks, ka vairākos paralēli noritošos tiesas procesos var tikt pieņemti atšķirīgi lēmumi;</w:t>
      </w:r>
    </w:p>
    <w:p w:rsidR="00C11EDA" w:rsidRPr="00C11EDA" w:rsidRDefault="00C11EDA" w:rsidP="00C11EDA">
      <w:pPr>
        <w:numPr>
          <w:ilvl w:val="0"/>
          <w:numId w:val="37"/>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pateicoties mašīntulkošanas pakalpojumiem, kuri bez maksas būs pieejami tiešsaistē, tiks nodrošināta patentu informācijas izplatīšana Eiropas Savienības valodās.</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aizsardzības sistēmas pamatmērķis ir izveidot visā ES vienotu, vienkāršu, lētu un efektīvu patenta piešķiršanas un aizsardzības sistēmu, paverot iespējas saņemt patentu tiem uzņēmējiem, kuriem iepriekš finansiālu apstākļu dēļ nebija iespēju savu izgudrojumu patentēt.</w:t>
      </w:r>
    </w:p>
    <w:p w:rsidR="00C11EDA" w:rsidRPr="00C11EDA" w:rsidRDefault="00C11EDA" w:rsidP="00C11EDA">
      <w:pPr>
        <w:spacing w:after="0" w:line="360" w:lineRule="auto"/>
        <w:ind w:firstLine="593"/>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Jāatzīmē, ka </w:t>
      </w:r>
      <w:proofErr w:type="spellStart"/>
      <w:r w:rsidRPr="00C11EDA">
        <w:rPr>
          <w:rFonts w:ascii="Times New Roman" w:eastAsia="Calibri" w:hAnsi="Times New Roman" w:cs="Times New Roman"/>
          <w:i/>
          <w:sz w:val="24"/>
          <w:szCs w:val="24"/>
        </w:rPr>
        <w:t>Europe</w:t>
      </w:r>
      <w:proofErr w:type="spellEnd"/>
      <w:r w:rsidRPr="00C11EDA">
        <w:rPr>
          <w:rFonts w:ascii="Times New Roman" w:eastAsia="Calibri" w:hAnsi="Times New Roman" w:cs="Times New Roman"/>
          <w:i/>
          <w:sz w:val="24"/>
          <w:szCs w:val="24"/>
        </w:rPr>
        <w:t xml:space="preserve"> 2020</w:t>
      </w:r>
      <w:r w:rsidRPr="00C11EDA">
        <w:rPr>
          <w:rFonts w:ascii="Times New Roman" w:eastAsia="Calibri" w:hAnsi="Times New Roman" w:cs="Times New Roman"/>
          <w:sz w:val="24"/>
          <w:szCs w:val="24"/>
        </w:rPr>
        <w:t xml:space="preserve"> paredz, ka efektīvas patentu sistēmas un tai skaitā arī patentu tiesvedības, izveide ir priekšnoteikums, lai dotu jaunu impulsu inovāciju attīstībai ES, tādējādi sekmējot uzņēmēju konkurētspēju un izaugsmi.</w:t>
      </w:r>
    </w:p>
    <w:p w:rsidR="00C11EDA" w:rsidRPr="00C11EDA" w:rsidRDefault="00C11EDA" w:rsidP="00C11EDA">
      <w:pPr>
        <w:spacing w:after="0" w:line="360" w:lineRule="auto"/>
        <w:ind w:firstLine="593"/>
        <w:contextualSpacing/>
        <w:rPr>
          <w:rFonts w:ascii="Times New Roman" w:eastAsia="Calibri" w:hAnsi="Times New Roman" w:cs="Times New Roman"/>
          <w:sz w:val="24"/>
          <w:szCs w:val="24"/>
        </w:rPr>
      </w:pPr>
      <w:r w:rsidRPr="00C11EDA">
        <w:rPr>
          <w:rFonts w:ascii="Times New Roman" w:eastAsia="Calibri" w:hAnsi="Times New Roman" w:cs="Times New Roman"/>
          <w:sz w:val="24"/>
          <w:szCs w:val="24"/>
        </w:rPr>
        <w:t>Vienotā spēka Eiropas patenta sistēmas elementi ir:</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regula, kas izveido Vienotā spēka Eiropas patentu (Eiropas Parlamenta un Padomes regula (ES) Nr. 1257/2012 (2012. gada 17. decembris), ar ko īsteno ciešāku sadarbību attiecībā uz vienotas patentaizsardzības izveidi)</w:t>
      </w:r>
      <w:r w:rsidRPr="00C11EDA">
        <w:rPr>
          <w:rFonts w:ascii="Times New Roman" w:eastAsia="Calibri" w:hAnsi="Times New Roman" w:cs="Times New Roman"/>
          <w:sz w:val="24"/>
          <w:szCs w:val="24"/>
          <w:vertAlign w:val="superscript"/>
        </w:rPr>
        <w:footnoteReference w:id="7"/>
      </w:r>
      <w:r w:rsidRPr="00C11EDA">
        <w:rPr>
          <w:rFonts w:ascii="Times New Roman" w:eastAsia="Calibri" w:hAnsi="Times New Roman" w:cs="Times New Roman"/>
          <w:sz w:val="24"/>
          <w:szCs w:val="24"/>
        </w:rPr>
        <w:t>;</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-regula, kas nosaka valodu režīmu, kas piemērojams Vienotā spēka Eiropas patentam (Padomes regula (ES) Nr. 1260/2012 (2012. gada 17. decembris), ar ko īsteno ciešāku sadarbību attiecībā uz vienotas patentaizsardzības izveidi, ciktāl tas attiecas uz piemērojamo tulkošanas kārtību)</w:t>
      </w:r>
      <w:r w:rsidRPr="00C11EDA">
        <w:rPr>
          <w:rFonts w:ascii="Times New Roman" w:eastAsia="Calibri" w:hAnsi="Times New Roman" w:cs="Times New Roman"/>
          <w:sz w:val="24"/>
          <w:szCs w:val="24"/>
          <w:vertAlign w:val="superscript"/>
        </w:rPr>
        <w:footnoteReference w:id="8"/>
      </w:r>
      <w:r w:rsidRPr="00C11EDA">
        <w:rPr>
          <w:rFonts w:ascii="Times New Roman" w:eastAsia="Calibri" w:hAnsi="Times New Roman" w:cs="Times New Roman"/>
          <w:sz w:val="24"/>
          <w:szCs w:val="24"/>
        </w:rPr>
        <w:t>;</w:t>
      </w:r>
    </w:p>
    <w:p w:rsidR="00C11EDA" w:rsidRPr="00C11EDA" w:rsidRDefault="00C11EDA" w:rsidP="00C11EDA">
      <w:pPr>
        <w:numPr>
          <w:ilvl w:val="0"/>
          <w:numId w:val="32"/>
        </w:num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starptautiska vienošanās starp dalībvalstīm, kas nosaka vienu specializētu patentu jurisdikciju (Vienotās patentu tiesas izveides nolīgums</w:t>
      </w:r>
      <w:r w:rsidRPr="00C11EDA">
        <w:rPr>
          <w:rFonts w:ascii="Times New Roman" w:eastAsia="Calibri" w:hAnsi="Times New Roman" w:cs="Times New Roman"/>
          <w:sz w:val="24"/>
          <w:szCs w:val="24"/>
          <w:vertAlign w:val="superscript"/>
        </w:rPr>
        <w:footnoteReference w:id="9"/>
      </w:r>
      <w:r w:rsidRPr="00C11EDA">
        <w:rPr>
          <w:rFonts w:ascii="Times New Roman" w:eastAsia="Calibri" w:hAnsi="Times New Roman" w:cs="Times New Roman"/>
          <w:sz w:val="24"/>
          <w:szCs w:val="24"/>
        </w:rPr>
        <w:t>; skat. arī Vienotās patentu tiesas izveides nolīguma ratifikācijas progress</w:t>
      </w:r>
      <w:r w:rsidRPr="00C11EDA">
        <w:rPr>
          <w:rFonts w:ascii="Times New Roman" w:eastAsia="Calibri" w:hAnsi="Times New Roman" w:cs="Times New Roman"/>
          <w:sz w:val="24"/>
          <w:szCs w:val="24"/>
          <w:vertAlign w:val="superscript"/>
        </w:rPr>
        <w:footnoteReference w:id="10"/>
      </w:r>
      <w:r w:rsidRPr="00C11EDA">
        <w:rPr>
          <w:rFonts w:ascii="Times New Roman" w:eastAsia="Calibri" w:hAnsi="Times New Roman" w:cs="Times New Roman"/>
          <w:sz w:val="24"/>
          <w:szCs w:val="24"/>
        </w:rPr>
        <w:t>).</w:t>
      </w:r>
    </w:p>
    <w:p w:rsidR="00C11EDA" w:rsidRPr="00C11EDA" w:rsidRDefault="00C11EDA" w:rsidP="00C11EDA">
      <w:pPr>
        <w:spacing w:after="0" w:line="360" w:lineRule="auto"/>
        <w:ind w:firstLine="442"/>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Latvija ir parakstījusi Vienotās patentu tiesas izveides nolīgumu 2013. gada 19. februārī. </w:t>
      </w:r>
    </w:p>
    <w:p w:rsidR="00C11EDA" w:rsidRPr="00C11EDA" w:rsidRDefault="00C11EDA" w:rsidP="00C11EDA">
      <w:pPr>
        <w:spacing w:after="0" w:line="36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Patentu tiesvedības sistēma plānota kā ekskluzīva tiesu sistēma, kurā tiktu skatīti Eiropas patentu un </w:t>
      </w:r>
      <w:r w:rsidRPr="00C11EDA">
        <w:rPr>
          <w:rFonts w:ascii="Times New Roman" w:eastAsia="Calibri" w:hAnsi="Times New Roman" w:cs="Times New Roman"/>
          <w:noProof/>
          <w:sz w:val="24"/>
          <w:szCs w:val="24"/>
        </w:rPr>
        <w:t xml:space="preserve">vienotā spēka Eiropas </w:t>
      </w:r>
      <w:r w:rsidRPr="00C11EDA">
        <w:rPr>
          <w:rFonts w:ascii="Times New Roman" w:eastAsia="Calibri" w:hAnsi="Times New Roman" w:cs="Times New Roman"/>
          <w:sz w:val="24"/>
          <w:szCs w:val="24"/>
        </w:rPr>
        <w:t>patentu strīdi, un, proti, lietas par patentu anulēšanu patentspējas trūkuma dēļ, patentu pārkāpumi un citi ar patentiem saistīti strīdi. Viens no patentu tiesvedības sistēmas pamatelementiem būs Patentu tiesa, kuras spriedumus varēs atzīt visās līgumslēdzēju valstu teritorijās. Patentu t</w:t>
      </w:r>
      <w:r w:rsidRPr="00C11EDA">
        <w:rPr>
          <w:rFonts w:ascii="Times New Roman" w:eastAsia="Calibri" w:hAnsi="Times New Roman" w:cs="Times New Roman"/>
          <w:bCs/>
          <w:sz w:val="24"/>
          <w:szCs w:val="24"/>
        </w:rPr>
        <w:t>iesas institucionālo sistēmu veidos centrālā nodaļa, reģionālās nodaļas, nacionālās nodaļas.</w:t>
      </w:r>
      <w:r w:rsidRPr="00C11EDA">
        <w:rPr>
          <w:rFonts w:ascii="Times New Roman" w:eastAsia="Calibri" w:hAnsi="Times New Roman" w:cs="Times New Roman"/>
          <w:sz w:val="24"/>
          <w:szCs w:val="24"/>
        </w:rPr>
        <w:t xml:space="preserve"> Parīzē atradīsies Vienotās patentu tiesas centrālais birojs, patentu tiesas prezidenta birojs un reģistrs. Savukārt Londonā un Minhenē atradīsies Vienotās patentu tiesas specializētās nodaļas. Latvija apsver iespēju iestāties par piedalīšanos reģionālajā nodaļā.</w:t>
      </w:r>
    </w:p>
    <w:p w:rsidR="00C11EDA" w:rsidRPr="00C11EDA" w:rsidRDefault="00C11EDA" w:rsidP="00C11EDA">
      <w:pPr>
        <w:spacing w:after="0" w:line="360" w:lineRule="auto"/>
        <w:ind w:firstLine="567"/>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Latvijas uzņēmējiem kā viena no priekšrocībām būtu iespēja skatīt patentu lietas ērtākā tiesā. Personai, kuras tiesības tiktu aizskartas, būtu vieglāk piekļūt tiesai, kas atrodas tās reģionā, kā arī ir prognozējams, ka reģionālajā nodaļā izskatāmo strīdu skaits būtu salīdzinoši mazāks nekā centrālajā nodaļā, līdz ar to iespējama arī ātrāka strīdu izskatīšana, kas ir pozitīvi vērtējams faktors, jo iespējami ātrāk nodrošinātu personas tiesības uz intelektuālā īpašuma aizsardzību. Būtiski ir atzīmēt arī par iespēju reģionālās nodaļas ietvaros izskatīt lietu vairākās vietās, tas ir, pusēm vienojoties, lietu var izskatīt arī reģionālās nodaļas dalībvalstī, kas var arī nebūt reģionālās nodaļas atrašanās vietas valsts. Kā pozitīvs faktors būtu arī angļu valodas kā tiesvedības valodas noteikšana. Latvijā angļu valoda dominē kā plaši lietota valoda un tādējādi personām, kurām būtu nepieciešams aizstāvēt savas intereses reģionālajā nodaļā, būtu ērtāka un vienkāršāka pieeja tiesai, nekā centrālajā tiesā vai tās apakšnodaļās, kur tiesvedības valoda ar Vienotās patentu tiesas izveides nolīgumu ir noteikta valoda, kurā attiecīgais patents ir piešķirts.</w:t>
      </w:r>
    </w:p>
    <w:p w:rsidR="00C11EDA" w:rsidRPr="00C11EDA" w:rsidRDefault="00C11EDA" w:rsidP="00C11EDA">
      <w:pPr>
        <w:spacing w:after="0" w:line="360" w:lineRule="auto"/>
        <w:ind w:firstLine="567"/>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5.2.9.</w:t>
      </w:r>
      <w:r w:rsidRPr="00C11EDA">
        <w:rPr>
          <w:rFonts w:ascii="Times New Roman" w:eastAsia="Calibri" w:hAnsi="Times New Roman" w:cs="Times New Roman"/>
          <w:sz w:val="24"/>
          <w:szCs w:val="24"/>
        </w:rPr>
        <w:t xml:space="preserve"> Lai arī attiecīgo nozari regulējošajos normatīvajos aktos ir veikti grozījumi, kas vērsti uz intelektuālā īpašuma tiesību aizsardzību, tomēr vēl joprojām ir saskatāmi trūkumi attiecībā uz autortiesību aizsardzības nodrošināšanu, īpaši attiecībā uz pirātismu internetā. Pirātisms ir reģionāla rakstura problēma, arī ES līmenī notiek regulāras diskusijas par iespējamajiem risinājumiem. Taču, ņemot vērā tehnoloģiju straujo attīstību, ir grūti rast risinājumu pirātisma problemātikai. </w:t>
      </w:r>
    </w:p>
    <w:p w:rsidR="00C11EDA" w:rsidRPr="00C11EDA" w:rsidRDefault="00C11EDA" w:rsidP="00C11EDA">
      <w:pPr>
        <w:spacing w:after="0" w:line="360" w:lineRule="auto"/>
        <w:ind w:firstLine="709"/>
        <w:contextualSpacing/>
        <w:jc w:val="both"/>
        <w:rPr>
          <w:rFonts w:ascii="Times New Roman" w:eastAsia="Calibri" w:hAnsi="Times New Roman" w:cs="Times New Roman"/>
          <w:sz w:val="24"/>
          <w:szCs w:val="24"/>
        </w:rPr>
      </w:pP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4"/>
          <w:szCs w:val="24"/>
          <w:lang w:val="x-none" w:eastAsia="lv-LV"/>
        </w:rPr>
      </w:pPr>
      <w:r w:rsidRPr="00C11EDA">
        <w:rPr>
          <w:rFonts w:ascii="Times New Roman" w:eastAsia="Times New Roman" w:hAnsi="Times New Roman" w:cs="Times New Roman"/>
          <w:b/>
          <w:bCs/>
          <w:iCs/>
          <w:sz w:val="24"/>
          <w:szCs w:val="24"/>
          <w:lang w:val="x-none" w:eastAsia="lv-LV"/>
        </w:rPr>
        <w:br w:type="page"/>
      </w:r>
      <w:bookmarkStart w:id="19" w:name="_Toc365544732"/>
      <w:r w:rsidRPr="00C11EDA">
        <w:rPr>
          <w:rFonts w:ascii="Times New Roman" w:eastAsia="Times New Roman" w:hAnsi="Times New Roman" w:cs="Times New Roman"/>
          <w:b/>
          <w:bCs/>
          <w:iCs/>
          <w:sz w:val="24"/>
          <w:szCs w:val="24"/>
          <w:lang w:val="x-none" w:eastAsia="lv-LV"/>
        </w:rPr>
        <w:t>6. Problēmu formulējums, kuru risināšanai nepieciešams īstenot noteiktu valdības politiku</w:t>
      </w:r>
      <w:bookmarkEnd w:id="17"/>
      <w:bookmarkEnd w:id="18"/>
      <w:r w:rsidRPr="00C11EDA">
        <w:rPr>
          <w:rFonts w:ascii="Times New Roman" w:eastAsia="Times New Roman" w:hAnsi="Times New Roman" w:cs="Times New Roman"/>
          <w:b/>
          <w:bCs/>
          <w:iCs/>
          <w:sz w:val="24"/>
          <w:szCs w:val="24"/>
          <w:lang w:val="x-none" w:eastAsia="lv-LV"/>
        </w:rPr>
        <w:t xml:space="preserve"> un </w:t>
      </w:r>
      <w:proofErr w:type="spellStart"/>
      <w:r w:rsidRPr="00C11EDA">
        <w:rPr>
          <w:rFonts w:ascii="Times New Roman" w:eastAsia="Times New Roman" w:hAnsi="Times New Roman" w:cs="Times New Roman"/>
          <w:b/>
          <w:bCs/>
          <w:i/>
          <w:iCs/>
          <w:sz w:val="24"/>
          <w:szCs w:val="24"/>
          <w:lang w:val="x-none" w:eastAsia="lv-LV"/>
        </w:rPr>
        <w:t>ex</w:t>
      </w:r>
      <w:proofErr w:type="spellEnd"/>
      <w:r w:rsidRPr="00C11EDA">
        <w:rPr>
          <w:rFonts w:ascii="Times New Roman" w:eastAsia="Times New Roman" w:hAnsi="Times New Roman" w:cs="Times New Roman"/>
          <w:b/>
          <w:bCs/>
          <w:i/>
          <w:iCs/>
          <w:sz w:val="24"/>
          <w:szCs w:val="24"/>
          <w:lang w:val="x-none" w:eastAsia="lv-LV"/>
        </w:rPr>
        <w:t xml:space="preserve"> </w:t>
      </w:r>
      <w:proofErr w:type="spellStart"/>
      <w:r w:rsidRPr="00C11EDA">
        <w:rPr>
          <w:rFonts w:ascii="Times New Roman" w:eastAsia="Times New Roman" w:hAnsi="Times New Roman" w:cs="Times New Roman"/>
          <w:b/>
          <w:bCs/>
          <w:i/>
          <w:iCs/>
          <w:sz w:val="24"/>
          <w:szCs w:val="24"/>
          <w:lang w:val="x-none" w:eastAsia="lv-LV"/>
        </w:rPr>
        <w:t>ante</w:t>
      </w:r>
      <w:proofErr w:type="spellEnd"/>
      <w:r w:rsidRPr="00C11EDA">
        <w:rPr>
          <w:rFonts w:ascii="Times New Roman" w:eastAsia="Times New Roman" w:hAnsi="Times New Roman" w:cs="Times New Roman"/>
          <w:b/>
          <w:bCs/>
          <w:iCs/>
          <w:sz w:val="24"/>
          <w:szCs w:val="24"/>
          <w:lang w:val="x-none" w:eastAsia="lv-LV"/>
        </w:rPr>
        <w:t xml:space="preserve"> ietekmes novērtējums</w:t>
      </w:r>
      <w:bookmarkEnd w:id="19"/>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0" w:name="_Toc365544733"/>
      <w:r w:rsidRPr="00C11EDA">
        <w:rPr>
          <w:rFonts w:ascii="Times New Roman" w:eastAsia="Times New Roman" w:hAnsi="Times New Roman" w:cs="Times New Roman"/>
          <w:b/>
          <w:bCs/>
          <w:sz w:val="24"/>
          <w:szCs w:val="24"/>
          <w:lang w:val="x-none"/>
        </w:rPr>
        <w:t xml:space="preserve">6.1. </w:t>
      </w:r>
      <w:r w:rsidRPr="00C11EDA">
        <w:rPr>
          <w:rFonts w:ascii="Times New Roman" w:eastAsia="Calibri" w:hAnsi="Times New Roman" w:cs="Times New Roman"/>
          <w:b/>
          <w:iCs/>
          <w:sz w:val="24"/>
          <w:szCs w:val="24"/>
          <w:lang w:val="x-none" w:eastAsia="lv-LV"/>
        </w:rPr>
        <w:t>Nacionālā normatīvā regulējuma pilnveidošana attiecībā uz intelektuālā īpašuma tiesību aizsardzību un pārvaldību</w:t>
      </w:r>
      <w:bookmarkEnd w:id="20"/>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Vienots un harmonisks normatīvais regulējums ir priekšnosacījums veiksmīgai un progresīvai intelektuālā īpašuma tiesību īstenošanai un aizsardzībai. Normatīvā bāze ir fundaments intelektuālā īpašuma tiesību realizēšanas progresam valstī, līdz ar to no tās kvalitātes ir arī atkarīga valsts ekonomiskā attīstība, jo tās pamatā ir tehnoloģiskā kapacitāte, kas ir cieši saistīta ar intelektuālā īpašuma attīstību.</w:t>
      </w:r>
    </w:p>
    <w:p w:rsidR="00C11EDA" w:rsidRPr="00C11EDA" w:rsidRDefault="00C11EDA" w:rsidP="00C11EDA">
      <w:pPr>
        <w:spacing w:after="0" w:line="36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6.1.1.</w:t>
      </w:r>
      <w:r w:rsidRPr="00C11EDA">
        <w:rPr>
          <w:rFonts w:ascii="Times New Roman" w:eastAsia="Times New Roman" w:hAnsi="Times New Roman" w:cs="Times New Roman"/>
          <w:sz w:val="24"/>
          <w:szCs w:val="24"/>
          <w:lang w:eastAsia="lv-LV"/>
        </w:rPr>
        <w:t xml:space="preserve"> Par intelektuālā īpašuma tiesību aizsardzību atbild vairākas valsts pārvaldes iestādes. Autortiesības un blakustiesības Latvijas Republikā ir </w:t>
      </w:r>
      <w:r w:rsidRPr="00C11EDA">
        <w:rPr>
          <w:rFonts w:ascii="Times New Roman" w:eastAsia="Times New Roman" w:hAnsi="Times New Roman" w:cs="Times New Roman"/>
          <w:bCs/>
          <w:sz w:val="24"/>
          <w:szCs w:val="24"/>
          <w:lang w:eastAsia="lv-LV"/>
        </w:rPr>
        <w:t xml:space="preserve">KM </w:t>
      </w:r>
      <w:r w:rsidRPr="00C11EDA">
        <w:rPr>
          <w:rFonts w:ascii="Times New Roman" w:eastAsia="Times New Roman" w:hAnsi="Times New Roman" w:cs="Times New Roman"/>
          <w:sz w:val="24"/>
          <w:szCs w:val="24"/>
          <w:lang w:eastAsia="lv-LV"/>
        </w:rPr>
        <w:t xml:space="preserve">kompetencē, un to aizsardzību nosaka </w:t>
      </w:r>
      <w:r w:rsidRPr="00C11EDA">
        <w:rPr>
          <w:rFonts w:ascii="Times New Roman" w:eastAsia="Times New Roman" w:hAnsi="Times New Roman" w:cs="Times New Roman"/>
          <w:bCs/>
          <w:sz w:val="24"/>
          <w:szCs w:val="24"/>
          <w:lang w:eastAsia="lv-LV"/>
        </w:rPr>
        <w:t>Autortiesību likums</w:t>
      </w:r>
      <w:r w:rsidRPr="00C11EDA">
        <w:rPr>
          <w:rFonts w:ascii="Times New Roman" w:eastAsia="Times New Roman" w:hAnsi="Times New Roman" w:cs="Times New Roman"/>
          <w:sz w:val="24"/>
          <w:szCs w:val="24"/>
          <w:lang w:eastAsia="lv-LV"/>
        </w:rPr>
        <w:t xml:space="preserve">. KM izstrādā normatīvo aktu projektus autortiesību un blakustiesību jomā, organizē un veic mantisko tiesību kolektīvo pārvaldījuma </w:t>
      </w:r>
      <w:r w:rsidRPr="00C11EDA">
        <w:rPr>
          <w:rFonts w:ascii="Times New Roman" w:eastAsia="Times New Roman" w:hAnsi="Times New Roman" w:cs="Times New Roman"/>
          <w:bCs/>
          <w:sz w:val="24"/>
          <w:szCs w:val="24"/>
          <w:lang w:eastAsia="lv-LV"/>
        </w:rPr>
        <w:t>organizāciju uzraudzību u.c</w:t>
      </w:r>
      <w:r w:rsidRPr="00C11EDA">
        <w:rPr>
          <w:rFonts w:ascii="Times New Roman" w:eastAsia="Times New Roman" w:hAnsi="Times New Roman" w:cs="Times New Roman"/>
          <w:sz w:val="24"/>
          <w:szCs w:val="24"/>
          <w:lang w:eastAsia="lv-LV"/>
        </w:rPr>
        <w:t xml:space="preserve">. PV ir tieslietu ministra pārraudzībā esoša tiešās pārvaldes iestāde, kas īsteno valsts politiku rūpnieciskā īpašuma, īpaši izgudrojumu, preču zīmju, dizainparaugu un pusvadītāju izstrādājumu topogrāfiju tiesiskās aizsardzības jomā. PV nodrošina rūpnieciskā īpašuma tiesību reģistrāciju un reģistru ziņu publikāciju savā oficiālajā izdevumā, kā arī veicina izpratni par šo tiesību aizsardzību. ZM kompetencē ir augu šķirnes, pārtikas un lauksaimniecības produktu ģeogrāfiskās norādes. </w:t>
      </w:r>
      <w:r w:rsidRPr="00C11EDA">
        <w:rPr>
          <w:rFonts w:ascii="Times New Roman" w:eastAsia="Times New Roman" w:hAnsi="Times New Roman" w:cs="Times New Roman"/>
          <w:b/>
          <w:sz w:val="24"/>
          <w:szCs w:val="24"/>
          <w:lang w:eastAsia="lv-LV"/>
        </w:rPr>
        <w:t>EM kompetencē ir negodīgas konkurences jautājumi, inovācijas politikas izstrāde un īstenošana.</w:t>
      </w:r>
      <w:r w:rsidRPr="00C11EDA">
        <w:rPr>
          <w:rFonts w:ascii="Times New Roman" w:eastAsia="Times New Roman" w:hAnsi="Times New Roman" w:cs="Times New Roman"/>
          <w:sz w:val="24"/>
          <w:szCs w:val="24"/>
          <w:lang w:eastAsia="lv-LV"/>
        </w:rPr>
        <w:t xml:space="preserve"> </w:t>
      </w:r>
      <w:r w:rsidR="00947C13">
        <w:rPr>
          <w:rFonts w:ascii="Times New Roman" w:eastAsia="Times New Roman" w:hAnsi="Times New Roman" w:cs="Times New Roman"/>
          <w:sz w:val="24"/>
          <w:szCs w:val="24"/>
          <w:lang w:eastAsia="lv-LV"/>
        </w:rPr>
        <w:t>IeM</w:t>
      </w:r>
      <w:r w:rsidRPr="00C11EDA">
        <w:rPr>
          <w:rFonts w:ascii="Times New Roman" w:eastAsia="Times New Roman" w:hAnsi="Times New Roman" w:cs="Times New Roman"/>
          <w:sz w:val="24"/>
          <w:szCs w:val="24"/>
          <w:lang w:eastAsia="lv-LV"/>
        </w:rPr>
        <w:t xml:space="preserve"> (Valsts policijas) un Finanšu ministrijas (Valsts ieņēmumu dienesta) kompetencē ir darbs ar pārkāpumiem intelektuālā īpašuma jomā. </w:t>
      </w:r>
      <w:r w:rsidRPr="00C11EDA">
        <w:rPr>
          <w:rFonts w:ascii="Times New Roman" w:eastAsia="Times New Roman" w:hAnsi="Times New Roman" w:cs="Times New Roman"/>
          <w:b/>
          <w:sz w:val="24"/>
          <w:szCs w:val="24"/>
          <w:lang w:eastAsia="lv-LV"/>
        </w:rPr>
        <w:t>ĀM kompetencē ir ārējās tirdzniecības politikas izstrāde un īstenošana, nodrošinot Latvijas Republikas interešu pārstāvību Pasaules Tirdzniecības organizācijā un Eiropas Savienības institūcijās, pārstāvot Latvijas intereses ar tirdzniecību un intelektuālo īpašumu saistītās jomās ES tirdzniecības līgumos ar treš</w:t>
      </w:r>
      <w:r w:rsidR="009B580A">
        <w:rPr>
          <w:rFonts w:ascii="Times New Roman" w:eastAsia="Times New Roman" w:hAnsi="Times New Roman" w:cs="Times New Roman"/>
          <w:b/>
          <w:sz w:val="24"/>
          <w:szCs w:val="24"/>
          <w:lang w:eastAsia="lv-LV"/>
        </w:rPr>
        <w:t>a</w:t>
      </w:r>
      <w:r w:rsidRPr="00C11EDA">
        <w:rPr>
          <w:rFonts w:ascii="Times New Roman" w:eastAsia="Times New Roman" w:hAnsi="Times New Roman" w:cs="Times New Roman"/>
          <w:b/>
          <w:sz w:val="24"/>
          <w:szCs w:val="24"/>
          <w:lang w:eastAsia="lv-LV"/>
        </w:rPr>
        <w:t>jām valstīm.</w:t>
      </w:r>
    </w:p>
    <w:p w:rsidR="00C11EDA" w:rsidRPr="00C11EDA" w:rsidRDefault="00C11EDA" w:rsidP="00C11EDA">
      <w:pPr>
        <w:spacing w:after="0" w:line="36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ab/>
        <w:t xml:space="preserve">Ņemot vērā pastāvošo fragmentāro intelektuālā īpašuma aizsardzību un pārvaldību Latvijas Republikā nevalstisko organizāciju pārstāvji, kā arī Ārvalstu investoru padome Latvijā tās sagatavotajās rekomendācijās valdībai no 2014. gada </w:t>
      </w:r>
      <w:proofErr w:type="gramStart"/>
      <w:r w:rsidRPr="00C11EDA">
        <w:rPr>
          <w:rFonts w:ascii="Times New Roman" w:eastAsia="Times New Roman" w:hAnsi="Times New Roman" w:cs="Times New Roman"/>
          <w:sz w:val="24"/>
          <w:szCs w:val="24"/>
          <w:lang w:eastAsia="lv-LV"/>
        </w:rPr>
        <w:t>3.jūnija</w:t>
      </w:r>
      <w:proofErr w:type="gramEnd"/>
      <w:r w:rsidRPr="00C11EDA">
        <w:rPr>
          <w:rFonts w:ascii="Times New Roman" w:eastAsia="Times New Roman" w:hAnsi="Times New Roman" w:cs="Times New Roman"/>
          <w:sz w:val="24"/>
          <w:szCs w:val="24"/>
          <w:lang w:eastAsia="lv-LV"/>
        </w:rPr>
        <w:t xml:space="preserve"> Pozīcijas ziņojumā Nr.4 „Par intelektuālā īpašuma veicināšanu un aizsardzību” norādīja uz nepieciešamību veidot vienotu Intelektuālā īpašuma iestādi, kas būtu daudz efektīvāka veicinot un atbalstot uzņēmējdarbību un stiprinot inovāciju pārnesi praksē, tādā veidā novēršot šobrīd pastāvošo </w:t>
      </w:r>
      <w:proofErr w:type="spellStart"/>
      <w:r w:rsidRPr="00C11EDA">
        <w:rPr>
          <w:rFonts w:ascii="Times New Roman" w:eastAsia="Times New Roman" w:hAnsi="Times New Roman" w:cs="Times New Roman"/>
          <w:sz w:val="24"/>
          <w:szCs w:val="24"/>
          <w:lang w:eastAsia="lv-LV"/>
        </w:rPr>
        <w:t>fragmentārismu</w:t>
      </w:r>
      <w:proofErr w:type="spellEnd"/>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veidotu skaidru, vienotu un progresīvu politiku intelektuālā īpašuma tiesību jomā, nepieciešams izvērtēt</w:t>
      </w:r>
      <w:r w:rsidRPr="00C11EDA">
        <w:rPr>
          <w:rFonts w:ascii="Times New Roman" w:eastAsia="Calibri" w:hAnsi="Times New Roman" w:cs="Times New Roman"/>
          <w:sz w:val="24"/>
          <w:szCs w:val="24"/>
          <w:lang w:eastAsia="lv-LV"/>
        </w:rPr>
        <w:t xml:space="preserve"> katras valsts institūcijas kompetenci intelektuālā īpašuma aizsardzības jomā un veikt analīzi par fragmentāro intelektuālā īpašuma aizsardzību un pārvaldību Latvijas Republikā, atspoguļojot pastāvošās problēmas spēkā esošajā regulējumā un piedāvājot konstruktīvus un efektīvus risinājuma variantus esošās situācijas uzlabošanai.</w:t>
      </w:r>
    </w:p>
    <w:p w:rsidR="00C11EDA" w:rsidRPr="00C11EDA" w:rsidRDefault="00C11EDA" w:rsidP="00C11EDA">
      <w:pPr>
        <w:spacing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Apgrūtināta iespēja veidot skaidru, vienotu un progresīvu politiku intelektuālā īpašuma tiesību jomā</w:t>
      </w:r>
      <w:r w:rsidRPr="00C11EDA" w:rsidDel="008F34F9">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(rūpnieciskais īpašums, autortiesības, blakustiesības, augu šķirnes, pārtikas un lauksaimniecības produktu ģeogrāfiskās norādes, negodīgas konkurences jautājumi, inovācijas politikas izstrāde un īstenošana).</w:t>
      </w:r>
    </w:p>
    <w:p w:rsidR="00C11EDA" w:rsidRPr="00C11EDA" w:rsidRDefault="00C11EDA" w:rsidP="00C11EDA">
      <w:pPr>
        <w:spacing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6.1.2.</w:t>
      </w:r>
      <w:r w:rsidRPr="00C11EDA">
        <w:rPr>
          <w:rFonts w:ascii="Times New Roman" w:eastAsia="Calibri" w:hAnsi="Times New Roman" w:cs="Times New Roman"/>
          <w:sz w:val="24"/>
          <w:szCs w:val="24"/>
          <w:lang w:eastAsia="lv-LV"/>
        </w:rPr>
        <w:t> Nav konsekvences attiecībā uz nodarītā kaitējuma atlīdzības piedziņas kārtību intelektuālā īpašuma tiesiskajā regulējumā likumā „Par preču zīmēm un ģeogrāfiskās izcelsmes norādēm”, Patentu likumā un Autortiesību likumā, kā arī Civilprocesā likumā, līdz ar to nepieciešams izvērtēt vai Eiropas Parlamenta un Padomes 2004.</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rPr>
        <w:t>gada 29.</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aprīļa direktīvas 2004/48/EK </w:t>
      </w:r>
      <w:r w:rsidRPr="00C11EDA">
        <w:rPr>
          <w:rFonts w:ascii="Times New Roman" w:eastAsia="Calibri" w:hAnsi="Times New Roman" w:cs="Times New Roman"/>
          <w:i/>
          <w:sz w:val="24"/>
          <w:szCs w:val="24"/>
        </w:rPr>
        <w:t>par intelektuālā īpašuma tiesību piemērošanu</w:t>
      </w:r>
      <w:r w:rsidRPr="00C11EDA">
        <w:rPr>
          <w:rFonts w:ascii="Times New Roman" w:eastAsia="Calibri" w:hAnsi="Times New Roman" w:cs="Times New Roman"/>
          <w:sz w:val="24"/>
          <w:szCs w:val="24"/>
        </w:rPr>
        <w:t xml:space="preserve"> prasību attiecībā uz kaitējuma atlīdzības piedziņu ieviešana ir pilnvērtīga un vai nepieciešams uzlabot esošo regulējumu. Likuma „Par preču zīmēm un ģeogrāfiskās izcelsmes norādēm” 28.</w:t>
      </w:r>
      <w:r w:rsidRPr="00C11EDA">
        <w:rPr>
          <w:rFonts w:ascii="Times New Roman" w:eastAsia="Calibri" w:hAnsi="Times New Roman" w:cs="Times New Roman"/>
          <w:position w:val="6"/>
          <w:sz w:val="24"/>
          <w:szCs w:val="24"/>
        </w:rPr>
        <w:t xml:space="preserve">1 </w:t>
      </w:r>
      <w:r w:rsidRPr="00C11EDA">
        <w:rPr>
          <w:rFonts w:ascii="Times New Roman" w:eastAsia="Calibri" w:hAnsi="Times New Roman" w:cs="Times New Roman"/>
          <w:sz w:val="24"/>
          <w:szCs w:val="24"/>
        </w:rPr>
        <w:t>panta trešā daļa, Patentu likuma 64. panta trešā daļa un Autortiesību likuma 69.</w:t>
      </w:r>
      <w:r w:rsidRPr="00C11EDA">
        <w:rPr>
          <w:rFonts w:ascii="Times New Roman" w:eastAsia="Calibri" w:hAnsi="Times New Roman" w:cs="Times New Roman"/>
          <w:sz w:val="24"/>
          <w:szCs w:val="24"/>
          <w:vertAlign w:val="superscript"/>
        </w:rPr>
        <w:t>1</w:t>
      </w:r>
      <w:r w:rsidRPr="00C11EDA">
        <w:rPr>
          <w:rFonts w:ascii="Times New Roman" w:eastAsia="Calibri" w:hAnsi="Times New Roman" w:cs="Times New Roman"/>
          <w:sz w:val="24"/>
          <w:szCs w:val="24"/>
        </w:rPr>
        <w:t xml:space="preserve"> panta trešā daļa paredz, ka gadījumā, ja faktisko zaudējumu atlīdzības apmēru nevar noteikt saskaņā ar šo pantu otrajām daļām, zaudējumu atlīdzības apmērs nosakāms atbilstoši tai summai, kuru attiecīgo intelektuālo īpašuma tiesību subjekts varētu saņemt par tiesību objekta izmantošanas atļaujas izsniegšanu. Tomēr iespējamās licences </w:t>
      </w:r>
      <w:r w:rsidR="00DF78F5" w:rsidRPr="00C11EDA">
        <w:rPr>
          <w:rFonts w:ascii="Times New Roman" w:eastAsia="Calibri" w:hAnsi="Times New Roman" w:cs="Times New Roman"/>
          <w:sz w:val="24"/>
          <w:szCs w:val="24"/>
        </w:rPr>
        <w:t>maksājum</w:t>
      </w:r>
      <w:r w:rsidR="00DF78F5">
        <w:rPr>
          <w:rFonts w:ascii="Times New Roman" w:eastAsia="Calibri" w:hAnsi="Times New Roman" w:cs="Times New Roman"/>
          <w:sz w:val="24"/>
          <w:szCs w:val="24"/>
        </w:rPr>
        <w:t>s</w:t>
      </w:r>
      <w:r w:rsidR="00DF78F5"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 xml:space="preserve">būtu jāparedz kā alternatīvu, nevis pakārtotu zaudējumu aprēķināšanas metodi.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 xml:space="preserve">Ņemot vērā, ka </w:t>
      </w:r>
      <w:r w:rsidRPr="00C11EDA">
        <w:rPr>
          <w:rFonts w:ascii="Times New Roman" w:eastAsia="Calibri" w:hAnsi="Times New Roman" w:cs="Times New Roman"/>
          <w:sz w:val="24"/>
          <w:szCs w:val="24"/>
          <w:lang w:eastAsia="lv-LV"/>
        </w:rPr>
        <w:t>kaitējuma atlīdzības jautājumi risināmi Civilprocesa likumā noteiktajā kārtībā, iespējamie grozījumi speciālajos likumos jāskatās kopsakarā ar Civilprocesa likumu, izvērtējot arī nepieciešamību veikt grozījumu Civilprocesa likumā.</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Tiesību normas, kas regulē intelektuālā īpašuma tiesību aizsardzības jautājumus Civilprocesa likumā, Patentu likumā, Autortiesību likumā, likumā „Par preču zīmēm un ģeogrāfiskās izcelsmes norādēm”, nepieciešams precizēt, lai nodrošinātu efektīvāku intelektuālā īpašuma aizsardzību.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6.1.3.</w:t>
      </w:r>
      <w:r w:rsidRPr="00C11EDA">
        <w:rPr>
          <w:rFonts w:ascii="Times New Roman" w:eastAsia="Calibri" w:hAnsi="Times New Roman" w:cs="Times New Roman"/>
          <w:sz w:val="24"/>
          <w:szCs w:val="24"/>
          <w:lang w:eastAsia="lv-LV"/>
        </w:rPr>
        <w:t> Šobrīd Autortiesību likumā ir nepietiekami skaidri noteikta mijiedarbība starp Civillikuma un Autortiesību likuma normatīvo regulējumu attiecībā uz konkrētiem līguma veidiem, kuriem ir nozīme autortiesību jomā. Piemēram, nav pietiekami skaidrs, vai uz autora līgumu par pasūtītu darbu būtu attiecināmi Civillikuma noteikumi par uzņēmuma līgumiem. Tāpat nav skaidrs, vai un cik lielā mērā uz Autortiesību likumā regulēto licences līgumu ir attiecināmi Civillikuma noteikumi par (tiesību) pirkuma līgumiem un noteikumi par atbildības pienākumu par lietas trūkumiem. Atsevišķi autortiesību jomā nozīmīgi līgumu veidi ir nepietiekami regulēti, kas vairo neskaidrību un strīdus rašanās iespējamību autortiesību darbu civiltiesiskajā apgrozībā. Piemēram, ne Civillikumā, ne Autortiesību likumā nav ietverts pietiekami plašs autora līguma par pasūtītu darbu regulējums, kas, ņemot vērā pasūtāmā objekta specifiku (sasniedzamā rezultāta neiestāšanās paaugstinātais risks, kvalitātes kritēriju noteikšanas grūtības u.c.), atzīstams par normatīvā regulējuma trūkumu, kura rezultātā var tikt nepamatoti aizskartas autortiesību darbu civiltiesiskajā apgrozībā iesaistīto pušu tiesības un likumiskās intereses. Visbeidzot, pastāv nepieciešamība izvērtēt licenču un licenču līgumu regulējumu.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Līgumtiesiskais regulējums Autortiesību likumā ir nepilnīgs.</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6.1.4. </w:t>
      </w:r>
      <w:r w:rsidRPr="00C11EDA">
        <w:rPr>
          <w:rFonts w:ascii="Times New Roman" w:eastAsia="Calibri" w:hAnsi="Times New Roman" w:cs="Times New Roman"/>
          <w:sz w:val="24"/>
          <w:szCs w:val="24"/>
        </w:rPr>
        <w:t xml:space="preserve">Autortiesību likumā ietvertais autortiesību ierobežojumu regulējums (likuma V. nodaļa) nav pietiekami precīzs un skaidrs tiesību piemērotājiem. Tāpat pastāv nepieciešamība izvērtēt tā tvēruma atbilstību starptautiskajiem tiesību aktiem un ES direktīvām (it īpaši ES 2001. gada 22. maija direktīvai 2001/29/EK par dažu autortiesību un blakustiesību aspektu saskaņošanu informācijas sabiedrībā). Tādējādi samazinās sabiedrības atbalsts autortiesību sistēmai, un ilgtermiņā autortiesību tiesiskais regulējums var nonākt pretrunā arī ar autoru un to tiesību pārņēmēju interesēm. </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rPr>
        <w:t>Autortiesību likumā ietvertais autortiesību ierobežojumu regulējums nav pietiekami precīzs, un ir nepieciešams izvērtēt tā atbilstību attiecīgajam ES regulējumam.</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6.1.5.</w:t>
      </w:r>
      <w:r w:rsidRPr="00C11EDA">
        <w:rPr>
          <w:rFonts w:ascii="Times New Roman" w:eastAsia="Calibri" w:hAnsi="Times New Roman" w:cs="Times New Roman"/>
          <w:sz w:val="24"/>
          <w:szCs w:val="24"/>
          <w:lang w:eastAsia="lv-LV"/>
        </w:rPr>
        <w:t> Normatīvajos aktos nav skaidri noteikti mērķi un principi kolektīvā pārvaldījuma organizāciju darbības uzraudzībai, līdz ar to radot risku, ka netiek nodrošināta minēto organizāciju darbības pietiekama efektivitāte un caurskatāmība. Nav regulējuma, kas dotu uzraudzības institūcijai tiesības pārbaudīt kolektīvo pārvaldījumu organizāciju darbību, pieaicinot ārēju auditoru gadījumos, kad jāizvērtē jautājumi par izsniegtās atļaujas veikt mantisko tiesību kolektīvo administrēšanu anulēšanu. Vienīgā sankcija, kas paredzēta par mantisko tiesību kolektīvā pārvaldījuma organizāciju veiktajiem pārkāpumiem, ir kolektīvā pārvaldījuma īstenošanai izsniegtās atļaujas anulēšana ( Autortiesību likuma 67. panta ceturtā daļa). Ņemot vērā, ka minētās sankcijas piemērošana par salīdzinoši nenozīmīgiem pārkāpumiem nebūtu samērīga, jāvērtē papildu sankciju ieviešanas nepieciešamība normatīvajos aktos šādu pārkāpumu novēršanai.</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Normatīvajos aktos nepietiekami skaidri noteikti kolektīvā pārvaldījuma organizāciju uzraudzības mērķi un principi, kā arī sankciju trūkums normatīvajos aktos attiecībā uz salīdzinoši nebūtiskiem minēto organizāciju pārkāpumiem.</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6.1.6.</w:t>
      </w:r>
      <w:r w:rsidRPr="00C11EDA">
        <w:rPr>
          <w:rFonts w:ascii="Times New Roman" w:eastAsia="Calibri" w:hAnsi="Times New Roman" w:cs="Times New Roman"/>
          <w:sz w:val="24"/>
          <w:szCs w:val="24"/>
          <w:lang w:eastAsia="lv-LV"/>
        </w:rPr>
        <w:t> Atbildētāja negodīgi iegūtās peļņas piedziņa ir vērsta uz to, lai liegtu pārkāpējam negodīgi gūto labumu, nevis kompensētu prasītāja mantas samazinājumu. Piemēram, licences atlīdzība nereti tiek saistīta ar to, ka tai nepiemīt preventīva iedarbība un tādejādi tiek veicināta intelektuālā īpašuma objektu izmantošana bez licences, jo no atbildētāja tiek piedzīta tā pati summa, ko tas būtu samaksājis tad, ja laikus būtu noslēdzis licences līgumu ar tiesību īpašnieku. Latvijā nav izvērtēta iespēja intelektuālā īpašuma pārkāpumu lietās (civillietās) izmantot tādu tiesiskās aizsardzības līdzekli kā atbildētāja negodīgi iegūtās peļņas piedziņu. Tā kā vispārējais princips zaudējumu atlīdzināšanai ir atrautās peļņas un licences maksas metode, bet atrautās peļņas piedziņa nav zaudējumu atlīdzināšanas veids, tad šāda jauna institūta ieviešana Latvijas tiesībās būtu konceptuāli izvērtējama, turklāt šāda institūta ieviešanu nevajadzētu attiecināt tikai uz atsevišķu lietu kategoriju.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Latvijā nav izvērtēta iespēja izmantot tādu civiltiesiskās aizsardzības līdzekli kā atbildētāja negodīgi iegūtās peļņas piedziņa.</w:t>
      </w:r>
      <w:bookmarkStart w:id="21" w:name="_Toc143588647"/>
      <w:bookmarkStart w:id="22" w:name="_Toc334018309"/>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6.1.7.</w:t>
      </w:r>
      <w:r w:rsidRPr="00C11EDA">
        <w:rPr>
          <w:rFonts w:ascii="Times New Roman" w:eastAsia="Calibri" w:hAnsi="Times New Roman" w:cs="Times New Roman"/>
          <w:sz w:val="24"/>
          <w:szCs w:val="24"/>
          <w:lang w:eastAsia="lv-LV"/>
        </w:rPr>
        <w:t xml:space="preserve"> Normatīvajos aktos nav skaidri noteikta kārtība, kādā notiek Kultūras ministrijas izsniegtās atļaujas veikt mantisko tiesību kolektīvo pārvaldījumu anulēšana. Autortiesību likuma 67.</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lang w:eastAsia="lv-LV"/>
        </w:rPr>
        <w:t>panta ceturtajā daļā ir norādīti gadījumi, kuros Kultūras ministrijai ir pienākums anulēt tās izsniegto atļauju, taču likumā nav noteikts, kādas darbības attiecīgajai kolektīvā pārvaldījuma organizācijai būtu jāveic saistībā ar tai izsniegtās atļaujas anulēšanu, tostarp attiecībā uz norēķiniem ar tiesību īpašniekiem un atskaišu sniegšanu. Nav arī veikts izvērtējums, vai normatīvajos aktos būtu jāparedz papildu noregulējuma pasākumi, kas nodrošinātu attiecīgā tiesību (izmantošanas) veida kolektīvā pārvaldījuma nepārtrauktību.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Normatīvajos aktos nav skaidri noteikta kārtība, kādā notiek Kultūras ministrijas izsniegtās atļaujas veikt mantisko tiesību kolektīvo pārvaldījumu anulēšana.</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b/>
          <w:sz w:val="24"/>
          <w:szCs w:val="24"/>
          <w:lang w:eastAsia="lv-LV"/>
        </w:rPr>
        <w:t>6.1.8.</w:t>
      </w:r>
      <w:r w:rsidRPr="00C11EDA">
        <w:rPr>
          <w:rFonts w:ascii="Times New Roman" w:eastAsia="Calibri"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 xml:space="preserve">Administratīvais slogs, kas tiek radīts personām, kurām saskaņā ar Ministru kabineta </w:t>
      </w:r>
      <w:proofErr w:type="gramStart"/>
      <w:r w:rsidRPr="00C11EDA">
        <w:rPr>
          <w:rFonts w:ascii="Times New Roman" w:eastAsia="Times New Roman" w:hAnsi="Times New Roman" w:cs="Times New Roman"/>
          <w:sz w:val="24"/>
          <w:szCs w:val="24"/>
          <w:lang w:eastAsia="lv-LV"/>
        </w:rPr>
        <w:t>2005.gada</w:t>
      </w:r>
      <w:proofErr w:type="gramEnd"/>
      <w:r w:rsidRPr="00C11EDA">
        <w:rPr>
          <w:rFonts w:ascii="Times New Roman" w:eastAsia="Times New Roman" w:hAnsi="Times New Roman" w:cs="Times New Roman"/>
          <w:sz w:val="24"/>
          <w:szCs w:val="24"/>
          <w:lang w:eastAsia="lv-LV"/>
        </w:rPr>
        <w:t xml:space="preserve"> 10.maija noteikumiem Nr.321 „Noteikumi par tukšo materiālo nesēju un reproducēšanai izmantojamo </w:t>
      </w:r>
      <w:r w:rsidRPr="00C11EDA">
        <w:rPr>
          <w:rFonts w:ascii="Times New Roman" w:eastAsia="Calibri" w:hAnsi="Times New Roman" w:cs="Times New Roman"/>
          <w:sz w:val="24"/>
          <w:szCs w:val="24"/>
          <w:lang w:eastAsia="lv-LV"/>
        </w:rPr>
        <w:t>iekārtu</w:t>
      </w:r>
      <w:r w:rsidRPr="00C11EDA">
        <w:rPr>
          <w:rFonts w:ascii="Times New Roman" w:eastAsia="Times New Roman" w:hAnsi="Times New Roman" w:cs="Times New Roman"/>
          <w:sz w:val="24"/>
          <w:szCs w:val="24"/>
          <w:lang w:eastAsia="lv-LV"/>
        </w:rPr>
        <w:t xml:space="preserve"> atlīdzības lielumu un tās iekasēšanas, atmaksāšanas, sadales un izmaksas kārtību” ir tiesības tikt reģistrētām profesionālo lietotāju reģistrā, saskaņā ar Valsts kancelejas pasūtītajā pētījumā „Administratīvā sloga jautājumu pārskatīšana intelektuālā īpašuma nodrošināšanai” konstatēto (sk. pētījuma 100.-101.lpp.) ir nesamērīgi liels salīdzinājumā ar ieguvumu no reģistrēšanās minētajā reģistrā. Tāpat nav veikts izvērtējums attiecībā uz to, vai, ņemot vērā nesēja atlīdzības sistēmas būtību un administrēšanas apsvērumus, daļu no iekasētās nesēja atlīdzības vajadzētu novirzīt speciālam mērķfondam, kas tiktu izmantots kopējam autoru un blakustiesību subjektu labumam, piemēram, kā finansiāls atbalsts dažādu kultūras pasākumu un projektu organizēšanā.</w:t>
      </w: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Problēma:</w:t>
      </w:r>
      <w:r w:rsidRPr="00C11EDA">
        <w:rPr>
          <w:rFonts w:ascii="Times New Roman" w:eastAsia="Times New Roman" w:hAnsi="Times New Roman" w:cs="Times New Roman"/>
          <w:sz w:val="24"/>
          <w:szCs w:val="24"/>
          <w:lang w:eastAsia="lv-LV"/>
        </w:rPr>
        <w:t xml:space="preserve"> Tukšo materiālo nesēju un reproducēšanai izmantojamo iekārtu atlīdzības administrēšanas nepietiekama efektivitāte saistībā ar profesionālajiem lietotājiem un iekasētās atlīdzības sadales principu izvērtējuma trūkums.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6.1.9.</w:t>
      </w:r>
      <w:r w:rsidRPr="00C11EDA">
        <w:rPr>
          <w:rFonts w:ascii="Times New Roman" w:eastAsia="Times New Roman" w:hAnsi="Times New Roman" w:cs="Times New Roman"/>
          <w:sz w:val="24"/>
          <w:szCs w:val="24"/>
          <w:lang w:eastAsia="lv-LV"/>
        </w:rPr>
        <w:t xml:space="preserve"> Gadījumā, kad starp mantisko tiesību kolektīvā pārvaldījuma organizāciju, no vienas puses, un darbu vai blakustiesību objektu izmantotāju, no otras puses, pastāv ilgstošs strīds par minētās organizācijas noteiktajām atlīdzību likmēm (tarifiem) par darbu vai blakustiesību objektu izmantošanu, šāds strīds var kavēt darbu vai blakustiesību izmantošanu, radot negatīvu finanšu ietekmi abām strīdā iesaistītajām pusēm.</w:t>
      </w:r>
    </w:p>
    <w:p w:rsidR="00C11EDA" w:rsidRPr="00C11EDA" w:rsidRDefault="00C11EDA" w:rsidP="00C11EDA">
      <w:pPr>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Problēma:</w:t>
      </w:r>
      <w:r w:rsidRPr="00C11EDA">
        <w:rPr>
          <w:rFonts w:ascii="Times New Roman" w:eastAsia="Times New Roman" w:hAnsi="Times New Roman" w:cs="Times New Roman"/>
          <w:sz w:val="24"/>
          <w:szCs w:val="24"/>
          <w:lang w:eastAsia="lv-LV"/>
        </w:rPr>
        <w:t xml:space="preserve"> Strīdu starp mantisko tiesību kolektīvā pārvaldījuma organizācijām un darbu vai blakustiesību objektu izmantotājiem negatīvā ietekme uz darbu vai blakustiesību objektu izmantojumu.</w:t>
      </w:r>
    </w:p>
    <w:p w:rsidR="00C11EDA" w:rsidRPr="00C11EDA" w:rsidRDefault="00C11EDA" w:rsidP="00C11EDA">
      <w:pPr>
        <w:spacing w:after="0" w:line="360" w:lineRule="auto"/>
        <w:jc w:val="both"/>
        <w:rPr>
          <w:rFonts w:ascii="Times New Roman" w:eastAsia="Calibri" w:hAnsi="Times New Roman" w:cs="Times New Roman"/>
          <w:sz w:val="24"/>
          <w:szCs w:val="24"/>
          <w:lang w:eastAsia="lv-LV"/>
        </w:rPr>
      </w:pPr>
      <w:r w:rsidRPr="00C11EDA">
        <w:rPr>
          <w:rFonts w:ascii="Times New Roman" w:eastAsia="Times New Roman" w:hAnsi="Times New Roman" w:cs="Times New Roman"/>
          <w:b/>
          <w:sz w:val="24"/>
          <w:szCs w:val="24"/>
          <w:lang w:eastAsia="lv-LV"/>
        </w:rPr>
        <w:t>6.1.10.</w:t>
      </w:r>
      <w:r w:rsidRPr="00C11EDA">
        <w:rPr>
          <w:rFonts w:ascii="Times New Roman" w:eastAsia="Times New Roman" w:hAnsi="Times New Roman" w:cs="Times New Roman"/>
          <w:sz w:val="24"/>
          <w:szCs w:val="24"/>
          <w:lang w:eastAsia="lv-LV"/>
        </w:rPr>
        <w:t xml:space="preserve"> </w:t>
      </w:r>
      <w:r w:rsidRPr="00C11EDA">
        <w:rPr>
          <w:rFonts w:ascii="Times New Roman" w:eastAsia="Calibri" w:hAnsi="Times New Roman" w:cs="Times New Roman"/>
          <w:sz w:val="24"/>
          <w:szCs w:val="24"/>
          <w:lang w:eastAsia="lv-LV"/>
        </w:rPr>
        <w:t xml:space="preserve">Augu šķirņu aizsardzības likumā nav norādīta neatkarīga institūcija, kas pierādītu šķirnes identitāti. Likumā nav paredzētas tiesības Valsts augu aizsardzības dienestam ieiet privātīpašumā un veikt šķirnes identitātes pārbaudi. Šķirņu aizsardzība nozīmē, ka selekcionāram ir tiesības pretendēt uz atlīdzību par aizsargātās šķirnes tālāku izmantošanu. Latvijā, lielākā daļa no lauksaimniecībā izmantojamām platībām tiek apsētas ar aizsargāto šķirņu pašaudzēto sēklu, bet procentuāli tikai daži lauksaimnieki maksā atlīdzību selekcionāram.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Selekcionārs nevar pierādīt savas šķirnes identitāti gadījumos, ja lauksaimnieks izvairās maksāt Augu šķirņu aizsardzības likumā minēto atlīdzību par šķirnes izmantošanu.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jc w:val="both"/>
        <w:rPr>
          <w:rFonts w:ascii="Times New Roman" w:eastAsia="Times New Roman" w:hAnsi="Times New Roman" w:cs="Times New Roman"/>
          <w:sz w:val="24"/>
          <w:szCs w:val="24"/>
          <w:lang w:eastAsia="ar-SA"/>
        </w:rPr>
      </w:pPr>
      <w:r w:rsidRPr="00C11EDA">
        <w:rPr>
          <w:rFonts w:ascii="Times New Roman" w:eastAsia="Calibri" w:hAnsi="Times New Roman" w:cs="Times New Roman"/>
          <w:b/>
          <w:sz w:val="24"/>
          <w:szCs w:val="24"/>
          <w:lang w:eastAsia="lv-LV"/>
        </w:rPr>
        <w:t>6.1.11</w:t>
      </w:r>
      <w:r w:rsidRPr="00C11EDA">
        <w:rPr>
          <w:rFonts w:ascii="Times New Roman" w:eastAsia="Calibri" w:hAnsi="Times New Roman" w:cs="Times New Roman"/>
          <w:sz w:val="24"/>
          <w:szCs w:val="24"/>
          <w:lang w:eastAsia="lv-LV"/>
        </w:rPr>
        <w:t xml:space="preserve">. </w:t>
      </w:r>
      <w:r w:rsidRPr="00C11EDA">
        <w:rPr>
          <w:rFonts w:ascii="Times New Roman" w:eastAsia="Times New Roman" w:hAnsi="Times New Roman" w:cs="Times New Roman"/>
          <w:sz w:val="24"/>
          <w:szCs w:val="24"/>
          <w:lang w:eastAsia="ar-SA"/>
        </w:rPr>
        <w:t xml:space="preserve">Šobrīd nepastāv skaidrs komercnoslēpumu aizsardzības līmenis, kā arī konstatējama sadrumstalotība normatīvajā regulējumā attiecībā uz komercnoslēpuma nelikumīgu iegūšanu, izmantošanu vai izpaušanu. </w:t>
      </w:r>
    </w:p>
    <w:p w:rsidR="00C11EDA" w:rsidRPr="00C11EDA" w:rsidRDefault="00C11EDA" w:rsidP="00C11EDA">
      <w:pPr>
        <w:spacing w:after="0" w:line="360" w:lineRule="auto"/>
        <w:ind w:firstLine="720"/>
        <w:jc w:val="both"/>
        <w:rPr>
          <w:rFonts w:ascii="Times New Roman" w:eastAsia="Calibri" w:hAnsi="Times New Roman" w:cs="Times New Roman"/>
          <w:noProof/>
          <w:sz w:val="24"/>
          <w:szCs w:val="24"/>
          <w:lang w:eastAsia="en-GB"/>
        </w:rPr>
      </w:pPr>
      <w:r w:rsidRPr="00C11EDA">
        <w:rPr>
          <w:rFonts w:ascii="Times New Roman" w:eastAsia="Times New Roman" w:hAnsi="Times New Roman" w:cs="Times New Roman"/>
          <w:sz w:val="24"/>
          <w:szCs w:val="24"/>
          <w:lang w:eastAsia="ar-SA"/>
        </w:rPr>
        <w:t>Eiropas Komisija 2013.</w:t>
      </w:r>
      <w:r w:rsidR="00CC5B51">
        <w:rPr>
          <w:rFonts w:ascii="Times New Roman" w:eastAsia="Times New Roman" w:hAnsi="Times New Roman" w:cs="Times New Roman"/>
          <w:sz w:val="24"/>
          <w:szCs w:val="24"/>
          <w:lang w:eastAsia="ar-SA"/>
        </w:rPr>
        <w:t> </w:t>
      </w:r>
      <w:r w:rsidRPr="00C11EDA">
        <w:rPr>
          <w:rFonts w:ascii="Times New Roman" w:eastAsia="Times New Roman" w:hAnsi="Times New Roman" w:cs="Times New Roman"/>
          <w:sz w:val="24"/>
          <w:szCs w:val="24"/>
          <w:lang w:eastAsia="ar-SA"/>
        </w:rPr>
        <w:t>gada 4.</w:t>
      </w:r>
      <w:r w:rsidR="00CC5B51">
        <w:rPr>
          <w:rFonts w:ascii="Times New Roman" w:eastAsia="Times New Roman" w:hAnsi="Times New Roman" w:cs="Times New Roman"/>
          <w:sz w:val="24"/>
          <w:szCs w:val="24"/>
          <w:lang w:eastAsia="ar-SA"/>
        </w:rPr>
        <w:t> </w:t>
      </w:r>
      <w:r w:rsidRPr="00C11EDA">
        <w:rPr>
          <w:rFonts w:ascii="Times New Roman" w:eastAsia="Times New Roman" w:hAnsi="Times New Roman" w:cs="Times New Roman"/>
          <w:sz w:val="24"/>
          <w:szCs w:val="24"/>
          <w:lang w:eastAsia="ar-SA"/>
        </w:rPr>
        <w:t xml:space="preserve">decembrī ir nākusi klajā ar priekšlikumu </w:t>
      </w:r>
      <w:r w:rsidRPr="00C11EDA">
        <w:rPr>
          <w:rFonts w:ascii="Times New Roman" w:eastAsia="Calibri" w:hAnsi="Times New Roman" w:cs="Times New Roman"/>
          <w:sz w:val="24"/>
          <w:szCs w:val="24"/>
        </w:rPr>
        <w:t xml:space="preserve">Eiropas Parlamenta un Padomes </w:t>
      </w:r>
      <w:r w:rsidRPr="00C11EDA">
        <w:rPr>
          <w:rFonts w:ascii="Times New Roman" w:eastAsia="Calibri" w:hAnsi="Times New Roman" w:cs="Times New Roman"/>
          <w:iCs/>
          <w:sz w:val="24"/>
          <w:szCs w:val="24"/>
        </w:rPr>
        <w:t>Direktīvai</w:t>
      </w:r>
      <w:r w:rsidRPr="00C11EDA">
        <w:rPr>
          <w:rFonts w:ascii="Times New Roman" w:eastAsia="Calibri" w:hAnsi="Times New Roman" w:cs="Times New Roman"/>
          <w:iCs/>
          <w:sz w:val="24"/>
          <w:szCs w:val="24"/>
          <w:lang w:eastAsia="lv-LV"/>
        </w:rPr>
        <w:t xml:space="preserve"> par neizpaužamas zinātības un uzņēmējdarbības informācijas (komercnoslēpumu) aizsardzību pret nelikumīgu iegūšanu, izmantošanu un izpaušanu (turpmāk – Direktīva), kas ir izstrādāts, lai </w:t>
      </w:r>
      <w:r w:rsidRPr="00C11EDA">
        <w:rPr>
          <w:rFonts w:ascii="Times New Roman" w:eastAsia="Calibri" w:hAnsi="Times New Roman" w:cs="Times New Roman"/>
          <w:sz w:val="24"/>
          <w:szCs w:val="24"/>
          <w:lang w:eastAsia="lv-LV"/>
        </w:rPr>
        <w:t>uzlabotu nosacījumus novatoriskai uzņēmējdarbībai visā Eiropas Savienībā, tādējādi samazinot tiesiskās aizsardzības sadrumstalotību Eiropas Savienībā, ko veido atšķirības Eiropas Savienības dalībvalstu komercnosl</w:t>
      </w:r>
      <w:r w:rsidR="00CC5B51">
        <w:rPr>
          <w:rFonts w:ascii="Times New Roman" w:eastAsia="Calibri" w:hAnsi="Times New Roman" w:cs="Times New Roman"/>
          <w:sz w:val="24"/>
          <w:szCs w:val="24"/>
          <w:lang w:eastAsia="lv-LV"/>
        </w:rPr>
        <w:t xml:space="preserve">ēpumu aizsardzības jomā, kā arī, </w:t>
      </w:r>
      <w:r w:rsidRPr="00C11EDA">
        <w:rPr>
          <w:rFonts w:ascii="Times New Roman" w:eastAsia="Calibri" w:hAnsi="Times New Roman" w:cs="Times New Roman"/>
          <w:sz w:val="24"/>
          <w:szCs w:val="24"/>
          <w:lang w:eastAsia="lv-LV"/>
        </w:rPr>
        <w:t>veicinot inovāciju, lai</w:t>
      </w:r>
      <w:r w:rsidRPr="00C11EDA">
        <w:rPr>
          <w:rFonts w:ascii="Times New Roman" w:eastAsia="Calibri" w:hAnsi="Times New Roman" w:cs="Times New Roman"/>
          <w:noProof/>
          <w:sz w:val="24"/>
          <w:szCs w:val="24"/>
          <w:lang w:eastAsia="en-GB"/>
        </w:rPr>
        <w:t xml:space="preserve"> uzlabotu komercnoslēpuma tiesisko aizsardzību pret piesavināšanos visā iekšējā tirgū.</w:t>
      </w:r>
    </w:p>
    <w:p w:rsidR="00C11EDA" w:rsidRPr="00C11EDA" w:rsidRDefault="00C11EDA" w:rsidP="00C11EDA">
      <w:pPr>
        <w:spacing w:after="0" w:line="360" w:lineRule="auto"/>
        <w:ind w:firstLine="720"/>
        <w:jc w:val="both"/>
        <w:rPr>
          <w:rFonts w:ascii="Times New Roman" w:eastAsia="Calibri" w:hAnsi="Times New Roman" w:cs="Times New Roman"/>
          <w:noProof/>
          <w:sz w:val="24"/>
          <w:szCs w:val="24"/>
          <w:lang w:eastAsia="en-GB"/>
        </w:rPr>
      </w:pPr>
      <w:r w:rsidRPr="00C11EDA">
        <w:rPr>
          <w:rFonts w:ascii="Times New Roman" w:eastAsia="Calibri" w:hAnsi="Times New Roman" w:cs="Times New Roman"/>
          <w:noProof/>
          <w:sz w:val="24"/>
          <w:szCs w:val="24"/>
          <w:lang w:eastAsia="en-GB"/>
        </w:rPr>
        <w:t>Ņemot vērā minēto, kā arī vadoties no lietderības apsvērumiem, Latvija pārskatīs normatīvo regulējumu attiecībā uz komercnoslēpuma tiesisko aizsardzību, transponējot Direktīvu, tādējādi nodrošinot vienotu regulējumu komercnoslēpumu aizsardzības jautājumā Eiropas Savienības līmenī.</w:t>
      </w:r>
    </w:p>
    <w:p w:rsidR="00C11EDA" w:rsidRPr="00C11EDA" w:rsidRDefault="00C11EDA" w:rsidP="00C11EDA">
      <w:pPr>
        <w:spacing w:line="360" w:lineRule="auto"/>
        <w:ind w:firstLine="720"/>
        <w:jc w:val="both"/>
        <w:rPr>
          <w:rFonts w:ascii="Times New Roman" w:eastAsia="Calibri" w:hAnsi="Times New Roman" w:cs="Times New Roman"/>
          <w:noProof/>
          <w:sz w:val="24"/>
          <w:szCs w:val="24"/>
          <w:lang w:eastAsia="en-GB"/>
        </w:rPr>
      </w:pPr>
      <w:r w:rsidRPr="00C11EDA">
        <w:rPr>
          <w:rFonts w:ascii="Times New Roman" w:eastAsia="Calibri" w:hAnsi="Times New Roman" w:cs="Times New Roman"/>
          <w:b/>
          <w:noProof/>
          <w:sz w:val="24"/>
          <w:szCs w:val="24"/>
          <w:lang w:eastAsia="en-GB"/>
        </w:rPr>
        <w:t>Problēma:</w:t>
      </w:r>
      <w:r w:rsidRPr="00C11EDA">
        <w:rPr>
          <w:rFonts w:ascii="Times New Roman" w:eastAsia="Calibri" w:hAnsi="Times New Roman" w:cs="Times New Roman"/>
          <w:noProof/>
          <w:sz w:val="24"/>
          <w:szCs w:val="24"/>
          <w:lang w:eastAsia="en-GB"/>
        </w:rPr>
        <w:t xml:space="preserve"> Nepietiekams un sadrumstalots tiesiskais regulējums attiecībā uz komercnoslēpuma nelikumīgu iegūšanu, izmantošanu un izpaušanu.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6.1.12.</w:t>
      </w:r>
      <w:r w:rsidRPr="00C11EDA">
        <w:rPr>
          <w:rFonts w:ascii="Times New Roman" w:eastAsia="Calibri" w:hAnsi="Times New Roman" w:cs="Times New Roman"/>
          <w:sz w:val="24"/>
          <w:szCs w:val="24"/>
          <w:lang w:eastAsia="lv-LV"/>
        </w:rPr>
        <w:t xml:space="preserve"> Tiesībaizsardzības iestādēm nav vienotas izpratnes par likuma „Par Krimināllikuma spēkā stāšanās un piemērošanas kārtību” 23. pantā esošā atklātā juridiskā jēdziena „būtisks kaitējums” piemērošanu attiecībā uz intelektuālā īpašuma tiesību aizskārumiem. „Būtisks kaitējums” </w:t>
      </w:r>
      <w:r w:rsidRPr="00C11EDA">
        <w:rPr>
          <w:rFonts w:ascii="Times New Roman" w:eastAsia="Calibri" w:hAnsi="Times New Roman" w:cs="Times New Roman"/>
          <w:sz w:val="24"/>
          <w:szCs w:val="24"/>
        </w:rPr>
        <w:t>ir tāds atklātais juridiskais jēdziens, kurš interpretētājam ir jānoskaidro likuma un konkrētā gadījuma kontekstā.</w:t>
      </w:r>
      <w:r w:rsidRPr="00C11EDA">
        <w:rPr>
          <w:rFonts w:ascii="Times New Roman" w:eastAsia="Calibri" w:hAnsi="Times New Roman" w:cs="Times New Roman"/>
          <w:sz w:val="24"/>
          <w:szCs w:val="24"/>
          <w:lang w:eastAsia="lv-LV"/>
        </w:rPr>
        <w:t xml:space="preserve"> </w:t>
      </w:r>
      <w:r w:rsidRPr="00C11EDA">
        <w:rPr>
          <w:rFonts w:ascii="Times New Roman" w:eastAsia="Calibri" w:hAnsi="Times New Roman" w:cs="Times New Roman"/>
          <w:sz w:val="24"/>
          <w:szCs w:val="24"/>
        </w:rPr>
        <w:t xml:space="preserve">Tātad, lai noskaidrotu, kas ir „būtisks kaitējums”, likuma piemērotājam ir jāanalizē konkrētas tiesību normas konteksts un konkrētais gadījums. Līdz šim nav izveidojusies vienota prakse, kas ļautu atzīt atklātā juridiskā jēdziena „būtisks kaitējums” vienveidīgu piemērošanu, līdz ar to ir apgrūtināta šī jēdziena </w:t>
      </w:r>
      <w:proofErr w:type="spellStart"/>
      <w:r w:rsidRPr="00C11EDA">
        <w:rPr>
          <w:rFonts w:ascii="Times New Roman" w:eastAsia="Calibri" w:hAnsi="Times New Roman" w:cs="Times New Roman"/>
          <w:sz w:val="24"/>
          <w:szCs w:val="24"/>
        </w:rPr>
        <w:t>kazuistiskā</w:t>
      </w:r>
      <w:proofErr w:type="spellEnd"/>
      <w:r w:rsidRPr="00C11EDA">
        <w:rPr>
          <w:rFonts w:ascii="Times New Roman" w:eastAsia="Calibri" w:hAnsi="Times New Roman" w:cs="Times New Roman"/>
          <w:sz w:val="24"/>
          <w:szCs w:val="24"/>
        </w:rPr>
        <w:t xml:space="preserve"> konkretizēšana. Šī neviennozīmīgā tiesu prakse ir būtisks indikators jēdziena „būtisks kaitējums” neatbilstošai izpratnei. Tiesību normas piemērotāja uzdevums ir normu interpretēt tā, ka šī norma attiecināma tikai uz tādām situācijām, kad, piemērojot tai paredzētās sekas, tās individuālā gadījumā vēl ir (pietiekami) taisnīgas. Lai veiktu pareizu tiesību normu interpretāciju, rezultāts ir jāatrod saskaņā ar atzītajām tiesību normu interpretācijas pamatmetodēm (gramatiskā, vēsturiskā, sistēmiskā un teleoloģiskā metode).</w:t>
      </w:r>
      <w:r w:rsidRPr="00C11EDA">
        <w:rPr>
          <w:rFonts w:ascii="Times New Roman" w:eastAsia="Calibri" w:hAnsi="Times New Roman" w:cs="Times New Roman"/>
          <w:sz w:val="24"/>
          <w:szCs w:val="24"/>
          <w:vertAlign w:val="superscript"/>
        </w:rPr>
        <w:footnoteReference w:id="11"/>
      </w:r>
      <w:r w:rsidRPr="00C11EDA">
        <w:rPr>
          <w:rFonts w:ascii="Times New Roman" w:eastAsia="Calibri" w:hAnsi="Times New Roman" w:cs="Times New Roman"/>
          <w:sz w:val="24"/>
          <w:szCs w:val="24"/>
        </w:rPr>
        <w:t xml:space="preserve"> Taču, ja izmantojot visas šīs metodes, tiesību, piemērotājs nenonāk pie taisnīga un loģiska risinājuma, ir jāvērtē, vai tiesību norma nesatur tik būtiskus trūkumus, ka tās piemērošana ir neatbilstoša likumdevēja mērķim. Tāpēc būtu jāizvērtē likuma „Par Krimināllikuma spēkā stāšanās un piemērošanas kārtību” 23.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pantā ietvertā jēdziena „būtisks kaitējums” rediģēšana, jo pašreizējā redakcijā šis atklātais juridiskais jēdziens bieži ir kriminālprocesa izbeigšanas pamats, turklāt rodas šaubas, vai šāds lietas atrisinājums atbilst konkrētās tiesību normas mērķim.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highlight w:val="cyan"/>
          <w:lang w:eastAsia="lv-LV"/>
        </w:rPr>
      </w:pPr>
      <w:r w:rsidRPr="00C11EDA">
        <w:rPr>
          <w:rFonts w:ascii="Times New Roman" w:eastAsia="Calibri" w:hAnsi="Times New Roman" w:cs="Times New Roman"/>
          <w:sz w:val="24"/>
          <w:szCs w:val="24"/>
        </w:rPr>
        <w:t xml:space="preserve">Krimināllikuma 148.panta pirmā daļa paredz sodu par autortiesību un blakustiesību pārkāpšanu, ja ar to radīts būtisks kaitējums ar likumu aizsargātām personas tiesībām un interesēm. </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Likuma “Par </w:t>
      </w:r>
      <w:hyperlink r:id="rId11" w:history="1">
        <w:r w:rsidRPr="00C11EDA">
          <w:rPr>
            <w:rFonts w:ascii="Times New Roman" w:eastAsia="Calibri" w:hAnsi="Times New Roman" w:cs="Times New Roman"/>
            <w:sz w:val="24"/>
            <w:szCs w:val="24"/>
          </w:rPr>
          <w:t>Krimināllikuma</w:t>
        </w:r>
      </w:hyperlink>
      <w:r w:rsidRPr="00C11EDA">
        <w:rPr>
          <w:rFonts w:ascii="Times New Roman" w:eastAsia="Calibri" w:hAnsi="Times New Roman" w:cs="Times New Roman"/>
          <w:sz w:val="24"/>
          <w:szCs w:val="24"/>
        </w:rPr>
        <w:t xml:space="preserve"> spēkā stāšanās un piemērošanas kārtību”  </w:t>
      </w:r>
      <w:proofErr w:type="gramStart"/>
      <w:r w:rsidRPr="00C11EDA">
        <w:rPr>
          <w:rFonts w:ascii="Times New Roman" w:eastAsia="Calibri" w:hAnsi="Times New Roman" w:cs="Times New Roman"/>
          <w:sz w:val="24"/>
          <w:szCs w:val="24"/>
        </w:rPr>
        <w:t>23.pants</w:t>
      </w:r>
      <w:proofErr w:type="gramEnd"/>
      <w:r w:rsidRPr="00C11EDA">
        <w:rPr>
          <w:rFonts w:ascii="Times New Roman" w:eastAsia="Calibri" w:hAnsi="Times New Roman" w:cs="Times New Roman"/>
          <w:sz w:val="24"/>
          <w:szCs w:val="24"/>
        </w:rPr>
        <w:t xml:space="preserve"> nosaka, ka atbildība par </w:t>
      </w:r>
      <w:hyperlink r:id="rId12" w:history="1">
        <w:r w:rsidRPr="00C11EDA">
          <w:rPr>
            <w:rFonts w:ascii="Times New Roman" w:eastAsia="Calibri" w:hAnsi="Times New Roman" w:cs="Times New Roman"/>
            <w:sz w:val="24"/>
            <w:szCs w:val="24"/>
          </w:rPr>
          <w:t>Krimināllikumā</w:t>
        </w:r>
      </w:hyperlink>
      <w:r w:rsidRPr="00C11EDA">
        <w:rPr>
          <w:rFonts w:ascii="Times New Roman" w:eastAsia="Calibri" w:hAnsi="Times New Roman" w:cs="Times New Roman"/>
          <w:sz w:val="24"/>
          <w:szCs w:val="24"/>
        </w:rPr>
        <w:t xml:space="preserve"> paredzēto noziedzīgo nodarījumu, ar kuru radīts būtisks kaitējums, iestājas, ja:</w:t>
      </w:r>
    </w:p>
    <w:p w:rsidR="00C11EDA" w:rsidRPr="00C11EDA" w:rsidRDefault="00C11EDA" w:rsidP="00C11EDA">
      <w:pPr>
        <w:numPr>
          <w:ilvl w:val="0"/>
          <w:numId w:val="31"/>
        </w:num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noziedzīgā nodarījuma rezultātā ne vien nodarīts ievērojams mantiskais zaudējums (piecu minimālo mēnešalgu apmērā),</w:t>
      </w:r>
    </w:p>
    <w:p w:rsidR="00C11EDA" w:rsidRPr="00C11EDA" w:rsidRDefault="00C11EDA" w:rsidP="00C11EDA">
      <w:pPr>
        <w:numPr>
          <w:ilvl w:val="0"/>
          <w:numId w:val="31"/>
        </w:num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bet arī apdraudētas vēl citas ar likumu aizsargātās intereses un tiesības.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Panta trešā daļa savukārt nosaka, ka noziedzīgo nodarījumu rezultātā ar likumu aizsargāto interešu un tiesību apdraudējuma kritērijus var noteikt šā likuma pielikumos. Likuma pielikumā šie kritēriji nav noteikti. Taču tiesā gan prokuroram, gan aizskarto tiesību īpašniekam ir jāpierāda ne tikai tiesību aizskāruma rezultātā radušies zaudējumi, bet arī vēl citas aizskartās tiesības un intereses, tātad ne tikai mantiskās vērtības. Tas ir apgrūtinoši, jo komersantam, kura intelektuālā īpašuma tiesības ir aizskartas un kura darbības mērķis ir peļņas gūšana, aizskartās intereses visbiežāk arī būs ievērojams mantiskais zaudējums, kas būtiski aizskars viņa ar likumu aizsargātās intereses un tiesības. Arī gadījumos, kad ir iespējams pierādīt citas aizskartās intereses, piemēram, komersanta reputācijas graušanu, patērētāju tiesību apdraudējumu u.tml., ne vienmēr tas tiek atzīts par pietiekošu apdraudējumu un nereti noved pie apstrīdama sprieduma.</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Likuma „Par Krimināllikuma spēkā stāšanās un piemērošanas kārtību” 23. panta jēdziens „būtisks kaitējums” iespējamā atklātās tiesiskās situācijas neprecīzā satura piepildīšana attiecībā uz intelektuālā īpašuma tiesībām.</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3" w:name="_Toc365544734"/>
      <w:r w:rsidRPr="00C11EDA">
        <w:rPr>
          <w:rFonts w:ascii="Times New Roman" w:eastAsia="Times New Roman" w:hAnsi="Times New Roman" w:cs="Times New Roman"/>
          <w:b/>
          <w:bCs/>
          <w:sz w:val="24"/>
          <w:szCs w:val="24"/>
          <w:lang w:val="x-none"/>
        </w:rPr>
        <w:t>6.2. Nepilnības sabiedrības un uzņēmēju izglītības un informēšanas jomā</w:t>
      </w:r>
      <w:bookmarkEnd w:id="23"/>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bookmarkEnd w:id="21"/>
    <w:bookmarkEnd w:id="22"/>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6.2.1.</w:t>
      </w:r>
      <w:r w:rsidRPr="00C11EDA">
        <w:rPr>
          <w:rFonts w:ascii="Times New Roman" w:eastAsia="Calibri" w:hAnsi="Times New Roman" w:cs="Times New Roman"/>
          <w:sz w:val="24"/>
          <w:szCs w:val="24"/>
          <w:lang w:eastAsia="lv-LV"/>
        </w:rPr>
        <w:t xml:space="preserve"> Lai nodrošinātu kvalitatīvu intelektuālā īpašuma tiesību normu piemērošanu un līdz ar to efektīvu un progresīvu intelektuālā īpašuma tiesību realizāciju, būtiska ir tiesību aizsardzības iestāžu darbinieku izglītība intelektuālā īpašuma tiesību jomā, tai skaitā, periodiska kvalifikācijas paaugstināšana un apmācības kursu un semināru organizēšana. Speciālistu zināšanas par intelektuālo īpašumu nav pietiekamas, taču tās ir būtiskas intelektuālā īpašuma tiesību aizsardzībai.</w:t>
      </w:r>
    </w:p>
    <w:p w:rsidR="00C11EDA" w:rsidRPr="00C11EDA" w:rsidRDefault="00C11EDA" w:rsidP="00C11EDA">
      <w:pPr>
        <w:spacing w:after="0" w:line="360" w:lineRule="auto"/>
        <w:ind w:firstLine="720"/>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sz w:val="24"/>
          <w:szCs w:val="24"/>
          <w:lang w:eastAsia="lv-LV"/>
        </w:rPr>
        <w:t>Tā kā tiesnešiem nav pietiekošas izpratnes un zināšanu par intelektuālā īpašuma tiesībām, veidojas neviendabīga tiesu prakse intelektuālā īpašuma tiesību jomā, atstājot sekas attiecībā uz tiesiskās paļāvības un tiesiskās noteiktības principu. Tiesnešiem kopumā nav homogēnas izpratnes, kas pamatojas uz zināšanu nepietiekamību intelektuālā īpašuma tiesību jautājumos.</w:t>
      </w:r>
      <w:r w:rsidRPr="00C11EDA">
        <w:rPr>
          <w:rFonts w:ascii="Times New Roman" w:eastAsia="Calibri" w:hAnsi="Times New Roman" w:cs="Times New Roman"/>
          <w:b/>
          <w:sz w:val="24"/>
          <w:szCs w:val="24"/>
          <w:lang w:eastAsia="lv-LV"/>
        </w:rPr>
        <w:t xml:space="preserve"> </w:t>
      </w:r>
      <w:r w:rsidRPr="00C11EDA">
        <w:rPr>
          <w:rFonts w:ascii="Times New Roman" w:eastAsia="Calibri" w:hAnsi="Times New Roman" w:cs="Times New Roman"/>
          <w:sz w:val="24"/>
          <w:szCs w:val="24"/>
          <w:lang w:eastAsia="lv-LV"/>
        </w:rPr>
        <w:t xml:space="preserve">Arī tiesībsargājošo institūciju darbiniekiem trūkst zināšanu intelektuālā īpašuma tiesību aizsardzības jomā, tai skaitā par </w:t>
      </w:r>
      <w:r w:rsidRPr="00C11EDA">
        <w:rPr>
          <w:rFonts w:ascii="Times New Roman" w:eastAsia="Calibri" w:hAnsi="Times New Roman" w:cs="Times New Roman"/>
          <w:sz w:val="24"/>
          <w:szCs w:val="24"/>
        </w:rPr>
        <w:t>autoru personisko tiesību būtību un saturu, aizsardzības līdzekļu efektīvāku piemērošanu intelektuālā īpašuma tiesību pārkāpuma gadījumā, piemēram, saistībā ar licences maksas noteikšanu vairākkārtējā apmērā, kā arī zaudējumu atlīdzību un licences maksas piemērošanu.</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Galvenās grupas, kurām jāpievērš uzmanība turpmākajos izglītošanas pasākumos, ir muitas darbinieki, tiesneši, policijas darbinieki un prokurori.</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 xml:space="preserve">Tiesībsargājošo institūciju darbiniekiem un tiesnešiem ir nepietiekamas zināšanas intelektuālā īpašuma aizsardzības jomā.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6.2.2.</w:t>
      </w:r>
      <w:r w:rsidRPr="00C11EDA">
        <w:rPr>
          <w:rFonts w:ascii="Times New Roman" w:eastAsia="Calibri" w:hAnsi="Times New Roman" w:cs="Times New Roman"/>
          <w:sz w:val="24"/>
          <w:szCs w:val="24"/>
          <w:lang w:eastAsia="lv-LV"/>
        </w:rPr>
        <w:t xml:space="preserve"> Intelektuālā īpašuma jomas speciālistiem, kā arī ar šo jomu saistītajai sabiedrības daļai (autoriem, uzņēmējiem, zvērinātiem advokātiem, profesionālajiem patentpilnvarotajiem) nav pietiekošas zināšanas par aktualitātēm Eiropas Savienības tiesas praksē, kā arī par nacionālo tiesību aktu intelektuālā īpašuma jomā saturu un piemērošanas kritērijiem.</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Iesaistītās sabiedrības zināšanas intelektuālā īpašuma tiesību un to aizsardzības jomā ir nepietiekamas.</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6.2.3.</w:t>
      </w:r>
      <w:r w:rsidRPr="00C11EDA">
        <w:rPr>
          <w:rFonts w:ascii="Times New Roman" w:eastAsia="Calibri" w:hAnsi="Times New Roman" w:cs="Times New Roman"/>
          <w:sz w:val="24"/>
          <w:szCs w:val="24"/>
          <w:lang w:eastAsia="lv-LV"/>
        </w:rPr>
        <w:t xml:space="preserve"> Sabiedrības neinformētība par intelektuālā īpašuma jomas jautājumiem rada problemātiskumu veiksmīgai intelektuālā īpašuma aizsardzībai, kā arī ir liek šķēršļus inovāciju radīšanai.</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ab/>
      </w:r>
      <w:r w:rsidRPr="00C11EDA">
        <w:rPr>
          <w:rFonts w:ascii="Times New Roman" w:eastAsia="Calibri" w:hAnsi="Times New Roman" w:cs="Times New Roman"/>
          <w:sz w:val="24"/>
          <w:szCs w:val="24"/>
          <w:lang w:eastAsia="lv-LV"/>
        </w:rPr>
        <w:t>Intelektuālā īpašuma tiesību pārkāpumu skaits negatīvi ietekmē kopējos ekonomiskos rādītājus, kas balstīti uz inovatīvu tehnoloģisko attīstību valstī. Sabiedrībai netiek pastāvīgi sniegta vispusīga informācija par aktuālākajām norisēm intelektuālā īpašuma tiesību jomā.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Pastāv atsevišķa mācību literatūra latviešu valodā intelektuālā īpašuma tiesību jomā, kā arī lakoniski raksti uzņēmējiem, taču nav sistemātiskas, mērķtiecīgas sabiedrības informēšanas programmas.</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 xml:space="preserve">Problēma: </w:t>
      </w:r>
      <w:r w:rsidRPr="00C11EDA">
        <w:rPr>
          <w:rFonts w:ascii="Times New Roman" w:eastAsia="Calibri" w:hAnsi="Times New Roman" w:cs="Times New Roman"/>
          <w:sz w:val="24"/>
          <w:szCs w:val="24"/>
          <w:lang w:eastAsia="lv-LV"/>
        </w:rPr>
        <w:t>Sabiedrībai netiek pilnvērtīgi sniegta informācija par intelektuālā īpašuma jautājumiem. Nepieciešams paplašināt informācijas un komunikācijas kanālus.</w:t>
      </w:r>
      <w:r w:rsidRPr="00C11EDA">
        <w:rPr>
          <w:rFonts w:ascii="Times New Roman" w:eastAsia="Calibri" w:hAnsi="Times New Roman" w:cs="Times New Roman"/>
          <w:b/>
          <w:sz w:val="24"/>
          <w:szCs w:val="24"/>
          <w:lang w:eastAsia="lv-LV"/>
        </w:rPr>
        <w:t xml:space="preserve"> </w:t>
      </w:r>
      <w:r w:rsidRPr="00C11EDA">
        <w:rPr>
          <w:rFonts w:ascii="Times New Roman" w:eastAsia="Calibri" w:hAnsi="Times New Roman" w:cs="Times New Roman"/>
          <w:sz w:val="24"/>
          <w:szCs w:val="24"/>
          <w:lang w:eastAsia="lv-LV"/>
        </w:rPr>
        <w:t>Trūkst drukātu informatīvo materiālu (gan vispārīga rakstura, gan konkrētai mērķauditorijai), sabiedrībai viegli pieejami informācijas resursi intelektuālā īpašuma tiesību jomā.</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6.2.4.</w:t>
      </w:r>
      <w:r w:rsidRPr="00C11EDA">
        <w:rPr>
          <w:rFonts w:ascii="Times New Roman" w:eastAsia="Calibri" w:hAnsi="Times New Roman" w:cs="Times New Roman"/>
          <w:sz w:val="24"/>
          <w:szCs w:val="24"/>
          <w:lang w:eastAsia="lv-LV"/>
        </w:rPr>
        <w:t> Konkrētas tiesību nozares nolēmumu apkopojums dod iespēju ieinteresētajām personām iegūt informāciju par tiesību pārkāpumiem un to sekām, līdz ar to arī paplašinot zināšanas nozares normatīvo aktu piemērošanā. Tiesu prakse ir nozīmīgs tiesību palīgavots, jo</w:t>
      </w:r>
      <w:r w:rsidRPr="00C11EDA">
        <w:rPr>
          <w:rFonts w:ascii="Times New Roman" w:eastAsia="Calibri" w:hAnsi="Times New Roman" w:cs="Times New Roman"/>
          <w:sz w:val="24"/>
          <w:szCs w:val="24"/>
        </w:rPr>
        <w:t xml:space="preserve"> tiesas nolēmums var ietvert jaunas, vērtīgas un turpmākajam pielietojumam derīgas juridiskas atziņas. Lai gan elektroniski ir pieejams Augstākās tiesas prakses apkopojums par strīdiem preču zīmju lietās, tajā analizēti tiesu nolēmumi, kas pieņemti posmā no 2003.–2006. gadam.</w:t>
      </w:r>
      <w:r w:rsidRPr="00C11EDA">
        <w:rPr>
          <w:rFonts w:ascii="Times New Roman" w:eastAsia="Calibri" w:hAnsi="Times New Roman" w:cs="Times New Roman"/>
          <w:sz w:val="24"/>
          <w:szCs w:val="24"/>
          <w:vertAlign w:val="superscript"/>
        </w:rPr>
        <w:footnoteReference w:id="12"/>
      </w:r>
      <w:r w:rsidRPr="00C11EDA">
        <w:rPr>
          <w:rFonts w:ascii="Times New Roman" w:eastAsia="Calibri" w:hAnsi="Times New Roman" w:cs="Times New Roman"/>
          <w:sz w:val="24"/>
          <w:szCs w:val="24"/>
        </w:rPr>
        <w:t xml:space="preserve"> Latvijā nav sabiedrībai pieejams visaptverošs intelektuālā īpašuma tiesību nozares tiesu nolēmumu apkopojums, kurā tiktu apskatīti plašākā laika periodā pieņemti nolēmumi. Šāds nolēmumu apkopojums sniegtu iespēju ieinteresētajai sabiedrībai iegūt informāciju par intelektuālā īpašuma tiesību jautājumiem, kuri bieži satur tādas atvērtās un vērtējamās juridiskās situācijas, kuru izpratnei ir nepieciešams zināt tiesu praksi. Nav arī nodrošināta publiska pieeja tiesas nolēmumiem, kuros skatīti strīdi par rūpniecisko īpašumu.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b/>
        <w:t>Nav nodrošināts datu apkopojums ar statistikas informāciju par administratīvajiem pārkāpumiem un noziedzīgiem nodarījumiem intelektuālā īpašuma tiesību jomā. Šāda informācija ir noderīga situācijas analīzei intelektuālā īpašuma jomā attiecībā uz izdarītajiem pārkāpumiem, attiecīgi no pārkāpumu skaita ir iespējams izvērtēt normatīvā regulējuma trūkumus un plānot turpmāko politiku attiecībā uz intelektuālā īpašuma tiesību aizsardzību. Statistiskie dati raksturo pētāmās parādības stāvokli, līmeni, tās attīstību konkrētajā laikā un vietā, kā arī kvalitatīvas pārmaiņas attīstības procesā. Statistika atklāj sabiedrības masveida parādību kopumu un procesu stāvokļus, pārmaiņas un savstarpējās sakarības kā arī atklāj, un izzina ar tām saistītās likumsakarības. Statistikas dati noder arī intelektuālā īpašuma īpašniekiem intelektuālā īpašuma tiesību stabilitātes valstī apzināšanai un attiecīgi secinājumu izdarīšanai par nepieciešamību reģistrēt intelektuālo īpašumu, lai nodrošinātu tā aizsardzību. Statistika sniedz informāciju par situāciju konkrētā valstī, no kuras var secināt, cik droša tiesiskā vide valstī ir attiecībā uz konkrētu tiesību izlietošanu. Tātad šādas informācijas nodrošināšana ir gan valsts, gan sabiedrības interesēs, tādējādi gan normatīvo aktu izstrādātāji, gan arī personas, kuras ir ieinteresētas intelektuālā īpašuma tiesību jautājumos, spēj izzināt situāciju valstī un plānot savu turpmāko darbību.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xml:space="preserve"> S</w:t>
      </w:r>
      <w:r w:rsidRPr="00C11EDA">
        <w:rPr>
          <w:rFonts w:ascii="Times New Roman" w:eastAsia="Calibri" w:hAnsi="Times New Roman" w:cs="Times New Roman"/>
          <w:sz w:val="24"/>
          <w:szCs w:val="24"/>
          <w:lang w:eastAsia="lv-LV"/>
        </w:rPr>
        <w:t>abiedrībai nav nodrošināta pieeja tiesu nolēmumiem intelektuālā īpašuma tiesību lietās apkopojumam, kā arī nav pieejams statistikas datu apkopojums, kurā būtu apkopoti dati par administratīvajiem pārkāpumiem un noziedzīgajiem nodarījumiem intelektuālā īpašuma tiesību jomā.</w:t>
      </w:r>
    </w:p>
    <w:p w:rsidR="00C11EDA" w:rsidRPr="00C11EDA" w:rsidRDefault="00C11EDA" w:rsidP="00C11EDA">
      <w:pPr>
        <w:spacing w:after="0" w:line="360" w:lineRule="auto"/>
        <w:contextualSpacing/>
        <w:jc w:val="both"/>
        <w:rPr>
          <w:rFonts w:ascii="Times New Roman" w:eastAsia="Calibri" w:hAnsi="Times New Roman" w:cs="Times New Roman"/>
          <w:b/>
          <w:sz w:val="24"/>
          <w:szCs w:val="24"/>
          <w:lang w:eastAsia="lv-LV"/>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lang w:eastAsia="lv-LV"/>
        </w:rPr>
        <w:t>6.2.5.</w:t>
      </w:r>
      <w:r w:rsidRPr="00C11EDA">
        <w:rPr>
          <w:rFonts w:ascii="Times New Roman" w:eastAsia="Calibri" w:hAnsi="Times New Roman" w:cs="Times New Roman"/>
          <w:sz w:val="24"/>
          <w:szCs w:val="24"/>
          <w:lang w:eastAsia="lv-LV"/>
        </w:rPr>
        <w:t xml:space="preserve"> Lai nodrošinātu atbilstošu zināšanu līmeni par intelektuālā īpašuma jautājumiem bērnu un jauniešu vidū, ir nepieciešams pastāvīgi izglītot vispārizglītojošo skolu skolniekus, kā arī tiesību zinātņu, sociālo zinātņu (ekonomika), tehnisko specialitāšu un mākslas zinātņu studentus intelektuālā īpašuma tiesību jautājumos (intelektuālā īpašuma tiesību jomas pamatprincipi, intelektuālā īpašuma loma valsts ekonomiskajā attīstībā, intelektuālā īpašuma tiesību pārkāpumi un to tiesiskās sekas). </w:t>
      </w:r>
      <w:r w:rsidRPr="00C11EDA">
        <w:rPr>
          <w:rFonts w:ascii="Times New Roman" w:eastAsia="Calibri" w:hAnsi="Times New Roman" w:cs="Times New Roman"/>
          <w:sz w:val="24"/>
          <w:szCs w:val="24"/>
        </w:rPr>
        <w:t>Augstskolas tiek uzskatītas par svarīgu posmu gan nākamo speciālistu sagatavošanai, gan arī inovāciju izstrādei, un ir nepieciešams veicināt izpratni par intelektuālo īpašumu šajā etapā.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Lai īstenotu šo uzdevumu, Eiropas Patentu iestāde</w:t>
      </w:r>
      <w:r w:rsidRPr="00C11EDA">
        <w:rPr>
          <w:rFonts w:ascii="Times New Roman" w:eastAsia="Times New Roman" w:hAnsi="Times New Roman" w:cs="Times New Roman"/>
          <w:sz w:val="24"/>
          <w:szCs w:val="24"/>
        </w:rPr>
        <w:t xml:space="preserve"> </w:t>
      </w:r>
      <w:r w:rsidRPr="00C11EDA">
        <w:rPr>
          <w:rFonts w:ascii="Times New Roman" w:eastAsia="Calibri" w:hAnsi="Times New Roman" w:cs="Times New Roman"/>
          <w:sz w:val="24"/>
          <w:szCs w:val="24"/>
        </w:rPr>
        <w:t xml:space="preserve">uzsāka projektu </w:t>
      </w:r>
      <w:r w:rsidRPr="00C11EDA">
        <w:rPr>
          <w:rFonts w:ascii="Times New Roman" w:eastAsia="Calibri" w:hAnsi="Times New Roman" w:cs="Times New Roman"/>
          <w:i/>
          <w:sz w:val="24"/>
          <w:szCs w:val="24"/>
        </w:rPr>
        <w:t>Intelektuālā īpašuma izglītības veicināšana augstskolās</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 xml:space="preserve">Projekta mērķis ir veicināt intelektuālā īpašuma zināšanu izplatīšanu universitātēs. Projekta īstenošanas </w:t>
      </w:r>
      <w:r w:rsidRPr="00C11EDA">
        <w:rPr>
          <w:rFonts w:ascii="Times New Roman" w:eastAsia="Calibri" w:hAnsi="Times New Roman" w:cs="Times New Roman"/>
          <w:i/>
          <w:sz w:val="24"/>
          <w:szCs w:val="24"/>
        </w:rPr>
        <w:t>Ceļa karte</w:t>
      </w:r>
      <w:r w:rsidRPr="00C11EDA">
        <w:rPr>
          <w:rFonts w:ascii="Times New Roman" w:eastAsia="Calibri" w:hAnsi="Times New Roman" w:cs="Times New Roman"/>
          <w:sz w:val="24"/>
          <w:szCs w:val="24"/>
        </w:rPr>
        <w:t xml:space="preserve"> paredz pasākumu un aktivitāšu kopumu katrai valstij šī mērķa īstenošanai. </w:t>
      </w:r>
    </w:p>
    <w:p w:rsidR="00C11EDA" w:rsidRPr="00C11EDA" w:rsidRDefault="00C11EDA" w:rsidP="00C11EDA">
      <w:pPr>
        <w:spacing w:after="0" w:line="360" w:lineRule="auto"/>
        <w:ind w:firstLine="720"/>
        <w:contextualSpacing/>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Šobrīd Latvijā ir izveidots intelektuālā īpašuma pasniedzēju tīkls notiek pasniedzēju apmācības un diskusijas par intelektuālā īpašuma apmācību ieviešanu Latvijas augstskolās, pasniedzēji tiek regulāri informēti par jomas aktualitātēm, ir izveidota darba grupa </w:t>
      </w:r>
      <w:r w:rsidRPr="00C11EDA">
        <w:rPr>
          <w:rFonts w:ascii="Times New Roman" w:eastAsia="Calibri" w:hAnsi="Times New Roman" w:cs="Times New Roman"/>
          <w:i/>
          <w:sz w:val="24"/>
          <w:szCs w:val="24"/>
        </w:rPr>
        <w:t>Ceļa kartē</w:t>
      </w:r>
      <w:r w:rsidRPr="00C11EDA">
        <w:rPr>
          <w:rFonts w:ascii="Times New Roman" w:eastAsia="Calibri" w:hAnsi="Times New Roman" w:cs="Times New Roman"/>
          <w:sz w:val="24"/>
          <w:szCs w:val="24"/>
        </w:rPr>
        <w:t xml:space="preserve"> plānoto aktivitāšu koordinācijai.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 xml:space="preserve">Tāpat ir nepieciešams stiprināt intelektuālā īpašuma stratēģiju Latvijas augstskolās. </w:t>
      </w:r>
      <w:r w:rsidRPr="00C11EDA">
        <w:rPr>
          <w:rFonts w:ascii="Times New Roman" w:eastAsia="Calibri" w:hAnsi="Times New Roman" w:cs="Times New Roman"/>
          <w:sz w:val="24"/>
          <w:szCs w:val="24"/>
          <w:lang w:eastAsia="lv-LV"/>
        </w:rPr>
        <w:t>Īpaši svarīgi ir nodrošināt ar vispusīgu informāciju to studentu daļu, kurai savā profesionālajā darbībā ir tieša vai netieša saskarsme ar intelektuālā īpašuma tiesībām.</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Pirmsskolas izglītības vecuma bērni netiek iepazīstināti ar intelektuālā īpašuma tiesībām vienkāršotā veidā, lai radītu apziņu, ka savus radītos darbus nākotnē varēs izmantot ekonomiskā labuma gūšanai.</w:t>
      </w:r>
    </w:p>
    <w:p w:rsidR="00C11EDA" w:rsidRPr="00C11EDA" w:rsidRDefault="00C11EDA" w:rsidP="002C4308">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Obligātās izglītības vecuma bērni un jaunieši netiek pilnvērtīgi iepazīstināti ar intelektuālā īpašuma pamatprincipiem, ar šī īpašuma un tā potenciāla saistību ar valsts izaugsmi (izgudrojumi, radošā jaunrade), ar pārkāpumiem, to ietekmi.</w:t>
      </w:r>
    </w:p>
    <w:p w:rsidR="00C11EDA" w:rsidRPr="00C11EDA" w:rsidRDefault="00C11EDA" w:rsidP="00C11EDA">
      <w:pPr>
        <w:ind w:firstLine="720"/>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Studenti – tiesību zinātņu, sociālo zinātņu (ekonomika), tehnisko specialitāšu, mākslas zinātņu studenti netiek pilnvērtīgi izglītoti intelektuālā īpašuma tiesību jomā.</w:t>
      </w:r>
    </w:p>
    <w:p w:rsidR="00C11EDA" w:rsidRPr="00C11EDA" w:rsidRDefault="00C11EDA" w:rsidP="00C11EDA">
      <w:pPr>
        <w:ind w:firstLine="720"/>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 xml:space="preserve">Skolu un augstskolu pedagogi nav pietiekami informēti intelektuālā īpašuma tiesību jomā.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6.2.6.</w:t>
      </w:r>
      <w:r w:rsidRPr="00C11EDA">
        <w:rPr>
          <w:rFonts w:ascii="Times New Roman" w:eastAsia="Calibri" w:hAnsi="Times New Roman" w:cs="Times New Roman"/>
          <w:sz w:val="24"/>
          <w:szCs w:val="24"/>
          <w:lang w:eastAsia="lv-LV"/>
        </w:rPr>
        <w:t xml:space="preserve"> Būtiska ir informētība par Patentu tehniskās bibliotēkas un tās sniegtajiem pakalpojumiem: 1) informācijas resursu par intelektuālo īpašumu izmantošana, konsultācijas rūpnieciskā īpašuma aizsardzības jautājumos, patentu informācijas; 2) preču zīmju un dizainparaugu meklējumu; 3) apmācība elektronisko resursu izmantošanā; 4) konsultācijas patentu informācijas meklēšanā. Šobrīd ir vērojams informācijas trūkums par Patentu tehniskās bibliotēkas pieejamību, tādējādi pilnvērtīgi netiek sniegts atbalsts pieteicējam neskaidro jautājumu precizēšanā un/vai pieteikuma sagatavošanai, nepieciešamās informācijas meklēšanā saistībā ar tiesību aizsardzību rūpnieciskā īpašuma jomā.</w:t>
      </w:r>
    </w:p>
    <w:p w:rsidR="00C11EDA" w:rsidRPr="00C11EDA" w:rsidRDefault="00C11EDA" w:rsidP="00C11EDA">
      <w:pPr>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Informācijas trūkums par Patentu tehniskās bibliotēkas pieejamību un tās sniegtajiem pakalpojumiem. </w:t>
      </w:r>
    </w:p>
    <w:p w:rsidR="00C11EDA" w:rsidRPr="00C11EDA" w:rsidRDefault="00C11EDA" w:rsidP="00C11EDA">
      <w:pPr>
        <w:ind w:firstLine="720"/>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Papildus norādāms, ka attīstības plānošanas dokumenta „Tiesu varas un tiesībaizsardzības iestāžu darbinieku cilvēkresursu kapacitātes stiprin</w:t>
      </w:r>
      <w:r w:rsidR="00CC5B51">
        <w:rPr>
          <w:rFonts w:ascii="Times New Roman" w:eastAsia="Calibri" w:hAnsi="Times New Roman" w:cs="Times New Roman"/>
          <w:b/>
          <w:sz w:val="24"/>
          <w:szCs w:val="24"/>
          <w:lang w:eastAsia="lv-LV"/>
        </w:rPr>
        <w:t>āša</w:t>
      </w:r>
      <w:r w:rsidRPr="00C11EDA">
        <w:rPr>
          <w:rFonts w:ascii="Times New Roman" w:eastAsia="Calibri" w:hAnsi="Times New Roman" w:cs="Times New Roman"/>
          <w:b/>
          <w:sz w:val="24"/>
          <w:szCs w:val="24"/>
          <w:lang w:eastAsia="lv-LV"/>
        </w:rPr>
        <w:t xml:space="preserve">nas un kompetenču attīstīšanas pamatnostādnes 2014.-2020. gadam” (turpmāk – Tiesu darbinieku pamatnostādnes) projekta, kas izsludināts 2014. gada 15. maija Valsts sekretāru sanāksmē (VSS-436), 4.nodaļa „Sasaiste ar citiem politikas plānošanas un </w:t>
      </w:r>
      <w:r w:rsidR="00CC5B51" w:rsidRPr="00C11EDA">
        <w:rPr>
          <w:rFonts w:ascii="Times New Roman" w:eastAsia="Calibri" w:hAnsi="Times New Roman" w:cs="Times New Roman"/>
          <w:b/>
          <w:sz w:val="24"/>
          <w:szCs w:val="24"/>
          <w:lang w:eastAsia="lv-LV"/>
        </w:rPr>
        <w:t>stratēģiskajiem</w:t>
      </w:r>
      <w:r w:rsidRPr="00C11EDA">
        <w:rPr>
          <w:rFonts w:ascii="Times New Roman" w:eastAsia="Calibri" w:hAnsi="Times New Roman" w:cs="Times New Roman"/>
          <w:b/>
          <w:sz w:val="24"/>
          <w:szCs w:val="24"/>
          <w:lang w:eastAsia="lv-LV"/>
        </w:rPr>
        <w:t xml:space="preserve"> dokumentiem” noteic, ka atsevišķas apmācības un pētījumus intelektuālā īpašuma tiesību aizsardzības jomā, kas netiek iekļauti Tiesu darbinieku pamatnostādnēs paredzēto aktivitāšu plānā paredz „Intelektuālā īpašuma tiesību aizsardzības un nodrošināšanas pamatnostādnes 2014.-2018. gadam”.</w:t>
      </w:r>
    </w:p>
    <w:p w:rsidR="00C11EDA" w:rsidRPr="00C11EDA" w:rsidRDefault="00C11EDA" w:rsidP="00C11EDA">
      <w:pPr>
        <w:jc w:val="both"/>
        <w:rPr>
          <w:rFonts w:ascii="Times New Roman" w:eastAsia="Calibri" w:hAnsi="Times New Roman" w:cs="Times New Roman"/>
          <w:sz w:val="24"/>
          <w:szCs w:val="24"/>
          <w:lang w:eastAsia="lv-LV"/>
        </w:rPr>
      </w:pP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24" w:name="_Toc365544735"/>
      <w:r w:rsidRPr="00C11EDA">
        <w:rPr>
          <w:rFonts w:ascii="Times New Roman" w:eastAsia="Times New Roman" w:hAnsi="Times New Roman" w:cs="Times New Roman"/>
          <w:b/>
          <w:bCs/>
          <w:sz w:val="24"/>
          <w:szCs w:val="24"/>
          <w:lang w:val="x-none"/>
        </w:rPr>
        <w:t xml:space="preserve">6.3. Nepilnības </w:t>
      </w:r>
      <w:proofErr w:type="spellStart"/>
      <w:r w:rsidRPr="00C11EDA">
        <w:rPr>
          <w:rFonts w:ascii="Times New Roman" w:eastAsia="Times New Roman" w:hAnsi="Times New Roman" w:cs="Times New Roman"/>
          <w:b/>
          <w:bCs/>
          <w:sz w:val="24"/>
          <w:szCs w:val="24"/>
          <w:lang w:val="x-none"/>
        </w:rPr>
        <w:t>izgudrotājdarbības</w:t>
      </w:r>
      <w:proofErr w:type="spellEnd"/>
      <w:r w:rsidRPr="00C11EDA">
        <w:rPr>
          <w:rFonts w:ascii="Times New Roman" w:eastAsia="Times New Roman" w:hAnsi="Times New Roman" w:cs="Times New Roman"/>
          <w:b/>
          <w:bCs/>
          <w:sz w:val="24"/>
          <w:szCs w:val="24"/>
          <w:lang w:val="x-none"/>
        </w:rPr>
        <w:t xml:space="preserve"> veicināšanas jomā</w:t>
      </w:r>
      <w:bookmarkEnd w:id="24"/>
    </w:p>
    <w:p w:rsidR="00C11EDA" w:rsidRPr="00C11EDA" w:rsidRDefault="00C11EDA" w:rsidP="00C11EDA">
      <w:pPr>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6.3.1.</w:t>
      </w:r>
      <w:r w:rsidRPr="00C11EDA">
        <w:rPr>
          <w:rFonts w:ascii="Times New Roman" w:eastAsia="Calibri" w:hAnsi="Times New Roman" w:cs="Times New Roman"/>
          <w:sz w:val="24"/>
          <w:szCs w:val="24"/>
          <w:lang w:eastAsia="lv-LV"/>
        </w:rPr>
        <w:t>  Šobrīd netiek nodrošināta droša un aizsargāta iespēja iesniegt patenta pieteikumu elektroniski. Elektroniski dokumentus Patentu valdei var iesniegt tikai pēc patenta pieteikuma publikācijas (izmantojot elektronisko pastu). Saskaņā ar Patentu likuma 48. panta pirmās daļas noteikumiem patenta pieteikuma materiāli pirms to publicēšanas ir slepeni, un tie nedrīkst būt pieejami trešajām personām</w:t>
      </w:r>
      <w:r w:rsidRPr="00C11EDA">
        <w:rPr>
          <w:rFonts w:ascii="Calibri" w:eastAsia="Calibri" w:hAnsi="Calibri" w:cs="Times New Roman"/>
          <w:color w:val="000000"/>
        </w:rPr>
        <w:t xml:space="preserve">. </w:t>
      </w:r>
      <w:r w:rsidRPr="00C11EDA">
        <w:rPr>
          <w:rFonts w:ascii="Times New Roman" w:eastAsia="Calibri" w:hAnsi="Times New Roman" w:cs="Times New Roman"/>
          <w:sz w:val="24"/>
          <w:szCs w:val="24"/>
          <w:lang w:eastAsia="lv-LV"/>
        </w:rPr>
        <w:t>Tā kā elektronisko pastu nevar uzskatīt par drošu informācijas nodošanas avotu, dokumentus līdz patenta pieteikuma publicēšanai šādā veidā sūtīt nevar. Lai nodrošinātu iespēju iesniegt patentu pieteikumus elektroniski, izmantojot tieš</w:t>
      </w:r>
      <w:r w:rsidR="00CD2498">
        <w:rPr>
          <w:rFonts w:ascii="Times New Roman" w:eastAsia="Calibri" w:hAnsi="Times New Roman" w:cs="Times New Roman"/>
          <w:sz w:val="24"/>
          <w:szCs w:val="24"/>
          <w:lang w:eastAsia="lv-LV"/>
        </w:rPr>
        <w:t>s</w:t>
      </w:r>
      <w:r w:rsidRPr="00C11EDA">
        <w:rPr>
          <w:rFonts w:ascii="Times New Roman" w:eastAsia="Calibri" w:hAnsi="Times New Roman" w:cs="Times New Roman"/>
          <w:sz w:val="24"/>
          <w:szCs w:val="24"/>
          <w:lang w:eastAsia="lv-LV"/>
        </w:rPr>
        <w:t>aistes sistēmu, nepieciešams izveidot jaunu patentu informācijas sistēmu. Tālab ir nepieciešams nodrošināt patentēšanas procesa virzību patentu informācijas sistēmā, kā arī, ievērojot to, ka pēc patenta piešķiršanas dati ir jānosūta arī Eiropas Patentu iestādei, jānodrošina patentu reģistra ziņu atspoguļošana informācijas sistēmā arī pēc patenta piešķiršanas. Informācijas sistēmas neesamība un attiecīgās informācijas nepieejamība rada papildus administratīvo slogu privātpersonām.</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 xml:space="preserve">Papildus minētajam, tīmekļa vietnē nav publiski pieejamas informācijas par patentu pieteikumiem, kas apgrūtina savlaicīgu informācijas saņemšanu attiecībā uz patenta pieteikumiem. Šādas informācijas neesamība ierobežo sabiedrības iespējas uzzināt Latvijas patenta pieteikumu un patentu aktuālo statusu, kā arī Latvijā apstiprināto Eiropas patentu statusu, tādējādi liedzot iespēju patenta pieteicējam veikt patstāvīgu reģistrēto patentu izpēti, lai pārliecinātos par sava izgudrojuma novitāti.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Publiski pieejamas informācijas par piešķirtajiem patentiem neesamība, un elektroniskās tiešsaistes sistēmas, kā droša elektroniskā līdzekļa patenta pieteikuma elektroniskai iesniegšanai, neesamība.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6.3.2.</w:t>
      </w:r>
      <w:r w:rsidRPr="00C11EDA">
        <w:rPr>
          <w:rFonts w:ascii="Times New Roman" w:eastAsia="Calibri" w:hAnsi="Times New Roman" w:cs="Times New Roman"/>
          <w:sz w:val="24"/>
          <w:szCs w:val="24"/>
          <w:lang w:eastAsia="lv-LV"/>
        </w:rPr>
        <w:t xml:space="preserve"> Būtiski ir uzlabot Latvijas piešķirto patentu kvalitāti, tādējādi veicinot Latvijas izgudrojumu konkurētspēju pasaulē, veicinot Latvijā radīto izgudrojumu komercializāciju.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 xml:space="preserve">Šobrīd Latvijā pieteicējs par salīdzinoši zemām cenām </w:t>
      </w:r>
      <w:r w:rsidRPr="00C11EDA">
        <w:rPr>
          <w:rFonts w:ascii="Times New Roman" w:eastAsia="Calibri" w:hAnsi="Times New Roman" w:cs="Times New Roman"/>
          <w:sz w:val="24"/>
          <w:szCs w:val="24"/>
          <w:vertAlign w:val="superscript"/>
          <w:lang w:eastAsia="lv-LV"/>
        </w:rPr>
        <w:footnoteReference w:id="13"/>
      </w:r>
      <w:r w:rsidRPr="00C11EDA">
        <w:rPr>
          <w:rFonts w:ascii="Times New Roman" w:eastAsia="Calibri" w:hAnsi="Times New Roman" w:cs="Times New Roman"/>
          <w:sz w:val="24"/>
          <w:szCs w:val="24"/>
          <w:lang w:eastAsia="lv-LV"/>
        </w:rPr>
        <w:t xml:space="preserve"> var iegūt izgudrojuma aizsardzību – saņemt nacionālo patentu, bet šī izgudrojuma aizsardzība, ņemot vērā to, ka piešķirot patentu tiek veikta vien formālo prasību pārbaude, bet netiek veikts </w:t>
      </w:r>
      <w:proofErr w:type="spellStart"/>
      <w:r w:rsidRPr="00C11EDA">
        <w:rPr>
          <w:rFonts w:ascii="Times New Roman" w:eastAsia="Calibri" w:hAnsi="Times New Roman" w:cs="Times New Roman"/>
          <w:sz w:val="24"/>
          <w:szCs w:val="24"/>
          <w:lang w:eastAsia="lv-LV"/>
        </w:rPr>
        <w:t>patentmeklējums</w:t>
      </w:r>
      <w:proofErr w:type="spellEnd"/>
      <w:r w:rsidRPr="00C11EDA">
        <w:rPr>
          <w:rFonts w:ascii="Times New Roman" w:eastAsia="Calibri" w:hAnsi="Times New Roman" w:cs="Times New Roman"/>
          <w:sz w:val="24"/>
          <w:szCs w:val="24"/>
          <w:lang w:eastAsia="lv-LV"/>
        </w:rPr>
        <w:t xml:space="preserve"> un netiek veikta pilna ekspertīze, nesniedz informāciju par riskiem patenta spēkā esamībai – par potenciālajiem līdzīgajiem vai identiskajiem izgudrojumiem, kas varētu būt par pamatu patenta atzīšanai par spēkā neesošu. Tādējādi Latvijā veidojas situācija, ka reģistrācijas izmaksas ir mazas, bet vēlāk papildu izmaksas rodas trešajām personām un patenta īpašniekam, konstatējot, ka izgudrojums nav jauns vai neatbilst izgudrojuma līmeņa kritērijiem.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Zema Latvijas piešķirto patentu kvalitāte, jo saskaņā ar Patentu likumā paredzēto patentu piešķir, ja patenta pieteikums atbilst vien formālajām prasībām, neveicot </w:t>
      </w:r>
      <w:proofErr w:type="spellStart"/>
      <w:r w:rsidRPr="00C11EDA">
        <w:rPr>
          <w:rFonts w:ascii="Times New Roman" w:eastAsia="Calibri" w:hAnsi="Times New Roman" w:cs="Times New Roman"/>
          <w:sz w:val="24"/>
          <w:szCs w:val="24"/>
          <w:lang w:eastAsia="lv-LV"/>
        </w:rPr>
        <w:t>patentmeklējumu</w:t>
      </w:r>
      <w:proofErr w:type="spellEnd"/>
      <w:r w:rsidRPr="00C11EDA">
        <w:rPr>
          <w:rFonts w:ascii="Times New Roman" w:eastAsia="Calibri" w:hAnsi="Times New Roman" w:cs="Times New Roman"/>
          <w:sz w:val="24"/>
          <w:szCs w:val="24"/>
          <w:lang w:eastAsia="lv-LV"/>
        </w:rPr>
        <w:t xml:space="preserve"> un pilnu ekspertīzi, kā arī nav paredzēta iespēja piešķirt īstermiņa patentu (lietderīgo modeli).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6.3.3</w:t>
      </w:r>
      <w:r w:rsidRPr="00C11EDA">
        <w:rPr>
          <w:rFonts w:ascii="Times New Roman" w:eastAsia="Calibri" w:hAnsi="Times New Roman" w:cs="Times New Roman"/>
          <w:sz w:val="24"/>
          <w:szCs w:val="24"/>
          <w:lang w:eastAsia="lv-LV"/>
        </w:rPr>
        <w:t xml:space="preserve">. Šobrīd izskatot patentu pieteikumus eksperti balstās uz subjektīvo viedokli, jo neeksistē vadlīnijas, kas ietvertu vienotu metodoloģiju un kritērijus iesniegtā patenta pieteikuma izskatīšanai, tādējādi patentu pieteikumu izskatīšanā šobrīd konstatējama nekonsekvence un individuālā pieeja, kas nenodrošina pieteicējam vispārēju ieskatu par iesniegtā pieteikuma izskatīšanas metodoloģiju, kā arī neļauj pieteicējam jau pirms pieteikuma iesniegšanas veikt pirmreizējo izvērtēšanu, lai novērtētu pozitīva lēmuma vai reģistrācijas atteikuma iespējamību.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Nekonsekvence un individuālā, uz subjektīvo viedokli balstīta eksperta pieeja pieteikumu izskatīšanā, kas pamatojas ar vienotu vērtēšanas kritēriju neesamību. </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Papildus attiecībā uz 6.3.sadaļu kopumā ir norādāms, ka valsts tautsaimniecības attīstības pamats ir moderni, inovatīvi uzņēmumi, kas iegulda inovācijā, pētniecībā un attīstībā, radot jaunus vai būtiski uzlabotus, augstas pievienotas vērtības produktus vai pakalpojumus, kā arī</w:t>
      </w:r>
      <w:proofErr w:type="gramStart"/>
      <w:r w:rsidRPr="00C11EDA">
        <w:rPr>
          <w:rFonts w:ascii="Times New Roman" w:eastAsia="Calibri" w:hAnsi="Times New Roman" w:cs="Times New Roman"/>
          <w:sz w:val="24"/>
          <w:szCs w:val="24"/>
          <w:lang w:eastAsia="lv-LV"/>
        </w:rPr>
        <w:t xml:space="preserve"> nodrošinot labi</w:t>
      </w:r>
      <w:proofErr w:type="gramEnd"/>
      <w:r w:rsidRPr="00C11EDA">
        <w:rPr>
          <w:rFonts w:ascii="Times New Roman" w:eastAsia="Calibri" w:hAnsi="Times New Roman" w:cs="Times New Roman"/>
          <w:sz w:val="24"/>
          <w:szCs w:val="24"/>
          <w:lang w:eastAsia="lv-LV"/>
        </w:rPr>
        <w:t xml:space="preserve"> apmaksātas darba vietas. Savukārt intelektuālajam īpašumam, jo īpaši rūpnieciskajam īpašumam, piemēram, izgudrojumu patentiem, dizainparaugiem un preču zīmēm ir nozīmīga loma gan uzņēmuma nemateriālo vērtību un tā konkurētspējas priekšrocību radīšanā, gan uzņēmuma inovācijas potenciāla palielināšanā, gan, kopumā vērtējot – valsts ekonomiskās izaugsmes sekmēšanā.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Lai uzlabotu Latvijas uzņēmumu inovācijas sniegumu, tostarp palielinātu vidēji augsto un augsto ražošanas un pakalpojumu nozaru īpatsvaru Latvijas tautsaimniecības struktūrā, jāveido sabalansēts un savstarpēji papildinošs atbalsta instrumentu kopums, kas vērsts gan uz zināšanu radīšanu, gan izplatīšanu un šo zināšanu izmantošanu, tostarp atbalstot uzņēmumu centienus nostiprināt rūpnieciskā īpašuma tiesības.</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Galvenie nacionālās inovācijas sistēmas elementi un rīcības virzieni, kā arī aktivitāšu līmeņa pasākumi inovācijas sekmēšanai ir ietverti Nacionālās industriālās politikas pamatnostādnēs 2014.-2020.</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lang w:eastAsia="lv-LV"/>
        </w:rPr>
        <w:t xml:space="preserve">gadam (apstiprinātas ar MK </w:t>
      </w:r>
      <w:proofErr w:type="gramStart"/>
      <w:r w:rsidRPr="00C11EDA">
        <w:rPr>
          <w:rFonts w:ascii="Times New Roman" w:eastAsia="Calibri" w:hAnsi="Times New Roman" w:cs="Times New Roman"/>
          <w:sz w:val="24"/>
          <w:szCs w:val="24"/>
          <w:lang w:eastAsia="lv-LV"/>
        </w:rPr>
        <w:t>2013.gada</w:t>
      </w:r>
      <w:proofErr w:type="gramEnd"/>
      <w:r w:rsidRPr="00C11EDA">
        <w:rPr>
          <w:rFonts w:ascii="Times New Roman" w:eastAsia="Calibri" w:hAnsi="Times New Roman" w:cs="Times New Roman"/>
          <w:sz w:val="24"/>
          <w:szCs w:val="24"/>
          <w:lang w:eastAsia="lv-LV"/>
        </w:rPr>
        <w:t xml:space="preserve"> 28.jūnija rīkojumu Nr.282 „Par Nacionālās industriālās politikas attīstības pamatnostādnēm”), kā arī Zinātnes, tehnoloģiju attīstības un inovācijas pamatnostādnēs 2014.-2020.gadam (apstiprinātas ar MK 2013.gada 28.decembra rīkojumu Nr.685 „Par Zinātnes, tehnoloģijas attīstības un inovācijas pamatnostādnēm 2014.-2020.gadam”).</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5" w:name="_Toc365544736"/>
      <w:r w:rsidRPr="00C11EDA">
        <w:rPr>
          <w:rFonts w:ascii="Times New Roman" w:eastAsia="Times New Roman" w:hAnsi="Times New Roman" w:cs="Times New Roman"/>
          <w:b/>
          <w:bCs/>
          <w:sz w:val="24"/>
          <w:szCs w:val="24"/>
          <w:lang w:val="x-none"/>
        </w:rPr>
        <w:t>6.4. Pētījumu trūkums intelektuālā īpašuma tiesību jomā</w:t>
      </w:r>
      <w:bookmarkEnd w:id="25"/>
    </w:p>
    <w:p w:rsidR="00C11EDA" w:rsidRPr="00C11EDA" w:rsidRDefault="00C11EDA" w:rsidP="00C11EDA">
      <w:pPr>
        <w:spacing w:after="0"/>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Lai sekmīgi attīstītu intelektuālā īpašuma tiesību normatīvo regulējumu, nepieciešams iegūt informāciju par intelektuālā īpašuma tiesību normatīvajiem regulējumiem un to piemērošanas praksi citās valstīs, kā arī normatīvā regulējuma intelektuālā īpašuma jomā ietekmi uz ekonomiskajiem procesiem un intelektuālā īpašuma sfēru. Būtiska ir informācija par intelektuālā īpašuma jautājumiem, no tiem subjektiem, kas ar intelektuālo īpašumu saskaras ikdienas praksē un citiem būtiskiem intelektuālā īpašuma aspektiem, kas ietekmē normatīvā regulējuma attīstību un tiesību izlietošanas un aizsardzības progresu.</w:t>
      </w:r>
    </w:p>
    <w:p w:rsidR="00C11EDA" w:rsidRPr="00C11EDA" w:rsidRDefault="00C11EDA" w:rsidP="00C11EDA">
      <w:pPr>
        <w:spacing w:after="0" w:line="360" w:lineRule="auto"/>
        <w:contextualSpacing/>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lang w:eastAsia="lv-LV"/>
        </w:rPr>
        <w:t>Problēma:</w:t>
      </w:r>
      <w:r w:rsidRPr="00C11EDA">
        <w:rPr>
          <w:rFonts w:ascii="Times New Roman" w:eastAsia="Calibri" w:hAnsi="Times New Roman" w:cs="Times New Roman"/>
          <w:sz w:val="24"/>
          <w:szCs w:val="24"/>
          <w:lang w:eastAsia="lv-LV"/>
        </w:rPr>
        <w:t xml:space="preserve"> Latvijā trūkst zinātnisku pētījumu un aptauju intelektuālā īpašuma tiesību jomā.</w:t>
      </w:r>
    </w:p>
    <w:p w:rsidR="00C11EDA" w:rsidRPr="00C11EDA" w:rsidRDefault="00C11EDA" w:rsidP="00C11EDA">
      <w:pPr>
        <w:spacing w:after="0" w:line="360" w:lineRule="auto"/>
        <w:contextualSpacing/>
        <w:rPr>
          <w:rFonts w:ascii="Times New Roman" w:eastAsia="Calibri" w:hAnsi="Times New Roman" w:cs="Times New Roman"/>
          <w:sz w:val="24"/>
          <w:szCs w:val="24"/>
          <w:lang w:eastAsia="lv-LV"/>
        </w:rPr>
      </w:pPr>
      <w:bookmarkStart w:id="26" w:name="_Toc143588654"/>
      <w:bookmarkStart w:id="27" w:name="_Toc334018310"/>
    </w:p>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lang w:val="x-none"/>
        </w:rPr>
      </w:pPr>
      <w:bookmarkStart w:id="28" w:name="_Toc365544737"/>
      <w:r w:rsidRPr="00C11EDA">
        <w:rPr>
          <w:rFonts w:ascii="Times New Roman" w:eastAsia="Times New Roman" w:hAnsi="Times New Roman" w:cs="Times New Roman"/>
          <w:b/>
          <w:bCs/>
          <w:sz w:val="24"/>
          <w:szCs w:val="24"/>
          <w:lang w:val="x-none"/>
        </w:rPr>
        <w:t>6.5.</w:t>
      </w:r>
      <w:bookmarkEnd w:id="26"/>
      <w:r w:rsidRPr="00C11EDA">
        <w:rPr>
          <w:rFonts w:ascii="Times New Roman" w:eastAsia="Times New Roman" w:hAnsi="Times New Roman" w:cs="Times New Roman"/>
          <w:b/>
          <w:bCs/>
          <w:sz w:val="24"/>
          <w:szCs w:val="24"/>
          <w:lang w:val="x-none"/>
        </w:rPr>
        <w:t> Trūkumi cīņai ar pirātismu internetā</w:t>
      </w:r>
      <w:bookmarkEnd w:id="27"/>
      <w:bookmarkEnd w:id="28"/>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lang w:eastAsia="lv-LV"/>
        </w:rPr>
      </w:pPr>
    </w:p>
    <w:p w:rsidR="00C11EDA" w:rsidRPr="00C11EDA" w:rsidRDefault="00C11EDA" w:rsidP="00C11EDA">
      <w:pPr>
        <w:spacing w:after="0" w:line="360" w:lineRule="auto"/>
        <w:ind w:firstLine="720"/>
        <w:contextualSpacing/>
        <w:jc w:val="both"/>
        <w:rPr>
          <w:rFonts w:ascii="Times New Roman" w:eastAsia="Calibri" w:hAnsi="Times New Roman" w:cs="Times New Roman"/>
          <w:i/>
          <w:sz w:val="24"/>
          <w:szCs w:val="24"/>
        </w:rPr>
      </w:pPr>
      <w:r w:rsidRPr="00C11EDA">
        <w:rPr>
          <w:rFonts w:ascii="Times New Roman" w:eastAsia="Calibri" w:hAnsi="Times New Roman" w:cs="Times New Roman"/>
          <w:sz w:val="24"/>
          <w:szCs w:val="24"/>
          <w:lang w:eastAsia="lv-LV"/>
        </w:rPr>
        <w:t xml:space="preserve">Ar katru gadu interneta vidē ir vērojams arvien straujāks tehniskais progress, kura ietvaros notiek tehnoloģiju pilnveidošana, kā rezultātā </w:t>
      </w:r>
      <w:r w:rsidRPr="00C11EDA">
        <w:rPr>
          <w:rFonts w:ascii="Times New Roman" w:eastAsia="Calibri" w:hAnsi="Times New Roman" w:cs="Times New Roman"/>
          <w:sz w:val="24"/>
          <w:szCs w:val="24"/>
        </w:rPr>
        <w:t>tiek sasniegti tādi pozitīvi efekti tautsaimniecībā kā interneta ātruma, lejupielādes ātruma un augšupielādes ātruma pieaugums. Straujās attīstības un IT komersantu konkurences rezultātā IT pakalpojumi kļūst pieejami arvien plašākam lietotāju lokam. Latvijā 2013.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gadā </w:t>
      </w:r>
      <w:r w:rsidR="00CC5B51">
        <w:rPr>
          <w:rFonts w:ascii="Times New Roman" w:eastAsia="Calibri" w:hAnsi="Times New Roman" w:cs="Times New Roman"/>
          <w:sz w:val="24"/>
          <w:szCs w:val="24"/>
        </w:rPr>
        <w:t>internetu lieto</w:t>
      </w:r>
      <w:r w:rsidRPr="00C11EDA">
        <w:rPr>
          <w:rFonts w:ascii="Times New Roman" w:eastAsia="Calibri" w:hAnsi="Times New Roman" w:cs="Times New Roman"/>
          <w:sz w:val="24"/>
          <w:szCs w:val="24"/>
          <w:vertAlign w:val="superscript"/>
        </w:rPr>
        <w:footnoteReference w:id="14"/>
      </w:r>
      <w:r w:rsidR="00CC5B51">
        <w:rPr>
          <w:rFonts w:ascii="Times New Roman" w:eastAsia="Calibri" w:hAnsi="Times New Roman" w:cs="Times New Roman"/>
          <w:sz w:val="24"/>
          <w:szCs w:val="24"/>
        </w:rPr>
        <w:t xml:space="preserve"> </w:t>
      </w:r>
      <w:r w:rsidRPr="00C11EDA">
        <w:rPr>
          <w:rFonts w:ascii="Times New Roman" w:eastAsia="Calibri" w:hAnsi="Times New Roman" w:cs="Times New Roman"/>
          <w:sz w:val="24"/>
          <w:szCs w:val="24"/>
        </w:rPr>
        <w:t>71.2 % iedzīvotāju. Līdz ar plašo interneta lietotāju skaita pieaugumu rodas arī negatīvas sekas, jo aizvien biežāk interneta vidē tiek pārkāptas autortiesības un blakustiesības. Tā kā internetam nav ģeogrāfisku robežu, tad tikai vienā valstī pieņemtie pasākumi prettiesiskās darbības ierobežošanai darbojas neefektīvi.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FTP serveru un</w:t>
      </w:r>
      <w:r w:rsidRPr="00C11EDA">
        <w:rPr>
          <w:rFonts w:ascii="Times New Roman" w:eastAsia="Calibri" w:hAnsi="Times New Roman" w:cs="Times New Roman"/>
          <w:b/>
          <w:bCs/>
          <w:sz w:val="24"/>
          <w:szCs w:val="24"/>
        </w:rPr>
        <w:t xml:space="preserve"> </w:t>
      </w:r>
      <w:r w:rsidRPr="00C11EDA">
        <w:rPr>
          <w:rFonts w:ascii="Times New Roman" w:eastAsia="Calibri" w:hAnsi="Times New Roman" w:cs="Times New Roman"/>
          <w:bCs/>
          <w:sz w:val="24"/>
          <w:szCs w:val="24"/>
        </w:rPr>
        <w:t xml:space="preserve">vienādranga </w:t>
      </w:r>
      <w:r w:rsidRPr="00C11EDA">
        <w:rPr>
          <w:rFonts w:ascii="Times New Roman" w:eastAsia="Calibri" w:hAnsi="Times New Roman" w:cs="Times New Roman"/>
          <w:sz w:val="24"/>
          <w:szCs w:val="24"/>
        </w:rPr>
        <w:t>tīklu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iCs/>
          <w:sz w:val="24"/>
          <w:szCs w:val="24"/>
        </w:rPr>
        <w:t xml:space="preserve"> </w:t>
      </w:r>
      <w:proofErr w:type="spellStart"/>
      <w:r w:rsidRPr="00C11EDA">
        <w:rPr>
          <w:rFonts w:ascii="Times New Roman" w:eastAsia="Calibri" w:hAnsi="Times New Roman" w:cs="Times New Roman"/>
          <w:i/>
          <w:iCs/>
          <w:sz w:val="24"/>
          <w:szCs w:val="24"/>
        </w:rPr>
        <w:t>network</w:t>
      </w:r>
      <w:proofErr w:type="spellEnd"/>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Cs/>
          <w:sz w:val="24"/>
          <w:szCs w:val="24"/>
        </w:rPr>
        <w:t>P2P”</w:t>
      </w:r>
      <w:r w:rsidRPr="00C11EDA">
        <w:rPr>
          <w:rFonts w:ascii="Times New Roman" w:eastAsia="Calibri" w:hAnsi="Times New Roman" w:cs="Times New Roman"/>
          <w:sz w:val="24"/>
          <w:szCs w:val="24"/>
        </w:rPr>
        <w:t>) izveidošanas sākumā tie tika pozicionēti kā ļoti ātrs un lēts atklātā pirmkoda (</w:t>
      </w:r>
      <w:proofErr w:type="spellStart"/>
      <w:r w:rsidRPr="00C11EDA">
        <w:rPr>
          <w:rFonts w:ascii="Times New Roman" w:eastAsia="Calibri" w:hAnsi="Times New Roman" w:cs="Times New Roman"/>
          <w:i/>
          <w:sz w:val="24"/>
          <w:szCs w:val="24"/>
        </w:rPr>
        <w:t>Open</w:t>
      </w:r>
      <w:proofErr w:type="spellEnd"/>
      <w:r w:rsidRPr="00C11EDA">
        <w:rPr>
          <w:rFonts w:ascii="Times New Roman" w:eastAsia="Calibri" w:hAnsi="Times New Roman" w:cs="Times New Roman"/>
          <w:i/>
          <w:sz w:val="24"/>
          <w:szCs w:val="24"/>
        </w:rPr>
        <w:t xml:space="preserve"> </w:t>
      </w:r>
      <w:proofErr w:type="spellStart"/>
      <w:r w:rsidRPr="00C11EDA">
        <w:rPr>
          <w:rFonts w:ascii="Times New Roman" w:eastAsia="Calibri" w:hAnsi="Times New Roman" w:cs="Times New Roman"/>
          <w:i/>
          <w:sz w:val="24"/>
          <w:szCs w:val="24"/>
        </w:rPr>
        <w:t>Source</w:t>
      </w:r>
      <w:proofErr w:type="spellEnd"/>
      <w:r w:rsidRPr="00C11EDA">
        <w:rPr>
          <w:rFonts w:ascii="Times New Roman" w:eastAsia="Calibri" w:hAnsi="Times New Roman" w:cs="Times New Roman"/>
          <w:sz w:val="24"/>
          <w:szCs w:val="24"/>
        </w:rPr>
        <w:t xml:space="preserve">) programmu un to izejas kodu izplatīšanas veids. Pašreiz atsevišķas programmas un to atjauninājumus to īpašnieki piedāvā lejupielādēt ar </w:t>
      </w:r>
      <w:proofErr w:type="spellStart"/>
      <w:r w:rsidRPr="00C11EDA">
        <w:rPr>
          <w:rFonts w:ascii="Times New Roman" w:eastAsia="Calibri" w:hAnsi="Times New Roman" w:cs="Times New Roman"/>
          <w:i/>
          <w:sz w:val="24"/>
          <w:szCs w:val="24"/>
        </w:rPr>
        <w:t>Bit</w:t>
      </w:r>
      <w:proofErr w:type="spellEnd"/>
      <w:r w:rsidRPr="00C11EDA">
        <w:rPr>
          <w:rFonts w:ascii="Times New Roman" w:eastAsia="Calibri" w:hAnsi="Times New Roman" w:cs="Times New Roman"/>
          <w:i/>
          <w:sz w:val="24"/>
          <w:szCs w:val="24"/>
        </w:rPr>
        <w:t xml:space="preserve"> </w:t>
      </w:r>
      <w:proofErr w:type="spellStart"/>
      <w:r w:rsidRPr="00C11EDA">
        <w:rPr>
          <w:rFonts w:ascii="Times New Roman" w:eastAsia="Calibri" w:hAnsi="Times New Roman" w:cs="Times New Roman"/>
          <w:i/>
          <w:sz w:val="24"/>
          <w:szCs w:val="24"/>
        </w:rPr>
        <w:t>Torrent</w:t>
      </w:r>
      <w:proofErr w:type="spellEnd"/>
      <w:r w:rsidRPr="00C11EDA">
        <w:rPr>
          <w:rFonts w:ascii="Times New Roman" w:eastAsia="Calibri" w:hAnsi="Times New Roman" w:cs="Times New Roman"/>
          <w:sz w:val="24"/>
          <w:szCs w:val="24"/>
        </w:rPr>
        <w:t xml:space="preserve"> programmas palīdzību. Arī reālā laika dati, tādi kā interneta telefonijas datu plūsma, izmantojot </w:t>
      </w:r>
      <w:proofErr w:type="spellStart"/>
      <w:r w:rsidRPr="00C11EDA">
        <w:rPr>
          <w:rFonts w:ascii="Times New Roman" w:eastAsia="Calibri" w:hAnsi="Times New Roman" w:cs="Times New Roman"/>
          <w:i/>
          <w:sz w:val="24"/>
          <w:szCs w:val="24"/>
        </w:rPr>
        <w:t>Skype</w:t>
      </w:r>
      <w:proofErr w:type="spellEnd"/>
      <w:r w:rsidRPr="00C11EDA">
        <w:rPr>
          <w:rFonts w:ascii="Times New Roman" w:eastAsia="Calibri" w:hAnsi="Times New Roman" w:cs="Times New Roman"/>
          <w:sz w:val="24"/>
          <w:szCs w:val="24"/>
        </w:rPr>
        <w:t xml:space="preserve"> programmu, tiek pārraidīti ar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sz w:val="24"/>
          <w:szCs w:val="24"/>
        </w:rPr>
        <w:t xml:space="preserve"> tehnoloģijām.</w:t>
      </w:r>
    </w:p>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Ar FTP serveru un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sz w:val="24"/>
          <w:szCs w:val="24"/>
        </w:rPr>
        <w:t xml:space="preserve"> tīklu palīdzību uzņēmumiem ir iespēja īsā laikā (ar lielu datu izplatīšanas ātrumu) apmainīties ar liela formāta failiem. Privātpersonas, </w:t>
      </w:r>
      <w:proofErr w:type="gramStart"/>
      <w:r w:rsidRPr="00C11EDA">
        <w:rPr>
          <w:rFonts w:ascii="Times New Roman" w:eastAsia="Calibri" w:hAnsi="Times New Roman" w:cs="Times New Roman"/>
          <w:sz w:val="24"/>
          <w:szCs w:val="24"/>
        </w:rPr>
        <w:t>savukārt,</w:t>
      </w:r>
      <w:proofErr w:type="gramEnd"/>
      <w:r w:rsidRPr="00C11EDA">
        <w:rPr>
          <w:rFonts w:ascii="Times New Roman" w:eastAsia="Calibri" w:hAnsi="Times New Roman" w:cs="Times New Roman"/>
          <w:sz w:val="24"/>
          <w:szCs w:val="24"/>
        </w:rPr>
        <w:t xml:space="preserve"> savā starpā var apmainīties, piemēram, ar ceļojuma laikā nofotografēto vai nofilmēto.</w:t>
      </w:r>
    </w:p>
    <w:p w:rsidR="00C11EDA" w:rsidRPr="00C11EDA" w:rsidRDefault="00C11EDA" w:rsidP="00C11EDA">
      <w:pPr>
        <w:shd w:val="clear" w:color="auto" w:fill="FFFFFF"/>
        <w:spacing w:after="0" w:line="360" w:lineRule="auto"/>
        <w:ind w:firstLine="39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Turklāt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sz w:val="24"/>
          <w:szCs w:val="24"/>
        </w:rPr>
        <w:t xml:space="preserve"> tīklus izmanto arī jaunie mūziķi, kuri vēl nav ieguvuši popularitāti, tādā veidā popularizējot savu veikumu. </w:t>
      </w:r>
    </w:p>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Dažādas informācijas apmaiņa FTP serveros un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sz w:val="24"/>
          <w:szCs w:val="24"/>
        </w:rPr>
        <w:t xml:space="preserve"> tīklos nav pretlikumīga līdz tam brīdim, kamēr tajos netiek veikta apmaiņa ar svešiem autortiesību un blakustiesību objektiem bez attiecīgo tiesību īpašnieku atļaujas. Taču, kā liecina prakse, FTP serveri un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i/>
          <w:sz w:val="24"/>
          <w:szCs w:val="24"/>
        </w:rPr>
        <w:t xml:space="preserve"> to </w:t>
      </w:r>
      <w:proofErr w:type="spellStart"/>
      <w:r w:rsidRPr="00C11EDA">
        <w:rPr>
          <w:rFonts w:ascii="Times New Roman" w:eastAsia="Calibri" w:hAnsi="Times New Roman" w:cs="Times New Roman"/>
          <w:i/>
          <w:sz w:val="24"/>
          <w:szCs w:val="24"/>
        </w:rPr>
        <w:t>peer</w:t>
      </w:r>
      <w:proofErr w:type="spellEnd"/>
      <w:r w:rsidRPr="00C11EDA">
        <w:rPr>
          <w:rFonts w:ascii="Times New Roman" w:eastAsia="Calibri" w:hAnsi="Times New Roman" w:cs="Times New Roman"/>
          <w:sz w:val="24"/>
          <w:szCs w:val="24"/>
        </w:rPr>
        <w:t xml:space="preserve"> tīkli tiek plaši izmantoti nelikumīgai autortiesību un blakustiesību objektu izplatīšanai. Šajos tīklos šobrīd ir vislielākais datu izplatīšanas ātrums un visjaunākie autortiesību un blakustiesību objekti (mūzika, datorprogrammas, spēles, filmas, seriāli, grāmatas utt.). Tādēļ ir jāvērtē iespējas ierobežot autortiesību un blakustiesību objektu nelikumīgu izplatīšanu minētajos veidos. Vienlaikus ir būtiski ievērot tehnoloģiju neitralitātes principu, neatzīstot kādu tehnoloģiju pašu par sevi par prettiesisku.</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sectPr w:rsidR="00C11EDA" w:rsidRPr="00C11EDA" w:rsidSect="00D25A7A">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pPr>
      <w:r w:rsidRPr="00C11EDA">
        <w:rPr>
          <w:rFonts w:ascii="Times New Roman" w:eastAsia="Calibri" w:hAnsi="Times New Roman" w:cs="Times New Roman"/>
          <w:b/>
          <w:sz w:val="24"/>
          <w:szCs w:val="24"/>
        </w:rPr>
        <w:t>Problēma:</w:t>
      </w:r>
      <w:r w:rsidRPr="00C11EDA">
        <w:rPr>
          <w:rFonts w:ascii="Times New Roman" w:eastAsia="Calibri" w:hAnsi="Times New Roman" w:cs="Times New Roman"/>
          <w:sz w:val="24"/>
          <w:szCs w:val="24"/>
        </w:rPr>
        <w:t xml:space="preserve"> Šobrīd Latvijā ir nepieciešams izvērtēt esošo normatīvo regulējumu un meklēt jaunus risinājumus, kas palīdzētu ierobežot un pārtraukt autortiesību un blakustiesību objektu nelikumīgu izplatīšanu, izmantojot FTP serverus un failu apmaiņas tīklus.</w:t>
      </w:r>
    </w:p>
    <w:p w:rsidR="00C11EDA" w:rsidRPr="00C11EDA" w:rsidRDefault="00C11EDA" w:rsidP="00C11EDA">
      <w:pPr>
        <w:keepNext/>
        <w:spacing w:after="0" w:line="240" w:lineRule="auto"/>
        <w:contextualSpacing/>
        <w:jc w:val="center"/>
        <w:outlineLvl w:val="1"/>
        <w:rPr>
          <w:rFonts w:ascii="Times New Roman" w:eastAsia="Times New Roman" w:hAnsi="Times New Roman" w:cs="Times New Roman"/>
          <w:b/>
          <w:bCs/>
          <w:iCs/>
          <w:sz w:val="24"/>
          <w:szCs w:val="24"/>
          <w:lang w:eastAsia="lv-LV"/>
        </w:rPr>
      </w:pPr>
      <w:bookmarkStart w:id="29" w:name="_Toc365544738"/>
      <w:r w:rsidRPr="00C11EDA">
        <w:rPr>
          <w:rFonts w:ascii="Times New Roman" w:eastAsia="Times New Roman" w:hAnsi="Times New Roman" w:cs="Times New Roman"/>
          <w:b/>
          <w:bCs/>
          <w:iCs/>
          <w:sz w:val="24"/>
          <w:szCs w:val="24"/>
          <w:lang w:val="x-none" w:eastAsia="lv-LV"/>
        </w:rPr>
        <w:t>7. Pamatnostādnēs paredzēto uzdevumu un pasākumu plāns</w:t>
      </w:r>
      <w:bookmarkEnd w:id="29"/>
    </w:p>
    <w:p w:rsidR="00C11EDA" w:rsidRPr="00C11EDA" w:rsidRDefault="00C11EDA" w:rsidP="00C11EDA">
      <w:pPr>
        <w:spacing w:after="0" w:line="240" w:lineRule="auto"/>
        <w:ind w:firstLine="720"/>
        <w:contextualSpacing/>
        <w:jc w:val="both"/>
        <w:rPr>
          <w:rFonts w:ascii="Times New Roman" w:eastAsia="Calibri" w:hAnsi="Times New Roman" w:cs="Times New Roman"/>
          <w:sz w:val="24"/>
          <w:szCs w:val="24"/>
        </w:rPr>
      </w:pPr>
    </w:p>
    <w:tbl>
      <w:tblPr>
        <w:tblpPr w:leftFromText="180" w:rightFromText="180" w:vertAnchor="text" w:tblpXSpec="center" w:tblpY="1"/>
        <w:tblOverlap w:val="neve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085"/>
        <w:gridCol w:w="2271"/>
        <w:gridCol w:w="24"/>
        <w:gridCol w:w="2685"/>
        <w:gridCol w:w="26"/>
        <w:gridCol w:w="2735"/>
      </w:tblGrid>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7.1. Pamatnostādnēs definētais politikas mērķis:</w:t>
            </w:r>
          </w:p>
        </w:tc>
        <w:tc>
          <w:tcPr>
            <w:tcW w:w="9826" w:type="dxa"/>
            <w:gridSpan w:val="6"/>
            <w:tcBorders>
              <w:bottom w:val="single" w:sz="8" w:space="0" w:color="auto"/>
            </w:tcBorders>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0" w:name="_Toc365544739"/>
            <w:r w:rsidRPr="00C11EDA">
              <w:rPr>
                <w:rFonts w:ascii="Times New Roman" w:eastAsia="Times New Roman" w:hAnsi="Times New Roman" w:cs="Times New Roman"/>
                <w:b/>
                <w:bCs/>
                <w:sz w:val="24"/>
                <w:szCs w:val="24"/>
              </w:rPr>
              <w:t>A. Sakārtots nacionālais normatīvais regulējums intelektuālā īpašuma tiesību jomā</w:t>
            </w:r>
            <w:bookmarkEnd w:id="30"/>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Rīcības virziens:</w:t>
            </w:r>
          </w:p>
        </w:tc>
        <w:tc>
          <w:tcPr>
            <w:tcW w:w="9826" w:type="dxa"/>
            <w:gridSpan w:val="6"/>
            <w:tcBorders>
              <w:bottom w:val="single" w:sz="8" w:space="0" w:color="auto"/>
            </w:tcBorders>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u w:val="single"/>
                <w:lang w:val="x-none"/>
              </w:rPr>
            </w:pPr>
            <w:r w:rsidRPr="00C11EDA">
              <w:rPr>
                <w:rFonts w:ascii="Times New Roman" w:eastAsia="Calibri" w:hAnsi="Times New Roman" w:cs="Times New Roman"/>
                <w:sz w:val="24"/>
                <w:szCs w:val="24"/>
              </w:rPr>
              <w:t>Nacionālā normatīvā regulējuma pilnveidošana attiecībā uz intelektuālā īpašuma tiesību aizsardzību un pārvaldību</w:t>
            </w: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b/>
                <w:sz w:val="24"/>
                <w:szCs w:val="24"/>
              </w:rPr>
            </w:pPr>
            <w:r w:rsidRPr="00C11EDA">
              <w:rPr>
                <w:rFonts w:ascii="Times New Roman" w:eastAsia="Calibri" w:hAnsi="Times New Roman" w:cs="Times New Roman"/>
                <w:b/>
                <w:sz w:val="24"/>
                <w:szCs w:val="24"/>
              </w:rPr>
              <w:t>Uzdevumi un galvenie pasākumi izvirzītā mērķa sasniegšanai</w:t>
            </w:r>
          </w:p>
        </w:tc>
        <w:tc>
          <w:tcPr>
            <w:tcW w:w="2085" w:type="dxa"/>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Izpildes termiņš</w:t>
            </w:r>
          </w:p>
        </w:tc>
        <w:tc>
          <w:tcPr>
            <w:tcW w:w="2295" w:type="dxa"/>
            <w:gridSpan w:val="2"/>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institūcija</w:t>
            </w:r>
          </w:p>
        </w:tc>
        <w:tc>
          <w:tcPr>
            <w:tcW w:w="2685" w:type="dxa"/>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Iesaistītās institūcijas</w:t>
            </w:r>
          </w:p>
        </w:tc>
        <w:tc>
          <w:tcPr>
            <w:tcW w:w="2761" w:type="dxa"/>
            <w:gridSpan w:val="2"/>
            <w:tcBorders>
              <w:bottom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FFFFFF"/>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w:t>
            </w:r>
            <w:r w:rsidRPr="00C11EDA">
              <w:rPr>
                <w:rFonts w:ascii="Times New Roman" w:eastAsia="Times New Roman" w:hAnsi="Times New Roman" w:cs="Times New Roman"/>
                <w:sz w:val="24"/>
                <w:szCs w:val="24"/>
              </w:rPr>
              <w:t xml:space="preserve"> Izstrādāt konceptuālo ziņojumu </w:t>
            </w:r>
            <w:r w:rsidRPr="00C11EDA">
              <w:rPr>
                <w:rFonts w:ascii="Times New Roman" w:eastAsia="Calibri" w:hAnsi="Times New Roman" w:cs="Times New Roman"/>
                <w:sz w:val="24"/>
                <w:szCs w:val="24"/>
              </w:rPr>
              <w:t xml:space="preserve">„Par intelektuālā īpašuma aizsardzības un pārvaldības sistēmu Latvijas Republikā”. </w:t>
            </w:r>
          </w:p>
        </w:tc>
        <w:tc>
          <w:tcPr>
            <w:tcW w:w="2085" w:type="dxa"/>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95" w:type="dxa"/>
            <w:gridSpan w:val="2"/>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685" w:type="dxa"/>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w:t>
            </w:r>
          </w:p>
        </w:tc>
        <w:tc>
          <w:tcPr>
            <w:tcW w:w="2761" w:type="dxa"/>
            <w:gridSpan w:val="2"/>
            <w:tcBorders>
              <w:bottom w:val="single" w:sz="8" w:space="0" w:color="auto"/>
            </w:tcBorders>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u w:val="single"/>
              </w:rPr>
              <w:t>2.</w:t>
            </w:r>
            <w:r w:rsidRPr="00C11EDA">
              <w:rPr>
                <w:rFonts w:ascii="Times New Roman" w:eastAsia="Calibri" w:hAnsi="Times New Roman" w:cs="Times New Roman"/>
                <w:sz w:val="24"/>
                <w:szCs w:val="24"/>
              </w:rPr>
              <w:t xml:space="preserve"> pasākums. Izvērtēt esošo normatīvo aktu regulējumu attiecībā uz kaitējuma atlīdzības piedziņas kārtību intelektuālā īpašuma tiesību piemērošanas prasībās, izvērtējot vai Eiropas Parlamenta un Padomes 2004. gada 29. aprīļa direktīvas 2004/48/EK par intelektuālā īpašuma tiesību piemērošanu prasību attiecībā uz kaitējuma atlīdzības piedziņu ieviešana ir pilnvērtīga un vai nepieciešams uzlabot esošo regulējumu.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bookmarkStart w:id="31" w:name="_Toc334018316"/>
            <w:r w:rsidRPr="00C11EDA">
              <w:rPr>
                <w:rFonts w:ascii="Times New Roman" w:eastAsia="Calibri" w:hAnsi="Times New Roman" w:cs="Times New Roman"/>
                <w:sz w:val="24"/>
                <w:szCs w:val="24"/>
              </w:rPr>
              <w:t>3. pasākums. Izvērtēt Autortiesību likumā paredzēto regulējumu attiecībā uz:</w:t>
            </w:r>
            <w:bookmarkEnd w:id="31"/>
          </w:p>
          <w:p w:rsidR="00C11EDA" w:rsidRPr="00C11EDA" w:rsidRDefault="00C11EDA" w:rsidP="00C11EDA">
            <w:pPr>
              <w:spacing w:after="0" w:line="240" w:lineRule="auto"/>
              <w:jc w:val="both"/>
              <w:rPr>
                <w:rFonts w:ascii="Times New Roman" w:eastAsia="Calibri" w:hAnsi="Times New Roman" w:cs="Times New Roman"/>
                <w:bCs/>
                <w:iCs/>
                <w:sz w:val="24"/>
                <w:szCs w:val="24"/>
              </w:rPr>
            </w:pPr>
            <w:r w:rsidRPr="00C11EDA">
              <w:rPr>
                <w:rFonts w:ascii="Times New Roman" w:eastAsia="Calibri" w:hAnsi="Times New Roman" w:cs="Times New Roman"/>
                <w:sz w:val="24"/>
                <w:szCs w:val="24"/>
              </w:rPr>
              <w:t>1) </w:t>
            </w:r>
            <w:r w:rsidRPr="00C11EDA">
              <w:rPr>
                <w:rFonts w:ascii="Times New Roman" w:eastAsia="Calibri" w:hAnsi="Times New Roman" w:cs="Times New Roman"/>
                <w:bCs/>
                <w:iCs/>
                <w:sz w:val="24"/>
                <w:szCs w:val="24"/>
              </w:rPr>
              <w:t>vienošanās mehānisma ar mantisko tiesību kolektīvā pārvaldījuma organizācijām efektivitātes paaugstināšanu attiecībā uz šo organizāciju noteiktajiem tarifiem gadījumos, kad autortiesību un blakustiesību subjektu mantiskās tiesības tiek administrētas tikai kolektīvi;</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nepieciešamību sakārtot līgumtiesisko regulējumu Autortiesību likumā attiecībā uz licenču līgumiem, autora līgumu par pasūtītu darbu u.c.);</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autoru mantisko tiesību ierobežojumu regulējuma tvērumu un precizitāti, ņemot vērā autortiesību subjektu un darbu izmantotāju intereses, digitālās vides kontekstu un ES regulējumu šajā jomā;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uzraudzības mērķu noteikšanu, uzsverot nepieciešamību nodrošināt efektīvu un caurskatāmu kolektīvo pārvaldījumu organizāciju darbību. Vērtējama iespēja paredzēt tiesības pieaicināt ārēju auditoru minēto organizāciju darbības pārbaudes veikšanai gadījumā, kad ir jāizvērtē jautājums par izsniegtās atļaujas veikt mantisko tiesību kolektīvo administrēšanu anulēšanu, kā arī būtu jāapzina un jāizvērtē iespējas noteikt KM arī citas tiesības, kas varētu veicināt efektīvāku kolektīvo pārvaldījumu organizāciju darbības uzraudzību;</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rPr>
              <w:t>5) </w:t>
            </w:r>
            <w:r w:rsidRPr="00C11EDA">
              <w:rPr>
                <w:rFonts w:ascii="Times New Roman" w:eastAsia="Times New Roman" w:hAnsi="Times New Roman" w:cs="Times New Roman"/>
                <w:sz w:val="24"/>
                <w:szCs w:val="24"/>
                <w:lang w:eastAsia="lv-LV"/>
              </w:rPr>
              <w:t xml:space="preserve"> detalizētākās kārtības, kādā notiek Kultūras ministrijas izsniegtās atļaujas veikt mantisko tiesību kolektīvo pārvaldījumu anulēšana, noteikšanu</w:t>
            </w:r>
            <w:r w:rsidR="0040394A">
              <w:rPr>
                <w:rFonts w:ascii="Times New Roman" w:eastAsia="Times New Roman" w:hAnsi="Times New Roman" w:cs="Times New Roman"/>
                <w:sz w:val="24"/>
                <w:szCs w:val="24"/>
                <w:lang w:eastAsia="lv-LV"/>
              </w:rPr>
              <w:t>,</w:t>
            </w:r>
            <w:r w:rsidRPr="00C11EDA">
              <w:rPr>
                <w:rFonts w:ascii="Times New Roman" w:eastAsia="Times New Roman" w:hAnsi="Times New Roman" w:cs="Times New Roman"/>
                <w:sz w:val="24"/>
                <w:szCs w:val="24"/>
                <w:lang w:eastAsia="lv-LV"/>
              </w:rPr>
              <w:t xml:space="preserve"> tostarp izvērtējot, vai būtu jāparedz pagaidu noregulējuma pasākumi, kas nodrošinātu tiesību (izmantošanas) veida, </w:t>
            </w:r>
            <w:proofErr w:type="gramStart"/>
            <w:r w:rsidRPr="00C11EDA">
              <w:rPr>
                <w:rFonts w:ascii="Times New Roman" w:eastAsia="Times New Roman" w:hAnsi="Times New Roman" w:cs="Times New Roman"/>
                <w:sz w:val="24"/>
                <w:szCs w:val="24"/>
                <w:lang w:eastAsia="lv-LV"/>
              </w:rPr>
              <w:t>attiecībā uz kuru</w:t>
            </w:r>
            <w:proofErr w:type="gramEnd"/>
            <w:r w:rsidRPr="00C11EDA">
              <w:rPr>
                <w:rFonts w:ascii="Times New Roman" w:eastAsia="Times New Roman" w:hAnsi="Times New Roman" w:cs="Times New Roman"/>
                <w:sz w:val="24"/>
                <w:szCs w:val="24"/>
                <w:lang w:eastAsia="lv-LV"/>
              </w:rPr>
              <w:t xml:space="preserve"> tiek anulēta Kultūras ministrijas izsniegtā atļauja, kolektīvā pārvaldījuma nepārtrauktību;</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6) iespēju noteikt kārtību, ka, pastāvot tiesvedībai starp mantisko tiesību kolektīvā pārvaldījuma organizāciju un darbu vai blakustiesību objektu izmantotāju par minētās organizācijas noteiktajām atlīdzību likmēm (tarifiem) par darbu vai blakustiesību objektu izmantošanu, tā ir atļauta uz likuma pamata, ja darbu vai blakustiesību objektu izmantotājs samaksā mantisko tiesību kolektīvā pārvaldījuma organizācijai summu, kuru tas atzīst par pamatotu, un pārējo summu, kas veido starpību starp organizācijas pieprasīto atlīdzību un samaksāto summu – ieskaita līdz tiesvedības beigām depozītā uz organizācijas vārda.</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Calibri" w:hAnsi="Times New Roman" w:cs="Times New Roman"/>
                <w:sz w:val="24"/>
                <w:szCs w:val="24"/>
              </w:rPr>
              <w:t xml:space="preserve">4. pasākums. </w:t>
            </w:r>
            <w:r w:rsidRPr="00C11EDA">
              <w:rPr>
                <w:rFonts w:ascii="Times New Roman" w:eastAsia="Times New Roman" w:hAnsi="Times New Roman" w:cs="Times New Roman"/>
                <w:sz w:val="24"/>
                <w:szCs w:val="24"/>
                <w:lang w:eastAsia="lv-LV"/>
              </w:rPr>
              <w:t>Izvērtēt esošo normatīvo regulējumu attiecībā uz nesēja atlīdzības iekasēšanas kārtību un iekasētās atlīdzības sadales principiem, tostarp izvērtējot nepieciešamību noteiktu subjektu loku atzīt par profesionāliem lietotājiem Ministru kabineta 2005. gada 10. maija noteikumu Nr.321 „Noteikumi par tukšo materiālo nesēju un reproducēšanai izmantojamo iekārtu atlīdzības lielumu un tās iekasēšanas, atmaksāšanas, sadales un izmaksas kārtību” izpratnē neatkarīgi no to reģistrēšanas profesionālo lietotāju reģistrā, profesionālo lietotāju atskaišu sniegšanas kārtības pilnveidošanas iespējas, kā arī</w:t>
            </w:r>
            <w:r w:rsidR="00CC5B51" w:rsidRPr="00C11EDA">
              <w:rPr>
                <w:rFonts w:ascii="Times New Roman" w:eastAsia="Times New Roman" w:hAnsi="Times New Roman" w:cs="Times New Roman"/>
                <w:sz w:val="24"/>
                <w:szCs w:val="24"/>
                <w:lang w:eastAsia="lv-LV"/>
              </w:rPr>
              <w:t>, izvērtējot nepieciešamību veikt izmaiņas,</w:t>
            </w:r>
            <w:r w:rsidRPr="00C11EDA">
              <w:rPr>
                <w:rFonts w:ascii="Times New Roman" w:eastAsia="Times New Roman" w:hAnsi="Times New Roman" w:cs="Times New Roman"/>
                <w:sz w:val="24"/>
                <w:szCs w:val="24"/>
                <w:lang w:eastAsia="lv-LV"/>
              </w:rPr>
              <w:t xml:space="preserve"> iekasētās nesēja atlīdzības sadales kārtībā.</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964"/>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5. pasākums. Izvērtēt nepieciešamību Civilprocesa likumu papildināt ar regulējumu, kas paredzētu atbildētāja peļņas piedziņu kā atsevišķu alternatīvu tiesiskās aizsardzības līdzekli zaudējumu atlīdzībai visās intelektuālā īpašuma tiesību pārkāpumu lietās (civillietās). Šādu regulējumu paredz TRIPS līguma 45.</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panta 2.punkts un Piemērošanas direktīvas 13.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panta 2.punkts.</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603"/>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6.pasākums. Veikt grozījumus Augu šķirņu aizsardzības likumā, nosakot funkciju Valsts augu aizsardzības dienestam veikt šķirnes identitātes pārbaudi, veicinot sadarbību starp selekcionāru un Valsts augu šķirņu aizsardzības dienesta atbildīgajām personām pārkāpumu konstatēšanā un nepieciešamo dokumentu iesniegšanā tiesai.</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ZM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2804"/>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rPr>
              <w:t>7. pasākums. Izvērtēt likuma „Par Krimināllikuma spēkā stāšanās un piemērošanas kārtību” 23.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pantā ietverto </w:t>
            </w:r>
            <w:proofErr w:type="spellStart"/>
            <w:r w:rsidRPr="00C11EDA">
              <w:rPr>
                <w:rFonts w:ascii="Times New Roman" w:eastAsia="Calibri" w:hAnsi="Times New Roman" w:cs="Times New Roman"/>
                <w:sz w:val="24"/>
                <w:szCs w:val="24"/>
              </w:rPr>
              <w:t>ģenerālklauzulu</w:t>
            </w:r>
            <w:proofErr w:type="spellEnd"/>
            <w:r w:rsidRPr="00C11EDA">
              <w:rPr>
                <w:rFonts w:ascii="Times New Roman" w:eastAsia="Calibri" w:hAnsi="Times New Roman" w:cs="Times New Roman"/>
                <w:sz w:val="24"/>
                <w:szCs w:val="24"/>
              </w:rPr>
              <w:t xml:space="preserve"> „būtisks kaitējums” saistībā ar vienotas izpratnes pilnveidošanas iespējām, izstrādājot vadlīnijas šīs tiesību normas piemērošanai attiecībā uz intelektuālā īpašuma tiesību aizskārumiem.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ĢP</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rPr>
          <w:trHeight w:val="970"/>
        </w:trPr>
        <w:tc>
          <w:tcPr>
            <w:tcW w:w="4679" w:type="dxa"/>
            <w:tcBorders>
              <w:right w:val="single" w:sz="8" w:space="0" w:color="auto"/>
            </w:tcBorders>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7.2. Pamatnostādnēs definētais politikas mērķis:</w:t>
            </w:r>
          </w:p>
        </w:tc>
        <w:tc>
          <w:tcPr>
            <w:tcW w:w="9826" w:type="dxa"/>
            <w:gridSpan w:val="6"/>
            <w:tcBorders>
              <w:top w:val="single" w:sz="8" w:space="0" w:color="auto"/>
              <w:left w:val="single" w:sz="8" w:space="0" w:color="auto"/>
              <w:bottom w:val="single" w:sz="8" w:space="0" w:color="auto"/>
              <w:right w:val="single" w:sz="8" w:space="0" w:color="auto"/>
            </w:tcBorders>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2" w:name="_Toc365544740"/>
            <w:r w:rsidRPr="00C11EDA">
              <w:rPr>
                <w:rFonts w:ascii="Times New Roman" w:eastAsia="Times New Roman" w:hAnsi="Times New Roman" w:cs="Times New Roman"/>
                <w:b/>
                <w:bCs/>
                <w:sz w:val="24"/>
                <w:szCs w:val="24"/>
              </w:rPr>
              <w:t>B. Sabiedrības izpratnes par intelektuālā īpašuma tiesībām pilnveidošana, panākot šo tiesību ievērošanu</w:t>
            </w:r>
            <w:bookmarkEnd w:id="32"/>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tcBorders>
              <w:top w:val="single" w:sz="8"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Sabiedrības un uzņēmēju izglītības pilnveidošana un informācijas sniegšana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jc w:val="both"/>
              <w:rPr>
                <w:rFonts w:ascii="Times New Roman" w:eastAsia="Calibri" w:hAnsi="Times New Roman" w:cs="Times New Roman"/>
                <w:sz w:val="24"/>
                <w:szCs w:val="24"/>
              </w:rPr>
            </w:pPr>
            <w:bookmarkStart w:id="33" w:name="_Toc334018317"/>
            <w:r w:rsidRPr="00C11EDA">
              <w:rPr>
                <w:rFonts w:ascii="Times New Roman" w:eastAsia="Calibri" w:hAnsi="Times New Roman" w:cs="Times New Roman"/>
                <w:b/>
                <w:sz w:val="24"/>
                <w:szCs w:val="24"/>
              </w:rPr>
              <w:t>Uzdevumi un galvenie pasākumi izvirzītā mērķa sasniegšanai</w:t>
            </w:r>
            <w:bookmarkEnd w:id="33"/>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pasākums. Veikt tiesībsargājošo institūciju darbinieku apmācību intelektuālā īpašuma tiesību aizsardzības jomā (saistībā ar Latvijas normatīvo aktu intelektuālā īpašuma tiesību aizsardzības jomā vienotu piemērošanu praksē un aktualitātēm intelektuālā īpašuma jautājumos, tai skaitā autoru personisko </w:t>
            </w:r>
            <w:r w:rsidRPr="00C11EDA">
              <w:rPr>
                <w:rFonts w:ascii="Times New Roman" w:eastAsia="Calibri" w:hAnsi="Times New Roman" w:cs="Times New Roman"/>
                <w:b/>
                <w:sz w:val="24"/>
                <w:szCs w:val="24"/>
              </w:rPr>
              <w:t>un mantisko</w:t>
            </w:r>
            <w:r w:rsidRPr="00C11EDA">
              <w:rPr>
                <w:rFonts w:ascii="Times New Roman" w:eastAsia="Calibri" w:hAnsi="Times New Roman" w:cs="Times New Roman"/>
                <w:sz w:val="24"/>
                <w:szCs w:val="24"/>
              </w:rPr>
              <w:t xml:space="preserve"> tiesību būtību un saturu, aizsardzības līdzekļu efektīvāku piemērošanu intelektuālā īpašuma tiesību pārkāpuma gadījumā, kā arī zaudējumu atlīdzību un licences maksas piemērošanu):</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veikt muitas darbinieku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VID</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12 000,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veikt tiesnešu apmācību par intelektuālā īpašuma tiesībām kā specifisku jomu ar lielu prakses (īpaši - ārvalstu) materiālu dažādību;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9120,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veikt policijas darbinieku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12 000,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veikt prokuroru apmācību intelektuālā īpašuma tiesību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 IeM, 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6060,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5) veikt kopīgas tiesnešu, prokuroru un policijas darbinieku apmācības intelektuālā īpašuma tiesību jomā;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 IeM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 PV</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23 280,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2.  pasākums. Pastāvīgi izglītot iesaistīto sabiedrību profesionālo zināšanu papildināšanai:</w:t>
            </w: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veikt zvērināto advokātu apmācību intelektuālā īpašuma tiesību aizsardzības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veikt profesionālo patentpilnvaroto apmācību intelektuālā īpašuma jomā;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3) veikt autoru izglītošanu attiecīgajos intelektuālā īpašuma jautājumos;</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organizēt informatīvus pasākumus Latvijas uzņēmējiem par intelektuālā īpašuma tiesību būtību (pamatjautājumi) un aizsardzību;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 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3.  pasākums. Pastāvīgi izglītot sabiedrības locekļus ar intelektuālo īpašumu saistītos jautājumos. Organizēt informatīvus pasākumus,</w:t>
            </w:r>
            <w:r w:rsidRPr="00C11EDA">
              <w:rPr>
                <w:rFonts w:ascii="Times New Roman" w:eastAsia="Calibri" w:hAnsi="Times New Roman" w:cs="Times New Roman"/>
                <w:sz w:val="24"/>
                <w:szCs w:val="24"/>
                <w:lang w:eastAsia="lv-LV"/>
              </w:rPr>
              <w:t xml:space="preserve"> nodot sabiedrībai informatīvus materiālus intelektuālā īpašuma tiesību jautājumos, publicēt informāciju iestāžu oficiālajās mājaslapās u.c.</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PV, </w:t>
            </w:r>
            <w:proofErr w:type="spellStart"/>
            <w:r w:rsidRPr="00C11EDA">
              <w:rPr>
                <w:rFonts w:ascii="Times New Roman" w:eastAsia="Calibri" w:hAnsi="Times New Roman" w:cs="Times New Roman"/>
                <w:sz w:val="24"/>
                <w:szCs w:val="24"/>
              </w:rPr>
              <w:t>IzM</w:t>
            </w:r>
            <w:proofErr w:type="spellEnd"/>
            <w:r w:rsidRPr="00C11EDA">
              <w:rPr>
                <w:rFonts w:ascii="Times New Roman" w:eastAsia="Calibri" w:hAnsi="Times New Roman" w:cs="Times New Roman"/>
                <w:sz w:val="24"/>
                <w:szCs w:val="24"/>
              </w:rPr>
              <w:t>, KM, ZM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2 700,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4.  pasākums. Pastāvīgi papildināt un popularizēt informācijas krājumu intelektuālā īpašuma tiesību jomā.</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2014.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5.  pasākums. Nodrošināt statistiskās informācijas par administratīvajiem pārkāpumiem un noziedzīgiem nodarījumiem intelektuālā īpašuma tiesību jomā pieejamību tīmekļa vietnē. </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w:t>
            </w:r>
            <w:r w:rsidRPr="00C11EDA">
              <w:rPr>
                <w:rFonts w:ascii="Times New Roman" w:eastAsia="Calibri" w:hAnsi="Times New Roman" w:cs="Times New Roman"/>
                <w:b/>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Tiesu administrācija, IeM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6. pasākums. </w:t>
            </w:r>
            <w:r w:rsidRPr="00C11EDA">
              <w:rPr>
                <w:rFonts w:ascii="Times New Roman" w:eastAsia="Calibri" w:hAnsi="Times New Roman" w:cs="Times New Roman"/>
                <w:b/>
                <w:sz w:val="24"/>
                <w:szCs w:val="24"/>
              </w:rPr>
              <w:t>Sagatavot</w:t>
            </w:r>
            <w:r w:rsidRPr="00C11EDA">
              <w:rPr>
                <w:rFonts w:ascii="Times New Roman" w:eastAsia="Calibri" w:hAnsi="Times New Roman" w:cs="Times New Roman"/>
                <w:sz w:val="24"/>
                <w:szCs w:val="24"/>
              </w:rPr>
              <w:t xml:space="preserve"> tiesas nolēmumu intelektuālā īpašuma tiesību (autortiesības/blakustiesības, preču zīmes, patenti, dizainparaugi, pusvadītāju izstrādājumu topogrāfijas) lietās </w:t>
            </w:r>
            <w:r w:rsidRPr="00C11EDA">
              <w:rPr>
                <w:rFonts w:ascii="Times New Roman" w:eastAsia="Calibri" w:hAnsi="Times New Roman" w:cs="Times New Roman"/>
                <w:b/>
                <w:sz w:val="24"/>
                <w:szCs w:val="24"/>
              </w:rPr>
              <w:t>apkopojumu un publicēt to interneta vietnē.</w:t>
            </w:r>
            <w:r w:rsidRPr="00C11EDA">
              <w:rPr>
                <w:rFonts w:ascii="Times New Roman" w:eastAsia="Calibri" w:hAnsi="Times New Roman" w:cs="Times New Roman"/>
                <w:sz w:val="24"/>
                <w:szCs w:val="24"/>
              </w:rPr>
              <w:t xml:space="preserve">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r w:rsidR="00280BFB">
              <w:rPr>
                <w:rFonts w:ascii="Times New Roman" w:eastAsia="Calibri" w:hAnsi="Times New Roman" w:cs="Times New Roman"/>
                <w:sz w:val="24"/>
                <w:szCs w:val="24"/>
              </w:rPr>
              <w:t>.</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PV </w:t>
            </w:r>
          </w:p>
        </w:tc>
        <w:tc>
          <w:tcPr>
            <w:tcW w:w="2735" w:type="dxa"/>
            <w:gridSpan w:val="3"/>
            <w:shd w:val="clear" w:color="auto" w:fill="auto"/>
          </w:tcPr>
          <w:p w:rsidR="00C11EDA" w:rsidRPr="00C11EDA" w:rsidRDefault="007E3A36" w:rsidP="00C11E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 pasākums. </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7.1. Veicināt PV, KM un </w:t>
            </w:r>
            <w:proofErr w:type="spellStart"/>
            <w:r w:rsidRPr="00C11EDA">
              <w:rPr>
                <w:rFonts w:ascii="Times New Roman" w:eastAsia="Calibri" w:hAnsi="Times New Roman" w:cs="Times New Roman"/>
                <w:sz w:val="24"/>
                <w:szCs w:val="24"/>
              </w:rPr>
              <w:t>IzM</w:t>
            </w:r>
            <w:proofErr w:type="spellEnd"/>
            <w:r w:rsidRPr="00C11EDA">
              <w:rPr>
                <w:rFonts w:ascii="Times New Roman" w:eastAsia="Calibri" w:hAnsi="Times New Roman" w:cs="Times New Roman"/>
                <w:sz w:val="24"/>
                <w:szCs w:val="24"/>
              </w:rPr>
              <w:t xml:space="preserve"> sadarbību, lai rosinātu skolās iekļaut tēmas par intelektuālo īpašumu mācību priekšmetos un pirmsskolas izglītības iestādes iepazīstināt bērnus ar intelektuālā īpašuma tiesībām vienkāršotā veidā.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7.2. Stiprināt intelektuālā īpašuma pasniedzēju tīklu, veicinot informācijas apmaiņu un apmācības.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7.3. Organizēt studentiem seminārus par intelektuālo īpašumu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 - 2018.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roofErr w:type="spellStart"/>
            <w:r w:rsidRPr="00C11EDA">
              <w:rPr>
                <w:rFonts w:ascii="Times New Roman" w:eastAsia="Calibri" w:hAnsi="Times New Roman" w:cs="Times New Roman"/>
                <w:sz w:val="24"/>
                <w:szCs w:val="24"/>
              </w:rPr>
              <w:t>IzM</w:t>
            </w:r>
            <w:proofErr w:type="spellEnd"/>
            <w:r w:rsidRPr="00C11EDA">
              <w:rPr>
                <w:rFonts w:ascii="Times New Roman" w:eastAsia="Calibri" w:hAnsi="Times New Roman" w:cs="Times New Roman"/>
                <w:sz w:val="24"/>
                <w:szCs w:val="24"/>
              </w:rPr>
              <w:t>, KM, 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ind w:firstLine="720"/>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p w:rsidR="00C11EDA" w:rsidRPr="00C11EDA" w:rsidRDefault="00C11EDA" w:rsidP="00C11EDA">
            <w:pPr>
              <w:spacing w:after="0" w:line="240" w:lineRule="auto"/>
              <w:jc w:val="center"/>
              <w:rPr>
                <w:rFonts w:ascii="Times New Roman" w:eastAsia="Calibri" w:hAnsi="Times New Roman" w:cs="Times New Roman"/>
                <w:sz w:val="24"/>
                <w:szCs w:val="24"/>
              </w:rPr>
            </w:pP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8.pasākums. Veikt Patentu tehniskās bibliotēkas un tās sniegto pakalpojumu popularizēšanu, tai skaitā, sagatavot informatīvu materiālu par Patentu tehniskās bibliotēkas piedāvātajiem pakalpojumiem, ievietojot to pieteicējiem ērti pieejamā vietā PV mājaslapā.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2014.–2018.</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ind w:firstLine="720"/>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7.3. 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4" w:name="_Toc365544741"/>
            <w:r w:rsidRPr="00C11EDA">
              <w:rPr>
                <w:rFonts w:ascii="Times New Roman" w:eastAsia="Times New Roman" w:hAnsi="Times New Roman" w:cs="Times New Roman"/>
                <w:b/>
                <w:bCs/>
                <w:sz w:val="24"/>
                <w:szCs w:val="24"/>
              </w:rPr>
              <w:t xml:space="preserve">C. </w:t>
            </w:r>
            <w:proofErr w:type="spellStart"/>
            <w:r w:rsidRPr="00C11EDA">
              <w:rPr>
                <w:rFonts w:ascii="Times New Roman" w:eastAsia="Times New Roman" w:hAnsi="Times New Roman" w:cs="Times New Roman"/>
                <w:b/>
                <w:bCs/>
                <w:sz w:val="24"/>
                <w:szCs w:val="24"/>
              </w:rPr>
              <w:t>Izgudrotājdarbības</w:t>
            </w:r>
            <w:proofErr w:type="spellEnd"/>
            <w:r w:rsidRPr="00C11EDA">
              <w:rPr>
                <w:rFonts w:ascii="Times New Roman" w:eastAsia="Times New Roman" w:hAnsi="Times New Roman" w:cs="Times New Roman"/>
                <w:b/>
                <w:bCs/>
                <w:sz w:val="24"/>
                <w:szCs w:val="24"/>
              </w:rPr>
              <w:t xml:space="preserve"> veicināšana</w:t>
            </w:r>
            <w:bookmarkEnd w:id="34"/>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proofErr w:type="spellStart"/>
            <w:r w:rsidRPr="00C11EDA">
              <w:rPr>
                <w:rFonts w:ascii="Times New Roman" w:eastAsia="Calibri" w:hAnsi="Times New Roman" w:cs="Times New Roman"/>
                <w:sz w:val="24"/>
                <w:szCs w:val="24"/>
                <w:u w:val="single"/>
              </w:rPr>
              <w:t>Izgudrotājdarbības</w:t>
            </w:r>
            <w:proofErr w:type="spellEnd"/>
            <w:r w:rsidRPr="00C11EDA">
              <w:rPr>
                <w:rFonts w:ascii="Times New Roman" w:eastAsia="Calibri" w:hAnsi="Times New Roman" w:cs="Times New Roman"/>
                <w:sz w:val="24"/>
                <w:szCs w:val="24"/>
                <w:u w:val="single"/>
              </w:rPr>
              <w:t xml:space="preserve"> sekmēšana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5" w:name="_Toc334018318"/>
            <w:r w:rsidRPr="00C11EDA">
              <w:rPr>
                <w:rFonts w:ascii="Times New Roman" w:eastAsia="Calibri" w:hAnsi="Times New Roman" w:cs="Times New Roman"/>
                <w:b/>
                <w:sz w:val="24"/>
                <w:szCs w:val="24"/>
              </w:rPr>
              <w:t>Uzdevumi un galvenie pasākumi izvirzītā mērķa sasniegšanai</w:t>
            </w:r>
            <w:bookmarkEnd w:id="35"/>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  Veikt Patentu informācijas sistēmas modernizēšanu, tās ietvaros izstrādāt elektronisko tiešsaistes sistēmu, kas nodrošinātu ātrāku un ērtāku patentu iesniegšanas procesu un iespēju tiesību īpašniekam sekot līdzi pieteikuma statusam.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pasākums. Izstrādāt informatīvo ziņojumu „Par nacionālajā procedūrā piešķirto patentu kvalitātes uzlabošanas pasākumiem”, piedāvājot konstruktīvus un efektīvus risinājuma variantus nacionālā normatīvā regulējuma pilnveidošanai, nodrošinot Latvijas piešķirto patentu kvalitātes uzlabošanu. </w:t>
            </w:r>
            <w:r w:rsidRPr="00C11EDA">
              <w:rPr>
                <w:rFonts w:ascii="Times New Roman" w:eastAsia="Calibri" w:hAnsi="Times New Roman" w:cs="Times New Roman"/>
                <w:szCs w:val="24"/>
                <w:vertAlign w:val="superscript"/>
              </w:rPr>
              <w:footnoteReference w:id="15"/>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3.pasākums. Izstrādāt ekspertu vadlīnijas, kas ietvertu vienotu metodoloģiju un kritērijus iesniegtā patenta pieteikuma izskatīšanai.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PV</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4679" w:type="dxa"/>
            <w:shd w:val="clear" w:color="auto" w:fill="D9D9D9"/>
          </w:tcPr>
          <w:p w:rsidR="00C11EDA" w:rsidRPr="00C11EDA" w:rsidRDefault="00C11EDA" w:rsidP="00C11EDA">
            <w:pPr>
              <w:spacing w:before="120" w:after="0" w:line="240" w:lineRule="auto"/>
              <w:rPr>
                <w:rFonts w:ascii="Times New Roman" w:eastAsia="Calibri" w:hAnsi="Times New Roman" w:cs="Times New Roman"/>
                <w:b/>
                <w:sz w:val="24"/>
                <w:szCs w:val="24"/>
              </w:rPr>
            </w:pPr>
            <w:r w:rsidRPr="00C11EDA">
              <w:rPr>
                <w:rFonts w:ascii="Times New Roman" w:eastAsia="Calibri" w:hAnsi="Times New Roman" w:cs="Times New Roman"/>
                <w:b/>
                <w:sz w:val="24"/>
                <w:szCs w:val="24"/>
              </w:rPr>
              <w:t>7.4. 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6" w:name="_Toc365544742"/>
            <w:r w:rsidRPr="00C11EDA">
              <w:rPr>
                <w:rFonts w:ascii="Times New Roman" w:eastAsia="Times New Roman" w:hAnsi="Times New Roman" w:cs="Times New Roman"/>
                <w:b/>
                <w:bCs/>
                <w:sz w:val="24"/>
                <w:szCs w:val="24"/>
              </w:rPr>
              <w:t>D. Pētījumu veikšana intelektuālā īpašuma tiesību jomā</w:t>
            </w:r>
            <w:bookmarkEnd w:id="36"/>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Normatīvā regulējuma trūkumu un sabiedrības izpratnes apzināšana</w:t>
            </w:r>
          </w:p>
          <w:p w:rsidR="00C11EDA" w:rsidRPr="00C11EDA" w:rsidRDefault="00C11EDA" w:rsidP="00C11EDA">
            <w:pPr>
              <w:spacing w:after="0" w:line="240" w:lineRule="auto"/>
              <w:jc w:val="center"/>
              <w:rPr>
                <w:rFonts w:ascii="Times New Roman" w:eastAsia="Calibri" w:hAnsi="Times New Roman" w:cs="Times New Roman"/>
                <w:sz w:val="24"/>
                <w:szCs w:val="24"/>
                <w:u w:val="single"/>
              </w:rPr>
            </w:pP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7" w:name="_Toc334018319"/>
            <w:r w:rsidRPr="00C11EDA">
              <w:rPr>
                <w:rFonts w:ascii="Times New Roman" w:eastAsia="Calibri" w:hAnsi="Times New Roman" w:cs="Times New Roman"/>
                <w:b/>
                <w:sz w:val="24"/>
                <w:szCs w:val="24"/>
              </w:rPr>
              <w:t>Uzdevumi un galvenie pasākumi izvirzītā mērķa sasniegšanai</w:t>
            </w:r>
            <w:bookmarkEnd w:id="37"/>
          </w:p>
        </w:tc>
        <w:tc>
          <w:tcPr>
            <w:tcW w:w="208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rPr>
          <w:trHeight w:val="1365"/>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pasākums. Veikt aptauju par komersantu izpratni par problēmām un vēlmēm attiecībā uz nepieciešamajiem uzlabojumiem intelektuālā īpašuma jomā.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UR, </w:t>
            </w: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4 000,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2. 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aptauju par sabiedrības izpratni par intelektuālā īpašuma tiesībām.</w:t>
            </w:r>
          </w:p>
          <w:p w:rsidR="00C11EDA" w:rsidRPr="00C11EDA" w:rsidRDefault="00C11EDA" w:rsidP="00C11EDA">
            <w:pPr>
              <w:spacing w:after="0" w:line="240" w:lineRule="auto"/>
              <w:jc w:val="both"/>
              <w:rPr>
                <w:rFonts w:ascii="Times New Roman" w:eastAsia="Calibri" w:hAnsi="Times New Roman" w:cs="Times New Roman"/>
                <w:sz w:val="24"/>
                <w:szCs w:val="24"/>
                <w:lang w:eastAsia="lv-LV"/>
              </w:rPr>
            </w:pP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PV, </w:t>
            </w:r>
            <w:r w:rsidRPr="00C11EDA">
              <w:rPr>
                <w:rFonts w:ascii="Times New Roman" w:eastAsia="Calibri" w:hAnsi="Times New Roman" w:cs="Times New Roman"/>
                <w:b/>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4 000 valsts budžets</w:t>
            </w:r>
          </w:p>
        </w:tc>
      </w:tr>
      <w:tr w:rsidR="00C11EDA" w:rsidRPr="00C11EDA" w:rsidTr="00D25A7A">
        <w:trPr>
          <w:trHeight w:val="698"/>
        </w:trPr>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3. 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datu nesēja atlīdzības sistēmas reformēšanas iespējām.</w:t>
            </w:r>
          </w:p>
        </w:tc>
        <w:tc>
          <w:tcPr>
            <w:tcW w:w="2085"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4. 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taisnīgas atlīdzības noteikšanas kritērijiem par nodarīto kaitējumu ar intelektuālā īpašuma tiesībām aizsargātam objektam.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TM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5. 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iespējām ierobežot un pārtraukt to FTP serveru un failu apmaiņas tīklu uzturēšanu, kuros tiek sniegta iespēja nelikumīgi iegūt autortiesību un blakustiesību objektus, kā arī analizēt citu valstu pieredzi šā jautājuma risināšanā.</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2017.</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SM, </w:t>
            </w:r>
            <w:proofErr w:type="spellStart"/>
            <w:r w:rsidRPr="00C11EDA">
              <w:rPr>
                <w:rFonts w:ascii="Times New Roman" w:eastAsia="Calibri" w:hAnsi="Times New Roman" w:cs="Times New Roman"/>
                <w:sz w:val="24"/>
                <w:szCs w:val="24"/>
              </w:rPr>
              <w:t>AiM</w:t>
            </w:r>
            <w:proofErr w:type="spellEnd"/>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r w:rsidRPr="00C11EDA">
              <w:rPr>
                <w:rFonts w:ascii="Times New Roman" w:eastAsia="Calibri" w:hAnsi="Times New Roman" w:cs="Times New Roman"/>
                <w:sz w:val="24"/>
                <w:szCs w:val="24"/>
              </w:rPr>
              <w:t>16 500, valsts budžets</w:t>
            </w:r>
          </w:p>
        </w:tc>
      </w:tr>
      <w:tr w:rsidR="00C11EDA" w:rsidRPr="00C11EDA" w:rsidTr="00D25A7A">
        <w:tc>
          <w:tcPr>
            <w:tcW w:w="4679" w:type="dxa"/>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lang w:eastAsia="lv-LV"/>
              </w:rPr>
              <w:t>6. </w:t>
            </w:r>
            <w:r w:rsidRPr="00C11EDA">
              <w:rPr>
                <w:rFonts w:ascii="Times New Roman" w:eastAsia="Calibri" w:hAnsi="Times New Roman" w:cs="Times New Roman"/>
                <w:sz w:val="24"/>
                <w:szCs w:val="24"/>
              </w:rPr>
              <w:t xml:space="preserve"> pasākums. </w:t>
            </w:r>
            <w:r w:rsidRPr="00C11EDA">
              <w:rPr>
                <w:rFonts w:ascii="Times New Roman" w:eastAsia="Calibri" w:hAnsi="Times New Roman" w:cs="Times New Roman"/>
                <w:sz w:val="24"/>
                <w:szCs w:val="24"/>
                <w:lang w:eastAsia="lv-LV"/>
              </w:rPr>
              <w:t>Veikt pētījumu par iespējām pielāgot autortiesību ierobežojumus jauniem iespējamajiem ar autortiesībām aizsargātu darbu izmantošanas veidiem un tehniskajiem risinājumiem.</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2016.</w:t>
            </w: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KM</w:t>
            </w: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15 000, valsts budžets</w:t>
            </w:r>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lang w:eastAsia="lv-LV"/>
              </w:rPr>
            </w:pPr>
            <w:r w:rsidRPr="00C11EDA">
              <w:rPr>
                <w:rFonts w:ascii="Times New Roman" w:eastAsia="Calibri" w:hAnsi="Times New Roman" w:cs="Times New Roman"/>
                <w:b/>
                <w:sz w:val="24"/>
                <w:szCs w:val="24"/>
                <w:lang w:eastAsia="lv-LV"/>
              </w:rPr>
              <w:t>7.5. </w:t>
            </w:r>
            <w:r w:rsidRPr="00C11EDA">
              <w:rPr>
                <w:rFonts w:ascii="Times New Roman" w:eastAsia="Calibri" w:hAnsi="Times New Roman" w:cs="Times New Roman"/>
                <w:b/>
                <w:sz w:val="24"/>
                <w:szCs w:val="24"/>
              </w:rPr>
              <w:t>Pamatnostādnēs definētais politikas mērķis:</w:t>
            </w:r>
          </w:p>
        </w:tc>
        <w:tc>
          <w:tcPr>
            <w:tcW w:w="9826" w:type="dxa"/>
            <w:gridSpan w:val="6"/>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38" w:name="_Toc365544743"/>
            <w:r w:rsidRPr="00C11EDA">
              <w:rPr>
                <w:rFonts w:ascii="Times New Roman" w:eastAsia="Times New Roman" w:hAnsi="Times New Roman" w:cs="Times New Roman"/>
                <w:b/>
                <w:bCs/>
                <w:sz w:val="24"/>
                <w:szCs w:val="24"/>
                <w:lang w:eastAsia="lv-LV"/>
              </w:rPr>
              <w:t>E. Efektīva pirātisma novēršana un apkarošana internetā</w:t>
            </w:r>
            <w:bookmarkEnd w:id="38"/>
          </w:p>
        </w:tc>
      </w:tr>
      <w:tr w:rsidR="00C11EDA" w:rsidRPr="00C11EDA" w:rsidTr="00D25A7A">
        <w:tc>
          <w:tcPr>
            <w:tcW w:w="4679" w:type="dxa"/>
            <w:shd w:val="clear" w:color="auto" w:fill="D9D9D9"/>
          </w:tcPr>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b/>
                <w:sz w:val="24"/>
                <w:szCs w:val="24"/>
              </w:rPr>
              <w:t>Rīcības virziens mērķa sasniegšanai:</w:t>
            </w:r>
          </w:p>
        </w:tc>
        <w:tc>
          <w:tcPr>
            <w:tcW w:w="9826" w:type="dxa"/>
            <w:gridSpan w:val="6"/>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u w:val="single"/>
              </w:rPr>
            </w:pPr>
            <w:r w:rsidRPr="00C11EDA">
              <w:rPr>
                <w:rFonts w:ascii="Times New Roman" w:eastAsia="Calibri" w:hAnsi="Times New Roman" w:cs="Times New Roman"/>
                <w:sz w:val="24"/>
                <w:szCs w:val="24"/>
                <w:u w:val="single"/>
              </w:rPr>
              <w:t>Pirātisma apkarošanas rīcības plāna izveide</w:t>
            </w:r>
          </w:p>
        </w:tc>
      </w:tr>
      <w:tr w:rsidR="00C11EDA" w:rsidRPr="00C11EDA" w:rsidTr="00D25A7A">
        <w:tc>
          <w:tcPr>
            <w:tcW w:w="4679" w:type="dxa"/>
            <w:shd w:val="clear" w:color="auto" w:fill="D9D9D9"/>
          </w:tcPr>
          <w:p w:rsidR="00C11EDA" w:rsidRPr="00C11EDA" w:rsidRDefault="00C11EDA" w:rsidP="00C11EDA">
            <w:pPr>
              <w:rPr>
                <w:rFonts w:ascii="Times New Roman" w:eastAsia="Calibri" w:hAnsi="Times New Roman" w:cs="Times New Roman"/>
                <w:sz w:val="24"/>
                <w:szCs w:val="24"/>
              </w:rPr>
            </w:pPr>
            <w:bookmarkStart w:id="39" w:name="_Toc334018320"/>
            <w:r w:rsidRPr="00C11EDA">
              <w:rPr>
                <w:rFonts w:ascii="Times New Roman" w:eastAsia="Calibri" w:hAnsi="Times New Roman" w:cs="Times New Roman"/>
                <w:b/>
                <w:sz w:val="24"/>
                <w:szCs w:val="24"/>
              </w:rPr>
              <w:t>Uzdevumi un galvenie pasākumi izvirzītā mērķa sasniegšanai</w:t>
            </w:r>
            <w:bookmarkEnd w:id="39"/>
          </w:p>
        </w:tc>
        <w:tc>
          <w:tcPr>
            <w:tcW w:w="2085"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Izpildes termiņš</w:t>
            </w:r>
          </w:p>
        </w:tc>
        <w:tc>
          <w:tcPr>
            <w:tcW w:w="2271"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Atbildīgā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institūcija</w:t>
            </w:r>
          </w:p>
        </w:tc>
        <w:tc>
          <w:tcPr>
            <w:tcW w:w="2735" w:type="dxa"/>
            <w:gridSpan w:val="3"/>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Iesaistītās institūcijas</w:t>
            </w:r>
          </w:p>
        </w:tc>
        <w:tc>
          <w:tcPr>
            <w:tcW w:w="2735" w:type="dxa"/>
            <w:shd w:val="clear" w:color="auto" w:fill="D9D9D9"/>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Nepieciešamais finansējums un tā avoti</w:t>
            </w:r>
          </w:p>
        </w:tc>
      </w:tr>
      <w:tr w:rsidR="00C11EDA" w:rsidRPr="00C11EDA" w:rsidTr="00D25A7A">
        <w:trPr>
          <w:trHeight w:val="419"/>
        </w:trPr>
        <w:tc>
          <w:tcPr>
            <w:tcW w:w="4679" w:type="dxa"/>
            <w:shd w:val="clear" w:color="auto" w:fill="auto"/>
          </w:tcPr>
          <w:p w:rsidR="00C11EDA" w:rsidRPr="00C11EDA" w:rsidRDefault="00C11EDA" w:rsidP="00C11EDA">
            <w:pPr>
              <w:jc w:val="both"/>
              <w:rPr>
                <w:rFonts w:ascii="Times New Roman" w:eastAsia="Calibri" w:hAnsi="Times New Roman" w:cs="Times New Roman"/>
                <w:sz w:val="24"/>
                <w:szCs w:val="24"/>
                <w:lang w:eastAsia="lv-LV"/>
              </w:rPr>
            </w:pPr>
            <w:r w:rsidRPr="00C11EDA">
              <w:rPr>
                <w:rFonts w:ascii="Times New Roman" w:eastAsia="Times New Roman" w:hAnsi="Times New Roman" w:cs="Times New Roman"/>
                <w:sz w:val="24"/>
                <w:szCs w:val="24"/>
              </w:rPr>
              <w:t>1.</w:t>
            </w:r>
            <w:r w:rsidRPr="00C11EDA">
              <w:rPr>
                <w:rFonts w:ascii="Times New Roman" w:eastAsia="Times New Roman" w:hAnsi="Times New Roman" w:cs="Times New Roman"/>
                <w:b/>
                <w:sz w:val="24"/>
                <w:szCs w:val="24"/>
              </w:rPr>
              <w:t> </w:t>
            </w:r>
            <w:r w:rsidRPr="00C11EDA">
              <w:rPr>
                <w:rFonts w:ascii="Times New Roman" w:eastAsia="Times New Roman" w:hAnsi="Times New Roman" w:cs="Times New Roman"/>
                <w:sz w:val="24"/>
                <w:szCs w:val="24"/>
              </w:rPr>
              <w:t>Izstrādāt informatīvo ziņojumu „Par pirātisma apkarošanu un novēršanu digitālā vidē”</w:t>
            </w:r>
            <w:r w:rsidRPr="00C11EDA">
              <w:rPr>
                <w:rFonts w:ascii="Times New Roman" w:eastAsia="Calibri" w:hAnsi="Times New Roman" w:cs="Times New Roman"/>
                <w:sz w:val="24"/>
                <w:szCs w:val="24"/>
                <w:lang w:eastAsia="lv-LV"/>
              </w:rPr>
              <w:t xml:space="preserve"> atspoguļojot pastāvošās problēmas spēkā esošajā regulējumā un piedāvājot konstruktīvus un efektīvus risinājuma variantus esošās situācijas uzlabošanai praksē. </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2017.</w:t>
            </w:r>
          </w:p>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rPr>
                <w:rFonts w:ascii="Times New Roman" w:eastAsia="Calibri" w:hAnsi="Times New Roman" w:cs="Times New Roman"/>
                <w:sz w:val="24"/>
                <w:szCs w:val="24"/>
                <w:highlight w:val="yellow"/>
              </w:rPr>
            </w:pPr>
          </w:p>
        </w:tc>
        <w:tc>
          <w:tcPr>
            <w:tcW w:w="2735" w:type="dxa"/>
            <w:gridSpan w:val="3"/>
            <w:shd w:val="clear" w:color="auto" w:fill="auto"/>
          </w:tcPr>
          <w:p w:rsidR="00C11EDA" w:rsidRPr="00C11EDA" w:rsidRDefault="00C11EDA" w:rsidP="00C11EDA">
            <w:pPr>
              <w:spacing w:after="0" w:line="240" w:lineRule="auto"/>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TM, EM, KM, </w:t>
            </w:r>
            <w:r w:rsidRPr="00C11EDA">
              <w:rPr>
                <w:rFonts w:ascii="Times New Roman" w:eastAsia="Calibri" w:hAnsi="Times New Roman" w:cs="Times New Roman"/>
                <w:b/>
                <w:sz w:val="24"/>
                <w:szCs w:val="24"/>
              </w:rPr>
              <w:t>SM</w:t>
            </w: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highlight w:val="yellow"/>
              </w:rPr>
            </w:pP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p>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p w:rsidR="00C11EDA" w:rsidRPr="00C11EDA" w:rsidRDefault="00C11EDA" w:rsidP="00C11EDA">
            <w:pPr>
              <w:spacing w:after="0" w:line="240" w:lineRule="auto"/>
              <w:ind w:left="1004"/>
              <w:rPr>
                <w:rFonts w:ascii="Times New Roman" w:eastAsia="Calibri" w:hAnsi="Times New Roman" w:cs="Times New Roman"/>
                <w:b/>
                <w:sz w:val="24"/>
                <w:szCs w:val="24"/>
                <w:highlight w:val="yellow"/>
              </w:rPr>
            </w:pPr>
          </w:p>
        </w:tc>
      </w:tr>
      <w:tr w:rsidR="00C11EDA" w:rsidRPr="00C11EDA" w:rsidTr="00D25A7A">
        <w:tc>
          <w:tcPr>
            <w:tcW w:w="4679" w:type="dxa"/>
            <w:shd w:val="clear" w:color="auto" w:fill="auto"/>
          </w:tcPr>
          <w:p w:rsidR="00C11EDA" w:rsidRPr="00C11EDA" w:rsidRDefault="00C11EDA" w:rsidP="00C11EDA">
            <w:pPr>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w:t>
            </w:r>
            <w:r w:rsidRPr="00C11EDA">
              <w:rPr>
                <w:rFonts w:ascii="Times New Roman" w:eastAsia="Times New Roman" w:hAnsi="Times New Roman" w:cs="Times New Roman"/>
                <w:sz w:val="24"/>
                <w:szCs w:val="24"/>
              </w:rPr>
              <w:t xml:space="preserve">Izveidot vienotu, specializētu struktūrvienību kibernoziegumu apkarošanai </w:t>
            </w:r>
            <w:r w:rsidRPr="00C11EDA">
              <w:rPr>
                <w:rFonts w:ascii="Times New Roman" w:eastAsia="Times New Roman" w:hAnsi="Times New Roman" w:cs="Times New Roman"/>
                <w:sz w:val="24"/>
                <w:szCs w:val="24"/>
              </w:rPr>
              <w:br/>
              <w:t xml:space="preserve">Valsts policijas Galvenās Kriminālpolicijas pārvaldes sastāvā, kas, izmeklējot </w:t>
            </w:r>
            <w:r w:rsidRPr="00C11EDA">
              <w:rPr>
                <w:rFonts w:ascii="Times New Roman" w:eastAsia="Times New Roman" w:hAnsi="Times New Roman" w:cs="Times New Roman"/>
                <w:sz w:val="24"/>
                <w:szCs w:val="24"/>
              </w:rPr>
              <w:br/>
              <w:t xml:space="preserve">un veicot operatīvos pasākumus, apkaros augsto tehnoloģiju jomā un ar to </w:t>
            </w:r>
            <w:r w:rsidRPr="00C11EDA">
              <w:rPr>
                <w:rFonts w:ascii="Times New Roman" w:eastAsia="Times New Roman" w:hAnsi="Times New Roman" w:cs="Times New Roman"/>
                <w:sz w:val="24"/>
                <w:szCs w:val="24"/>
              </w:rPr>
              <w:br/>
              <w:t xml:space="preserve">starpniecību izdarītos noziedzīgos nodarījumus valsts līmenī, un nodrošināt </w:t>
            </w:r>
            <w:r w:rsidRPr="00C11EDA">
              <w:rPr>
                <w:rFonts w:ascii="Times New Roman" w:eastAsia="Times New Roman" w:hAnsi="Times New Roman" w:cs="Times New Roman"/>
                <w:sz w:val="24"/>
                <w:szCs w:val="24"/>
              </w:rPr>
              <w:br/>
              <w:t>tās darbību.-</w:t>
            </w:r>
          </w:p>
        </w:tc>
        <w:tc>
          <w:tcPr>
            <w:tcW w:w="2085"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2015.</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271" w:type="dxa"/>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IeM</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735" w:type="dxa"/>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VP</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2735" w:type="dxa"/>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_ </w:t>
            </w:r>
          </w:p>
          <w:p w:rsidR="00C11EDA" w:rsidRPr="00C11EDA" w:rsidRDefault="00C11EDA" w:rsidP="00C11EDA">
            <w:pPr>
              <w:spacing w:after="0" w:line="240" w:lineRule="auto"/>
              <w:jc w:val="center"/>
              <w:rPr>
                <w:rFonts w:ascii="Times New Roman" w:eastAsia="Calibri" w:hAnsi="Times New Roman" w:cs="Times New Roman"/>
                <w:b/>
                <w:sz w:val="24"/>
                <w:szCs w:val="24"/>
              </w:rPr>
            </w:pPr>
          </w:p>
        </w:tc>
      </w:tr>
    </w:tbl>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val="x-none" w:eastAsia="lv-LV"/>
        </w:rPr>
      </w:pPr>
      <w:bookmarkStart w:id="40" w:name="_Toc365544744"/>
      <w:r w:rsidRPr="00C11EDA">
        <w:rPr>
          <w:rFonts w:ascii="Times New Roman" w:eastAsia="Times New Roman" w:hAnsi="Times New Roman" w:cs="Times New Roman"/>
          <w:b/>
          <w:bCs/>
          <w:iCs/>
          <w:sz w:val="24"/>
          <w:szCs w:val="24"/>
          <w:lang w:val="x-none" w:eastAsia="lv-LV"/>
        </w:rPr>
        <w:t>8.</w:t>
      </w:r>
      <w:r w:rsidRPr="00C11EDA">
        <w:rPr>
          <w:rFonts w:ascii="Times New Roman" w:eastAsia="Times New Roman" w:hAnsi="Times New Roman" w:cs="Times New Roman"/>
          <w:b/>
          <w:bCs/>
          <w:iCs/>
          <w:sz w:val="24"/>
          <w:szCs w:val="24"/>
          <w:lang w:eastAsia="lv-LV"/>
        </w:rPr>
        <w:t> </w:t>
      </w:r>
      <w:r w:rsidRPr="00C11EDA">
        <w:rPr>
          <w:rFonts w:ascii="Times New Roman" w:eastAsia="Times New Roman" w:hAnsi="Times New Roman" w:cs="Times New Roman"/>
          <w:b/>
          <w:bCs/>
          <w:iCs/>
          <w:sz w:val="24"/>
          <w:szCs w:val="24"/>
          <w:lang w:val="x-none" w:eastAsia="lv-LV"/>
        </w:rPr>
        <w:t>Mērķu un rezultātu, to rezultatīvo rādītāju hierarhija</w:t>
      </w:r>
      <w:bookmarkEnd w:id="40"/>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3048"/>
        <w:gridCol w:w="149"/>
        <w:gridCol w:w="171"/>
        <w:gridCol w:w="1363"/>
        <w:gridCol w:w="23"/>
        <w:gridCol w:w="111"/>
        <w:gridCol w:w="1394"/>
        <w:gridCol w:w="77"/>
        <w:gridCol w:w="1454"/>
        <w:gridCol w:w="26"/>
        <w:gridCol w:w="1483"/>
        <w:gridCol w:w="23"/>
        <w:gridCol w:w="1523"/>
      </w:tblGrid>
      <w:tr w:rsidR="00C11EDA" w:rsidRPr="00C11EDA" w:rsidTr="00D25A7A">
        <w:tc>
          <w:tcPr>
            <w:tcW w:w="1204" w:type="pct"/>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3796" w:type="pct"/>
            <w:gridSpan w:val="13"/>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41" w:name="_Toc365544745"/>
            <w:r w:rsidRPr="00C11EDA">
              <w:rPr>
                <w:rFonts w:ascii="Times New Roman" w:eastAsia="Times New Roman" w:hAnsi="Times New Roman" w:cs="Times New Roman"/>
                <w:b/>
                <w:bCs/>
                <w:sz w:val="24"/>
                <w:szCs w:val="24"/>
              </w:rPr>
              <w:t>A. Sakārtots nacionālais normatīvais regulējums intelektuālā īpašuma tiesību jomā</w:t>
            </w:r>
            <w:bookmarkEnd w:id="41"/>
          </w:p>
        </w:tc>
      </w:tr>
      <w:tr w:rsidR="00C11EDA" w:rsidRPr="00C11EDA" w:rsidTr="00D25A7A">
        <w:tc>
          <w:tcPr>
            <w:tcW w:w="1204" w:type="pct"/>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1119" w:type="pct"/>
            <w:gridSpan w:val="2"/>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Rezultatīvais rādītājs</w:t>
            </w:r>
          </w:p>
        </w:tc>
        <w:tc>
          <w:tcPr>
            <w:tcW w:w="537" w:type="pct"/>
            <w:gridSpan w:val="2"/>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2014. gads</w:t>
            </w:r>
          </w:p>
        </w:tc>
        <w:tc>
          <w:tcPr>
            <w:tcW w:w="535" w:type="pct"/>
            <w:gridSpan w:val="3"/>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2015. gads</w:t>
            </w:r>
          </w:p>
        </w:tc>
        <w:tc>
          <w:tcPr>
            <w:tcW w:w="536" w:type="pct"/>
            <w:gridSpan w:val="2"/>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2016. gads</w:t>
            </w:r>
          </w:p>
        </w:tc>
        <w:tc>
          <w:tcPr>
            <w:tcW w:w="536" w:type="pct"/>
            <w:gridSpan w:val="3"/>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2017. gads</w:t>
            </w:r>
          </w:p>
        </w:tc>
        <w:tc>
          <w:tcPr>
            <w:tcW w:w="533" w:type="pct"/>
            <w:tcBorders>
              <w:bottom w:val="single" w:sz="4" w:space="0" w:color="auto"/>
            </w:tcBorders>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2018. gads</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 Politikas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neprecizitātes normatīvajos aktos attiecībā uz intelektuālā īpašuma tiesību aizsardzību un pārvaldību.</w:t>
            </w: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Kvalitatīvi normatīvie akti attiecībā uz intelektuālā īpašuma tiesību aizsardzību un pārvaldību.</w:t>
            </w: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r>
      <w:tr w:rsidR="00C11EDA" w:rsidRPr="00C11EDA" w:rsidTr="00D25A7A">
        <w:tc>
          <w:tcPr>
            <w:tcW w:w="1204" w:type="pct"/>
            <w:shd w:val="clear" w:color="auto" w:fill="FFFFFF"/>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A1.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neprecizitātes normatīvajos aktos attiecībā uz kaitējuma atlīdzības piedziņas kārtību intelektuālā īpašuma tiesību piemērošanas prasībās.</w:t>
            </w:r>
          </w:p>
        </w:tc>
        <w:tc>
          <w:tcPr>
            <w:tcW w:w="1119" w:type="pct"/>
            <w:gridSpan w:val="2"/>
            <w:shd w:val="clear" w:color="auto" w:fill="FFFFFF"/>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Uzlabots normatīvo aktu regulējums attiecībā uz kaitējuma atlīdzības piedziņas kārtību intelektuālā īpašuma tiesību piemērošanas prasībās, kas atbilst </w:t>
            </w:r>
            <w:r w:rsidRPr="00C11EDA">
              <w:rPr>
                <w:rFonts w:ascii="Times New Roman" w:eastAsia="Calibri" w:hAnsi="Times New Roman" w:cs="Times New Roman"/>
                <w:sz w:val="24"/>
                <w:szCs w:val="24"/>
                <w:lang w:eastAsia="lv-LV"/>
              </w:rPr>
              <w:t>Eiropas Parlamenta un Padomes 2004.</w:t>
            </w:r>
            <w:r w:rsidR="00CC5B51">
              <w:rPr>
                <w:rFonts w:ascii="Times New Roman" w:eastAsia="Calibri" w:hAnsi="Times New Roman" w:cs="Times New Roman"/>
                <w:sz w:val="24"/>
                <w:szCs w:val="24"/>
                <w:lang w:eastAsia="lv-LV"/>
              </w:rPr>
              <w:t> </w:t>
            </w:r>
            <w:r w:rsidRPr="00C11EDA">
              <w:rPr>
                <w:rFonts w:ascii="Times New Roman" w:eastAsia="Calibri" w:hAnsi="Times New Roman" w:cs="Times New Roman"/>
                <w:sz w:val="24"/>
                <w:szCs w:val="24"/>
              </w:rPr>
              <w:t>gada 29.aprīļa direktīvai 2004/48/EK par intelektuālā īpašuma tiesību piemērošanu prasību attiecībā uz kaitējuma atlīdzības piedziņu.</w:t>
            </w:r>
          </w:p>
        </w:tc>
        <w:tc>
          <w:tcPr>
            <w:tcW w:w="537" w:type="pct"/>
            <w:gridSpan w:val="2"/>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normatīvajos aktos</w:t>
            </w:r>
          </w:p>
        </w:tc>
        <w:tc>
          <w:tcPr>
            <w:tcW w:w="535" w:type="pct"/>
            <w:gridSpan w:val="3"/>
            <w:shd w:val="clear" w:color="auto" w:fill="FFFFFF"/>
          </w:tcPr>
          <w:p w:rsidR="00C11EDA" w:rsidRPr="00C11EDA" w:rsidRDefault="00C11EDA" w:rsidP="00C11EDA">
            <w:pPr>
              <w:spacing w:after="0" w:line="240" w:lineRule="auto"/>
              <w:jc w:val="center"/>
              <w:rPr>
                <w:rFonts w:ascii="Times New Roman" w:eastAsia="Times New Roman" w:hAnsi="Times New Roman" w:cs="Times New Roman"/>
                <w:sz w:val="24"/>
                <w:szCs w:val="24"/>
              </w:rPr>
            </w:pPr>
            <w:r w:rsidRPr="00C11EDA">
              <w:rPr>
                <w:rFonts w:ascii="Times New Roman" w:eastAsia="Times New Roman" w:hAnsi="Times New Roman" w:cs="Times New Roman"/>
                <w:sz w:val="24"/>
                <w:szCs w:val="24"/>
              </w:rPr>
              <w:t>-</w:t>
            </w:r>
          </w:p>
        </w:tc>
        <w:tc>
          <w:tcPr>
            <w:tcW w:w="536" w:type="pct"/>
            <w:gridSpan w:val="2"/>
            <w:shd w:val="clear" w:color="auto" w:fill="FFFFFF"/>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6" w:type="pct"/>
            <w:gridSpan w:val="3"/>
            <w:shd w:val="clear" w:color="auto" w:fill="FFFFFF"/>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w:t>
            </w:r>
          </w:p>
        </w:tc>
        <w:tc>
          <w:tcPr>
            <w:tcW w:w="533" w:type="pct"/>
            <w:shd w:val="clear" w:color="auto" w:fill="FFFFFF"/>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A2.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Novērstas nepilnības un veikti nepieciešamie papildinājumi Autortiesību likuma regulējumā, nodrošinot atbilstību ES regulējumam, kā arī</w:t>
            </w:r>
            <w:r w:rsidR="00CC5B51">
              <w:rPr>
                <w:rFonts w:ascii="Times New Roman" w:eastAsia="Calibri" w:hAnsi="Times New Roman" w:cs="Times New Roman"/>
                <w:sz w:val="24"/>
                <w:szCs w:val="24"/>
              </w:rPr>
              <w:t xml:space="preserve"> izvērtējot citu ES</w:t>
            </w:r>
            <w:r w:rsidRPr="00C11EDA">
              <w:rPr>
                <w:rFonts w:ascii="Times New Roman" w:eastAsia="Calibri" w:hAnsi="Times New Roman" w:cs="Times New Roman"/>
                <w:sz w:val="24"/>
                <w:szCs w:val="24"/>
              </w:rPr>
              <w:t xml:space="preserve"> valstu normatīvo regulējumu un praksi ar mērķi sabalansēt autoru un sabiedrības intereses.</w:t>
            </w: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Uzlabots Autortiesību likuma regulējums, attiecībā uz</w:t>
            </w:r>
            <w:r w:rsidRPr="00C11EDA">
              <w:rPr>
                <w:rFonts w:ascii="Times New Roman" w:eastAsia="Calibri" w:hAnsi="Times New Roman" w:cs="Times New Roman"/>
                <w:bCs/>
                <w:iCs/>
                <w:sz w:val="24"/>
                <w:szCs w:val="24"/>
              </w:rPr>
              <w:t xml:space="preserve"> mantisko tiesību kolektīvā pārvaldījuma organizāciju noteiktajiem</w:t>
            </w:r>
            <w:r w:rsidRPr="00C11EDA">
              <w:rPr>
                <w:rFonts w:ascii="Times New Roman" w:eastAsia="Calibri" w:hAnsi="Times New Roman" w:cs="Times New Roman"/>
                <w:sz w:val="24"/>
                <w:szCs w:val="24"/>
              </w:rPr>
              <w:t xml:space="preserve"> tarifiem, taisnīgas atlīdzības noteikšanas kritērijiem obligātā autoru mantisko tiesību un blakustiesību kolektīvā pārvaldījuma gadījumā, līgumtiesisko regulējumu, autoru tiesību ierobežojumiem un kolektīvo pārvaldījumu organizāciju darbību uzraudzību, kā arī</w:t>
            </w:r>
            <w:r w:rsidR="00CC5B51" w:rsidRPr="00C11EDA">
              <w:rPr>
                <w:rFonts w:ascii="Times New Roman" w:eastAsia="Calibri" w:hAnsi="Times New Roman" w:cs="Times New Roman"/>
                <w:sz w:val="24"/>
                <w:szCs w:val="24"/>
              </w:rPr>
              <w:t>, izstrādājot detalizētāku kārtību</w:t>
            </w:r>
            <w:r w:rsidRPr="00C11EDA">
              <w:rPr>
                <w:rFonts w:ascii="Times New Roman" w:eastAsia="Times New Roman" w:hAnsi="Times New Roman" w:cs="Times New Roman"/>
                <w:sz w:val="24"/>
                <w:szCs w:val="24"/>
                <w:lang w:eastAsia="lv-LV"/>
              </w:rPr>
              <w:t>, kādā notiek Kultūras ministrijas izsniegtās atļaujas veikt mantisko tiesību kolektīvo pārvaldījumu anulēšana</w:t>
            </w:r>
            <w:r w:rsidRPr="00C11EDA">
              <w:rPr>
                <w:rFonts w:ascii="Times New Roman" w:eastAsia="Calibri" w:hAnsi="Times New Roman" w:cs="Times New Roman"/>
                <w:sz w:val="24"/>
                <w:szCs w:val="24"/>
              </w:rPr>
              <w:t xml:space="preserve">. </w:t>
            </w: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Grozījumi Autortiesību likumā </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A3. Darbības rezultāts</w:t>
            </w:r>
            <w:r w:rsidRPr="00C11EDA">
              <w:rPr>
                <w:rFonts w:ascii="Times New Roman" w:eastAsia="Calibri" w:hAnsi="Times New Roman" w:cs="Times New Roman"/>
                <w:sz w:val="24"/>
                <w:szCs w:val="24"/>
              </w:rPr>
              <w:t>:</w:t>
            </w:r>
          </w:p>
          <w:p w:rsidR="00C11EDA" w:rsidRPr="00C11EDA" w:rsidRDefault="00C11EDA" w:rsidP="00C11EDA">
            <w:pPr>
              <w:spacing w:after="0" w:line="240" w:lineRule="auto"/>
              <w:jc w:val="both"/>
              <w:rPr>
                <w:rFonts w:ascii="Times New Roman" w:eastAsia="Calibri" w:hAnsi="Times New Roman" w:cs="Times New Roman"/>
                <w:sz w:val="24"/>
                <w:szCs w:val="24"/>
                <w:lang w:eastAsia="lv-LV"/>
              </w:rPr>
            </w:pPr>
            <w:r w:rsidRPr="00C11EDA">
              <w:rPr>
                <w:rFonts w:ascii="Times New Roman" w:eastAsia="Calibri" w:hAnsi="Times New Roman" w:cs="Times New Roman"/>
                <w:sz w:val="24"/>
                <w:szCs w:val="24"/>
              </w:rPr>
              <w:t>Izvērtēts un uzlabots Civilprocesa likuma regulējums attiecībā uz intelektuālā īpašuma tiesību aizsardzību, paredzot</w:t>
            </w:r>
            <w:r w:rsidRPr="00C11EDA">
              <w:rPr>
                <w:rFonts w:ascii="Times New Roman" w:eastAsia="Calibri" w:hAnsi="Times New Roman" w:cs="Times New Roman"/>
                <w:sz w:val="24"/>
                <w:szCs w:val="24"/>
                <w:lang w:eastAsia="lv-LV"/>
              </w:rPr>
              <w:t xml:space="preserve"> iespēju izmantot tādu civiltiesiskās aizsardzības līdzekli kā atbildētāja negodīgi iegūtās peļņas piedziņa.</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Papildināts Civilprocesa likuma regulējums, paredzot</w:t>
            </w:r>
            <w:r w:rsidRPr="00C11EDA">
              <w:rPr>
                <w:rFonts w:ascii="Times New Roman" w:eastAsia="Calibri" w:hAnsi="Times New Roman" w:cs="Times New Roman"/>
                <w:sz w:val="24"/>
                <w:szCs w:val="24"/>
                <w:lang w:eastAsia="lv-LV"/>
              </w:rPr>
              <w:t xml:space="preserve"> atbildētāja negodīgi iegūtās peļņas piedziņu kā civiltiesiskās aizsardzības līdzekli.</w:t>
            </w: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Civilprocesa likumā</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A4.Darbības rezultāts</w:t>
            </w:r>
            <w:r w:rsidRPr="00C11EDA">
              <w:rPr>
                <w:rFonts w:ascii="Times New Roman" w:eastAsia="Calibri" w:hAnsi="Times New Roman" w:cs="Times New Roman"/>
                <w:sz w:val="24"/>
                <w:szCs w:val="24"/>
              </w:rPr>
              <w:t>:</w:t>
            </w: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Izvērtēts un uzlabots regulējums Augu šķirņu aizsardzības likumā, nosakot funkciju Valsts augu aizsardzības dienestam ieiet privātīpašumā, un veikt šķirnes identitātes pārbaudi, veicinot sadarbību starp selekcionāru un VAAD atbildīgajām personām pārkāpumu konstatēšanā un nepieciešamo dokumentu iesniegšanā tiesai.</w:t>
            </w: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Veikti grozījumi Augu šķirņu aizsardzības likumā, nosakot funkciju Valsts augu aizsardzības dienestam ieiet privātīpašumā</w:t>
            </w:r>
            <w:r w:rsidR="00422377" w:rsidRPr="00C11EDA">
              <w:rPr>
                <w:rFonts w:ascii="Times New Roman" w:eastAsia="Calibri" w:hAnsi="Times New Roman" w:cs="Times New Roman"/>
                <w:sz w:val="24"/>
                <w:szCs w:val="24"/>
              </w:rPr>
              <w:t>, un</w:t>
            </w:r>
            <w:r w:rsidRPr="00C11EDA">
              <w:rPr>
                <w:rFonts w:ascii="Times New Roman" w:eastAsia="Calibri" w:hAnsi="Times New Roman" w:cs="Times New Roman"/>
                <w:sz w:val="24"/>
                <w:szCs w:val="24"/>
              </w:rPr>
              <w:t xml:space="preserve"> veikt šķirnes identitātes pārbaudi, veicinot sadarbību starp selekcionāru un VAAD atbildīgajām personām pārkāpumu konstatēšanā un nepieciešamo dokumentu iesniegšanā tiesai.</w:t>
            </w: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Grozījumi Augu šķirņu aizsardzības likumā</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A5.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Izvērtēta likuma „Par Krimināllikuma spēkā stāšanās un piemērošanas kārtību” 23.</w:t>
            </w:r>
            <w:r w:rsidR="00CC5B51">
              <w:rPr>
                <w:rFonts w:ascii="Times New Roman" w:eastAsia="Calibri" w:hAnsi="Times New Roman" w:cs="Times New Roman"/>
                <w:sz w:val="24"/>
                <w:szCs w:val="24"/>
              </w:rPr>
              <w:t> </w:t>
            </w:r>
            <w:r w:rsidRPr="00C11EDA">
              <w:rPr>
                <w:rFonts w:ascii="Times New Roman" w:eastAsia="Calibri" w:hAnsi="Times New Roman" w:cs="Times New Roman"/>
                <w:sz w:val="24"/>
                <w:szCs w:val="24"/>
              </w:rPr>
              <w:t xml:space="preserve">pantā ietvertās </w:t>
            </w:r>
            <w:proofErr w:type="spellStart"/>
            <w:r w:rsidRPr="00C11EDA">
              <w:rPr>
                <w:rFonts w:ascii="Times New Roman" w:eastAsia="Calibri" w:hAnsi="Times New Roman" w:cs="Times New Roman"/>
                <w:sz w:val="24"/>
                <w:szCs w:val="24"/>
              </w:rPr>
              <w:t>ģenerālklauzulas</w:t>
            </w:r>
            <w:proofErr w:type="spellEnd"/>
            <w:r w:rsidRPr="00C11EDA">
              <w:rPr>
                <w:rFonts w:ascii="Times New Roman" w:eastAsia="Calibri" w:hAnsi="Times New Roman" w:cs="Times New Roman"/>
                <w:sz w:val="24"/>
                <w:szCs w:val="24"/>
              </w:rPr>
              <w:t xml:space="preserve"> „būtisks kaitējums” piemērošana</w:t>
            </w:r>
            <w:r w:rsidRPr="00C11EDA">
              <w:rPr>
                <w:rFonts w:ascii="Times New Roman" w:eastAsia="Calibri" w:hAnsi="Times New Roman" w:cs="Times New Roman"/>
                <w:sz w:val="24"/>
                <w:szCs w:val="24"/>
                <w:lang w:eastAsia="lv-LV"/>
              </w:rPr>
              <w:t xml:space="preserve"> attiecībā uz intelektuālā īpašuma tiesību aizskārumiem</w:t>
            </w:r>
            <w:r w:rsidRPr="00C11EDA">
              <w:rPr>
                <w:rFonts w:ascii="Times New Roman" w:eastAsia="Calibri" w:hAnsi="Times New Roman" w:cs="Times New Roman"/>
                <w:sz w:val="24"/>
                <w:szCs w:val="24"/>
              </w:rPr>
              <w:t xml:space="preserve">, izstrādājot </w:t>
            </w:r>
            <w:proofErr w:type="gramStart"/>
            <w:r w:rsidRPr="00C11EDA">
              <w:rPr>
                <w:rFonts w:ascii="Times New Roman" w:eastAsia="Calibri" w:hAnsi="Times New Roman" w:cs="Times New Roman"/>
                <w:sz w:val="24"/>
                <w:szCs w:val="24"/>
              </w:rPr>
              <w:t>vienotas vadlīnijas/metodiskos norādījumus</w:t>
            </w:r>
            <w:proofErr w:type="gramEnd"/>
            <w:r w:rsidRPr="00C11EDA">
              <w:rPr>
                <w:rFonts w:ascii="Times New Roman" w:eastAsia="Calibri" w:hAnsi="Times New Roman" w:cs="Times New Roman"/>
                <w:sz w:val="24"/>
                <w:szCs w:val="24"/>
              </w:rPr>
              <w:t>.</w:t>
            </w: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Vadlīnijas/metodiskie norādījumi par likuma „Par Krimināllikuma spēkā stāšanās un piemērošanas kārtību” 23. Panta piemērošanu attiecībā uz intelektuālā īpašuma tiesību aizskārumiem. </w:t>
            </w:r>
          </w:p>
          <w:p w:rsidR="00C11EDA" w:rsidRPr="00C11EDA" w:rsidRDefault="00C11EDA" w:rsidP="00C11EDA">
            <w:pPr>
              <w:spacing w:after="0" w:line="240" w:lineRule="auto"/>
              <w:jc w:val="both"/>
              <w:rPr>
                <w:rFonts w:ascii="Times New Roman" w:eastAsia="Calibri" w:hAnsi="Times New Roman" w:cs="Times New Roman"/>
                <w:sz w:val="24"/>
                <w:szCs w:val="24"/>
                <w:lang w:val="x-none"/>
              </w:rPr>
            </w:pP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vadlīnijas vai metodiskie norādījumi</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A 6. Darbības rezultāts: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Izvērtēt esošo normatīvo regulējumu attiecībā uz nesēja atlīdzības iekasēšanas kārtību un iekasētās atlīdzības principiem, tostarp izvērtējot nepieciešamību noteiktu subjektu loku atzīt par profesionāliem lietotājiem Ministru kabineta 2005.</w:t>
            </w:r>
            <w:r w:rsidR="00CC5B51">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 xml:space="preserve">gada </w:t>
            </w:r>
            <w:proofErr w:type="gramStart"/>
            <w:r w:rsidRPr="00C11EDA">
              <w:rPr>
                <w:rFonts w:ascii="Times New Roman" w:eastAsia="Times New Roman" w:hAnsi="Times New Roman" w:cs="Times New Roman"/>
                <w:sz w:val="24"/>
                <w:szCs w:val="24"/>
                <w:lang w:eastAsia="lv-LV"/>
              </w:rPr>
              <w:t>10.maija</w:t>
            </w:r>
            <w:proofErr w:type="gramEnd"/>
            <w:r w:rsidRPr="00C11EDA">
              <w:rPr>
                <w:rFonts w:ascii="Times New Roman" w:eastAsia="Times New Roman" w:hAnsi="Times New Roman" w:cs="Times New Roman"/>
                <w:sz w:val="24"/>
                <w:szCs w:val="24"/>
                <w:lang w:eastAsia="lv-LV"/>
              </w:rPr>
              <w:t xml:space="preserve"> noteikumu Nr.321 „Noteikumi par tukšo materiālo nesēju un reproducēšanai izmantojamo iekārtu atlīdzības lielumu un tās iekasēšanas, atmaksāšanas, sadales un izmaksas kārtību” izpratnē neatkarīgi no to reģistrēšanas profesionālo lietotāju reģistrā, profesionālo lietotāju atskaišu sniegšanas kārtības pilnveidošanas iespējas, kā arī izvērtējot nepieciešamību veikt izmaiņas iekasētās nesēja atlīdzības sadales kārtībā.</w:t>
            </w:r>
          </w:p>
          <w:p w:rsidR="00C11EDA" w:rsidRPr="00C11EDA" w:rsidRDefault="00C11EDA" w:rsidP="00C11EDA">
            <w:pPr>
              <w:spacing w:after="0" w:line="240" w:lineRule="auto"/>
              <w:jc w:val="both"/>
              <w:rPr>
                <w:rFonts w:ascii="Times New Roman" w:eastAsia="Calibri" w:hAnsi="Times New Roman" w:cs="Times New Roman"/>
                <w:b/>
                <w:sz w:val="24"/>
                <w:szCs w:val="24"/>
              </w:rPr>
            </w:pPr>
          </w:p>
        </w:tc>
        <w:tc>
          <w:tcPr>
            <w:tcW w:w="1119"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Uzlabots normatīvais regulējums attiecībā uz </w:t>
            </w:r>
            <w:r w:rsidRPr="00C11EDA">
              <w:rPr>
                <w:rFonts w:ascii="Times New Roman" w:eastAsia="Times New Roman" w:hAnsi="Times New Roman" w:cs="Times New Roman"/>
                <w:sz w:val="24"/>
                <w:szCs w:val="24"/>
                <w:lang w:eastAsia="lv-LV"/>
              </w:rPr>
              <w:t>nesēja atlīdzības iekasēšanas kārtību un iekasētās atlīdzības principiem, tostarp izvērtējot nepieciešamību noteiktu subjektu loku atzīt par profesionāliem lietotājiem.</w:t>
            </w:r>
          </w:p>
        </w:tc>
        <w:tc>
          <w:tcPr>
            <w:tcW w:w="537"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pētījums</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3796" w:type="pct"/>
            <w:gridSpan w:val="13"/>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42" w:name="_Toc365544746"/>
            <w:r w:rsidRPr="00C11EDA">
              <w:rPr>
                <w:rFonts w:ascii="Times New Roman" w:eastAsia="Times New Roman" w:hAnsi="Times New Roman" w:cs="Times New Roman"/>
                <w:b/>
                <w:bCs/>
                <w:sz w:val="24"/>
                <w:szCs w:val="24"/>
              </w:rPr>
              <w:t>B. Intelektuālā īpašuma tiesību jautājumos izglītoti tiesībsargājošo iestāžu darbinieki, uzņēmēji un informēta sabiedrība</w:t>
            </w:r>
            <w:bookmarkEnd w:id="42"/>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 Politikas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Paaugstinās sabiedrības zināšanas par intelektuālā īpašuma tiesību aizsardzību.</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Ir organizētas sabiedrības apmācības par intelektuālā īpašuma tiesību aizsardzību. </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 10 semināri 480 dalībniekiem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 10 semināri 480 dalībniekiem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 kursi 580 dalībniekiem10 semināri 480 dalībniekiem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B1. Darbības rezultāts:</w:t>
            </w:r>
            <w:r w:rsidRPr="00C11EDA">
              <w:rPr>
                <w:rFonts w:ascii="Times New Roman" w:eastAsia="Calibri" w:hAnsi="Times New Roman" w:cs="Times New Roman"/>
                <w:sz w:val="24"/>
                <w:szCs w:val="24"/>
              </w:rPr>
              <w:t xml:space="preserve"> Intelektuālā īpašuma tiesību aizsardzības jomā izglītoti tiesībsargājošo institūciju darbinieki.</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Tiesībsargājošo institūciju darbinieku zināšanas par intelektuālā īpašuma tiesību aizsardzību paaugstinājušās..</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B1.1. Darbības rezultāts: </w:t>
            </w:r>
            <w:r w:rsidRPr="00C11EDA">
              <w:rPr>
                <w:rFonts w:ascii="Times New Roman" w:eastAsia="Calibri" w:hAnsi="Times New Roman" w:cs="Times New Roman"/>
                <w:sz w:val="24"/>
                <w:szCs w:val="24"/>
              </w:rPr>
              <w:t>Muitas darbinieku apmācības kursu organizēšana intelektuālā īpašuma tiesību aizsardzības jomā.</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muitas darbiniekiem.</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100 muitas darbiniekiem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B1.2. Darbības rezultāts: </w:t>
            </w:r>
            <w:r w:rsidRPr="00C11EDA">
              <w:rPr>
                <w:rFonts w:ascii="Times New Roman" w:eastAsia="Calibri" w:hAnsi="Times New Roman" w:cs="Times New Roman"/>
                <w:sz w:val="24"/>
                <w:szCs w:val="24"/>
              </w:rPr>
              <w:t>Tiesnešu apmācības kursu organizēšana intelektuālā īpašuma tiesību aizsardzības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tiesnešiem.</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60 tiesnešiem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B1.3. Darbības rezultāts: </w:t>
            </w:r>
            <w:r w:rsidRPr="00C11EDA">
              <w:rPr>
                <w:rFonts w:ascii="Times New Roman" w:eastAsia="Calibri" w:hAnsi="Times New Roman" w:cs="Times New Roman"/>
                <w:sz w:val="24"/>
                <w:szCs w:val="24"/>
              </w:rPr>
              <w:t>Policijas darbinieku apmācības kursu organizēšana intelektuālā īpašuma tiesību aizsardzības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policijas darbiniekiem.</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100 policijas darbiniekiem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B1.4. Darbības rezultāts: </w:t>
            </w:r>
            <w:r w:rsidRPr="00C11EDA">
              <w:rPr>
                <w:rFonts w:ascii="Times New Roman" w:eastAsia="Calibri" w:hAnsi="Times New Roman" w:cs="Times New Roman"/>
                <w:sz w:val="24"/>
                <w:szCs w:val="24"/>
              </w:rPr>
              <w:t>Prokuroru apmācības kursu organizēšana intelektuālā īpašuma tiesību aizsardzības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kursi prokuroriem.</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30 prokuroriem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B1.5. Darbības rezultāts: </w:t>
            </w:r>
            <w:r w:rsidRPr="00C11EDA">
              <w:rPr>
                <w:rFonts w:ascii="Times New Roman" w:eastAsia="Calibri" w:hAnsi="Times New Roman" w:cs="Times New Roman"/>
                <w:sz w:val="24"/>
                <w:szCs w:val="24"/>
              </w:rPr>
              <w:t>Kopīgu apmācības kursu veidošana policijas darbiniekiem, tiesnešiem un prokuroriem intelektuālā īpašuma tiesību aizsardzības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Kopīgi apmācības kursi policijas darbiniekiem, tiesnešiem un prokuroriem.</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190 dalībniekiem (60 tiesnešiem, 30 p</w:t>
            </w:r>
            <w:r w:rsidR="0007735B">
              <w:rPr>
                <w:rFonts w:ascii="Times New Roman" w:eastAsia="Calibri" w:hAnsi="Times New Roman" w:cs="Times New Roman"/>
                <w:sz w:val="24"/>
                <w:szCs w:val="24"/>
              </w:rPr>
              <w:t>rokuroriem, 100 policijas darbi</w:t>
            </w:r>
            <w:r w:rsidRPr="00C11EDA">
              <w:rPr>
                <w:rFonts w:ascii="Times New Roman" w:eastAsia="Calibri" w:hAnsi="Times New Roman" w:cs="Times New Roman"/>
                <w:sz w:val="24"/>
                <w:szCs w:val="24"/>
              </w:rPr>
              <w:t>ni</w:t>
            </w:r>
            <w:r w:rsidR="0007735B">
              <w:rPr>
                <w:rFonts w:ascii="Times New Roman" w:eastAsia="Calibri" w:hAnsi="Times New Roman" w:cs="Times New Roman"/>
                <w:sz w:val="24"/>
                <w:szCs w:val="24"/>
              </w:rPr>
              <w:t>ekie</w:t>
            </w:r>
            <w:r w:rsidRPr="00C11EDA">
              <w:rPr>
                <w:rFonts w:ascii="Times New Roman" w:eastAsia="Calibri" w:hAnsi="Times New Roman" w:cs="Times New Roman"/>
                <w:sz w:val="24"/>
                <w:szCs w:val="24"/>
              </w:rPr>
              <w:t>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2 kursi 190 dalībniekiem (60 tiesnešiem, 30 prokuroriem, 100 policijas </w:t>
            </w:r>
            <w:r w:rsidR="0007735B">
              <w:rPr>
                <w:rFonts w:ascii="Times New Roman" w:eastAsia="Calibri" w:hAnsi="Times New Roman" w:cs="Times New Roman"/>
                <w:sz w:val="24"/>
                <w:szCs w:val="24"/>
              </w:rPr>
              <w:t>darbi</w:t>
            </w:r>
            <w:r w:rsidR="0007735B" w:rsidRPr="00C11EDA">
              <w:rPr>
                <w:rFonts w:ascii="Times New Roman" w:eastAsia="Calibri" w:hAnsi="Times New Roman" w:cs="Times New Roman"/>
                <w:sz w:val="24"/>
                <w:szCs w:val="24"/>
              </w:rPr>
              <w:t>ni</w:t>
            </w:r>
            <w:r w:rsidR="0007735B">
              <w:rPr>
                <w:rFonts w:ascii="Times New Roman" w:eastAsia="Calibri" w:hAnsi="Times New Roman" w:cs="Times New Roman"/>
                <w:sz w:val="24"/>
                <w:szCs w:val="24"/>
              </w:rPr>
              <w:t>ekie</w:t>
            </w:r>
            <w:r w:rsidR="0007735B" w:rsidRPr="00C11EDA">
              <w:rPr>
                <w:rFonts w:ascii="Times New Roman" w:eastAsia="Calibri" w:hAnsi="Times New Roman" w:cs="Times New Roman"/>
                <w:sz w:val="24"/>
                <w:szCs w:val="24"/>
              </w:rPr>
              <w:t>m</w:t>
            </w: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kursi 190 dalībniekiem (60 tiesnešiem</w:t>
            </w:r>
            <w:r w:rsidR="0007735B">
              <w:rPr>
                <w:rFonts w:ascii="Times New Roman" w:eastAsia="Calibri" w:hAnsi="Times New Roman" w:cs="Times New Roman"/>
                <w:sz w:val="24"/>
                <w:szCs w:val="24"/>
              </w:rPr>
              <w:t>, 30 prokuroriem, 100 policijas darbi</w:t>
            </w:r>
            <w:r w:rsidR="0007735B" w:rsidRPr="00C11EDA">
              <w:rPr>
                <w:rFonts w:ascii="Times New Roman" w:eastAsia="Calibri" w:hAnsi="Times New Roman" w:cs="Times New Roman"/>
                <w:sz w:val="24"/>
                <w:szCs w:val="24"/>
              </w:rPr>
              <w:t>ni</w:t>
            </w:r>
            <w:r w:rsidR="0007735B">
              <w:rPr>
                <w:rFonts w:ascii="Times New Roman" w:eastAsia="Calibri" w:hAnsi="Times New Roman" w:cs="Times New Roman"/>
                <w:sz w:val="24"/>
                <w:szCs w:val="24"/>
              </w:rPr>
              <w:t>ekiem</w:t>
            </w: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 Darbības rezultāts:</w:t>
            </w: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Papildinātas iesaistītās sabiedrības profesionālās zināšanas.</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Iesaistītās sabiedrības profesionālo zināšanu paaugstināšanās.</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B2.1. Darbības rezultāts: </w:t>
            </w:r>
            <w:r w:rsidRPr="00C11EDA">
              <w:rPr>
                <w:rFonts w:ascii="Times New Roman" w:eastAsia="Calibri" w:hAnsi="Times New Roman" w:cs="Times New Roman"/>
                <w:sz w:val="24"/>
                <w:szCs w:val="24"/>
              </w:rPr>
              <w:t>Zvērinātu advokātu apmācības kursu organizēšana intelektuālā īpašuma tiesību aizsardzības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Apmācības zvērinātiem advokātiem. </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numPr>
                <w:ilvl w:val="0"/>
                <w:numId w:val="32"/>
              </w:numPr>
              <w:spacing w:after="0" w:line="240" w:lineRule="auto"/>
              <w:jc w:val="center"/>
              <w:rPr>
                <w:rFonts w:ascii="Times New Roman" w:eastAsia="Calibri" w:hAnsi="Times New Roman" w:cs="Times New Roman"/>
                <w:sz w:val="24"/>
                <w:szCs w:val="24"/>
              </w:rPr>
            </w:pP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zvērinātiem advokātiem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B2.2.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Profesionālo </w:t>
            </w:r>
            <w:r w:rsidR="0007735B" w:rsidRPr="00C11EDA">
              <w:rPr>
                <w:rFonts w:ascii="Times New Roman" w:eastAsia="Calibri" w:hAnsi="Times New Roman" w:cs="Times New Roman"/>
                <w:sz w:val="24"/>
                <w:szCs w:val="24"/>
              </w:rPr>
              <w:t>patentpilnvaroto</w:t>
            </w:r>
            <w:r w:rsidRPr="00C11EDA">
              <w:rPr>
                <w:rFonts w:ascii="Times New Roman" w:eastAsia="Calibri" w:hAnsi="Times New Roman" w:cs="Times New Roman"/>
                <w:sz w:val="24"/>
                <w:szCs w:val="24"/>
              </w:rPr>
              <w:t xml:space="preserve"> apmācības semināru organizēšana intelektuālā īpašuma tiesību aizsardzības jomā. </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Apmācības profesionālajiem patentpilnvarotajiem</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80 patentpilnvarotajiem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B2.3.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Semināru intelektuālā īpašuma tiesību jomā organizēšana autoriem. </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Semināri autoru izglītošanai intelektuālā īpašuma tiesību jautājumos.</w:t>
            </w:r>
          </w:p>
        </w:tc>
        <w:tc>
          <w:tcPr>
            <w:tcW w:w="589"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p w:rsidR="00C11EDA" w:rsidRPr="00C11EDA" w:rsidRDefault="00C11EDA" w:rsidP="00C11EDA">
            <w:pPr>
              <w:jc w:val="center"/>
              <w:rPr>
                <w:rFonts w:ascii="Times New Roman" w:eastAsia="Calibri" w:hAnsi="Times New Roman" w:cs="Times New Roman"/>
                <w:sz w:val="24"/>
                <w:szCs w:val="24"/>
              </w:rPr>
            </w:pPr>
          </w:p>
        </w:tc>
        <w:tc>
          <w:tcPr>
            <w:tcW w:w="535"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B2.4. Darbības rezultāts:</w:t>
            </w: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 xml:space="preserve">Organizēti informatīvi pasākumi Latvijas uzņēmējiem par intelektuālā īpašuma tiesību būtību (pamatjautājumi) un aizsardzību. </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Informatīvi semināri Latvijas uzņēmumiem </w:t>
            </w:r>
          </w:p>
        </w:tc>
        <w:tc>
          <w:tcPr>
            <w:tcW w:w="589"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35"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semināri100 dalībniekiem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B3. Darbības rezultāts:</w:t>
            </w:r>
            <w:r w:rsidRPr="00C11EDA">
              <w:rPr>
                <w:rFonts w:ascii="Times New Roman" w:eastAsia="Calibri" w:hAnsi="Times New Roman" w:cs="Times New Roman"/>
                <w:sz w:val="24"/>
                <w:szCs w:val="24"/>
              </w:rPr>
              <w:t xml:space="preserve"> Sabiedrība informēta par intelektuālā īpašuma tiesību jomu. </w:t>
            </w: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Informatīvi semināri par intelektuālā īpašuma tiesībām</w:t>
            </w:r>
          </w:p>
        </w:tc>
        <w:tc>
          <w:tcPr>
            <w:tcW w:w="589"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35"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w:t>
            </w:r>
            <w:r w:rsidR="0007735B">
              <w:rPr>
                <w:rFonts w:ascii="Times New Roman" w:eastAsia="Calibri" w:hAnsi="Times New Roman" w:cs="Times New Roman"/>
                <w:sz w:val="24"/>
                <w:szCs w:val="24"/>
              </w:rPr>
              <w:t>n</w:t>
            </w:r>
            <w:r w:rsidRPr="00C11EDA">
              <w:rPr>
                <w:rFonts w:ascii="Times New Roman" w:eastAsia="Calibri" w:hAnsi="Times New Roman" w:cs="Times New Roman"/>
                <w:sz w:val="24"/>
                <w:szCs w:val="24"/>
              </w:rPr>
              <w:t>iekiem</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semināri 100 dalībniekiem</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B4. Darbības rezultāts:</w:t>
            </w:r>
            <w:r w:rsidRPr="00C11EDA">
              <w:rPr>
                <w:rFonts w:ascii="Times New Roman" w:eastAsia="Calibri" w:hAnsi="Times New Roman" w:cs="Times New Roman"/>
                <w:sz w:val="24"/>
                <w:szCs w:val="24"/>
              </w:rPr>
              <w:t xml:space="preserve"> Organizēta informācijas krājumu intelektuālā īpašuma tiesību jomā resursu iegāde, attīstīšana un popularizēšana</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PV departamenta „Patentu tehniskā bibliotēka” informācijas krājums intelektuālā īpašuma tiesību jomā</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38,50 milj. eksemplāri.</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39,00 milj. eksemplāri.</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39,50 milj. eksemplāri.</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40,00 milj. eksemplāri.</w:t>
            </w: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Krājuma apjoms – 40,50 milj. eksemplāri.</w:t>
            </w:r>
          </w:p>
          <w:p w:rsidR="00C11EDA" w:rsidRPr="00C11EDA" w:rsidRDefault="00C11EDA" w:rsidP="00C11EDA">
            <w:pPr>
              <w:spacing w:after="0" w:line="240" w:lineRule="auto"/>
              <w:jc w:val="center"/>
              <w:rPr>
                <w:rFonts w:ascii="Times New Roman" w:eastAsia="Calibri" w:hAnsi="Times New Roman" w:cs="Times New Roman"/>
                <w:sz w:val="24"/>
                <w:szCs w:val="24"/>
              </w:rPr>
            </w:pPr>
          </w:p>
        </w:tc>
      </w:tr>
      <w:tr w:rsidR="00C11EDA" w:rsidRPr="00C11EDA" w:rsidTr="00D25A7A">
        <w:trPr>
          <w:trHeight w:val="1405"/>
        </w:trPr>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B5. Darbības rezultāts: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Sagatavots</w:t>
            </w:r>
            <w:r w:rsidRPr="00C11EDA">
              <w:rPr>
                <w:rFonts w:ascii="Times New Roman" w:eastAsia="Calibri" w:hAnsi="Times New Roman" w:cs="Times New Roman"/>
                <w:sz w:val="24"/>
                <w:szCs w:val="24"/>
              </w:rPr>
              <w:t xml:space="preserve"> tiesas </w:t>
            </w:r>
            <w:r w:rsidRPr="00C11EDA">
              <w:rPr>
                <w:rFonts w:ascii="Times New Roman" w:eastAsia="Calibri" w:hAnsi="Times New Roman" w:cs="Times New Roman"/>
                <w:b/>
                <w:sz w:val="24"/>
                <w:szCs w:val="24"/>
              </w:rPr>
              <w:t>nolēmumu</w:t>
            </w:r>
            <w:r w:rsidRPr="00C11EDA">
              <w:rPr>
                <w:rFonts w:ascii="Times New Roman" w:eastAsia="Calibri" w:hAnsi="Times New Roman" w:cs="Times New Roman"/>
                <w:sz w:val="24"/>
                <w:szCs w:val="24"/>
              </w:rPr>
              <w:t xml:space="preserve"> intelektuālā īpašuma tiesību </w:t>
            </w:r>
            <w:r w:rsidR="00C55420">
              <w:rPr>
                <w:rFonts w:ascii="Times New Roman" w:eastAsia="Calibri" w:hAnsi="Times New Roman" w:cs="Times New Roman"/>
                <w:sz w:val="24"/>
                <w:szCs w:val="24"/>
              </w:rPr>
              <w:t xml:space="preserve">jomā </w:t>
            </w:r>
            <w:r w:rsidRPr="00C11EDA">
              <w:rPr>
                <w:rFonts w:ascii="Times New Roman" w:eastAsia="Calibri" w:hAnsi="Times New Roman" w:cs="Times New Roman"/>
                <w:sz w:val="24"/>
                <w:szCs w:val="24"/>
              </w:rPr>
              <w:t xml:space="preserve">(autortiesības, blakustiesības, preču zīmes, patenti, dizainparaugi, pusvadītāju izstrādājumu topogrāfijas) </w:t>
            </w:r>
            <w:r w:rsidRPr="00C11EDA">
              <w:rPr>
                <w:rFonts w:ascii="Times New Roman" w:eastAsia="Calibri" w:hAnsi="Times New Roman" w:cs="Times New Roman"/>
                <w:b/>
                <w:sz w:val="24"/>
                <w:szCs w:val="24"/>
              </w:rPr>
              <w:t>apkopojums un publicēts interneta vietnē.</w:t>
            </w:r>
            <w:r w:rsidRPr="00C11EDA">
              <w:rPr>
                <w:rFonts w:ascii="Times New Roman" w:eastAsia="Calibri" w:hAnsi="Times New Roman" w:cs="Times New Roman"/>
                <w:sz w:val="24"/>
                <w:szCs w:val="24"/>
              </w:rPr>
              <w:t xml:space="preserve"> </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Tiesas nolēmumu intelektuālā īpašuma tiesību lietās </w:t>
            </w:r>
            <w:r w:rsidRPr="00C11EDA">
              <w:rPr>
                <w:rFonts w:ascii="Times New Roman" w:eastAsia="Calibri" w:hAnsi="Times New Roman" w:cs="Times New Roman"/>
                <w:b/>
                <w:sz w:val="24"/>
                <w:szCs w:val="24"/>
              </w:rPr>
              <w:t>apkopojums, kas pieejams interneta vietnē</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B6. Darbības rezultāts:</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Interneta vietnē</w:t>
            </w:r>
            <w:r w:rsidRPr="00C11EDA">
              <w:rPr>
                <w:rFonts w:ascii="Times New Roman" w:eastAsia="Calibri" w:hAnsi="Times New Roman" w:cs="Times New Roman"/>
                <w:sz w:val="24"/>
                <w:szCs w:val="24"/>
              </w:rPr>
              <w:t xml:space="preserve"> nodrošināta sabiedrībai bezmaksas pieejama statistikas informācija par administratīvajiem pārkāpumiem un noziedzīgiem nodarījumiem intelektuālā īpašuma tiesību jomā.</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Bezmaksas pieeja statistikas informācijai par administratīvajiem pārkāpumiem un noziedzīgiem nodarījumiem intelektuālā īpašuma tiesību jomā </w:t>
            </w:r>
            <w:r w:rsidRPr="00C11EDA">
              <w:rPr>
                <w:rFonts w:ascii="Times New Roman" w:eastAsia="Calibri" w:hAnsi="Times New Roman" w:cs="Times New Roman"/>
                <w:b/>
                <w:sz w:val="24"/>
                <w:szCs w:val="24"/>
              </w:rPr>
              <w:t>interneta vietnē</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B7.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7.1. skolā un pirmsskolas vecuma bērni iepazīstināti ar intelektuālā īpašuma jēdzienu un nozīmi vienkāršotā un saprotamā veidā.</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7.2. organizētas intelektuālā īpašuma pasniedzēju un pedagogu apmācības un nodrošināta pieeja aktuālajai informācijai intelektuālā īpašuma jautājumos. </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7.3. Organizēti semināri studentiem par intelektuālā īpašuma aizsardzību.</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Skolas un pirmsskolas vecuma bērnu izpratne par intelektuālā īpašuma jēdzienu un nozīmi. </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Studentu zināšanas par intelektuālā īpašuma tiesībā un to aizsardzību.</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Intelektuālā īpašuma tiesību pasniedzēju un pedagogu apmācības.</w:t>
            </w: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100%</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B8. Darbības rezultāts:</w:t>
            </w: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Sagatavots informatīvs materiāls par Patentu tehniskās bibliotēkas piedāvātajiem pakalpojumiem, un nodrošināta to ievietošana pieteicējiem ērti pieejamā vietā tīmekļa vietnē.</w:t>
            </w:r>
          </w:p>
        </w:tc>
        <w:tc>
          <w:tcPr>
            <w:tcW w:w="1067"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Uzlabotas Patentu tehniskās bibliotēkas iespējas sniegt atbalsta pakalpojumus pieteicējam, veicinot rūpnieciskā īpašuma tiesību aizsardzību. </w:t>
            </w:r>
          </w:p>
        </w:tc>
        <w:tc>
          <w:tcPr>
            <w:tcW w:w="589"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35"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1 informatīvai s materiāls </w:t>
            </w:r>
          </w:p>
        </w:tc>
        <w:tc>
          <w:tcPr>
            <w:tcW w:w="536"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36"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33"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tc>
      </w:tr>
      <w:tr w:rsidR="00C11EDA" w:rsidRPr="00C11EDA" w:rsidTr="00D25A7A">
        <w:tc>
          <w:tcPr>
            <w:tcW w:w="1204" w:type="pct"/>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3796" w:type="pct"/>
            <w:gridSpan w:val="13"/>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43" w:name="_Toc365544747"/>
            <w:r w:rsidRPr="00C11EDA">
              <w:rPr>
                <w:rFonts w:ascii="Times New Roman" w:eastAsia="Times New Roman" w:hAnsi="Times New Roman" w:cs="Times New Roman"/>
                <w:b/>
                <w:bCs/>
                <w:sz w:val="24"/>
                <w:szCs w:val="24"/>
              </w:rPr>
              <w:t xml:space="preserve">C. </w:t>
            </w:r>
            <w:proofErr w:type="spellStart"/>
            <w:r w:rsidRPr="00C11EDA">
              <w:rPr>
                <w:rFonts w:ascii="Times New Roman" w:eastAsia="Times New Roman" w:hAnsi="Times New Roman" w:cs="Times New Roman"/>
                <w:b/>
                <w:bCs/>
                <w:sz w:val="24"/>
                <w:szCs w:val="24"/>
              </w:rPr>
              <w:t>Izgudrotājdarbības</w:t>
            </w:r>
            <w:proofErr w:type="spellEnd"/>
            <w:r w:rsidRPr="00C11EDA">
              <w:rPr>
                <w:rFonts w:ascii="Times New Roman" w:eastAsia="Times New Roman" w:hAnsi="Times New Roman" w:cs="Times New Roman"/>
                <w:b/>
                <w:bCs/>
                <w:sz w:val="24"/>
                <w:szCs w:val="24"/>
              </w:rPr>
              <w:t xml:space="preserve"> veicināšana</w:t>
            </w:r>
            <w:bookmarkEnd w:id="43"/>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C. Politikas rezultāts: </w:t>
            </w:r>
            <w:r w:rsidRPr="00C11EDA">
              <w:rPr>
                <w:rFonts w:ascii="Times New Roman" w:eastAsia="Calibri" w:hAnsi="Times New Roman" w:cs="Times New Roman"/>
                <w:sz w:val="24"/>
                <w:szCs w:val="24"/>
              </w:rPr>
              <w:t>Uzlabota Latvijas piešķirto patentu kvalitāte</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Uzlabota Latvijas piešķirto patentu kvalitāte</w:t>
            </w:r>
          </w:p>
        </w:tc>
        <w:tc>
          <w:tcPr>
            <w:tcW w:w="52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5"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8"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C1. Darbības rezultāts:</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Modernizēta Patentu informācijas sistēma, kas nodrošina elektronisku patentu pieteikumu iesniegšanas iespēju un iespēju tiesību īpašniekam internetā sekot līdzi pieteikuma statusam. </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Sabiedrībai bez maksas pieejami dati par Latvijas patentu nacionālās procedūras patentiem un patentu pieteikumiem.</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Ātrāks un ērtāks patentu iesniegšanas process.</w:t>
            </w:r>
          </w:p>
        </w:tc>
        <w:tc>
          <w:tcPr>
            <w:tcW w:w="52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5"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IT sistēma</w:t>
            </w:r>
          </w:p>
        </w:tc>
        <w:tc>
          <w:tcPr>
            <w:tcW w:w="518"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C2. Darbības rezultāts: </w:t>
            </w:r>
          </w:p>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Izvērtēts regulējums attiecībā uz Latvijas nacionālajā procedūrā piešķirto patentu kvalitāti un izstrādāti risinājuma varianti esošā </w:t>
            </w:r>
            <w:proofErr w:type="spellStart"/>
            <w:r w:rsidRPr="00C11EDA">
              <w:rPr>
                <w:rFonts w:ascii="Times New Roman" w:eastAsia="Calibri" w:hAnsi="Times New Roman" w:cs="Times New Roman"/>
                <w:sz w:val="24"/>
                <w:szCs w:val="24"/>
              </w:rPr>
              <w:t>regilējuma</w:t>
            </w:r>
            <w:proofErr w:type="spellEnd"/>
            <w:r w:rsidRPr="00C11EDA">
              <w:rPr>
                <w:rFonts w:ascii="Times New Roman" w:eastAsia="Calibri" w:hAnsi="Times New Roman" w:cs="Times New Roman"/>
                <w:sz w:val="24"/>
                <w:szCs w:val="24"/>
              </w:rPr>
              <w:t xml:space="preserve"> pilnveidošanai. </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Uzlabota Latvijas piešķirto patentu kvalitāte.</w:t>
            </w:r>
          </w:p>
        </w:tc>
        <w:tc>
          <w:tcPr>
            <w:tcW w:w="52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5"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Informatīvais ziņojums</w:t>
            </w:r>
          </w:p>
        </w:tc>
        <w:tc>
          <w:tcPr>
            <w:tcW w:w="518"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C3 Darbības rezultāts:</w:t>
            </w:r>
          </w:p>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sz w:val="24"/>
                <w:szCs w:val="24"/>
              </w:rPr>
              <w:t>Izstrādātas ekspertu vadlīnijas, kas ietvertu vienotu metodoloģiju un kritērijus iesniegtā patenta pieteikuma izskatīšanai.</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Novērsts ekspertu nekonsekvences trūkums patentu pieteikumu izvērtēšanā.</w:t>
            </w:r>
          </w:p>
        </w:tc>
        <w:tc>
          <w:tcPr>
            <w:tcW w:w="52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5"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vadlīnijas</w:t>
            </w:r>
          </w:p>
        </w:tc>
        <w:tc>
          <w:tcPr>
            <w:tcW w:w="518"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D9D9D9"/>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b/>
                <w:sz w:val="24"/>
                <w:szCs w:val="24"/>
              </w:rPr>
              <w:t>Politikas definētais mērķis/apakšmērķis</w:t>
            </w:r>
          </w:p>
        </w:tc>
        <w:tc>
          <w:tcPr>
            <w:tcW w:w="3796" w:type="pct"/>
            <w:gridSpan w:val="13"/>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44" w:name="_Toc365544748"/>
            <w:r w:rsidRPr="00C11EDA">
              <w:rPr>
                <w:rFonts w:ascii="Times New Roman" w:eastAsia="Times New Roman" w:hAnsi="Times New Roman" w:cs="Times New Roman"/>
                <w:b/>
                <w:bCs/>
                <w:sz w:val="24"/>
                <w:szCs w:val="24"/>
              </w:rPr>
              <w:t>D. Pētījumu veikšana intelektuālā īpašuma tiesību jomā</w:t>
            </w:r>
            <w:bookmarkEnd w:id="44"/>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 xml:space="preserve">D. Politikas rezultāts: </w:t>
            </w:r>
            <w:r w:rsidRPr="00C11EDA">
              <w:rPr>
                <w:rFonts w:ascii="Times New Roman" w:eastAsia="Calibri" w:hAnsi="Times New Roman" w:cs="Times New Roman"/>
                <w:sz w:val="24"/>
                <w:szCs w:val="24"/>
              </w:rPr>
              <w:t>Veikti</w:t>
            </w:r>
            <w:r w:rsidRPr="00C11EDA">
              <w:rPr>
                <w:rFonts w:ascii="Times New Roman" w:eastAsia="Calibri" w:hAnsi="Times New Roman" w:cs="Times New Roman"/>
                <w:b/>
                <w:sz w:val="24"/>
                <w:szCs w:val="24"/>
              </w:rPr>
              <w:t xml:space="preserve"> </w:t>
            </w:r>
            <w:r w:rsidRPr="00C11EDA">
              <w:rPr>
                <w:rFonts w:ascii="Times New Roman" w:eastAsia="Calibri" w:hAnsi="Times New Roman" w:cs="Times New Roman"/>
                <w:sz w:val="24"/>
                <w:szCs w:val="24"/>
              </w:rPr>
              <w:t>pētījumi un aptaujas par aktuālām problēmām intelektuālā īpašuma jomā.</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Izzināta situācija intelektuālā īpašuma tiesību jomā, noskaidrotas aktualitātes, neprecizitātes tiesību aktos, ierosināmie normatīvo aktu grozījumi.</w:t>
            </w:r>
          </w:p>
        </w:tc>
        <w:tc>
          <w:tcPr>
            <w:tcW w:w="524" w:type="pct"/>
            <w:gridSpan w:val="3"/>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15" w:type="pct"/>
            <w:gridSpan w:val="2"/>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18"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3 pētījumi</w:t>
            </w:r>
          </w:p>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2 aptaujas</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1 pētījums</w:t>
            </w: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D9D9D9"/>
          </w:tcPr>
          <w:p w:rsidR="00C11EDA" w:rsidRPr="00C11EDA" w:rsidRDefault="00C11EDA" w:rsidP="00C11EDA">
            <w:pPr>
              <w:spacing w:after="0" w:line="240" w:lineRule="auto"/>
              <w:jc w:val="center"/>
              <w:rPr>
                <w:rFonts w:ascii="Times New Roman" w:eastAsia="Calibri" w:hAnsi="Times New Roman" w:cs="Times New Roman"/>
                <w:b/>
                <w:sz w:val="24"/>
                <w:szCs w:val="24"/>
              </w:rPr>
            </w:pPr>
            <w:r w:rsidRPr="00C11EDA">
              <w:rPr>
                <w:rFonts w:ascii="Times New Roman" w:eastAsia="Calibri" w:hAnsi="Times New Roman" w:cs="Times New Roman"/>
                <w:b/>
                <w:sz w:val="24"/>
                <w:szCs w:val="24"/>
              </w:rPr>
              <w:t>Politikas definētais mērķis/apakšmērķis</w:t>
            </w:r>
          </w:p>
        </w:tc>
        <w:tc>
          <w:tcPr>
            <w:tcW w:w="3796" w:type="pct"/>
            <w:gridSpan w:val="13"/>
            <w:shd w:val="clear" w:color="auto" w:fill="D9D9D9"/>
          </w:tcPr>
          <w:p w:rsidR="00C11EDA" w:rsidRPr="00C11EDA" w:rsidRDefault="00C11EDA" w:rsidP="00C11EDA">
            <w:pPr>
              <w:keepNext/>
              <w:spacing w:before="240" w:after="60"/>
              <w:jc w:val="center"/>
              <w:outlineLvl w:val="2"/>
              <w:rPr>
                <w:rFonts w:ascii="Times New Roman" w:eastAsia="Times New Roman" w:hAnsi="Times New Roman" w:cs="Times New Roman"/>
                <w:b/>
                <w:bCs/>
                <w:sz w:val="24"/>
                <w:szCs w:val="24"/>
              </w:rPr>
            </w:pPr>
            <w:bookmarkStart w:id="45" w:name="_Toc365544749"/>
            <w:r w:rsidRPr="00C11EDA">
              <w:rPr>
                <w:rFonts w:ascii="Times New Roman" w:eastAsia="Times New Roman" w:hAnsi="Times New Roman" w:cs="Times New Roman"/>
                <w:b/>
                <w:bCs/>
                <w:sz w:val="24"/>
                <w:szCs w:val="24"/>
              </w:rPr>
              <w:t>E. Efektīva pirātisma novēršana un apkarošana internetā</w:t>
            </w:r>
            <w:bookmarkEnd w:id="45"/>
          </w:p>
        </w:tc>
      </w:tr>
      <w:tr w:rsidR="00C11EDA" w:rsidRPr="00C11EDA" w:rsidTr="00D25A7A">
        <w:trPr>
          <w:trHeight w:val="5096"/>
        </w:trPr>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b/>
                <w:sz w:val="24"/>
                <w:szCs w:val="24"/>
              </w:rPr>
              <w:t>E1. Darbības rezultāts:</w:t>
            </w:r>
            <w:r w:rsidRPr="00C11EDA">
              <w:rPr>
                <w:rFonts w:ascii="Times New Roman" w:eastAsia="Calibri" w:hAnsi="Times New Roman" w:cs="Times New Roman"/>
                <w:b/>
                <w:i/>
                <w:sz w:val="24"/>
                <w:szCs w:val="24"/>
              </w:rPr>
              <w:t xml:space="preserve"> </w:t>
            </w:r>
            <w:r w:rsidRPr="00C11EDA">
              <w:rPr>
                <w:rFonts w:ascii="Times New Roman" w:eastAsia="Times New Roman" w:hAnsi="Times New Roman" w:cs="Times New Roman"/>
                <w:sz w:val="24"/>
                <w:szCs w:val="24"/>
              </w:rPr>
              <w:t xml:space="preserve">Izstrādāts informatīvais ziņojums „Par </w:t>
            </w:r>
            <w:r w:rsidRPr="00C11EDA">
              <w:rPr>
                <w:rFonts w:ascii="Times New Roman" w:eastAsia="Times New Roman" w:hAnsi="Times New Roman" w:cs="Times New Roman"/>
                <w:i/>
                <w:sz w:val="24"/>
                <w:szCs w:val="24"/>
              </w:rPr>
              <w:t>pirātisma apkarošanu un novēršanu digitālā vidē”,</w:t>
            </w:r>
            <w:r w:rsidRPr="00C11EDA">
              <w:rPr>
                <w:rFonts w:ascii="Times New Roman" w:eastAsia="Calibri" w:hAnsi="Times New Roman" w:cs="Times New Roman"/>
                <w:sz w:val="24"/>
                <w:szCs w:val="24"/>
                <w:lang w:eastAsia="lv-LV"/>
              </w:rPr>
              <w:t xml:space="preserve"> atspoguļojot pastāvošās problēmas spēkā esošajā regulējumā un piedāvājot konstruktīvus un efektīvus risinājuma variantus esošās situācijas uzlabošanai praksē.</w:t>
            </w: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Informatīvais ziņojums, kas ietver pasākumu kopumu attiecībā uz pirātisma apkarošanu un novēršanu digitālā vidē.</w:t>
            </w: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p w:rsidR="00C11EDA" w:rsidRPr="00C11EDA" w:rsidRDefault="00C11EDA" w:rsidP="00C11EDA">
            <w:pPr>
              <w:spacing w:after="0" w:line="240" w:lineRule="auto"/>
              <w:jc w:val="both"/>
              <w:rPr>
                <w:rFonts w:ascii="Times New Roman" w:eastAsia="Calibri" w:hAnsi="Times New Roman" w:cs="Times New Roman"/>
                <w:sz w:val="24"/>
                <w:szCs w:val="24"/>
              </w:rPr>
            </w:pPr>
          </w:p>
        </w:tc>
        <w:tc>
          <w:tcPr>
            <w:tcW w:w="485"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5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p w:rsidR="00C11EDA" w:rsidRPr="00C11EDA" w:rsidRDefault="00C11EDA" w:rsidP="00C11EDA">
            <w:pPr>
              <w:spacing w:after="0" w:line="240" w:lineRule="auto"/>
              <w:jc w:val="center"/>
              <w:rPr>
                <w:rFonts w:ascii="Times New Roman" w:eastAsia="Calibri" w:hAnsi="Times New Roman" w:cs="Times New Roman"/>
                <w:sz w:val="24"/>
                <w:szCs w:val="24"/>
              </w:rPr>
            </w:pPr>
          </w:p>
        </w:tc>
        <w:tc>
          <w:tcPr>
            <w:tcW w:w="518" w:type="pct"/>
            <w:gridSpan w:val="2"/>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1 informatīvais ziņojums</w:t>
            </w:r>
          </w:p>
        </w:tc>
        <w:tc>
          <w:tcPr>
            <w:tcW w:w="519" w:type="pct"/>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w:t>
            </w:r>
          </w:p>
        </w:tc>
      </w:tr>
      <w:tr w:rsidR="00C11EDA" w:rsidRPr="00C11EDA" w:rsidTr="00D25A7A">
        <w:tc>
          <w:tcPr>
            <w:tcW w:w="1204" w:type="pct"/>
            <w:shd w:val="clear" w:color="auto" w:fill="auto"/>
          </w:tcPr>
          <w:p w:rsidR="00C11EDA" w:rsidRPr="00C11EDA" w:rsidRDefault="00C11EDA" w:rsidP="00C11EDA">
            <w:pPr>
              <w:spacing w:after="0" w:line="240" w:lineRule="auto"/>
              <w:jc w:val="both"/>
              <w:rPr>
                <w:rFonts w:ascii="Times New Roman" w:eastAsia="Calibri" w:hAnsi="Times New Roman" w:cs="Times New Roman"/>
                <w:b/>
                <w:sz w:val="24"/>
                <w:szCs w:val="24"/>
              </w:rPr>
            </w:pPr>
            <w:r w:rsidRPr="00C11EDA">
              <w:rPr>
                <w:rFonts w:ascii="Times New Roman" w:eastAsia="Calibri" w:hAnsi="Times New Roman" w:cs="Times New Roman"/>
                <w:b/>
                <w:sz w:val="24"/>
                <w:szCs w:val="24"/>
              </w:rPr>
              <w:t xml:space="preserve">E2. Darbības rezultāts: </w:t>
            </w:r>
            <w:r w:rsidRPr="00C11EDA">
              <w:rPr>
                <w:rFonts w:ascii="Times New Roman" w:eastAsia="Calibri" w:hAnsi="Times New Roman" w:cs="Times New Roman"/>
                <w:sz w:val="24"/>
                <w:szCs w:val="24"/>
              </w:rPr>
              <w:t>Novērsta sadrumstalotā kompetence augsto tehnoloģiju jomā un ar to starpniecību izdarīto noziegumu izmeklēšanā.</w:t>
            </w:r>
          </w:p>
          <w:p w:rsidR="00C11EDA" w:rsidRPr="00C11EDA" w:rsidRDefault="00C11EDA" w:rsidP="00C11EDA">
            <w:pPr>
              <w:spacing w:after="0" w:line="240" w:lineRule="auto"/>
              <w:jc w:val="both"/>
              <w:rPr>
                <w:rFonts w:ascii="Times New Roman" w:eastAsia="Calibri" w:hAnsi="Times New Roman" w:cs="Times New Roman"/>
                <w:b/>
                <w:sz w:val="24"/>
                <w:szCs w:val="24"/>
              </w:rPr>
            </w:pPr>
          </w:p>
        </w:tc>
        <w:tc>
          <w:tcPr>
            <w:tcW w:w="1179" w:type="pct"/>
            <w:gridSpan w:val="3"/>
            <w:shd w:val="clear" w:color="auto" w:fill="auto"/>
          </w:tcPr>
          <w:p w:rsidR="00C11EDA" w:rsidRPr="00C11EDA" w:rsidRDefault="00C11EDA" w:rsidP="00C11EDA">
            <w:pPr>
              <w:spacing w:after="0" w:line="240" w:lineRule="auto"/>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Izveidota specializēta struktūrvienība kibernoziegumu apkarošanai</w:t>
            </w:r>
          </w:p>
        </w:tc>
        <w:tc>
          <w:tcPr>
            <w:tcW w:w="485" w:type="pct"/>
            <w:gridSpan w:val="2"/>
            <w:shd w:val="clear" w:color="auto" w:fill="auto"/>
          </w:tcPr>
          <w:p w:rsidR="00C11EDA" w:rsidRPr="00C11EDA" w:rsidRDefault="00C11EDA" w:rsidP="00C11EDA">
            <w:pPr>
              <w:numPr>
                <w:ilvl w:val="0"/>
                <w:numId w:val="32"/>
              </w:numPr>
              <w:spacing w:after="0" w:line="240" w:lineRule="auto"/>
              <w:jc w:val="center"/>
              <w:rPr>
                <w:rFonts w:ascii="Times New Roman" w:eastAsia="Calibri" w:hAnsi="Times New Roman" w:cs="Times New Roman"/>
                <w:sz w:val="24"/>
                <w:szCs w:val="24"/>
              </w:rPr>
            </w:pPr>
          </w:p>
        </w:tc>
        <w:tc>
          <w:tcPr>
            <w:tcW w:w="554" w:type="pct"/>
            <w:gridSpan w:val="3"/>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rPr>
              <w:t>1 struktūrvienība</w:t>
            </w:r>
          </w:p>
        </w:tc>
        <w:tc>
          <w:tcPr>
            <w:tcW w:w="518" w:type="pct"/>
            <w:gridSpan w:val="2"/>
            <w:shd w:val="clear" w:color="auto" w:fill="auto"/>
          </w:tcPr>
          <w:p w:rsidR="00C11EDA" w:rsidRPr="00C11EDA" w:rsidRDefault="00C11EDA" w:rsidP="00C11EDA">
            <w:pPr>
              <w:numPr>
                <w:ilvl w:val="0"/>
                <w:numId w:val="32"/>
              </w:numPr>
              <w:spacing w:after="0" w:line="240" w:lineRule="auto"/>
              <w:jc w:val="both"/>
              <w:rPr>
                <w:rFonts w:ascii="Times New Roman" w:eastAsia="Calibri" w:hAnsi="Times New Roman" w:cs="Times New Roman"/>
                <w:sz w:val="24"/>
                <w:szCs w:val="24"/>
              </w:rPr>
            </w:pPr>
          </w:p>
        </w:tc>
        <w:tc>
          <w:tcPr>
            <w:tcW w:w="519" w:type="pct"/>
            <w:shd w:val="clear" w:color="auto" w:fill="auto"/>
          </w:tcPr>
          <w:p w:rsidR="00C11EDA" w:rsidRPr="00C11EDA" w:rsidRDefault="00C11EDA" w:rsidP="00C11EDA">
            <w:pPr>
              <w:numPr>
                <w:ilvl w:val="0"/>
                <w:numId w:val="32"/>
              </w:numPr>
              <w:spacing w:after="0" w:line="240" w:lineRule="auto"/>
              <w:jc w:val="center"/>
              <w:rPr>
                <w:rFonts w:ascii="Times New Roman" w:eastAsia="Calibri" w:hAnsi="Times New Roman" w:cs="Times New Roman"/>
                <w:sz w:val="24"/>
                <w:szCs w:val="24"/>
              </w:rPr>
            </w:pPr>
          </w:p>
        </w:tc>
        <w:tc>
          <w:tcPr>
            <w:tcW w:w="541" w:type="pct"/>
            <w:gridSpan w:val="2"/>
            <w:shd w:val="clear" w:color="auto" w:fill="auto"/>
          </w:tcPr>
          <w:p w:rsidR="00C11EDA" w:rsidRPr="00C11EDA" w:rsidRDefault="00C11EDA" w:rsidP="00C11EDA">
            <w:pPr>
              <w:spacing w:after="0" w:line="240" w:lineRule="auto"/>
              <w:jc w:val="center"/>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 -</w:t>
            </w:r>
          </w:p>
        </w:tc>
      </w:tr>
    </w:tbl>
    <w:p w:rsidR="00C11EDA" w:rsidRPr="00C11EDA" w:rsidRDefault="00C11EDA" w:rsidP="00C11EDA">
      <w:pPr>
        <w:spacing w:after="0" w:line="240" w:lineRule="auto"/>
        <w:rPr>
          <w:rFonts w:ascii="Times New Roman" w:eastAsia="Calibri" w:hAnsi="Times New Roman" w:cs="Times New Roman"/>
          <w:b/>
          <w:sz w:val="24"/>
          <w:szCs w:val="24"/>
        </w:rPr>
        <w:sectPr w:rsidR="00C11EDA" w:rsidRPr="00C11EDA" w:rsidSect="00D25A7A">
          <w:pgSz w:w="16838" w:h="11906" w:orient="landscape"/>
          <w:pgMar w:top="1701" w:right="1134" w:bottom="964" w:left="1701" w:header="709" w:footer="709" w:gutter="0"/>
          <w:cols w:space="708"/>
          <w:docGrid w:linePitch="360"/>
        </w:sectPr>
      </w:pPr>
    </w:p>
    <w:p w:rsidR="00C11EDA" w:rsidRPr="00C11EDA" w:rsidRDefault="00C11EDA" w:rsidP="00C11EDA">
      <w:pPr>
        <w:spacing w:after="0" w:line="240" w:lineRule="auto"/>
        <w:rPr>
          <w:rFonts w:ascii="Times New Roman" w:eastAsia="Calibri" w:hAnsi="Times New Roman" w:cs="Times New Roman"/>
          <w:b/>
          <w:sz w:val="24"/>
          <w:szCs w:val="24"/>
        </w:rPr>
      </w:pPr>
    </w:p>
    <w:p w:rsidR="00C11EDA" w:rsidRPr="00C11EDA" w:rsidRDefault="00C11EDA" w:rsidP="00C11EDA">
      <w:pPr>
        <w:keepNext/>
        <w:spacing w:before="240" w:after="60" w:line="240" w:lineRule="auto"/>
        <w:jc w:val="center"/>
        <w:outlineLvl w:val="1"/>
        <w:rPr>
          <w:rFonts w:ascii="Times New Roman" w:eastAsia="Times New Roman" w:hAnsi="Times New Roman" w:cs="Times New Roman"/>
          <w:b/>
          <w:bCs/>
          <w:iCs/>
          <w:sz w:val="28"/>
          <w:szCs w:val="28"/>
          <w:lang w:val="x-none" w:eastAsia="lv-LV"/>
        </w:rPr>
      </w:pPr>
      <w:bookmarkStart w:id="46" w:name="_Toc365544750"/>
      <w:r w:rsidRPr="00C11EDA">
        <w:rPr>
          <w:rFonts w:ascii="Times New Roman" w:eastAsia="Times New Roman" w:hAnsi="Times New Roman" w:cs="Times New Roman"/>
          <w:b/>
          <w:bCs/>
          <w:iCs/>
          <w:sz w:val="28"/>
          <w:szCs w:val="28"/>
          <w:lang w:val="x-none" w:eastAsia="lv-LV"/>
        </w:rPr>
        <w:t>9. Ietekmes uz valsts budžetu un pašvaldību budžetiem novērtējums</w:t>
      </w:r>
    </w:p>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Attīstības plānošanas dokumenta „Pamatnostādnes intelektuālā īpašuma tiesību aizsardzībai un nodrošināšanai 2014. - 2018. gadam” realizēšana tiks veikta iesaistīto institūciju atvēlēto un norādīto finansiālo resursu ietvaros savā kompetencē esošo uzdevumu īstenošanai, kā arī ir nepieciešams papildu finansējums no valsts budžeta. </w:t>
      </w:r>
    </w:p>
    <w:p w:rsidR="00C11EDA" w:rsidRPr="00C11EDA" w:rsidRDefault="00C11EDA" w:rsidP="00C11EDA">
      <w:pPr>
        <w:spacing w:after="0" w:line="240" w:lineRule="auto"/>
        <w:jc w:val="center"/>
        <w:rPr>
          <w:rFonts w:ascii="Arial" w:eastAsia="Times New Roman" w:hAnsi="Arial" w:cs="Arial"/>
          <w:b/>
          <w:bCs/>
          <w:sz w:val="27"/>
          <w:szCs w:val="27"/>
          <w:lang w:eastAsia="lv-LV"/>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4"/>
        <w:gridCol w:w="1392"/>
        <w:gridCol w:w="1502"/>
        <w:gridCol w:w="1183"/>
      </w:tblGrid>
      <w:tr w:rsidR="00C11EDA" w:rsidRPr="00C11EDA" w:rsidTr="00D25A7A">
        <w:trPr>
          <w:trHeight w:val="450"/>
        </w:trPr>
        <w:tc>
          <w:tcPr>
            <w:tcW w:w="2760" w:type="pct"/>
            <w:vMerge w:val="restar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c>
          <w:tcPr>
            <w:tcW w:w="2240" w:type="pct"/>
            <w:gridSpan w:val="3"/>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Turpmākie trīs gadi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tūkst. EUR)</w:t>
            </w:r>
          </w:p>
        </w:tc>
      </w:tr>
      <w:tr w:rsidR="00C11EDA" w:rsidRPr="00C11EDA" w:rsidTr="00D25A7A">
        <w:trPr>
          <w:trHeight w:val="450"/>
        </w:trPr>
        <w:tc>
          <w:tcPr>
            <w:tcW w:w="2760" w:type="pct"/>
            <w:vMerge/>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c>
          <w:tcPr>
            <w:tcW w:w="76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2015</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2016</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2017</w:t>
            </w:r>
          </w:p>
        </w:tc>
      </w:tr>
      <w:tr w:rsidR="00C11EDA" w:rsidRPr="00C11EDA" w:rsidTr="00D25A7A">
        <w:trPr>
          <w:trHeight w:val="255"/>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360" w:lineRule="auto"/>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Kopējās izmaiņas budžeta ieņēmumos t.sk.:</w:t>
            </w:r>
          </w:p>
        </w:tc>
        <w:tc>
          <w:tcPr>
            <w:tcW w:w="76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valsts budžeta ieņēmumos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pašvaldību budžeta ieņēmumos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Kopējās izmaiņas budžeta izdevumos t.sk.:</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valsts budžeta izdevumos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pašvaldību budžeta izdevumos</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Kopējā finansiālā ietekme:</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vAlign w:val="center"/>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Finansiālā ietekme uz valsts budžetu</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-78 320</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-41820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Finansiālā ietekme uz pašvaldību budžetu</w:t>
            </w:r>
          </w:p>
        </w:tc>
        <w:tc>
          <w:tcPr>
            <w:tcW w:w="2240" w:type="pct"/>
            <w:gridSpan w:val="3"/>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rPr>
                <w:rFonts w:ascii="Times New Roman" w:eastAsia="Times New Roman" w:hAnsi="Times New Roman" w:cs="Times New Roman"/>
                <w:sz w:val="24"/>
                <w:szCs w:val="24"/>
                <w:lang w:eastAsia="lv-LV"/>
              </w:rPr>
            </w:pPr>
          </w:p>
        </w:tc>
      </w:tr>
      <w:tr w:rsidR="00C11EDA" w:rsidRPr="00C11EDA" w:rsidTr="00D25A7A">
        <w:trPr>
          <w:trHeight w:val="840"/>
        </w:trPr>
        <w:tc>
          <w:tcPr>
            <w:tcW w:w="5000" w:type="pct"/>
            <w:gridSpan w:val="4"/>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Detalizēts ieņēmumu un izdevumu aprēķins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ja nepieciešams, detalizētu ieņēmumu un izdevumu aprēķinu pievieno politikas plānošanas dokumenta pielikumā. Ietekmi uz valsts un pašvaldību budžetiem norāda atsevišķi valsts un pašvaldību budžetam)</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B1.1.Darbības rezultāta (muitas darbinieku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FM </w:t>
            </w:r>
            <w:r w:rsidRPr="00C11EDA">
              <w:rPr>
                <w:rFonts w:ascii="Times New Roman" w:eastAsia="Calibri" w:hAnsi="Times New Roman" w:cs="Times New Roman"/>
                <w:b/>
                <w:sz w:val="24"/>
              </w:rPr>
              <w:t>4000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FM B.1.1.darbības rezultāta realizēšanai </w:t>
            </w:r>
            <w:r w:rsidRPr="00C11EDA">
              <w:rPr>
                <w:rFonts w:ascii="Times New Roman" w:eastAsia="Calibri" w:hAnsi="Times New Roman" w:cs="Times New Roman"/>
                <w:b/>
                <w:sz w:val="24"/>
              </w:rPr>
              <w:t>12 000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B1.2.Darbības rezultāta (tiesnešu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60 dalībnieki = 1440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3040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60 dalībnieki = 1440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3040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60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60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60 dalībnieki = 1440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3040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TM B.1.2.darbības rezultāta realizēšanai </w:t>
            </w:r>
            <w:r w:rsidRPr="00C11EDA">
              <w:rPr>
                <w:rFonts w:ascii="Times New Roman" w:eastAsia="Calibri" w:hAnsi="Times New Roman" w:cs="Times New Roman"/>
                <w:b/>
                <w:sz w:val="24"/>
              </w:rPr>
              <w:t>9120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B1.3.Darbības rezultāta (policijas darbinieku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Calibri" w:hAnsi="Times New Roman" w:cs="Times New Roman"/>
                <w:b/>
                <w:sz w:val="24"/>
              </w:rPr>
              <w:t>4000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Times New Roman" w:hAnsi="Times New Roman" w:cs="Times New Roman"/>
                <w:b/>
                <w:sz w:val="24"/>
                <w:szCs w:val="24"/>
                <w:lang w:eastAsia="lv-LV"/>
              </w:rPr>
              <w:t>4000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(vienas pilnas dienas telpu noma 100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100 dalībniekiem 2400 EUR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IeM </w:t>
            </w:r>
            <w:r w:rsidRPr="00C11EDA">
              <w:rPr>
                <w:rFonts w:ascii="Times New Roman" w:eastAsia="Calibri" w:hAnsi="Times New Roman" w:cs="Times New Roman"/>
                <w:b/>
                <w:sz w:val="24"/>
              </w:rPr>
              <w:t>4000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IeM B.1.3.darbības rezultāta realizēšanai </w:t>
            </w:r>
            <w:r w:rsidRPr="00C11EDA">
              <w:rPr>
                <w:rFonts w:ascii="Times New Roman" w:eastAsia="Calibri" w:hAnsi="Times New Roman" w:cs="Times New Roman"/>
                <w:b/>
                <w:sz w:val="24"/>
              </w:rPr>
              <w:t>12000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B1.4.Darbības rezultāta (prokuroru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300 EUR (150 EUR (vienas pilnas dienas telpu noma 30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 30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30 dalībnieki = 720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2020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300 EUR (150 EUR (vienas pilnas dienas telpu noma 30 dalībniekiem)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w:t>
            </w:r>
            <w:r w:rsidR="007A7F99">
              <w:rPr>
                <w:rFonts w:ascii="Times New Roman" w:eastAsia="Times New Roman" w:hAnsi="Times New Roman" w:cs="Times New Roman"/>
                <w:sz w:val="24"/>
                <w:szCs w:val="24"/>
                <w:lang w:eastAsia="lv-LV"/>
              </w:rPr>
              <w:t xml:space="preserve"> </w:t>
            </w:r>
            <w:r w:rsidRPr="00C11EDA">
              <w:rPr>
                <w:rFonts w:ascii="Times New Roman" w:eastAsia="Times New Roman" w:hAnsi="Times New Roman" w:cs="Times New Roman"/>
                <w:sz w:val="24"/>
                <w:szCs w:val="24"/>
                <w:lang w:eastAsia="lv-LV"/>
              </w:rPr>
              <w:t>30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30 dalībnieki = 720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2020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300 EUR (150 EUR (vienas pilnas dienas telpu noma 30 dalībniekiem)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(2 kafijas pauzes katru apmācības dienu, kopā 2 apmācību dienas= 4 kafijas pauzes)</w:t>
            </w:r>
            <w:proofErr w:type="gramStart"/>
            <w:r w:rsidRPr="00C11EDA">
              <w:rPr>
                <w:rFonts w:ascii="Times New Roman" w:eastAsia="Times New Roman" w:hAnsi="Times New Roman" w:cs="Times New Roman"/>
                <w:sz w:val="24"/>
                <w:szCs w:val="24"/>
                <w:lang w:eastAsia="lv-LV"/>
              </w:rPr>
              <w:t xml:space="preserve">  </w:t>
            </w:r>
            <w:proofErr w:type="gramEnd"/>
            <w:r w:rsidRPr="00C11EDA">
              <w:rPr>
                <w:rFonts w:ascii="Times New Roman" w:eastAsia="Times New Roman" w:hAnsi="Times New Roman" w:cs="Times New Roman"/>
                <w:sz w:val="24"/>
                <w:szCs w:val="24"/>
                <w:lang w:eastAsia="lv-LV"/>
              </w:rPr>
              <w:t>30 dalībniekiem (vienas kafijas pauzes izmaksas 1 dalībniekam 6 EUR))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x 6 EUR x 30 dalībnieki = 720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2020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TM B.1.4.darbības rezultāta realizēšanai </w:t>
            </w:r>
            <w:r w:rsidRPr="00C11EDA">
              <w:rPr>
                <w:rFonts w:ascii="Times New Roman" w:eastAsia="Calibri" w:hAnsi="Times New Roman" w:cs="Times New Roman"/>
                <w:b/>
                <w:sz w:val="24"/>
              </w:rPr>
              <w:t>6060</w:t>
            </w:r>
            <w:r w:rsidRPr="00C11EDA">
              <w:rPr>
                <w:rFonts w:ascii="Times New Roman" w:eastAsia="Times New Roman" w:hAnsi="Times New Roman" w:cs="Times New Roman"/>
                <w:b/>
                <w:sz w:val="24"/>
                <w:szCs w:val="24"/>
                <w:lang w:eastAsia="lv-LV"/>
              </w:rPr>
              <w:t> </w:t>
            </w:r>
            <w:r w:rsidRPr="00C11EDA">
              <w:rPr>
                <w:rFonts w:ascii="Times New Roman" w:eastAsia="Calibri" w:hAnsi="Times New Roman" w:cs="Times New Roman"/>
                <w:b/>
                <w:sz w:val="24"/>
              </w:rPr>
              <w:t>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B1.5.Darbības rezultāta (kopīgas policijas darbinieku, tiesnešu, prokuroru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90 dalībnieki = 2160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proofErr w:type="spellStart"/>
            <w:r w:rsidRPr="00C11EDA">
              <w:rPr>
                <w:rFonts w:ascii="Times New Roman" w:eastAsia="Times New Roman" w:hAnsi="Times New Roman" w:cs="Times New Roman"/>
                <w:b/>
                <w:sz w:val="24"/>
                <w:szCs w:val="24"/>
                <w:lang w:eastAsia="lv-LV"/>
              </w:rPr>
              <w:t>Iekslietu</w:t>
            </w:r>
            <w:proofErr w:type="spellEnd"/>
            <w:r w:rsidRPr="00C11EDA">
              <w:rPr>
                <w:rFonts w:ascii="Times New Roman" w:eastAsia="Times New Roman" w:hAnsi="Times New Roman" w:cs="Times New Roman"/>
                <w:b/>
                <w:sz w:val="24"/>
                <w:szCs w:val="24"/>
                <w:lang w:eastAsia="lv-LV"/>
              </w:rPr>
              <w:t xml:space="preserve"> ministrijai 4000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3760 EUR (90 darbinieku 2 dienu apmācībām (60 tiesneši un 30 prokurori)), IeM 4000 EUR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3760</w:t>
            </w:r>
            <w:r w:rsidRPr="00C11EDA">
              <w:rPr>
                <w:rFonts w:ascii="Times New Roman" w:eastAsia="Calibri" w:hAnsi="Times New Roman" w:cs="Times New Roman"/>
                <w:b/>
                <w:sz w:val="24"/>
              </w:rPr>
              <w:t xml:space="preserve">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90 dalībnieki = 2160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Iek</w:t>
            </w:r>
            <w:r w:rsidR="0040394A">
              <w:rPr>
                <w:rFonts w:ascii="Times New Roman" w:eastAsia="Times New Roman" w:hAnsi="Times New Roman" w:cs="Times New Roman"/>
                <w:b/>
                <w:sz w:val="24"/>
                <w:szCs w:val="24"/>
                <w:lang w:eastAsia="lv-LV"/>
              </w:rPr>
              <w:t>š</w:t>
            </w:r>
            <w:r w:rsidRPr="00C11EDA">
              <w:rPr>
                <w:rFonts w:ascii="Times New Roman" w:eastAsia="Times New Roman" w:hAnsi="Times New Roman" w:cs="Times New Roman"/>
                <w:b/>
                <w:sz w:val="24"/>
                <w:szCs w:val="24"/>
                <w:lang w:eastAsia="lv-LV"/>
              </w:rPr>
              <w:t>lietu ministrijai 4000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3760 EUR (90 darbinieku 2 dienu apmācībām (60 tiesneši un 30 prokurori)), IeM 4000 EUR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Tieslietu ministrijai 3760</w:t>
            </w:r>
            <w:r w:rsidRPr="00C11EDA">
              <w:rPr>
                <w:rFonts w:ascii="Times New Roman" w:eastAsia="Calibri" w:hAnsi="Times New Roman" w:cs="Times New Roman"/>
                <w:b/>
                <w:sz w:val="24"/>
              </w:rPr>
              <w:t xml:space="preserve">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(90 dalībniekiem (30 prokuroriem un 60 tiesnešiem))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(90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90 dalībnieki = 2160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Iek</w:t>
            </w:r>
            <w:r w:rsidR="0040394A">
              <w:rPr>
                <w:rFonts w:ascii="Times New Roman" w:eastAsia="Times New Roman" w:hAnsi="Times New Roman" w:cs="Times New Roman"/>
                <w:b/>
                <w:sz w:val="24"/>
                <w:szCs w:val="24"/>
                <w:lang w:eastAsia="lv-LV"/>
              </w:rPr>
              <w:t>š</w:t>
            </w:r>
            <w:r w:rsidRPr="00C11EDA">
              <w:rPr>
                <w:rFonts w:ascii="Times New Roman" w:eastAsia="Times New Roman" w:hAnsi="Times New Roman" w:cs="Times New Roman"/>
                <w:b/>
                <w:sz w:val="24"/>
                <w:szCs w:val="24"/>
                <w:lang w:eastAsia="lv-LV"/>
              </w:rPr>
              <w:t>lietu ministrijai 4000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600 EUR (300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vienas pilnas dienas telpu noma (100 dalībniekiem)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1000 EUR </w:t>
            </w:r>
            <w:proofErr w:type="gramStart"/>
            <w:r w:rsidRPr="00C11EDA">
              <w:rPr>
                <w:rFonts w:ascii="Times New Roman" w:eastAsia="Times New Roman" w:hAnsi="Times New Roman" w:cs="Times New Roman"/>
                <w:sz w:val="24"/>
                <w:szCs w:val="24"/>
                <w:lang w:eastAsia="lv-LV"/>
              </w:rPr>
              <w:t>(</w:t>
            </w:r>
            <w:proofErr w:type="gramEnd"/>
            <w:r w:rsidRPr="00C11EDA">
              <w:rPr>
                <w:rFonts w:ascii="Times New Roman" w:eastAsia="Times New Roman" w:hAnsi="Times New Roman" w:cs="Times New Roman"/>
                <w:sz w:val="24"/>
                <w:szCs w:val="24"/>
                <w:lang w:eastAsia="lv-LV"/>
              </w:rPr>
              <w:t xml:space="preserve">8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Kafijas pauzes (100 dalībniekiem) 4 </w:t>
            </w:r>
            <w:proofErr w:type="spellStart"/>
            <w:r w:rsidRPr="00C11EDA">
              <w:rPr>
                <w:rFonts w:ascii="Times New Roman" w:eastAsia="Times New Roman" w:hAnsi="Times New Roman" w:cs="Times New Roman"/>
                <w:sz w:val="24"/>
                <w:szCs w:val="24"/>
                <w:lang w:eastAsia="lv-LV"/>
              </w:rPr>
              <w:t>kaf.pauzes</w:t>
            </w:r>
            <w:proofErr w:type="spellEnd"/>
            <w:r w:rsidRPr="00C11EDA">
              <w:rPr>
                <w:rFonts w:ascii="Times New Roman" w:eastAsia="Times New Roman" w:hAnsi="Times New Roman" w:cs="Times New Roman"/>
                <w:sz w:val="24"/>
                <w:szCs w:val="24"/>
                <w:lang w:eastAsia="lv-LV"/>
              </w:rPr>
              <w:t xml:space="preserve"> (divas kafijas pauzes vienā dienā x 2 dienas) x 6 EUR x 100 dalībnieki = 2400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3760 EUR (90 darbinieku 2 dienu apmācībām (60 tiesneši un 30 prokurori)), IeM 4000 EUR (100 policijas darbinieku divu dienu apmācībām);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B.1.5.darbības rezultāta realizēšanai </w:t>
            </w:r>
            <w:r w:rsidRPr="00C11EDA">
              <w:rPr>
                <w:rFonts w:ascii="Times New Roman" w:eastAsia="Times New Roman" w:hAnsi="Times New Roman" w:cs="Times New Roman"/>
                <w:b/>
                <w:sz w:val="24"/>
                <w:szCs w:val="24"/>
                <w:lang w:eastAsia="lv-LV"/>
              </w:rPr>
              <w:t>23280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B2.1.Darbības rezultāta (zvērinātu advokātu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200 dalībnieku apmācību, ko veido 2 apmācības, katrā 100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B.2.1.darbības rezultāta realizēšanai TM </w:t>
            </w:r>
            <w:r w:rsidRPr="00C11EDA">
              <w:rPr>
                <w:rFonts w:ascii="Times New Roman" w:eastAsia="Calibri" w:hAnsi="Times New Roman" w:cs="Times New Roman"/>
                <w:b/>
                <w:sz w:val="24"/>
              </w:rPr>
              <w:t>2700 EUR</w:t>
            </w: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B2.2.Darbības rezultāta (profesionālo patentpilnvaroto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Papildus nepieciešamais finansējums TM</w:t>
            </w:r>
            <w:r w:rsidRPr="00C11EDA">
              <w:rPr>
                <w:rFonts w:ascii="Times New Roman" w:eastAsia="Times New Roman" w:hAnsi="Times New Roman" w:cs="Times New Roman"/>
                <w:b/>
                <w:sz w:val="24"/>
                <w:szCs w:val="24"/>
                <w:lang w:eastAsia="lv-LV"/>
              </w:rPr>
              <w:t xml:space="preserve"> 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 xml:space="preserve">gads: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80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Nodrošinot 160 dalībnieku apmācību, ko veido 2 apmācības, katrā 80 dalībnieki, bez kafijas pauzes);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Kopējais papildus nepieciešamais finansējums B.2.2.darbības rezultāta realizēšanai TM </w:t>
            </w:r>
            <w:r w:rsidRPr="00C11EDA">
              <w:rPr>
                <w:rFonts w:ascii="Times New Roman" w:eastAsia="Calibri" w:hAnsi="Times New Roman" w:cs="Times New Roman"/>
                <w:b/>
                <w:sz w:val="24"/>
              </w:rPr>
              <w:t>2700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B2.3.Darbības rezultāta (autoru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KM </w:t>
            </w:r>
            <w:r w:rsidRPr="00C11EDA">
              <w:rPr>
                <w:rFonts w:ascii="Times New Roman" w:eastAsia="Calibri" w:hAnsi="Times New Roman" w:cs="Times New Roman"/>
                <w:b/>
                <w:sz w:val="24"/>
              </w:rPr>
              <w:t>900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B.2.3.darbības rezultāta realizēšanai KM </w:t>
            </w:r>
            <w:r w:rsidRPr="00C11EDA">
              <w:rPr>
                <w:rFonts w:ascii="Times New Roman" w:eastAsia="Calibri" w:hAnsi="Times New Roman" w:cs="Times New Roman"/>
                <w:b/>
                <w:sz w:val="24"/>
              </w:rPr>
              <w:t>2700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B2.4.Darbības rezultāta (uzņēmēju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B.2.4.darbības rezultāta realizēšanai TM </w:t>
            </w:r>
            <w:r w:rsidRPr="00C11EDA">
              <w:rPr>
                <w:rFonts w:ascii="Times New Roman" w:eastAsia="Calibri" w:hAnsi="Times New Roman" w:cs="Times New Roman"/>
                <w:b/>
                <w:sz w:val="24"/>
              </w:rPr>
              <w:t>2700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b/>
                <w:sz w:val="24"/>
                <w:szCs w:val="24"/>
                <w:lang w:eastAsia="lv-LV"/>
              </w:rPr>
            </w:pPr>
            <w:r w:rsidRPr="00C11EDA">
              <w:rPr>
                <w:rFonts w:ascii="Times New Roman" w:eastAsia="Times New Roman" w:hAnsi="Times New Roman" w:cs="Times New Roman"/>
                <w:b/>
                <w:sz w:val="24"/>
                <w:szCs w:val="24"/>
                <w:lang w:eastAsia="lv-LV"/>
              </w:rPr>
              <w:t>B3.Darbības rezultāta (sabiedrības apmācības) detalizēts aprēķins: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2016.</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ml:space="preserve">) x 2 (divas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2017.</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400 EUR (200 EUR (vienas 4 stundu apmācības telpu noma 100 dalībniekiem (vienā apmācību dienā)) x 2 apmācību dienas),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Times New Roman" w:hAnsi="Times New Roman" w:cs="Times New Roman"/>
                <w:b/>
                <w:sz w:val="24"/>
                <w:szCs w:val="24"/>
                <w:lang w:eastAsia="lv-LV"/>
              </w:rPr>
              <w:t>900 EUR</w:t>
            </w:r>
            <w:r w:rsidRPr="00C11EDA">
              <w:rPr>
                <w:rFonts w:ascii="Times New Roman" w:eastAsia="Times New Roman" w:hAnsi="Times New Roman" w:cs="Times New Roman"/>
                <w:sz w:val="24"/>
                <w:szCs w:val="24"/>
                <w:lang w:eastAsia="lv-LV"/>
              </w:rPr>
              <w:t>;</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2018.</w:t>
            </w:r>
            <w:r w:rsidR="00422377">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gads:</w:t>
            </w:r>
            <w:r w:rsidRPr="00C11EDA">
              <w:rPr>
                <w:rFonts w:ascii="Times New Roman" w:eastAsia="Times New Roman" w:hAnsi="Times New Roman" w:cs="Times New Roman"/>
                <w:sz w:val="24"/>
                <w:szCs w:val="24"/>
                <w:lang w:eastAsia="lv-LV"/>
              </w:rPr>
              <w:t xml:space="preserve"> Telpu noma 400 EUR (200 EUR (vienas 4 stundu apmācības telpu noma 100 dalībniekiem (vienā apmācību dienā)) x 2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Atlīdzība lektoriem 500 EUR (4 </w:t>
            </w:r>
            <w:proofErr w:type="spellStart"/>
            <w:r w:rsidRPr="00C11EDA">
              <w:rPr>
                <w:rFonts w:ascii="Times New Roman" w:eastAsia="Times New Roman" w:hAnsi="Times New Roman" w:cs="Times New Roman"/>
                <w:sz w:val="24"/>
                <w:szCs w:val="24"/>
                <w:lang w:eastAsia="lv-LV"/>
              </w:rPr>
              <w:t>lektorstundas</w:t>
            </w:r>
            <w:proofErr w:type="spellEnd"/>
            <w:r w:rsidRPr="00C11EDA">
              <w:rPr>
                <w:rFonts w:ascii="Times New Roman" w:eastAsia="Times New Roman" w:hAnsi="Times New Roman" w:cs="Times New Roman"/>
                <w:sz w:val="24"/>
                <w:szCs w:val="24"/>
                <w:lang w:eastAsia="lv-LV"/>
              </w:rPr>
              <w:t xml:space="preserve"> x 62,5 EUR (izmaksas par vienu 45 min ilgu </w:t>
            </w:r>
            <w:proofErr w:type="spellStart"/>
            <w:r w:rsidRPr="00C11EDA">
              <w:rPr>
                <w:rFonts w:ascii="Times New Roman" w:eastAsia="Times New Roman" w:hAnsi="Times New Roman" w:cs="Times New Roman"/>
                <w:sz w:val="24"/>
                <w:szCs w:val="24"/>
                <w:lang w:eastAsia="lv-LV"/>
              </w:rPr>
              <w:t>lektorstundu</w:t>
            </w:r>
            <w:proofErr w:type="spellEnd"/>
            <w:r w:rsidRPr="00C11EDA">
              <w:rPr>
                <w:rFonts w:ascii="Times New Roman" w:eastAsia="Times New Roman" w:hAnsi="Times New Roman" w:cs="Times New Roman"/>
                <w:sz w:val="24"/>
                <w:szCs w:val="24"/>
                <w:lang w:eastAsia="lv-LV"/>
              </w:rPr>
              <w:t>) x 2 (divas apmācību dienas)),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Nodrošinot 200 dalībnieku apmācību, ko veido 2 apmācības, katrā 100 dalībnieki, bez kafijas pauzes);</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Papildus nepieciešamais finansējums TM </w:t>
            </w:r>
            <w:r w:rsidRPr="00C11EDA">
              <w:rPr>
                <w:rFonts w:ascii="Times New Roman" w:eastAsia="Calibri" w:hAnsi="Times New Roman" w:cs="Times New Roman"/>
                <w:b/>
                <w:sz w:val="24"/>
              </w:rPr>
              <w:t>900 EUR</w:t>
            </w:r>
            <w:r w:rsidRPr="00C11EDA">
              <w:rPr>
                <w:rFonts w:ascii="Times New Roman" w:eastAsia="Times New Roman" w:hAnsi="Times New Roman" w:cs="Times New Roman"/>
                <w:sz w:val="24"/>
                <w:szCs w:val="24"/>
                <w:lang w:eastAsia="lv-LV"/>
              </w:rPr>
              <w:t xml:space="preserve">; </w:t>
            </w:r>
          </w:p>
          <w:p w:rsidR="00C11EDA" w:rsidRPr="00C11EDA" w:rsidRDefault="00C11EDA" w:rsidP="00C11EDA">
            <w:pPr>
              <w:spacing w:after="0" w:line="240" w:lineRule="auto"/>
              <w:jc w:val="both"/>
              <w:rPr>
                <w:rFonts w:ascii="Times New Roman" w:eastAsia="Calibri" w:hAnsi="Times New Roman" w:cs="Times New Roman"/>
                <w:b/>
                <w:sz w:val="24"/>
              </w:rPr>
            </w:pPr>
            <w:r w:rsidRPr="00C11EDA">
              <w:rPr>
                <w:rFonts w:ascii="Times New Roman" w:eastAsia="Times New Roman" w:hAnsi="Times New Roman" w:cs="Times New Roman"/>
                <w:sz w:val="24"/>
                <w:szCs w:val="24"/>
                <w:lang w:eastAsia="lv-LV"/>
              </w:rPr>
              <w:t xml:space="preserve">Kopējais papildus nepieciešamais finansējums B.3.darbības rezultāta realizēšanai TM </w:t>
            </w:r>
            <w:r w:rsidRPr="00C11EDA">
              <w:rPr>
                <w:rFonts w:ascii="Times New Roman" w:eastAsia="Calibri" w:hAnsi="Times New Roman" w:cs="Times New Roman"/>
                <w:b/>
                <w:sz w:val="24"/>
              </w:rPr>
              <w:t>2700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1.pasākuma (aptaujas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4000 EUR, papildus nepieciešamais finansējums TM 4000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2.pasākuma (aptaujas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4000 EUR, papildus nepieciešamais finansējums TM 4000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3.pasākuma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15000 EUR, papildus nepieciešamais finansējums KM 15000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4.pasākuma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15000 EUR, papildus nepieciešamais finansējums TM 15000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5.pasākuma (pētījuma veikšana) izmaksas 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16500 EUR, papildus nepieciešamais finansējums KM 16500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b/>
                <w:sz w:val="24"/>
                <w:szCs w:val="24"/>
                <w:lang w:eastAsia="lv-LV"/>
              </w:rPr>
              <w:t>7.4.apakšpunktā definētā 6.pasākuma (pētījuma veikšana) izmaksas 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w:t>
            </w:r>
            <w:r w:rsidRPr="00C11EDA">
              <w:rPr>
                <w:rFonts w:ascii="Times New Roman" w:eastAsia="Times New Roman" w:hAnsi="Times New Roman" w:cs="Times New Roman"/>
                <w:sz w:val="24"/>
                <w:szCs w:val="24"/>
                <w:lang w:eastAsia="lv-LV"/>
              </w:rPr>
              <w:t xml:space="preserve"> ir 15000 EUR, papildus nepieciešamais finansējums KM 15000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7A7F99" w:rsidP="00C11E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7.4.apakšpunktā definē</w:t>
            </w:r>
            <w:r w:rsidR="00C11EDA" w:rsidRPr="00C11EDA">
              <w:rPr>
                <w:rFonts w:ascii="Times New Roman" w:eastAsia="Times New Roman" w:hAnsi="Times New Roman" w:cs="Times New Roman"/>
                <w:sz w:val="24"/>
                <w:szCs w:val="24"/>
                <w:lang w:eastAsia="lv-LV"/>
              </w:rPr>
              <w:t xml:space="preserve">to 1.- 6.pasākumu realizēšanai paredzētās izmaksas norādītas ņemot vērā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Valsts kancelejas un Patentu valdes sniegto informāciju par vidējām pētījumu un aptauju izmaksām 2013. un 2014.</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 xml:space="preserve">gadā.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pētījumu, aptauju un apmācību veikšanai </w:t>
            </w:r>
            <w:r w:rsidRPr="00C11EDA">
              <w:rPr>
                <w:rFonts w:ascii="Times New Roman" w:eastAsia="Times New Roman" w:hAnsi="Times New Roman" w:cs="Times New Roman"/>
                <w:b/>
                <w:sz w:val="24"/>
                <w:szCs w:val="24"/>
                <w:lang w:eastAsia="lv-LV"/>
              </w:rPr>
              <w:t>2016.</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78320 EUR,</w:t>
            </w:r>
            <w:r w:rsidRPr="00C11EDA">
              <w:rPr>
                <w:rFonts w:ascii="Times New Roman" w:eastAsia="Times New Roman" w:hAnsi="Times New Roman" w:cs="Times New Roman"/>
                <w:sz w:val="24"/>
                <w:szCs w:val="24"/>
                <w:lang w:eastAsia="lv-LV"/>
              </w:rPr>
              <w:t xml:space="preserve"> no tiem:</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FM 4000 EUR, TM 35420 EUR, KM 30900 EUR, IeM 8000 EUR;</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pētījumu, aptauju un apmācību veikšanai </w:t>
            </w:r>
            <w:r w:rsidRPr="00C11EDA">
              <w:rPr>
                <w:rFonts w:ascii="Times New Roman" w:eastAsia="Times New Roman" w:hAnsi="Times New Roman" w:cs="Times New Roman"/>
                <w:b/>
                <w:sz w:val="24"/>
                <w:szCs w:val="24"/>
                <w:lang w:eastAsia="lv-LV"/>
              </w:rPr>
              <w:t>2017.</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41820 EUR</w:t>
            </w:r>
            <w:r w:rsidRPr="00C11EDA">
              <w:rPr>
                <w:rFonts w:ascii="Times New Roman" w:eastAsia="Times New Roman" w:hAnsi="Times New Roman" w:cs="Times New Roman"/>
                <w:sz w:val="24"/>
                <w:szCs w:val="24"/>
                <w:lang w:eastAsia="lv-LV"/>
              </w:rPr>
              <w:t xml:space="preserve">, no tiem: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FM 4000 EUR, TM 12420 EUR, KM 17400 EUR, IeM 8000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Kopā apmācību veikšanai </w:t>
            </w:r>
            <w:r w:rsidRPr="00C11EDA">
              <w:rPr>
                <w:rFonts w:ascii="Times New Roman" w:eastAsia="Times New Roman" w:hAnsi="Times New Roman" w:cs="Times New Roman"/>
                <w:b/>
                <w:sz w:val="24"/>
                <w:szCs w:val="24"/>
                <w:lang w:eastAsia="lv-LV"/>
              </w:rPr>
              <w:t>2018.</w:t>
            </w:r>
            <w:r w:rsidR="007A7F99">
              <w:rPr>
                <w:rFonts w:ascii="Times New Roman" w:eastAsia="Times New Roman" w:hAnsi="Times New Roman" w:cs="Times New Roman"/>
                <w:b/>
                <w:sz w:val="24"/>
                <w:szCs w:val="24"/>
                <w:lang w:eastAsia="lv-LV"/>
              </w:rPr>
              <w:t> </w:t>
            </w:r>
            <w:r w:rsidRPr="00C11EDA">
              <w:rPr>
                <w:rFonts w:ascii="Times New Roman" w:eastAsia="Times New Roman" w:hAnsi="Times New Roman" w:cs="Times New Roman"/>
                <w:b/>
                <w:sz w:val="24"/>
                <w:szCs w:val="24"/>
                <w:lang w:eastAsia="lv-LV"/>
              </w:rPr>
              <w:t>gadā: 25320 EUR</w:t>
            </w:r>
            <w:r w:rsidRPr="00C11EDA">
              <w:rPr>
                <w:rFonts w:ascii="Times New Roman" w:eastAsia="Times New Roman" w:hAnsi="Times New Roman" w:cs="Times New Roman"/>
                <w:sz w:val="24"/>
                <w:szCs w:val="24"/>
                <w:lang w:eastAsia="lv-LV"/>
              </w:rPr>
              <w:t xml:space="preserve">, no tiem: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 xml:space="preserve">FM 4000 EUR, TM 12420 EUR, KM 900 EUR, IeM 8000 EUR. </w:t>
            </w: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p w:rsidR="00C11EDA" w:rsidRPr="00C11EDA" w:rsidRDefault="00C11EDA" w:rsidP="00C11EDA">
            <w:pPr>
              <w:spacing w:after="0" w:line="240" w:lineRule="auto"/>
              <w:jc w:val="both"/>
              <w:rPr>
                <w:rFonts w:ascii="Times New Roman" w:eastAsia="Times New Roman" w:hAnsi="Times New Roman" w:cs="Times New Roman"/>
                <w:sz w:val="24"/>
                <w:szCs w:val="24"/>
                <w:lang w:eastAsia="lv-LV"/>
              </w:rPr>
            </w:pPr>
          </w:p>
        </w:tc>
      </w:tr>
      <w:tr w:rsidR="00C11EDA" w:rsidRPr="00C11EDA" w:rsidTr="00D25A7A">
        <w:trPr>
          <w:trHeight w:val="60"/>
        </w:trPr>
        <w:tc>
          <w:tcPr>
            <w:tcW w:w="5000" w:type="pct"/>
            <w:gridSpan w:val="4"/>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Cita informācija.</w:t>
            </w:r>
          </w:p>
          <w:p w:rsidR="00C11EDA" w:rsidRPr="00C11EDA" w:rsidRDefault="00C11EDA" w:rsidP="007A7F99">
            <w:pPr>
              <w:spacing w:before="100" w:beforeAutospacing="1" w:after="100" w:afterAutospacing="1" w:line="60" w:lineRule="atLeast"/>
              <w:ind w:firstLine="300"/>
              <w:jc w:val="both"/>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Jautājumu par papildus nepieciešamā finansējuma piešķiršanu TM, FM, KM un IeM 2016.</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un turpmākajiem gadiem izskatīt Ministru kabinetā likumprojekta "Par valsts budžetu 2016.</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un likumprojekta "Par vidēja termiņa budžeta ietvaru 2016., 2017. un 2018.</w:t>
            </w:r>
            <w:r w:rsidR="007A7F99">
              <w:rPr>
                <w:rFonts w:ascii="Times New Roman" w:eastAsia="Times New Roman" w:hAnsi="Times New Roman" w:cs="Times New Roman"/>
                <w:sz w:val="24"/>
                <w:szCs w:val="24"/>
                <w:lang w:eastAsia="lv-LV"/>
              </w:rPr>
              <w:t> </w:t>
            </w:r>
            <w:r w:rsidRPr="00C11EDA">
              <w:rPr>
                <w:rFonts w:ascii="Times New Roman" w:eastAsia="Times New Roman" w:hAnsi="Times New Roman" w:cs="Times New Roman"/>
                <w:sz w:val="24"/>
                <w:szCs w:val="24"/>
                <w:lang w:eastAsia="lv-LV"/>
              </w:rPr>
              <w:t>gadam" sagatavošanas un izskatīšanas procesā kopā ar visu ministriju un centrālo valsts iestāžu priekšlikumiem jaunajām politikas iniciatīvām un iesniegtajiem papildu finansējuma pieprasījumiem.</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Izmaiņas budžeta izdevumos no N+4 līdz N+7 gadiem*</w:t>
            </w: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2018.</w:t>
            </w:r>
          </w:p>
        </w:tc>
        <w:tc>
          <w:tcPr>
            <w:tcW w:w="82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2019.</w:t>
            </w:r>
          </w:p>
        </w:tc>
        <w:tc>
          <w:tcPr>
            <w:tcW w:w="65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2020.</w:t>
            </w:r>
          </w:p>
        </w:tc>
      </w:tr>
      <w:tr w:rsidR="00C11EDA" w:rsidRPr="00C11EDA" w:rsidTr="00D25A7A">
        <w:trPr>
          <w:trHeight w:val="60"/>
        </w:trPr>
        <w:tc>
          <w:tcPr>
            <w:tcW w:w="2760"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before="100" w:beforeAutospacing="1" w:after="100" w:afterAutospacing="1" w:line="60" w:lineRule="atLeast"/>
              <w:ind w:firstLine="300"/>
              <w:rPr>
                <w:rFonts w:ascii="Times New Roman" w:eastAsia="Times New Roman" w:hAnsi="Times New Roman" w:cs="Times New Roman"/>
                <w:sz w:val="24"/>
                <w:szCs w:val="24"/>
                <w:lang w:eastAsia="lv-LV"/>
              </w:rPr>
            </w:pPr>
          </w:p>
        </w:tc>
        <w:tc>
          <w:tcPr>
            <w:tcW w:w="765" w:type="pct"/>
            <w:tcBorders>
              <w:top w:val="single" w:sz="6" w:space="0" w:color="000000"/>
              <w:left w:val="single" w:sz="6" w:space="0" w:color="000000"/>
              <w:bottom w:val="single" w:sz="6" w:space="0" w:color="000000"/>
              <w:right w:val="single" w:sz="6" w:space="0" w:color="000000"/>
            </w:tcBorders>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25 320</w:t>
            </w:r>
          </w:p>
        </w:tc>
        <w:tc>
          <w:tcPr>
            <w:tcW w:w="825" w:type="pct"/>
            <w:tcBorders>
              <w:top w:val="single" w:sz="6" w:space="0" w:color="000000"/>
              <w:left w:val="single" w:sz="6" w:space="0" w:color="000000"/>
              <w:bottom w:val="single" w:sz="6" w:space="0" w:color="000000"/>
              <w:right w:val="single" w:sz="6" w:space="0" w:color="000000"/>
            </w:tcBorders>
            <w:vAlign w:val="bottom"/>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c>
          <w:tcPr>
            <w:tcW w:w="650" w:type="pct"/>
            <w:tcBorders>
              <w:top w:val="single" w:sz="6" w:space="0" w:color="000000"/>
              <w:left w:val="single" w:sz="6" w:space="0" w:color="000000"/>
              <w:bottom w:val="single" w:sz="6" w:space="0" w:color="000000"/>
              <w:right w:val="single" w:sz="6" w:space="0" w:color="000000"/>
            </w:tcBorders>
            <w:vAlign w:val="bottom"/>
          </w:tcPr>
          <w:p w:rsidR="00C11EDA" w:rsidRPr="00C11EDA" w:rsidRDefault="00C11EDA" w:rsidP="00C11EDA">
            <w:pPr>
              <w:spacing w:after="0" w:line="240" w:lineRule="auto"/>
              <w:jc w:val="center"/>
              <w:rPr>
                <w:rFonts w:ascii="Times New Roman" w:eastAsia="Times New Roman" w:hAnsi="Times New Roman" w:cs="Times New Roman"/>
                <w:sz w:val="24"/>
                <w:szCs w:val="24"/>
                <w:lang w:eastAsia="lv-LV"/>
              </w:rPr>
            </w:pPr>
            <w:r w:rsidRPr="00C11EDA">
              <w:rPr>
                <w:rFonts w:ascii="Times New Roman" w:eastAsia="Times New Roman" w:hAnsi="Times New Roman" w:cs="Times New Roman"/>
                <w:sz w:val="24"/>
                <w:szCs w:val="24"/>
                <w:lang w:eastAsia="lv-LV"/>
              </w:rPr>
              <w:t>0</w:t>
            </w:r>
          </w:p>
        </w:tc>
      </w:tr>
    </w:tbl>
    <w:p w:rsidR="00C11EDA" w:rsidRPr="00C11EDA" w:rsidRDefault="00C11EDA" w:rsidP="00C11EDA">
      <w:pPr>
        <w:spacing w:after="0" w:line="360" w:lineRule="auto"/>
        <w:ind w:firstLine="390"/>
        <w:contextualSpacing/>
        <w:jc w:val="both"/>
        <w:rPr>
          <w:rFonts w:ascii="Times New Roman" w:eastAsia="Calibri" w:hAnsi="Times New Roman" w:cs="Times New Roman"/>
          <w:sz w:val="24"/>
          <w:szCs w:val="24"/>
        </w:rPr>
      </w:pPr>
      <w:bookmarkStart w:id="47" w:name="313140"/>
      <w:bookmarkEnd w:id="46"/>
      <w:bookmarkEnd w:id="47"/>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bookmarkStart w:id="48" w:name="_Toc365544751"/>
    </w:p>
    <w:p w:rsidR="00C11EDA" w:rsidRPr="00C11EDA" w:rsidRDefault="00C11EDA" w:rsidP="00C11EDA">
      <w:pPr>
        <w:rPr>
          <w:rFonts w:ascii="Calibri" w:eastAsia="Calibri" w:hAnsi="Calibri" w:cs="Times New Roman"/>
          <w:lang w:eastAsia="lv-LV"/>
        </w:rPr>
      </w:pPr>
    </w:p>
    <w:p w:rsidR="00C11EDA" w:rsidRPr="00C11EDA" w:rsidRDefault="00C11EDA" w:rsidP="00C11EDA">
      <w:pPr>
        <w:keepNext/>
        <w:spacing w:after="0" w:line="360" w:lineRule="auto"/>
        <w:contextualSpacing/>
        <w:jc w:val="center"/>
        <w:outlineLvl w:val="1"/>
        <w:rPr>
          <w:rFonts w:ascii="Times New Roman" w:eastAsia="Times New Roman" w:hAnsi="Times New Roman" w:cs="Times New Roman"/>
          <w:b/>
          <w:bCs/>
          <w:iCs/>
          <w:sz w:val="24"/>
          <w:szCs w:val="24"/>
          <w:lang w:eastAsia="lv-LV"/>
        </w:rPr>
      </w:pPr>
      <w:r w:rsidRPr="00C11EDA">
        <w:rPr>
          <w:rFonts w:ascii="Times New Roman" w:eastAsia="Times New Roman" w:hAnsi="Times New Roman" w:cs="Times New Roman"/>
          <w:b/>
          <w:bCs/>
          <w:iCs/>
          <w:sz w:val="24"/>
          <w:szCs w:val="24"/>
          <w:lang w:val="x-none" w:eastAsia="lv-LV"/>
        </w:rPr>
        <w:t>1</w:t>
      </w:r>
      <w:r w:rsidRPr="00C11EDA">
        <w:rPr>
          <w:rFonts w:ascii="Times New Roman" w:eastAsia="Times New Roman" w:hAnsi="Times New Roman" w:cs="Times New Roman"/>
          <w:b/>
          <w:bCs/>
          <w:iCs/>
          <w:sz w:val="24"/>
          <w:szCs w:val="24"/>
          <w:lang w:eastAsia="lv-LV"/>
        </w:rPr>
        <w:t>0</w:t>
      </w:r>
      <w:r w:rsidRPr="00C11EDA">
        <w:rPr>
          <w:rFonts w:ascii="Times New Roman" w:eastAsia="Times New Roman" w:hAnsi="Times New Roman" w:cs="Times New Roman"/>
          <w:b/>
          <w:bCs/>
          <w:iCs/>
          <w:sz w:val="24"/>
          <w:szCs w:val="24"/>
          <w:lang w:val="x-none" w:eastAsia="lv-LV"/>
        </w:rPr>
        <w:t>. Pārskatu sniegšanas un novērtēšanas kārtība</w:t>
      </w:r>
      <w:bookmarkEnd w:id="48"/>
    </w:p>
    <w:p w:rsidR="00C11EDA" w:rsidRPr="00C11EDA" w:rsidRDefault="00C11EDA" w:rsidP="00C11EDA">
      <w:pPr>
        <w:spacing w:after="0" w:line="360" w:lineRule="auto"/>
        <w:ind w:firstLine="851"/>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Pamatnostādņu īstenošanā iesaistītās institūcijas Intelektuālā īpašuma padomes sēdē ziņo par paveikto un par esošajām problēmām pamatnostādņu realizācijā.</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Visas pamatnostādņu īstenošanā iesaistītās institūcijas</w:t>
      </w:r>
      <w:r w:rsidR="0040394A">
        <w:rPr>
          <w:rFonts w:ascii="Times New Roman" w:eastAsia="Calibri" w:hAnsi="Times New Roman" w:cs="Times New Roman"/>
          <w:sz w:val="24"/>
          <w:szCs w:val="24"/>
        </w:rPr>
        <w:t>,</w:t>
      </w:r>
      <w:r w:rsidRPr="00C11EDA">
        <w:rPr>
          <w:rFonts w:ascii="Times New Roman" w:eastAsia="Calibri" w:hAnsi="Times New Roman" w:cs="Times New Roman"/>
          <w:sz w:val="24"/>
          <w:szCs w:val="24"/>
        </w:rPr>
        <w:t xml:space="preserve"> </w:t>
      </w:r>
      <w:r w:rsidRPr="00C11EDA">
        <w:rPr>
          <w:rFonts w:ascii="Times New Roman" w:eastAsia="Calibri" w:hAnsi="Times New Roman" w:cs="Times New Roman"/>
          <w:b/>
          <w:sz w:val="24"/>
          <w:szCs w:val="24"/>
        </w:rPr>
        <w:t>sākot ar 2015.</w:t>
      </w:r>
      <w:r w:rsidR="00422377">
        <w:rPr>
          <w:rFonts w:ascii="Times New Roman" w:eastAsia="Calibri" w:hAnsi="Times New Roman" w:cs="Times New Roman"/>
          <w:b/>
          <w:sz w:val="24"/>
          <w:szCs w:val="24"/>
        </w:rPr>
        <w:t> </w:t>
      </w:r>
      <w:r w:rsidRPr="00C11EDA">
        <w:rPr>
          <w:rFonts w:ascii="Times New Roman" w:eastAsia="Calibri" w:hAnsi="Times New Roman" w:cs="Times New Roman"/>
          <w:b/>
          <w:sz w:val="24"/>
          <w:szCs w:val="24"/>
        </w:rPr>
        <w:t>gadu</w:t>
      </w:r>
      <w:r w:rsidRPr="00C11EDA">
        <w:rPr>
          <w:rFonts w:ascii="Times New Roman" w:eastAsia="Calibri" w:hAnsi="Times New Roman" w:cs="Times New Roman"/>
          <w:sz w:val="24"/>
          <w:szCs w:val="24"/>
        </w:rPr>
        <w:t xml:space="preserve"> līdz kārtējā </w:t>
      </w:r>
      <w:r w:rsidRPr="00C11EDA">
        <w:rPr>
          <w:rFonts w:ascii="Times New Roman" w:eastAsia="Calibri" w:hAnsi="Times New Roman" w:cs="Times New Roman"/>
          <w:b/>
          <w:sz w:val="24"/>
          <w:szCs w:val="24"/>
        </w:rPr>
        <w:t xml:space="preserve">gada 1. </w:t>
      </w:r>
      <w:r w:rsidR="0040394A">
        <w:rPr>
          <w:rFonts w:ascii="Times New Roman" w:eastAsia="Calibri" w:hAnsi="Times New Roman" w:cs="Times New Roman"/>
          <w:b/>
          <w:sz w:val="24"/>
          <w:szCs w:val="24"/>
        </w:rPr>
        <w:t>d</w:t>
      </w:r>
      <w:r w:rsidR="0040394A" w:rsidRPr="00C11EDA">
        <w:rPr>
          <w:rFonts w:ascii="Times New Roman" w:eastAsia="Calibri" w:hAnsi="Times New Roman" w:cs="Times New Roman"/>
          <w:b/>
          <w:sz w:val="24"/>
          <w:szCs w:val="24"/>
        </w:rPr>
        <w:t>ecembrim</w:t>
      </w:r>
      <w:r w:rsidR="0040394A">
        <w:rPr>
          <w:rFonts w:ascii="Times New Roman" w:eastAsia="Calibri" w:hAnsi="Times New Roman" w:cs="Times New Roman"/>
          <w:b/>
          <w:sz w:val="24"/>
          <w:szCs w:val="24"/>
        </w:rPr>
        <w:t>,</w:t>
      </w:r>
      <w:r w:rsidRPr="00C11EDA">
        <w:rPr>
          <w:rFonts w:ascii="Times New Roman" w:eastAsia="Calibri" w:hAnsi="Times New Roman" w:cs="Times New Roman"/>
          <w:b/>
          <w:sz w:val="24"/>
          <w:szCs w:val="24"/>
        </w:rPr>
        <w:t xml:space="preserve"> iesniedz pārskatus TM par</w:t>
      </w:r>
      <w:r w:rsidRPr="00C11EDA">
        <w:rPr>
          <w:rFonts w:ascii="Times New Roman" w:eastAsia="Calibri" w:hAnsi="Times New Roman" w:cs="Times New Roman"/>
          <w:sz w:val="24"/>
          <w:szCs w:val="24"/>
        </w:rPr>
        <w:t xml:space="preserve"> „Intelektuālā īpašuma tiesību aizsardzības un nodrošināšanas pamatnostādnes 2014. - 2018. gadam” paredzēto darbības rezultātu izpildi.</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Par pamatnostādņu īstenošanu 2014.- 2016. gadā TM sagatavo informatīvo ziņojumu un iesniedz Ministru kabinetā līdz 2017. gada 1. </w:t>
      </w:r>
      <w:r w:rsidR="00A33124">
        <w:rPr>
          <w:rFonts w:ascii="Times New Roman" w:eastAsia="Calibri" w:hAnsi="Times New Roman" w:cs="Times New Roman"/>
          <w:sz w:val="24"/>
          <w:szCs w:val="24"/>
        </w:rPr>
        <w:t>maijam</w:t>
      </w:r>
      <w:r w:rsidRPr="00C11EDA">
        <w:rPr>
          <w:rFonts w:ascii="Times New Roman" w:eastAsia="Calibri" w:hAnsi="Times New Roman" w:cs="Times New Roman"/>
          <w:sz w:val="24"/>
          <w:szCs w:val="24"/>
        </w:rPr>
        <w:t>.</w:t>
      </w:r>
    </w:p>
    <w:p w:rsidR="00C11EDA" w:rsidRPr="00C11EDA" w:rsidRDefault="00C11EDA" w:rsidP="00C11EDA">
      <w:pPr>
        <w:spacing w:after="0" w:line="360" w:lineRule="auto"/>
        <w:ind w:firstLine="720"/>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Par pamatnostādņu īstenošanu 2017.-2018. gadā un nepieciešamību sagatavot attīstības plānošanas dokumenta projektu „Intelektuālā īpašuma tiesību aizsardzības un nodrošināšanas pamatnostādnes 2020. - 2024. gadam” TM sagatavo informatīvo ziņojumu un iesniedz Ministru kabinetā līdz 2019. gada 1. oktobrim.</w:t>
      </w: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p>
    <w:p w:rsidR="00C11EDA" w:rsidRPr="00C11EDA" w:rsidRDefault="00C11EDA" w:rsidP="00C11EDA">
      <w:pPr>
        <w:spacing w:after="0" w:line="360" w:lineRule="auto"/>
        <w:contextualSpacing/>
        <w:jc w:val="both"/>
        <w:rPr>
          <w:rFonts w:ascii="Times New Roman" w:eastAsia="Calibri" w:hAnsi="Times New Roman" w:cs="Times New Roman"/>
          <w:sz w:val="24"/>
          <w:szCs w:val="24"/>
        </w:rPr>
      </w:pPr>
      <w:r w:rsidRPr="00C11EDA">
        <w:rPr>
          <w:rFonts w:ascii="Times New Roman" w:eastAsia="Calibri" w:hAnsi="Times New Roman" w:cs="Times New Roman"/>
          <w:sz w:val="24"/>
          <w:szCs w:val="24"/>
        </w:rPr>
        <w:t xml:space="preserve">Tieslietu ministrs </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proofErr w:type="gramStart"/>
      <w:r w:rsidRPr="00C11EDA">
        <w:rPr>
          <w:rFonts w:ascii="Times New Roman" w:eastAsia="Calibri" w:hAnsi="Times New Roman" w:cs="Times New Roman"/>
          <w:sz w:val="24"/>
          <w:szCs w:val="24"/>
        </w:rPr>
        <w:t xml:space="preserve">     </w:t>
      </w:r>
      <w:proofErr w:type="gramEnd"/>
      <w:r w:rsidRPr="00C11EDA">
        <w:rPr>
          <w:rFonts w:ascii="Times New Roman" w:eastAsia="Calibri" w:hAnsi="Times New Roman" w:cs="Times New Roman"/>
          <w:sz w:val="24"/>
          <w:szCs w:val="24"/>
        </w:rPr>
        <w:t>G.Bērziņš</w:t>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r w:rsidRPr="00C11EDA">
        <w:rPr>
          <w:rFonts w:ascii="Times New Roman" w:eastAsia="Calibri" w:hAnsi="Times New Roman" w:cs="Times New Roman"/>
          <w:sz w:val="24"/>
          <w:szCs w:val="24"/>
        </w:rPr>
        <w:tab/>
      </w:r>
    </w:p>
    <w:p w:rsidR="00C11EDA" w:rsidRPr="00C11EDA" w:rsidRDefault="00441947" w:rsidP="00C11EDA">
      <w:pPr>
        <w:spacing w:after="0" w:line="240" w:lineRule="auto"/>
        <w:jc w:val="both"/>
        <w:rPr>
          <w:rFonts w:ascii="Times New Roman" w:eastAsia="Calibri" w:hAnsi="Times New Roman" w:cs="Times New Roman"/>
        </w:rPr>
      </w:pPr>
      <w:r>
        <w:rPr>
          <w:rFonts w:ascii="Times New Roman" w:eastAsia="Calibri" w:hAnsi="Times New Roman" w:cs="Times New Roman"/>
        </w:rPr>
        <w:t>12</w:t>
      </w:r>
      <w:r w:rsidR="00C11EDA" w:rsidRPr="00C11EDA">
        <w:rPr>
          <w:rFonts w:ascii="Times New Roman" w:eastAsia="Calibri" w:hAnsi="Times New Roman" w:cs="Times New Roman"/>
        </w:rPr>
        <w:t>.09.2014. 10:23</w:t>
      </w:r>
    </w:p>
    <w:p w:rsidR="00C11EDA" w:rsidRPr="00C11EDA" w:rsidRDefault="00C11EDA" w:rsidP="00C11EDA">
      <w:pPr>
        <w:spacing w:after="0"/>
        <w:rPr>
          <w:rFonts w:ascii="Times New Roman" w:eastAsia="Calibri" w:hAnsi="Times New Roman" w:cs="Times New Roman"/>
        </w:rPr>
      </w:pPr>
      <w:r w:rsidRPr="00C11EDA">
        <w:rPr>
          <w:rFonts w:ascii="Times New Roman" w:eastAsia="Calibri" w:hAnsi="Times New Roman" w:cs="Times New Roman"/>
        </w:rPr>
        <w:t>15</w:t>
      </w:r>
      <w:r w:rsidR="00C57652">
        <w:rPr>
          <w:rFonts w:ascii="Times New Roman" w:eastAsia="Calibri" w:hAnsi="Times New Roman" w:cs="Times New Roman"/>
        </w:rPr>
        <w:t>7</w:t>
      </w:r>
      <w:r w:rsidR="002C4308">
        <w:rPr>
          <w:rFonts w:ascii="Times New Roman" w:eastAsia="Calibri" w:hAnsi="Times New Roman" w:cs="Times New Roman"/>
        </w:rPr>
        <w:t>21</w:t>
      </w:r>
    </w:p>
    <w:p w:rsidR="00C11EDA" w:rsidRPr="00C11EDA" w:rsidRDefault="00C11EDA" w:rsidP="00C11EDA">
      <w:pPr>
        <w:spacing w:after="0"/>
        <w:rPr>
          <w:rFonts w:ascii="Times New Roman" w:eastAsia="Calibri" w:hAnsi="Times New Roman" w:cs="Times New Roman"/>
        </w:rPr>
      </w:pPr>
      <w:r w:rsidRPr="00C11EDA">
        <w:rPr>
          <w:rFonts w:ascii="Times New Roman" w:eastAsia="Calibri" w:hAnsi="Times New Roman" w:cs="Times New Roman"/>
        </w:rPr>
        <w:t>T.Krūmiņa</w:t>
      </w:r>
    </w:p>
    <w:p w:rsidR="00C11EDA" w:rsidRPr="00C11EDA" w:rsidRDefault="00C11EDA" w:rsidP="00C11EDA">
      <w:pPr>
        <w:spacing w:after="0" w:line="360" w:lineRule="auto"/>
        <w:contextualSpacing/>
        <w:jc w:val="both"/>
        <w:rPr>
          <w:rFonts w:ascii="Times New Roman" w:eastAsia="Calibri" w:hAnsi="Times New Roman" w:cs="Times New Roman"/>
        </w:rPr>
      </w:pPr>
      <w:r w:rsidRPr="00C11EDA">
        <w:rPr>
          <w:rFonts w:ascii="Times New Roman" w:eastAsia="Calibri" w:hAnsi="Times New Roman" w:cs="Times New Roman"/>
        </w:rPr>
        <w:t xml:space="preserve">67046123, </w:t>
      </w:r>
      <w:hyperlink r:id="rId17" w:history="1">
        <w:r w:rsidRPr="00C11EDA">
          <w:rPr>
            <w:rFonts w:ascii="Times New Roman" w:eastAsia="Calibri" w:hAnsi="Times New Roman" w:cs="Times New Roman"/>
            <w:u w:val="single"/>
          </w:rPr>
          <w:t>Tatjana.Krumina@tm.gov.lv</w:t>
        </w:r>
      </w:hyperlink>
    </w:p>
    <w:p w:rsidR="002118E7" w:rsidRDefault="002118E7"/>
    <w:sectPr w:rsidR="002118E7" w:rsidSect="005304B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7A" w:rsidRDefault="00D25A7A" w:rsidP="00C11EDA">
      <w:pPr>
        <w:spacing w:after="0" w:line="240" w:lineRule="auto"/>
      </w:pPr>
      <w:r>
        <w:separator/>
      </w:r>
    </w:p>
  </w:endnote>
  <w:endnote w:type="continuationSeparator" w:id="0">
    <w:p w:rsidR="00D25A7A" w:rsidRDefault="00D25A7A" w:rsidP="00C1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7A" w:rsidRPr="0080014B" w:rsidRDefault="00D25A7A" w:rsidP="00D25A7A">
    <w:pPr>
      <w:pStyle w:val="Kjene"/>
      <w:jc w:val="both"/>
      <w:rPr>
        <w:rFonts w:ascii="Times New Roman" w:hAnsi="Times New Roman"/>
        <w:sz w:val="20"/>
        <w:szCs w:val="20"/>
      </w:rPr>
    </w:pPr>
    <w:r w:rsidRPr="0080014B">
      <w:rPr>
        <w:rFonts w:ascii="Times New Roman" w:hAnsi="Times New Roman"/>
        <w:sz w:val="20"/>
        <w:szCs w:val="20"/>
      </w:rPr>
      <w:t>TM</w:t>
    </w:r>
    <w:r>
      <w:rPr>
        <w:rFonts w:ascii="Times New Roman" w:hAnsi="Times New Roman"/>
        <w:sz w:val="20"/>
        <w:szCs w:val="20"/>
      </w:rPr>
      <w:t>Pamn_120914_intel; Attīstības plānošanas dokumenta „Intelektuālā īpašuma tiesību aizsardzības un nodrošināšanas pamatnostādnes 2014.-2018. gadam”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7A" w:rsidRDefault="00D25A7A" w:rsidP="00D25A7A">
    <w:pPr>
      <w:pStyle w:val="Kjene"/>
      <w:jc w:val="both"/>
    </w:pPr>
    <w:r w:rsidRPr="0080014B">
      <w:rPr>
        <w:rFonts w:ascii="Times New Roman" w:hAnsi="Times New Roman"/>
        <w:sz w:val="20"/>
        <w:szCs w:val="20"/>
      </w:rPr>
      <w:t>TM</w:t>
    </w:r>
    <w:r>
      <w:rPr>
        <w:rFonts w:ascii="Times New Roman" w:hAnsi="Times New Roman"/>
        <w:sz w:val="20"/>
        <w:szCs w:val="20"/>
      </w:rPr>
      <w:t>Pamn_120914_intel; Attīstības plānošanas dokumenta „Intelektuālā īpašuma tiesību aizsardzības un nodrošināšanas pamatnostādnes 2014.-2018. gadam”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7A" w:rsidRDefault="00D25A7A" w:rsidP="00C11EDA">
      <w:pPr>
        <w:spacing w:after="0" w:line="240" w:lineRule="auto"/>
      </w:pPr>
      <w:r>
        <w:separator/>
      </w:r>
    </w:p>
  </w:footnote>
  <w:footnote w:type="continuationSeparator" w:id="0">
    <w:p w:rsidR="00D25A7A" w:rsidRDefault="00D25A7A" w:rsidP="00C11EDA">
      <w:pPr>
        <w:spacing w:after="0" w:line="240" w:lineRule="auto"/>
      </w:pPr>
      <w:r>
        <w:continuationSeparator/>
      </w:r>
    </w:p>
  </w:footnote>
  <w:footnote w:id="1">
    <w:p w:rsidR="00D25A7A" w:rsidRPr="00DB2289" w:rsidRDefault="00D25A7A" w:rsidP="00C11EDA">
      <w:pPr>
        <w:pStyle w:val="Vresteksts"/>
        <w:ind w:left="0"/>
        <w:rPr>
          <w:sz w:val="20"/>
          <w:lang w:val="lv-LV"/>
        </w:rPr>
      </w:pPr>
      <w:r w:rsidRPr="00DB2289">
        <w:rPr>
          <w:rStyle w:val="Vresatsauce"/>
          <w:sz w:val="20"/>
        </w:rPr>
        <w:footnoteRef/>
      </w:r>
      <w:r w:rsidRPr="00DB2289">
        <w:rPr>
          <w:sz w:val="20"/>
        </w:rPr>
        <w:t xml:space="preserve"> </w:t>
      </w:r>
      <w:r w:rsidRPr="00DB2289">
        <w:rPr>
          <w:sz w:val="20"/>
          <w:lang w:val="lv-LV"/>
        </w:rPr>
        <w:t>Vairāk informācijas ie</w:t>
      </w:r>
      <w:r>
        <w:rPr>
          <w:sz w:val="20"/>
          <w:lang w:val="lv-LV"/>
        </w:rPr>
        <w:t>t</w:t>
      </w:r>
      <w:r w:rsidRPr="00DB2289">
        <w:rPr>
          <w:sz w:val="20"/>
          <w:lang w:val="lv-LV"/>
        </w:rPr>
        <w:t xml:space="preserve">verts „Nacionālās industriālās politikas pamatnostādnēs </w:t>
      </w:r>
      <w:proofErr w:type="gramStart"/>
      <w:r w:rsidRPr="00DB2289">
        <w:rPr>
          <w:sz w:val="20"/>
          <w:lang w:val="lv-LV"/>
        </w:rPr>
        <w:t>2014. – 2018.</w:t>
      </w:r>
      <w:proofErr w:type="gramEnd"/>
      <w:r w:rsidRPr="00DB2289">
        <w:rPr>
          <w:sz w:val="20"/>
          <w:lang w:val="lv-LV"/>
        </w:rPr>
        <w:t xml:space="preserve"> gadam”, kas apstiprinātas ar MK 2013.gada 28.jūnija rīkojumu Nr.282 „Par Nacionālās industriālās politikas attīstības pamatnostādnēm”. </w:t>
      </w:r>
    </w:p>
  </w:footnote>
  <w:footnote w:id="2">
    <w:p w:rsidR="00D25A7A" w:rsidRPr="006C73BC" w:rsidRDefault="00D25A7A" w:rsidP="00C11EDA">
      <w:pPr>
        <w:pStyle w:val="Vresteksts"/>
        <w:ind w:left="0"/>
        <w:rPr>
          <w:lang w:val="lv-LV"/>
        </w:rPr>
      </w:pPr>
      <w:r w:rsidRPr="006C73BC">
        <w:rPr>
          <w:rStyle w:val="Vresatsauce"/>
          <w:sz w:val="20"/>
        </w:rPr>
        <w:footnoteRef/>
      </w:r>
      <w:r w:rsidRPr="006C73BC">
        <w:rPr>
          <w:sz w:val="20"/>
        </w:rPr>
        <w:t xml:space="preserve"> </w:t>
      </w:r>
      <w:proofErr w:type="spellStart"/>
      <w:r w:rsidRPr="006C73BC">
        <w:rPr>
          <w:sz w:val="20"/>
          <w:lang w:val="lv-LV"/>
        </w:rPr>
        <w:t>An</w:t>
      </w:r>
      <w:proofErr w:type="spellEnd"/>
      <w:r w:rsidRPr="006C73BC">
        <w:rPr>
          <w:sz w:val="20"/>
          <w:lang w:val="lv-LV"/>
        </w:rPr>
        <w:t xml:space="preserve"> </w:t>
      </w:r>
      <w:proofErr w:type="spellStart"/>
      <w:r w:rsidRPr="006C73BC">
        <w:rPr>
          <w:sz w:val="20"/>
          <w:lang w:val="lv-LV"/>
        </w:rPr>
        <w:t>Integrated</w:t>
      </w:r>
      <w:proofErr w:type="spellEnd"/>
      <w:r w:rsidRPr="006C73BC">
        <w:rPr>
          <w:sz w:val="20"/>
          <w:lang w:val="lv-LV"/>
        </w:rPr>
        <w:t xml:space="preserve"> </w:t>
      </w:r>
      <w:proofErr w:type="spellStart"/>
      <w:r w:rsidRPr="006C73BC">
        <w:rPr>
          <w:sz w:val="20"/>
          <w:lang w:val="lv-LV"/>
        </w:rPr>
        <w:t>Industrial</w:t>
      </w:r>
      <w:proofErr w:type="spellEnd"/>
      <w:r w:rsidRPr="006C73BC">
        <w:rPr>
          <w:sz w:val="20"/>
          <w:lang w:val="lv-LV"/>
        </w:rPr>
        <w:t xml:space="preserve"> </w:t>
      </w:r>
      <w:proofErr w:type="spellStart"/>
      <w:r w:rsidRPr="006C73BC">
        <w:rPr>
          <w:sz w:val="20"/>
          <w:lang w:val="lv-LV"/>
        </w:rPr>
        <w:t>Policy</w:t>
      </w:r>
      <w:proofErr w:type="spellEnd"/>
      <w:r w:rsidRPr="006C73BC">
        <w:rPr>
          <w:sz w:val="20"/>
          <w:lang w:val="lv-LV"/>
        </w:rPr>
        <w:t xml:space="preserve"> </w:t>
      </w:r>
      <w:proofErr w:type="spellStart"/>
      <w:r w:rsidRPr="006C73BC">
        <w:rPr>
          <w:sz w:val="20"/>
          <w:lang w:val="lv-LV"/>
        </w:rPr>
        <w:t>for</w:t>
      </w:r>
      <w:proofErr w:type="spellEnd"/>
      <w:r w:rsidRPr="006C73BC">
        <w:rPr>
          <w:sz w:val="20"/>
          <w:lang w:val="lv-LV"/>
        </w:rPr>
        <w:t xml:space="preserve"> </w:t>
      </w:r>
      <w:proofErr w:type="spellStart"/>
      <w:r w:rsidRPr="006C73BC">
        <w:rPr>
          <w:sz w:val="20"/>
          <w:lang w:val="lv-LV"/>
        </w:rPr>
        <w:t>the</w:t>
      </w:r>
      <w:proofErr w:type="spellEnd"/>
      <w:r w:rsidRPr="006C73BC">
        <w:rPr>
          <w:sz w:val="20"/>
          <w:lang w:val="lv-LV"/>
        </w:rPr>
        <w:t xml:space="preserve"> </w:t>
      </w:r>
      <w:proofErr w:type="spellStart"/>
      <w:r w:rsidRPr="006C73BC">
        <w:rPr>
          <w:sz w:val="20"/>
          <w:lang w:val="lv-LV"/>
        </w:rPr>
        <w:t>Globalisation</w:t>
      </w:r>
      <w:proofErr w:type="spellEnd"/>
      <w:r w:rsidRPr="006C73BC">
        <w:rPr>
          <w:sz w:val="20"/>
          <w:lang w:val="lv-LV"/>
        </w:rPr>
        <w:t xml:space="preserve"> </w:t>
      </w:r>
      <w:proofErr w:type="spellStart"/>
      <w:r w:rsidRPr="006C73BC">
        <w:rPr>
          <w:sz w:val="20"/>
          <w:lang w:val="lv-LV"/>
        </w:rPr>
        <w:t>Era</w:t>
      </w:r>
      <w:proofErr w:type="spellEnd"/>
      <w:r w:rsidRPr="006C73BC">
        <w:rPr>
          <w:sz w:val="20"/>
          <w:lang w:val="lv-LV"/>
        </w:rPr>
        <w:t xml:space="preserve">. </w:t>
      </w:r>
      <w:proofErr w:type="spellStart"/>
      <w:r w:rsidRPr="006C73BC">
        <w:rPr>
          <w:sz w:val="20"/>
          <w:lang w:val="lv-LV"/>
        </w:rPr>
        <w:t>Putting</w:t>
      </w:r>
      <w:proofErr w:type="spellEnd"/>
      <w:r w:rsidRPr="006C73BC">
        <w:rPr>
          <w:sz w:val="20"/>
          <w:lang w:val="lv-LV"/>
        </w:rPr>
        <w:t xml:space="preserve"> </w:t>
      </w:r>
      <w:proofErr w:type="spellStart"/>
      <w:r w:rsidRPr="006C73BC">
        <w:rPr>
          <w:sz w:val="20"/>
          <w:lang w:val="lv-LV"/>
        </w:rPr>
        <w:t>compettitiveness</w:t>
      </w:r>
      <w:proofErr w:type="spellEnd"/>
      <w:r w:rsidRPr="006C73BC">
        <w:rPr>
          <w:sz w:val="20"/>
          <w:lang w:val="lv-LV"/>
        </w:rPr>
        <w:t xml:space="preserve"> </w:t>
      </w:r>
      <w:proofErr w:type="spellStart"/>
      <w:r w:rsidRPr="006C73BC">
        <w:rPr>
          <w:sz w:val="20"/>
          <w:lang w:val="lv-LV"/>
        </w:rPr>
        <w:t>and</w:t>
      </w:r>
      <w:proofErr w:type="spellEnd"/>
      <w:r w:rsidRPr="006C73BC">
        <w:rPr>
          <w:sz w:val="20"/>
          <w:lang w:val="lv-LV"/>
        </w:rPr>
        <w:t xml:space="preserve"> </w:t>
      </w:r>
      <w:proofErr w:type="spellStart"/>
      <w:r w:rsidRPr="006C73BC">
        <w:rPr>
          <w:sz w:val="20"/>
          <w:lang w:val="lv-LV"/>
        </w:rPr>
        <w:t>Sustainability</w:t>
      </w:r>
      <w:proofErr w:type="spellEnd"/>
      <w:r w:rsidRPr="006C73BC">
        <w:rPr>
          <w:sz w:val="20"/>
          <w:lang w:val="lv-LV"/>
        </w:rPr>
        <w:t xml:space="preserve"> </w:t>
      </w:r>
      <w:proofErr w:type="spellStart"/>
      <w:r w:rsidRPr="006C73BC">
        <w:rPr>
          <w:sz w:val="20"/>
          <w:lang w:val="lv-LV"/>
        </w:rPr>
        <w:t>at</w:t>
      </w:r>
      <w:proofErr w:type="spellEnd"/>
      <w:r w:rsidRPr="006C73BC">
        <w:rPr>
          <w:sz w:val="20"/>
          <w:lang w:val="lv-LV"/>
        </w:rPr>
        <w:t xml:space="preserve"> </w:t>
      </w:r>
      <w:proofErr w:type="spellStart"/>
      <w:r w:rsidRPr="006C73BC">
        <w:rPr>
          <w:sz w:val="20"/>
          <w:lang w:val="lv-LV"/>
        </w:rPr>
        <w:t>Centre</w:t>
      </w:r>
      <w:proofErr w:type="spellEnd"/>
      <w:r w:rsidRPr="006C73BC">
        <w:rPr>
          <w:sz w:val="20"/>
          <w:lang w:val="lv-LV"/>
        </w:rPr>
        <w:t xml:space="preserve"> </w:t>
      </w:r>
      <w:proofErr w:type="spellStart"/>
      <w:r w:rsidRPr="006C73BC">
        <w:rPr>
          <w:sz w:val="20"/>
          <w:lang w:val="lv-LV"/>
        </w:rPr>
        <w:t>Stage</w:t>
      </w:r>
      <w:proofErr w:type="spellEnd"/>
      <w:r w:rsidRPr="006C73BC">
        <w:rPr>
          <w:sz w:val="20"/>
          <w:lang w:val="lv-LV"/>
        </w:rPr>
        <w:t xml:space="preserve">, COM(2010) 614 </w:t>
      </w:r>
      <w:proofErr w:type="spellStart"/>
      <w:r w:rsidRPr="006C73BC">
        <w:rPr>
          <w:sz w:val="20"/>
          <w:lang w:val="lv-LV"/>
        </w:rPr>
        <w:t>final</w:t>
      </w:r>
      <w:proofErr w:type="spellEnd"/>
      <w:r w:rsidRPr="006C73BC">
        <w:rPr>
          <w:sz w:val="20"/>
          <w:lang w:val="lv-LV"/>
        </w:rPr>
        <w:t xml:space="preserve">, 28.10.2010. </w:t>
      </w:r>
      <w:proofErr w:type="spellStart"/>
      <w:r w:rsidRPr="006C73BC">
        <w:rPr>
          <w:sz w:val="20"/>
          <w:lang w:val="lv-LV"/>
        </w:rPr>
        <w:t>and</w:t>
      </w:r>
      <w:proofErr w:type="spellEnd"/>
      <w:r w:rsidRPr="006C73BC">
        <w:rPr>
          <w:sz w:val="20"/>
          <w:lang w:val="lv-LV"/>
        </w:rPr>
        <w:t xml:space="preserve"> </w:t>
      </w:r>
      <w:proofErr w:type="spellStart"/>
      <w:r w:rsidRPr="006C73BC">
        <w:rPr>
          <w:sz w:val="20"/>
          <w:lang w:val="lv-LV"/>
        </w:rPr>
        <w:t>its</w:t>
      </w:r>
      <w:proofErr w:type="spellEnd"/>
      <w:r w:rsidRPr="006C73BC">
        <w:rPr>
          <w:sz w:val="20"/>
          <w:lang w:val="lv-LV"/>
        </w:rPr>
        <w:t xml:space="preserve"> </w:t>
      </w:r>
      <w:proofErr w:type="spellStart"/>
      <w:r w:rsidRPr="006C73BC">
        <w:rPr>
          <w:sz w:val="20"/>
          <w:lang w:val="lv-LV"/>
        </w:rPr>
        <w:t>update</w:t>
      </w:r>
      <w:proofErr w:type="spellEnd"/>
      <w:r w:rsidRPr="006C73BC">
        <w:rPr>
          <w:sz w:val="20"/>
          <w:lang w:val="lv-LV"/>
        </w:rPr>
        <w:t xml:space="preserve">, A </w:t>
      </w:r>
      <w:proofErr w:type="spellStart"/>
      <w:r w:rsidRPr="006C73BC">
        <w:rPr>
          <w:sz w:val="20"/>
          <w:lang w:val="lv-LV"/>
        </w:rPr>
        <w:t>Stronger</w:t>
      </w:r>
      <w:proofErr w:type="spellEnd"/>
      <w:r w:rsidRPr="006C73BC">
        <w:rPr>
          <w:sz w:val="20"/>
          <w:lang w:val="lv-LV"/>
        </w:rPr>
        <w:t xml:space="preserve"> </w:t>
      </w:r>
      <w:proofErr w:type="spellStart"/>
      <w:r w:rsidRPr="006C73BC">
        <w:rPr>
          <w:sz w:val="20"/>
          <w:lang w:val="lv-LV"/>
        </w:rPr>
        <w:t>European</w:t>
      </w:r>
      <w:proofErr w:type="spellEnd"/>
      <w:r w:rsidRPr="006C73BC">
        <w:rPr>
          <w:sz w:val="20"/>
          <w:lang w:val="lv-LV"/>
        </w:rPr>
        <w:t xml:space="preserve"> </w:t>
      </w:r>
      <w:proofErr w:type="spellStart"/>
      <w:r w:rsidRPr="006C73BC">
        <w:rPr>
          <w:sz w:val="20"/>
          <w:lang w:val="lv-LV"/>
        </w:rPr>
        <w:t>Industry</w:t>
      </w:r>
      <w:proofErr w:type="spellEnd"/>
      <w:r w:rsidRPr="006C73BC">
        <w:rPr>
          <w:sz w:val="20"/>
          <w:lang w:val="lv-LV"/>
        </w:rPr>
        <w:t xml:space="preserve"> </w:t>
      </w:r>
      <w:proofErr w:type="spellStart"/>
      <w:r w:rsidRPr="006C73BC">
        <w:rPr>
          <w:sz w:val="20"/>
          <w:lang w:val="lv-LV"/>
        </w:rPr>
        <w:t>for</w:t>
      </w:r>
      <w:proofErr w:type="spellEnd"/>
      <w:r w:rsidRPr="006C73BC">
        <w:rPr>
          <w:sz w:val="20"/>
          <w:lang w:val="lv-LV"/>
        </w:rPr>
        <w:t xml:space="preserve"> </w:t>
      </w:r>
      <w:proofErr w:type="spellStart"/>
      <w:r w:rsidRPr="006C73BC">
        <w:rPr>
          <w:sz w:val="20"/>
          <w:lang w:val="lv-LV"/>
        </w:rPr>
        <w:t>Growth</w:t>
      </w:r>
      <w:proofErr w:type="spellEnd"/>
      <w:r w:rsidRPr="006C73BC">
        <w:rPr>
          <w:sz w:val="20"/>
          <w:lang w:val="lv-LV"/>
        </w:rPr>
        <w:t xml:space="preserve"> </w:t>
      </w:r>
      <w:proofErr w:type="spellStart"/>
      <w:r w:rsidRPr="006C73BC">
        <w:rPr>
          <w:sz w:val="20"/>
          <w:lang w:val="lv-LV"/>
        </w:rPr>
        <w:t>and</w:t>
      </w:r>
      <w:proofErr w:type="spellEnd"/>
      <w:r w:rsidRPr="006C73BC">
        <w:rPr>
          <w:sz w:val="20"/>
          <w:lang w:val="lv-LV"/>
        </w:rPr>
        <w:t xml:space="preserve"> </w:t>
      </w:r>
      <w:proofErr w:type="spellStart"/>
      <w:r w:rsidRPr="006C73BC">
        <w:rPr>
          <w:sz w:val="20"/>
          <w:lang w:val="lv-LV"/>
        </w:rPr>
        <w:t>Economic</w:t>
      </w:r>
      <w:proofErr w:type="spellEnd"/>
      <w:r w:rsidRPr="006C73BC">
        <w:rPr>
          <w:sz w:val="20"/>
          <w:lang w:val="lv-LV"/>
        </w:rPr>
        <w:t xml:space="preserve"> </w:t>
      </w:r>
      <w:proofErr w:type="spellStart"/>
      <w:r w:rsidRPr="006C73BC">
        <w:rPr>
          <w:sz w:val="20"/>
          <w:lang w:val="lv-LV"/>
        </w:rPr>
        <w:t>Recovery</w:t>
      </w:r>
      <w:proofErr w:type="spellEnd"/>
      <w:r w:rsidRPr="006C73BC">
        <w:rPr>
          <w:sz w:val="20"/>
          <w:lang w:val="lv-LV"/>
        </w:rPr>
        <w:t xml:space="preserve">, COM(2010) 582 </w:t>
      </w:r>
      <w:proofErr w:type="spellStart"/>
      <w:r w:rsidRPr="006C73BC">
        <w:rPr>
          <w:sz w:val="20"/>
          <w:lang w:val="lv-LV"/>
        </w:rPr>
        <w:t>final</w:t>
      </w:r>
      <w:proofErr w:type="spellEnd"/>
      <w:r w:rsidRPr="006C73BC">
        <w:rPr>
          <w:sz w:val="20"/>
          <w:lang w:val="lv-LV"/>
        </w:rPr>
        <w:t>, 1010.2012.</w:t>
      </w:r>
    </w:p>
  </w:footnote>
  <w:footnote w:id="3">
    <w:p w:rsidR="00D25A7A" w:rsidRPr="004064FF" w:rsidRDefault="00D25A7A" w:rsidP="00C11EDA">
      <w:pPr>
        <w:shd w:val="clear" w:color="auto" w:fill="FFFFFF"/>
        <w:contextualSpacing/>
        <w:jc w:val="both"/>
        <w:outlineLvl w:val="0"/>
        <w:rPr>
          <w:rFonts w:ascii="Times New Roman" w:hAnsi="Times New Roman"/>
          <w:bCs/>
          <w:color w:val="574636"/>
          <w:kern w:val="36"/>
          <w:sz w:val="20"/>
          <w:szCs w:val="20"/>
        </w:rPr>
      </w:pPr>
      <w:r w:rsidRPr="004064FF">
        <w:rPr>
          <w:rStyle w:val="Vresatsauce"/>
          <w:rFonts w:ascii="Times New Roman" w:hAnsi="Times New Roman"/>
          <w:sz w:val="20"/>
          <w:szCs w:val="20"/>
        </w:rPr>
        <w:footnoteRef/>
      </w:r>
      <w:r w:rsidRPr="004064FF">
        <w:rPr>
          <w:rFonts w:ascii="Times New Roman" w:hAnsi="Times New Roman"/>
          <w:sz w:val="20"/>
          <w:szCs w:val="20"/>
        </w:rPr>
        <w:t xml:space="preserve"> </w:t>
      </w:r>
      <w:r w:rsidRPr="004064FF">
        <w:rPr>
          <w:rFonts w:ascii="Times New Roman" w:hAnsi="Times New Roman"/>
          <w:bCs/>
          <w:color w:val="574636"/>
          <w:kern w:val="36"/>
          <w:sz w:val="20"/>
          <w:szCs w:val="20"/>
        </w:rPr>
        <w:t xml:space="preserve">Jaunā Valsts policijas attīstības koncepcija – uz sabiedrību vērstas policijas darbības modelis. </w:t>
      </w:r>
      <w:r w:rsidRPr="004064FF">
        <w:rPr>
          <w:rFonts w:ascii="Times New Roman" w:hAnsi="Times New Roman"/>
          <w:sz w:val="20"/>
          <w:szCs w:val="20"/>
        </w:rPr>
        <w:t>http://www.lvportals.lv/likumi-prakse.php?id=252033</w:t>
      </w:r>
    </w:p>
  </w:footnote>
  <w:footnote w:id="4">
    <w:p w:rsidR="00D25A7A" w:rsidRPr="005C37C0" w:rsidRDefault="00D25A7A" w:rsidP="00C11EDA">
      <w:pPr>
        <w:pStyle w:val="Vresteksts"/>
        <w:ind w:left="0"/>
      </w:pPr>
      <w:r>
        <w:rPr>
          <w:rStyle w:val="Vresatsauce"/>
        </w:rPr>
        <w:footnoteRef/>
      </w:r>
      <w:r>
        <w:t xml:space="preserve"> </w:t>
      </w:r>
      <w:r w:rsidRPr="002134A1">
        <w:rPr>
          <w:sz w:val="20"/>
          <w:lang w:val="lv-LV"/>
        </w:rPr>
        <w:t xml:space="preserve">Patentu valdes sniegtā informācija attiecībā uz patentu dinamiku </w:t>
      </w:r>
      <w:r>
        <w:rPr>
          <w:sz w:val="20"/>
        </w:rPr>
        <w:t xml:space="preserve">Latvijā laika periodā no </w:t>
      </w:r>
      <w:proofErr w:type="gramStart"/>
      <w:r>
        <w:rPr>
          <w:sz w:val="20"/>
          <w:lang w:val="lv-LV"/>
        </w:rPr>
        <w:t>1993</w:t>
      </w:r>
      <w:r w:rsidRPr="002134A1">
        <w:rPr>
          <w:sz w:val="20"/>
        </w:rPr>
        <w:t>.</w:t>
      </w:r>
      <w:r w:rsidR="004D46A6">
        <w:rPr>
          <w:sz w:val="20"/>
          <w:lang w:val="lv-LV"/>
        </w:rPr>
        <w:t>gada</w:t>
      </w:r>
      <w:proofErr w:type="gramEnd"/>
      <w:r w:rsidR="004D46A6">
        <w:rPr>
          <w:sz w:val="20"/>
          <w:lang w:val="lv-LV"/>
        </w:rPr>
        <w:t xml:space="preserve"> līdz </w:t>
      </w:r>
      <w:r w:rsidRPr="002134A1">
        <w:rPr>
          <w:sz w:val="20"/>
        </w:rPr>
        <w:t xml:space="preserve">2012. </w:t>
      </w:r>
      <w:r>
        <w:rPr>
          <w:sz w:val="20"/>
          <w:lang w:val="lv-LV"/>
        </w:rPr>
        <w:t>g</w:t>
      </w:r>
      <w:proofErr w:type="spellStart"/>
      <w:r w:rsidRPr="002134A1">
        <w:rPr>
          <w:sz w:val="20"/>
        </w:rPr>
        <w:t>adam</w:t>
      </w:r>
      <w:proofErr w:type="spellEnd"/>
      <w:r w:rsidRPr="002134A1">
        <w:rPr>
          <w:sz w:val="20"/>
          <w:lang w:val="lv-LV"/>
        </w:rPr>
        <w:t>.</w:t>
      </w:r>
    </w:p>
  </w:footnote>
  <w:footnote w:id="5">
    <w:p w:rsidR="00D25A7A" w:rsidRPr="005C37C0" w:rsidRDefault="00D25A7A" w:rsidP="00C11EDA">
      <w:pPr>
        <w:pStyle w:val="Vresteksts"/>
        <w:ind w:left="0"/>
        <w:rPr>
          <w:lang w:val="lv-LV"/>
        </w:rPr>
      </w:pPr>
      <w:r>
        <w:rPr>
          <w:rStyle w:val="Vresatsauce"/>
        </w:rPr>
        <w:footnoteRef/>
      </w:r>
      <w:r>
        <w:t xml:space="preserve"> </w:t>
      </w:r>
      <w:r w:rsidRPr="005C37C0">
        <w:rPr>
          <w:sz w:val="20"/>
          <w:lang w:val="lv-LV"/>
        </w:rPr>
        <w:t xml:space="preserve">Patentu valdes sniegtā informācija attiecībā uz patentu dinamiku </w:t>
      </w:r>
      <w:r w:rsidRPr="005C37C0">
        <w:rPr>
          <w:sz w:val="20"/>
        </w:rPr>
        <w:t xml:space="preserve">Latvijā laika periodā no </w:t>
      </w:r>
      <w:proofErr w:type="gramStart"/>
      <w:r w:rsidRPr="005C37C0">
        <w:rPr>
          <w:sz w:val="20"/>
        </w:rPr>
        <w:t>2001</w:t>
      </w:r>
      <w:r>
        <w:rPr>
          <w:sz w:val="20"/>
          <w:lang w:val="lv-LV"/>
        </w:rPr>
        <w:t>.</w:t>
      </w:r>
      <w:r w:rsidR="009B580A">
        <w:rPr>
          <w:sz w:val="20"/>
          <w:lang w:val="lv-LV"/>
        </w:rPr>
        <w:t>gada</w:t>
      </w:r>
      <w:proofErr w:type="gramEnd"/>
      <w:r>
        <w:rPr>
          <w:sz w:val="20"/>
          <w:lang w:val="lv-LV"/>
        </w:rPr>
        <w:t xml:space="preserve"> līdz</w:t>
      </w:r>
      <w:r w:rsidRPr="005C37C0">
        <w:rPr>
          <w:sz w:val="20"/>
        </w:rPr>
        <w:t xml:space="preserve"> 2012. </w:t>
      </w:r>
      <w:r>
        <w:rPr>
          <w:sz w:val="20"/>
          <w:lang w:val="lv-LV"/>
        </w:rPr>
        <w:t>g</w:t>
      </w:r>
      <w:proofErr w:type="spellStart"/>
      <w:r w:rsidRPr="005C37C0">
        <w:rPr>
          <w:sz w:val="20"/>
        </w:rPr>
        <w:t>adam</w:t>
      </w:r>
      <w:proofErr w:type="spellEnd"/>
      <w:r w:rsidRPr="005C37C0">
        <w:rPr>
          <w:sz w:val="20"/>
          <w:lang w:val="lv-LV"/>
        </w:rPr>
        <w:t>.</w:t>
      </w:r>
      <w:r>
        <w:rPr>
          <w:i/>
          <w:sz w:val="20"/>
          <w:lang w:val="lv-LV"/>
        </w:rPr>
        <w:t xml:space="preserve"> </w:t>
      </w:r>
    </w:p>
  </w:footnote>
  <w:footnote w:id="6">
    <w:p w:rsidR="00D25A7A" w:rsidRPr="00F74F2A" w:rsidRDefault="00D25A7A" w:rsidP="00C11EDA">
      <w:pPr>
        <w:pStyle w:val="Vresteksts"/>
        <w:ind w:left="0"/>
        <w:rPr>
          <w:sz w:val="20"/>
          <w:lang w:val="lv-LV"/>
        </w:rPr>
      </w:pPr>
      <w:r w:rsidRPr="004064FF">
        <w:rPr>
          <w:rStyle w:val="Vresatsauce"/>
          <w:sz w:val="20"/>
        </w:rPr>
        <w:footnoteRef/>
      </w:r>
      <w:r w:rsidRPr="004064FF">
        <w:rPr>
          <w:sz w:val="20"/>
        </w:rPr>
        <w:t xml:space="preserve"> Tiek piešķirts saskaņā ar Eiropas patenta konvencijas noteikumiem</w:t>
      </w:r>
      <w:r w:rsidRPr="00F74F2A">
        <w:rPr>
          <w:sz w:val="20"/>
        </w:rPr>
        <w:t>. Eiropas patents ir jāapstiprina katrā valstī atsevišķi, ievērojot katras valsts prasības, tostarp arī tulkošanas prasības</w:t>
      </w:r>
    </w:p>
  </w:footnote>
  <w:footnote w:id="7">
    <w:p w:rsidR="00D25A7A" w:rsidRPr="00605E2F" w:rsidRDefault="00D25A7A" w:rsidP="00C11EDA">
      <w:pPr>
        <w:pStyle w:val="Vresteksts"/>
        <w:ind w:left="0"/>
        <w:rPr>
          <w:lang w:val="lv-LV"/>
        </w:rPr>
      </w:pPr>
      <w:r w:rsidRPr="00FC0623">
        <w:rPr>
          <w:sz w:val="20"/>
          <w:vertAlign w:val="superscript"/>
        </w:rPr>
        <w:footnoteRef/>
      </w:r>
      <w:r w:rsidRPr="00605E2F">
        <w:rPr>
          <w:sz w:val="20"/>
        </w:rPr>
        <w:t xml:space="preserve"> P</w:t>
      </w:r>
      <w:r>
        <w:rPr>
          <w:sz w:val="20"/>
        </w:rPr>
        <w:t>ieejam</w:t>
      </w:r>
      <w:r>
        <w:rPr>
          <w:sz w:val="20"/>
          <w:lang w:val="lv-LV"/>
        </w:rPr>
        <w:t>a</w:t>
      </w:r>
      <w:r w:rsidRPr="00605E2F">
        <w:rPr>
          <w:sz w:val="20"/>
        </w:rPr>
        <w:t>: http://eur-lex.europa.eu/LexUriServ/LexUriServ.do?uri=OJ:L:2012:361:0001:0008:LV:PDF</w:t>
      </w:r>
    </w:p>
  </w:footnote>
  <w:footnote w:id="8">
    <w:p w:rsidR="00D25A7A" w:rsidRPr="00FC0623" w:rsidRDefault="00D25A7A" w:rsidP="00C11EDA">
      <w:pPr>
        <w:pStyle w:val="Vresteksts"/>
        <w:ind w:left="0"/>
      </w:pPr>
      <w:r w:rsidRPr="00FC0623">
        <w:rPr>
          <w:sz w:val="20"/>
          <w:vertAlign w:val="superscript"/>
        </w:rPr>
        <w:footnoteRef/>
      </w:r>
      <w:r w:rsidRPr="00FC0623">
        <w:rPr>
          <w:sz w:val="20"/>
        </w:rPr>
        <w:t xml:space="preserve"> Pieejama: http://eur-lex.europa.eu/LexUriServ/LexUriServ.do?uri=OJ:L:2012:361:0089:0092:LV:PDF</w:t>
      </w:r>
    </w:p>
  </w:footnote>
  <w:footnote w:id="9">
    <w:p w:rsidR="00D25A7A" w:rsidRPr="00AC50D2" w:rsidRDefault="00D25A7A" w:rsidP="00C11EDA">
      <w:pPr>
        <w:pStyle w:val="Vresteksts"/>
        <w:ind w:left="0"/>
        <w:rPr>
          <w:sz w:val="20"/>
        </w:rPr>
      </w:pPr>
      <w:r>
        <w:rPr>
          <w:rStyle w:val="Vresatsauce"/>
        </w:rPr>
        <w:footnoteRef/>
      </w:r>
      <w:r>
        <w:t xml:space="preserve"> </w:t>
      </w:r>
      <w:r w:rsidRPr="00AC50D2">
        <w:rPr>
          <w:sz w:val="20"/>
        </w:rPr>
        <w:t>Pieejams</w:t>
      </w:r>
      <w:r>
        <w:rPr>
          <w:lang w:val="lv-LV"/>
        </w:rPr>
        <w:t xml:space="preserve">: </w:t>
      </w:r>
      <w:r w:rsidRPr="00AC50D2">
        <w:rPr>
          <w:sz w:val="20"/>
        </w:rPr>
        <w:t>http://register.consilium.europa.eu/pdf/lv/12/st16/st16351.lv12.pdf</w:t>
      </w:r>
    </w:p>
  </w:footnote>
  <w:footnote w:id="10">
    <w:p w:rsidR="00D25A7A" w:rsidRPr="00AC50D2" w:rsidRDefault="00D25A7A" w:rsidP="00C11EDA">
      <w:pPr>
        <w:pStyle w:val="Vresteksts"/>
        <w:ind w:left="0"/>
      </w:pPr>
      <w:r>
        <w:rPr>
          <w:rStyle w:val="Vresatsauce"/>
        </w:rPr>
        <w:footnoteRef/>
      </w:r>
      <w:r>
        <w:t xml:space="preserve"> </w:t>
      </w:r>
      <w:r w:rsidRPr="00AC50D2">
        <w:rPr>
          <w:sz w:val="20"/>
        </w:rPr>
        <w:t>Skatīt: http://ec.europa.eu/internal_market/indprop/patent/ratification/index_en.htm</w:t>
      </w:r>
    </w:p>
  </w:footnote>
  <w:footnote w:id="11">
    <w:p w:rsidR="00D25A7A" w:rsidRPr="00BA6BC3" w:rsidRDefault="00D25A7A" w:rsidP="00C11EDA">
      <w:pPr>
        <w:pStyle w:val="Vresteksts"/>
        <w:ind w:left="0"/>
        <w:rPr>
          <w:sz w:val="20"/>
        </w:rPr>
      </w:pPr>
      <w:r w:rsidRPr="00BA6BC3">
        <w:rPr>
          <w:rStyle w:val="Vresatsauce"/>
          <w:sz w:val="20"/>
        </w:rPr>
        <w:footnoteRef/>
      </w:r>
      <w:r w:rsidRPr="00BA6BC3">
        <w:rPr>
          <w:sz w:val="20"/>
        </w:rPr>
        <w:t xml:space="preserve"> Levits E. </w:t>
      </w:r>
      <w:proofErr w:type="spellStart"/>
      <w:r w:rsidRPr="00BA6BC3">
        <w:rPr>
          <w:sz w:val="20"/>
        </w:rPr>
        <w:t>Ģenerālklauzulas</w:t>
      </w:r>
      <w:proofErr w:type="spellEnd"/>
      <w:r w:rsidRPr="00BA6BC3">
        <w:rPr>
          <w:sz w:val="20"/>
        </w:rPr>
        <w:t xml:space="preserve"> un iestādes (tiesas) rīcības brīvība. Funkcijas likumā, piemērošana konkrētā gadījumā, kontrole augstākā iestādē un tiesā,  Likums un Tiesības, 5. sēj., Nr. 6 (Nr. 46), Nr. 7 (Nr. 47), 2003. jūnijs, jūlijs.</w:t>
      </w:r>
    </w:p>
  </w:footnote>
  <w:footnote w:id="12">
    <w:p w:rsidR="00D25A7A" w:rsidRPr="004064FF" w:rsidRDefault="00D25A7A" w:rsidP="00C11EDA">
      <w:pPr>
        <w:pStyle w:val="Vresteksts"/>
        <w:ind w:left="0"/>
        <w:jc w:val="left"/>
        <w:rPr>
          <w:color w:val="000000"/>
          <w:sz w:val="20"/>
          <w:lang w:val="lv-LV"/>
        </w:rPr>
      </w:pPr>
      <w:r w:rsidRPr="004064FF">
        <w:rPr>
          <w:rStyle w:val="Vresatsauce"/>
          <w:color w:val="000000"/>
          <w:sz w:val="20"/>
        </w:rPr>
        <w:footnoteRef/>
      </w:r>
      <w:r w:rsidRPr="004064FF">
        <w:rPr>
          <w:color w:val="000000"/>
          <w:sz w:val="20"/>
        </w:rPr>
        <w:t xml:space="preserve"> </w:t>
      </w:r>
      <w:r w:rsidRPr="004064FF">
        <w:rPr>
          <w:color w:val="000000"/>
          <w:sz w:val="20"/>
          <w:lang w:val="lv-LV"/>
        </w:rPr>
        <w:t xml:space="preserve">Pieejams: </w:t>
      </w:r>
      <w:hyperlink r:id="rId1" w:history="1">
        <w:r w:rsidRPr="004064FF">
          <w:rPr>
            <w:rStyle w:val="Hipersaite"/>
            <w:rFonts w:eastAsia="Calibri"/>
            <w:color w:val="000000"/>
            <w:sz w:val="20"/>
            <w:lang w:val="lv-LV"/>
          </w:rPr>
          <w:t>http://www.google.lv/url?sa=t&amp;rct=j&amp;q=&amp;esrc=s&amp;source=web&amp;cd=1&amp;ved=0CCgQFjAA&amp;url=http%3A%2F%2Fwww.at.gov.lv%2Ffiles%2Fdocs%2Fsummaries%2F2008%2Fgaligais%2520precu%2520zimes%252023%252004%252008.doc&amp;ei=ba60UNjXLMX-4QTJooGwAg&amp;usg=AFQjCNFuVsLbf20t70qsOq0Wkciqy4H4aA&amp;cad=rja</w:t>
        </w:r>
      </w:hyperlink>
    </w:p>
  </w:footnote>
  <w:footnote w:id="13">
    <w:p w:rsidR="00D25A7A" w:rsidRPr="003172A0" w:rsidRDefault="00D25A7A" w:rsidP="00C11EDA">
      <w:pPr>
        <w:pStyle w:val="Vresteksts"/>
        <w:ind w:left="0"/>
        <w:rPr>
          <w:lang w:val="lv-LV"/>
        </w:rPr>
      </w:pPr>
      <w:r>
        <w:rPr>
          <w:rStyle w:val="Vresatsauce"/>
        </w:rPr>
        <w:footnoteRef/>
      </w:r>
      <w:r>
        <w:t xml:space="preserve"> </w:t>
      </w:r>
      <w:r w:rsidRPr="003172A0">
        <w:rPr>
          <w:sz w:val="20"/>
          <w:lang w:val="lv-LV"/>
        </w:rPr>
        <w:t>Saskaņā ar Ministru kabineta 2007.</w:t>
      </w:r>
      <w:r>
        <w:rPr>
          <w:sz w:val="20"/>
          <w:lang w:val="lv-LV"/>
        </w:rPr>
        <w:t> </w:t>
      </w:r>
      <w:r w:rsidRPr="003172A0">
        <w:rPr>
          <w:sz w:val="20"/>
          <w:lang w:val="lv-LV"/>
        </w:rPr>
        <w:t>gada 4.</w:t>
      </w:r>
      <w:r>
        <w:rPr>
          <w:sz w:val="20"/>
          <w:lang w:val="lv-LV"/>
        </w:rPr>
        <w:t> </w:t>
      </w:r>
      <w:r w:rsidRPr="003172A0">
        <w:rPr>
          <w:sz w:val="20"/>
          <w:lang w:val="lv-LV"/>
        </w:rPr>
        <w:t>decembra noteikumu Nr.824 „Noteikumi par va</w:t>
      </w:r>
      <w:r w:rsidR="00CD2498">
        <w:rPr>
          <w:sz w:val="20"/>
          <w:lang w:val="lv-LV"/>
        </w:rPr>
        <w:t>l</w:t>
      </w:r>
      <w:r w:rsidRPr="003172A0">
        <w:rPr>
          <w:sz w:val="20"/>
          <w:lang w:val="lv-LV"/>
        </w:rPr>
        <w:t>sts nodevu par izgudrojumu tiesisko aizsardzību” 2.punktu</w:t>
      </w:r>
      <w:r>
        <w:rPr>
          <w:lang w:val="lv-LV"/>
        </w:rPr>
        <w:t>, j</w:t>
      </w:r>
      <w:r w:rsidRPr="003172A0">
        <w:rPr>
          <w:sz w:val="20"/>
          <w:lang w:val="lv-LV"/>
        </w:rPr>
        <w:t xml:space="preserve">a nav veikti grozījumi un nav kavējumu, tad </w:t>
      </w:r>
      <w:r>
        <w:rPr>
          <w:sz w:val="20"/>
          <w:lang w:val="lv-LV"/>
        </w:rPr>
        <w:t xml:space="preserve">izgudrojuma tiesisko aizsardzību var iegūt par aptuveni </w:t>
      </w:r>
      <w:r w:rsidRPr="003172A0">
        <w:rPr>
          <w:sz w:val="20"/>
          <w:lang w:val="lv-LV"/>
        </w:rPr>
        <w:t>192, 10 Eiro, bet, ja pieteicējs ir pats izgudrotājs, piem</w:t>
      </w:r>
      <w:r w:rsidRPr="00E426D8">
        <w:rPr>
          <w:sz w:val="20"/>
          <w:lang w:val="lv-LV"/>
        </w:rPr>
        <w:t>ērojama 40% atlaide</w:t>
      </w:r>
      <w:r w:rsidRPr="003172A0">
        <w:rPr>
          <w:sz w:val="20"/>
          <w:lang w:val="lv-LV"/>
        </w:rPr>
        <w:t>.</w:t>
      </w:r>
      <w:r>
        <w:rPr>
          <w:lang w:val="lv-LV"/>
        </w:rPr>
        <w:t xml:space="preserve"> </w:t>
      </w:r>
    </w:p>
  </w:footnote>
  <w:footnote w:id="14">
    <w:p w:rsidR="00D25A7A" w:rsidRPr="004B200C" w:rsidRDefault="00D25A7A" w:rsidP="00C11EDA">
      <w:pPr>
        <w:pStyle w:val="Vresteksts"/>
        <w:ind w:left="142"/>
        <w:rPr>
          <w:sz w:val="20"/>
          <w:lang w:val="lv-LV"/>
        </w:rPr>
      </w:pPr>
      <w:r w:rsidRPr="004B200C">
        <w:rPr>
          <w:rStyle w:val="Vresatsauce"/>
          <w:sz w:val="20"/>
        </w:rPr>
        <w:footnoteRef/>
      </w:r>
      <w:r w:rsidRPr="004B200C">
        <w:rPr>
          <w:sz w:val="20"/>
        </w:rPr>
        <w:t xml:space="preserve"> </w:t>
      </w:r>
      <w:r w:rsidRPr="004B200C">
        <w:rPr>
          <w:sz w:val="20"/>
          <w:lang w:val="lv-LV"/>
        </w:rPr>
        <w:t xml:space="preserve">Pēc Centrālā statistikas biroja datiem, pieejami: </w:t>
      </w:r>
      <w:hyperlink r:id="rId2" w:history="1">
        <w:r w:rsidRPr="0017649E">
          <w:rPr>
            <w:rStyle w:val="Hipersaite"/>
            <w:rFonts w:eastAsia="Calibri"/>
            <w:sz w:val="20"/>
          </w:rPr>
          <w:t>http://www.csb.gov.lv/statistikas-temas/informacijas-tehnologijas-galvenie-raditaji-30332.html</w:t>
        </w:r>
      </w:hyperlink>
      <w:r>
        <w:rPr>
          <w:sz w:val="20"/>
          <w:lang w:val="lv-LV"/>
        </w:rPr>
        <w:t xml:space="preserve">. </w:t>
      </w:r>
    </w:p>
  </w:footnote>
  <w:footnote w:id="15">
    <w:p w:rsidR="00D25A7A" w:rsidRPr="00EA36DA" w:rsidRDefault="00D25A7A" w:rsidP="00C11EDA">
      <w:pPr>
        <w:pStyle w:val="Vresteksts"/>
        <w:rPr>
          <w:lang w:val="lv-LV"/>
        </w:rPr>
      </w:pPr>
      <w:r>
        <w:rPr>
          <w:rStyle w:val="Vresatsauce"/>
        </w:rPr>
        <w:footnoteRef/>
      </w:r>
      <w:r>
        <w:t xml:space="preserve"> </w:t>
      </w:r>
      <w:r w:rsidRPr="00EA36DA">
        <w:rPr>
          <w:sz w:val="20"/>
          <w:lang w:val="lv-LV"/>
        </w:rPr>
        <w:t>NAP2020 160.punkts paredz finansējumu minētā pasākuma īstenošanai kopā 80 000 latu, no kuriem 57 000 latu no ES struktūrfondiem</w:t>
      </w:r>
      <w:r>
        <w:rPr>
          <w:sz w:val="20"/>
          <w:lang w:val="lv-LV"/>
        </w:rPr>
        <w:t xml:space="preserve"> (ERAF)</w:t>
      </w:r>
      <w:r w:rsidRPr="00EA36DA">
        <w:rPr>
          <w:sz w:val="20"/>
          <w:lang w:val="lv-LV"/>
        </w:rPr>
        <w:t>, 23 000 no valsts budžeta.</w:t>
      </w:r>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7A" w:rsidRDefault="00D25A7A">
    <w:pPr>
      <w:pStyle w:val="Galvene"/>
      <w:jc w:val="center"/>
    </w:pPr>
    <w:r w:rsidRPr="00F268DA">
      <w:rPr>
        <w:rFonts w:ascii="Times New Roman" w:hAnsi="Times New Roman"/>
        <w:sz w:val="20"/>
        <w:szCs w:val="20"/>
      </w:rPr>
      <w:fldChar w:fldCharType="begin"/>
    </w:r>
    <w:r w:rsidRPr="00F268DA">
      <w:rPr>
        <w:rFonts w:ascii="Times New Roman" w:hAnsi="Times New Roman"/>
        <w:sz w:val="20"/>
        <w:szCs w:val="20"/>
      </w:rPr>
      <w:instrText xml:space="preserve"> PAGE   \* MERGEFORMAT </w:instrText>
    </w:r>
    <w:r w:rsidRPr="00F268DA">
      <w:rPr>
        <w:rFonts w:ascii="Times New Roman" w:hAnsi="Times New Roman"/>
        <w:sz w:val="20"/>
        <w:szCs w:val="20"/>
      </w:rPr>
      <w:fldChar w:fldCharType="separate"/>
    </w:r>
    <w:r w:rsidR="00542C40">
      <w:rPr>
        <w:rFonts w:ascii="Times New Roman" w:hAnsi="Times New Roman"/>
        <w:noProof/>
        <w:sz w:val="20"/>
        <w:szCs w:val="20"/>
      </w:rPr>
      <w:t>62</w:t>
    </w:r>
    <w:r w:rsidRPr="00F268DA">
      <w:rPr>
        <w:rFonts w:ascii="Times New Roman" w:hAnsi="Times New Roman"/>
        <w:sz w:val="20"/>
        <w:szCs w:val="20"/>
      </w:rPr>
      <w:fldChar w:fldCharType="end"/>
    </w:r>
  </w:p>
  <w:p w:rsidR="00D25A7A" w:rsidRDefault="00D25A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7A" w:rsidRDefault="00D25A7A">
    <w:pPr>
      <w:pStyle w:val="Galvene"/>
      <w:jc w:val="center"/>
    </w:pPr>
  </w:p>
  <w:p w:rsidR="00D25A7A" w:rsidRDefault="00D25A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FE9"/>
    <w:multiLevelType w:val="hybridMultilevel"/>
    <w:tmpl w:val="16C4C6AC"/>
    <w:lvl w:ilvl="0" w:tplc="D716DDCA">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4509F"/>
    <w:multiLevelType w:val="hybridMultilevel"/>
    <w:tmpl w:val="D916E0EC"/>
    <w:lvl w:ilvl="0" w:tplc="E3942780">
      <w:start w:val="4"/>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CD91154"/>
    <w:multiLevelType w:val="hybridMultilevel"/>
    <w:tmpl w:val="540223C2"/>
    <w:lvl w:ilvl="0" w:tplc="B1CEBE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A3446"/>
    <w:multiLevelType w:val="hybridMultilevel"/>
    <w:tmpl w:val="AB067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605BF8"/>
    <w:multiLevelType w:val="multilevel"/>
    <w:tmpl w:val="3B78D524"/>
    <w:lvl w:ilvl="0">
      <w:start w:val="6"/>
      <w:numFmt w:val="decimal"/>
      <w:lvlText w:val="%1."/>
      <w:lvlJc w:val="left"/>
      <w:pPr>
        <w:ind w:left="720" w:hanging="360"/>
      </w:pPr>
      <w:rPr>
        <w:rFonts w:hint="default"/>
      </w:rPr>
    </w:lvl>
    <w:lvl w:ilvl="1">
      <w:start w:val="2"/>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9C67A4E"/>
    <w:multiLevelType w:val="hybridMultilevel"/>
    <w:tmpl w:val="6090FA2C"/>
    <w:lvl w:ilvl="0" w:tplc="4A3EB8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A8E7633"/>
    <w:multiLevelType w:val="multilevel"/>
    <w:tmpl w:val="54661E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0B03E3"/>
    <w:multiLevelType w:val="hybridMultilevel"/>
    <w:tmpl w:val="82767D56"/>
    <w:lvl w:ilvl="0" w:tplc="B6E641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360132"/>
    <w:multiLevelType w:val="multilevel"/>
    <w:tmpl w:val="849A7772"/>
    <w:lvl w:ilvl="0">
      <w:start w:val="4"/>
      <w:numFmt w:val="decimal"/>
      <w:lvlText w:val="%1."/>
      <w:lvlJc w:val="left"/>
      <w:pPr>
        <w:ind w:left="333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9">
    <w:nsid w:val="20010F28"/>
    <w:multiLevelType w:val="hybridMultilevel"/>
    <w:tmpl w:val="E7F43DA2"/>
    <w:lvl w:ilvl="0" w:tplc="B5E81BB2">
      <w:start w:val="1"/>
      <w:numFmt w:val="upperRoman"/>
      <w:lvlText w:val="%1."/>
      <w:lvlJc w:val="left"/>
      <w:pPr>
        <w:ind w:left="1259" w:hanging="72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0">
    <w:nsid w:val="21306A91"/>
    <w:multiLevelType w:val="hybridMultilevel"/>
    <w:tmpl w:val="0A34B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FE433A"/>
    <w:multiLevelType w:val="hybridMultilevel"/>
    <w:tmpl w:val="0A3AAF20"/>
    <w:lvl w:ilvl="0" w:tplc="F52E849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2">
    <w:nsid w:val="264B417D"/>
    <w:multiLevelType w:val="hybridMultilevel"/>
    <w:tmpl w:val="0AA47B3C"/>
    <w:lvl w:ilvl="0" w:tplc="8AB496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26DD36EF"/>
    <w:multiLevelType w:val="multilevel"/>
    <w:tmpl w:val="85A460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BDB210C"/>
    <w:multiLevelType w:val="hybridMultilevel"/>
    <w:tmpl w:val="9268154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2F9C37A8"/>
    <w:multiLevelType w:val="hybridMultilevel"/>
    <w:tmpl w:val="EF36932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320F0C"/>
    <w:multiLevelType w:val="hybridMultilevel"/>
    <w:tmpl w:val="955E9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6CE3BA6"/>
    <w:multiLevelType w:val="hybridMultilevel"/>
    <w:tmpl w:val="E78EC6A4"/>
    <w:lvl w:ilvl="0" w:tplc="8FEE46BC">
      <w:numFmt w:val="bullet"/>
      <w:lvlText w:val=""/>
      <w:lvlJc w:val="left"/>
      <w:pPr>
        <w:tabs>
          <w:tab w:val="num" w:pos="1080"/>
        </w:tabs>
        <w:ind w:left="1080" w:hanging="72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840229F"/>
    <w:multiLevelType w:val="multilevel"/>
    <w:tmpl w:val="5D7CEF1C"/>
    <w:lvl w:ilvl="0">
      <w:start w:val="6"/>
      <w:numFmt w:val="decimal"/>
      <w:lvlText w:val="%1."/>
      <w:lvlJc w:val="left"/>
      <w:pPr>
        <w:ind w:left="333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19">
    <w:nsid w:val="3F9D262F"/>
    <w:multiLevelType w:val="hybridMultilevel"/>
    <w:tmpl w:val="BB72A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372D3E"/>
    <w:multiLevelType w:val="hybridMultilevel"/>
    <w:tmpl w:val="E3FA9EFA"/>
    <w:lvl w:ilvl="0" w:tplc="789C62F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B02E4A"/>
    <w:multiLevelType w:val="hybridMultilevel"/>
    <w:tmpl w:val="3F3E85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817565"/>
    <w:multiLevelType w:val="multilevel"/>
    <w:tmpl w:val="D18684CC"/>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A3BCB"/>
    <w:multiLevelType w:val="hybridMultilevel"/>
    <w:tmpl w:val="7728D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A300B2"/>
    <w:multiLevelType w:val="hybridMultilevel"/>
    <w:tmpl w:val="29C02156"/>
    <w:lvl w:ilvl="0" w:tplc="23387B78">
      <w:start w:val="1"/>
      <w:numFmt w:val="decimal"/>
      <w:lvlText w:val="%1."/>
      <w:lvlJc w:val="left"/>
      <w:pPr>
        <w:ind w:left="4862" w:hanging="360"/>
      </w:pPr>
      <w:rPr>
        <w:rFonts w:hint="default"/>
      </w:rPr>
    </w:lvl>
    <w:lvl w:ilvl="1" w:tplc="04260019">
      <w:start w:val="1"/>
      <w:numFmt w:val="lowerLetter"/>
      <w:lvlText w:val="%2."/>
      <w:lvlJc w:val="left"/>
      <w:pPr>
        <w:ind w:left="5582" w:hanging="360"/>
      </w:pPr>
    </w:lvl>
    <w:lvl w:ilvl="2" w:tplc="0426001B" w:tentative="1">
      <w:start w:val="1"/>
      <w:numFmt w:val="lowerRoman"/>
      <w:lvlText w:val="%3."/>
      <w:lvlJc w:val="right"/>
      <w:pPr>
        <w:ind w:left="6302" w:hanging="180"/>
      </w:pPr>
    </w:lvl>
    <w:lvl w:ilvl="3" w:tplc="0426000F" w:tentative="1">
      <w:start w:val="1"/>
      <w:numFmt w:val="decimal"/>
      <w:lvlText w:val="%4."/>
      <w:lvlJc w:val="left"/>
      <w:pPr>
        <w:ind w:left="7022" w:hanging="360"/>
      </w:pPr>
    </w:lvl>
    <w:lvl w:ilvl="4" w:tplc="04260019" w:tentative="1">
      <w:start w:val="1"/>
      <w:numFmt w:val="lowerLetter"/>
      <w:lvlText w:val="%5."/>
      <w:lvlJc w:val="left"/>
      <w:pPr>
        <w:ind w:left="7742" w:hanging="360"/>
      </w:pPr>
    </w:lvl>
    <w:lvl w:ilvl="5" w:tplc="0426001B" w:tentative="1">
      <w:start w:val="1"/>
      <w:numFmt w:val="lowerRoman"/>
      <w:lvlText w:val="%6."/>
      <w:lvlJc w:val="right"/>
      <w:pPr>
        <w:ind w:left="8462" w:hanging="180"/>
      </w:pPr>
    </w:lvl>
    <w:lvl w:ilvl="6" w:tplc="0426000F" w:tentative="1">
      <w:start w:val="1"/>
      <w:numFmt w:val="decimal"/>
      <w:lvlText w:val="%7."/>
      <w:lvlJc w:val="left"/>
      <w:pPr>
        <w:ind w:left="9182" w:hanging="360"/>
      </w:pPr>
    </w:lvl>
    <w:lvl w:ilvl="7" w:tplc="04260019" w:tentative="1">
      <w:start w:val="1"/>
      <w:numFmt w:val="lowerLetter"/>
      <w:lvlText w:val="%8."/>
      <w:lvlJc w:val="left"/>
      <w:pPr>
        <w:ind w:left="9902" w:hanging="360"/>
      </w:pPr>
    </w:lvl>
    <w:lvl w:ilvl="8" w:tplc="0426001B" w:tentative="1">
      <w:start w:val="1"/>
      <w:numFmt w:val="lowerRoman"/>
      <w:lvlText w:val="%9."/>
      <w:lvlJc w:val="right"/>
      <w:pPr>
        <w:ind w:left="10622" w:hanging="180"/>
      </w:pPr>
    </w:lvl>
  </w:abstractNum>
  <w:abstractNum w:abstractNumId="25">
    <w:nsid w:val="539E1FA8"/>
    <w:multiLevelType w:val="hybridMultilevel"/>
    <w:tmpl w:val="4768C2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7E3BAE"/>
    <w:multiLevelType w:val="hybridMultilevel"/>
    <w:tmpl w:val="AAB2FC82"/>
    <w:lvl w:ilvl="0" w:tplc="C5328326">
      <w:numFmt w:val="bullet"/>
      <w:lvlText w:val="-"/>
      <w:lvlJc w:val="left"/>
      <w:pPr>
        <w:ind w:left="1080" w:hanging="360"/>
      </w:pPr>
      <w:rPr>
        <w:rFonts w:ascii="Arial" w:eastAsia="Calibri" w:hAnsi="Arial" w:cs="Aria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5CE338D6"/>
    <w:multiLevelType w:val="hybridMultilevel"/>
    <w:tmpl w:val="3C76E290"/>
    <w:lvl w:ilvl="0" w:tplc="E00244EA">
      <w:start w:val="201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nsid w:val="5F0C285B"/>
    <w:multiLevelType w:val="hybridMultilevel"/>
    <w:tmpl w:val="7FD69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E63270"/>
    <w:multiLevelType w:val="multilevel"/>
    <w:tmpl w:val="3170F384"/>
    <w:lvl w:ilvl="0">
      <w:start w:val="1"/>
      <w:numFmt w:val="decimal"/>
      <w:lvlText w:val="%1."/>
      <w:lvlJc w:val="left"/>
      <w:pPr>
        <w:ind w:left="29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EE2D30"/>
    <w:multiLevelType w:val="hybridMultilevel"/>
    <w:tmpl w:val="E320C7C0"/>
    <w:lvl w:ilvl="0" w:tplc="651C550A">
      <w:start w:val="6"/>
      <w:numFmt w:val="decimal"/>
      <w:lvlText w:val="%1."/>
      <w:lvlJc w:val="left"/>
      <w:pPr>
        <w:ind w:left="3338" w:hanging="360"/>
      </w:pPr>
      <w:rPr>
        <w:rFonts w:hint="default"/>
      </w:rPr>
    </w:lvl>
    <w:lvl w:ilvl="1" w:tplc="04260019">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31">
    <w:nsid w:val="62C73D7F"/>
    <w:multiLevelType w:val="hybridMultilevel"/>
    <w:tmpl w:val="FC782F58"/>
    <w:lvl w:ilvl="0" w:tplc="E6504A34">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3C95861"/>
    <w:multiLevelType w:val="multilevel"/>
    <w:tmpl w:val="B2F85A44"/>
    <w:lvl w:ilvl="0">
      <w:start w:val="6"/>
      <w:numFmt w:val="decimal"/>
      <w:lvlText w:val="%1"/>
      <w:lvlJc w:val="left"/>
      <w:pPr>
        <w:ind w:left="360" w:hanging="360"/>
      </w:pPr>
      <w:rPr>
        <w:rFonts w:hint="default"/>
      </w:rPr>
    </w:lvl>
    <w:lvl w:ilvl="1">
      <w:start w:val="1"/>
      <w:numFmt w:val="decimal"/>
      <w:lvlText w:val="%1.%2"/>
      <w:lvlJc w:val="left"/>
      <w:pPr>
        <w:ind w:left="4418" w:hanging="360"/>
      </w:pPr>
      <w:rPr>
        <w:rFonts w:hint="default"/>
      </w:rPr>
    </w:lvl>
    <w:lvl w:ilvl="2">
      <w:start w:val="1"/>
      <w:numFmt w:val="decimal"/>
      <w:lvlText w:val="%1.%2.%3"/>
      <w:lvlJc w:val="left"/>
      <w:pPr>
        <w:ind w:left="8836" w:hanging="720"/>
      </w:pPr>
      <w:rPr>
        <w:rFonts w:hint="default"/>
      </w:rPr>
    </w:lvl>
    <w:lvl w:ilvl="3">
      <w:start w:val="1"/>
      <w:numFmt w:val="decimal"/>
      <w:lvlText w:val="%1.%2.%3.%4"/>
      <w:lvlJc w:val="left"/>
      <w:pPr>
        <w:ind w:left="12894" w:hanging="720"/>
      </w:pPr>
      <w:rPr>
        <w:rFonts w:hint="default"/>
      </w:rPr>
    </w:lvl>
    <w:lvl w:ilvl="4">
      <w:start w:val="1"/>
      <w:numFmt w:val="decimal"/>
      <w:lvlText w:val="%1.%2.%3.%4.%5"/>
      <w:lvlJc w:val="left"/>
      <w:pPr>
        <w:ind w:left="17312" w:hanging="1080"/>
      </w:pPr>
      <w:rPr>
        <w:rFonts w:hint="default"/>
      </w:rPr>
    </w:lvl>
    <w:lvl w:ilvl="5">
      <w:start w:val="1"/>
      <w:numFmt w:val="decimal"/>
      <w:lvlText w:val="%1.%2.%3.%4.%5.%6"/>
      <w:lvlJc w:val="left"/>
      <w:pPr>
        <w:ind w:left="21370" w:hanging="1080"/>
      </w:pPr>
      <w:rPr>
        <w:rFonts w:hint="default"/>
      </w:rPr>
    </w:lvl>
    <w:lvl w:ilvl="6">
      <w:start w:val="1"/>
      <w:numFmt w:val="decimal"/>
      <w:lvlText w:val="%1.%2.%3.%4.%5.%6.%7"/>
      <w:lvlJc w:val="left"/>
      <w:pPr>
        <w:ind w:left="25788" w:hanging="1440"/>
      </w:pPr>
      <w:rPr>
        <w:rFonts w:hint="default"/>
      </w:rPr>
    </w:lvl>
    <w:lvl w:ilvl="7">
      <w:start w:val="1"/>
      <w:numFmt w:val="decimal"/>
      <w:lvlText w:val="%1.%2.%3.%4.%5.%6.%7.%8"/>
      <w:lvlJc w:val="left"/>
      <w:pPr>
        <w:ind w:left="29846" w:hanging="1440"/>
      </w:pPr>
      <w:rPr>
        <w:rFonts w:hint="default"/>
      </w:rPr>
    </w:lvl>
    <w:lvl w:ilvl="8">
      <w:start w:val="1"/>
      <w:numFmt w:val="decimal"/>
      <w:lvlText w:val="%1.%2.%3.%4.%5.%6.%7.%8.%9"/>
      <w:lvlJc w:val="left"/>
      <w:pPr>
        <w:ind w:left="-31272" w:hanging="1800"/>
      </w:pPr>
      <w:rPr>
        <w:rFonts w:hint="default"/>
      </w:rPr>
    </w:lvl>
  </w:abstractNum>
  <w:abstractNum w:abstractNumId="33">
    <w:nsid w:val="64710AFF"/>
    <w:multiLevelType w:val="hybridMultilevel"/>
    <w:tmpl w:val="2C60A7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8E866A5"/>
    <w:multiLevelType w:val="hybridMultilevel"/>
    <w:tmpl w:val="DD46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E544C4"/>
    <w:multiLevelType w:val="hybridMultilevel"/>
    <w:tmpl w:val="6FD83096"/>
    <w:lvl w:ilvl="0" w:tplc="33EE87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EA330C7"/>
    <w:multiLevelType w:val="hybridMultilevel"/>
    <w:tmpl w:val="84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206EB7"/>
    <w:multiLevelType w:val="hybridMultilevel"/>
    <w:tmpl w:val="38429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320403"/>
    <w:multiLevelType w:val="hybridMultilevel"/>
    <w:tmpl w:val="42C4B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1B221C"/>
    <w:multiLevelType w:val="multilevel"/>
    <w:tmpl w:val="A456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22C67"/>
    <w:multiLevelType w:val="hybridMultilevel"/>
    <w:tmpl w:val="9F588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36"/>
  </w:num>
  <w:num w:numId="4">
    <w:abstractNumId w:val="29"/>
  </w:num>
  <w:num w:numId="5">
    <w:abstractNumId w:val="8"/>
  </w:num>
  <w:num w:numId="6">
    <w:abstractNumId w:val="38"/>
  </w:num>
  <w:num w:numId="7">
    <w:abstractNumId w:val="0"/>
  </w:num>
  <w:num w:numId="8">
    <w:abstractNumId w:val="10"/>
  </w:num>
  <w:num w:numId="9">
    <w:abstractNumId w:val="37"/>
  </w:num>
  <w:num w:numId="10">
    <w:abstractNumId w:val="16"/>
  </w:num>
  <w:num w:numId="11">
    <w:abstractNumId w:val="40"/>
  </w:num>
  <w:num w:numId="12">
    <w:abstractNumId w:val="18"/>
  </w:num>
  <w:num w:numId="13">
    <w:abstractNumId w:val="3"/>
  </w:num>
  <w:num w:numId="14">
    <w:abstractNumId w:val="24"/>
  </w:num>
  <w:num w:numId="15">
    <w:abstractNumId w:val="30"/>
  </w:num>
  <w:num w:numId="16">
    <w:abstractNumId w:val="32"/>
  </w:num>
  <w:num w:numId="17">
    <w:abstractNumId w:val="6"/>
  </w:num>
  <w:num w:numId="18">
    <w:abstractNumId w:val="4"/>
  </w:num>
  <w:num w:numId="19">
    <w:abstractNumId w:val="33"/>
  </w:num>
  <w:num w:numId="20">
    <w:abstractNumId w:val="34"/>
  </w:num>
  <w:num w:numId="21">
    <w:abstractNumId w:val="23"/>
  </w:num>
  <w:num w:numId="22">
    <w:abstractNumId w:val="7"/>
  </w:num>
  <w:num w:numId="23">
    <w:abstractNumId w:val="9"/>
  </w:num>
  <w:num w:numId="24">
    <w:abstractNumId w:val="11"/>
  </w:num>
  <w:num w:numId="25">
    <w:abstractNumId w:val="13"/>
  </w:num>
  <w:num w:numId="26">
    <w:abstractNumId w:val="5"/>
  </w:num>
  <w:num w:numId="27">
    <w:abstractNumId w:val="19"/>
  </w:num>
  <w:num w:numId="28">
    <w:abstractNumId w:val="20"/>
  </w:num>
  <w:num w:numId="29">
    <w:abstractNumId w:val="3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
  </w:num>
  <w:num w:numId="34">
    <w:abstractNumId w:val="21"/>
  </w:num>
  <w:num w:numId="35">
    <w:abstractNumId w:val="39"/>
  </w:num>
  <w:num w:numId="36">
    <w:abstractNumId w:val="25"/>
  </w:num>
  <w:num w:numId="37">
    <w:abstractNumId w:val="22"/>
  </w:num>
  <w:num w:numId="38">
    <w:abstractNumId w:val="35"/>
  </w:num>
  <w:num w:numId="39">
    <w:abstractNumId w:val="28"/>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DA"/>
    <w:rsid w:val="0007735B"/>
    <w:rsid w:val="001461B5"/>
    <w:rsid w:val="001A7436"/>
    <w:rsid w:val="002118E7"/>
    <w:rsid w:val="002264EF"/>
    <w:rsid w:val="00280BFB"/>
    <w:rsid w:val="002C4308"/>
    <w:rsid w:val="0035194E"/>
    <w:rsid w:val="0040394A"/>
    <w:rsid w:val="0041583C"/>
    <w:rsid w:val="00422377"/>
    <w:rsid w:val="00441947"/>
    <w:rsid w:val="004D46A6"/>
    <w:rsid w:val="005304BE"/>
    <w:rsid w:val="00542C40"/>
    <w:rsid w:val="005D6DEE"/>
    <w:rsid w:val="00625593"/>
    <w:rsid w:val="006322A6"/>
    <w:rsid w:val="006634F7"/>
    <w:rsid w:val="007A7F99"/>
    <w:rsid w:val="007D3798"/>
    <w:rsid w:val="007E3A36"/>
    <w:rsid w:val="00907200"/>
    <w:rsid w:val="00947C13"/>
    <w:rsid w:val="009A2F88"/>
    <w:rsid w:val="009B580A"/>
    <w:rsid w:val="00A33124"/>
    <w:rsid w:val="00B02C39"/>
    <w:rsid w:val="00B1202A"/>
    <w:rsid w:val="00C11EDA"/>
    <w:rsid w:val="00C55420"/>
    <w:rsid w:val="00C57652"/>
    <w:rsid w:val="00CC5B51"/>
    <w:rsid w:val="00CD2498"/>
    <w:rsid w:val="00D25A7A"/>
    <w:rsid w:val="00DA1C04"/>
    <w:rsid w:val="00DF78F5"/>
    <w:rsid w:val="00FB3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 Rakstz."/>
    <w:basedOn w:val="Parasts"/>
    <w:next w:val="Parasts"/>
    <w:link w:val="Virsraksts1Rakstz"/>
    <w:qFormat/>
    <w:rsid w:val="00C11EDA"/>
    <w:pPr>
      <w:keepNext/>
      <w:spacing w:before="240" w:after="60" w:line="240" w:lineRule="auto"/>
      <w:jc w:val="center"/>
      <w:outlineLvl w:val="0"/>
    </w:pPr>
    <w:rPr>
      <w:rFonts w:ascii="Times New Roman" w:eastAsia="Times New Roman" w:hAnsi="Times New Roman" w:cs="Times New Roman"/>
      <w:b/>
      <w:bCs/>
      <w:i/>
      <w:kern w:val="32"/>
      <w:sz w:val="28"/>
      <w:szCs w:val="32"/>
      <w:lang w:val="x-none" w:eastAsia="lv-LV"/>
    </w:rPr>
  </w:style>
  <w:style w:type="paragraph" w:styleId="Virsraksts2">
    <w:name w:val="heading 2"/>
    <w:basedOn w:val="Parasts"/>
    <w:next w:val="Parasts"/>
    <w:link w:val="Virsraksts2Rakstz"/>
    <w:qFormat/>
    <w:rsid w:val="00C11EDA"/>
    <w:pPr>
      <w:keepNext/>
      <w:spacing w:before="240" w:after="60" w:line="240" w:lineRule="auto"/>
      <w:jc w:val="center"/>
      <w:outlineLvl w:val="1"/>
    </w:pPr>
    <w:rPr>
      <w:rFonts w:ascii="Times New Roman" w:eastAsia="Times New Roman" w:hAnsi="Times New Roman" w:cs="Times New Roman"/>
      <w:b/>
      <w:bCs/>
      <w:iCs/>
      <w:sz w:val="28"/>
      <w:szCs w:val="28"/>
      <w:lang w:val="x-none" w:eastAsia="lv-LV"/>
    </w:rPr>
  </w:style>
  <w:style w:type="paragraph" w:styleId="Virsraksts3">
    <w:name w:val="heading 3"/>
    <w:basedOn w:val="Parasts"/>
    <w:next w:val="Parasts"/>
    <w:link w:val="Virsraksts3Rakstz"/>
    <w:uiPriority w:val="9"/>
    <w:qFormat/>
    <w:rsid w:val="00C11EDA"/>
    <w:pPr>
      <w:keepNext/>
      <w:spacing w:before="240" w:after="60"/>
      <w:outlineLvl w:val="2"/>
    </w:pPr>
    <w:rPr>
      <w:rFonts w:ascii="Cambria" w:eastAsia="Times New Roman" w:hAnsi="Cambria" w:cs="Times New Roman"/>
      <w:b/>
      <w:bCs/>
      <w:sz w:val="26"/>
      <w:szCs w:val="26"/>
      <w:lang w:val="x-none"/>
    </w:rPr>
  </w:style>
  <w:style w:type="paragraph" w:styleId="Virsraksts4">
    <w:name w:val="heading 4"/>
    <w:basedOn w:val="Parasts"/>
    <w:next w:val="Parasts"/>
    <w:link w:val="Virsraksts4Rakstz"/>
    <w:uiPriority w:val="9"/>
    <w:qFormat/>
    <w:rsid w:val="00C11EDA"/>
    <w:pPr>
      <w:keepNext/>
      <w:spacing w:before="240" w:after="60"/>
      <w:outlineLvl w:val="3"/>
    </w:pPr>
    <w:rPr>
      <w:rFonts w:ascii="Calibri" w:eastAsia="Times New Roman" w:hAnsi="Calibri" w:cs="Times New Roman"/>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
    <w:basedOn w:val="Noklusjumarindkopasfonts"/>
    <w:link w:val="Virsraksts1"/>
    <w:rsid w:val="00C11EDA"/>
    <w:rPr>
      <w:rFonts w:ascii="Times New Roman" w:eastAsia="Times New Roman" w:hAnsi="Times New Roman" w:cs="Times New Roman"/>
      <w:b/>
      <w:bCs/>
      <w:i/>
      <w:kern w:val="32"/>
      <w:sz w:val="28"/>
      <w:szCs w:val="32"/>
      <w:lang w:val="x-none" w:eastAsia="lv-LV"/>
    </w:rPr>
  </w:style>
  <w:style w:type="character" w:customStyle="1" w:styleId="Virsraksts2Rakstz">
    <w:name w:val="Virsraksts 2 Rakstz."/>
    <w:basedOn w:val="Noklusjumarindkopasfonts"/>
    <w:link w:val="Virsraksts2"/>
    <w:rsid w:val="00C11EDA"/>
    <w:rPr>
      <w:rFonts w:ascii="Times New Roman" w:eastAsia="Times New Roman" w:hAnsi="Times New Roman" w:cs="Times New Roman"/>
      <w:b/>
      <w:bCs/>
      <w:iCs/>
      <w:sz w:val="28"/>
      <w:szCs w:val="28"/>
      <w:lang w:val="x-none" w:eastAsia="lv-LV"/>
    </w:rPr>
  </w:style>
  <w:style w:type="character" w:customStyle="1" w:styleId="Virsraksts3Rakstz">
    <w:name w:val="Virsraksts 3 Rakstz."/>
    <w:basedOn w:val="Noklusjumarindkopasfonts"/>
    <w:link w:val="Virsraksts3"/>
    <w:uiPriority w:val="9"/>
    <w:rsid w:val="00C11EDA"/>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uiPriority w:val="9"/>
    <w:rsid w:val="00C11EDA"/>
    <w:rPr>
      <w:rFonts w:ascii="Calibri" w:eastAsia="Times New Roman" w:hAnsi="Calibri" w:cs="Times New Roman"/>
      <w:b/>
      <w:bCs/>
      <w:sz w:val="28"/>
      <w:szCs w:val="28"/>
      <w:lang w:val="x-none"/>
    </w:rPr>
  </w:style>
  <w:style w:type="numbering" w:customStyle="1" w:styleId="Bezsaraksta1">
    <w:name w:val="Bez saraksta1"/>
    <w:next w:val="Bezsaraksta"/>
    <w:uiPriority w:val="99"/>
    <w:semiHidden/>
    <w:unhideWhenUsed/>
    <w:rsid w:val="00C11EDA"/>
  </w:style>
  <w:style w:type="paragraph" w:styleId="Paraststmeklis">
    <w:name w:val="Normal (Web)"/>
    <w:aliases w:val="sākums"/>
    <w:basedOn w:val="Parasts"/>
    <w:uiPriority w:val="99"/>
    <w:qFormat/>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C11EDA"/>
    <w:rPr>
      <w:rFonts w:ascii="Calibri" w:eastAsia="Calibri" w:hAnsi="Calibri" w:cs="Times New Roman"/>
    </w:rPr>
  </w:style>
  <w:style w:type="paragraph" w:styleId="Kjene">
    <w:name w:val="footer"/>
    <w:basedOn w:val="Parasts"/>
    <w:link w:val="Kj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11EDA"/>
    <w:rPr>
      <w:rFonts w:ascii="Calibri" w:eastAsia="Calibri" w:hAnsi="Calibri" w:cs="Times New Roman"/>
    </w:rPr>
  </w:style>
  <w:style w:type="paragraph" w:styleId="Sarakstarindkopa">
    <w:name w:val="List Paragraph"/>
    <w:basedOn w:val="Parasts"/>
    <w:uiPriority w:val="34"/>
    <w:qFormat/>
    <w:rsid w:val="00C11EDA"/>
    <w:pPr>
      <w:ind w:left="720"/>
      <w:contextualSpacing/>
    </w:pPr>
    <w:rPr>
      <w:rFonts w:ascii="Calibri" w:eastAsia="Calibri" w:hAnsi="Calibri" w:cs="Times New Roman"/>
    </w:rPr>
  </w:style>
  <w:style w:type="paragraph" w:customStyle="1" w:styleId="RakstzCharCharRakstzCharCharRakstz">
    <w:name w:val="Rakstz. Char Char Rakstz. Char Char Rakstz."/>
    <w:basedOn w:val="Parasts"/>
    <w:rsid w:val="00C11EDA"/>
    <w:pPr>
      <w:spacing w:after="160" w:line="240" w:lineRule="exact"/>
    </w:pPr>
    <w:rPr>
      <w:rFonts w:ascii="Tahoma" w:eastAsia="Times New Roman" w:hAnsi="Tahoma" w:cs="Times New Roman"/>
      <w:sz w:val="20"/>
      <w:szCs w:val="20"/>
      <w:lang w:val="en-US"/>
    </w:rPr>
  </w:style>
  <w:style w:type="character" w:styleId="Hipersaite">
    <w:name w:val="Hyperlink"/>
    <w:uiPriority w:val="99"/>
    <w:rsid w:val="00C11EDA"/>
    <w:rPr>
      <w:color w:val="0000FF"/>
      <w:u w:val="single"/>
    </w:rPr>
  </w:style>
  <w:style w:type="paragraph" w:customStyle="1" w:styleId="naisc">
    <w:name w:val="naisc"/>
    <w:basedOn w:val="Parasts"/>
    <w:rsid w:val="00C11EDA"/>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naisf">
    <w:name w:val="naisf"/>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web">
    <w:name w:val="parastaisweb"/>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C11EDA"/>
    <w:rPr>
      <w:sz w:val="16"/>
      <w:szCs w:val="16"/>
    </w:rPr>
  </w:style>
  <w:style w:type="paragraph" w:styleId="Komentrateksts">
    <w:name w:val="annotation text"/>
    <w:basedOn w:val="Parasts"/>
    <w:link w:val="KomentratekstsRakstz"/>
    <w:uiPriority w:val="99"/>
    <w:unhideWhenUsed/>
    <w:rsid w:val="00C11EDA"/>
    <w:pPr>
      <w:spacing w:line="240" w:lineRule="auto"/>
    </w:pPr>
    <w:rPr>
      <w:rFonts w:ascii="Calibri" w:eastAsia="Calibri" w:hAnsi="Calibri"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C11EDA"/>
    <w:rPr>
      <w:rFonts w:ascii="Calibri" w:eastAsia="Calibri" w:hAnsi="Calibri" w:cs="Times New Roman"/>
      <w:sz w:val="20"/>
      <w:szCs w:val="20"/>
      <w:lang w:val="x-none" w:eastAsia="x-none"/>
    </w:rPr>
  </w:style>
  <w:style w:type="paragraph" w:styleId="Komentratma">
    <w:name w:val="annotation subject"/>
    <w:basedOn w:val="Komentrateksts"/>
    <w:next w:val="Komentrateksts"/>
    <w:link w:val="KomentratmaRakstz"/>
    <w:uiPriority w:val="99"/>
    <w:semiHidden/>
    <w:unhideWhenUsed/>
    <w:rsid w:val="00C11EDA"/>
    <w:rPr>
      <w:b/>
      <w:bCs/>
    </w:rPr>
  </w:style>
  <w:style w:type="character" w:customStyle="1" w:styleId="KomentratmaRakstz">
    <w:name w:val="Komentāra tēma Rakstz."/>
    <w:basedOn w:val="KomentratekstsRakstz"/>
    <w:link w:val="Komentratma"/>
    <w:uiPriority w:val="99"/>
    <w:semiHidden/>
    <w:rsid w:val="00C11EDA"/>
    <w:rPr>
      <w:rFonts w:ascii="Calibri" w:eastAsia="Calibri" w:hAnsi="Calibri" w:cs="Times New Roman"/>
      <w:b/>
      <w:bCs/>
      <w:sz w:val="20"/>
      <w:szCs w:val="20"/>
      <w:lang w:val="x-none" w:eastAsia="x-none"/>
    </w:rPr>
  </w:style>
  <w:style w:type="paragraph" w:styleId="Balonteksts">
    <w:name w:val="Balloon Text"/>
    <w:basedOn w:val="Parasts"/>
    <w:link w:val="BalontekstsRakstz"/>
    <w:uiPriority w:val="99"/>
    <w:semiHidden/>
    <w:unhideWhenUsed/>
    <w:rsid w:val="00C11EDA"/>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C11EDA"/>
    <w:rPr>
      <w:rFonts w:ascii="Tahoma" w:eastAsia="Calibri" w:hAnsi="Tahoma" w:cs="Times New Roman"/>
      <w:sz w:val="16"/>
      <w:szCs w:val="16"/>
      <w:lang w:val="x-none" w:eastAsia="x-none"/>
    </w:rPr>
  </w:style>
  <w:style w:type="table" w:styleId="Reatabula">
    <w:name w:val="Table Grid"/>
    <w:basedOn w:val="Parastatabula"/>
    <w:uiPriority w:val="59"/>
    <w:rsid w:val="00C11ED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C11EDA"/>
    <w:rPr>
      <w:b/>
      <w:bCs/>
      <w:color w:val="333333"/>
    </w:rPr>
  </w:style>
  <w:style w:type="paragraph" w:styleId="Saturardtjavirsraksts">
    <w:name w:val="TOC Heading"/>
    <w:basedOn w:val="Virsraksts1"/>
    <w:next w:val="Parasts"/>
    <w:uiPriority w:val="39"/>
    <w:qFormat/>
    <w:rsid w:val="00C11EDA"/>
    <w:pPr>
      <w:keepLines/>
      <w:spacing w:before="480" w:after="0" w:line="276" w:lineRule="auto"/>
      <w:jc w:val="left"/>
      <w:outlineLvl w:val="9"/>
    </w:pPr>
    <w:rPr>
      <w:rFonts w:ascii="Cambria" w:hAnsi="Cambria"/>
      <w:i w:val="0"/>
      <w:color w:val="365F91"/>
      <w:kern w:val="0"/>
      <w:szCs w:val="28"/>
      <w:lang w:eastAsia="en-US"/>
    </w:rPr>
  </w:style>
  <w:style w:type="paragraph" w:styleId="Saturs1">
    <w:name w:val="toc 1"/>
    <w:basedOn w:val="Parasts"/>
    <w:next w:val="Parasts"/>
    <w:autoRedefine/>
    <w:uiPriority w:val="39"/>
    <w:unhideWhenUsed/>
    <w:qFormat/>
    <w:rsid w:val="00C11EDA"/>
    <w:pPr>
      <w:spacing w:after="100"/>
    </w:pPr>
    <w:rPr>
      <w:rFonts w:ascii="Calibri" w:eastAsia="Calibri" w:hAnsi="Calibri" w:cs="Times New Roman"/>
    </w:rPr>
  </w:style>
  <w:style w:type="paragraph" w:styleId="Saturs2">
    <w:name w:val="toc 2"/>
    <w:basedOn w:val="Parasts"/>
    <w:next w:val="Parasts"/>
    <w:autoRedefine/>
    <w:uiPriority w:val="39"/>
    <w:unhideWhenUsed/>
    <w:qFormat/>
    <w:rsid w:val="00C11EDA"/>
    <w:pPr>
      <w:spacing w:after="100"/>
      <w:ind w:left="220"/>
    </w:pPr>
    <w:rPr>
      <w:rFonts w:ascii="Calibri" w:eastAsia="Calibri" w:hAnsi="Calibri" w:cs="Times New Roman"/>
    </w:rPr>
  </w:style>
  <w:style w:type="paragraph" w:styleId="Saturs3">
    <w:name w:val="toc 3"/>
    <w:basedOn w:val="Parasts"/>
    <w:next w:val="Parasts"/>
    <w:autoRedefine/>
    <w:uiPriority w:val="39"/>
    <w:unhideWhenUsed/>
    <w:qFormat/>
    <w:rsid w:val="00C11EDA"/>
    <w:pPr>
      <w:spacing w:after="100"/>
      <w:ind w:left="440"/>
    </w:pPr>
    <w:rPr>
      <w:rFonts w:ascii="Calibri" w:eastAsia="Times New Roman" w:hAnsi="Calibri" w:cs="Times New Roman"/>
    </w:rPr>
  </w:style>
  <w:style w:type="paragraph" w:customStyle="1" w:styleId="Default">
    <w:name w:val="Default"/>
    <w:rsid w:val="00C11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Noklusjumarindkopasfonts"/>
    <w:rsid w:val="00C11EDA"/>
  </w:style>
  <w:style w:type="character" w:styleId="Vresatsauce">
    <w:name w:val="footnote reference"/>
    <w:uiPriority w:val="99"/>
    <w:rsid w:val="00C11EDA"/>
    <w:rPr>
      <w:sz w:val="22"/>
      <w:vertAlign w:val="superscript"/>
    </w:rPr>
  </w:style>
  <w:style w:type="paragraph" w:styleId="Vresteksts">
    <w:name w:val="footnote text"/>
    <w:basedOn w:val="Parasts"/>
    <w:link w:val="VrestekstsRakstz"/>
    <w:uiPriority w:val="99"/>
    <w:rsid w:val="00C11EDA"/>
    <w:pPr>
      <w:keepNext/>
      <w:keepLines/>
      <w:widowControl w:val="0"/>
      <w:spacing w:after="0" w:line="240" w:lineRule="auto"/>
      <w:ind w:left="851"/>
      <w:jc w:val="both"/>
    </w:pPr>
    <w:rPr>
      <w:rFonts w:ascii="Times New Roman" w:eastAsia="Times New Roman" w:hAnsi="Times New Roman" w:cs="Times New Roman"/>
      <w:sz w:val="24"/>
      <w:szCs w:val="20"/>
      <w:lang w:val="x-none" w:eastAsia="de-DE"/>
    </w:rPr>
  </w:style>
  <w:style w:type="character" w:customStyle="1" w:styleId="VrestekstsRakstz">
    <w:name w:val="Vēres teksts Rakstz."/>
    <w:basedOn w:val="Noklusjumarindkopasfonts"/>
    <w:link w:val="Vresteksts"/>
    <w:uiPriority w:val="99"/>
    <w:rsid w:val="00C11EDA"/>
    <w:rPr>
      <w:rFonts w:ascii="Times New Roman" w:eastAsia="Times New Roman" w:hAnsi="Times New Roman" w:cs="Times New Roman"/>
      <w:sz w:val="24"/>
      <w:szCs w:val="20"/>
      <w:lang w:val="x-none" w:eastAsia="de-DE"/>
    </w:rPr>
  </w:style>
  <w:style w:type="character" w:customStyle="1" w:styleId="at3">
    <w:name w:val="a__t3"/>
    <w:basedOn w:val="Noklusjumarindkopasfonts"/>
    <w:rsid w:val="00C11EDA"/>
  </w:style>
  <w:style w:type="character" w:customStyle="1" w:styleId="at1">
    <w:name w:val="a__t1"/>
    <w:basedOn w:val="Noklusjumarindkopasfonts"/>
    <w:rsid w:val="00C11EDA"/>
  </w:style>
  <w:style w:type="paragraph" w:customStyle="1" w:styleId="tv2131">
    <w:name w:val="tv2131"/>
    <w:basedOn w:val="Parasts"/>
    <w:rsid w:val="00C11EDA"/>
    <w:pPr>
      <w:spacing w:before="240" w:after="0" w:line="360" w:lineRule="auto"/>
      <w:ind w:firstLine="300"/>
      <w:jc w:val="both"/>
    </w:pPr>
    <w:rPr>
      <w:rFonts w:ascii="Verdana" w:eastAsia="Times New Roman" w:hAnsi="Verdana" w:cs="Times New Roman"/>
      <w:sz w:val="18"/>
      <w:szCs w:val="18"/>
      <w:lang w:eastAsia="lv-LV"/>
    </w:rPr>
  </w:style>
  <w:style w:type="paragraph" w:customStyle="1" w:styleId="naiskr">
    <w:name w:val="naiskr"/>
    <w:basedOn w:val="Parasts"/>
    <w:rsid w:val="00C1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zatstarpm1">
    <w:name w:val="Bez atstarpēm1"/>
    <w:rsid w:val="00C11EDA"/>
    <w:pPr>
      <w:spacing w:after="0" w:line="240" w:lineRule="auto"/>
    </w:pPr>
    <w:rPr>
      <w:rFonts w:ascii="Calibri" w:eastAsia="Times New Roman" w:hAnsi="Calibri" w:cs="Times New Roman"/>
    </w:rPr>
  </w:style>
  <w:style w:type="paragraph" w:styleId="Prskatjums">
    <w:name w:val="Revision"/>
    <w:hidden/>
    <w:uiPriority w:val="99"/>
    <w:semiHidden/>
    <w:rsid w:val="00C11EDA"/>
    <w:pPr>
      <w:spacing w:after="0" w:line="240" w:lineRule="auto"/>
    </w:pPr>
    <w:rPr>
      <w:rFonts w:ascii="Calibri" w:eastAsia="Calibri" w:hAnsi="Calibri" w:cs="Times New Roman"/>
    </w:rPr>
  </w:style>
  <w:style w:type="paragraph" w:customStyle="1" w:styleId="tv213">
    <w:name w:val="tv213"/>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11"/>
    <w:qFormat/>
    <w:rsid w:val="00C11EDA"/>
    <w:pPr>
      <w:spacing w:after="60"/>
      <w:jc w:val="center"/>
      <w:outlineLvl w:val="1"/>
    </w:pPr>
    <w:rPr>
      <w:rFonts w:ascii="Cambria" w:eastAsia="Times New Roman" w:hAnsi="Cambria" w:cs="Times New Roman"/>
      <w:sz w:val="24"/>
      <w:szCs w:val="24"/>
      <w:lang w:val="x-none"/>
    </w:rPr>
  </w:style>
  <w:style w:type="character" w:customStyle="1" w:styleId="ApakvirsrakstsRakstz">
    <w:name w:val="Apakšvirsraksts Rakstz."/>
    <w:basedOn w:val="Noklusjumarindkopasfonts"/>
    <w:link w:val="Apakvirsraksts"/>
    <w:uiPriority w:val="11"/>
    <w:rsid w:val="00C11EDA"/>
    <w:rPr>
      <w:rFonts w:ascii="Cambria" w:eastAsia="Times New Roman" w:hAnsi="Cambria" w:cs="Times New Roman"/>
      <w:sz w:val="24"/>
      <w:szCs w:val="24"/>
      <w:lang w:val="x-none"/>
    </w:rPr>
  </w:style>
  <w:style w:type="character" w:customStyle="1" w:styleId="st">
    <w:name w:val="st"/>
    <w:rsid w:val="00C11EDA"/>
  </w:style>
  <w:style w:type="paragraph" w:styleId="Beiguvresteksts">
    <w:name w:val="endnote text"/>
    <w:basedOn w:val="Parasts"/>
    <w:link w:val="BeiguvrestekstsRakstz"/>
    <w:uiPriority w:val="99"/>
    <w:semiHidden/>
    <w:unhideWhenUsed/>
    <w:rsid w:val="00C11EDA"/>
    <w:rPr>
      <w:rFonts w:ascii="Calibri" w:eastAsia="Calibri" w:hAnsi="Calibri" w:cs="Times New Roman"/>
      <w:sz w:val="20"/>
      <w:szCs w:val="20"/>
      <w:lang w:val="x-none"/>
    </w:rPr>
  </w:style>
  <w:style w:type="character" w:customStyle="1" w:styleId="BeiguvrestekstsRakstz">
    <w:name w:val="Beigu vēres teksts Rakstz."/>
    <w:basedOn w:val="Noklusjumarindkopasfonts"/>
    <w:link w:val="Beiguvresteksts"/>
    <w:uiPriority w:val="99"/>
    <w:semiHidden/>
    <w:rsid w:val="00C11EDA"/>
    <w:rPr>
      <w:rFonts w:ascii="Calibri" w:eastAsia="Calibri" w:hAnsi="Calibri" w:cs="Times New Roman"/>
      <w:sz w:val="20"/>
      <w:szCs w:val="20"/>
      <w:lang w:val="x-none"/>
    </w:rPr>
  </w:style>
  <w:style w:type="character" w:styleId="Beiguvresatsauce">
    <w:name w:val="endnote reference"/>
    <w:uiPriority w:val="99"/>
    <w:semiHidden/>
    <w:unhideWhenUsed/>
    <w:rsid w:val="00C11EDA"/>
    <w:rPr>
      <w:vertAlign w:val="superscript"/>
    </w:rPr>
  </w:style>
  <w:style w:type="paragraph" w:styleId="Nosaukums">
    <w:name w:val="Title"/>
    <w:basedOn w:val="Parasts"/>
    <w:next w:val="Parasts"/>
    <w:link w:val="NosaukumsRakstz"/>
    <w:qFormat/>
    <w:rsid w:val="00C11EDA"/>
    <w:pPr>
      <w:pBdr>
        <w:bottom w:val="single" w:sz="8" w:space="4" w:color="4F81BD"/>
      </w:pBdr>
      <w:spacing w:after="300" w:line="240" w:lineRule="auto"/>
      <w:contextualSpacing/>
      <w:jc w:val="center"/>
    </w:pPr>
    <w:rPr>
      <w:rFonts w:ascii="Times New Roman" w:eastAsia="Times New Roman" w:hAnsi="Times New Roman" w:cs="Times New Roman"/>
      <w:spacing w:val="5"/>
      <w:kern w:val="28"/>
      <w:sz w:val="52"/>
      <w:szCs w:val="52"/>
      <w:lang w:val="x-none"/>
    </w:rPr>
  </w:style>
  <w:style w:type="character" w:customStyle="1" w:styleId="NosaukumsRakstz">
    <w:name w:val="Nosaukums Rakstz."/>
    <w:basedOn w:val="Noklusjumarindkopasfonts"/>
    <w:link w:val="Nosaukums"/>
    <w:rsid w:val="00C11EDA"/>
    <w:rPr>
      <w:rFonts w:ascii="Times New Roman" w:eastAsia="Times New Roman" w:hAnsi="Times New Roman" w:cs="Times New Roman"/>
      <w:spacing w:val="5"/>
      <w:kern w:val="28"/>
      <w:sz w:val="52"/>
      <w:szCs w:val="5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 Rakstz."/>
    <w:basedOn w:val="Parasts"/>
    <w:next w:val="Parasts"/>
    <w:link w:val="Virsraksts1Rakstz"/>
    <w:qFormat/>
    <w:rsid w:val="00C11EDA"/>
    <w:pPr>
      <w:keepNext/>
      <w:spacing w:before="240" w:after="60" w:line="240" w:lineRule="auto"/>
      <w:jc w:val="center"/>
      <w:outlineLvl w:val="0"/>
    </w:pPr>
    <w:rPr>
      <w:rFonts w:ascii="Times New Roman" w:eastAsia="Times New Roman" w:hAnsi="Times New Roman" w:cs="Times New Roman"/>
      <w:b/>
      <w:bCs/>
      <w:i/>
      <w:kern w:val="32"/>
      <w:sz w:val="28"/>
      <w:szCs w:val="32"/>
      <w:lang w:val="x-none" w:eastAsia="lv-LV"/>
    </w:rPr>
  </w:style>
  <w:style w:type="paragraph" w:styleId="Virsraksts2">
    <w:name w:val="heading 2"/>
    <w:basedOn w:val="Parasts"/>
    <w:next w:val="Parasts"/>
    <w:link w:val="Virsraksts2Rakstz"/>
    <w:qFormat/>
    <w:rsid w:val="00C11EDA"/>
    <w:pPr>
      <w:keepNext/>
      <w:spacing w:before="240" w:after="60" w:line="240" w:lineRule="auto"/>
      <w:jc w:val="center"/>
      <w:outlineLvl w:val="1"/>
    </w:pPr>
    <w:rPr>
      <w:rFonts w:ascii="Times New Roman" w:eastAsia="Times New Roman" w:hAnsi="Times New Roman" w:cs="Times New Roman"/>
      <w:b/>
      <w:bCs/>
      <w:iCs/>
      <w:sz w:val="28"/>
      <w:szCs w:val="28"/>
      <w:lang w:val="x-none" w:eastAsia="lv-LV"/>
    </w:rPr>
  </w:style>
  <w:style w:type="paragraph" w:styleId="Virsraksts3">
    <w:name w:val="heading 3"/>
    <w:basedOn w:val="Parasts"/>
    <w:next w:val="Parasts"/>
    <w:link w:val="Virsraksts3Rakstz"/>
    <w:uiPriority w:val="9"/>
    <w:qFormat/>
    <w:rsid w:val="00C11EDA"/>
    <w:pPr>
      <w:keepNext/>
      <w:spacing w:before="240" w:after="60"/>
      <w:outlineLvl w:val="2"/>
    </w:pPr>
    <w:rPr>
      <w:rFonts w:ascii="Cambria" w:eastAsia="Times New Roman" w:hAnsi="Cambria" w:cs="Times New Roman"/>
      <w:b/>
      <w:bCs/>
      <w:sz w:val="26"/>
      <w:szCs w:val="26"/>
      <w:lang w:val="x-none"/>
    </w:rPr>
  </w:style>
  <w:style w:type="paragraph" w:styleId="Virsraksts4">
    <w:name w:val="heading 4"/>
    <w:basedOn w:val="Parasts"/>
    <w:next w:val="Parasts"/>
    <w:link w:val="Virsraksts4Rakstz"/>
    <w:uiPriority w:val="9"/>
    <w:qFormat/>
    <w:rsid w:val="00C11EDA"/>
    <w:pPr>
      <w:keepNext/>
      <w:spacing w:before="240" w:after="60"/>
      <w:outlineLvl w:val="3"/>
    </w:pPr>
    <w:rPr>
      <w:rFonts w:ascii="Calibri" w:eastAsia="Times New Roman" w:hAnsi="Calibri" w:cs="Times New Roman"/>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
    <w:basedOn w:val="Noklusjumarindkopasfonts"/>
    <w:link w:val="Virsraksts1"/>
    <w:rsid w:val="00C11EDA"/>
    <w:rPr>
      <w:rFonts w:ascii="Times New Roman" w:eastAsia="Times New Roman" w:hAnsi="Times New Roman" w:cs="Times New Roman"/>
      <w:b/>
      <w:bCs/>
      <w:i/>
      <w:kern w:val="32"/>
      <w:sz w:val="28"/>
      <w:szCs w:val="32"/>
      <w:lang w:val="x-none" w:eastAsia="lv-LV"/>
    </w:rPr>
  </w:style>
  <w:style w:type="character" w:customStyle="1" w:styleId="Virsraksts2Rakstz">
    <w:name w:val="Virsraksts 2 Rakstz."/>
    <w:basedOn w:val="Noklusjumarindkopasfonts"/>
    <w:link w:val="Virsraksts2"/>
    <w:rsid w:val="00C11EDA"/>
    <w:rPr>
      <w:rFonts w:ascii="Times New Roman" w:eastAsia="Times New Roman" w:hAnsi="Times New Roman" w:cs="Times New Roman"/>
      <w:b/>
      <w:bCs/>
      <w:iCs/>
      <w:sz w:val="28"/>
      <w:szCs w:val="28"/>
      <w:lang w:val="x-none" w:eastAsia="lv-LV"/>
    </w:rPr>
  </w:style>
  <w:style w:type="character" w:customStyle="1" w:styleId="Virsraksts3Rakstz">
    <w:name w:val="Virsraksts 3 Rakstz."/>
    <w:basedOn w:val="Noklusjumarindkopasfonts"/>
    <w:link w:val="Virsraksts3"/>
    <w:uiPriority w:val="9"/>
    <w:rsid w:val="00C11EDA"/>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uiPriority w:val="9"/>
    <w:rsid w:val="00C11EDA"/>
    <w:rPr>
      <w:rFonts w:ascii="Calibri" w:eastAsia="Times New Roman" w:hAnsi="Calibri" w:cs="Times New Roman"/>
      <w:b/>
      <w:bCs/>
      <w:sz w:val="28"/>
      <w:szCs w:val="28"/>
      <w:lang w:val="x-none"/>
    </w:rPr>
  </w:style>
  <w:style w:type="numbering" w:customStyle="1" w:styleId="Bezsaraksta1">
    <w:name w:val="Bez saraksta1"/>
    <w:next w:val="Bezsaraksta"/>
    <w:uiPriority w:val="99"/>
    <w:semiHidden/>
    <w:unhideWhenUsed/>
    <w:rsid w:val="00C11EDA"/>
  </w:style>
  <w:style w:type="paragraph" w:styleId="Paraststmeklis">
    <w:name w:val="Normal (Web)"/>
    <w:aliases w:val="sākums"/>
    <w:basedOn w:val="Parasts"/>
    <w:uiPriority w:val="99"/>
    <w:qFormat/>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C11EDA"/>
    <w:rPr>
      <w:rFonts w:ascii="Calibri" w:eastAsia="Calibri" w:hAnsi="Calibri" w:cs="Times New Roman"/>
    </w:rPr>
  </w:style>
  <w:style w:type="paragraph" w:styleId="Kjene">
    <w:name w:val="footer"/>
    <w:basedOn w:val="Parasts"/>
    <w:link w:val="KjeneRakstz"/>
    <w:uiPriority w:val="99"/>
    <w:unhideWhenUsed/>
    <w:rsid w:val="00C11EDA"/>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11EDA"/>
    <w:rPr>
      <w:rFonts w:ascii="Calibri" w:eastAsia="Calibri" w:hAnsi="Calibri" w:cs="Times New Roman"/>
    </w:rPr>
  </w:style>
  <w:style w:type="paragraph" w:styleId="Sarakstarindkopa">
    <w:name w:val="List Paragraph"/>
    <w:basedOn w:val="Parasts"/>
    <w:uiPriority w:val="34"/>
    <w:qFormat/>
    <w:rsid w:val="00C11EDA"/>
    <w:pPr>
      <w:ind w:left="720"/>
      <w:contextualSpacing/>
    </w:pPr>
    <w:rPr>
      <w:rFonts w:ascii="Calibri" w:eastAsia="Calibri" w:hAnsi="Calibri" w:cs="Times New Roman"/>
    </w:rPr>
  </w:style>
  <w:style w:type="paragraph" w:customStyle="1" w:styleId="RakstzCharCharRakstzCharCharRakstz">
    <w:name w:val="Rakstz. Char Char Rakstz. Char Char Rakstz."/>
    <w:basedOn w:val="Parasts"/>
    <w:rsid w:val="00C11EDA"/>
    <w:pPr>
      <w:spacing w:after="160" w:line="240" w:lineRule="exact"/>
    </w:pPr>
    <w:rPr>
      <w:rFonts w:ascii="Tahoma" w:eastAsia="Times New Roman" w:hAnsi="Tahoma" w:cs="Times New Roman"/>
      <w:sz w:val="20"/>
      <w:szCs w:val="20"/>
      <w:lang w:val="en-US"/>
    </w:rPr>
  </w:style>
  <w:style w:type="character" w:styleId="Hipersaite">
    <w:name w:val="Hyperlink"/>
    <w:uiPriority w:val="99"/>
    <w:rsid w:val="00C11EDA"/>
    <w:rPr>
      <w:color w:val="0000FF"/>
      <w:u w:val="single"/>
    </w:rPr>
  </w:style>
  <w:style w:type="paragraph" w:customStyle="1" w:styleId="naisc">
    <w:name w:val="naisc"/>
    <w:basedOn w:val="Parasts"/>
    <w:rsid w:val="00C11EDA"/>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naisf">
    <w:name w:val="naisf"/>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web">
    <w:name w:val="parastaisweb"/>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C11EDA"/>
    <w:rPr>
      <w:sz w:val="16"/>
      <w:szCs w:val="16"/>
    </w:rPr>
  </w:style>
  <w:style w:type="paragraph" w:styleId="Komentrateksts">
    <w:name w:val="annotation text"/>
    <w:basedOn w:val="Parasts"/>
    <w:link w:val="KomentratekstsRakstz"/>
    <w:uiPriority w:val="99"/>
    <w:unhideWhenUsed/>
    <w:rsid w:val="00C11EDA"/>
    <w:pPr>
      <w:spacing w:line="240" w:lineRule="auto"/>
    </w:pPr>
    <w:rPr>
      <w:rFonts w:ascii="Calibri" w:eastAsia="Calibri" w:hAnsi="Calibri"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C11EDA"/>
    <w:rPr>
      <w:rFonts w:ascii="Calibri" w:eastAsia="Calibri" w:hAnsi="Calibri" w:cs="Times New Roman"/>
      <w:sz w:val="20"/>
      <w:szCs w:val="20"/>
      <w:lang w:val="x-none" w:eastAsia="x-none"/>
    </w:rPr>
  </w:style>
  <w:style w:type="paragraph" w:styleId="Komentratma">
    <w:name w:val="annotation subject"/>
    <w:basedOn w:val="Komentrateksts"/>
    <w:next w:val="Komentrateksts"/>
    <w:link w:val="KomentratmaRakstz"/>
    <w:uiPriority w:val="99"/>
    <w:semiHidden/>
    <w:unhideWhenUsed/>
    <w:rsid w:val="00C11EDA"/>
    <w:rPr>
      <w:b/>
      <w:bCs/>
    </w:rPr>
  </w:style>
  <w:style w:type="character" w:customStyle="1" w:styleId="KomentratmaRakstz">
    <w:name w:val="Komentāra tēma Rakstz."/>
    <w:basedOn w:val="KomentratekstsRakstz"/>
    <w:link w:val="Komentratma"/>
    <w:uiPriority w:val="99"/>
    <w:semiHidden/>
    <w:rsid w:val="00C11EDA"/>
    <w:rPr>
      <w:rFonts w:ascii="Calibri" w:eastAsia="Calibri" w:hAnsi="Calibri" w:cs="Times New Roman"/>
      <w:b/>
      <w:bCs/>
      <w:sz w:val="20"/>
      <w:szCs w:val="20"/>
      <w:lang w:val="x-none" w:eastAsia="x-none"/>
    </w:rPr>
  </w:style>
  <w:style w:type="paragraph" w:styleId="Balonteksts">
    <w:name w:val="Balloon Text"/>
    <w:basedOn w:val="Parasts"/>
    <w:link w:val="BalontekstsRakstz"/>
    <w:uiPriority w:val="99"/>
    <w:semiHidden/>
    <w:unhideWhenUsed/>
    <w:rsid w:val="00C11EDA"/>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C11EDA"/>
    <w:rPr>
      <w:rFonts w:ascii="Tahoma" w:eastAsia="Calibri" w:hAnsi="Tahoma" w:cs="Times New Roman"/>
      <w:sz w:val="16"/>
      <w:szCs w:val="16"/>
      <w:lang w:val="x-none" w:eastAsia="x-none"/>
    </w:rPr>
  </w:style>
  <w:style w:type="table" w:styleId="Reatabula">
    <w:name w:val="Table Grid"/>
    <w:basedOn w:val="Parastatabula"/>
    <w:uiPriority w:val="59"/>
    <w:rsid w:val="00C11ED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C11EDA"/>
    <w:rPr>
      <w:b/>
      <w:bCs/>
      <w:color w:val="333333"/>
    </w:rPr>
  </w:style>
  <w:style w:type="paragraph" w:styleId="Saturardtjavirsraksts">
    <w:name w:val="TOC Heading"/>
    <w:basedOn w:val="Virsraksts1"/>
    <w:next w:val="Parasts"/>
    <w:uiPriority w:val="39"/>
    <w:qFormat/>
    <w:rsid w:val="00C11EDA"/>
    <w:pPr>
      <w:keepLines/>
      <w:spacing w:before="480" w:after="0" w:line="276" w:lineRule="auto"/>
      <w:jc w:val="left"/>
      <w:outlineLvl w:val="9"/>
    </w:pPr>
    <w:rPr>
      <w:rFonts w:ascii="Cambria" w:hAnsi="Cambria"/>
      <w:i w:val="0"/>
      <w:color w:val="365F91"/>
      <w:kern w:val="0"/>
      <w:szCs w:val="28"/>
      <w:lang w:eastAsia="en-US"/>
    </w:rPr>
  </w:style>
  <w:style w:type="paragraph" w:styleId="Saturs1">
    <w:name w:val="toc 1"/>
    <w:basedOn w:val="Parasts"/>
    <w:next w:val="Parasts"/>
    <w:autoRedefine/>
    <w:uiPriority w:val="39"/>
    <w:unhideWhenUsed/>
    <w:qFormat/>
    <w:rsid w:val="00C11EDA"/>
    <w:pPr>
      <w:spacing w:after="100"/>
    </w:pPr>
    <w:rPr>
      <w:rFonts w:ascii="Calibri" w:eastAsia="Calibri" w:hAnsi="Calibri" w:cs="Times New Roman"/>
    </w:rPr>
  </w:style>
  <w:style w:type="paragraph" w:styleId="Saturs2">
    <w:name w:val="toc 2"/>
    <w:basedOn w:val="Parasts"/>
    <w:next w:val="Parasts"/>
    <w:autoRedefine/>
    <w:uiPriority w:val="39"/>
    <w:unhideWhenUsed/>
    <w:qFormat/>
    <w:rsid w:val="00C11EDA"/>
    <w:pPr>
      <w:spacing w:after="100"/>
      <w:ind w:left="220"/>
    </w:pPr>
    <w:rPr>
      <w:rFonts w:ascii="Calibri" w:eastAsia="Calibri" w:hAnsi="Calibri" w:cs="Times New Roman"/>
    </w:rPr>
  </w:style>
  <w:style w:type="paragraph" w:styleId="Saturs3">
    <w:name w:val="toc 3"/>
    <w:basedOn w:val="Parasts"/>
    <w:next w:val="Parasts"/>
    <w:autoRedefine/>
    <w:uiPriority w:val="39"/>
    <w:unhideWhenUsed/>
    <w:qFormat/>
    <w:rsid w:val="00C11EDA"/>
    <w:pPr>
      <w:spacing w:after="100"/>
      <w:ind w:left="440"/>
    </w:pPr>
    <w:rPr>
      <w:rFonts w:ascii="Calibri" w:eastAsia="Times New Roman" w:hAnsi="Calibri" w:cs="Times New Roman"/>
    </w:rPr>
  </w:style>
  <w:style w:type="paragraph" w:customStyle="1" w:styleId="Default">
    <w:name w:val="Default"/>
    <w:rsid w:val="00C11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Noklusjumarindkopasfonts"/>
    <w:rsid w:val="00C11EDA"/>
  </w:style>
  <w:style w:type="character" w:styleId="Vresatsauce">
    <w:name w:val="footnote reference"/>
    <w:uiPriority w:val="99"/>
    <w:rsid w:val="00C11EDA"/>
    <w:rPr>
      <w:sz w:val="22"/>
      <w:vertAlign w:val="superscript"/>
    </w:rPr>
  </w:style>
  <w:style w:type="paragraph" w:styleId="Vresteksts">
    <w:name w:val="footnote text"/>
    <w:basedOn w:val="Parasts"/>
    <w:link w:val="VrestekstsRakstz"/>
    <w:uiPriority w:val="99"/>
    <w:rsid w:val="00C11EDA"/>
    <w:pPr>
      <w:keepNext/>
      <w:keepLines/>
      <w:widowControl w:val="0"/>
      <w:spacing w:after="0" w:line="240" w:lineRule="auto"/>
      <w:ind w:left="851"/>
      <w:jc w:val="both"/>
    </w:pPr>
    <w:rPr>
      <w:rFonts w:ascii="Times New Roman" w:eastAsia="Times New Roman" w:hAnsi="Times New Roman" w:cs="Times New Roman"/>
      <w:sz w:val="24"/>
      <w:szCs w:val="20"/>
      <w:lang w:val="x-none" w:eastAsia="de-DE"/>
    </w:rPr>
  </w:style>
  <w:style w:type="character" w:customStyle="1" w:styleId="VrestekstsRakstz">
    <w:name w:val="Vēres teksts Rakstz."/>
    <w:basedOn w:val="Noklusjumarindkopasfonts"/>
    <w:link w:val="Vresteksts"/>
    <w:uiPriority w:val="99"/>
    <w:rsid w:val="00C11EDA"/>
    <w:rPr>
      <w:rFonts w:ascii="Times New Roman" w:eastAsia="Times New Roman" w:hAnsi="Times New Roman" w:cs="Times New Roman"/>
      <w:sz w:val="24"/>
      <w:szCs w:val="20"/>
      <w:lang w:val="x-none" w:eastAsia="de-DE"/>
    </w:rPr>
  </w:style>
  <w:style w:type="character" w:customStyle="1" w:styleId="at3">
    <w:name w:val="a__t3"/>
    <w:basedOn w:val="Noklusjumarindkopasfonts"/>
    <w:rsid w:val="00C11EDA"/>
  </w:style>
  <w:style w:type="character" w:customStyle="1" w:styleId="at1">
    <w:name w:val="a__t1"/>
    <w:basedOn w:val="Noklusjumarindkopasfonts"/>
    <w:rsid w:val="00C11EDA"/>
  </w:style>
  <w:style w:type="paragraph" w:customStyle="1" w:styleId="tv2131">
    <w:name w:val="tv2131"/>
    <w:basedOn w:val="Parasts"/>
    <w:rsid w:val="00C11EDA"/>
    <w:pPr>
      <w:spacing w:before="240" w:after="0" w:line="360" w:lineRule="auto"/>
      <w:ind w:firstLine="300"/>
      <w:jc w:val="both"/>
    </w:pPr>
    <w:rPr>
      <w:rFonts w:ascii="Verdana" w:eastAsia="Times New Roman" w:hAnsi="Verdana" w:cs="Times New Roman"/>
      <w:sz w:val="18"/>
      <w:szCs w:val="18"/>
      <w:lang w:eastAsia="lv-LV"/>
    </w:rPr>
  </w:style>
  <w:style w:type="paragraph" w:customStyle="1" w:styleId="naiskr">
    <w:name w:val="naiskr"/>
    <w:basedOn w:val="Parasts"/>
    <w:rsid w:val="00C1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zatstarpm1">
    <w:name w:val="Bez atstarpēm1"/>
    <w:rsid w:val="00C11EDA"/>
    <w:pPr>
      <w:spacing w:after="0" w:line="240" w:lineRule="auto"/>
    </w:pPr>
    <w:rPr>
      <w:rFonts w:ascii="Calibri" w:eastAsia="Times New Roman" w:hAnsi="Calibri" w:cs="Times New Roman"/>
    </w:rPr>
  </w:style>
  <w:style w:type="paragraph" w:styleId="Prskatjums">
    <w:name w:val="Revision"/>
    <w:hidden/>
    <w:uiPriority w:val="99"/>
    <w:semiHidden/>
    <w:rsid w:val="00C11EDA"/>
    <w:pPr>
      <w:spacing w:after="0" w:line="240" w:lineRule="auto"/>
    </w:pPr>
    <w:rPr>
      <w:rFonts w:ascii="Calibri" w:eastAsia="Calibri" w:hAnsi="Calibri" w:cs="Times New Roman"/>
    </w:rPr>
  </w:style>
  <w:style w:type="paragraph" w:customStyle="1" w:styleId="tv213">
    <w:name w:val="tv213"/>
    <w:basedOn w:val="Parasts"/>
    <w:rsid w:val="00C11E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11"/>
    <w:qFormat/>
    <w:rsid w:val="00C11EDA"/>
    <w:pPr>
      <w:spacing w:after="60"/>
      <w:jc w:val="center"/>
      <w:outlineLvl w:val="1"/>
    </w:pPr>
    <w:rPr>
      <w:rFonts w:ascii="Cambria" w:eastAsia="Times New Roman" w:hAnsi="Cambria" w:cs="Times New Roman"/>
      <w:sz w:val="24"/>
      <w:szCs w:val="24"/>
      <w:lang w:val="x-none"/>
    </w:rPr>
  </w:style>
  <w:style w:type="character" w:customStyle="1" w:styleId="ApakvirsrakstsRakstz">
    <w:name w:val="Apakšvirsraksts Rakstz."/>
    <w:basedOn w:val="Noklusjumarindkopasfonts"/>
    <w:link w:val="Apakvirsraksts"/>
    <w:uiPriority w:val="11"/>
    <w:rsid w:val="00C11EDA"/>
    <w:rPr>
      <w:rFonts w:ascii="Cambria" w:eastAsia="Times New Roman" w:hAnsi="Cambria" w:cs="Times New Roman"/>
      <w:sz w:val="24"/>
      <w:szCs w:val="24"/>
      <w:lang w:val="x-none"/>
    </w:rPr>
  </w:style>
  <w:style w:type="character" w:customStyle="1" w:styleId="st">
    <w:name w:val="st"/>
    <w:rsid w:val="00C11EDA"/>
  </w:style>
  <w:style w:type="paragraph" w:styleId="Beiguvresteksts">
    <w:name w:val="endnote text"/>
    <w:basedOn w:val="Parasts"/>
    <w:link w:val="BeiguvrestekstsRakstz"/>
    <w:uiPriority w:val="99"/>
    <w:semiHidden/>
    <w:unhideWhenUsed/>
    <w:rsid w:val="00C11EDA"/>
    <w:rPr>
      <w:rFonts w:ascii="Calibri" w:eastAsia="Calibri" w:hAnsi="Calibri" w:cs="Times New Roman"/>
      <w:sz w:val="20"/>
      <w:szCs w:val="20"/>
      <w:lang w:val="x-none"/>
    </w:rPr>
  </w:style>
  <w:style w:type="character" w:customStyle="1" w:styleId="BeiguvrestekstsRakstz">
    <w:name w:val="Beigu vēres teksts Rakstz."/>
    <w:basedOn w:val="Noklusjumarindkopasfonts"/>
    <w:link w:val="Beiguvresteksts"/>
    <w:uiPriority w:val="99"/>
    <w:semiHidden/>
    <w:rsid w:val="00C11EDA"/>
    <w:rPr>
      <w:rFonts w:ascii="Calibri" w:eastAsia="Calibri" w:hAnsi="Calibri" w:cs="Times New Roman"/>
      <w:sz w:val="20"/>
      <w:szCs w:val="20"/>
      <w:lang w:val="x-none"/>
    </w:rPr>
  </w:style>
  <w:style w:type="character" w:styleId="Beiguvresatsauce">
    <w:name w:val="endnote reference"/>
    <w:uiPriority w:val="99"/>
    <w:semiHidden/>
    <w:unhideWhenUsed/>
    <w:rsid w:val="00C11EDA"/>
    <w:rPr>
      <w:vertAlign w:val="superscript"/>
    </w:rPr>
  </w:style>
  <w:style w:type="paragraph" w:styleId="Nosaukums">
    <w:name w:val="Title"/>
    <w:basedOn w:val="Parasts"/>
    <w:next w:val="Parasts"/>
    <w:link w:val="NosaukumsRakstz"/>
    <w:qFormat/>
    <w:rsid w:val="00C11EDA"/>
    <w:pPr>
      <w:pBdr>
        <w:bottom w:val="single" w:sz="8" w:space="4" w:color="4F81BD"/>
      </w:pBdr>
      <w:spacing w:after="300" w:line="240" w:lineRule="auto"/>
      <w:contextualSpacing/>
      <w:jc w:val="center"/>
    </w:pPr>
    <w:rPr>
      <w:rFonts w:ascii="Times New Roman" w:eastAsia="Times New Roman" w:hAnsi="Times New Roman" w:cs="Times New Roman"/>
      <w:spacing w:val="5"/>
      <w:kern w:val="28"/>
      <w:sz w:val="52"/>
      <w:szCs w:val="52"/>
      <w:lang w:val="x-none"/>
    </w:rPr>
  </w:style>
  <w:style w:type="character" w:customStyle="1" w:styleId="NosaukumsRakstz">
    <w:name w:val="Nosaukums Rakstz."/>
    <w:basedOn w:val="Noklusjumarindkopasfonts"/>
    <w:link w:val="Nosaukums"/>
    <w:rsid w:val="00C11EDA"/>
    <w:rPr>
      <w:rFonts w:ascii="Times New Roman" w:eastAsia="Times New Roman" w:hAnsi="Times New Roman" w:cs="Times New Roman"/>
      <w:spacing w:val="5"/>
      <w:kern w:val="28"/>
      <w:sz w:val="52"/>
      <w:szCs w:val="5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ektualais-ipasums.lv"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nais.lv/naiser/loginWindow.cfm?ltype=4&amp;rnd=52D64490B1A8ABB2F1AB51C903C30CFBE85ECFE2F3DC14DEFCAEF9FDFD04C12901CD1983CE0BDEC36E2F5FD42054D3C8175FCEF86DC98BC781125607C2EC9C0B84C9D8CFD4D4EADEC96DD8EDC104CE13C8FE86440153DB8F3E9A5DF1DC&amp;lk=text.cfm?Ref=0103011998101532780&amp;Req=0103011998101532780&amp;Key=0103011998061732774&amp;Hash=&amp;href=" TargetMode="External"/><Relationship Id="rId17" Type="http://schemas.openxmlformats.org/officeDocument/2006/relationships/hyperlink" Target="mailto:Tatjana.Krumina@tm.gov.lv"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nais.lv/naiser/loginWindow.cfm?ltype=4&amp;rnd=52D64490B1A8ABB2F1AB51C903C30CFBE85ECFE2F3DC14DEFCAEF9FDFD04C12901CD1983CE0BDEC36E2F5FD42054D3C8175FCEF86DC98BC781125607C2EC9C0B84C9D8CFD4D4EADEC96DD8EDC104CE13C8FE86440153DB8F3E9A5DF1DC&amp;lk=text.cfm?Ref=0103011998101532780&amp;Req=0103011998101532780&amp;Key=0103011998061732774&amp;Hash=&amp;hr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statistikas-temas/informacijas-tehnologijas-galvenie-raditaji-30332.html" TargetMode="External"/><Relationship Id="rId1" Type="http://schemas.openxmlformats.org/officeDocument/2006/relationships/hyperlink" Target="http://www.google.lv/url?sa=t&amp;rct=j&amp;q=&amp;esrc=s&amp;source=web&amp;cd=1&amp;ved=0CCgQFjAA&amp;url=http%3A%2F%2Fwww.at.gov.lv%2Ffiles%2Fdocs%2Fsummaries%2F2008%2Fgaligais%2520precu%2520zimes%252023%252004%252008.doc&amp;ei=ba60UNjXLMX-4QTJooGwAg&amp;usg=AFQjCNFuVsLbf20t70qsOq0Wkciqy4H4aA&amp;cad=rj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59595959595953E-2"/>
          <c:y val="9.0252707581227443E-2"/>
          <c:w val="0.88888888888888884"/>
          <c:h val="0.67870036101083031"/>
        </c:manualLayout>
      </c:layout>
      <c:barChart>
        <c:barDir val="col"/>
        <c:grouping val="clustered"/>
        <c:varyColors val="0"/>
        <c:ser>
          <c:idx val="0"/>
          <c:order val="0"/>
          <c:tx>
            <c:strRef>
              <c:f>Sheet1!$A$2</c:f>
              <c:strCache>
                <c:ptCount val="1"/>
                <c:pt idx="0">
                  <c:v>East</c:v>
                </c:pt>
              </c:strCache>
            </c:strRef>
          </c:tx>
          <c:spPr>
            <a:solidFill>
              <a:srgbClr val="9999FF"/>
            </a:solidFill>
            <a:ln w="12558">
              <a:solidFill>
                <a:srgbClr val="000000"/>
              </a:solidFill>
              <a:prstDash val="solid"/>
            </a:ln>
          </c:spPr>
          <c:invertIfNegative val="0"/>
          <c:cat>
            <c:numRef>
              <c:f>Sheet1!$B$1:$U$1</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Sheet1!$B$2:$U$2</c:f>
              <c:numCache>
                <c:formatCode>General</c:formatCode>
                <c:ptCount val="20"/>
                <c:pt idx="0">
                  <c:v>355</c:v>
                </c:pt>
                <c:pt idx="1">
                  <c:v>373</c:v>
                </c:pt>
                <c:pt idx="2">
                  <c:v>628</c:v>
                </c:pt>
                <c:pt idx="3">
                  <c:v>775</c:v>
                </c:pt>
                <c:pt idx="4">
                  <c:v>328</c:v>
                </c:pt>
                <c:pt idx="5">
                  <c:v>328</c:v>
                </c:pt>
                <c:pt idx="6">
                  <c:v>258</c:v>
                </c:pt>
                <c:pt idx="7">
                  <c:v>326</c:v>
                </c:pt>
                <c:pt idx="8">
                  <c:v>323</c:v>
                </c:pt>
                <c:pt idx="9">
                  <c:v>621</c:v>
                </c:pt>
                <c:pt idx="10">
                  <c:v>874</c:v>
                </c:pt>
                <c:pt idx="11">
                  <c:v>848</c:v>
                </c:pt>
                <c:pt idx="12">
                  <c:v>769</c:v>
                </c:pt>
                <c:pt idx="13">
                  <c:v>821</c:v>
                </c:pt>
                <c:pt idx="14">
                  <c:v>803</c:v>
                </c:pt>
                <c:pt idx="15">
                  <c:v>872</c:v>
                </c:pt>
                <c:pt idx="16">
                  <c:v>996</c:v>
                </c:pt>
                <c:pt idx="17">
                  <c:v>1033</c:v>
                </c:pt>
                <c:pt idx="18">
                  <c:v>1024</c:v>
                </c:pt>
                <c:pt idx="19">
                  <c:v>1373</c:v>
                </c:pt>
              </c:numCache>
            </c:numRef>
          </c:val>
        </c:ser>
        <c:dLbls>
          <c:showLegendKey val="0"/>
          <c:showVal val="0"/>
          <c:showCatName val="0"/>
          <c:showSerName val="0"/>
          <c:showPercent val="0"/>
          <c:showBubbleSize val="0"/>
        </c:dLbls>
        <c:gapWidth val="150"/>
        <c:axId val="97755904"/>
        <c:axId val="97757824"/>
      </c:barChart>
      <c:catAx>
        <c:axId val="97755904"/>
        <c:scaling>
          <c:orientation val="minMax"/>
        </c:scaling>
        <c:delete val="0"/>
        <c:axPos val="b"/>
        <c:numFmt formatCode="General" sourceLinked="1"/>
        <c:majorTickMark val="out"/>
        <c:minorTickMark val="none"/>
        <c:tickLblPos val="nextTo"/>
        <c:spPr>
          <a:ln w="3140">
            <a:solidFill>
              <a:srgbClr val="000000"/>
            </a:solidFill>
            <a:prstDash val="solid"/>
          </a:ln>
        </c:spPr>
        <c:txPr>
          <a:bodyPr rot="-2700000" vert="horz"/>
          <a:lstStyle/>
          <a:p>
            <a:pPr>
              <a:defRPr sz="1187" b="1" i="0" u="none" strike="noStrike" baseline="0">
                <a:solidFill>
                  <a:srgbClr val="000000"/>
                </a:solidFill>
                <a:latin typeface="Calibri"/>
                <a:ea typeface="Calibri"/>
                <a:cs typeface="Calibri"/>
              </a:defRPr>
            </a:pPr>
            <a:endParaRPr lang="lv-LV"/>
          </a:p>
        </c:txPr>
        <c:crossAx val="97757824"/>
        <c:crosses val="autoZero"/>
        <c:auto val="1"/>
        <c:lblAlgn val="ctr"/>
        <c:lblOffset val="100"/>
        <c:tickLblSkip val="2"/>
        <c:tickMarkSkip val="1"/>
        <c:noMultiLvlLbl val="0"/>
      </c:catAx>
      <c:valAx>
        <c:axId val="97757824"/>
        <c:scaling>
          <c:orientation val="minMax"/>
        </c:scaling>
        <c:delete val="0"/>
        <c:axPos val="l"/>
        <c:majorGridlines>
          <c:spPr>
            <a:ln w="3140">
              <a:solidFill>
                <a:srgbClr val="000000"/>
              </a:solidFill>
              <a:prstDash val="solid"/>
            </a:ln>
          </c:spPr>
        </c:majorGridlines>
        <c:numFmt formatCode="General" sourceLinked="1"/>
        <c:majorTickMark val="out"/>
        <c:minorTickMark val="none"/>
        <c:tickLblPos val="nextTo"/>
        <c:spPr>
          <a:ln w="3140">
            <a:solidFill>
              <a:srgbClr val="000000"/>
            </a:solidFill>
            <a:prstDash val="solid"/>
          </a:ln>
        </c:spPr>
        <c:txPr>
          <a:bodyPr rot="0" vert="horz"/>
          <a:lstStyle/>
          <a:p>
            <a:pPr>
              <a:defRPr sz="1187" b="1" i="0" u="none" strike="noStrike" baseline="0">
                <a:solidFill>
                  <a:srgbClr val="000000"/>
                </a:solidFill>
                <a:latin typeface="Calibri"/>
                <a:ea typeface="Calibri"/>
                <a:cs typeface="Calibri"/>
              </a:defRPr>
            </a:pPr>
            <a:endParaRPr lang="lv-LV"/>
          </a:p>
        </c:txPr>
        <c:crossAx val="97755904"/>
        <c:crosses val="autoZero"/>
        <c:crossBetween val="between"/>
      </c:valAx>
      <c:spPr>
        <a:solidFill>
          <a:srgbClr val="C0C0C0"/>
        </a:solidFill>
        <a:ln w="12558">
          <a:solidFill>
            <a:srgbClr val="808080"/>
          </a:solidFill>
          <a:prstDash val="solid"/>
        </a:ln>
      </c:spPr>
    </c:plotArea>
    <c:plotVisOnly val="1"/>
    <c:dispBlanksAs val="gap"/>
    <c:showDLblsOverMax val="0"/>
  </c:chart>
  <c:spPr>
    <a:noFill/>
    <a:ln>
      <a:noFill/>
    </a:ln>
  </c:spPr>
  <c:txPr>
    <a:bodyPr/>
    <a:lstStyle/>
    <a:p>
      <a:pPr>
        <a:defRPr sz="1187" b="1"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62</Pages>
  <Words>80572</Words>
  <Characters>45927</Characters>
  <Application>Microsoft Office Word</Application>
  <DocSecurity>0</DocSecurity>
  <Lines>382</Lines>
  <Paragraphs>252</Paragraphs>
  <ScaleCrop>false</ScaleCrop>
  <HeadingPairs>
    <vt:vector size="2" baseType="variant">
      <vt:variant>
        <vt:lpstr>Nosaukums</vt:lpstr>
      </vt:variant>
      <vt:variant>
        <vt:i4>1</vt:i4>
      </vt:variant>
    </vt:vector>
  </HeadingPairs>
  <TitlesOfParts>
    <vt:vector size="1" baseType="lpstr">
      <vt:lpstr>Attīstības plānošanas dokumenta projekts "Intelektuālā īpašuma tiesību aizsardzības un nodrošināšanas pamatnostādnes 2014.-2018.gadam</vt:lpstr>
    </vt:vector>
  </TitlesOfParts>
  <Company>Tieslietu Sektors</Company>
  <LinksUpToDate>false</LinksUpToDate>
  <CharactersWithSpaces>126247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plānošanas dokumenta projekts "Intelektuālā īpašuma tiesību aizsardzības un nodrošināšanas pamatnostādnes 2014.-2018.gadam</dc:title>
  <dc:subject>intelektuālais īpašums</dc:subject>
  <dc:creator>Tatjana Krūmiņa</dc:creator>
  <dc:description>tatjana.krumina@inbox.lv;
t. 67046123</dc:description>
  <cp:lastModifiedBy>Viesturs Lacis</cp:lastModifiedBy>
  <cp:revision>5</cp:revision>
  <dcterms:created xsi:type="dcterms:W3CDTF">2014-09-15T06:48:00Z</dcterms:created>
  <dcterms:modified xsi:type="dcterms:W3CDTF">2014-10-03T09:14:00Z</dcterms:modified>
  <cp:contentStatus>projekts</cp:contentStatus>
</cp:coreProperties>
</file>