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BE43" w14:textId="77777777" w:rsidR="00ED7916" w:rsidRPr="00ED7916" w:rsidRDefault="00977169" w:rsidP="00977169">
      <w:pPr>
        <w:pStyle w:val="naislab"/>
        <w:spacing w:before="0" w:after="0"/>
        <w:jc w:val="center"/>
      </w:pPr>
      <w:r>
        <w:t xml:space="preserve">                                                                                                     </w:t>
      </w:r>
      <w:r w:rsidR="00C65703">
        <w:t xml:space="preserve">                             </w:t>
      </w:r>
      <w:r w:rsidR="00966281">
        <w:t>3</w:t>
      </w:r>
      <w:r w:rsidR="00C65703">
        <w:t>.p</w:t>
      </w:r>
      <w:r w:rsidR="00ED7916" w:rsidRPr="00ED7916">
        <w:t>ielikums</w:t>
      </w:r>
    </w:p>
    <w:p w14:paraId="38ACD799" w14:textId="77777777" w:rsidR="00ED7916" w:rsidRPr="00ED7916" w:rsidRDefault="00ED7916" w:rsidP="00ED7916">
      <w:pPr>
        <w:pStyle w:val="naislab"/>
        <w:spacing w:before="0" w:after="0"/>
      </w:pPr>
      <w:r w:rsidRPr="00ED7916">
        <w:t>Ministru kabineta</w:t>
      </w:r>
    </w:p>
    <w:p w14:paraId="59D7D874" w14:textId="77777777" w:rsidR="00ED7916" w:rsidRPr="00ED7916" w:rsidRDefault="00ED7916" w:rsidP="00ED7916">
      <w:pPr>
        <w:pStyle w:val="naislab"/>
        <w:spacing w:before="0" w:after="0"/>
      </w:pPr>
      <w:r w:rsidRPr="00ED7916">
        <w:t>___.gada __.__________</w:t>
      </w:r>
    </w:p>
    <w:p w14:paraId="4897CC1B" w14:textId="77777777" w:rsidR="006F5AB5" w:rsidRDefault="00ED7916" w:rsidP="00ED7916">
      <w:pPr>
        <w:pStyle w:val="naislab"/>
        <w:spacing w:before="0" w:after="0"/>
      </w:pPr>
      <w:r w:rsidRPr="00ED7916">
        <w:t>noteikumiem Nr.____</w:t>
      </w:r>
    </w:p>
    <w:p w14:paraId="027E0C37" w14:textId="77777777" w:rsidR="001D6A86" w:rsidRDefault="001D6A86" w:rsidP="00ED7916">
      <w:pPr>
        <w:pStyle w:val="naislab"/>
        <w:spacing w:before="0" w:after="0"/>
      </w:pPr>
    </w:p>
    <w:p w14:paraId="38A75CBE" w14:textId="77777777" w:rsidR="001D6A86" w:rsidRPr="00F23EB6" w:rsidRDefault="001D6A86" w:rsidP="001D6A86">
      <w:pPr>
        <w:suppressAutoHyphens/>
        <w:spacing w:line="100" w:lineRule="atLeast"/>
        <w:jc w:val="center"/>
        <w:textAlignment w:val="baseline"/>
        <w:rPr>
          <w:rFonts w:eastAsia="SimSun"/>
          <w:b/>
          <w:sz w:val="28"/>
          <w:szCs w:val="28"/>
          <w:lang w:eastAsia="zh-CN" w:bidi="hi-IN"/>
        </w:rPr>
      </w:pPr>
      <w:r w:rsidRPr="00F23EB6">
        <w:rPr>
          <w:rFonts w:eastAsia="SimSun"/>
          <w:b/>
          <w:sz w:val="28"/>
          <w:szCs w:val="28"/>
          <w:lang w:eastAsia="zh-CN" w:bidi="hi-IN"/>
        </w:rPr>
        <w:t>Elektronisko izziņu vajadzībām Sodu reģistrā pārbaudāmo tiesību normu saraksts</w:t>
      </w:r>
    </w:p>
    <w:p w14:paraId="079DB8CD" w14:textId="77777777" w:rsidR="001D6A86" w:rsidRPr="001D6A86" w:rsidRDefault="001D6A86" w:rsidP="001D6A86">
      <w:pPr>
        <w:suppressAutoHyphens/>
        <w:spacing w:line="100" w:lineRule="atLeast"/>
        <w:jc w:val="center"/>
        <w:textAlignment w:val="baseline"/>
        <w:rPr>
          <w:rFonts w:eastAsia="SimSun"/>
          <w:lang w:eastAsia="zh-CN" w:bidi="hi-I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1532"/>
        <w:gridCol w:w="4296"/>
        <w:gridCol w:w="1275"/>
      </w:tblGrid>
      <w:tr w:rsidR="001D6A86" w:rsidRPr="00E40F37" w14:paraId="244D0E77" w14:textId="77777777" w:rsidTr="009462B4">
        <w:tc>
          <w:tcPr>
            <w:tcW w:w="1964" w:type="dxa"/>
          </w:tcPr>
          <w:p w14:paraId="48C7376F" w14:textId="77777777" w:rsidR="001D6A86" w:rsidRPr="00E40F37" w:rsidRDefault="001D6A86" w:rsidP="00966281">
            <w:pPr>
              <w:suppressAutoHyphens/>
              <w:spacing w:line="100" w:lineRule="atLeast"/>
              <w:ind w:left="-56" w:right="-4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E40F37">
              <w:rPr>
                <w:rFonts w:eastAsia="SimSun"/>
                <w:b/>
                <w:lang w:eastAsia="zh-CN" w:bidi="hi-IN"/>
              </w:rPr>
              <w:t xml:space="preserve">Personas dalības veids </w:t>
            </w:r>
            <w:r w:rsidR="00966281">
              <w:rPr>
                <w:rFonts w:eastAsia="SimSun"/>
                <w:b/>
                <w:lang w:eastAsia="zh-CN" w:bidi="hi-IN"/>
              </w:rPr>
              <w:t>projektu iesniegumu atlasē</w:t>
            </w:r>
          </w:p>
        </w:tc>
        <w:tc>
          <w:tcPr>
            <w:tcW w:w="1532" w:type="dxa"/>
          </w:tcPr>
          <w:p w14:paraId="1DA6888D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E40F37">
              <w:rPr>
                <w:rFonts w:eastAsia="SimSun" w:cs="Mangal"/>
                <w:b/>
                <w:sz w:val="22"/>
                <w:szCs w:val="22"/>
                <w:lang w:eastAsia="zh-CN" w:bidi="hi-IN"/>
              </w:rPr>
              <w:t>Tiesību akts</w:t>
            </w:r>
          </w:p>
        </w:tc>
        <w:tc>
          <w:tcPr>
            <w:tcW w:w="4296" w:type="dxa"/>
          </w:tcPr>
          <w:p w14:paraId="18D139EE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E40F37">
              <w:rPr>
                <w:rFonts w:eastAsia="SimSun" w:cs="Mangal"/>
                <w:b/>
                <w:sz w:val="22"/>
                <w:szCs w:val="22"/>
                <w:lang w:eastAsia="zh-CN" w:bidi="hi-IN"/>
              </w:rPr>
              <w:t>Tiesību akta norma</w:t>
            </w:r>
          </w:p>
        </w:tc>
        <w:tc>
          <w:tcPr>
            <w:tcW w:w="1275" w:type="dxa"/>
          </w:tcPr>
          <w:p w14:paraId="2DA8157C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E40F37">
              <w:rPr>
                <w:rFonts w:eastAsia="SimSun" w:cs="Mangal"/>
                <w:b/>
                <w:sz w:val="22"/>
                <w:szCs w:val="22"/>
                <w:lang w:eastAsia="zh-CN" w:bidi="hi-IN"/>
              </w:rPr>
              <w:t>Pārbaudes periods mēnešos</w:t>
            </w:r>
          </w:p>
        </w:tc>
      </w:tr>
      <w:tr w:rsidR="006C3E4A" w:rsidRPr="00E40F37" w14:paraId="201166F0" w14:textId="77777777" w:rsidTr="009462B4">
        <w:trPr>
          <w:trHeight w:val="161"/>
        </w:trPr>
        <w:tc>
          <w:tcPr>
            <w:tcW w:w="1964" w:type="dxa"/>
            <w:vMerge w:val="restart"/>
          </w:tcPr>
          <w:p w14:paraId="3B30AB98" w14:textId="2C2729F1" w:rsidR="006C3E4A" w:rsidRPr="00E40F37" w:rsidRDefault="00692E07" w:rsidP="00692E07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  <w:r>
              <w:rPr>
                <w:rFonts w:eastAsia="SimSun"/>
                <w:bCs/>
                <w:sz w:val="22"/>
                <w:szCs w:val="22"/>
                <w:lang w:eastAsia="zh-CN" w:bidi="hi-IN"/>
              </w:rPr>
              <w:t>Pārbaudāmā persona</w:t>
            </w:r>
            <w:r w:rsidR="006C3E4A" w:rsidRPr="00E40F37">
              <w:rPr>
                <w:rFonts w:eastAsia="SimSun"/>
                <w:bCs/>
                <w:sz w:val="22"/>
                <w:szCs w:val="22"/>
                <w:lang w:eastAsia="zh-CN" w:bidi="hi-IN"/>
              </w:rPr>
              <w:t xml:space="preserve"> un/vai personālsabiedrības biedrs (ja </w:t>
            </w:r>
            <w:r>
              <w:rPr>
                <w:rFonts w:eastAsia="SimSun"/>
                <w:bCs/>
                <w:sz w:val="22"/>
                <w:szCs w:val="22"/>
                <w:lang w:eastAsia="zh-CN" w:bidi="hi-IN"/>
              </w:rPr>
              <w:t>pārbaudāmā persona</w:t>
            </w:r>
            <w:r w:rsidR="006C3E4A" w:rsidRPr="00E40F37">
              <w:rPr>
                <w:rFonts w:eastAsia="SimSun"/>
                <w:bCs/>
                <w:sz w:val="22"/>
                <w:szCs w:val="22"/>
                <w:lang w:eastAsia="zh-CN" w:bidi="hi-IN"/>
              </w:rPr>
              <w:t xml:space="preserve"> ir personālsabiedrība)</w:t>
            </w:r>
          </w:p>
        </w:tc>
        <w:tc>
          <w:tcPr>
            <w:tcW w:w="1532" w:type="dxa"/>
            <w:vMerge w:val="restart"/>
          </w:tcPr>
          <w:p w14:paraId="5533C12E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Krimināllikums</w:t>
            </w:r>
          </w:p>
        </w:tc>
        <w:tc>
          <w:tcPr>
            <w:tcW w:w="4296" w:type="dxa"/>
          </w:tcPr>
          <w:p w14:paraId="3D86EF2F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88.pants. Terorisms</w:t>
            </w:r>
          </w:p>
        </w:tc>
        <w:tc>
          <w:tcPr>
            <w:tcW w:w="1275" w:type="dxa"/>
            <w:vMerge w:val="restart"/>
            <w:vAlign w:val="center"/>
          </w:tcPr>
          <w:p w14:paraId="7C92A002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36</w:t>
            </w:r>
          </w:p>
        </w:tc>
      </w:tr>
      <w:tr w:rsidR="006C3E4A" w:rsidRPr="00E40F37" w14:paraId="37EC8432" w14:textId="77777777" w:rsidTr="009462B4">
        <w:trPr>
          <w:trHeight w:val="64"/>
        </w:trPr>
        <w:tc>
          <w:tcPr>
            <w:tcW w:w="1964" w:type="dxa"/>
            <w:vMerge/>
          </w:tcPr>
          <w:p w14:paraId="56A6C28D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5682925C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6A35A5EA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1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Terorisma finansēšana</w:t>
            </w:r>
          </w:p>
        </w:tc>
        <w:tc>
          <w:tcPr>
            <w:tcW w:w="1275" w:type="dxa"/>
            <w:vMerge/>
            <w:vAlign w:val="center"/>
          </w:tcPr>
          <w:p w14:paraId="272B01B0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414EDE70" w14:textId="77777777" w:rsidTr="009462B4">
        <w:trPr>
          <w:trHeight w:val="232"/>
        </w:trPr>
        <w:tc>
          <w:tcPr>
            <w:tcW w:w="1964" w:type="dxa"/>
            <w:vMerge/>
          </w:tcPr>
          <w:p w14:paraId="0798420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772A453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BAEF334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Aicinājums uz terorismu un terorisma draudi</w:t>
            </w:r>
          </w:p>
        </w:tc>
        <w:tc>
          <w:tcPr>
            <w:tcW w:w="1275" w:type="dxa"/>
            <w:vMerge/>
            <w:vAlign w:val="center"/>
          </w:tcPr>
          <w:p w14:paraId="71B4D4A6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3A7A5C9E" w14:textId="77777777" w:rsidTr="009462B4">
        <w:trPr>
          <w:trHeight w:val="93"/>
        </w:trPr>
        <w:tc>
          <w:tcPr>
            <w:tcW w:w="1964" w:type="dxa"/>
            <w:vMerge/>
          </w:tcPr>
          <w:p w14:paraId="09B84B87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7E362F8A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7FCAB57E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Personas vervēšana un apmācīšana terora aktu veikšanai</w:t>
            </w:r>
          </w:p>
        </w:tc>
        <w:tc>
          <w:tcPr>
            <w:tcW w:w="1275" w:type="dxa"/>
            <w:vMerge/>
            <w:vAlign w:val="center"/>
          </w:tcPr>
          <w:p w14:paraId="1EA1A66D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4B7C54F8" w14:textId="77777777" w:rsidTr="009462B4">
        <w:trPr>
          <w:trHeight w:val="64"/>
        </w:trPr>
        <w:tc>
          <w:tcPr>
            <w:tcW w:w="1964" w:type="dxa"/>
            <w:vMerge/>
          </w:tcPr>
          <w:p w14:paraId="033FFC02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48B38DB3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B4FF5F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177.pants. Krāpšana</w:t>
            </w:r>
          </w:p>
        </w:tc>
        <w:tc>
          <w:tcPr>
            <w:tcW w:w="1275" w:type="dxa"/>
            <w:vMerge/>
            <w:vAlign w:val="center"/>
          </w:tcPr>
          <w:p w14:paraId="359C6285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1EC09E65" w14:textId="77777777" w:rsidTr="009462B4">
        <w:trPr>
          <w:trHeight w:val="109"/>
        </w:trPr>
        <w:tc>
          <w:tcPr>
            <w:tcW w:w="1964" w:type="dxa"/>
            <w:vMerge/>
          </w:tcPr>
          <w:p w14:paraId="7BD480F6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22645987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7ECB42C4" w14:textId="77777777" w:rsidR="006C3E4A" w:rsidRPr="00E40F37" w:rsidRDefault="006C3E4A" w:rsidP="00EA432B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177.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1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 Krāpšana automatizētā datu apstrādes sistēmā</w:t>
            </w:r>
          </w:p>
        </w:tc>
        <w:tc>
          <w:tcPr>
            <w:tcW w:w="1275" w:type="dxa"/>
            <w:vMerge/>
            <w:vAlign w:val="center"/>
          </w:tcPr>
          <w:p w14:paraId="56CD5848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1B560116" w14:textId="77777777" w:rsidTr="009462B4">
        <w:trPr>
          <w:trHeight w:val="266"/>
        </w:trPr>
        <w:tc>
          <w:tcPr>
            <w:tcW w:w="1964" w:type="dxa"/>
            <w:vMerge/>
          </w:tcPr>
          <w:p w14:paraId="5E89532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55488797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5A868611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178.pants. Apdrošināšanas krāpšana</w:t>
            </w:r>
          </w:p>
        </w:tc>
        <w:tc>
          <w:tcPr>
            <w:tcW w:w="1275" w:type="dxa"/>
            <w:vMerge/>
            <w:vAlign w:val="center"/>
          </w:tcPr>
          <w:p w14:paraId="75D22EB0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29CB225D" w14:textId="77777777" w:rsidTr="009462B4">
        <w:trPr>
          <w:trHeight w:val="64"/>
        </w:trPr>
        <w:tc>
          <w:tcPr>
            <w:tcW w:w="1964" w:type="dxa"/>
            <w:vMerge/>
          </w:tcPr>
          <w:p w14:paraId="4D74793D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085C079C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D9C951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179.pants. Piesavināšanās</w:t>
            </w:r>
          </w:p>
        </w:tc>
        <w:tc>
          <w:tcPr>
            <w:tcW w:w="1275" w:type="dxa"/>
            <w:vMerge/>
            <w:vAlign w:val="center"/>
          </w:tcPr>
          <w:p w14:paraId="0B1117CF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59F7DBB7" w14:textId="77777777" w:rsidTr="009462B4">
        <w:trPr>
          <w:trHeight w:val="477"/>
        </w:trPr>
        <w:tc>
          <w:tcPr>
            <w:tcW w:w="1964" w:type="dxa"/>
            <w:vMerge/>
          </w:tcPr>
          <w:p w14:paraId="70F20C2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10C9CB47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8882DCC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195.pants. Noziedzīgi iegūtu līdzekļu legalizēšana.</w:t>
            </w:r>
          </w:p>
        </w:tc>
        <w:tc>
          <w:tcPr>
            <w:tcW w:w="1275" w:type="dxa"/>
            <w:vMerge/>
            <w:vAlign w:val="center"/>
          </w:tcPr>
          <w:p w14:paraId="0B51BE22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6CB365EB" w14:textId="77777777" w:rsidTr="009462B4">
        <w:trPr>
          <w:trHeight w:val="64"/>
        </w:trPr>
        <w:tc>
          <w:tcPr>
            <w:tcW w:w="1964" w:type="dxa"/>
            <w:vMerge/>
          </w:tcPr>
          <w:p w14:paraId="14B4F29F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7CCC69E4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9074F81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198.pants. Neatļauta labumu pieņemšana</w:t>
            </w:r>
          </w:p>
        </w:tc>
        <w:tc>
          <w:tcPr>
            <w:tcW w:w="1275" w:type="dxa"/>
            <w:vMerge/>
            <w:vAlign w:val="center"/>
          </w:tcPr>
          <w:p w14:paraId="3881F57C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5B1ACBCD" w14:textId="77777777" w:rsidTr="009462B4">
        <w:trPr>
          <w:trHeight w:val="64"/>
        </w:trPr>
        <w:tc>
          <w:tcPr>
            <w:tcW w:w="1964" w:type="dxa"/>
            <w:vMerge/>
          </w:tcPr>
          <w:p w14:paraId="3959DA56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4719F9B9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A8DF7F0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199.pants. Komerciālā uzpirkšana</w:t>
            </w:r>
          </w:p>
        </w:tc>
        <w:tc>
          <w:tcPr>
            <w:tcW w:w="1275" w:type="dxa"/>
            <w:vMerge/>
            <w:vAlign w:val="center"/>
          </w:tcPr>
          <w:p w14:paraId="436D81D6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33E84FED" w14:textId="77777777" w:rsidTr="009462B4">
        <w:trPr>
          <w:trHeight w:val="477"/>
        </w:trPr>
        <w:tc>
          <w:tcPr>
            <w:tcW w:w="1964" w:type="dxa"/>
            <w:vMerge/>
          </w:tcPr>
          <w:p w14:paraId="2E09683E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39F0D429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6708073A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218.pants. Izvairīšanās no nodokļiem un tiem pielīdzināto maksājumu nomaksas</w:t>
            </w:r>
          </w:p>
        </w:tc>
        <w:tc>
          <w:tcPr>
            <w:tcW w:w="1275" w:type="dxa"/>
            <w:vMerge/>
            <w:vAlign w:val="center"/>
          </w:tcPr>
          <w:p w14:paraId="3A0A3036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46635C1B" w14:textId="77777777" w:rsidTr="009462B4">
        <w:trPr>
          <w:trHeight w:val="109"/>
        </w:trPr>
        <w:tc>
          <w:tcPr>
            <w:tcW w:w="1964" w:type="dxa"/>
            <w:vMerge/>
          </w:tcPr>
          <w:p w14:paraId="724EF56F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5A2AA852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31883B84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320.pants. Kukuļņemšana</w:t>
            </w:r>
          </w:p>
        </w:tc>
        <w:tc>
          <w:tcPr>
            <w:tcW w:w="1275" w:type="dxa"/>
            <w:vMerge/>
            <w:vAlign w:val="center"/>
          </w:tcPr>
          <w:p w14:paraId="525FF5BE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20540E34" w14:textId="77777777" w:rsidTr="009462B4">
        <w:trPr>
          <w:trHeight w:val="64"/>
        </w:trPr>
        <w:tc>
          <w:tcPr>
            <w:tcW w:w="1964" w:type="dxa"/>
            <w:vMerge/>
          </w:tcPr>
          <w:p w14:paraId="6CD148BB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33E00E5E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3593FD4C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321.pants. Kukuļa piesavināšanās</w:t>
            </w:r>
          </w:p>
        </w:tc>
        <w:tc>
          <w:tcPr>
            <w:tcW w:w="1275" w:type="dxa"/>
            <w:vMerge/>
            <w:vAlign w:val="center"/>
          </w:tcPr>
          <w:p w14:paraId="09691B96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6D536314" w14:textId="77777777" w:rsidTr="009462B4">
        <w:trPr>
          <w:trHeight w:val="64"/>
        </w:trPr>
        <w:tc>
          <w:tcPr>
            <w:tcW w:w="1964" w:type="dxa"/>
            <w:vMerge/>
          </w:tcPr>
          <w:p w14:paraId="53B1AA05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61D46672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C6AFB15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322.pants. Starpniecība kukuļošanā</w:t>
            </w:r>
          </w:p>
        </w:tc>
        <w:tc>
          <w:tcPr>
            <w:tcW w:w="1275" w:type="dxa"/>
            <w:vMerge/>
            <w:vAlign w:val="center"/>
          </w:tcPr>
          <w:p w14:paraId="1F2F1C0A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0EE3BC40" w14:textId="77777777" w:rsidTr="009462B4">
        <w:trPr>
          <w:trHeight w:val="64"/>
        </w:trPr>
        <w:tc>
          <w:tcPr>
            <w:tcW w:w="1964" w:type="dxa"/>
            <w:vMerge/>
          </w:tcPr>
          <w:p w14:paraId="330CDFFE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0FF9D224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7DFF71C3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323.pants. Kukuļdošana</w:t>
            </w:r>
          </w:p>
        </w:tc>
        <w:tc>
          <w:tcPr>
            <w:tcW w:w="1275" w:type="dxa"/>
            <w:vMerge/>
            <w:vAlign w:val="center"/>
          </w:tcPr>
          <w:p w14:paraId="4BBC3901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6C3E4A" w:rsidRPr="00E40F37" w14:paraId="5221775A" w14:textId="77777777" w:rsidTr="009462B4">
        <w:tc>
          <w:tcPr>
            <w:tcW w:w="1964" w:type="dxa"/>
            <w:vMerge/>
          </w:tcPr>
          <w:p w14:paraId="51B99168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</w:tcPr>
          <w:p w14:paraId="570C186C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Konkurences likums</w:t>
            </w:r>
          </w:p>
        </w:tc>
        <w:tc>
          <w:tcPr>
            <w:tcW w:w="4296" w:type="dxa"/>
          </w:tcPr>
          <w:p w14:paraId="0611D8AE" w14:textId="5926D97B" w:rsidR="006C3E4A" w:rsidRPr="00E40F37" w:rsidRDefault="006C3E4A" w:rsidP="00514399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11.panta (1) daļa (tostarp jebkurš no minētās daļas apakšpunktiem), ja par vertikālo vienošanos, kuras mērķis ir ierobežot pircēja iespēju noteikt tālākpārdošanas cenu, vai horizontālā karteļa vienošanos kā izslēgšanas</w:t>
            </w:r>
            <w:r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pamatu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no iepirkuma procedūr</w:t>
            </w:r>
            <w:r>
              <w:rPr>
                <w:rFonts w:eastAsia="SimSun" w:cs="Mangal"/>
                <w:sz w:val="22"/>
                <w:szCs w:val="22"/>
                <w:lang w:eastAsia="zh-CN" w:bidi="hi-IN"/>
              </w:rPr>
              <w:t>as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Sodu reģistrā ir norādījusi Konkurences padome.</w:t>
            </w:r>
          </w:p>
        </w:tc>
        <w:tc>
          <w:tcPr>
            <w:tcW w:w="1275" w:type="dxa"/>
            <w:vAlign w:val="center"/>
          </w:tcPr>
          <w:p w14:paraId="75B23ED5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12</w:t>
            </w:r>
          </w:p>
        </w:tc>
      </w:tr>
      <w:tr w:rsidR="006C3E4A" w:rsidRPr="00E40F37" w14:paraId="44C3A7BE" w14:textId="77777777" w:rsidTr="009462B4">
        <w:trPr>
          <w:trHeight w:val="733"/>
        </w:trPr>
        <w:tc>
          <w:tcPr>
            <w:tcW w:w="1964" w:type="dxa"/>
            <w:vMerge/>
          </w:tcPr>
          <w:p w14:paraId="68EC88D7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 w:val="restart"/>
          </w:tcPr>
          <w:p w14:paraId="554A9571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Latvijas Administratīvo pārkāpumu kodekss</w:t>
            </w:r>
          </w:p>
        </w:tc>
        <w:tc>
          <w:tcPr>
            <w:tcW w:w="4296" w:type="dxa"/>
          </w:tcPr>
          <w:p w14:paraId="2953FB20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189.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panta (3) daļa. Par vienas vai vairāku tādu personu (līdz piecām personām) nodarbināšanu, kuras nav tiesīgas uzturēties Latvijas Republikā.</w:t>
            </w:r>
          </w:p>
        </w:tc>
        <w:tc>
          <w:tcPr>
            <w:tcW w:w="1275" w:type="dxa"/>
            <w:vAlign w:val="center"/>
          </w:tcPr>
          <w:p w14:paraId="15D5C3C2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36</w:t>
            </w:r>
          </w:p>
        </w:tc>
      </w:tr>
      <w:tr w:rsidR="006C3E4A" w:rsidRPr="00E40F37" w14:paraId="0915156D" w14:textId="77777777" w:rsidTr="009462B4">
        <w:trPr>
          <w:trHeight w:val="1372"/>
        </w:trPr>
        <w:tc>
          <w:tcPr>
            <w:tcW w:w="1964" w:type="dxa"/>
            <w:vMerge/>
          </w:tcPr>
          <w:p w14:paraId="2106FBB1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23F27CB6" w14:textId="77777777" w:rsidR="006C3E4A" w:rsidRPr="00E40F37" w:rsidRDefault="006C3E4A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8A70991" w14:textId="14E1DF79" w:rsidR="006C3E4A" w:rsidRPr="00E40F37" w:rsidRDefault="006C3E4A" w:rsidP="00E67A41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41.panta (2) un (5) daļa</w:t>
            </w:r>
            <w:r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un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Darba līguma nenoslēgšana rakstveidā un 159.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8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 xml:space="preserve"> (7) daļa. Informatīvās deklarācijas par darba ņēmējiem, kura tiek iesniegta par personām, kuras uzsāk darbu, neiesniegšanu nodokļu normatīvajos aktos noteiktajā termiņā, ja pārkāpumi konstatēti vienlaikus</w:t>
            </w:r>
            <w:r>
              <w:rPr>
                <w:rFonts w:eastAsia="SimSun" w:cs="Mangal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275" w:type="dxa"/>
            <w:vAlign w:val="center"/>
          </w:tcPr>
          <w:p w14:paraId="2B26C30A" w14:textId="77777777" w:rsidR="006C3E4A" w:rsidRPr="00E40F37" w:rsidRDefault="006C3E4A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12</w:t>
            </w:r>
          </w:p>
        </w:tc>
      </w:tr>
      <w:tr w:rsidR="001D6A86" w:rsidRPr="00E40F37" w14:paraId="01430280" w14:textId="77777777" w:rsidTr="009462B4">
        <w:trPr>
          <w:trHeight w:val="227"/>
        </w:trPr>
        <w:tc>
          <w:tcPr>
            <w:tcW w:w="1964" w:type="dxa"/>
            <w:vMerge w:val="restart"/>
          </w:tcPr>
          <w:p w14:paraId="0EDC2A8A" w14:textId="09770890" w:rsidR="001D6A86" w:rsidRPr="00E40F37" w:rsidRDefault="00692E07" w:rsidP="00692E07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  <w:r>
              <w:rPr>
                <w:rFonts w:eastAsia="SimSun"/>
                <w:bCs/>
                <w:sz w:val="22"/>
                <w:szCs w:val="22"/>
                <w:lang w:eastAsia="zh-CN" w:bidi="hi-IN"/>
              </w:rPr>
              <w:t>Pārbaudāmā persona</w:t>
            </w:r>
            <w:r w:rsidR="001D6A86" w:rsidRPr="00E40F37">
              <w:rPr>
                <w:rFonts w:eastAsia="SimSun"/>
                <w:bCs/>
                <w:sz w:val="22"/>
                <w:szCs w:val="22"/>
                <w:lang w:eastAsia="zh-CN" w:bidi="hi-IN"/>
              </w:rPr>
              <w:t xml:space="preserve">, </w:t>
            </w:r>
            <w:r>
              <w:rPr>
                <w:rFonts w:eastAsia="SimSun"/>
                <w:bCs/>
                <w:sz w:val="22"/>
                <w:szCs w:val="22"/>
                <w:lang w:eastAsia="zh-CN" w:bidi="hi-IN"/>
              </w:rPr>
              <w:lastRenderedPageBreak/>
              <w:t>pārbaudāmās personas</w:t>
            </w:r>
            <w:r w:rsidR="001D6A86" w:rsidRPr="00E40F37">
              <w:rPr>
                <w:rFonts w:eastAsia="SimSun"/>
                <w:bCs/>
                <w:sz w:val="22"/>
                <w:szCs w:val="22"/>
                <w:lang w:eastAsia="zh-CN" w:bidi="hi-IN"/>
              </w:rPr>
              <w:t xml:space="preserve"> valdes vai padomes loceklis vai prokūrists vai persona, kura ir pilnvarota pārstāvēt </w:t>
            </w:r>
            <w:r>
              <w:rPr>
                <w:rFonts w:eastAsia="SimSun"/>
                <w:bCs/>
                <w:sz w:val="22"/>
                <w:szCs w:val="22"/>
                <w:lang w:eastAsia="zh-CN" w:bidi="hi-IN"/>
              </w:rPr>
              <w:t>pārbaudāmo personu</w:t>
            </w:r>
            <w:r w:rsidR="001D6A86" w:rsidRPr="00E40F37">
              <w:rPr>
                <w:rFonts w:eastAsia="SimSun"/>
                <w:bCs/>
                <w:sz w:val="22"/>
                <w:szCs w:val="22"/>
                <w:lang w:eastAsia="zh-CN" w:bidi="hi-IN"/>
              </w:rPr>
              <w:t xml:space="preserve"> darbībās, kas saistītas ar filiāli</w:t>
            </w:r>
          </w:p>
        </w:tc>
        <w:tc>
          <w:tcPr>
            <w:tcW w:w="1532" w:type="dxa"/>
            <w:vMerge w:val="restart"/>
          </w:tcPr>
          <w:p w14:paraId="2F58B12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lastRenderedPageBreak/>
              <w:t>Krimināllikums</w:t>
            </w:r>
          </w:p>
        </w:tc>
        <w:tc>
          <w:tcPr>
            <w:tcW w:w="4296" w:type="dxa"/>
          </w:tcPr>
          <w:p w14:paraId="7891B1EF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88.pants. Terorisms</w:t>
            </w:r>
          </w:p>
        </w:tc>
        <w:tc>
          <w:tcPr>
            <w:tcW w:w="1275" w:type="dxa"/>
            <w:vMerge w:val="restart"/>
            <w:vAlign w:val="center"/>
          </w:tcPr>
          <w:p w14:paraId="08640C92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36</w:t>
            </w:r>
          </w:p>
        </w:tc>
      </w:tr>
      <w:tr w:rsidR="001D6A86" w:rsidRPr="00E40F37" w14:paraId="2A524EAD" w14:textId="77777777" w:rsidTr="009462B4">
        <w:trPr>
          <w:trHeight w:val="214"/>
        </w:trPr>
        <w:tc>
          <w:tcPr>
            <w:tcW w:w="1964" w:type="dxa"/>
            <w:vMerge/>
          </w:tcPr>
          <w:p w14:paraId="02C3AA97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27741E47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2CBA4A58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1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Terorisma finansēšana</w:t>
            </w:r>
          </w:p>
        </w:tc>
        <w:tc>
          <w:tcPr>
            <w:tcW w:w="1275" w:type="dxa"/>
            <w:vMerge/>
          </w:tcPr>
          <w:p w14:paraId="01C2D42C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72720CE9" w14:textId="77777777" w:rsidTr="009462B4">
        <w:trPr>
          <w:trHeight w:val="214"/>
        </w:trPr>
        <w:tc>
          <w:tcPr>
            <w:tcW w:w="1964" w:type="dxa"/>
            <w:vMerge/>
          </w:tcPr>
          <w:p w14:paraId="32A104E7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6645CDA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1EF02713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Aicinājums uz terorismu un terorisma draudi</w:t>
            </w:r>
          </w:p>
        </w:tc>
        <w:tc>
          <w:tcPr>
            <w:tcW w:w="1275" w:type="dxa"/>
            <w:vMerge/>
          </w:tcPr>
          <w:p w14:paraId="7E17CF20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4526D954" w14:textId="77777777" w:rsidTr="009462B4">
        <w:trPr>
          <w:trHeight w:val="214"/>
        </w:trPr>
        <w:tc>
          <w:tcPr>
            <w:tcW w:w="1964" w:type="dxa"/>
            <w:vMerge/>
          </w:tcPr>
          <w:p w14:paraId="1C664474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1A5CC8B8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748D059F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88.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pants. Personas vervēšana un apmācīšana terora aktu veikšanai</w:t>
            </w:r>
          </w:p>
        </w:tc>
        <w:tc>
          <w:tcPr>
            <w:tcW w:w="1275" w:type="dxa"/>
            <w:vMerge/>
          </w:tcPr>
          <w:p w14:paraId="611D893D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18C2C804" w14:textId="77777777" w:rsidTr="009462B4">
        <w:trPr>
          <w:trHeight w:val="214"/>
        </w:trPr>
        <w:tc>
          <w:tcPr>
            <w:tcW w:w="1964" w:type="dxa"/>
            <w:vMerge/>
          </w:tcPr>
          <w:p w14:paraId="7E6C4221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1A31EB4B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081C671A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177.pants. Krāpšana</w:t>
            </w:r>
          </w:p>
        </w:tc>
        <w:tc>
          <w:tcPr>
            <w:tcW w:w="1275" w:type="dxa"/>
            <w:vMerge/>
          </w:tcPr>
          <w:p w14:paraId="44AC1587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39778E97" w14:textId="77777777" w:rsidTr="009462B4">
        <w:trPr>
          <w:trHeight w:val="214"/>
        </w:trPr>
        <w:tc>
          <w:tcPr>
            <w:tcW w:w="1964" w:type="dxa"/>
            <w:vMerge/>
          </w:tcPr>
          <w:p w14:paraId="0380117B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632B4ED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0F7D2A16" w14:textId="77777777" w:rsidR="001D6A86" w:rsidRPr="00E40F37" w:rsidRDefault="001D6A86" w:rsidP="00EA432B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</w:t>
            </w:r>
            <w:r w:rsidR="00EA432B"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7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.</w:t>
            </w:r>
            <w:r w:rsidRPr="00E40F37">
              <w:rPr>
                <w:rFonts w:eastAsia="SimSun" w:cs="Mangal"/>
                <w:sz w:val="22"/>
                <w:szCs w:val="22"/>
                <w:vertAlign w:val="superscript"/>
                <w:lang w:eastAsia="zh-CN" w:bidi="hi-IN"/>
              </w:rPr>
              <w:t>1</w:t>
            </w: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pants Krāpšana automatizētā datu apstrādes sistēmā</w:t>
            </w:r>
          </w:p>
        </w:tc>
        <w:tc>
          <w:tcPr>
            <w:tcW w:w="1275" w:type="dxa"/>
            <w:vMerge/>
          </w:tcPr>
          <w:p w14:paraId="4FC45180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71DF8E04" w14:textId="77777777" w:rsidTr="009462B4">
        <w:trPr>
          <w:trHeight w:val="214"/>
        </w:trPr>
        <w:tc>
          <w:tcPr>
            <w:tcW w:w="1964" w:type="dxa"/>
            <w:vMerge/>
          </w:tcPr>
          <w:p w14:paraId="3AA610B2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0FDB4E57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6B5912A1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178.pants. Apdrošināšanas krāpšana</w:t>
            </w:r>
          </w:p>
        </w:tc>
        <w:tc>
          <w:tcPr>
            <w:tcW w:w="1275" w:type="dxa"/>
            <w:vMerge/>
          </w:tcPr>
          <w:p w14:paraId="532C9F13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50DCCBFF" w14:textId="77777777" w:rsidTr="009462B4">
        <w:trPr>
          <w:trHeight w:val="214"/>
        </w:trPr>
        <w:tc>
          <w:tcPr>
            <w:tcW w:w="1964" w:type="dxa"/>
            <w:vMerge/>
          </w:tcPr>
          <w:p w14:paraId="285821C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581549C7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3BC39C0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179.pants. Piesavināšanās</w:t>
            </w:r>
          </w:p>
        </w:tc>
        <w:tc>
          <w:tcPr>
            <w:tcW w:w="1275" w:type="dxa"/>
            <w:vMerge/>
          </w:tcPr>
          <w:p w14:paraId="27004827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3694615A" w14:textId="77777777" w:rsidTr="009462B4">
        <w:trPr>
          <w:trHeight w:val="214"/>
        </w:trPr>
        <w:tc>
          <w:tcPr>
            <w:tcW w:w="1964" w:type="dxa"/>
            <w:vMerge/>
          </w:tcPr>
          <w:p w14:paraId="418AC895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043DD8E5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53B677B9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195.pants. Noziedzīgi iegūtu līdzekļu legalizēšana.</w:t>
            </w:r>
          </w:p>
        </w:tc>
        <w:tc>
          <w:tcPr>
            <w:tcW w:w="1275" w:type="dxa"/>
            <w:vMerge/>
          </w:tcPr>
          <w:p w14:paraId="1A1BC655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551D0166" w14:textId="77777777" w:rsidTr="009462B4">
        <w:trPr>
          <w:trHeight w:val="214"/>
        </w:trPr>
        <w:tc>
          <w:tcPr>
            <w:tcW w:w="1964" w:type="dxa"/>
            <w:vMerge/>
          </w:tcPr>
          <w:p w14:paraId="7567958E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21E15CF4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5DB7B390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198.pants. Neatļauta labumu pieņemšana</w:t>
            </w:r>
          </w:p>
        </w:tc>
        <w:tc>
          <w:tcPr>
            <w:tcW w:w="1275" w:type="dxa"/>
            <w:vMerge/>
          </w:tcPr>
          <w:p w14:paraId="6B707A9E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19CCCBB4" w14:textId="77777777" w:rsidTr="009462B4">
        <w:trPr>
          <w:trHeight w:val="214"/>
        </w:trPr>
        <w:tc>
          <w:tcPr>
            <w:tcW w:w="1964" w:type="dxa"/>
            <w:vMerge/>
          </w:tcPr>
          <w:p w14:paraId="54CB8596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1ED0BC09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8CA785D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199.pants. Komerciālā uzpirkšana</w:t>
            </w:r>
          </w:p>
        </w:tc>
        <w:tc>
          <w:tcPr>
            <w:tcW w:w="1275" w:type="dxa"/>
            <w:vMerge/>
          </w:tcPr>
          <w:p w14:paraId="1A78727C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7643739F" w14:textId="77777777" w:rsidTr="009462B4">
        <w:trPr>
          <w:trHeight w:val="214"/>
        </w:trPr>
        <w:tc>
          <w:tcPr>
            <w:tcW w:w="1964" w:type="dxa"/>
            <w:vMerge/>
          </w:tcPr>
          <w:p w14:paraId="60AF64E5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43BEA159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0340AC5A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218.pants. Izvairīšanās no nodokļiem un tiem pielīdzināto maksājumu nomaksas</w:t>
            </w:r>
          </w:p>
        </w:tc>
        <w:tc>
          <w:tcPr>
            <w:tcW w:w="1275" w:type="dxa"/>
            <w:vMerge/>
          </w:tcPr>
          <w:p w14:paraId="6320A414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6EE4CE24" w14:textId="77777777" w:rsidTr="009462B4">
        <w:trPr>
          <w:trHeight w:val="214"/>
        </w:trPr>
        <w:tc>
          <w:tcPr>
            <w:tcW w:w="1964" w:type="dxa"/>
            <w:vMerge/>
          </w:tcPr>
          <w:p w14:paraId="14B7A23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63D79ADB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615CB333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320.pants. Kukuļņemšana</w:t>
            </w:r>
          </w:p>
        </w:tc>
        <w:tc>
          <w:tcPr>
            <w:tcW w:w="1275" w:type="dxa"/>
            <w:vMerge/>
          </w:tcPr>
          <w:p w14:paraId="3C539E18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4A397199" w14:textId="77777777" w:rsidTr="009462B4">
        <w:trPr>
          <w:trHeight w:val="214"/>
        </w:trPr>
        <w:tc>
          <w:tcPr>
            <w:tcW w:w="1964" w:type="dxa"/>
            <w:vMerge/>
          </w:tcPr>
          <w:p w14:paraId="5AC52999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58D9A96C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31458215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321.pants. Kukuļa piesavināšanās</w:t>
            </w:r>
          </w:p>
        </w:tc>
        <w:tc>
          <w:tcPr>
            <w:tcW w:w="1275" w:type="dxa"/>
            <w:vMerge/>
          </w:tcPr>
          <w:p w14:paraId="529C1E0B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2F736C6F" w14:textId="77777777" w:rsidTr="009462B4">
        <w:trPr>
          <w:trHeight w:val="214"/>
        </w:trPr>
        <w:tc>
          <w:tcPr>
            <w:tcW w:w="1964" w:type="dxa"/>
            <w:vMerge/>
          </w:tcPr>
          <w:p w14:paraId="18C7E01D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46ED70BB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1E0A989E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322.pants. Starpniecība kukuļošanā</w:t>
            </w:r>
          </w:p>
        </w:tc>
        <w:tc>
          <w:tcPr>
            <w:tcW w:w="1275" w:type="dxa"/>
            <w:vMerge/>
          </w:tcPr>
          <w:p w14:paraId="178DA158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  <w:tr w:rsidR="001D6A86" w:rsidRPr="00E40F37" w14:paraId="33AC3177" w14:textId="77777777" w:rsidTr="009462B4">
        <w:trPr>
          <w:trHeight w:val="214"/>
        </w:trPr>
        <w:tc>
          <w:tcPr>
            <w:tcW w:w="1964" w:type="dxa"/>
            <w:vMerge/>
          </w:tcPr>
          <w:p w14:paraId="7A13B264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/>
                <w:bCs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60AF9EE3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4296" w:type="dxa"/>
          </w:tcPr>
          <w:p w14:paraId="4C6F4E58" w14:textId="77777777" w:rsidR="001D6A86" w:rsidRPr="00E40F37" w:rsidRDefault="001D6A86" w:rsidP="001D6A86">
            <w:pPr>
              <w:suppressAutoHyphens/>
              <w:spacing w:line="100" w:lineRule="atLeast"/>
              <w:ind w:left="-56" w:right="-44"/>
              <w:textAlignment w:val="baseline"/>
              <w:rPr>
                <w:rFonts w:eastAsia="SimSun" w:cs="Mangal"/>
                <w:lang w:eastAsia="zh-CN" w:bidi="hi-IN"/>
              </w:rPr>
            </w:pPr>
            <w:r w:rsidRPr="00E40F37">
              <w:rPr>
                <w:rFonts w:eastAsia="SimSun" w:cs="Mangal"/>
                <w:sz w:val="22"/>
                <w:szCs w:val="22"/>
                <w:lang w:eastAsia="zh-CN" w:bidi="hi-IN"/>
              </w:rPr>
              <w:t>323.pants. Kukuļdošana</w:t>
            </w:r>
          </w:p>
        </w:tc>
        <w:tc>
          <w:tcPr>
            <w:tcW w:w="1275" w:type="dxa"/>
            <w:vMerge/>
          </w:tcPr>
          <w:p w14:paraId="651D64AD" w14:textId="77777777" w:rsidR="001D6A86" w:rsidRPr="00E40F37" w:rsidRDefault="001D6A86" w:rsidP="001D6A86">
            <w:pPr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i/>
                <w:lang w:eastAsia="zh-CN" w:bidi="hi-IN"/>
              </w:rPr>
            </w:pPr>
          </w:p>
        </w:tc>
      </w:tr>
    </w:tbl>
    <w:p w14:paraId="6FF27C4B" w14:textId="77777777" w:rsidR="001D6A86" w:rsidRPr="001D6A86" w:rsidRDefault="001D6A86" w:rsidP="001D6A86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14:paraId="44972FD3" w14:textId="538EE375" w:rsidR="006C6C08" w:rsidRDefault="006C6C08"/>
    <w:tbl>
      <w:tblPr>
        <w:tblpPr w:leftFromText="180" w:rightFromText="180" w:bottomFromText="20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610"/>
      </w:tblGrid>
      <w:tr w:rsidR="000E0D65" w14:paraId="6488DDD5" w14:textId="77777777" w:rsidTr="006C6C0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7127EC0" w14:textId="77777777" w:rsidR="000E0D65" w:rsidRDefault="002E56DC" w:rsidP="000E0D65">
            <w:pPr>
              <w:pStyle w:val="naiskr"/>
              <w:spacing w:before="0" w:after="0"/>
              <w:ind w:right="29"/>
            </w:pPr>
            <w:r>
              <w:t>F</w:t>
            </w:r>
            <w:r w:rsidR="00966281">
              <w:t>inanšu</w:t>
            </w:r>
            <w:r w:rsidR="000E0D65">
              <w:t xml:space="preserve"> ministrs</w:t>
            </w:r>
          </w:p>
          <w:p w14:paraId="1B95886F" w14:textId="77777777" w:rsidR="000E0D65" w:rsidRDefault="000E0D65" w:rsidP="000E0D65">
            <w:pPr>
              <w:pStyle w:val="naiskr"/>
              <w:spacing w:before="0" w:after="0"/>
              <w:ind w:right="29"/>
            </w:pPr>
          </w:p>
          <w:p w14:paraId="13A7F90D" w14:textId="77777777" w:rsidR="009462B4" w:rsidRDefault="009462B4" w:rsidP="000E0D65">
            <w:pPr>
              <w:pStyle w:val="naiskr"/>
              <w:spacing w:before="0" w:after="0"/>
              <w:ind w:right="29"/>
            </w:pPr>
          </w:p>
          <w:p w14:paraId="2E0A282A" w14:textId="77777777" w:rsidR="009462B4" w:rsidRDefault="009462B4" w:rsidP="000E0D65">
            <w:pPr>
              <w:pStyle w:val="naiskr"/>
              <w:spacing w:before="0" w:after="0"/>
              <w:ind w:right="29"/>
            </w:pPr>
          </w:p>
          <w:p w14:paraId="529FC764" w14:textId="77777777" w:rsidR="000E0D65" w:rsidRDefault="000E0D65" w:rsidP="000E0D65">
            <w:pPr>
              <w:pStyle w:val="naiskr"/>
              <w:spacing w:before="0" w:after="0"/>
              <w:ind w:right="29"/>
            </w:pPr>
            <w:r>
              <w:t>Iesniedzējs: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6B12297" w14:textId="2626EFF7" w:rsidR="000E0D65" w:rsidRDefault="00692E07" w:rsidP="000E0D65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J.Reirs</w:t>
            </w:r>
          </w:p>
        </w:tc>
      </w:tr>
      <w:tr w:rsidR="000E0D65" w14:paraId="1E39F95A" w14:textId="77777777" w:rsidTr="006C6C0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1B3328E" w14:textId="77777777" w:rsidR="000E0D65" w:rsidRDefault="002E56DC" w:rsidP="000E0D65">
            <w:pPr>
              <w:pStyle w:val="naiskr"/>
              <w:spacing w:before="0" w:after="0"/>
              <w:ind w:right="29"/>
            </w:pPr>
            <w:r>
              <w:t>F</w:t>
            </w:r>
            <w:r w:rsidR="00966281">
              <w:t>inanšu</w:t>
            </w:r>
            <w:r w:rsidR="000E0D65">
              <w:t xml:space="preserve"> ministrs</w:t>
            </w:r>
          </w:p>
          <w:p w14:paraId="3D23FA2D" w14:textId="77777777" w:rsidR="000E0D65" w:rsidRDefault="000E0D65" w:rsidP="000E0D65">
            <w:pPr>
              <w:pStyle w:val="naiskr"/>
              <w:spacing w:before="0" w:after="0"/>
              <w:ind w:right="29"/>
            </w:pPr>
          </w:p>
          <w:p w14:paraId="2A8A8A85" w14:textId="77777777" w:rsidR="00692E07" w:rsidRDefault="00692E07" w:rsidP="000E0D65">
            <w:pPr>
              <w:pStyle w:val="naiskr"/>
              <w:spacing w:before="0" w:after="0"/>
              <w:ind w:right="29"/>
            </w:pPr>
          </w:p>
          <w:p w14:paraId="2F2E05F9" w14:textId="77777777" w:rsidR="009462B4" w:rsidRDefault="009462B4" w:rsidP="000E0D65">
            <w:pPr>
              <w:pStyle w:val="naiskr"/>
              <w:spacing w:before="0" w:after="0"/>
              <w:ind w:right="29"/>
            </w:pPr>
          </w:p>
          <w:p w14:paraId="02A76D4C" w14:textId="77777777" w:rsidR="009462B4" w:rsidRDefault="009462B4" w:rsidP="000E0D65">
            <w:pPr>
              <w:pStyle w:val="naiskr"/>
              <w:spacing w:before="0" w:after="0"/>
              <w:ind w:right="29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C18ABE3" w14:textId="77777777" w:rsidR="000E0D65" w:rsidRDefault="000E0D65" w:rsidP="000E0D65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14:paraId="098714EA" w14:textId="61939204" w:rsidR="000E0D65" w:rsidRDefault="00692E07" w:rsidP="00692E07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J</w:t>
            </w:r>
            <w:r w:rsidR="00966281">
              <w:rPr>
                <w:rFonts w:eastAsia="SimSun" w:cs="Mangal"/>
                <w:lang w:eastAsia="zh-CN" w:bidi="hi-IN"/>
              </w:rPr>
              <w:t>.</w:t>
            </w:r>
            <w:r>
              <w:rPr>
                <w:rFonts w:eastAsia="SimSun" w:cs="Mangal"/>
                <w:lang w:eastAsia="zh-CN" w:bidi="hi-IN"/>
              </w:rPr>
              <w:t>Reirs</w:t>
            </w:r>
          </w:p>
        </w:tc>
      </w:tr>
      <w:tr w:rsidR="000E0D65" w14:paraId="59B52F65" w14:textId="77777777" w:rsidTr="006C6C0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1FA8D8" w14:textId="77777777" w:rsidR="000E0D65" w:rsidRDefault="000E0D65" w:rsidP="000E0D65">
            <w:pPr>
              <w:ind w:right="28"/>
              <w:jc w:val="both"/>
              <w:textAlignment w:val="baseline"/>
              <w:rPr>
                <w:rFonts w:ascii="Times New Roman Tilde" w:eastAsia="SimSun" w:hAnsi="Times New Roman Tilde" w:cs="Mangal" w:hint="eastAsia"/>
                <w:color w:val="00000A"/>
                <w:kern w:val="2"/>
                <w:lang w:eastAsia="en-US"/>
              </w:rPr>
            </w:pPr>
            <w:r>
              <w:rPr>
                <w:rFonts w:ascii="Times New Roman Tilde" w:eastAsia="SimSun" w:hAnsi="Times New Roman Tilde" w:cs="Mangal"/>
              </w:rPr>
              <w:t>Vīza:</w:t>
            </w:r>
          </w:p>
          <w:p w14:paraId="269D3452" w14:textId="77777777" w:rsidR="000E0D65" w:rsidRDefault="002E56DC" w:rsidP="00966281">
            <w:pPr>
              <w:pStyle w:val="naiskr"/>
              <w:spacing w:before="0" w:after="0"/>
              <w:ind w:left="5" w:right="28"/>
            </w:pPr>
            <w:r>
              <w:rPr>
                <w:rFonts w:ascii="Times New Roman Tilde" w:eastAsia="SimSun" w:hAnsi="Times New Roman Tilde" w:cs="Mangal"/>
              </w:rPr>
              <w:t>V</w:t>
            </w:r>
            <w:r w:rsidR="000E0D65">
              <w:rPr>
                <w:rFonts w:ascii="Times New Roman Tilde" w:eastAsia="SimSun" w:hAnsi="Times New Roman Tilde" w:cs="Mangal"/>
              </w:rPr>
              <w:t>alsts sekretār</w:t>
            </w:r>
            <w:r w:rsidR="00966281">
              <w:rPr>
                <w:rFonts w:ascii="Times New Roman Tilde" w:eastAsia="SimSun" w:hAnsi="Times New Roman Tilde" w:cs="Mangal"/>
              </w:rPr>
              <w:t>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CFD0F" w14:textId="77777777" w:rsidR="000E0D65" w:rsidRDefault="00966281" w:rsidP="000E0D65">
            <w:pPr>
              <w:pStyle w:val="naiskr"/>
              <w:spacing w:before="0" w:after="0"/>
              <w:ind w:left="5" w:right="28"/>
              <w:jc w:val="right"/>
            </w:pPr>
            <w:r>
              <w:rPr>
                <w:rFonts w:ascii="Times New Roman Tilde" w:eastAsia="SimSun" w:hAnsi="Times New Roman Tilde" w:cs="Mangal"/>
              </w:rPr>
              <w:t>B.Bāne</w:t>
            </w:r>
          </w:p>
        </w:tc>
      </w:tr>
    </w:tbl>
    <w:p w14:paraId="284165D8" w14:textId="77777777" w:rsidR="00692E07" w:rsidRDefault="00692E07" w:rsidP="00966281">
      <w:pPr>
        <w:jc w:val="both"/>
        <w:rPr>
          <w:sz w:val="20"/>
          <w:szCs w:val="20"/>
        </w:rPr>
      </w:pPr>
    </w:p>
    <w:p w14:paraId="6FECCC9C" w14:textId="77777777" w:rsidR="00692E07" w:rsidRDefault="00692E07" w:rsidP="00966281">
      <w:pPr>
        <w:jc w:val="both"/>
        <w:rPr>
          <w:sz w:val="20"/>
          <w:szCs w:val="20"/>
        </w:rPr>
      </w:pPr>
    </w:p>
    <w:p w14:paraId="6A725EE7" w14:textId="77777777" w:rsidR="00692E07" w:rsidRDefault="00692E07" w:rsidP="00966281">
      <w:pPr>
        <w:jc w:val="both"/>
        <w:rPr>
          <w:sz w:val="20"/>
          <w:szCs w:val="20"/>
        </w:rPr>
      </w:pPr>
    </w:p>
    <w:p w14:paraId="1FF0DDF2" w14:textId="77777777" w:rsidR="009462B4" w:rsidRDefault="009462B4" w:rsidP="00966281">
      <w:pPr>
        <w:jc w:val="both"/>
        <w:rPr>
          <w:sz w:val="20"/>
          <w:szCs w:val="20"/>
        </w:rPr>
      </w:pPr>
    </w:p>
    <w:p w14:paraId="21BBF4EC" w14:textId="77777777" w:rsidR="009462B4" w:rsidRDefault="009462B4" w:rsidP="00966281">
      <w:pPr>
        <w:jc w:val="both"/>
        <w:rPr>
          <w:sz w:val="20"/>
          <w:szCs w:val="20"/>
        </w:rPr>
      </w:pPr>
    </w:p>
    <w:p w14:paraId="42AFCE16" w14:textId="77777777" w:rsidR="009462B4" w:rsidRDefault="009462B4" w:rsidP="00966281">
      <w:pPr>
        <w:jc w:val="both"/>
        <w:rPr>
          <w:sz w:val="20"/>
          <w:szCs w:val="20"/>
        </w:rPr>
      </w:pPr>
    </w:p>
    <w:p w14:paraId="6D81FF5A" w14:textId="77777777" w:rsidR="009462B4" w:rsidRDefault="009462B4" w:rsidP="00966281">
      <w:pPr>
        <w:jc w:val="both"/>
        <w:rPr>
          <w:sz w:val="20"/>
          <w:szCs w:val="20"/>
        </w:rPr>
      </w:pPr>
    </w:p>
    <w:p w14:paraId="40AFA2DA" w14:textId="77777777" w:rsidR="00692E07" w:rsidRDefault="00692E07" w:rsidP="00966281">
      <w:pPr>
        <w:jc w:val="both"/>
        <w:rPr>
          <w:sz w:val="20"/>
          <w:szCs w:val="20"/>
        </w:rPr>
      </w:pPr>
    </w:p>
    <w:p w14:paraId="6C741AB1" w14:textId="77777777" w:rsidR="00692E07" w:rsidRDefault="00692E07" w:rsidP="00966281">
      <w:pPr>
        <w:jc w:val="both"/>
        <w:rPr>
          <w:sz w:val="20"/>
          <w:szCs w:val="20"/>
        </w:rPr>
      </w:pPr>
      <w:r>
        <w:rPr>
          <w:sz w:val="20"/>
          <w:szCs w:val="20"/>
        </w:rPr>
        <w:t>06.11.2014 10:59</w:t>
      </w:r>
    </w:p>
    <w:p w14:paraId="0B391B01" w14:textId="17A288DD" w:rsidR="00966281" w:rsidRDefault="00366D7D" w:rsidP="00966281">
      <w:pPr>
        <w:jc w:val="both"/>
        <w:rPr>
          <w:sz w:val="20"/>
          <w:szCs w:val="20"/>
        </w:rPr>
      </w:pPr>
      <w:r w:rsidRPr="004345F6">
        <w:rPr>
          <w:sz w:val="20"/>
          <w:szCs w:val="20"/>
        </w:rPr>
        <w:t>3</w:t>
      </w:r>
      <w:r>
        <w:rPr>
          <w:sz w:val="20"/>
          <w:szCs w:val="20"/>
        </w:rPr>
        <w:t>3</w:t>
      </w:r>
      <w:r w:rsidR="006F05D3">
        <w:rPr>
          <w:sz w:val="20"/>
          <w:szCs w:val="20"/>
        </w:rPr>
        <w:t>3</w:t>
      </w:r>
    </w:p>
    <w:p w14:paraId="28CDB774" w14:textId="77777777" w:rsidR="00966281" w:rsidRDefault="00966281" w:rsidP="00966281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7D7FDB">
        <w:rPr>
          <w:rFonts w:eastAsia="SimSun" w:cs="Mangal"/>
          <w:sz w:val="20"/>
          <w:szCs w:val="20"/>
          <w:lang w:eastAsia="zh-CN" w:bidi="hi-IN"/>
        </w:rPr>
        <w:t>G.Morgan</w:t>
      </w:r>
      <w:bookmarkStart w:id="0" w:name="_GoBack"/>
      <w:bookmarkEnd w:id="0"/>
      <w:r w:rsidRPr="007D7FDB">
        <w:rPr>
          <w:rFonts w:eastAsia="SimSun" w:cs="Mangal"/>
          <w:sz w:val="20"/>
          <w:szCs w:val="20"/>
          <w:lang w:eastAsia="zh-CN" w:bidi="hi-IN"/>
        </w:rPr>
        <w:t>a</w:t>
      </w:r>
    </w:p>
    <w:p w14:paraId="48C882A5" w14:textId="77777777" w:rsidR="00B74027" w:rsidRPr="00B74027" w:rsidRDefault="00B74027" w:rsidP="00B74027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B74027">
        <w:rPr>
          <w:rFonts w:eastAsia="SimSun" w:cs="Mangal"/>
          <w:sz w:val="20"/>
          <w:szCs w:val="20"/>
          <w:lang w:eastAsia="zh-CN" w:bidi="hi-IN"/>
        </w:rPr>
        <w:t>Finanšu ministrijas</w:t>
      </w:r>
    </w:p>
    <w:p w14:paraId="4F48BE6B" w14:textId="0E152B2D" w:rsidR="00B74027" w:rsidRPr="00B74027" w:rsidRDefault="00B74027" w:rsidP="00B74027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B74027">
        <w:rPr>
          <w:rFonts w:eastAsia="SimSun" w:cs="Mangal"/>
          <w:sz w:val="20"/>
          <w:szCs w:val="20"/>
          <w:lang w:eastAsia="zh-CN" w:bidi="hi-IN"/>
        </w:rPr>
        <w:t xml:space="preserve">Eiropas Savienības fondu vadības </w:t>
      </w:r>
      <w:r w:rsidR="006F05D3">
        <w:rPr>
          <w:rFonts w:eastAsia="SimSun" w:cs="Mangal"/>
          <w:sz w:val="20"/>
          <w:szCs w:val="20"/>
          <w:lang w:eastAsia="zh-CN" w:bidi="hi-IN"/>
        </w:rPr>
        <w:t>un kontroles</w:t>
      </w:r>
      <w:r w:rsidRPr="00B74027">
        <w:rPr>
          <w:rFonts w:eastAsia="SimSun" w:cs="Mangal"/>
          <w:sz w:val="20"/>
          <w:szCs w:val="20"/>
          <w:lang w:eastAsia="zh-CN" w:bidi="hi-IN"/>
        </w:rPr>
        <w:t xml:space="preserve"> departamenta</w:t>
      </w:r>
    </w:p>
    <w:p w14:paraId="34BDFDD7" w14:textId="77777777" w:rsidR="00B74027" w:rsidRPr="00B74027" w:rsidRDefault="00B74027" w:rsidP="00B74027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B74027">
        <w:rPr>
          <w:rFonts w:eastAsia="SimSun" w:cs="Mangal"/>
          <w:sz w:val="20"/>
          <w:szCs w:val="20"/>
          <w:lang w:eastAsia="zh-CN" w:bidi="hi-IN"/>
        </w:rPr>
        <w:t xml:space="preserve">Eiropas Savienības fondu tiesiskā nodrošinājuma nodaļas </w:t>
      </w:r>
    </w:p>
    <w:p w14:paraId="133DAB99" w14:textId="77BFFB51" w:rsidR="00B74027" w:rsidRPr="007D7FDB" w:rsidRDefault="00B74027" w:rsidP="00B74027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B74027">
        <w:rPr>
          <w:rFonts w:eastAsia="SimSun" w:cs="Mangal"/>
          <w:sz w:val="20"/>
          <w:szCs w:val="20"/>
          <w:lang w:eastAsia="zh-CN" w:bidi="hi-IN"/>
        </w:rPr>
        <w:t>vadītāja vietniece</w:t>
      </w:r>
    </w:p>
    <w:p w14:paraId="7703988E" w14:textId="77777777" w:rsidR="00966281" w:rsidRDefault="00966281" w:rsidP="00966281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rFonts w:eastAsia="SimSun" w:cs="Mangal"/>
          <w:sz w:val="20"/>
          <w:szCs w:val="20"/>
          <w:lang w:eastAsia="zh-CN" w:bidi="hi-IN"/>
        </w:rPr>
      </w:pPr>
      <w:r w:rsidRPr="007D7FDB">
        <w:rPr>
          <w:rFonts w:eastAsia="SimSun" w:cs="Mangal"/>
          <w:sz w:val="20"/>
          <w:szCs w:val="20"/>
          <w:lang w:eastAsia="zh-CN" w:bidi="hi-IN"/>
        </w:rPr>
        <w:t xml:space="preserve">67095480,  </w:t>
      </w:r>
      <w:hyperlink r:id="rId7" w:history="1">
        <w:r w:rsidRPr="003215F5">
          <w:rPr>
            <w:rStyle w:val="Hyperlink"/>
            <w:rFonts w:eastAsia="SimSun" w:cs="Mangal"/>
            <w:sz w:val="20"/>
            <w:szCs w:val="20"/>
            <w:lang w:eastAsia="zh-CN" w:bidi="hi-IN"/>
          </w:rPr>
          <w:t>Gundega.Morgana@fm.gov.lv</w:t>
        </w:r>
      </w:hyperlink>
    </w:p>
    <w:p w14:paraId="6000815C" w14:textId="77777777" w:rsidR="00966281" w:rsidRPr="00C65703" w:rsidRDefault="00966281" w:rsidP="00966281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</w:p>
    <w:p w14:paraId="0E6F9758" w14:textId="77777777" w:rsidR="00583834" w:rsidRPr="00C65703" w:rsidRDefault="00583834" w:rsidP="00966281">
      <w:pPr>
        <w:jc w:val="both"/>
        <w:rPr>
          <w:sz w:val="20"/>
          <w:szCs w:val="20"/>
        </w:rPr>
      </w:pPr>
    </w:p>
    <w:sectPr w:rsidR="00583834" w:rsidRPr="00C65703" w:rsidSect="0016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A061" w14:textId="77777777" w:rsidR="001B7767" w:rsidRDefault="001B7767" w:rsidP="00486EF1">
      <w:r>
        <w:separator/>
      </w:r>
    </w:p>
  </w:endnote>
  <w:endnote w:type="continuationSeparator" w:id="0">
    <w:p w14:paraId="4B0B5B86" w14:textId="77777777" w:rsidR="001B7767" w:rsidRDefault="001B7767" w:rsidP="004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7A3A" w14:textId="77777777" w:rsidR="00252635" w:rsidRDefault="00252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4CB1" w14:textId="232781EF" w:rsidR="00966281" w:rsidRDefault="00966281" w:rsidP="00966281">
    <w:pPr>
      <w:pStyle w:val="Footer"/>
    </w:pPr>
    <w:r w:rsidRPr="00D86372">
      <w:rPr>
        <w:sz w:val="20"/>
        <w:szCs w:val="20"/>
      </w:rPr>
      <w:t>FMNotp</w:t>
    </w:r>
    <w:r>
      <w:rPr>
        <w:sz w:val="20"/>
        <w:szCs w:val="20"/>
      </w:rPr>
      <w:t>3</w:t>
    </w:r>
    <w:r w:rsidRPr="00D86372">
      <w:rPr>
        <w:sz w:val="20"/>
        <w:szCs w:val="20"/>
      </w:rPr>
      <w:t>_</w:t>
    </w:r>
    <w:r w:rsidR="00A80E58">
      <w:rPr>
        <w:sz w:val="20"/>
        <w:szCs w:val="20"/>
      </w:rPr>
      <w:t>14</w:t>
    </w:r>
    <w:r w:rsidR="00692E07">
      <w:rPr>
        <w:sz w:val="20"/>
        <w:szCs w:val="20"/>
      </w:rPr>
      <w:t>11</w:t>
    </w:r>
    <w:r w:rsidR="00692E07" w:rsidRPr="00D86372">
      <w:rPr>
        <w:sz w:val="20"/>
        <w:szCs w:val="20"/>
      </w:rPr>
      <w:t>14</w:t>
    </w:r>
    <w:r w:rsidRPr="00D86372">
      <w:rPr>
        <w:sz w:val="20"/>
        <w:szCs w:val="20"/>
      </w:rPr>
      <w:t>_</w:t>
    </w:r>
    <w:r w:rsidR="00252635">
      <w:rPr>
        <w:sz w:val="20"/>
        <w:szCs w:val="20"/>
      </w:rPr>
      <w:t>vadnot</w:t>
    </w:r>
    <w:r w:rsidRPr="00D86372">
      <w:rPr>
        <w:sz w:val="20"/>
        <w:szCs w:val="20"/>
      </w:rPr>
      <w:t>; Pielikums Ministru kabineta noteikumu projektam „Kārtība, kādā Eiropas Savienības struktūrfondu un Kohēzijas fonda vadībā iesaistītās institūcijas nodrošina</w:t>
    </w:r>
    <w:r w:rsidR="00692E07">
      <w:rPr>
        <w:sz w:val="20"/>
        <w:szCs w:val="20"/>
      </w:rPr>
      <w:t xml:space="preserve"> plānošanas dokumentu sagatavošanu un</w:t>
    </w:r>
    <w:r w:rsidRPr="00D86372">
      <w:rPr>
        <w:sz w:val="20"/>
        <w:szCs w:val="20"/>
      </w:rPr>
      <w:t xml:space="preserve"> šo fondu ieviešanu 2014.-2020.gada plānošanas periodā</w:t>
    </w:r>
    <w:r w:rsidR="00B03D38">
      <w:rPr>
        <w:sz w:val="20"/>
        <w:szCs w:val="20"/>
      </w:rPr>
      <w:t>”</w:t>
    </w:r>
  </w:p>
  <w:p w14:paraId="5DD40AC0" w14:textId="77777777" w:rsidR="00950B84" w:rsidRDefault="00950B84" w:rsidP="00C65703">
    <w:pPr>
      <w:pStyle w:val="Footer"/>
    </w:pPr>
  </w:p>
  <w:p w14:paraId="2AAD49AF" w14:textId="77777777" w:rsidR="00950B84" w:rsidRPr="00C65703" w:rsidRDefault="00950B84" w:rsidP="00C65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33A0" w14:textId="7AC1EAB9" w:rsidR="00966281" w:rsidRDefault="00966281" w:rsidP="00966281">
    <w:pPr>
      <w:pStyle w:val="Footer"/>
    </w:pPr>
    <w:r w:rsidRPr="00D86372">
      <w:rPr>
        <w:sz w:val="20"/>
        <w:szCs w:val="20"/>
      </w:rPr>
      <w:t>FMNotp</w:t>
    </w:r>
    <w:r>
      <w:rPr>
        <w:sz w:val="20"/>
        <w:szCs w:val="20"/>
      </w:rPr>
      <w:t>3</w:t>
    </w:r>
    <w:r w:rsidRPr="00D86372">
      <w:rPr>
        <w:sz w:val="20"/>
        <w:szCs w:val="20"/>
      </w:rPr>
      <w:t>_</w:t>
    </w:r>
    <w:r w:rsidR="00A80E58">
      <w:rPr>
        <w:sz w:val="20"/>
        <w:szCs w:val="20"/>
      </w:rPr>
      <w:t>14</w:t>
    </w:r>
    <w:r w:rsidR="00692E07">
      <w:rPr>
        <w:sz w:val="20"/>
        <w:szCs w:val="20"/>
      </w:rPr>
      <w:t>11</w:t>
    </w:r>
    <w:r w:rsidR="00692E07" w:rsidRPr="00D86372">
      <w:rPr>
        <w:sz w:val="20"/>
        <w:szCs w:val="20"/>
      </w:rPr>
      <w:t>14</w:t>
    </w:r>
    <w:r w:rsidRPr="00D86372">
      <w:rPr>
        <w:sz w:val="20"/>
        <w:szCs w:val="20"/>
      </w:rPr>
      <w:t>_</w:t>
    </w:r>
    <w:r w:rsidR="00252635">
      <w:rPr>
        <w:sz w:val="20"/>
        <w:szCs w:val="20"/>
      </w:rPr>
      <w:t>vadnot</w:t>
    </w:r>
    <w:r w:rsidRPr="00D86372">
      <w:rPr>
        <w:sz w:val="20"/>
        <w:szCs w:val="20"/>
      </w:rPr>
      <w:t xml:space="preserve">; Pielikums Ministru kabineta noteikumu projektam „Kārtība, kādā Eiropas Savienības struktūrfondu un Kohēzijas fonda vadībā iesaistītās institūcijas nodrošina </w:t>
    </w:r>
    <w:r w:rsidR="00692E07">
      <w:rPr>
        <w:sz w:val="20"/>
        <w:szCs w:val="20"/>
      </w:rPr>
      <w:t>plānošanas dokumentu sagatavošanu un</w:t>
    </w:r>
    <w:r w:rsidR="00692E07" w:rsidRPr="00D86372">
      <w:rPr>
        <w:sz w:val="20"/>
        <w:szCs w:val="20"/>
      </w:rPr>
      <w:t xml:space="preserve"> </w:t>
    </w:r>
    <w:r w:rsidRPr="00D86372">
      <w:rPr>
        <w:sz w:val="20"/>
        <w:szCs w:val="20"/>
      </w:rPr>
      <w:t>šo fondu ieviešanu 2014.-2020.gada plānošanas periodā</w:t>
    </w:r>
    <w:r w:rsidR="00B03D38">
      <w:rPr>
        <w:sz w:val="20"/>
        <w:szCs w:val="20"/>
      </w:rPr>
      <w:t>”</w:t>
    </w:r>
  </w:p>
  <w:p w14:paraId="0E745174" w14:textId="77777777" w:rsidR="00950B84" w:rsidRDefault="0095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025E" w14:textId="77777777" w:rsidR="001B7767" w:rsidRDefault="001B7767" w:rsidP="00486EF1">
      <w:r>
        <w:separator/>
      </w:r>
    </w:p>
  </w:footnote>
  <w:footnote w:type="continuationSeparator" w:id="0">
    <w:p w14:paraId="1F1AD6E7" w14:textId="77777777" w:rsidR="001B7767" w:rsidRDefault="001B7767" w:rsidP="0048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FDAF" w14:textId="77777777" w:rsidR="00252635" w:rsidRDefault="00252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66336" w14:textId="77777777" w:rsidR="00950B84" w:rsidRDefault="00536D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5D3">
      <w:rPr>
        <w:noProof/>
      </w:rPr>
      <w:t>2</w:t>
    </w:r>
    <w:r>
      <w:rPr>
        <w:noProof/>
      </w:rPr>
      <w:fldChar w:fldCharType="end"/>
    </w:r>
  </w:p>
  <w:p w14:paraId="70F8DB91" w14:textId="77777777" w:rsidR="00950B84" w:rsidRDefault="00950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6313" w14:textId="77777777" w:rsidR="00252635" w:rsidRDefault="00252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1"/>
    <w:rsid w:val="000115E5"/>
    <w:rsid w:val="00026653"/>
    <w:rsid w:val="00036AA0"/>
    <w:rsid w:val="000A718D"/>
    <w:rsid w:val="000E0D65"/>
    <w:rsid w:val="000F6483"/>
    <w:rsid w:val="001155C3"/>
    <w:rsid w:val="00164663"/>
    <w:rsid w:val="00165D73"/>
    <w:rsid w:val="001679BA"/>
    <w:rsid w:val="00184B76"/>
    <w:rsid w:val="001867D5"/>
    <w:rsid w:val="001877A7"/>
    <w:rsid w:val="001907FC"/>
    <w:rsid w:val="001B7767"/>
    <w:rsid w:val="001D6A86"/>
    <w:rsid w:val="00216C2E"/>
    <w:rsid w:val="00252635"/>
    <w:rsid w:val="002B18C4"/>
    <w:rsid w:val="002D4AC6"/>
    <w:rsid w:val="002E56DC"/>
    <w:rsid w:val="002F7A4B"/>
    <w:rsid w:val="0033531F"/>
    <w:rsid w:val="00344623"/>
    <w:rsid w:val="00366D7D"/>
    <w:rsid w:val="00371274"/>
    <w:rsid w:val="003741A8"/>
    <w:rsid w:val="00390A40"/>
    <w:rsid w:val="00394D4E"/>
    <w:rsid w:val="003A1780"/>
    <w:rsid w:val="003B40BA"/>
    <w:rsid w:val="003C13F5"/>
    <w:rsid w:val="003D3FD7"/>
    <w:rsid w:val="003D61FE"/>
    <w:rsid w:val="003F6910"/>
    <w:rsid w:val="0041286C"/>
    <w:rsid w:val="004345F6"/>
    <w:rsid w:val="0043497C"/>
    <w:rsid w:val="00441B2B"/>
    <w:rsid w:val="00451974"/>
    <w:rsid w:val="00455CBF"/>
    <w:rsid w:val="00482226"/>
    <w:rsid w:val="00486EF1"/>
    <w:rsid w:val="004B5CB6"/>
    <w:rsid w:val="004D5436"/>
    <w:rsid w:val="004E181F"/>
    <w:rsid w:val="00514399"/>
    <w:rsid w:val="005169FF"/>
    <w:rsid w:val="00536DC0"/>
    <w:rsid w:val="00583834"/>
    <w:rsid w:val="005B5852"/>
    <w:rsid w:val="005C3429"/>
    <w:rsid w:val="005D630C"/>
    <w:rsid w:val="0065606E"/>
    <w:rsid w:val="00664238"/>
    <w:rsid w:val="00675E20"/>
    <w:rsid w:val="00692E07"/>
    <w:rsid w:val="006C3E4A"/>
    <w:rsid w:val="006C6C08"/>
    <w:rsid w:val="006D601D"/>
    <w:rsid w:val="006E1C23"/>
    <w:rsid w:val="006F05D3"/>
    <w:rsid w:val="006F0B71"/>
    <w:rsid w:val="006F5AB5"/>
    <w:rsid w:val="0072396D"/>
    <w:rsid w:val="0072574E"/>
    <w:rsid w:val="00784299"/>
    <w:rsid w:val="0079343D"/>
    <w:rsid w:val="007B0E8F"/>
    <w:rsid w:val="008025AF"/>
    <w:rsid w:val="00861B75"/>
    <w:rsid w:val="00892F0F"/>
    <w:rsid w:val="008B187D"/>
    <w:rsid w:val="008B4756"/>
    <w:rsid w:val="00911E28"/>
    <w:rsid w:val="009462B4"/>
    <w:rsid w:val="00946A0F"/>
    <w:rsid w:val="00950B0B"/>
    <w:rsid w:val="00950B84"/>
    <w:rsid w:val="00966281"/>
    <w:rsid w:val="009737F1"/>
    <w:rsid w:val="00977169"/>
    <w:rsid w:val="009F4D4C"/>
    <w:rsid w:val="00A262EF"/>
    <w:rsid w:val="00A268A2"/>
    <w:rsid w:val="00A373B4"/>
    <w:rsid w:val="00A51D0D"/>
    <w:rsid w:val="00A57EC7"/>
    <w:rsid w:val="00A80E58"/>
    <w:rsid w:val="00AA3A13"/>
    <w:rsid w:val="00AA43E4"/>
    <w:rsid w:val="00AB41E5"/>
    <w:rsid w:val="00AE18EA"/>
    <w:rsid w:val="00B03D38"/>
    <w:rsid w:val="00B74027"/>
    <w:rsid w:val="00C16E3F"/>
    <w:rsid w:val="00C42000"/>
    <w:rsid w:val="00C65703"/>
    <w:rsid w:val="00C7056E"/>
    <w:rsid w:val="00C866E2"/>
    <w:rsid w:val="00D21C88"/>
    <w:rsid w:val="00D367A9"/>
    <w:rsid w:val="00D534D1"/>
    <w:rsid w:val="00DD27DC"/>
    <w:rsid w:val="00E142F3"/>
    <w:rsid w:val="00E225ED"/>
    <w:rsid w:val="00E2393B"/>
    <w:rsid w:val="00E40F37"/>
    <w:rsid w:val="00E564D3"/>
    <w:rsid w:val="00E67A41"/>
    <w:rsid w:val="00E72B2E"/>
    <w:rsid w:val="00EA432B"/>
    <w:rsid w:val="00EC2B02"/>
    <w:rsid w:val="00ED7916"/>
    <w:rsid w:val="00F13153"/>
    <w:rsid w:val="00F153A4"/>
    <w:rsid w:val="00F23EB6"/>
    <w:rsid w:val="00F33998"/>
    <w:rsid w:val="00F35A7B"/>
    <w:rsid w:val="00F37EF5"/>
    <w:rsid w:val="00F46AB3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811B7C"/>
  <w15:docId w15:val="{DCEDBB3E-D2FF-495B-9B08-9D620B3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20"/>
    <w:rPr>
      <w:rFonts w:eastAsia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75E2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75E20"/>
    <w:rPr>
      <w:rFonts w:eastAsia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6C6C08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6C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ndega.Morgan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A79D-B553-46B4-9EB3-D4F4AE12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„Kārtība, kādā Eiropas Savienības struktūrfondu un Kohēzijas fonda vadībā iesaistītās institūcijas nodrošina šo fondu ieviešanu 2014.-2020.gada plānošanas periodā</vt:lpstr>
    </vt:vector>
  </TitlesOfParts>
  <Company>Hewlett-Packard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„Kārtība, kādā Eiropas Savienības struktūrfondu un Kohēzijas fonda vadībā iesaistītās institūcijas nodrošina plānošanas dokumentu sagatavošanu un šo fondu ieviešanu 2014.-2020.gada plānošanas periodā</dc:title>
  <dc:subject>Noteikumu projekta pielikums</dc:subject>
  <dc:creator>gundega.morgana@fm.gov.lv</dc:creator>
  <dc:description>gundega.morgana@fm.gov.lv, 67095480</dc:description>
  <cp:lastModifiedBy>Gundega Morgana</cp:lastModifiedBy>
  <cp:revision>21</cp:revision>
  <cp:lastPrinted>2014-09-18T05:43:00Z</cp:lastPrinted>
  <dcterms:created xsi:type="dcterms:W3CDTF">2014-09-18T07:06:00Z</dcterms:created>
  <dcterms:modified xsi:type="dcterms:W3CDTF">2014-12-03T08:24:00Z</dcterms:modified>
</cp:coreProperties>
</file>