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2D" w:rsidRPr="00C86C91" w:rsidRDefault="003C162D" w:rsidP="003C162D">
      <w:pPr>
        <w:pStyle w:val="tv2121"/>
        <w:spacing w:before="0" w:line="240" w:lineRule="auto"/>
        <w:rPr>
          <w:rFonts w:ascii="Times New Roman" w:hAnsi="Times New Roman"/>
          <w:sz w:val="28"/>
          <w:szCs w:val="28"/>
        </w:rPr>
      </w:pPr>
      <w:r w:rsidRPr="00C86C91">
        <w:rPr>
          <w:rFonts w:ascii="Times New Roman" w:hAnsi="Times New Roman"/>
          <w:sz w:val="28"/>
          <w:szCs w:val="28"/>
          <w:lang w:eastAsia="en-US"/>
        </w:rPr>
        <w:t>Ministru kabineta noteikumu projekta „</w:t>
      </w:r>
      <w:proofErr w:type="gramStart"/>
      <w:r w:rsidRPr="00C86C91">
        <w:rPr>
          <w:rFonts w:ascii="Times New Roman" w:hAnsi="Times New Roman"/>
          <w:sz w:val="28"/>
          <w:szCs w:val="28"/>
          <w:lang w:eastAsia="en-US"/>
        </w:rPr>
        <w:t>Noteikumi</w:t>
      </w:r>
      <w:proofErr w:type="gramEnd"/>
      <w:r w:rsidRPr="00C86C91">
        <w:rPr>
          <w:rFonts w:ascii="Times New Roman" w:hAnsi="Times New Roman"/>
          <w:sz w:val="28"/>
          <w:szCs w:val="28"/>
          <w:lang w:eastAsia="en-US"/>
        </w:rPr>
        <w:t xml:space="preserve"> par </w:t>
      </w:r>
      <w:r w:rsidRPr="00C86C91">
        <w:rPr>
          <w:rFonts w:ascii="Times New Roman" w:hAnsi="Times New Roman"/>
          <w:sz w:val="28"/>
          <w:szCs w:val="28"/>
        </w:rPr>
        <w:t>Līgumu starp Latvijas Republikas Labklājības ministriju un Norvēģijas Karalisko Darba ministriju atbilstoši Eiropas Parlamenta un Padomes 2004.gada 29.aprīļa Regulas (EK) Nr.883/2004 par sociālās nodrošināšanas sistēmu koordinēšanu 16.pantam attiecībā uz Latvijas jūrniekiem, kuri nodarbināti uz Norvēģijas Starptautiskajā kuģu reģistrā reģistrētajiem kuģiem</w:t>
      </w:r>
      <w:r w:rsidRPr="00C86C91">
        <w:rPr>
          <w:rFonts w:ascii="Times New Roman" w:hAnsi="Times New Roman"/>
          <w:sz w:val="28"/>
          <w:szCs w:val="28"/>
          <w:lang w:eastAsia="en-US"/>
        </w:rPr>
        <w:t xml:space="preserve">” </w:t>
      </w:r>
      <w:r w:rsidRPr="00C86C91">
        <w:rPr>
          <w:rFonts w:ascii="Times New Roman" w:hAnsi="Times New Roman"/>
          <w:sz w:val="28"/>
          <w:szCs w:val="28"/>
        </w:rPr>
        <w:t>sākotnējās ietekmes novērtējuma ziņojums (anotācija)</w:t>
      </w:r>
    </w:p>
    <w:p w:rsidR="003C162D" w:rsidRDefault="003C162D" w:rsidP="003C162D">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3C162D" w:rsidRPr="00B76D85" w:rsidTr="007335FB">
        <w:tc>
          <w:tcPr>
            <w:tcW w:w="5000" w:type="pct"/>
            <w:gridSpan w:val="3"/>
          </w:tcPr>
          <w:p w:rsidR="003C162D" w:rsidRPr="006A7D0B" w:rsidRDefault="003C162D" w:rsidP="007335FB">
            <w:pPr>
              <w:jc w:val="center"/>
              <w:rPr>
                <w:b/>
              </w:rPr>
            </w:pPr>
            <w:r w:rsidRPr="006A7D0B">
              <w:rPr>
                <w:b/>
              </w:rPr>
              <w:t>I. Tiesību akta projekta izstrādes nepieciešamība</w:t>
            </w:r>
          </w:p>
        </w:tc>
      </w:tr>
      <w:tr w:rsidR="00AA7114" w:rsidRPr="006A7D0B" w:rsidTr="007335FB">
        <w:tc>
          <w:tcPr>
            <w:tcW w:w="213" w:type="pct"/>
          </w:tcPr>
          <w:p w:rsidR="00AA7114" w:rsidRPr="006A7D0B" w:rsidRDefault="00AA7114" w:rsidP="007335FB">
            <w:r w:rsidRPr="006A7D0B">
              <w:rPr>
                <w:sz w:val="22"/>
                <w:szCs w:val="22"/>
              </w:rPr>
              <w:t>1.</w:t>
            </w:r>
          </w:p>
        </w:tc>
        <w:tc>
          <w:tcPr>
            <w:tcW w:w="1654" w:type="pct"/>
          </w:tcPr>
          <w:p w:rsidR="00AA7114" w:rsidRPr="006A7D0B" w:rsidRDefault="00AA7114" w:rsidP="007335FB">
            <w:r w:rsidRPr="006A7D0B">
              <w:rPr>
                <w:sz w:val="22"/>
                <w:szCs w:val="22"/>
              </w:rPr>
              <w:t>Pamatojums</w:t>
            </w:r>
          </w:p>
        </w:tc>
        <w:tc>
          <w:tcPr>
            <w:tcW w:w="3133" w:type="pct"/>
          </w:tcPr>
          <w:p w:rsidR="00AA7114" w:rsidRPr="009861B4" w:rsidRDefault="00AA7114" w:rsidP="00582803">
            <w:pPr>
              <w:autoSpaceDE w:val="0"/>
              <w:autoSpaceDN w:val="0"/>
              <w:adjustRightInd w:val="0"/>
              <w:spacing w:after="120"/>
              <w:jc w:val="both"/>
              <w:rPr>
                <w:bCs/>
              </w:rPr>
            </w:pPr>
            <w:r>
              <w:t xml:space="preserve">Ministru kabineta noteikumu projekts </w:t>
            </w:r>
            <w:r w:rsidRPr="00A444C3">
              <w:rPr>
                <w:bCs/>
              </w:rPr>
              <w:t>„</w:t>
            </w:r>
            <w:proofErr w:type="gramStart"/>
            <w:r w:rsidRPr="00A444C3">
              <w:rPr>
                <w:bCs/>
              </w:rPr>
              <w:t>Noteikumi</w:t>
            </w:r>
            <w:proofErr w:type="gramEnd"/>
            <w:r w:rsidRPr="00A444C3">
              <w:rPr>
                <w:bCs/>
              </w:rPr>
              <w:t xml:space="preserve"> par </w:t>
            </w:r>
            <w:r w:rsidRPr="00A444C3">
              <w:t>Līgumu starp Latvijas Republikas Labklājības ministriju un Norvēģijas Karalisko Darba ministriju atbilstoši Eiropas Parlamenta un Padomes 2004.gada 29.aprīļa Regulas (EK) Nr.883/2004 par sociālās nodrošināšanas sistēmu koordinēšanu 16.pantam attiecībā uz Latvijas jūrniekiem, kuri nodarbināti uz Norvēģijas Starptautiskajā kuģu reģistrā reģistrētajiem kuģiem</w:t>
            </w:r>
            <w:r w:rsidRPr="00A444C3">
              <w:rPr>
                <w:bCs/>
              </w:rPr>
              <w:t>”</w:t>
            </w:r>
            <w:r>
              <w:rPr>
                <w:bCs/>
              </w:rPr>
              <w:t xml:space="preserve"> (turpmāk – noteikumu projekts) izstrādāts atbilstoši Ministru kabineta iekārtas likuma 31.pan</w:t>
            </w:r>
            <w:r w:rsidR="00A94F8C">
              <w:rPr>
                <w:bCs/>
              </w:rPr>
              <w:t xml:space="preserve">ta pirmās daļas </w:t>
            </w:r>
            <w:r w:rsidR="009861B4">
              <w:rPr>
                <w:bCs/>
              </w:rPr>
              <w:t>3</w:t>
            </w:r>
            <w:r w:rsidR="00A94F8C">
              <w:rPr>
                <w:bCs/>
              </w:rPr>
              <w:t xml:space="preserve">.punktam, </w:t>
            </w:r>
            <w:r w:rsidR="009861B4">
              <w:rPr>
                <w:bCs/>
              </w:rPr>
              <w:t>sakarā ar to, ka Regula (EEK) Nr.1408/71 par sociālās drošības shēmu piemērošanu darba ņēmējiem, pašnodarbinātajiem un viņu ģimenes locekļiem, kas pārvietojas Kopienā vairs nav spēkā ne Latvijā, ne Norvēģijas Karalistē.</w:t>
            </w:r>
          </w:p>
        </w:tc>
      </w:tr>
      <w:tr w:rsidR="003C162D" w:rsidRPr="00E66E95" w:rsidTr="007335FB">
        <w:tc>
          <w:tcPr>
            <w:tcW w:w="213" w:type="pct"/>
          </w:tcPr>
          <w:p w:rsidR="003C162D" w:rsidRPr="006A7D0B" w:rsidRDefault="003C162D" w:rsidP="007335FB">
            <w:r w:rsidRPr="006A7D0B">
              <w:rPr>
                <w:sz w:val="22"/>
                <w:szCs w:val="22"/>
              </w:rPr>
              <w:t xml:space="preserve">2. </w:t>
            </w:r>
          </w:p>
        </w:tc>
        <w:tc>
          <w:tcPr>
            <w:tcW w:w="1654" w:type="pct"/>
          </w:tcPr>
          <w:p w:rsidR="003C162D" w:rsidRPr="006A7D0B" w:rsidRDefault="003C162D" w:rsidP="007335FB">
            <w:r w:rsidRPr="00DD49B6">
              <w:t>Pašreizējā situācija un problēmas, kuru risināšanai tiesību akta projekts izstrādāts, tiesiskā regulējuma mērķis un būtība</w:t>
            </w:r>
          </w:p>
        </w:tc>
        <w:tc>
          <w:tcPr>
            <w:tcW w:w="3133" w:type="pct"/>
          </w:tcPr>
          <w:p w:rsidR="00AA7114" w:rsidRDefault="003C162D" w:rsidP="00A94F8C">
            <w:pPr>
              <w:shd w:val="clear" w:color="auto" w:fill="FFFFFF"/>
              <w:jc w:val="both"/>
              <w:outlineLvl w:val="2"/>
            </w:pPr>
            <w:r w:rsidRPr="003C162D">
              <w:rPr>
                <w:bCs/>
              </w:rPr>
              <w:t>2004.gada 18.novembr</w:t>
            </w:r>
            <w:r w:rsidR="00AA7114">
              <w:rPr>
                <w:bCs/>
              </w:rPr>
              <w:t xml:space="preserve">ī </w:t>
            </w:r>
            <w:r w:rsidRPr="003C162D">
              <w:rPr>
                <w:bCs/>
              </w:rPr>
              <w:t xml:space="preserve">tika parakstīts „Pagaidu līgums starp Latvijas Republikas Labklājības ministriju un </w:t>
            </w:r>
            <w:r w:rsidRPr="003C162D">
              <w:t>Norvēģijas Karalisko Darba un sociālo lietu ministriju atbilstoši Padomes 1971.gada 14.jūnija Regulas (EEK) Nr.</w:t>
            </w:r>
            <w:hyperlink r:id="rId8" w:tgtFrame="_blank" w:history="1">
              <w:r w:rsidRPr="003C162D">
                <w:rPr>
                  <w:bCs/>
                </w:rPr>
                <w:t>1408/71</w:t>
              </w:r>
            </w:hyperlink>
            <w:r w:rsidRPr="003C162D">
              <w:rPr>
                <w:bCs/>
              </w:rPr>
              <w:t> </w:t>
            </w:r>
            <w:r w:rsidRPr="003C162D">
              <w:t>par sociālā nodrošinājuma shēmu piemērošanu nodarbinātām, pašnodarbinātām personām, kā arī to ģimenes locekļiem, kas pārvietojas Kopienas teritorijā</w:t>
            </w:r>
            <w:r w:rsidR="00AA7114">
              <w:t xml:space="preserve"> (turpmāk – Regula 1408/71)</w:t>
            </w:r>
            <w:r w:rsidRPr="003C162D">
              <w:t>, 17.pantam attiecībā uz Latvijas jūrniekiem, kuri nodarbināti uz Norvēģijas Starptautiskajā kuģu reģistrā reģistrētiem kuģ</w:t>
            </w:r>
            <w:r w:rsidR="00AA7114">
              <w:t xml:space="preserve">iem” (turpmāk – pagaidu līgums). </w:t>
            </w:r>
          </w:p>
          <w:p w:rsidR="00A94F8C" w:rsidRDefault="00A94F8C" w:rsidP="00A94F8C">
            <w:pPr>
              <w:shd w:val="clear" w:color="auto" w:fill="FFFFFF"/>
              <w:jc w:val="both"/>
              <w:outlineLvl w:val="2"/>
            </w:pPr>
          </w:p>
          <w:p w:rsidR="003C162D" w:rsidRDefault="00AA7114" w:rsidP="00A94F8C">
            <w:pPr>
              <w:shd w:val="clear" w:color="auto" w:fill="FFFFFF"/>
              <w:jc w:val="both"/>
              <w:outlineLvl w:val="2"/>
            </w:pPr>
            <w:r>
              <w:t>Attiecīgi</w:t>
            </w:r>
            <w:r w:rsidR="003C162D" w:rsidRPr="003C162D">
              <w:t xml:space="preserve"> Latvijas jūrnieki, kuri ir nodarbināti uz Norvēģijas Starptautiskajā kuģu reģistrā reģistrētu kuģu klāja ir sociāli apdrošināti Latvijā, atbilstoši tādiem pašiem nosacījumiem, kā jūrnieki, kuri nodarbināti uz Latvijas kuģu reģistrā reģistrēto kuģu klāja. Tātad šīs personas veica valsts obligātās sociālās apdrošināšanas iemaksas Latvijā, kā rezultātā paplašinājās arī sociāli apdrošināto personu loks Latvijā. Līdz pagaidu līguma spēkā stāšanās </w:t>
            </w:r>
            <w:r w:rsidR="009638D1">
              <w:t>dienai</w:t>
            </w:r>
            <w:r w:rsidR="003C162D" w:rsidRPr="003C162D">
              <w:t xml:space="preserve"> vairumā gadījumu minētās personas vispār netika sociāli apdrošinātas.</w:t>
            </w:r>
          </w:p>
          <w:p w:rsidR="00A94F8C" w:rsidRPr="003C162D" w:rsidRDefault="00A94F8C" w:rsidP="00A94F8C">
            <w:pPr>
              <w:shd w:val="clear" w:color="auto" w:fill="FFFFFF"/>
              <w:jc w:val="both"/>
              <w:outlineLvl w:val="2"/>
            </w:pPr>
          </w:p>
          <w:p w:rsidR="003C162D" w:rsidRDefault="003C162D" w:rsidP="00A94F8C">
            <w:pPr>
              <w:shd w:val="clear" w:color="auto" w:fill="FFFFFF"/>
              <w:jc w:val="both"/>
              <w:outlineLvl w:val="2"/>
            </w:pPr>
            <w:r w:rsidRPr="003C162D">
              <w:t xml:space="preserve">Ņemot vērā šī pagaidu līguma pozitīvos aspektus, ko apstiprināja gan Norvēģijas puse, gan Latvijas, tas </w:t>
            </w:r>
            <w:r w:rsidRPr="003C162D">
              <w:lastRenderedPageBreak/>
              <w:t>2006.gada 7.martā tika pagarināts uz nenoteiktu laiku, un ir spēkā vēl šobrīd.</w:t>
            </w:r>
          </w:p>
          <w:p w:rsidR="00A94F8C" w:rsidRPr="003C162D" w:rsidRDefault="00A94F8C" w:rsidP="00A94F8C">
            <w:pPr>
              <w:shd w:val="clear" w:color="auto" w:fill="FFFFFF"/>
              <w:jc w:val="both"/>
              <w:outlineLvl w:val="2"/>
            </w:pPr>
          </w:p>
          <w:p w:rsidR="009638D1" w:rsidRDefault="009638D1" w:rsidP="00A94F8C">
            <w:pPr>
              <w:shd w:val="clear" w:color="auto" w:fill="FFFFFF"/>
              <w:jc w:val="both"/>
              <w:outlineLvl w:val="2"/>
            </w:pPr>
            <w:r w:rsidRPr="003C162D">
              <w:t>T</w:t>
            </w:r>
            <w:r>
              <w:t xml:space="preserve">omēr </w:t>
            </w:r>
            <w:r w:rsidRPr="003C162D">
              <w:t xml:space="preserve">Regula 1408/71, uz kā pamata noslēgts 2004.gada pagaidu līgums, kopš 2010.gada 1.maija Eiropas Savienības teritorijā ir aizstāta ar </w:t>
            </w:r>
            <w:r w:rsidRPr="00A259CF">
              <w:t>Eiropas Parlamenta un Padomes 2004.gada 29.aprīļa Regul</w:t>
            </w:r>
            <w:r>
              <w:t>u</w:t>
            </w:r>
            <w:r w:rsidRPr="00A259CF">
              <w:t xml:space="preserve"> (EK) Nr.883/2004 par sociālās nodrošināšanas sistēmu koordinēšanu </w:t>
            </w:r>
            <w:r>
              <w:t xml:space="preserve">(turpmāk - </w:t>
            </w:r>
            <w:r w:rsidRPr="003C162D">
              <w:t>Regul</w:t>
            </w:r>
            <w:r>
              <w:t>a</w:t>
            </w:r>
            <w:r w:rsidRPr="003C162D">
              <w:t xml:space="preserve"> 883/2004</w:t>
            </w:r>
            <w:r>
              <w:t>)</w:t>
            </w:r>
            <w:r w:rsidRPr="003C162D">
              <w:t xml:space="preserve">, bet kopš 2012.gada 1.jūnija vairs nav spēkā </w:t>
            </w:r>
            <w:r>
              <w:t xml:space="preserve">arī </w:t>
            </w:r>
            <w:r w:rsidRPr="003C162D">
              <w:t>Eiropas Ekonomikas zonas, tostarp Norvēģijas, teritorijā</w:t>
            </w:r>
            <w:r>
              <w:t xml:space="preserve">. </w:t>
            </w:r>
            <w:r w:rsidRPr="003C162D">
              <w:t xml:space="preserve">2013.gada 22.janvārī Latvijas un Norvēģijas kompetentās iestādes vienojās par jauna līguma nepieciešamību, uzsākot līguma teksta redakcijas saskaņošanas procesu. </w:t>
            </w:r>
          </w:p>
          <w:p w:rsidR="001C1822" w:rsidRDefault="001C1822" w:rsidP="00A94F8C">
            <w:pPr>
              <w:shd w:val="clear" w:color="auto" w:fill="FFFFFF"/>
              <w:jc w:val="both"/>
              <w:outlineLvl w:val="2"/>
            </w:pPr>
          </w:p>
          <w:p w:rsidR="001C1822" w:rsidRDefault="001C1822" w:rsidP="001C1822">
            <w:pPr>
              <w:jc w:val="both"/>
              <w:rPr>
                <w:rFonts w:eastAsiaTheme="minorHAnsi"/>
                <w:color w:val="000000"/>
                <w:lang w:eastAsia="en-US"/>
              </w:rPr>
            </w:pPr>
            <w:r w:rsidRPr="00A66332">
              <w:rPr>
                <w:rFonts w:eastAsiaTheme="minorHAnsi"/>
                <w:lang w:eastAsia="en-US"/>
              </w:rPr>
              <w:t>Regulas 883/2004 16.pants paredz</w:t>
            </w:r>
            <w:r>
              <w:rPr>
                <w:rFonts w:eastAsiaTheme="minorHAnsi"/>
                <w:lang w:eastAsia="en-US"/>
              </w:rPr>
              <w:t>, ka</w:t>
            </w:r>
            <w:r w:rsidRPr="00A66332">
              <w:rPr>
                <w:rFonts w:eastAsiaTheme="minorHAnsi"/>
                <w:color w:val="000000"/>
                <w:lang w:eastAsia="en-US"/>
              </w:rPr>
              <w:t xml:space="preserve"> divas vai vairāk dalībvalstu kompetentās iestādes var vienoties par izņēmumiem no regulas Nr.883/2004 11. līdz 15.panta atsevišķu personu vai personu kategoriju interesēs</w:t>
            </w:r>
            <w:r>
              <w:rPr>
                <w:rFonts w:eastAsiaTheme="minorHAnsi"/>
                <w:color w:val="000000"/>
                <w:lang w:eastAsia="en-US"/>
              </w:rPr>
              <w:t xml:space="preserve"> (šajā gadījumā</w:t>
            </w:r>
            <w:r>
              <w:t xml:space="preserve"> Latvijas jūrnieku, kas nodarbināti uz Norvēģijas Starptautiskajā kuģu reģistrā reģistrētiem kuģiem)</w:t>
            </w:r>
            <w:r w:rsidRPr="00A66332">
              <w:rPr>
                <w:rFonts w:eastAsiaTheme="minorHAnsi"/>
                <w:color w:val="000000"/>
                <w:lang w:eastAsia="en-US"/>
              </w:rPr>
              <w:t>. Šāda vienošanās nozīm</w:t>
            </w:r>
            <w:r w:rsidR="00187686">
              <w:rPr>
                <w:rFonts w:eastAsiaTheme="minorHAnsi"/>
                <w:color w:val="000000"/>
                <w:lang w:eastAsia="en-US"/>
              </w:rPr>
              <w:t>ē to, ka personai tiks piemēroti</w:t>
            </w:r>
            <w:r w:rsidRPr="00A66332">
              <w:rPr>
                <w:rFonts w:eastAsiaTheme="minorHAnsi"/>
                <w:color w:val="000000"/>
                <w:lang w:eastAsia="en-US"/>
              </w:rPr>
              <w:t xml:space="preserve"> vienas dalībvalsts tiesību akti, lai gan saskaņā ar regulā Nr. 883/2004 paredzētajiem noteikumiem kā kompetentā valsts ir noteikta cita dalībvalsts. Vienošanos pamatā ir jābūt darbinieku interesēm un labumam.</w:t>
            </w:r>
          </w:p>
          <w:p w:rsidR="001C1822" w:rsidRDefault="001C1822" w:rsidP="001C1822">
            <w:pPr>
              <w:jc w:val="both"/>
              <w:rPr>
                <w:rFonts w:eastAsiaTheme="minorHAnsi"/>
                <w:color w:val="000000"/>
                <w:lang w:eastAsia="en-US"/>
              </w:rPr>
            </w:pPr>
          </w:p>
          <w:p w:rsidR="001C1822" w:rsidRDefault="001C1822" w:rsidP="001C1822">
            <w:pPr>
              <w:jc w:val="both"/>
            </w:pPr>
            <w:r w:rsidRPr="009638D1">
              <w:t>Latvijas kompetentā iestāde (Valsts sociālās apdrošināšanas aģentūra), saņemot iesniegum</w:t>
            </w:r>
            <w:r w:rsidR="00187686">
              <w:t>u par sociālās apdrošināšanas</w:t>
            </w:r>
            <w:r w:rsidR="00D244D5">
              <w:t xml:space="preserve"> iemaksu veikšanu Latvijā</w:t>
            </w:r>
            <w:r w:rsidRPr="009638D1">
              <w:t xml:space="preserve"> no Norvēģijas kuģa īpašnieka, viņa vietējā pārstāvja vai jūrnieka, izdod sertifikātu (veidlap</w:t>
            </w:r>
            <w:r w:rsidR="00D244D5">
              <w:t>a</w:t>
            </w:r>
            <w:r w:rsidRPr="009638D1">
              <w:t xml:space="preserve"> A1), kas nosaka, ka uz attiecīgo personu turpina attiekties Latvijas sociālās drošības tiesību akti, kā arī laika periodu, kurā minētie normatīvie akti tiks piemēroti. Viena šī sertifikāta kopija ir jānosūta darba ņēmējam, viena – darba devējam un viena kopija – Norvēģijas kompetentajai iestādei (Nacionālajam ārvalstu sociālās apdrošināšanas birojam).</w:t>
            </w:r>
          </w:p>
          <w:p w:rsidR="001C1822" w:rsidRDefault="001C1822" w:rsidP="001C1822">
            <w:pPr>
              <w:jc w:val="both"/>
            </w:pPr>
          </w:p>
          <w:p w:rsidR="001C1822" w:rsidRDefault="001C1822" w:rsidP="001C1822">
            <w:pPr>
              <w:jc w:val="both"/>
            </w:pPr>
            <w:r w:rsidRPr="009638D1">
              <w:t xml:space="preserve">Attiecībā uz sociālās apdrošināšanas iemaksu iekasēšanu, Latvijas kompetentā iestāde piemēro kārtību, kas noteikta iekšzemes darba ņēmējam, kuru nodarbina darba devējs Eiropas Savienības dalībvalstī. </w:t>
            </w:r>
          </w:p>
          <w:p w:rsidR="00A94F8C" w:rsidRPr="003C162D" w:rsidRDefault="00A94F8C" w:rsidP="00A94F8C">
            <w:pPr>
              <w:shd w:val="clear" w:color="auto" w:fill="FFFFFF"/>
              <w:jc w:val="both"/>
              <w:outlineLvl w:val="2"/>
            </w:pPr>
          </w:p>
          <w:p w:rsidR="001C1822" w:rsidRDefault="009638D1" w:rsidP="00D244D5">
            <w:pPr>
              <w:jc w:val="both"/>
              <w:rPr>
                <w:rFonts w:eastAsiaTheme="minorHAnsi"/>
                <w:lang w:eastAsia="en-US"/>
              </w:rPr>
            </w:pPr>
            <w:r w:rsidRPr="00A17FE1">
              <w:rPr>
                <w:rFonts w:eastAsiaTheme="minorHAnsi"/>
                <w:lang w:eastAsia="en-US"/>
              </w:rPr>
              <w:t>Līguma, kura sadarbības pamatā ir Regulas 883/2004 16.pants, mērķis ir turpināt sekmēt to Latvijas jūrnieku sociālo drošību, kuri ir nodarbināti uz Norvēģijas Starptautiskajā kuģu reģistrā reģistrētajiem kuģiem.</w:t>
            </w:r>
          </w:p>
          <w:p w:rsidR="009638D1" w:rsidRPr="00427C17" w:rsidRDefault="009638D1" w:rsidP="00427C17">
            <w:pPr>
              <w:spacing w:after="120"/>
              <w:jc w:val="both"/>
              <w:rPr>
                <w:rFonts w:eastAsiaTheme="minorHAnsi"/>
                <w:lang w:eastAsia="en-US"/>
              </w:rPr>
            </w:pPr>
            <w:r>
              <w:rPr>
                <w:rFonts w:eastAsiaTheme="minorHAnsi"/>
                <w:lang w:eastAsia="en-US"/>
              </w:rPr>
              <w:lastRenderedPageBreak/>
              <w:t>Noteikumu projekta 2.punktā paredzēts, ka l</w:t>
            </w:r>
            <w:r w:rsidRPr="00E17B0C">
              <w:rPr>
                <w:rFonts w:eastAsiaTheme="minorHAnsi"/>
                <w:lang w:eastAsia="en-US"/>
              </w:rPr>
              <w:t>īgumā paredzēto saistību izpildi koordinē Labklājības ministrija</w:t>
            </w:r>
            <w:r>
              <w:rPr>
                <w:rFonts w:eastAsiaTheme="minorHAnsi"/>
                <w:lang w:eastAsia="en-US"/>
              </w:rPr>
              <w:t>.</w:t>
            </w:r>
          </w:p>
        </w:tc>
      </w:tr>
      <w:tr w:rsidR="00427C17" w:rsidRPr="006A7D0B" w:rsidTr="007335FB">
        <w:tc>
          <w:tcPr>
            <w:tcW w:w="213" w:type="pct"/>
          </w:tcPr>
          <w:p w:rsidR="00427C17" w:rsidRPr="006A7D0B" w:rsidRDefault="00427C17" w:rsidP="007335FB">
            <w:r w:rsidRPr="006A7D0B">
              <w:rPr>
                <w:sz w:val="22"/>
                <w:szCs w:val="22"/>
              </w:rPr>
              <w:lastRenderedPageBreak/>
              <w:t>3.</w:t>
            </w:r>
          </w:p>
        </w:tc>
        <w:tc>
          <w:tcPr>
            <w:tcW w:w="1654" w:type="pct"/>
          </w:tcPr>
          <w:p w:rsidR="00427C17" w:rsidRPr="006A7D0B" w:rsidRDefault="00427C17" w:rsidP="007335FB">
            <w:r w:rsidRPr="006A7D0B">
              <w:rPr>
                <w:sz w:val="22"/>
                <w:szCs w:val="22"/>
              </w:rPr>
              <w:t>Projekta izstrādē iesaistītās institūcijas</w:t>
            </w:r>
          </w:p>
        </w:tc>
        <w:tc>
          <w:tcPr>
            <w:tcW w:w="3133" w:type="pct"/>
          </w:tcPr>
          <w:p w:rsidR="00427C17" w:rsidRDefault="00427C17" w:rsidP="00582803">
            <w:pPr>
              <w:jc w:val="both"/>
            </w:pPr>
            <w:r>
              <w:t xml:space="preserve">Līguma projekta izstrādē </w:t>
            </w:r>
            <w:r w:rsidR="00D244D5">
              <w:t>iesaistījās</w:t>
            </w:r>
            <w:r>
              <w:t xml:space="preserve"> Norvēģijas Karaliskā Darba ministrija.</w:t>
            </w:r>
          </w:p>
          <w:p w:rsidR="00427C17" w:rsidRPr="00FE2F47" w:rsidRDefault="00427C17" w:rsidP="00582803">
            <w:pPr>
              <w:jc w:val="both"/>
              <w:rPr>
                <w:color w:val="FF0000"/>
              </w:rPr>
            </w:pPr>
            <w:r>
              <w:t xml:space="preserve">Ar 2013.gada 21.februāra vēstuli Nr.34/4-0404/432 līguma projekta teksts tika </w:t>
            </w:r>
            <w:proofErr w:type="gramStart"/>
            <w:r>
              <w:t>nosūtīts sākotnējai neformālai saskaņošanai Ārlietu ministrijai, Tieslietu ministrijai un Finanšu ministrijai</w:t>
            </w:r>
            <w:proofErr w:type="gramEnd"/>
            <w:r>
              <w:t>.</w:t>
            </w:r>
          </w:p>
        </w:tc>
      </w:tr>
      <w:tr w:rsidR="003C162D" w:rsidRPr="006A7D0B" w:rsidTr="007335FB">
        <w:tc>
          <w:tcPr>
            <w:tcW w:w="213" w:type="pct"/>
          </w:tcPr>
          <w:p w:rsidR="003C162D" w:rsidRPr="006A7D0B" w:rsidRDefault="003C162D" w:rsidP="007335FB">
            <w:r w:rsidRPr="006A7D0B">
              <w:rPr>
                <w:sz w:val="22"/>
                <w:szCs w:val="22"/>
              </w:rPr>
              <w:t xml:space="preserve">4. </w:t>
            </w:r>
          </w:p>
        </w:tc>
        <w:tc>
          <w:tcPr>
            <w:tcW w:w="1654" w:type="pct"/>
          </w:tcPr>
          <w:p w:rsidR="003C162D" w:rsidRPr="006A7D0B" w:rsidRDefault="003C162D" w:rsidP="007335FB">
            <w:r w:rsidRPr="006A7D0B">
              <w:rPr>
                <w:sz w:val="22"/>
                <w:szCs w:val="22"/>
              </w:rPr>
              <w:t>Cita informācija</w:t>
            </w:r>
          </w:p>
        </w:tc>
        <w:tc>
          <w:tcPr>
            <w:tcW w:w="3133" w:type="pct"/>
          </w:tcPr>
          <w:p w:rsidR="003C162D" w:rsidRPr="006A7D0B" w:rsidRDefault="00A17FE1" w:rsidP="007335FB">
            <w:pPr>
              <w:jc w:val="both"/>
              <w:rPr>
                <w:i/>
                <w:color w:val="FF0000"/>
              </w:rPr>
            </w:pPr>
            <w:r>
              <w:t>Līdzīgas vienošanās Norvēģijas Karaliste ir noslēgusi arī ar Poliju.</w:t>
            </w:r>
          </w:p>
        </w:tc>
      </w:tr>
    </w:tbl>
    <w:p w:rsidR="003C162D" w:rsidRDefault="003C162D" w:rsidP="003C162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3C162D" w:rsidRPr="00B76D85" w:rsidTr="007335FB">
        <w:tc>
          <w:tcPr>
            <w:tcW w:w="9287" w:type="dxa"/>
            <w:gridSpan w:val="3"/>
          </w:tcPr>
          <w:p w:rsidR="003C162D" w:rsidRPr="006A7D0B" w:rsidRDefault="003C162D" w:rsidP="007335FB">
            <w:pPr>
              <w:pStyle w:val="naisnod"/>
              <w:spacing w:before="0" w:after="0"/>
              <w:ind w:left="57" w:right="57"/>
              <w:rPr>
                <w:b w:val="0"/>
              </w:rPr>
            </w:pPr>
            <w:r w:rsidRPr="00230730">
              <w:t>II</w:t>
            </w:r>
            <w:r>
              <w:t>.</w:t>
            </w:r>
            <w:r w:rsidRPr="006A7D0B">
              <w:rPr>
                <w:b w:val="0"/>
              </w:rPr>
              <w:t xml:space="preserve"> </w:t>
            </w:r>
            <w:r w:rsidRPr="00DD49B6">
              <w:t>Tiesību akta projekta ietekme uz sabiedrību, tautsaimniecības attīstību</w:t>
            </w:r>
          </w:p>
          <w:p w:rsidR="003C162D" w:rsidRPr="006A7D0B" w:rsidRDefault="003C162D" w:rsidP="007335FB">
            <w:pPr>
              <w:jc w:val="center"/>
              <w:rPr>
                <w:b/>
              </w:rPr>
            </w:pPr>
            <w:r w:rsidRPr="006A7D0B">
              <w:rPr>
                <w:b/>
              </w:rPr>
              <w:t>un administratīvo slogu</w:t>
            </w:r>
          </w:p>
        </w:tc>
      </w:tr>
      <w:tr w:rsidR="003C162D" w:rsidRPr="006A7D0B" w:rsidTr="007335FB">
        <w:tc>
          <w:tcPr>
            <w:tcW w:w="396" w:type="dxa"/>
          </w:tcPr>
          <w:p w:rsidR="003C162D" w:rsidRPr="006A7D0B" w:rsidRDefault="003C162D" w:rsidP="007335FB">
            <w:r w:rsidRPr="006A7D0B">
              <w:rPr>
                <w:sz w:val="22"/>
                <w:szCs w:val="22"/>
              </w:rPr>
              <w:t>1.</w:t>
            </w:r>
          </w:p>
        </w:tc>
        <w:tc>
          <w:tcPr>
            <w:tcW w:w="3072" w:type="dxa"/>
          </w:tcPr>
          <w:p w:rsidR="003C162D" w:rsidRPr="006A7D0B" w:rsidRDefault="003C162D" w:rsidP="007335FB">
            <w:r w:rsidRPr="00DD49B6">
              <w:t>Sabiedrības mērķgrupas, kuras tiesiskais regulējums ietekmē vai varētu ietekmēt</w:t>
            </w:r>
          </w:p>
        </w:tc>
        <w:tc>
          <w:tcPr>
            <w:tcW w:w="5819" w:type="dxa"/>
          </w:tcPr>
          <w:p w:rsidR="003C162D" w:rsidRDefault="00A17FE1" w:rsidP="007335FB">
            <w:pPr>
              <w:jc w:val="both"/>
            </w:pPr>
            <w:r>
              <w:t>Latvijas jūrnieki, kas nodarbināti uz Norvēģijas Starptautiskajā kuģu reģistrā reģistrētiem kuģiem.</w:t>
            </w:r>
          </w:p>
          <w:p w:rsidR="00427C17" w:rsidRPr="007C39F0" w:rsidRDefault="00427C17" w:rsidP="007335FB">
            <w:pPr>
              <w:jc w:val="both"/>
              <w:rPr>
                <w:iCs/>
              </w:rPr>
            </w:pPr>
            <w:r>
              <w:t>Pēc Valsts sociālās apdrošināšanas aģentūras datiem – ap 2500 – 3000 personas.</w:t>
            </w:r>
          </w:p>
          <w:p w:rsidR="003C162D" w:rsidRPr="003D47C7" w:rsidRDefault="003C162D" w:rsidP="00A17FE1">
            <w:pPr>
              <w:jc w:val="both"/>
            </w:pPr>
          </w:p>
        </w:tc>
      </w:tr>
      <w:tr w:rsidR="00427C17" w:rsidRPr="006A7D0B" w:rsidTr="007335FB">
        <w:tc>
          <w:tcPr>
            <w:tcW w:w="396" w:type="dxa"/>
          </w:tcPr>
          <w:p w:rsidR="00427C17" w:rsidRPr="006A7D0B" w:rsidRDefault="00427C17" w:rsidP="007335FB">
            <w:r w:rsidRPr="006A7D0B">
              <w:rPr>
                <w:sz w:val="22"/>
                <w:szCs w:val="22"/>
              </w:rPr>
              <w:t xml:space="preserve">2. </w:t>
            </w:r>
          </w:p>
        </w:tc>
        <w:tc>
          <w:tcPr>
            <w:tcW w:w="3072" w:type="dxa"/>
          </w:tcPr>
          <w:p w:rsidR="00427C17" w:rsidRPr="006A7D0B" w:rsidRDefault="00427C17" w:rsidP="007335FB">
            <w:r w:rsidRPr="00DD49B6">
              <w:t>Tiesiskā regulējuma ietekme uz tautsaimniecību un administratīvo slogu</w:t>
            </w:r>
          </w:p>
        </w:tc>
        <w:tc>
          <w:tcPr>
            <w:tcW w:w="5819" w:type="dxa"/>
          </w:tcPr>
          <w:p w:rsidR="00427C17" w:rsidRPr="00434699" w:rsidRDefault="00427C17" w:rsidP="00582803">
            <w:pPr>
              <w:jc w:val="both"/>
              <w:rPr>
                <w:color w:val="FF0000"/>
              </w:rPr>
            </w:pPr>
            <w:r>
              <w:t xml:space="preserve">Tā kā </w:t>
            </w:r>
            <w:r w:rsidRPr="00A259CF">
              <w:t>Līgums starp Latvijas Republikas Labklājības ministriju un Norvēģijas Karalisko Darba ministriju atbilstoši Regulas 883/2004 16.pantam attiecībā uz Latvijas jūrniekiem, kuri nodarbināti uz Norvēģijas Starptautiskajā kuģu reģistrā reģistrētajiem kuģiem</w:t>
            </w:r>
            <w:r>
              <w:t xml:space="preserve"> aizstās 2004.gadā noslēgto pagaidu līgumu, sabiedrības grupām un institūcijām noteikumu projekta tiesiskais regulējums tiesības un pienākumus, kā arī veicamās darbības, nemaina.</w:t>
            </w:r>
          </w:p>
        </w:tc>
      </w:tr>
      <w:tr w:rsidR="003C162D" w:rsidRPr="006A7D0B" w:rsidTr="007335FB">
        <w:tc>
          <w:tcPr>
            <w:tcW w:w="396" w:type="dxa"/>
          </w:tcPr>
          <w:p w:rsidR="003C162D" w:rsidRPr="006A7D0B" w:rsidRDefault="003C162D" w:rsidP="007335FB">
            <w:r w:rsidRPr="006A7D0B">
              <w:rPr>
                <w:sz w:val="22"/>
                <w:szCs w:val="22"/>
              </w:rPr>
              <w:t>3.</w:t>
            </w:r>
          </w:p>
        </w:tc>
        <w:tc>
          <w:tcPr>
            <w:tcW w:w="3072" w:type="dxa"/>
          </w:tcPr>
          <w:p w:rsidR="003C162D" w:rsidRPr="006A7D0B" w:rsidRDefault="003C162D" w:rsidP="007335FB">
            <w:r w:rsidRPr="006A7D0B">
              <w:rPr>
                <w:sz w:val="22"/>
                <w:szCs w:val="22"/>
              </w:rPr>
              <w:t>Administratīvo izmaksu monetārs novērtējums</w:t>
            </w:r>
          </w:p>
        </w:tc>
        <w:tc>
          <w:tcPr>
            <w:tcW w:w="5819" w:type="dxa"/>
          </w:tcPr>
          <w:p w:rsidR="003C162D" w:rsidRPr="00434699" w:rsidRDefault="00E5093D" w:rsidP="007335FB">
            <w:pPr>
              <w:jc w:val="both"/>
              <w:rPr>
                <w:color w:val="FF0000"/>
              </w:rPr>
            </w:pPr>
            <w:r>
              <w:rPr>
                <w:sz w:val="22"/>
                <w:szCs w:val="22"/>
              </w:rPr>
              <w:t>Projekts šo jomu neskar</w:t>
            </w:r>
            <w:r w:rsidR="00C36F0F">
              <w:rPr>
                <w:sz w:val="22"/>
                <w:szCs w:val="22"/>
              </w:rPr>
              <w:t>.</w:t>
            </w:r>
          </w:p>
        </w:tc>
      </w:tr>
      <w:tr w:rsidR="003C162D" w:rsidRPr="006A7D0B" w:rsidTr="007335FB">
        <w:tc>
          <w:tcPr>
            <w:tcW w:w="396" w:type="dxa"/>
          </w:tcPr>
          <w:p w:rsidR="003C162D" w:rsidRPr="006A7D0B" w:rsidRDefault="003C162D" w:rsidP="007335FB">
            <w:r w:rsidRPr="006A7D0B">
              <w:rPr>
                <w:sz w:val="22"/>
                <w:szCs w:val="22"/>
              </w:rPr>
              <w:t xml:space="preserve">4. </w:t>
            </w:r>
          </w:p>
        </w:tc>
        <w:tc>
          <w:tcPr>
            <w:tcW w:w="3072" w:type="dxa"/>
          </w:tcPr>
          <w:p w:rsidR="003C162D" w:rsidRPr="006A7D0B" w:rsidRDefault="003C162D" w:rsidP="007335FB">
            <w:r w:rsidRPr="006A7D0B">
              <w:rPr>
                <w:sz w:val="22"/>
                <w:szCs w:val="22"/>
              </w:rPr>
              <w:t>Cita informācija</w:t>
            </w:r>
          </w:p>
        </w:tc>
        <w:tc>
          <w:tcPr>
            <w:tcW w:w="5819" w:type="dxa"/>
          </w:tcPr>
          <w:p w:rsidR="003C162D" w:rsidRPr="00434699" w:rsidRDefault="00E5093D" w:rsidP="007335FB">
            <w:pPr>
              <w:jc w:val="both"/>
              <w:rPr>
                <w:iCs/>
                <w:color w:val="FF0000"/>
              </w:rPr>
            </w:pPr>
            <w:r>
              <w:rPr>
                <w:iCs/>
                <w:sz w:val="22"/>
                <w:szCs w:val="22"/>
              </w:rPr>
              <w:t>Nav</w:t>
            </w:r>
            <w:r w:rsidR="00C36F0F">
              <w:rPr>
                <w:iCs/>
                <w:sz w:val="22"/>
                <w:szCs w:val="22"/>
              </w:rPr>
              <w:t>.</w:t>
            </w:r>
          </w:p>
        </w:tc>
      </w:tr>
    </w:tbl>
    <w:p w:rsidR="003C162D" w:rsidRDefault="003C162D" w:rsidP="003C162D"/>
    <w:tbl>
      <w:tblPr>
        <w:tblW w:w="9377" w:type="dxa"/>
        <w:jc w:val="center"/>
        <w:tblInd w:w="6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28"/>
        <w:gridCol w:w="1706"/>
        <w:gridCol w:w="267"/>
        <w:gridCol w:w="740"/>
        <w:gridCol w:w="1083"/>
        <w:gridCol w:w="1279"/>
        <w:gridCol w:w="1378"/>
        <w:gridCol w:w="2496"/>
      </w:tblGrid>
      <w:tr w:rsidR="00A17FE1" w:rsidRPr="00A17FE1" w:rsidTr="00A17FE1">
        <w:trPr>
          <w:jc w:val="center"/>
        </w:trPr>
        <w:tc>
          <w:tcPr>
            <w:tcW w:w="9377" w:type="dxa"/>
            <w:gridSpan w:val="8"/>
            <w:tcBorders>
              <w:top w:val="outset" w:sz="6" w:space="0" w:color="auto"/>
              <w:left w:val="outset" w:sz="6" w:space="0" w:color="auto"/>
              <w:bottom w:val="outset" w:sz="6" w:space="0" w:color="auto"/>
              <w:right w:val="outset" w:sz="6" w:space="0" w:color="auto"/>
            </w:tcBorders>
            <w:vAlign w:val="center"/>
          </w:tcPr>
          <w:p w:rsidR="00A17FE1" w:rsidRPr="00A17FE1" w:rsidRDefault="00A17FE1" w:rsidP="00A17FE1">
            <w:pPr>
              <w:jc w:val="center"/>
              <w:rPr>
                <w:rFonts w:eastAsiaTheme="minorHAnsi"/>
                <w:b/>
                <w:lang w:eastAsia="en-US"/>
              </w:rPr>
            </w:pPr>
            <w:r w:rsidRPr="00E5093D">
              <w:rPr>
                <w:rFonts w:eastAsiaTheme="minorHAnsi"/>
                <w:b/>
                <w:lang w:eastAsia="en-US"/>
              </w:rPr>
              <w:t>V. Tiesību akta projekta atbilstība Latvijas Republikas starptautiskajām saistībām</w:t>
            </w:r>
          </w:p>
        </w:tc>
      </w:tr>
      <w:tr w:rsidR="00A17FE1" w:rsidRPr="00A17FE1" w:rsidTr="00A17FE1">
        <w:trPr>
          <w:jc w:val="center"/>
        </w:trPr>
        <w:tc>
          <w:tcPr>
            <w:tcW w:w="428" w:type="dxa"/>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1.</w:t>
            </w:r>
          </w:p>
        </w:tc>
        <w:tc>
          <w:tcPr>
            <w:tcW w:w="2713" w:type="dxa"/>
            <w:gridSpan w:val="3"/>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Saistības pret Eiropas Savienību</w:t>
            </w:r>
          </w:p>
        </w:tc>
        <w:tc>
          <w:tcPr>
            <w:tcW w:w="6236" w:type="dxa"/>
            <w:gridSpan w:val="4"/>
            <w:tcBorders>
              <w:top w:val="outset" w:sz="6" w:space="0" w:color="auto"/>
              <w:left w:val="outset" w:sz="6" w:space="0" w:color="auto"/>
              <w:bottom w:val="outset" w:sz="6" w:space="0" w:color="auto"/>
              <w:right w:val="outset" w:sz="6" w:space="0" w:color="auto"/>
            </w:tcBorders>
          </w:tcPr>
          <w:p w:rsidR="00A17FE1" w:rsidRPr="00A17FE1" w:rsidRDefault="00A94F8C" w:rsidP="00A17FE1">
            <w:pPr>
              <w:ind w:left="57"/>
              <w:jc w:val="both"/>
              <w:rPr>
                <w:rFonts w:eastAsiaTheme="minorHAnsi"/>
                <w:lang w:eastAsia="en-US"/>
              </w:rPr>
            </w:pPr>
            <w:r w:rsidRPr="003C162D">
              <w:t>Regul</w:t>
            </w:r>
            <w:r>
              <w:t>a</w:t>
            </w:r>
            <w:r w:rsidRPr="003C162D">
              <w:t xml:space="preserve"> 883/2004</w:t>
            </w:r>
            <w:r w:rsidR="00C36F0F">
              <w:t>.</w:t>
            </w:r>
          </w:p>
        </w:tc>
      </w:tr>
      <w:tr w:rsidR="00A17FE1" w:rsidRPr="00A17FE1" w:rsidTr="00A17FE1">
        <w:trPr>
          <w:jc w:val="center"/>
        </w:trPr>
        <w:tc>
          <w:tcPr>
            <w:tcW w:w="428" w:type="dxa"/>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2.</w:t>
            </w:r>
          </w:p>
        </w:tc>
        <w:tc>
          <w:tcPr>
            <w:tcW w:w="2713" w:type="dxa"/>
            <w:gridSpan w:val="3"/>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Citas starptautiskās saistības</w:t>
            </w:r>
          </w:p>
        </w:tc>
        <w:tc>
          <w:tcPr>
            <w:tcW w:w="6236" w:type="dxa"/>
            <w:gridSpan w:val="4"/>
            <w:tcBorders>
              <w:top w:val="outset" w:sz="6" w:space="0" w:color="auto"/>
              <w:left w:val="outset" w:sz="6" w:space="0" w:color="auto"/>
              <w:bottom w:val="outset" w:sz="6" w:space="0" w:color="auto"/>
              <w:right w:val="outset" w:sz="6" w:space="0" w:color="auto"/>
            </w:tcBorders>
          </w:tcPr>
          <w:p w:rsidR="00A17FE1" w:rsidRPr="00A17FE1" w:rsidRDefault="00E5093D" w:rsidP="00A17FE1">
            <w:pPr>
              <w:ind w:left="57"/>
              <w:jc w:val="both"/>
              <w:rPr>
                <w:rFonts w:eastAsiaTheme="minorHAnsi"/>
                <w:lang w:eastAsia="en-US"/>
              </w:rPr>
            </w:pPr>
            <w:r>
              <w:rPr>
                <w:rFonts w:eastAsiaTheme="minorHAnsi"/>
                <w:lang w:eastAsia="en-US"/>
              </w:rPr>
              <w:t>Nav</w:t>
            </w:r>
            <w:r w:rsidR="00C36F0F">
              <w:rPr>
                <w:rFonts w:eastAsiaTheme="minorHAnsi"/>
                <w:lang w:eastAsia="en-US"/>
              </w:rPr>
              <w:t>.</w:t>
            </w:r>
          </w:p>
        </w:tc>
      </w:tr>
      <w:tr w:rsidR="00A17FE1" w:rsidRPr="00A17FE1" w:rsidTr="00A17FE1">
        <w:trPr>
          <w:jc w:val="center"/>
        </w:trPr>
        <w:tc>
          <w:tcPr>
            <w:tcW w:w="428" w:type="dxa"/>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3.</w:t>
            </w:r>
          </w:p>
        </w:tc>
        <w:tc>
          <w:tcPr>
            <w:tcW w:w="2713" w:type="dxa"/>
            <w:gridSpan w:val="3"/>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Cita informācija</w:t>
            </w:r>
          </w:p>
        </w:tc>
        <w:tc>
          <w:tcPr>
            <w:tcW w:w="6236" w:type="dxa"/>
            <w:gridSpan w:val="4"/>
            <w:tcBorders>
              <w:top w:val="outset" w:sz="6" w:space="0" w:color="auto"/>
              <w:left w:val="outset" w:sz="6" w:space="0" w:color="auto"/>
              <w:bottom w:val="outset" w:sz="6" w:space="0" w:color="auto"/>
              <w:right w:val="outset" w:sz="6" w:space="0" w:color="auto"/>
            </w:tcBorders>
          </w:tcPr>
          <w:p w:rsidR="00A17FE1" w:rsidRPr="00A17FE1" w:rsidRDefault="00E5093D" w:rsidP="00A17FE1">
            <w:pPr>
              <w:ind w:left="57"/>
              <w:jc w:val="both"/>
              <w:rPr>
                <w:rFonts w:eastAsiaTheme="minorHAnsi"/>
                <w:lang w:eastAsia="en-US"/>
              </w:rPr>
            </w:pPr>
            <w:r>
              <w:rPr>
                <w:rFonts w:eastAsiaTheme="minorHAnsi"/>
                <w:lang w:eastAsia="en-US"/>
              </w:rPr>
              <w:t>Nav</w:t>
            </w:r>
            <w:r w:rsidR="00C36F0F">
              <w:rPr>
                <w:rFonts w:eastAsiaTheme="minorHAnsi"/>
                <w:lang w:eastAsia="en-US"/>
              </w:rPr>
              <w:t>.</w:t>
            </w:r>
          </w:p>
        </w:tc>
      </w:tr>
      <w:tr w:rsidR="00A17FE1" w:rsidRPr="00A17FE1" w:rsidTr="00A17FE1">
        <w:trPr>
          <w:jc w:val="center"/>
        </w:trPr>
        <w:tc>
          <w:tcPr>
            <w:tcW w:w="9377" w:type="dxa"/>
            <w:gridSpan w:val="8"/>
            <w:tcBorders>
              <w:top w:val="outset" w:sz="6" w:space="0" w:color="auto"/>
              <w:left w:val="outset" w:sz="6" w:space="0" w:color="auto"/>
              <w:bottom w:val="outset" w:sz="6" w:space="0" w:color="auto"/>
              <w:right w:val="outset" w:sz="6" w:space="0" w:color="auto"/>
            </w:tcBorders>
            <w:vAlign w:val="center"/>
          </w:tcPr>
          <w:p w:rsidR="00A17FE1" w:rsidRPr="00A17FE1" w:rsidRDefault="00A17FE1" w:rsidP="00A17FE1">
            <w:pPr>
              <w:ind w:left="57"/>
              <w:jc w:val="center"/>
              <w:rPr>
                <w:rFonts w:eastAsiaTheme="minorHAnsi"/>
                <w:b/>
                <w:lang w:eastAsia="en-US"/>
              </w:rPr>
            </w:pPr>
            <w:r w:rsidRPr="00A17FE1">
              <w:rPr>
                <w:rFonts w:eastAsiaTheme="minorHAnsi"/>
                <w:b/>
                <w:lang w:eastAsia="en-US"/>
              </w:rPr>
              <w:t>1.tabula</w:t>
            </w:r>
          </w:p>
          <w:p w:rsidR="00A17FE1" w:rsidRPr="00A17FE1" w:rsidRDefault="00A17FE1" w:rsidP="00A17FE1">
            <w:pPr>
              <w:ind w:left="57"/>
              <w:jc w:val="center"/>
              <w:rPr>
                <w:rFonts w:eastAsiaTheme="minorHAnsi"/>
                <w:lang w:eastAsia="en-US"/>
              </w:rPr>
            </w:pPr>
            <w:r w:rsidRPr="00A17FE1">
              <w:rPr>
                <w:rFonts w:eastAsiaTheme="minorHAnsi"/>
                <w:b/>
                <w:lang w:eastAsia="en-US"/>
              </w:rPr>
              <w:t>Tiesību akta projekta atbilstība ES tiesību aktiem</w:t>
            </w:r>
          </w:p>
        </w:tc>
      </w:tr>
      <w:tr w:rsidR="00A17FE1" w:rsidRPr="00A17FE1" w:rsidTr="00A17FE1">
        <w:trPr>
          <w:jc w:val="center"/>
        </w:trPr>
        <w:tc>
          <w:tcPr>
            <w:tcW w:w="2134" w:type="dxa"/>
            <w:gridSpan w:val="2"/>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Attiecīgā ES tiesību akta datums, numurs un nosaukums</w:t>
            </w:r>
          </w:p>
        </w:tc>
        <w:tc>
          <w:tcPr>
            <w:tcW w:w="7243" w:type="dxa"/>
            <w:gridSpan w:val="6"/>
            <w:tcBorders>
              <w:top w:val="outset" w:sz="6" w:space="0" w:color="auto"/>
              <w:left w:val="outset" w:sz="6" w:space="0" w:color="auto"/>
              <w:bottom w:val="outset" w:sz="6" w:space="0" w:color="auto"/>
              <w:right w:val="outset" w:sz="6" w:space="0" w:color="auto"/>
            </w:tcBorders>
          </w:tcPr>
          <w:p w:rsidR="00A17FE1" w:rsidRPr="00A17FE1" w:rsidRDefault="00A94F8C" w:rsidP="00A17FE1">
            <w:pPr>
              <w:ind w:left="57"/>
              <w:rPr>
                <w:rFonts w:eastAsiaTheme="minorHAnsi"/>
                <w:lang w:eastAsia="en-US"/>
              </w:rPr>
            </w:pPr>
            <w:r w:rsidRPr="003C162D">
              <w:t>Regul</w:t>
            </w:r>
            <w:r>
              <w:t>a</w:t>
            </w:r>
            <w:r w:rsidRPr="003C162D">
              <w:t xml:space="preserve"> 883/2004</w:t>
            </w:r>
          </w:p>
        </w:tc>
      </w:tr>
      <w:tr w:rsidR="00A17FE1" w:rsidRPr="00A17FE1" w:rsidTr="00A17FE1">
        <w:trPr>
          <w:jc w:val="center"/>
        </w:trPr>
        <w:tc>
          <w:tcPr>
            <w:tcW w:w="2134" w:type="dxa"/>
            <w:gridSpan w:val="2"/>
            <w:tcBorders>
              <w:top w:val="outset" w:sz="6" w:space="0" w:color="auto"/>
              <w:left w:val="outset" w:sz="6" w:space="0" w:color="auto"/>
              <w:bottom w:val="outset" w:sz="6" w:space="0" w:color="auto"/>
              <w:right w:val="outset" w:sz="6" w:space="0" w:color="auto"/>
            </w:tcBorders>
            <w:vAlign w:val="center"/>
          </w:tcPr>
          <w:p w:rsidR="00A17FE1" w:rsidRPr="00A17FE1" w:rsidRDefault="00A17FE1" w:rsidP="00A17FE1">
            <w:pPr>
              <w:ind w:left="57"/>
              <w:jc w:val="center"/>
              <w:rPr>
                <w:rFonts w:eastAsiaTheme="minorHAnsi"/>
                <w:lang w:eastAsia="en-US"/>
              </w:rPr>
            </w:pPr>
            <w:r w:rsidRPr="00A17FE1">
              <w:rPr>
                <w:rFonts w:eastAsiaTheme="minorHAnsi"/>
                <w:lang w:eastAsia="en-US"/>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A17FE1" w:rsidRPr="00A17FE1" w:rsidRDefault="00A17FE1" w:rsidP="00A17FE1">
            <w:pPr>
              <w:ind w:left="57"/>
              <w:jc w:val="center"/>
              <w:rPr>
                <w:rFonts w:eastAsiaTheme="minorHAnsi"/>
                <w:lang w:eastAsia="en-US"/>
              </w:rPr>
            </w:pPr>
            <w:r w:rsidRPr="00A17FE1">
              <w:rPr>
                <w:rFonts w:eastAsiaTheme="minorHAnsi"/>
                <w:lang w:eastAsia="en-US"/>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rsidR="00A17FE1" w:rsidRPr="00A17FE1" w:rsidRDefault="00A17FE1" w:rsidP="00A17FE1">
            <w:pPr>
              <w:ind w:left="57"/>
              <w:jc w:val="center"/>
              <w:rPr>
                <w:rFonts w:eastAsiaTheme="minorHAnsi"/>
                <w:lang w:eastAsia="en-US"/>
              </w:rPr>
            </w:pPr>
            <w:r w:rsidRPr="00A17FE1">
              <w:rPr>
                <w:rFonts w:eastAsiaTheme="minorHAnsi"/>
                <w:lang w:eastAsia="en-US"/>
              </w:rPr>
              <w:t>C</w:t>
            </w:r>
          </w:p>
        </w:tc>
        <w:tc>
          <w:tcPr>
            <w:tcW w:w="2496" w:type="dxa"/>
            <w:tcBorders>
              <w:top w:val="outset" w:sz="6" w:space="0" w:color="auto"/>
              <w:left w:val="outset" w:sz="6" w:space="0" w:color="auto"/>
              <w:bottom w:val="outset" w:sz="6" w:space="0" w:color="auto"/>
              <w:right w:val="outset" w:sz="6" w:space="0" w:color="auto"/>
            </w:tcBorders>
            <w:vAlign w:val="center"/>
          </w:tcPr>
          <w:p w:rsidR="00A17FE1" w:rsidRPr="00A17FE1" w:rsidRDefault="00A17FE1" w:rsidP="00A17FE1">
            <w:pPr>
              <w:ind w:left="57"/>
              <w:jc w:val="center"/>
              <w:rPr>
                <w:rFonts w:eastAsiaTheme="minorHAnsi"/>
                <w:lang w:eastAsia="en-US"/>
              </w:rPr>
            </w:pPr>
            <w:r w:rsidRPr="00A17FE1">
              <w:rPr>
                <w:rFonts w:eastAsiaTheme="minorHAnsi"/>
                <w:lang w:eastAsia="en-US"/>
              </w:rPr>
              <w:t>D</w:t>
            </w:r>
          </w:p>
        </w:tc>
      </w:tr>
      <w:tr w:rsidR="00A17FE1" w:rsidRPr="00A17FE1" w:rsidTr="00A17FE1">
        <w:trPr>
          <w:jc w:val="center"/>
        </w:trPr>
        <w:tc>
          <w:tcPr>
            <w:tcW w:w="2134" w:type="dxa"/>
            <w:gridSpan w:val="2"/>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spacing w:val="-3"/>
                <w:lang w:eastAsia="en-US"/>
              </w:rPr>
            </w:pPr>
            <w:r w:rsidRPr="00A17FE1">
              <w:rPr>
                <w:rFonts w:eastAsiaTheme="minorHAnsi"/>
                <w:spacing w:val="-3"/>
                <w:lang w:eastAsia="en-US"/>
              </w:rPr>
              <w:t xml:space="preserve">Attiecīgā ES tiesību akta panta numurs (uzskaitot katru </w:t>
            </w:r>
            <w:r w:rsidRPr="00A17FE1">
              <w:rPr>
                <w:rFonts w:eastAsiaTheme="minorHAnsi"/>
                <w:spacing w:val="-3"/>
                <w:lang w:eastAsia="en-US"/>
              </w:rPr>
              <w:lastRenderedPageBreak/>
              <w:t>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spacing w:val="-3"/>
                <w:lang w:eastAsia="en-US"/>
              </w:rPr>
            </w:pPr>
            <w:r w:rsidRPr="00A17FE1">
              <w:rPr>
                <w:rFonts w:eastAsiaTheme="minorHAnsi"/>
                <w:spacing w:val="-3"/>
                <w:lang w:eastAsia="en-US"/>
              </w:rPr>
              <w:lastRenderedPageBreak/>
              <w:t xml:space="preserve">Projekta vienība, kas pārņem vai ievieš katru šīs tabulas </w:t>
            </w:r>
            <w:r w:rsidRPr="00A17FE1">
              <w:rPr>
                <w:rFonts w:eastAsiaTheme="minorHAnsi"/>
                <w:spacing w:val="-3"/>
                <w:lang w:eastAsia="en-US"/>
              </w:rPr>
              <w:lastRenderedPageBreak/>
              <w:t>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spacing w:val="-3"/>
                <w:lang w:eastAsia="en-US"/>
              </w:rPr>
            </w:pPr>
            <w:r w:rsidRPr="00A17FE1">
              <w:rPr>
                <w:rFonts w:eastAsiaTheme="minorHAnsi"/>
                <w:spacing w:val="-3"/>
                <w:lang w:eastAsia="en-US"/>
              </w:rPr>
              <w:lastRenderedPageBreak/>
              <w:t xml:space="preserve">Informācija par to, vai šīs tabulas A ailē minētās ES tiesību akta vienības </w:t>
            </w:r>
            <w:r w:rsidRPr="00393CC9">
              <w:rPr>
                <w:rFonts w:eastAsiaTheme="minorHAnsi"/>
                <w:spacing w:val="-3"/>
                <w:lang w:eastAsia="en-US"/>
              </w:rPr>
              <w:lastRenderedPageBreak/>
              <w:t>tiek pārņemtas vai ieviestas pilnībā vai daļēji</w:t>
            </w:r>
            <w:r w:rsidRPr="00A17FE1">
              <w:rPr>
                <w:rFonts w:eastAsiaTheme="minorHAnsi"/>
                <w:spacing w:val="-3"/>
                <w:lang w:eastAsia="en-US"/>
              </w:rPr>
              <w:t>.</w:t>
            </w:r>
          </w:p>
          <w:p w:rsidR="00A17FE1" w:rsidRPr="00A17FE1" w:rsidRDefault="00A17FE1" w:rsidP="00A17FE1">
            <w:pPr>
              <w:ind w:left="57"/>
              <w:rPr>
                <w:rFonts w:eastAsiaTheme="minorHAnsi"/>
                <w:spacing w:val="-3"/>
                <w:lang w:eastAsia="en-US"/>
              </w:rPr>
            </w:pPr>
            <w:r w:rsidRPr="00A17FE1">
              <w:rPr>
                <w:rFonts w:eastAsiaTheme="minorHAnsi"/>
                <w:spacing w:val="-3"/>
                <w:lang w:eastAsia="en-US"/>
              </w:rPr>
              <w:t>Ja attiecīgā ES tiesību akta vienība tiek pārņemta vai ieviesta daļēji, sniedz attiecīgu skaidrojumu, kā arī precīzi norāda, kad un kādā veidā ES tiesību akta vienība tiks pārņemta vai ieviesta pilnībā.</w:t>
            </w:r>
          </w:p>
          <w:p w:rsidR="00A17FE1" w:rsidRPr="00A17FE1" w:rsidRDefault="00A17FE1" w:rsidP="00A17FE1">
            <w:pPr>
              <w:ind w:left="57"/>
              <w:rPr>
                <w:rFonts w:eastAsiaTheme="minorHAnsi"/>
                <w:spacing w:val="-3"/>
                <w:lang w:eastAsia="en-US"/>
              </w:rPr>
            </w:pPr>
            <w:r w:rsidRPr="00A17FE1">
              <w:rPr>
                <w:rFonts w:eastAsiaTheme="minorHAnsi"/>
                <w:spacing w:val="-3"/>
                <w:lang w:eastAsia="en-US"/>
              </w:rPr>
              <w:t>Norāda institūciju, kas ir atbildīga par šo saistību izpildi pilnībā</w:t>
            </w:r>
          </w:p>
        </w:tc>
        <w:tc>
          <w:tcPr>
            <w:tcW w:w="2496" w:type="dxa"/>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spacing w:val="-3"/>
                <w:lang w:eastAsia="en-US"/>
              </w:rPr>
              <w:lastRenderedPageBreak/>
              <w:t xml:space="preserve">Informācija par to, vai šīs </w:t>
            </w:r>
            <w:r w:rsidRPr="00A17FE1">
              <w:rPr>
                <w:rFonts w:eastAsiaTheme="minorHAnsi"/>
                <w:lang w:eastAsia="en-US"/>
              </w:rPr>
              <w:t xml:space="preserve">tabulas B ailē minētās projekta vienības paredz </w:t>
            </w:r>
            <w:r w:rsidRPr="00A17FE1">
              <w:rPr>
                <w:rFonts w:eastAsiaTheme="minorHAnsi"/>
                <w:lang w:eastAsia="en-US"/>
              </w:rPr>
              <w:lastRenderedPageBreak/>
              <w:t>stingrākas prasības nekā šīs tabulas A ailē minētās ES tiesību akta vienības.</w:t>
            </w:r>
          </w:p>
          <w:p w:rsidR="00A17FE1" w:rsidRPr="00A17FE1" w:rsidRDefault="00A17FE1" w:rsidP="00A17FE1">
            <w:pPr>
              <w:ind w:left="57"/>
              <w:rPr>
                <w:rFonts w:eastAsiaTheme="minorHAnsi"/>
                <w:lang w:eastAsia="en-US"/>
              </w:rPr>
            </w:pPr>
            <w:r w:rsidRPr="00A17FE1">
              <w:rPr>
                <w:rFonts w:eastAsiaTheme="minorHAnsi"/>
                <w:lang w:eastAsia="en-US"/>
              </w:rPr>
              <w:t>Ja projekts satur stingrā</w:t>
            </w:r>
            <w:r w:rsidRPr="00A17FE1">
              <w:rPr>
                <w:rFonts w:eastAsiaTheme="minorHAnsi"/>
                <w:lang w:eastAsia="en-US"/>
              </w:rPr>
              <w:softHyphen/>
              <w:t>kas prasības nekā attie</w:t>
            </w:r>
            <w:r w:rsidRPr="00A17FE1">
              <w:rPr>
                <w:rFonts w:eastAsiaTheme="minorHAnsi"/>
                <w:lang w:eastAsia="en-US"/>
              </w:rPr>
              <w:softHyphen/>
              <w:t>cīgais ES tiesību akts, norāda pamatojumu un samērīgumu.</w:t>
            </w:r>
          </w:p>
          <w:p w:rsidR="00A17FE1" w:rsidRPr="00A17FE1" w:rsidRDefault="00A17FE1" w:rsidP="00A17FE1">
            <w:pPr>
              <w:ind w:left="57"/>
              <w:rPr>
                <w:rFonts w:eastAsiaTheme="minorHAnsi"/>
                <w:spacing w:val="-3"/>
                <w:lang w:eastAsia="en-US"/>
              </w:rPr>
            </w:pPr>
            <w:r w:rsidRPr="00A17FE1">
              <w:rPr>
                <w:rFonts w:eastAsiaTheme="minorHAnsi"/>
                <w:lang w:eastAsia="en-US"/>
              </w:rPr>
              <w:t>Norāda iespējamās alternatīvas (t.sk. alternatīvas, kas neparedz tiesiskā regulējuma izstrādi) – kādos gadījumos būtu iespējams izvairīties no stingrāku prasību</w:t>
            </w:r>
            <w:r w:rsidRPr="00A17FE1">
              <w:rPr>
                <w:rFonts w:eastAsiaTheme="minorHAnsi"/>
                <w:spacing w:val="-3"/>
                <w:lang w:eastAsia="en-US"/>
              </w:rPr>
              <w:t xml:space="preserve"> noteikšanas, nekā paredzēts attiecīgajos ES tiesību aktos</w:t>
            </w:r>
          </w:p>
        </w:tc>
      </w:tr>
      <w:tr w:rsidR="00A17FE1" w:rsidRPr="00A17FE1" w:rsidTr="00A17FE1">
        <w:trPr>
          <w:jc w:val="center"/>
        </w:trPr>
        <w:tc>
          <w:tcPr>
            <w:tcW w:w="2134" w:type="dxa"/>
            <w:gridSpan w:val="2"/>
            <w:tcBorders>
              <w:top w:val="outset" w:sz="6" w:space="0" w:color="auto"/>
              <w:left w:val="outset" w:sz="6" w:space="0" w:color="auto"/>
              <w:bottom w:val="outset" w:sz="6" w:space="0" w:color="auto"/>
              <w:right w:val="outset" w:sz="6" w:space="0" w:color="auto"/>
            </w:tcBorders>
          </w:tcPr>
          <w:p w:rsidR="00A94F8C" w:rsidRDefault="00A94F8C" w:rsidP="00A17FE1">
            <w:pPr>
              <w:ind w:left="57"/>
            </w:pPr>
            <w:r w:rsidRPr="003C162D">
              <w:lastRenderedPageBreak/>
              <w:t>Regul</w:t>
            </w:r>
            <w:r>
              <w:t xml:space="preserve">a </w:t>
            </w:r>
            <w:r w:rsidRPr="003C162D">
              <w:t>883/2004</w:t>
            </w:r>
          </w:p>
          <w:p w:rsidR="00A17FE1" w:rsidRPr="00A17FE1" w:rsidRDefault="00A17FE1" w:rsidP="00A17FE1">
            <w:pPr>
              <w:ind w:left="57"/>
              <w:rPr>
                <w:rFonts w:eastAsiaTheme="minorHAnsi"/>
                <w:spacing w:val="-2"/>
                <w:lang w:eastAsia="en-US"/>
              </w:rPr>
            </w:pPr>
            <w:r w:rsidRPr="00A17FE1">
              <w:rPr>
                <w:rFonts w:eastAsiaTheme="minorHAnsi" w:cstheme="minorBidi"/>
                <w:lang w:eastAsia="en-US"/>
              </w:rPr>
              <w:t>16.pants</w:t>
            </w:r>
          </w:p>
        </w:tc>
        <w:tc>
          <w:tcPr>
            <w:tcW w:w="2090" w:type="dxa"/>
            <w:gridSpan w:val="3"/>
            <w:tcBorders>
              <w:top w:val="outset" w:sz="6" w:space="0" w:color="auto"/>
              <w:left w:val="outset" w:sz="6" w:space="0" w:color="auto"/>
              <w:bottom w:val="outset" w:sz="6" w:space="0" w:color="auto"/>
              <w:right w:val="outset" w:sz="6" w:space="0" w:color="auto"/>
            </w:tcBorders>
          </w:tcPr>
          <w:p w:rsidR="00A17FE1" w:rsidRPr="00393CC9" w:rsidRDefault="00225A27" w:rsidP="00A17FE1">
            <w:pPr>
              <w:ind w:left="57"/>
              <w:rPr>
                <w:rFonts w:eastAsiaTheme="minorHAnsi"/>
                <w:i/>
                <w:spacing w:val="-2"/>
                <w:lang w:eastAsia="en-US"/>
              </w:rPr>
            </w:pPr>
            <w:r>
              <w:rPr>
                <w:rFonts w:eastAsiaTheme="minorHAnsi"/>
                <w:spacing w:val="-2"/>
                <w:lang w:eastAsia="en-US"/>
              </w:rPr>
              <w:t>Noteikumu projekta 1.punkts</w:t>
            </w:r>
            <w:r w:rsidR="00C36F0F">
              <w:rPr>
                <w:rFonts w:eastAsiaTheme="minorHAnsi"/>
                <w:spacing w:val="-2"/>
                <w:lang w:eastAsia="en-US"/>
              </w:rPr>
              <w:t>.</w:t>
            </w:r>
          </w:p>
        </w:tc>
        <w:tc>
          <w:tcPr>
            <w:tcW w:w="2657" w:type="dxa"/>
            <w:gridSpan w:val="2"/>
            <w:tcBorders>
              <w:top w:val="outset" w:sz="6" w:space="0" w:color="auto"/>
              <w:left w:val="outset" w:sz="6" w:space="0" w:color="auto"/>
              <w:bottom w:val="outset" w:sz="6" w:space="0" w:color="auto"/>
              <w:right w:val="outset" w:sz="6" w:space="0" w:color="auto"/>
            </w:tcBorders>
          </w:tcPr>
          <w:p w:rsidR="00A17FE1" w:rsidRPr="00A17FE1" w:rsidRDefault="00E5093D" w:rsidP="00225A27">
            <w:pPr>
              <w:ind w:left="57"/>
              <w:rPr>
                <w:rFonts w:eastAsiaTheme="minorHAnsi"/>
                <w:spacing w:val="-2"/>
                <w:lang w:eastAsia="en-US"/>
              </w:rPr>
            </w:pPr>
            <w:r>
              <w:rPr>
                <w:rFonts w:eastAsiaTheme="minorHAnsi"/>
                <w:spacing w:val="-2"/>
                <w:lang w:eastAsia="en-US"/>
              </w:rPr>
              <w:t xml:space="preserve">Tiks </w:t>
            </w:r>
            <w:r w:rsidR="00225A27">
              <w:rPr>
                <w:rFonts w:eastAsiaTheme="minorHAnsi"/>
                <w:spacing w:val="-2"/>
                <w:lang w:eastAsia="en-US"/>
              </w:rPr>
              <w:t>ieviesta</w:t>
            </w:r>
            <w:r>
              <w:rPr>
                <w:rFonts w:eastAsiaTheme="minorHAnsi"/>
                <w:spacing w:val="-2"/>
                <w:lang w:eastAsia="en-US"/>
              </w:rPr>
              <w:t xml:space="preserve"> pilnībā</w:t>
            </w:r>
            <w:r w:rsidR="00C36F0F">
              <w:rPr>
                <w:rFonts w:eastAsiaTheme="minorHAnsi"/>
                <w:spacing w:val="-2"/>
                <w:lang w:eastAsia="en-US"/>
              </w:rPr>
              <w:t>.</w:t>
            </w:r>
          </w:p>
        </w:tc>
        <w:tc>
          <w:tcPr>
            <w:tcW w:w="2496" w:type="dxa"/>
            <w:tcBorders>
              <w:top w:val="outset" w:sz="6" w:space="0" w:color="auto"/>
              <w:left w:val="outset" w:sz="6" w:space="0" w:color="auto"/>
              <w:bottom w:val="outset" w:sz="6" w:space="0" w:color="auto"/>
              <w:right w:val="outset" w:sz="6" w:space="0" w:color="auto"/>
            </w:tcBorders>
          </w:tcPr>
          <w:p w:rsidR="00A17FE1" w:rsidRPr="00A17FE1" w:rsidRDefault="00E5093D" w:rsidP="00A17FE1">
            <w:pPr>
              <w:ind w:left="57"/>
              <w:rPr>
                <w:rFonts w:eastAsiaTheme="minorHAnsi"/>
                <w:spacing w:val="-2"/>
                <w:lang w:eastAsia="en-US"/>
              </w:rPr>
            </w:pPr>
            <w:r>
              <w:rPr>
                <w:rFonts w:eastAsiaTheme="minorHAnsi"/>
                <w:spacing w:val="-2"/>
                <w:lang w:eastAsia="en-US"/>
              </w:rPr>
              <w:t>Neparedz stingrākas prasības</w:t>
            </w:r>
            <w:r w:rsidR="00C36F0F">
              <w:rPr>
                <w:rFonts w:eastAsiaTheme="minorHAnsi"/>
                <w:spacing w:val="-2"/>
                <w:lang w:eastAsia="en-US"/>
              </w:rPr>
              <w:t>.</w:t>
            </w:r>
          </w:p>
        </w:tc>
      </w:tr>
      <w:tr w:rsidR="00A17FE1" w:rsidRPr="00A17FE1" w:rsidTr="00A17FE1">
        <w:trPr>
          <w:jc w:val="center"/>
        </w:trPr>
        <w:tc>
          <w:tcPr>
            <w:tcW w:w="2134" w:type="dxa"/>
            <w:gridSpan w:val="2"/>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spacing w:val="-3"/>
                <w:lang w:eastAsia="en-US"/>
              </w:rPr>
            </w:pPr>
            <w:r w:rsidRPr="00A17FE1">
              <w:rPr>
                <w:rFonts w:eastAsiaTheme="minorHAnsi"/>
                <w:spacing w:val="-3"/>
                <w:lang w:eastAsia="en-US"/>
              </w:rPr>
              <w:t>Kā ir izmantota ES tiesību aktā paredzētā rīcības brīvība dalīb</w:t>
            </w:r>
            <w:r w:rsidRPr="00A17FE1">
              <w:rPr>
                <w:rFonts w:eastAsiaTheme="minorHAnsi"/>
                <w:spacing w:val="-3"/>
                <w:lang w:eastAsia="en-US"/>
              </w:rPr>
              <w:softHyphen/>
              <w:t>valstij pārņemt vai ieviest noteiktas ES tiesību akta normas?</w:t>
            </w:r>
          </w:p>
          <w:p w:rsidR="00A17FE1" w:rsidRPr="00A17FE1" w:rsidRDefault="00A17FE1" w:rsidP="00A17FE1">
            <w:pPr>
              <w:ind w:left="57"/>
              <w:rPr>
                <w:rFonts w:eastAsiaTheme="minorHAnsi"/>
                <w:spacing w:val="-3"/>
                <w:lang w:eastAsia="en-US"/>
              </w:rPr>
            </w:pPr>
            <w:r w:rsidRPr="00A17FE1">
              <w:rPr>
                <w:rFonts w:eastAsiaTheme="minorHAnsi"/>
                <w:spacing w:val="-3"/>
                <w:lang w:eastAsia="en-US"/>
              </w:rPr>
              <w:t>Kādēļ?</w:t>
            </w:r>
          </w:p>
        </w:tc>
        <w:tc>
          <w:tcPr>
            <w:tcW w:w="7243" w:type="dxa"/>
            <w:gridSpan w:val="6"/>
            <w:tcBorders>
              <w:top w:val="outset" w:sz="6" w:space="0" w:color="auto"/>
              <w:left w:val="outset" w:sz="6" w:space="0" w:color="auto"/>
              <w:bottom w:val="outset" w:sz="6" w:space="0" w:color="auto"/>
              <w:right w:val="outset" w:sz="6" w:space="0" w:color="auto"/>
            </w:tcBorders>
          </w:tcPr>
          <w:p w:rsidR="00A17FE1" w:rsidRPr="00A17FE1" w:rsidRDefault="00E5093D" w:rsidP="00A17FE1">
            <w:pPr>
              <w:ind w:left="57"/>
              <w:rPr>
                <w:rFonts w:eastAsiaTheme="minorHAnsi"/>
                <w:lang w:eastAsia="en-US"/>
              </w:rPr>
            </w:pPr>
            <w:r>
              <w:rPr>
                <w:rFonts w:eastAsiaTheme="minorHAnsi"/>
                <w:lang w:eastAsia="en-US"/>
              </w:rPr>
              <w:t>Nav attiecināms</w:t>
            </w:r>
            <w:r w:rsidR="00C36F0F">
              <w:rPr>
                <w:rFonts w:eastAsiaTheme="minorHAnsi"/>
                <w:lang w:eastAsia="en-US"/>
              </w:rPr>
              <w:t>.</w:t>
            </w:r>
          </w:p>
        </w:tc>
      </w:tr>
      <w:tr w:rsidR="00A17FE1" w:rsidRPr="00A17FE1" w:rsidTr="00A17FE1">
        <w:trPr>
          <w:jc w:val="center"/>
        </w:trPr>
        <w:tc>
          <w:tcPr>
            <w:tcW w:w="2134" w:type="dxa"/>
            <w:gridSpan w:val="2"/>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spacing w:val="-3"/>
                <w:lang w:eastAsia="en-US"/>
              </w:rPr>
            </w:pPr>
            <w:r w:rsidRPr="00A17FE1">
              <w:rPr>
                <w:rFonts w:eastAsiaTheme="minorHAnsi"/>
                <w:spacing w:val="-4"/>
                <w:lang w:eastAsia="en-US"/>
              </w:rPr>
              <w:t>Saistības sniegt paziņojumu ES insti</w:t>
            </w:r>
            <w:r w:rsidRPr="00A17FE1">
              <w:rPr>
                <w:rFonts w:eastAsiaTheme="minorHAnsi"/>
                <w:spacing w:val="-4"/>
                <w:lang w:eastAsia="en-US"/>
              </w:rPr>
              <w:softHyphen/>
              <w:t>tūcijām un ES dalīb</w:t>
            </w:r>
            <w:r w:rsidRPr="00A17FE1">
              <w:rPr>
                <w:rFonts w:eastAsiaTheme="minorHAnsi"/>
                <w:spacing w:val="-4"/>
                <w:lang w:eastAsia="en-US"/>
              </w:rPr>
              <w:softHyphen/>
              <w:t>valstīm atbilstoši normatīvajiem aktiem, kas regulē informā</w:t>
            </w:r>
            <w:r w:rsidRPr="00A17FE1">
              <w:rPr>
                <w:rFonts w:eastAsiaTheme="minorHAnsi"/>
                <w:spacing w:val="-4"/>
                <w:lang w:eastAsia="en-US"/>
              </w:rPr>
              <w:softHyphen/>
              <w:t>cijas sniegšanu par tehnisko noteikumu, valsts atbalsta piešķir</w:t>
            </w:r>
            <w:r w:rsidRPr="00A17FE1">
              <w:rPr>
                <w:rFonts w:eastAsiaTheme="minorHAnsi"/>
                <w:spacing w:val="-4"/>
                <w:lang w:eastAsia="en-US"/>
              </w:rPr>
              <w:softHyphen/>
              <w:t>šanas un finanšu noteikumu (attiecībā uz monetāro politiku) projektiem</w:t>
            </w:r>
          </w:p>
        </w:tc>
        <w:tc>
          <w:tcPr>
            <w:tcW w:w="7243" w:type="dxa"/>
            <w:gridSpan w:val="6"/>
            <w:tcBorders>
              <w:top w:val="outset" w:sz="6" w:space="0" w:color="auto"/>
              <w:left w:val="outset" w:sz="6" w:space="0" w:color="auto"/>
              <w:bottom w:val="outset" w:sz="6" w:space="0" w:color="auto"/>
              <w:right w:val="outset" w:sz="6" w:space="0" w:color="auto"/>
            </w:tcBorders>
          </w:tcPr>
          <w:p w:rsidR="00A17FE1" w:rsidRPr="00A17FE1" w:rsidRDefault="00E5093D" w:rsidP="00A17FE1">
            <w:pPr>
              <w:ind w:left="57"/>
              <w:rPr>
                <w:rFonts w:eastAsiaTheme="minorHAnsi"/>
                <w:lang w:eastAsia="en-US"/>
              </w:rPr>
            </w:pPr>
            <w:r>
              <w:rPr>
                <w:rFonts w:eastAsiaTheme="minorHAnsi"/>
                <w:lang w:eastAsia="en-US"/>
              </w:rPr>
              <w:t>Nav attiecināms</w:t>
            </w:r>
            <w:r w:rsidR="00C36F0F">
              <w:rPr>
                <w:rFonts w:eastAsiaTheme="minorHAnsi"/>
                <w:lang w:eastAsia="en-US"/>
              </w:rPr>
              <w:t>.</w:t>
            </w:r>
          </w:p>
        </w:tc>
      </w:tr>
      <w:tr w:rsidR="00A17FE1" w:rsidRPr="00A17FE1" w:rsidTr="00A17FE1">
        <w:trPr>
          <w:jc w:val="center"/>
        </w:trPr>
        <w:tc>
          <w:tcPr>
            <w:tcW w:w="2134" w:type="dxa"/>
            <w:gridSpan w:val="2"/>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Cita informācija</w:t>
            </w:r>
          </w:p>
        </w:tc>
        <w:tc>
          <w:tcPr>
            <w:tcW w:w="7243" w:type="dxa"/>
            <w:gridSpan w:val="6"/>
            <w:tcBorders>
              <w:top w:val="outset" w:sz="6" w:space="0" w:color="auto"/>
              <w:left w:val="outset" w:sz="6" w:space="0" w:color="auto"/>
              <w:bottom w:val="outset" w:sz="6" w:space="0" w:color="auto"/>
              <w:right w:val="outset" w:sz="6" w:space="0" w:color="auto"/>
            </w:tcBorders>
          </w:tcPr>
          <w:p w:rsidR="00A17FE1" w:rsidRPr="00A17FE1" w:rsidRDefault="00E5093D" w:rsidP="00A17FE1">
            <w:pPr>
              <w:ind w:left="57"/>
              <w:rPr>
                <w:rFonts w:eastAsiaTheme="minorHAnsi"/>
                <w:lang w:eastAsia="en-US"/>
              </w:rPr>
            </w:pPr>
            <w:r>
              <w:rPr>
                <w:rFonts w:eastAsiaTheme="minorHAnsi"/>
                <w:lang w:eastAsia="en-US"/>
              </w:rPr>
              <w:t>Nav</w:t>
            </w:r>
            <w:r w:rsidR="00C36F0F">
              <w:rPr>
                <w:rFonts w:eastAsiaTheme="minorHAnsi"/>
                <w:lang w:eastAsia="en-US"/>
              </w:rPr>
              <w:t>.</w:t>
            </w:r>
          </w:p>
        </w:tc>
      </w:tr>
      <w:tr w:rsidR="00A17FE1" w:rsidRPr="00A17FE1" w:rsidTr="00A17FE1">
        <w:trPr>
          <w:jc w:val="center"/>
        </w:trPr>
        <w:tc>
          <w:tcPr>
            <w:tcW w:w="9377" w:type="dxa"/>
            <w:gridSpan w:val="8"/>
            <w:tcBorders>
              <w:top w:val="outset" w:sz="6" w:space="0" w:color="auto"/>
              <w:left w:val="outset" w:sz="6" w:space="0" w:color="auto"/>
              <w:bottom w:val="outset" w:sz="6" w:space="0" w:color="auto"/>
              <w:right w:val="outset" w:sz="6" w:space="0" w:color="auto"/>
            </w:tcBorders>
            <w:vAlign w:val="center"/>
          </w:tcPr>
          <w:p w:rsidR="00A17FE1" w:rsidRPr="00A17FE1" w:rsidRDefault="00A17FE1" w:rsidP="00A17FE1">
            <w:pPr>
              <w:ind w:left="57"/>
              <w:jc w:val="center"/>
              <w:rPr>
                <w:rFonts w:eastAsiaTheme="minorHAnsi"/>
                <w:b/>
                <w:lang w:eastAsia="en-US"/>
              </w:rPr>
            </w:pPr>
            <w:r w:rsidRPr="00A17FE1">
              <w:rPr>
                <w:rFonts w:eastAsiaTheme="minorHAnsi"/>
                <w:b/>
                <w:lang w:eastAsia="en-US"/>
              </w:rPr>
              <w:t>2.tabula</w:t>
            </w:r>
          </w:p>
          <w:p w:rsidR="00A17FE1" w:rsidRPr="00A17FE1" w:rsidRDefault="00A17FE1" w:rsidP="00A17FE1">
            <w:pPr>
              <w:ind w:left="57"/>
              <w:jc w:val="center"/>
              <w:rPr>
                <w:rFonts w:eastAsiaTheme="minorHAnsi"/>
                <w:b/>
                <w:lang w:eastAsia="en-US"/>
              </w:rPr>
            </w:pPr>
            <w:r w:rsidRPr="00A17FE1">
              <w:rPr>
                <w:rFonts w:eastAsiaTheme="minorHAnsi"/>
                <w:b/>
                <w:lang w:eastAsia="en-US"/>
              </w:rPr>
              <w:t xml:space="preserve">Ar tiesību akta projektu izpildītās vai uzņemtās saistības, kas izriet no starptautiskajiem </w:t>
            </w:r>
            <w:r w:rsidRPr="00A17FE1">
              <w:rPr>
                <w:rFonts w:eastAsiaTheme="minorHAnsi"/>
                <w:b/>
                <w:lang w:eastAsia="en-US"/>
              </w:rPr>
              <w:lastRenderedPageBreak/>
              <w:t>tiesību aktiem vai starptautiskas institūcijas vai organizācijas dokumentiem.</w:t>
            </w:r>
          </w:p>
          <w:p w:rsidR="00A17FE1" w:rsidRPr="00A17FE1" w:rsidRDefault="00A17FE1" w:rsidP="00A17FE1">
            <w:pPr>
              <w:ind w:left="57"/>
              <w:jc w:val="center"/>
              <w:rPr>
                <w:rFonts w:eastAsiaTheme="minorHAnsi"/>
                <w:b/>
                <w:lang w:eastAsia="en-US"/>
              </w:rPr>
            </w:pPr>
            <w:r w:rsidRPr="00A17FE1">
              <w:rPr>
                <w:rFonts w:eastAsiaTheme="minorHAnsi"/>
                <w:b/>
                <w:lang w:eastAsia="en-US"/>
              </w:rPr>
              <w:t>Pasākumi šo saistību izpildei</w:t>
            </w:r>
          </w:p>
        </w:tc>
      </w:tr>
      <w:tr w:rsidR="00A17FE1" w:rsidRPr="00A17FE1" w:rsidTr="00A17FE1">
        <w:trPr>
          <w:jc w:val="center"/>
        </w:trPr>
        <w:tc>
          <w:tcPr>
            <w:tcW w:w="2401" w:type="dxa"/>
            <w:gridSpan w:val="3"/>
            <w:tcBorders>
              <w:top w:val="outset" w:sz="6" w:space="0" w:color="auto"/>
              <w:left w:val="outset" w:sz="6" w:space="0" w:color="auto"/>
              <w:bottom w:val="outset" w:sz="6" w:space="0" w:color="auto"/>
              <w:right w:val="outset" w:sz="6" w:space="0" w:color="auto"/>
            </w:tcBorders>
            <w:vAlign w:val="center"/>
          </w:tcPr>
          <w:p w:rsidR="00A17FE1" w:rsidRPr="00A17FE1" w:rsidRDefault="00A17FE1" w:rsidP="00A17FE1">
            <w:pPr>
              <w:ind w:left="57"/>
              <w:rPr>
                <w:rFonts w:eastAsiaTheme="minorHAnsi"/>
                <w:lang w:eastAsia="en-US"/>
              </w:rPr>
            </w:pPr>
            <w:r w:rsidRPr="00A17FE1">
              <w:rPr>
                <w:rFonts w:eastAsiaTheme="minorHAnsi"/>
                <w:lang w:eastAsia="en-US"/>
              </w:rPr>
              <w:lastRenderedPageBreak/>
              <w:t>Attiecīgā starptautiskā tiesību akta vai starptautiskas institūcijas vai organizācijas dokumenta (turpmāk – starptautiskais dokuments) datums, numurs un nosaukums</w:t>
            </w:r>
          </w:p>
        </w:tc>
        <w:tc>
          <w:tcPr>
            <w:tcW w:w="6976" w:type="dxa"/>
            <w:gridSpan w:val="5"/>
            <w:tcBorders>
              <w:top w:val="outset" w:sz="6" w:space="0" w:color="auto"/>
              <w:left w:val="outset" w:sz="6" w:space="0" w:color="auto"/>
              <w:bottom w:val="outset" w:sz="6" w:space="0" w:color="auto"/>
              <w:right w:val="outset" w:sz="6" w:space="0" w:color="auto"/>
            </w:tcBorders>
          </w:tcPr>
          <w:p w:rsidR="00A17FE1" w:rsidRPr="00A17FE1" w:rsidRDefault="006445E8" w:rsidP="00A17FE1">
            <w:pPr>
              <w:ind w:left="57"/>
              <w:rPr>
                <w:rFonts w:eastAsiaTheme="minorHAnsi"/>
                <w:lang w:eastAsia="en-US"/>
              </w:rPr>
            </w:pPr>
            <w:r>
              <w:t>Projekts šo jomu neskar</w:t>
            </w:r>
            <w:r w:rsidR="00C36F0F">
              <w:t>.</w:t>
            </w:r>
          </w:p>
        </w:tc>
      </w:tr>
      <w:tr w:rsidR="00A17FE1" w:rsidRPr="00A17FE1" w:rsidTr="00A17FE1">
        <w:trPr>
          <w:jc w:val="center"/>
        </w:trPr>
        <w:tc>
          <w:tcPr>
            <w:tcW w:w="2401" w:type="dxa"/>
            <w:gridSpan w:val="3"/>
            <w:tcBorders>
              <w:top w:val="outset" w:sz="6" w:space="0" w:color="auto"/>
              <w:left w:val="outset" w:sz="6" w:space="0" w:color="auto"/>
              <w:bottom w:val="outset" w:sz="6" w:space="0" w:color="auto"/>
              <w:right w:val="outset" w:sz="6" w:space="0" w:color="auto"/>
            </w:tcBorders>
            <w:vAlign w:val="center"/>
          </w:tcPr>
          <w:p w:rsidR="00A17FE1" w:rsidRPr="00A17FE1" w:rsidRDefault="00A17FE1" w:rsidP="00A17FE1">
            <w:pPr>
              <w:ind w:left="57"/>
              <w:jc w:val="center"/>
              <w:rPr>
                <w:rFonts w:eastAsiaTheme="minorHAnsi"/>
                <w:lang w:eastAsia="en-US"/>
              </w:rPr>
            </w:pPr>
            <w:r w:rsidRPr="00A17FE1">
              <w:rPr>
                <w:rFonts w:eastAsiaTheme="minorHAnsi"/>
                <w:lang w:eastAsia="en-US"/>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rsidR="00A17FE1" w:rsidRPr="00A17FE1" w:rsidRDefault="00A17FE1" w:rsidP="00A17FE1">
            <w:pPr>
              <w:ind w:left="57"/>
              <w:jc w:val="center"/>
              <w:rPr>
                <w:rFonts w:eastAsiaTheme="minorHAnsi"/>
                <w:lang w:eastAsia="en-US"/>
              </w:rPr>
            </w:pPr>
            <w:r w:rsidRPr="00A17FE1">
              <w:rPr>
                <w:rFonts w:eastAsiaTheme="minorHAnsi"/>
                <w:lang w:eastAsia="en-US"/>
              </w:rPr>
              <w:t>B</w:t>
            </w:r>
          </w:p>
        </w:tc>
        <w:tc>
          <w:tcPr>
            <w:tcW w:w="3874" w:type="dxa"/>
            <w:gridSpan w:val="2"/>
            <w:tcBorders>
              <w:top w:val="outset" w:sz="6" w:space="0" w:color="auto"/>
              <w:left w:val="outset" w:sz="6" w:space="0" w:color="auto"/>
              <w:bottom w:val="outset" w:sz="6" w:space="0" w:color="auto"/>
              <w:right w:val="outset" w:sz="6" w:space="0" w:color="auto"/>
            </w:tcBorders>
            <w:vAlign w:val="center"/>
          </w:tcPr>
          <w:p w:rsidR="00A17FE1" w:rsidRPr="00A17FE1" w:rsidRDefault="00A17FE1" w:rsidP="00A17FE1">
            <w:pPr>
              <w:ind w:left="57"/>
              <w:jc w:val="center"/>
              <w:rPr>
                <w:rFonts w:eastAsiaTheme="minorHAnsi"/>
                <w:lang w:eastAsia="en-US"/>
              </w:rPr>
            </w:pPr>
            <w:r w:rsidRPr="00A17FE1">
              <w:rPr>
                <w:rFonts w:eastAsiaTheme="minorHAnsi"/>
                <w:lang w:eastAsia="en-US"/>
              </w:rPr>
              <w:t>C</w:t>
            </w:r>
          </w:p>
        </w:tc>
      </w:tr>
      <w:tr w:rsidR="00A17FE1" w:rsidRPr="00A17FE1" w:rsidTr="00A17FE1">
        <w:trPr>
          <w:jc w:val="center"/>
        </w:trPr>
        <w:tc>
          <w:tcPr>
            <w:tcW w:w="2401" w:type="dxa"/>
            <w:gridSpan w:val="3"/>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Starptautiskās saistības (pēc būtības), kas izriet no norādītā starptautis</w:t>
            </w:r>
            <w:r w:rsidRPr="00A17FE1">
              <w:rPr>
                <w:rFonts w:eastAsiaTheme="minorHAnsi"/>
                <w:lang w:eastAsia="en-US"/>
              </w:rPr>
              <w:softHyphen/>
              <w:t>kā dokumenta.</w:t>
            </w:r>
          </w:p>
          <w:p w:rsidR="00A17FE1" w:rsidRPr="00A17FE1" w:rsidRDefault="00A17FE1" w:rsidP="00A17FE1">
            <w:pPr>
              <w:ind w:left="57"/>
              <w:rPr>
                <w:rFonts w:eastAsiaTheme="minorHAnsi"/>
                <w:lang w:eastAsia="en-US"/>
              </w:rPr>
            </w:pPr>
            <w:r w:rsidRPr="00A17FE1">
              <w:rPr>
                <w:rFonts w:eastAsiaTheme="minorHAnsi"/>
                <w:lang w:eastAsia="en-US"/>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874" w:type="dxa"/>
            <w:gridSpan w:val="2"/>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Informācija par to, vai starptautiskās saistības, kas minētas šīs tabulas A ailē, tiek izpildītas pilnībā vai daļēji.</w:t>
            </w:r>
          </w:p>
          <w:p w:rsidR="00A17FE1" w:rsidRPr="00A17FE1" w:rsidRDefault="00A17FE1" w:rsidP="00A17FE1">
            <w:pPr>
              <w:ind w:left="57"/>
              <w:rPr>
                <w:rFonts w:eastAsiaTheme="minorHAnsi"/>
                <w:lang w:eastAsia="en-US"/>
              </w:rPr>
            </w:pPr>
            <w:r w:rsidRPr="00A17FE1">
              <w:rPr>
                <w:rFonts w:eastAsiaTheme="minorHAnsi"/>
                <w:lang w:eastAsia="en-US"/>
              </w:rPr>
              <w:t>Ja attiecīgās starptautiskās saistības tiek izpildītas daļēji, sniedz skaidrojumu, kā arī precīzi norāda, kad un kādā veidā starptautiskās saistības tiks izpildītas pilnībā.</w:t>
            </w:r>
          </w:p>
          <w:p w:rsidR="00A17FE1" w:rsidRPr="00A17FE1" w:rsidRDefault="00A17FE1" w:rsidP="00A17FE1">
            <w:pPr>
              <w:ind w:left="57" w:right="57"/>
              <w:rPr>
                <w:rFonts w:eastAsiaTheme="minorHAnsi"/>
                <w:lang w:eastAsia="en-US"/>
              </w:rPr>
            </w:pPr>
            <w:r w:rsidRPr="00A17FE1">
              <w:rPr>
                <w:rFonts w:eastAsiaTheme="minorHAnsi"/>
                <w:lang w:eastAsia="en-US"/>
              </w:rPr>
              <w:t>Norāda institūciju, kas ir atbildīga par šo saistību izpildi pilnībā</w:t>
            </w:r>
          </w:p>
        </w:tc>
      </w:tr>
      <w:tr w:rsidR="00A17FE1" w:rsidRPr="00A17FE1" w:rsidTr="00A17FE1">
        <w:trPr>
          <w:jc w:val="center"/>
        </w:trPr>
        <w:tc>
          <w:tcPr>
            <w:tcW w:w="2401" w:type="dxa"/>
            <w:gridSpan w:val="3"/>
            <w:tcBorders>
              <w:top w:val="outset" w:sz="6" w:space="0" w:color="auto"/>
              <w:left w:val="outset" w:sz="6" w:space="0" w:color="auto"/>
              <w:bottom w:val="outset" w:sz="6" w:space="0" w:color="auto"/>
              <w:right w:val="outset" w:sz="6" w:space="0" w:color="auto"/>
            </w:tcBorders>
          </w:tcPr>
          <w:p w:rsidR="00A17FE1" w:rsidRPr="00A17FE1" w:rsidRDefault="006445E8" w:rsidP="00A17FE1">
            <w:pPr>
              <w:ind w:left="57"/>
              <w:rPr>
                <w:rFonts w:eastAsiaTheme="minorHAnsi"/>
                <w:lang w:eastAsia="en-US"/>
              </w:rPr>
            </w:pPr>
            <w:r>
              <w:rPr>
                <w:rFonts w:eastAsiaTheme="minorHAnsi"/>
                <w:lang w:eastAsia="en-US"/>
              </w:rPr>
              <w:t>Nav</w:t>
            </w:r>
            <w:r w:rsidR="00C36F0F">
              <w:rPr>
                <w:rFonts w:eastAsiaTheme="minorHAnsi"/>
                <w:lang w:eastAsia="en-US"/>
              </w:rPr>
              <w:t>.</w:t>
            </w:r>
          </w:p>
        </w:tc>
        <w:tc>
          <w:tcPr>
            <w:tcW w:w="3102" w:type="dxa"/>
            <w:gridSpan w:val="3"/>
            <w:tcBorders>
              <w:top w:val="outset" w:sz="6" w:space="0" w:color="auto"/>
              <w:left w:val="outset" w:sz="6" w:space="0" w:color="auto"/>
              <w:bottom w:val="outset" w:sz="6" w:space="0" w:color="auto"/>
              <w:right w:val="outset" w:sz="6" w:space="0" w:color="auto"/>
            </w:tcBorders>
          </w:tcPr>
          <w:p w:rsidR="00A17FE1" w:rsidRPr="00A17FE1" w:rsidRDefault="006445E8" w:rsidP="00A17FE1">
            <w:pPr>
              <w:ind w:left="57"/>
              <w:rPr>
                <w:rFonts w:eastAsiaTheme="minorHAnsi"/>
                <w:lang w:eastAsia="en-US"/>
              </w:rPr>
            </w:pPr>
            <w:r>
              <w:rPr>
                <w:rFonts w:eastAsiaTheme="minorHAnsi"/>
                <w:lang w:eastAsia="en-US"/>
              </w:rPr>
              <w:t>Nav</w:t>
            </w:r>
            <w:r w:rsidR="00C36F0F">
              <w:rPr>
                <w:rFonts w:eastAsiaTheme="minorHAnsi"/>
                <w:lang w:eastAsia="en-US"/>
              </w:rPr>
              <w:t>.</w:t>
            </w:r>
          </w:p>
        </w:tc>
        <w:tc>
          <w:tcPr>
            <w:tcW w:w="3874" w:type="dxa"/>
            <w:gridSpan w:val="2"/>
            <w:tcBorders>
              <w:top w:val="outset" w:sz="6" w:space="0" w:color="auto"/>
              <w:left w:val="outset" w:sz="6" w:space="0" w:color="auto"/>
              <w:bottom w:val="outset" w:sz="6" w:space="0" w:color="auto"/>
              <w:right w:val="outset" w:sz="6" w:space="0" w:color="auto"/>
            </w:tcBorders>
          </w:tcPr>
          <w:p w:rsidR="00A17FE1" w:rsidRPr="00A17FE1" w:rsidRDefault="006445E8" w:rsidP="00A17FE1">
            <w:pPr>
              <w:ind w:left="57"/>
              <w:rPr>
                <w:rFonts w:eastAsiaTheme="minorHAnsi"/>
                <w:lang w:eastAsia="en-US"/>
              </w:rPr>
            </w:pPr>
            <w:r>
              <w:rPr>
                <w:rFonts w:eastAsiaTheme="minorHAnsi"/>
                <w:lang w:eastAsia="en-US"/>
              </w:rPr>
              <w:t>Nav</w:t>
            </w:r>
            <w:r w:rsidR="00C36F0F">
              <w:rPr>
                <w:rFonts w:eastAsiaTheme="minorHAnsi"/>
                <w:lang w:eastAsia="en-US"/>
              </w:rPr>
              <w:t>.</w:t>
            </w:r>
          </w:p>
        </w:tc>
      </w:tr>
      <w:tr w:rsidR="00A17FE1" w:rsidRPr="00A17FE1" w:rsidTr="00A17FE1">
        <w:trPr>
          <w:jc w:val="center"/>
        </w:trPr>
        <w:tc>
          <w:tcPr>
            <w:tcW w:w="2401" w:type="dxa"/>
            <w:gridSpan w:val="3"/>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Vai starptautiskajā dokumentā paredzētās saistības nav pretrunā ar jau esošajām Latvijas Republikas starptautis</w:t>
            </w:r>
            <w:r w:rsidRPr="00A17FE1">
              <w:rPr>
                <w:rFonts w:eastAsiaTheme="minorHAnsi"/>
                <w:lang w:eastAsia="en-US"/>
              </w:rPr>
              <w:softHyphen/>
              <w:t>kajām saistībām</w:t>
            </w:r>
          </w:p>
        </w:tc>
        <w:tc>
          <w:tcPr>
            <w:tcW w:w="6976" w:type="dxa"/>
            <w:gridSpan w:val="5"/>
            <w:tcBorders>
              <w:top w:val="outset" w:sz="6" w:space="0" w:color="auto"/>
              <w:left w:val="outset" w:sz="6" w:space="0" w:color="auto"/>
              <w:bottom w:val="outset" w:sz="6" w:space="0" w:color="auto"/>
              <w:right w:val="outset" w:sz="6" w:space="0" w:color="auto"/>
            </w:tcBorders>
          </w:tcPr>
          <w:p w:rsidR="00A17FE1" w:rsidRPr="00A17FE1" w:rsidRDefault="006445E8" w:rsidP="00A17FE1">
            <w:pPr>
              <w:ind w:left="57"/>
              <w:jc w:val="both"/>
              <w:rPr>
                <w:rFonts w:eastAsiaTheme="minorHAnsi"/>
                <w:lang w:eastAsia="en-US"/>
              </w:rPr>
            </w:pPr>
            <w:r>
              <w:rPr>
                <w:rFonts w:eastAsiaTheme="minorHAnsi"/>
                <w:lang w:eastAsia="en-US"/>
              </w:rPr>
              <w:t>Nav</w:t>
            </w:r>
            <w:r w:rsidR="00C36F0F">
              <w:rPr>
                <w:rFonts w:eastAsiaTheme="minorHAnsi"/>
                <w:lang w:eastAsia="en-US"/>
              </w:rPr>
              <w:t>.</w:t>
            </w:r>
          </w:p>
        </w:tc>
      </w:tr>
      <w:tr w:rsidR="00A17FE1" w:rsidRPr="00A17FE1" w:rsidTr="00A17FE1">
        <w:trPr>
          <w:jc w:val="center"/>
        </w:trPr>
        <w:tc>
          <w:tcPr>
            <w:tcW w:w="2401" w:type="dxa"/>
            <w:gridSpan w:val="3"/>
            <w:tcBorders>
              <w:top w:val="outset" w:sz="6" w:space="0" w:color="auto"/>
              <w:left w:val="outset" w:sz="6" w:space="0" w:color="auto"/>
              <w:bottom w:val="outset" w:sz="6" w:space="0" w:color="auto"/>
              <w:right w:val="outset" w:sz="6" w:space="0" w:color="auto"/>
            </w:tcBorders>
          </w:tcPr>
          <w:p w:rsidR="00A17FE1" w:rsidRPr="00A17FE1" w:rsidRDefault="00A17FE1" w:rsidP="00A17FE1">
            <w:pPr>
              <w:ind w:left="57"/>
              <w:rPr>
                <w:rFonts w:eastAsiaTheme="minorHAnsi"/>
                <w:lang w:eastAsia="en-US"/>
              </w:rPr>
            </w:pPr>
            <w:r w:rsidRPr="00A17FE1">
              <w:rPr>
                <w:rFonts w:eastAsiaTheme="minorHAnsi"/>
                <w:lang w:eastAsia="en-US"/>
              </w:rPr>
              <w:t>Cita informācija</w:t>
            </w:r>
          </w:p>
        </w:tc>
        <w:tc>
          <w:tcPr>
            <w:tcW w:w="6976" w:type="dxa"/>
            <w:gridSpan w:val="5"/>
            <w:tcBorders>
              <w:top w:val="outset" w:sz="6" w:space="0" w:color="auto"/>
              <w:left w:val="outset" w:sz="6" w:space="0" w:color="auto"/>
              <w:bottom w:val="outset" w:sz="6" w:space="0" w:color="auto"/>
              <w:right w:val="outset" w:sz="6" w:space="0" w:color="auto"/>
            </w:tcBorders>
          </w:tcPr>
          <w:p w:rsidR="00A17FE1" w:rsidRPr="00A17FE1" w:rsidRDefault="004D306D" w:rsidP="00A17FE1">
            <w:pPr>
              <w:ind w:left="57"/>
              <w:jc w:val="both"/>
              <w:rPr>
                <w:rFonts w:eastAsiaTheme="minorHAnsi"/>
                <w:lang w:eastAsia="en-US"/>
              </w:rPr>
            </w:pPr>
            <w:r>
              <w:rPr>
                <w:rFonts w:eastAsiaTheme="minorHAnsi"/>
                <w:lang w:eastAsia="en-US"/>
              </w:rPr>
              <w:t>Nav</w:t>
            </w:r>
            <w:r w:rsidR="00C36F0F">
              <w:rPr>
                <w:rFonts w:eastAsiaTheme="minorHAnsi"/>
                <w:lang w:eastAsia="en-US"/>
              </w:rPr>
              <w:t>.</w:t>
            </w:r>
          </w:p>
        </w:tc>
      </w:tr>
    </w:tbl>
    <w:p w:rsidR="00A17FE1" w:rsidRDefault="00A17FE1" w:rsidP="003C162D"/>
    <w:p w:rsidR="003C162D" w:rsidRDefault="003C162D" w:rsidP="003C16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3C162D" w:rsidRPr="006A7D0B" w:rsidTr="007335FB">
        <w:tc>
          <w:tcPr>
            <w:tcW w:w="9287" w:type="dxa"/>
            <w:gridSpan w:val="3"/>
          </w:tcPr>
          <w:p w:rsidR="003C162D" w:rsidRPr="006A7D0B" w:rsidRDefault="003C162D" w:rsidP="007335FB">
            <w:pPr>
              <w:jc w:val="center"/>
              <w:rPr>
                <w:b/>
              </w:rPr>
            </w:pPr>
            <w:r w:rsidRPr="006A7D0B">
              <w:rPr>
                <w:b/>
              </w:rPr>
              <w:t>VI. Sabiedrības līdzdalība un komunikācijas aktivitātes</w:t>
            </w:r>
          </w:p>
        </w:tc>
      </w:tr>
      <w:tr w:rsidR="003C162D" w:rsidRPr="00B76D85" w:rsidTr="007335FB">
        <w:tc>
          <w:tcPr>
            <w:tcW w:w="396" w:type="dxa"/>
          </w:tcPr>
          <w:p w:rsidR="003C162D" w:rsidRPr="00B76D85" w:rsidRDefault="003C162D" w:rsidP="007335FB">
            <w:r>
              <w:t xml:space="preserve">1. </w:t>
            </w:r>
          </w:p>
        </w:tc>
        <w:tc>
          <w:tcPr>
            <w:tcW w:w="3072" w:type="dxa"/>
          </w:tcPr>
          <w:p w:rsidR="003C162D" w:rsidRPr="006A7D0B" w:rsidRDefault="003C162D" w:rsidP="007335FB">
            <w:pPr>
              <w:pStyle w:val="naiskr"/>
              <w:spacing w:before="0" w:after="0"/>
              <w:ind w:left="57" w:right="57"/>
            </w:pPr>
            <w:r w:rsidRPr="00DD49B6">
              <w:t>Plānotās sabiedrības līdzdalības un komunikācijas aktivitātes saistībā ar projektu</w:t>
            </w:r>
          </w:p>
        </w:tc>
        <w:tc>
          <w:tcPr>
            <w:tcW w:w="5819" w:type="dxa"/>
          </w:tcPr>
          <w:p w:rsidR="003C162D" w:rsidRPr="004A76F0" w:rsidRDefault="00D244D5" w:rsidP="00D244D5">
            <w:pPr>
              <w:jc w:val="both"/>
              <w:rPr>
                <w:i/>
                <w:color w:val="FF0000"/>
              </w:rPr>
            </w:pPr>
            <w:r w:rsidRPr="00952ED3">
              <w:t xml:space="preserve">Lai informētu sabiedrību par Noteikumu projekta izstrādi, </w:t>
            </w:r>
            <w:r>
              <w:t>n</w:t>
            </w:r>
            <w:r w:rsidRPr="00952ED3">
              <w:t>oteikumu projekts pirms izsludināšana</w:t>
            </w:r>
            <w:r>
              <w:t>s Valsts sekretāru sanāksmē tika</w:t>
            </w:r>
            <w:r w:rsidRPr="00952ED3">
              <w:t xml:space="preserve"> ievietots Labklājības ministrijas mājas lapas sadaļā „Sabiedrības līdzdalība”.</w:t>
            </w:r>
          </w:p>
        </w:tc>
      </w:tr>
      <w:tr w:rsidR="003C162D" w:rsidRPr="00B76D85" w:rsidTr="007335FB">
        <w:tc>
          <w:tcPr>
            <w:tcW w:w="396" w:type="dxa"/>
          </w:tcPr>
          <w:p w:rsidR="003C162D" w:rsidRPr="00B76D85" w:rsidRDefault="003C162D" w:rsidP="007335FB">
            <w:r>
              <w:t xml:space="preserve">2. </w:t>
            </w:r>
          </w:p>
        </w:tc>
        <w:tc>
          <w:tcPr>
            <w:tcW w:w="3072" w:type="dxa"/>
          </w:tcPr>
          <w:p w:rsidR="003C162D" w:rsidRPr="006A7D0B" w:rsidRDefault="003C162D" w:rsidP="007335FB">
            <w:pPr>
              <w:pStyle w:val="naiskr"/>
              <w:spacing w:before="0" w:after="0"/>
              <w:ind w:left="57" w:right="57"/>
            </w:pPr>
            <w:r w:rsidRPr="006A7D0B">
              <w:rPr>
                <w:sz w:val="22"/>
                <w:szCs w:val="22"/>
              </w:rPr>
              <w:t xml:space="preserve">Sabiedrības līdzdalība projekta izstrādē </w:t>
            </w:r>
          </w:p>
        </w:tc>
        <w:tc>
          <w:tcPr>
            <w:tcW w:w="5819" w:type="dxa"/>
          </w:tcPr>
          <w:p w:rsidR="003C162D" w:rsidRPr="006A7D0B" w:rsidRDefault="00C36F0F" w:rsidP="007335FB">
            <w:pPr>
              <w:jc w:val="both"/>
              <w:rPr>
                <w:i/>
                <w:color w:val="FF0000"/>
              </w:rPr>
            </w:pPr>
            <w:r>
              <w:t>Līdz 09.12.2014. viedokļi no iedzīvotājiem saņemti netika.</w:t>
            </w:r>
          </w:p>
        </w:tc>
      </w:tr>
      <w:tr w:rsidR="003C162D" w:rsidRPr="00B76D85" w:rsidTr="007335FB">
        <w:tc>
          <w:tcPr>
            <w:tcW w:w="396" w:type="dxa"/>
          </w:tcPr>
          <w:p w:rsidR="003C162D" w:rsidRPr="00B76D85" w:rsidRDefault="003C162D" w:rsidP="007335FB">
            <w:r>
              <w:t>3.</w:t>
            </w:r>
          </w:p>
        </w:tc>
        <w:tc>
          <w:tcPr>
            <w:tcW w:w="3072" w:type="dxa"/>
          </w:tcPr>
          <w:p w:rsidR="003C162D" w:rsidRPr="006A7D0B" w:rsidRDefault="003C162D" w:rsidP="007335FB">
            <w:pPr>
              <w:pStyle w:val="naiskr"/>
              <w:spacing w:before="0" w:after="0"/>
              <w:ind w:left="57" w:right="57"/>
            </w:pPr>
            <w:r w:rsidRPr="006A7D0B">
              <w:rPr>
                <w:sz w:val="22"/>
                <w:szCs w:val="22"/>
              </w:rPr>
              <w:t xml:space="preserve">Sabiedrības līdzdalības rezultāti </w:t>
            </w:r>
          </w:p>
        </w:tc>
        <w:tc>
          <w:tcPr>
            <w:tcW w:w="5819" w:type="dxa"/>
          </w:tcPr>
          <w:p w:rsidR="003C162D" w:rsidRPr="000E56C0" w:rsidRDefault="00A94F8C" w:rsidP="007335FB">
            <w:pPr>
              <w:jc w:val="both"/>
            </w:pPr>
            <w:r>
              <w:t>Projekts šo jomu neskar</w:t>
            </w:r>
            <w:r w:rsidR="00C36F0F">
              <w:t>.</w:t>
            </w:r>
          </w:p>
        </w:tc>
      </w:tr>
      <w:tr w:rsidR="003C162D" w:rsidRPr="00B76D85" w:rsidTr="007335FB">
        <w:tc>
          <w:tcPr>
            <w:tcW w:w="396" w:type="dxa"/>
          </w:tcPr>
          <w:p w:rsidR="003C162D" w:rsidRPr="00B76D85" w:rsidRDefault="003C162D" w:rsidP="007335FB">
            <w:r>
              <w:t>4.</w:t>
            </w:r>
          </w:p>
        </w:tc>
        <w:tc>
          <w:tcPr>
            <w:tcW w:w="3072" w:type="dxa"/>
          </w:tcPr>
          <w:p w:rsidR="003C162D" w:rsidRPr="006A7D0B" w:rsidRDefault="003C162D" w:rsidP="007335FB">
            <w:pPr>
              <w:pStyle w:val="naiskr"/>
              <w:spacing w:before="0" w:after="0"/>
              <w:ind w:left="57" w:right="57"/>
            </w:pPr>
            <w:r w:rsidRPr="006A7D0B">
              <w:rPr>
                <w:sz w:val="22"/>
                <w:szCs w:val="22"/>
              </w:rPr>
              <w:t>Cita informācija</w:t>
            </w:r>
          </w:p>
        </w:tc>
        <w:tc>
          <w:tcPr>
            <w:tcW w:w="5819" w:type="dxa"/>
          </w:tcPr>
          <w:p w:rsidR="003C162D" w:rsidRPr="000E56C0" w:rsidRDefault="00A94F8C" w:rsidP="007335FB">
            <w:pPr>
              <w:jc w:val="both"/>
            </w:pPr>
            <w:r>
              <w:t>Nav</w:t>
            </w:r>
            <w:r w:rsidR="00C36F0F">
              <w:t>.</w:t>
            </w:r>
          </w:p>
        </w:tc>
      </w:tr>
    </w:tbl>
    <w:p w:rsidR="003C162D" w:rsidRDefault="003C162D" w:rsidP="003C162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3C162D" w:rsidRPr="006A7D0B" w:rsidTr="007335FB">
        <w:tc>
          <w:tcPr>
            <w:tcW w:w="9287" w:type="dxa"/>
            <w:gridSpan w:val="3"/>
          </w:tcPr>
          <w:p w:rsidR="003C162D" w:rsidRPr="006A7D0B" w:rsidRDefault="003C162D" w:rsidP="007335FB">
            <w:pPr>
              <w:jc w:val="center"/>
              <w:rPr>
                <w:b/>
              </w:rPr>
            </w:pPr>
            <w:r w:rsidRPr="006A7D0B">
              <w:rPr>
                <w:b/>
              </w:rPr>
              <w:t>VII. Tiesību akta projekta izpildes nodrošināšana un tās ietekme uz institūcijām</w:t>
            </w:r>
          </w:p>
        </w:tc>
      </w:tr>
      <w:tr w:rsidR="003C162D" w:rsidRPr="00B76D85" w:rsidTr="007335FB">
        <w:tc>
          <w:tcPr>
            <w:tcW w:w="396" w:type="dxa"/>
          </w:tcPr>
          <w:p w:rsidR="003C162D" w:rsidRPr="00B76D85" w:rsidRDefault="003C162D" w:rsidP="007335FB">
            <w:r>
              <w:t xml:space="preserve">1. </w:t>
            </w:r>
          </w:p>
        </w:tc>
        <w:tc>
          <w:tcPr>
            <w:tcW w:w="3072" w:type="dxa"/>
          </w:tcPr>
          <w:p w:rsidR="003C162D" w:rsidRPr="006A7D0B" w:rsidRDefault="003C162D" w:rsidP="007335FB">
            <w:r w:rsidRPr="006A7D0B">
              <w:rPr>
                <w:sz w:val="22"/>
                <w:szCs w:val="22"/>
              </w:rPr>
              <w:t>Projekta izpildē iesaistītās institūcijas</w:t>
            </w:r>
          </w:p>
        </w:tc>
        <w:tc>
          <w:tcPr>
            <w:tcW w:w="5819" w:type="dxa"/>
          </w:tcPr>
          <w:p w:rsidR="003C162D" w:rsidRPr="000E56C0" w:rsidRDefault="00755107" w:rsidP="007335FB">
            <w:pPr>
              <w:jc w:val="both"/>
              <w:rPr>
                <w:color w:val="FF0000"/>
              </w:rPr>
            </w:pPr>
            <w:r w:rsidRPr="00A94F8C">
              <w:t>Valsts sociālās apdrošināšanas aģentūra</w:t>
            </w:r>
            <w:r w:rsidR="00A94F8C">
              <w:t xml:space="preserve"> un </w:t>
            </w:r>
            <w:r w:rsidR="003D16BA">
              <w:t xml:space="preserve">Valsts </w:t>
            </w:r>
            <w:r w:rsidR="003D16BA">
              <w:lastRenderedPageBreak/>
              <w:t>ieņēmumu dienests</w:t>
            </w:r>
            <w:r w:rsidR="00C36F0F">
              <w:t>.</w:t>
            </w:r>
          </w:p>
        </w:tc>
      </w:tr>
      <w:tr w:rsidR="003C162D" w:rsidRPr="00B76D85" w:rsidTr="007335FB">
        <w:tc>
          <w:tcPr>
            <w:tcW w:w="396" w:type="dxa"/>
          </w:tcPr>
          <w:p w:rsidR="003C162D" w:rsidRPr="00B76D85" w:rsidRDefault="003C162D" w:rsidP="007335FB">
            <w:r>
              <w:lastRenderedPageBreak/>
              <w:t xml:space="preserve">2. </w:t>
            </w:r>
          </w:p>
        </w:tc>
        <w:tc>
          <w:tcPr>
            <w:tcW w:w="3072" w:type="dxa"/>
          </w:tcPr>
          <w:p w:rsidR="003C162D" w:rsidRPr="006A7D0B" w:rsidRDefault="003C162D" w:rsidP="007335FB">
            <w:r w:rsidRPr="006A7D0B">
              <w:rPr>
                <w:sz w:val="22"/>
                <w:szCs w:val="22"/>
              </w:rPr>
              <w:t>Projekta izpildes ietekme uz pār</w:t>
            </w:r>
            <w:r w:rsidRPr="006A7D0B">
              <w:rPr>
                <w:sz w:val="22"/>
                <w:szCs w:val="22"/>
              </w:rPr>
              <w:softHyphen/>
              <w:t>valdes funkcijām un institucionālo struktūru.</w:t>
            </w:r>
          </w:p>
          <w:p w:rsidR="003C162D" w:rsidRPr="006A7D0B" w:rsidRDefault="003C162D" w:rsidP="007335FB">
            <w:r w:rsidRPr="006A7D0B">
              <w:rPr>
                <w:sz w:val="22"/>
                <w:szCs w:val="22"/>
              </w:rPr>
              <w:t>Jaunu institūciju izveide, esošu institūciju likvidācija vai reorga</w:t>
            </w:r>
            <w:r w:rsidRPr="006A7D0B">
              <w:rPr>
                <w:sz w:val="22"/>
                <w:szCs w:val="22"/>
              </w:rPr>
              <w:softHyphen/>
              <w:t>nizācija, to ietekme uz institūcijas cilvēkresursiem</w:t>
            </w:r>
          </w:p>
        </w:tc>
        <w:tc>
          <w:tcPr>
            <w:tcW w:w="5819" w:type="dxa"/>
          </w:tcPr>
          <w:p w:rsidR="003C162D" w:rsidRPr="000E56C0" w:rsidRDefault="00A94F8C" w:rsidP="007335FB">
            <w:pPr>
              <w:jc w:val="both"/>
              <w:rPr>
                <w:color w:val="FF0000"/>
              </w:rPr>
            </w:pPr>
            <w:r>
              <w:t>Projekts šo jomu neskar</w:t>
            </w:r>
            <w:r w:rsidR="00C36F0F">
              <w:t>.</w:t>
            </w:r>
          </w:p>
        </w:tc>
      </w:tr>
      <w:tr w:rsidR="003C162D" w:rsidRPr="00B76D85" w:rsidTr="007335FB">
        <w:tc>
          <w:tcPr>
            <w:tcW w:w="396" w:type="dxa"/>
          </w:tcPr>
          <w:p w:rsidR="003C162D" w:rsidRDefault="003C162D" w:rsidP="007335FB">
            <w:r>
              <w:t xml:space="preserve">3. </w:t>
            </w:r>
          </w:p>
        </w:tc>
        <w:tc>
          <w:tcPr>
            <w:tcW w:w="3072" w:type="dxa"/>
          </w:tcPr>
          <w:p w:rsidR="003C162D" w:rsidRPr="006A7D0B" w:rsidRDefault="003C162D" w:rsidP="007335FB">
            <w:r w:rsidRPr="006A7D0B">
              <w:rPr>
                <w:sz w:val="22"/>
                <w:szCs w:val="22"/>
              </w:rPr>
              <w:t>Cita informācija</w:t>
            </w:r>
          </w:p>
        </w:tc>
        <w:tc>
          <w:tcPr>
            <w:tcW w:w="5819" w:type="dxa"/>
          </w:tcPr>
          <w:p w:rsidR="003C162D" w:rsidRPr="000E56C0" w:rsidRDefault="00A94F8C" w:rsidP="007335FB">
            <w:pPr>
              <w:jc w:val="both"/>
              <w:rPr>
                <w:color w:val="FF0000"/>
              </w:rPr>
            </w:pPr>
            <w:r>
              <w:t>Nav</w:t>
            </w:r>
            <w:r w:rsidR="00C36F0F">
              <w:t>.</w:t>
            </w:r>
          </w:p>
        </w:tc>
      </w:tr>
    </w:tbl>
    <w:p w:rsidR="003C162D" w:rsidRDefault="003C162D" w:rsidP="003C162D">
      <w:pPr>
        <w:jc w:val="center"/>
      </w:pPr>
    </w:p>
    <w:p w:rsidR="003C162D" w:rsidRPr="00FE2F47" w:rsidRDefault="003C162D" w:rsidP="003C162D">
      <w:pPr>
        <w:jc w:val="center"/>
        <w:rPr>
          <w:i/>
        </w:rPr>
      </w:pPr>
      <w:r w:rsidRPr="00FE2F47">
        <w:rPr>
          <w:i/>
        </w:rPr>
        <w:t>Anotācijas III</w:t>
      </w:r>
      <w:r w:rsidR="00534556">
        <w:rPr>
          <w:i/>
        </w:rPr>
        <w:t xml:space="preserve"> un </w:t>
      </w:r>
      <w:r w:rsidR="00A17FE1">
        <w:rPr>
          <w:i/>
        </w:rPr>
        <w:t>IV</w:t>
      </w:r>
      <w:r w:rsidR="00534556">
        <w:rPr>
          <w:i/>
        </w:rPr>
        <w:t xml:space="preserve"> </w:t>
      </w:r>
      <w:r w:rsidRPr="00FE2F47">
        <w:rPr>
          <w:i/>
        </w:rPr>
        <w:t>sadaļa - projekts šīs jomas neskar.</w:t>
      </w:r>
    </w:p>
    <w:p w:rsidR="003C162D" w:rsidRPr="00FE2F47" w:rsidRDefault="003C162D" w:rsidP="003C162D">
      <w:pPr>
        <w:jc w:val="center"/>
        <w:rPr>
          <w:i/>
        </w:rPr>
      </w:pPr>
    </w:p>
    <w:p w:rsidR="003C162D" w:rsidRDefault="003C162D" w:rsidP="003C162D"/>
    <w:p w:rsidR="003C162D" w:rsidRPr="008207C1" w:rsidRDefault="003C162D" w:rsidP="003C162D">
      <w:pPr>
        <w:rPr>
          <w:sz w:val="28"/>
          <w:szCs w:val="28"/>
        </w:rPr>
      </w:pPr>
      <w:r w:rsidRPr="008207C1">
        <w:rPr>
          <w:sz w:val="28"/>
          <w:szCs w:val="28"/>
        </w:rPr>
        <w:t>Labklājības ministr</w:t>
      </w:r>
      <w:r>
        <w:rPr>
          <w:sz w:val="28"/>
          <w:szCs w:val="28"/>
        </w:rPr>
        <w:t>s</w:t>
      </w:r>
      <w:r w:rsidRPr="008207C1">
        <w:rPr>
          <w:sz w:val="28"/>
          <w:szCs w:val="28"/>
        </w:rPr>
        <w:tab/>
      </w:r>
      <w:r w:rsidRPr="008207C1">
        <w:rPr>
          <w:sz w:val="28"/>
          <w:szCs w:val="28"/>
        </w:rPr>
        <w:tab/>
      </w:r>
      <w:r w:rsidRPr="008207C1">
        <w:rPr>
          <w:sz w:val="28"/>
          <w:szCs w:val="28"/>
        </w:rPr>
        <w:tab/>
      </w:r>
      <w:r w:rsidRPr="008207C1">
        <w:rPr>
          <w:sz w:val="28"/>
          <w:szCs w:val="28"/>
        </w:rPr>
        <w:tab/>
      </w:r>
      <w:r w:rsidRPr="008207C1">
        <w:rPr>
          <w:sz w:val="28"/>
          <w:szCs w:val="28"/>
        </w:rPr>
        <w:tab/>
      </w:r>
      <w:r>
        <w:rPr>
          <w:sz w:val="28"/>
          <w:szCs w:val="28"/>
        </w:rPr>
        <w:tab/>
        <w:t>U.Augulis</w:t>
      </w:r>
    </w:p>
    <w:p w:rsidR="003C162D" w:rsidRDefault="003C162D" w:rsidP="003C162D">
      <w:pPr>
        <w:pStyle w:val="Footer"/>
      </w:pPr>
    </w:p>
    <w:p w:rsidR="00C475E3" w:rsidRDefault="00C475E3" w:rsidP="003C162D">
      <w:pPr>
        <w:pStyle w:val="Footer"/>
        <w:tabs>
          <w:tab w:val="clear" w:pos="4153"/>
          <w:tab w:val="clear" w:pos="8306"/>
        </w:tabs>
        <w:rPr>
          <w:sz w:val="20"/>
          <w:szCs w:val="20"/>
        </w:rPr>
      </w:pPr>
    </w:p>
    <w:p w:rsidR="00C475E3" w:rsidRDefault="00C475E3" w:rsidP="003C162D">
      <w:pPr>
        <w:pStyle w:val="Footer"/>
        <w:tabs>
          <w:tab w:val="clear" w:pos="4153"/>
          <w:tab w:val="clear" w:pos="8306"/>
        </w:tabs>
        <w:rPr>
          <w:sz w:val="20"/>
          <w:szCs w:val="20"/>
        </w:rPr>
      </w:pPr>
    </w:p>
    <w:p w:rsidR="009861B4" w:rsidRDefault="009861B4" w:rsidP="003C162D">
      <w:pPr>
        <w:pStyle w:val="Footer"/>
        <w:tabs>
          <w:tab w:val="clear" w:pos="4153"/>
          <w:tab w:val="clear" w:pos="8306"/>
        </w:tabs>
        <w:rPr>
          <w:sz w:val="20"/>
          <w:szCs w:val="20"/>
        </w:rPr>
      </w:pPr>
      <w:r>
        <w:rPr>
          <w:sz w:val="20"/>
          <w:szCs w:val="20"/>
        </w:rPr>
        <w:t>03.12.2014 12:40</w:t>
      </w:r>
    </w:p>
    <w:p w:rsidR="003C162D" w:rsidRDefault="003D16BA" w:rsidP="003C162D">
      <w:pPr>
        <w:pStyle w:val="Footer"/>
        <w:tabs>
          <w:tab w:val="clear" w:pos="4153"/>
          <w:tab w:val="clear" w:pos="8306"/>
        </w:tabs>
        <w:rPr>
          <w:sz w:val="20"/>
          <w:szCs w:val="20"/>
        </w:rPr>
      </w:pPr>
      <w:r>
        <w:rPr>
          <w:sz w:val="20"/>
          <w:szCs w:val="20"/>
        </w:rPr>
        <w:t>1 3</w:t>
      </w:r>
      <w:r w:rsidR="009861B4">
        <w:rPr>
          <w:sz w:val="20"/>
          <w:szCs w:val="20"/>
        </w:rPr>
        <w:t>53</w:t>
      </w:r>
    </w:p>
    <w:p w:rsidR="003C162D" w:rsidRDefault="00393CC9" w:rsidP="003C162D">
      <w:pPr>
        <w:pStyle w:val="Footer"/>
        <w:tabs>
          <w:tab w:val="clear" w:pos="4153"/>
          <w:tab w:val="clear" w:pos="8306"/>
        </w:tabs>
        <w:rPr>
          <w:sz w:val="20"/>
          <w:szCs w:val="20"/>
        </w:rPr>
      </w:pPr>
      <w:proofErr w:type="spellStart"/>
      <w:r>
        <w:rPr>
          <w:sz w:val="20"/>
          <w:szCs w:val="20"/>
        </w:rPr>
        <w:t>L.Ramane</w:t>
      </w:r>
      <w:proofErr w:type="spellEnd"/>
    </w:p>
    <w:p w:rsidR="003C162D" w:rsidRPr="00033C23" w:rsidRDefault="003C162D" w:rsidP="003C162D">
      <w:pPr>
        <w:pStyle w:val="Footer"/>
        <w:tabs>
          <w:tab w:val="clear" w:pos="4153"/>
          <w:tab w:val="clear" w:pos="8306"/>
        </w:tabs>
        <w:rPr>
          <w:sz w:val="20"/>
          <w:szCs w:val="20"/>
        </w:rPr>
      </w:pPr>
      <w:r w:rsidRPr="00033C23">
        <w:rPr>
          <w:sz w:val="20"/>
          <w:szCs w:val="20"/>
        </w:rPr>
        <w:t>Tālrunis 67021</w:t>
      </w:r>
      <w:r w:rsidR="00393CC9">
        <w:rPr>
          <w:sz w:val="20"/>
          <w:szCs w:val="20"/>
        </w:rPr>
        <w:t>554</w:t>
      </w:r>
    </w:p>
    <w:p w:rsidR="003C162D" w:rsidRPr="00033C23" w:rsidRDefault="003C162D" w:rsidP="003C162D">
      <w:pPr>
        <w:rPr>
          <w:sz w:val="20"/>
          <w:szCs w:val="20"/>
        </w:rPr>
      </w:pPr>
      <w:r w:rsidRPr="00033C23">
        <w:rPr>
          <w:sz w:val="20"/>
          <w:szCs w:val="20"/>
        </w:rPr>
        <w:t>Fakss 67021560</w:t>
      </w:r>
    </w:p>
    <w:p w:rsidR="003C162D" w:rsidRPr="00343636" w:rsidRDefault="00CF5B2D" w:rsidP="003C162D">
      <w:pPr>
        <w:rPr>
          <w:sz w:val="20"/>
          <w:szCs w:val="20"/>
        </w:rPr>
      </w:pPr>
      <w:hyperlink r:id="rId9" w:history="1">
        <w:r w:rsidR="00393CC9" w:rsidRPr="007C3623">
          <w:rPr>
            <w:rStyle w:val="Hyperlink"/>
            <w:sz w:val="20"/>
            <w:szCs w:val="20"/>
          </w:rPr>
          <w:t>liene.ramane@lm.gov.lv</w:t>
        </w:r>
      </w:hyperlink>
    </w:p>
    <w:p w:rsidR="008E750C" w:rsidRDefault="008E750C">
      <w:bookmarkStart w:id="0" w:name="_GoBack"/>
      <w:bookmarkEnd w:id="0"/>
    </w:p>
    <w:sectPr w:rsidR="008E750C" w:rsidSect="004373E9">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2D" w:rsidRDefault="00CF5B2D" w:rsidP="00534556">
      <w:r>
        <w:separator/>
      </w:r>
    </w:p>
  </w:endnote>
  <w:endnote w:type="continuationSeparator" w:id="0">
    <w:p w:rsidR="00CF5B2D" w:rsidRDefault="00CF5B2D" w:rsidP="0053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56" w:rsidRPr="00534556" w:rsidRDefault="00534556" w:rsidP="00534556">
    <w:pPr>
      <w:pStyle w:val="Footer"/>
      <w:jc w:val="both"/>
      <w:rPr>
        <w:sz w:val="20"/>
        <w:szCs w:val="20"/>
      </w:rPr>
    </w:pPr>
    <w:r w:rsidRPr="00534556">
      <w:rPr>
        <w:sz w:val="20"/>
        <w:szCs w:val="20"/>
      </w:rPr>
      <w:t>LManot_</w:t>
    </w:r>
    <w:r w:rsidR="00187686">
      <w:rPr>
        <w:sz w:val="20"/>
        <w:szCs w:val="20"/>
      </w:rPr>
      <w:t>0312</w:t>
    </w:r>
    <w:r>
      <w:rPr>
        <w:sz w:val="20"/>
        <w:szCs w:val="20"/>
      </w:rPr>
      <w:t>14</w:t>
    </w:r>
    <w:r w:rsidRPr="00534556">
      <w:rPr>
        <w:sz w:val="20"/>
        <w:szCs w:val="20"/>
      </w:rPr>
      <w:t xml:space="preserve">; </w:t>
    </w:r>
    <w:proofErr w:type="gramStart"/>
    <w:r w:rsidRPr="00534556">
      <w:rPr>
        <w:sz w:val="20"/>
        <w:szCs w:val="20"/>
        <w:lang w:eastAsia="en-US"/>
      </w:rPr>
      <w:t>Noteikumi</w:t>
    </w:r>
    <w:proofErr w:type="gramEnd"/>
    <w:r w:rsidRPr="00534556">
      <w:rPr>
        <w:sz w:val="20"/>
        <w:szCs w:val="20"/>
        <w:lang w:eastAsia="en-US"/>
      </w:rPr>
      <w:t xml:space="preserve"> par </w:t>
    </w:r>
    <w:r w:rsidRPr="00534556">
      <w:rPr>
        <w:sz w:val="20"/>
        <w:szCs w:val="20"/>
      </w:rPr>
      <w:t>Līgumu starp Latvijas Republikas Labklājības ministriju un Norvēģijas Karalisko Darba ministriju atbilstoši Eiropas Parlamenta un Padomes 2004.gada 29.aprīļa Regulas (EK) Nr.883/2004 par sociālās nodrošināšanas sistēmu koordinēšanu 16.pantam attiecībā uz Latvijas jūrniekiem, kuri nodarbināti uz Norvēģijas Starptautiskajā kuģu reģistrā reģistrētajiem kuģiem</w:t>
    </w:r>
  </w:p>
  <w:p w:rsidR="001E3B5D" w:rsidRPr="005E3B70" w:rsidRDefault="00CF5B2D" w:rsidP="005E3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Pr="00534556" w:rsidRDefault="002143CA" w:rsidP="00534556">
    <w:pPr>
      <w:pStyle w:val="Footer"/>
      <w:jc w:val="both"/>
      <w:rPr>
        <w:sz w:val="20"/>
        <w:szCs w:val="20"/>
      </w:rPr>
    </w:pPr>
    <w:r w:rsidRPr="00534556">
      <w:rPr>
        <w:sz w:val="20"/>
        <w:szCs w:val="20"/>
      </w:rPr>
      <w:t>LManot_</w:t>
    </w:r>
    <w:r w:rsidR="00187686">
      <w:rPr>
        <w:sz w:val="20"/>
        <w:szCs w:val="20"/>
      </w:rPr>
      <w:t>0312</w:t>
    </w:r>
    <w:r w:rsidR="00534556">
      <w:rPr>
        <w:sz w:val="20"/>
        <w:szCs w:val="20"/>
      </w:rPr>
      <w:t>14</w:t>
    </w:r>
    <w:r w:rsidRPr="00534556">
      <w:rPr>
        <w:sz w:val="20"/>
        <w:szCs w:val="20"/>
      </w:rPr>
      <w:t xml:space="preserve">; </w:t>
    </w:r>
    <w:proofErr w:type="gramStart"/>
    <w:r w:rsidR="00534556" w:rsidRPr="00534556">
      <w:rPr>
        <w:sz w:val="20"/>
        <w:szCs w:val="20"/>
        <w:lang w:eastAsia="en-US"/>
      </w:rPr>
      <w:t>Noteikumi</w:t>
    </w:r>
    <w:proofErr w:type="gramEnd"/>
    <w:r w:rsidR="00534556" w:rsidRPr="00534556">
      <w:rPr>
        <w:sz w:val="20"/>
        <w:szCs w:val="20"/>
        <w:lang w:eastAsia="en-US"/>
      </w:rPr>
      <w:t xml:space="preserve"> par </w:t>
    </w:r>
    <w:r w:rsidR="00534556" w:rsidRPr="00534556">
      <w:rPr>
        <w:sz w:val="20"/>
        <w:szCs w:val="20"/>
      </w:rPr>
      <w:t>Līgumu starp Latvijas Republikas Labklājības ministriju un Norvēģijas Karalisko Darba ministriju atbilstoši Eiropas Parlamenta un Padomes 2004.gada 29.aprīļa Regulas (EK) Nr.883/2004 par sociālās nodrošināšanas sistēmu koordinēšanu 16.pantam attiecībā uz Latvijas jūrniekiem, kuri nodarbināti uz Norvēģijas Starptautiskajā kuģu reģistrā reģistrētajiem kuģiem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2D" w:rsidRDefault="00CF5B2D" w:rsidP="00534556">
      <w:r>
        <w:separator/>
      </w:r>
    </w:p>
  </w:footnote>
  <w:footnote w:type="continuationSeparator" w:id="0">
    <w:p w:rsidR="00CF5B2D" w:rsidRDefault="00CF5B2D" w:rsidP="00534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2143C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B5D" w:rsidRDefault="00CF5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2143C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1B4">
      <w:rPr>
        <w:rStyle w:val="PageNumber"/>
        <w:noProof/>
      </w:rPr>
      <w:t>6</w:t>
    </w:r>
    <w:r>
      <w:rPr>
        <w:rStyle w:val="PageNumber"/>
      </w:rPr>
      <w:fldChar w:fldCharType="end"/>
    </w:r>
  </w:p>
  <w:p w:rsidR="001E3B5D" w:rsidRDefault="00CF5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61E51"/>
    <w:multiLevelType w:val="hybridMultilevel"/>
    <w:tmpl w:val="CB3C68D8"/>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2D"/>
    <w:rsid w:val="00064768"/>
    <w:rsid w:val="0011032D"/>
    <w:rsid w:val="00170D2A"/>
    <w:rsid w:val="00187686"/>
    <w:rsid w:val="001C1822"/>
    <w:rsid w:val="002143CA"/>
    <w:rsid w:val="00225A27"/>
    <w:rsid w:val="00372FB5"/>
    <w:rsid w:val="00393CC9"/>
    <w:rsid w:val="003C162D"/>
    <w:rsid w:val="003D16BA"/>
    <w:rsid w:val="003E4622"/>
    <w:rsid w:val="00427C17"/>
    <w:rsid w:val="004D306D"/>
    <w:rsid w:val="00534556"/>
    <w:rsid w:val="006445E8"/>
    <w:rsid w:val="00755107"/>
    <w:rsid w:val="00862EC0"/>
    <w:rsid w:val="008E750C"/>
    <w:rsid w:val="009602D5"/>
    <w:rsid w:val="009638D1"/>
    <w:rsid w:val="009861B4"/>
    <w:rsid w:val="00A17FE1"/>
    <w:rsid w:val="00A66332"/>
    <w:rsid w:val="00A94F8C"/>
    <w:rsid w:val="00AA7114"/>
    <w:rsid w:val="00B50D8D"/>
    <w:rsid w:val="00C36F0F"/>
    <w:rsid w:val="00C475E3"/>
    <w:rsid w:val="00CF5B2D"/>
    <w:rsid w:val="00CF75B5"/>
    <w:rsid w:val="00D244D5"/>
    <w:rsid w:val="00E5093D"/>
    <w:rsid w:val="00E50D19"/>
    <w:rsid w:val="00F76A90"/>
    <w:rsid w:val="00F7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3C162D"/>
    <w:pPr>
      <w:spacing w:before="75" w:after="75"/>
    </w:pPr>
  </w:style>
  <w:style w:type="paragraph" w:styleId="Header">
    <w:name w:val="header"/>
    <w:basedOn w:val="Normal"/>
    <w:link w:val="HeaderChar"/>
    <w:uiPriority w:val="99"/>
    <w:rsid w:val="003C162D"/>
    <w:pPr>
      <w:tabs>
        <w:tab w:val="center" w:pos="4153"/>
        <w:tab w:val="right" w:pos="8306"/>
      </w:tabs>
    </w:pPr>
  </w:style>
  <w:style w:type="character" w:customStyle="1" w:styleId="HeaderChar">
    <w:name w:val="Header Char"/>
    <w:basedOn w:val="DefaultParagraphFont"/>
    <w:link w:val="Header"/>
    <w:uiPriority w:val="99"/>
    <w:rsid w:val="003C162D"/>
    <w:rPr>
      <w:rFonts w:ascii="Times New Roman" w:eastAsia="Times New Roman" w:hAnsi="Times New Roman" w:cs="Times New Roman"/>
      <w:sz w:val="24"/>
      <w:szCs w:val="24"/>
      <w:lang w:eastAsia="lv-LV"/>
    </w:rPr>
  </w:style>
  <w:style w:type="character" w:styleId="PageNumber">
    <w:name w:val="page number"/>
    <w:uiPriority w:val="99"/>
    <w:rsid w:val="003C162D"/>
    <w:rPr>
      <w:rFonts w:cs="Times New Roman"/>
    </w:rPr>
  </w:style>
  <w:style w:type="paragraph" w:styleId="Footer">
    <w:name w:val="footer"/>
    <w:basedOn w:val="Normal"/>
    <w:link w:val="FooterChar"/>
    <w:uiPriority w:val="99"/>
    <w:rsid w:val="003C162D"/>
    <w:pPr>
      <w:tabs>
        <w:tab w:val="center" w:pos="4153"/>
        <w:tab w:val="right" w:pos="8306"/>
      </w:tabs>
    </w:pPr>
  </w:style>
  <w:style w:type="character" w:customStyle="1" w:styleId="FooterChar">
    <w:name w:val="Footer Char"/>
    <w:basedOn w:val="DefaultParagraphFont"/>
    <w:link w:val="Footer"/>
    <w:uiPriority w:val="99"/>
    <w:rsid w:val="003C162D"/>
    <w:rPr>
      <w:rFonts w:ascii="Times New Roman" w:eastAsia="Times New Roman" w:hAnsi="Times New Roman" w:cs="Times New Roman"/>
      <w:sz w:val="24"/>
      <w:szCs w:val="24"/>
      <w:lang w:eastAsia="lv-LV"/>
    </w:rPr>
  </w:style>
  <w:style w:type="paragraph" w:customStyle="1" w:styleId="naisnod">
    <w:name w:val="naisnod"/>
    <w:basedOn w:val="Normal"/>
    <w:uiPriority w:val="99"/>
    <w:rsid w:val="003C162D"/>
    <w:pPr>
      <w:spacing w:before="150" w:after="150"/>
      <w:jc w:val="center"/>
    </w:pPr>
    <w:rPr>
      <w:b/>
      <w:bCs/>
    </w:rPr>
  </w:style>
  <w:style w:type="paragraph" w:styleId="ListParagraph">
    <w:name w:val="List Paragraph"/>
    <w:basedOn w:val="Normal"/>
    <w:uiPriority w:val="99"/>
    <w:qFormat/>
    <w:rsid w:val="003C162D"/>
    <w:pPr>
      <w:ind w:left="720"/>
      <w:contextualSpacing/>
    </w:pPr>
  </w:style>
  <w:style w:type="character" w:styleId="Hyperlink">
    <w:name w:val="Hyperlink"/>
    <w:uiPriority w:val="99"/>
    <w:rsid w:val="003C162D"/>
    <w:rPr>
      <w:rFonts w:cs="Times New Roman"/>
      <w:color w:val="0000FF"/>
      <w:u w:val="single"/>
    </w:rPr>
  </w:style>
  <w:style w:type="paragraph" w:customStyle="1" w:styleId="tv2121">
    <w:name w:val="tv2121"/>
    <w:basedOn w:val="Normal"/>
    <w:rsid w:val="003C162D"/>
    <w:pPr>
      <w:spacing w:before="400" w:line="360" w:lineRule="auto"/>
      <w:jc w:val="center"/>
    </w:pPr>
    <w:rPr>
      <w:rFonts w:ascii="Verdana" w:hAnsi="Verdana"/>
      <w:b/>
      <w:bCs/>
      <w:sz w:val="20"/>
      <w:szCs w:val="20"/>
    </w:rPr>
  </w:style>
  <w:style w:type="character" w:styleId="CommentReference">
    <w:name w:val="annotation reference"/>
    <w:basedOn w:val="DefaultParagraphFont"/>
    <w:uiPriority w:val="99"/>
    <w:semiHidden/>
    <w:unhideWhenUsed/>
    <w:rsid w:val="00393CC9"/>
    <w:rPr>
      <w:sz w:val="16"/>
      <w:szCs w:val="16"/>
    </w:rPr>
  </w:style>
  <w:style w:type="paragraph" w:styleId="CommentText">
    <w:name w:val="annotation text"/>
    <w:basedOn w:val="Normal"/>
    <w:link w:val="CommentTextChar"/>
    <w:uiPriority w:val="99"/>
    <w:semiHidden/>
    <w:unhideWhenUsed/>
    <w:rsid w:val="00393CC9"/>
    <w:rPr>
      <w:sz w:val="20"/>
      <w:szCs w:val="20"/>
    </w:rPr>
  </w:style>
  <w:style w:type="character" w:customStyle="1" w:styleId="CommentTextChar">
    <w:name w:val="Comment Text Char"/>
    <w:basedOn w:val="DefaultParagraphFont"/>
    <w:link w:val="CommentText"/>
    <w:uiPriority w:val="99"/>
    <w:semiHidden/>
    <w:rsid w:val="00393CC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93CC9"/>
    <w:rPr>
      <w:b/>
      <w:bCs/>
    </w:rPr>
  </w:style>
  <w:style w:type="character" w:customStyle="1" w:styleId="CommentSubjectChar">
    <w:name w:val="Comment Subject Char"/>
    <w:basedOn w:val="CommentTextChar"/>
    <w:link w:val="CommentSubject"/>
    <w:uiPriority w:val="99"/>
    <w:semiHidden/>
    <w:rsid w:val="00393CC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93CC9"/>
    <w:rPr>
      <w:rFonts w:ascii="Tahoma" w:hAnsi="Tahoma" w:cs="Tahoma"/>
      <w:sz w:val="16"/>
      <w:szCs w:val="16"/>
    </w:rPr>
  </w:style>
  <w:style w:type="character" w:customStyle="1" w:styleId="BalloonTextChar">
    <w:name w:val="Balloon Text Char"/>
    <w:basedOn w:val="DefaultParagraphFont"/>
    <w:link w:val="BalloonText"/>
    <w:uiPriority w:val="99"/>
    <w:semiHidden/>
    <w:rsid w:val="00393CC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3C162D"/>
    <w:pPr>
      <w:spacing w:before="75" w:after="75"/>
    </w:pPr>
  </w:style>
  <w:style w:type="paragraph" w:styleId="Header">
    <w:name w:val="header"/>
    <w:basedOn w:val="Normal"/>
    <w:link w:val="HeaderChar"/>
    <w:uiPriority w:val="99"/>
    <w:rsid w:val="003C162D"/>
    <w:pPr>
      <w:tabs>
        <w:tab w:val="center" w:pos="4153"/>
        <w:tab w:val="right" w:pos="8306"/>
      </w:tabs>
    </w:pPr>
  </w:style>
  <w:style w:type="character" w:customStyle="1" w:styleId="HeaderChar">
    <w:name w:val="Header Char"/>
    <w:basedOn w:val="DefaultParagraphFont"/>
    <w:link w:val="Header"/>
    <w:uiPriority w:val="99"/>
    <w:rsid w:val="003C162D"/>
    <w:rPr>
      <w:rFonts w:ascii="Times New Roman" w:eastAsia="Times New Roman" w:hAnsi="Times New Roman" w:cs="Times New Roman"/>
      <w:sz w:val="24"/>
      <w:szCs w:val="24"/>
      <w:lang w:eastAsia="lv-LV"/>
    </w:rPr>
  </w:style>
  <w:style w:type="character" w:styleId="PageNumber">
    <w:name w:val="page number"/>
    <w:uiPriority w:val="99"/>
    <w:rsid w:val="003C162D"/>
    <w:rPr>
      <w:rFonts w:cs="Times New Roman"/>
    </w:rPr>
  </w:style>
  <w:style w:type="paragraph" w:styleId="Footer">
    <w:name w:val="footer"/>
    <w:basedOn w:val="Normal"/>
    <w:link w:val="FooterChar"/>
    <w:uiPriority w:val="99"/>
    <w:rsid w:val="003C162D"/>
    <w:pPr>
      <w:tabs>
        <w:tab w:val="center" w:pos="4153"/>
        <w:tab w:val="right" w:pos="8306"/>
      </w:tabs>
    </w:pPr>
  </w:style>
  <w:style w:type="character" w:customStyle="1" w:styleId="FooterChar">
    <w:name w:val="Footer Char"/>
    <w:basedOn w:val="DefaultParagraphFont"/>
    <w:link w:val="Footer"/>
    <w:uiPriority w:val="99"/>
    <w:rsid w:val="003C162D"/>
    <w:rPr>
      <w:rFonts w:ascii="Times New Roman" w:eastAsia="Times New Roman" w:hAnsi="Times New Roman" w:cs="Times New Roman"/>
      <w:sz w:val="24"/>
      <w:szCs w:val="24"/>
      <w:lang w:eastAsia="lv-LV"/>
    </w:rPr>
  </w:style>
  <w:style w:type="paragraph" w:customStyle="1" w:styleId="naisnod">
    <w:name w:val="naisnod"/>
    <w:basedOn w:val="Normal"/>
    <w:uiPriority w:val="99"/>
    <w:rsid w:val="003C162D"/>
    <w:pPr>
      <w:spacing w:before="150" w:after="150"/>
      <w:jc w:val="center"/>
    </w:pPr>
    <w:rPr>
      <w:b/>
      <w:bCs/>
    </w:rPr>
  </w:style>
  <w:style w:type="paragraph" w:styleId="ListParagraph">
    <w:name w:val="List Paragraph"/>
    <w:basedOn w:val="Normal"/>
    <w:uiPriority w:val="99"/>
    <w:qFormat/>
    <w:rsid w:val="003C162D"/>
    <w:pPr>
      <w:ind w:left="720"/>
      <w:contextualSpacing/>
    </w:pPr>
  </w:style>
  <w:style w:type="character" w:styleId="Hyperlink">
    <w:name w:val="Hyperlink"/>
    <w:uiPriority w:val="99"/>
    <w:rsid w:val="003C162D"/>
    <w:rPr>
      <w:rFonts w:cs="Times New Roman"/>
      <w:color w:val="0000FF"/>
      <w:u w:val="single"/>
    </w:rPr>
  </w:style>
  <w:style w:type="paragraph" w:customStyle="1" w:styleId="tv2121">
    <w:name w:val="tv2121"/>
    <w:basedOn w:val="Normal"/>
    <w:rsid w:val="003C162D"/>
    <w:pPr>
      <w:spacing w:before="400" w:line="360" w:lineRule="auto"/>
      <w:jc w:val="center"/>
    </w:pPr>
    <w:rPr>
      <w:rFonts w:ascii="Verdana" w:hAnsi="Verdana"/>
      <w:b/>
      <w:bCs/>
      <w:sz w:val="20"/>
      <w:szCs w:val="20"/>
    </w:rPr>
  </w:style>
  <w:style w:type="character" w:styleId="CommentReference">
    <w:name w:val="annotation reference"/>
    <w:basedOn w:val="DefaultParagraphFont"/>
    <w:uiPriority w:val="99"/>
    <w:semiHidden/>
    <w:unhideWhenUsed/>
    <w:rsid w:val="00393CC9"/>
    <w:rPr>
      <w:sz w:val="16"/>
      <w:szCs w:val="16"/>
    </w:rPr>
  </w:style>
  <w:style w:type="paragraph" w:styleId="CommentText">
    <w:name w:val="annotation text"/>
    <w:basedOn w:val="Normal"/>
    <w:link w:val="CommentTextChar"/>
    <w:uiPriority w:val="99"/>
    <w:semiHidden/>
    <w:unhideWhenUsed/>
    <w:rsid w:val="00393CC9"/>
    <w:rPr>
      <w:sz w:val="20"/>
      <w:szCs w:val="20"/>
    </w:rPr>
  </w:style>
  <w:style w:type="character" w:customStyle="1" w:styleId="CommentTextChar">
    <w:name w:val="Comment Text Char"/>
    <w:basedOn w:val="DefaultParagraphFont"/>
    <w:link w:val="CommentText"/>
    <w:uiPriority w:val="99"/>
    <w:semiHidden/>
    <w:rsid w:val="00393CC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93CC9"/>
    <w:rPr>
      <w:b/>
      <w:bCs/>
    </w:rPr>
  </w:style>
  <w:style w:type="character" w:customStyle="1" w:styleId="CommentSubjectChar">
    <w:name w:val="Comment Subject Char"/>
    <w:basedOn w:val="CommentTextChar"/>
    <w:link w:val="CommentSubject"/>
    <w:uiPriority w:val="99"/>
    <w:semiHidden/>
    <w:rsid w:val="00393CC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93CC9"/>
    <w:rPr>
      <w:rFonts w:ascii="Tahoma" w:hAnsi="Tahoma" w:cs="Tahoma"/>
      <w:sz w:val="16"/>
      <w:szCs w:val="16"/>
    </w:rPr>
  </w:style>
  <w:style w:type="character" w:customStyle="1" w:styleId="BalloonTextChar">
    <w:name w:val="Balloon Text Char"/>
    <w:basedOn w:val="DefaultParagraphFont"/>
    <w:link w:val="BalloonText"/>
    <w:uiPriority w:val="99"/>
    <w:semiHidden/>
    <w:rsid w:val="00393CC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1971R1408:20080707:LV: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raman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7082</Words>
  <Characters>4037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Noteikumi par Līgumu starp Latvijas Republikas Labklājības ministriju un Norvēģijas Karalisko Darba ministriju atbilstoši Eiropas Parlamenta un Padomes 2004.gada 29.aprīļa Regulas (EK) Nr.883/2004 par sociālās nodrošināšanas sistēmu koordinēšanu 16.pantam</vt:lpstr>
    </vt:vector>
  </TitlesOfParts>
  <Company>LM</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Līgumu starp Latvijas Republikas Labklājības ministriju un Norvēģijas Karalisko Darba ministriju atbilstoši Eiropas Parlamenta un Padomes 2004.gada 29.aprīļa Regulas (EK) Nr.883/2004 par sociālās nodrošināšanas sistēmu koordinēšanu 16.pantam attiecībā uz Latvijas jūrniekiem, kuri nodarbināti uz Norvēģijas Starptautiskajā kuģu reģistrā reģistrētajiem kuģiem</dc:title>
  <dc:subject>Anotācija</dc:subject>
  <dc:creator>Irena Salmane</dc:creator>
  <dc:description>L.Ramane, 67021554_x000d_
liene.ramane@lm.gov.lv</dc:description>
  <cp:lastModifiedBy>Irena Salmane</cp:lastModifiedBy>
  <cp:revision>17</cp:revision>
  <cp:lastPrinted>2014-12-03T10:41:00Z</cp:lastPrinted>
  <dcterms:created xsi:type="dcterms:W3CDTF">2014-11-11T08:43:00Z</dcterms:created>
  <dcterms:modified xsi:type="dcterms:W3CDTF">2014-12-03T10:41:00Z</dcterms:modified>
</cp:coreProperties>
</file>