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41" w:rsidRDefault="00783341" w:rsidP="00783341">
      <w:pPr>
        <w:autoSpaceDE w:val="0"/>
        <w:autoSpaceDN w:val="0"/>
        <w:adjustRightInd w:val="0"/>
        <w:jc w:val="right"/>
        <w:rPr>
          <w:bCs/>
          <w:color w:val="000000"/>
        </w:rPr>
      </w:pPr>
      <w:bookmarkStart w:id="0" w:name="_Toc400994061"/>
      <w:r>
        <w:rPr>
          <w:bCs/>
          <w:color w:val="000000"/>
        </w:rPr>
        <w:t>10. pielikums</w:t>
      </w:r>
    </w:p>
    <w:p w:rsidR="00783341" w:rsidRDefault="00783341" w:rsidP="00783341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Koncepcijai par publisko pakalpojumu sistēmas pilnveidi</w:t>
      </w:r>
    </w:p>
    <w:p w:rsidR="00783341" w:rsidRPr="00783341" w:rsidRDefault="00783341" w:rsidP="00783341"/>
    <w:p w:rsidR="00570B60" w:rsidRPr="00083F7E" w:rsidRDefault="00570B60" w:rsidP="00783341">
      <w:pPr>
        <w:pStyle w:val="Heading2"/>
        <w:ind w:left="1080"/>
        <w:rPr>
          <w:rFonts w:cs="Times New Roman"/>
          <w:sz w:val="28"/>
          <w:szCs w:val="28"/>
        </w:rPr>
      </w:pPr>
      <w:r w:rsidRPr="00083F7E">
        <w:rPr>
          <w:rFonts w:cs="Times New Roman"/>
          <w:sz w:val="28"/>
          <w:szCs w:val="28"/>
        </w:rPr>
        <w:t>Detalizēti paskaidrojumi par koncepcijas ietekmi uz valsts un pašvaldību budžetiem</w:t>
      </w:r>
      <w:bookmarkEnd w:id="0"/>
    </w:p>
    <w:p w:rsidR="00570B60" w:rsidRPr="00083F7E" w:rsidRDefault="00570B60" w:rsidP="00570B60"/>
    <w:tbl>
      <w:tblPr>
        <w:tblW w:w="140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40"/>
        <w:gridCol w:w="7938"/>
        <w:gridCol w:w="3261"/>
      </w:tblGrid>
      <w:tr w:rsidR="00570B60" w:rsidRPr="00083F7E" w:rsidTr="00570B60">
        <w:trPr>
          <w:trHeight w:val="460"/>
          <w:tblHeader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center"/>
              <w:rPr>
                <w:rFonts w:eastAsia="Times New Roman"/>
                <w:b/>
                <w:bCs/>
              </w:rPr>
            </w:pPr>
            <w:r w:rsidRPr="00083F7E">
              <w:rPr>
                <w:rFonts w:eastAsia="Times New Roman"/>
                <w:b/>
                <w:bCs/>
              </w:rPr>
              <w:t>Detalizētās izmaksu tāmes pozīcijas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60" w:rsidRPr="00083F7E" w:rsidRDefault="00570B60" w:rsidP="0017333C">
            <w:pPr>
              <w:jc w:val="center"/>
              <w:rPr>
                <w:rFonts w:eastAsia="Times New Roman"/>
                <w:b/>
                <w:bCs/>
              </w:rPr>
            </w:pPr>
            <w:r w:rsidRPr="00083F7E">
              <w:rPr>
                <w:rFonts w:eastAsia="Times New Roman"/>
                <w:b/>
                <w:bCs/>
              </w:rPr>
              <w:t>Aprēķina paskaidrojums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0" w:rsidRPr="00083F7E" w:rsidRDefault="00570B60" w:rsidP="0017333C">
            <w:pPr>
              <w:jc w:val="center"/>
              <w:rPr>
                <w:rFonts w:eastAsia="Times New Roman"/>
                <w:b/>
                <w:bCs/>
              </w:rPr>
            </w:pPr>
            <w:r w:rsidRPr="00083F7E">
              <w:rPr>
                <w:rFonts w:eastAsia="Times New Roman"/>
                <w:b/>
                <w:bCs/>
              </w:rPr>
              <w:t>Aprēķins</w:t>
            </w:r>
          </w:p>
        </w:tc>
      </w:tr>
      <w:tr w:rsidR="00570B60" w:rsidRPr="00083F7E" w:rsidTr="00570B60">
        <w:trPr>
          <w:trHeight w:val="400"/>
        </w:trPr>
        <w:tc>
          <w:tcPr>
            <w:tcW w:w="14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  <w:b/>
                <w:bCs/>
              </w:rPr>
            </w:pPr>
            <w:r w:rsidRPr="00083F7E">
              <w:rPr>
                <w:rFonts w:eastAsia="Times New Roman"/>
                <w:b/>
                <w:bCs/>
              </w:rPr>
              <w:t>1. VPVKAC tīkla izveide un uzturēšana</w:t>
            </w:r>
          </w:p>
        </w:tc>
      </w:tr>
      <w:tr w:rsidR="00570B60" w:rsidRPr="00083F7E" w:rsidTr="00570B60">
        <w:trPr>
          <w:trHeight w:val="384"/>
        </w:trPr>
        <w:tc>
          <w:tcPr>
            <w:tcW w:w="14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  <w:b/>
                <w:bCs/>
              </w:rPr>
            </w:pPr>
            <w:r w:rsidRPr="00083F7E">
              <w:rPr>
                <w:rFonts w:eastAsia="Times New Roman"/>
                <w:b/>
                <w:bCs/>
              </w:rPr>
              <w:t>JPI „Publisko pakalpojumu pieejamības nodrošināšana saskaņā ar vienas pieturas aģentūras principu”</w:t>
            </w:r>
          </w:p>
        </w:tc>
      </w:tr>
      <w:tr w:rsidR="00570B60" w:rsidRPr="00083F7E" w:rsidTr="00570B6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Transferts pašvaldībām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 </w:t>
            </w:r>
          </w:p>
        </w:tc>
      </w:tr>
      <w:tr w:rsidR="00570B60" w:rsidRPr="00083F7E" w:rsidTr="00570B60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ind w:firstLineChars="100" w:firstLine="240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Darbinieku atlīdzība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Kopējais slodžu skaits 110 VPVKAC = 132</w:t>
            </w:r>
            <w:r w:rsidRPr="00083F7E">
              <w:rPr>
                <w:rFonts w:eastAsia="Times New Roman"/>
              </w:rPr>
              <w:br/>
              <w:t>1 slodzes atlīdzība 760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 xml:space="preserve">. + </w:t>
            </w:r>
            <w:proofErr w:type="spellStart"/>
            <w:r w:rsidRPr="00083F7E">
              <w:rPr>
                <w:rFonts w:eastAsia="Times New Roman"/>
              </w:rPr>
              <w:t>DD</w:t>
            </w:r>
            <w:proofErr w:type="spellEnd"/>
            <w:r w:rsidRPr="00083F7E">
              <w:rPr>
                <w:rFonts w:eastAsia="Times New Roman"/>
              </w:rPr>
              <w:t xml:space="preserve"> </w:t>
            </w:r>
            <w:proofErr w:type="spellStart"/>
            <w:r w:rsidRPr="00083F7E">
              <w:rPr>
                <w:rFonts w:eastAsia="Times New Roman"/>
              </w:rPr>
              <w:t>soc.iemaksas</w:t>
            </w:r>
            <w:proofErr w:type="spellEnd"/>
            <w:r w:rsidRPr="00083F7E">
              <w:rPr>
                <w:rFonts w:eastAsia="Times New Roman"/>
              </w:rPr>
              <w:t xml:space="preserve"> </w:t>
            </w:r>
            <w:proofErr w:type="gramStart"/>
            <w:r w:rsidRPr="00083F7E">
              <w:rPr>
                <w:rFonts w:eastAsia="Times New Roman"/>
              </w:rPr>
              <w:t>(</w:t>
            </w:r>
            <w:proofErr w:type="gramEnd"/>
            <w:r w:rsidRPr="00083F7E">
              <w:rPr>
                <w:rFonts w:eastAsia="Times New Roman"/>
              </w:rPr>
              <w:t>amata saime 23; amata līmenis III B, mēnešalgu grupa 9)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132 x 760 x 1,2359 x 12 = 1 487 826 EUR</w:t>
            </w:r>
          </w:p>
        </w:tc>
      </w:tr>
      <w:tr w:rsidR="00570B60" w:rsidRPr="00083F7E" w:rsidTr="00570B60">
        <w:trPr>
          <w:trHeight w:val="118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ind w:firstLineChars="100" w:firstLine="240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Telpu pielāgošana VPVKAC vajadzībām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Telpu pielāgošana 21 VPVKAC:</w:t>
            </w:r>
            <w:r w:rsidRPr="00083F7E">
              <w:rPr>
                <w:rFonts w:eastAsia="Times New Roman"/>
              </w:rPr>
              <w:br/>
              <w:t xml:space="preserve">Remontdarbi: gadā katram VPVKAC būs pieejami 10 833 EUR kārtējam remontam </w:t>
            </w:r>
            <w:r w:rsidRPr="00083F7E">
              <w:rPr>
                <w:rFonts w:eastAsia="Times New Roman"/>
                <w:i/>
              </w:rPr>
              <w:t>(minētā summa nav pietiekama īres izdevumu segšanai, trūkstošā telpu pielāgošanas izdevumu daļa iekļauta JPI "VPVKAC tīkla attīstība")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10 833 x 21 = 227 491 EUR</w:t>
            </w:r>
          </w:p>
        </w:tc>
      </w:tr>
      <w:tr w:rsidR="00570B60" w:rsidRPr="00083F7E" w:rsidTr="00570B60">
        <w:trPr>
          <w:trHeight w:val="15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ind w:firstLineChars="100" w:firstLine="240"/>
              <w:jc w:val="left"/>
              <w:rPr>
                <w:rFonts w:eastAsia="Times New Roman"/>
              </w:rPr>
            </w:pPr>
            <w:proofErr w:type="gramStart"/>
            <w:r w:rsidRPr="00083F7E">
              <w:rPr>
                <w:rFonts w:eastAsia="Times New Roman"/>
              </w:rPr>
              <w:t>Darba vietu</w:t>
            </w:r>
            <w:proofErr w:type="gramEnd"/>
            <w:r w:rsidRPr="00083F7E">
              <w:rPr>
                <w:rFonts w:eastAsia="Times New Roman"/>
              </w:rPr>
              <w:t xml:space="preserve"> aprīkošana un uzturēšana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Darba vietas aprīkojums 110 VPVKAC:</w:t>
            </w:r>
            <w:r w:rsidRPr="00083F7E">
              <w:rPr>
                <w:rFonts w:eastAsia="Times New Roman"/>
              </w:rPr>
              <w:br/>
              <w:t>Galds ar dokumentu skapi 250 EUR</w:t>
            </w:r>
            <w:r w:rsidRPr="00083F7E">
              <w:rPr>
                <w:rFonts w:eastAsia="Times New Roman"/>
              </w:rPr>
              <w:br/>
              <w:t>Krēsls 150 EUR</w:t>
            </w:r>
            <w:r w:rsidRPr="00083F7E">
              <w:rPr>
                <w:rFonts w:eastAsia="Times New Roman"/>
              </w:rPr>
              <w:br/>
              <w:t>Plaukts 144,33 EUR</w:t>
            </w:r>
            <w:r w:rsidRPr="00083F7E">
              <w:rPr>
                <w:rFonts w:eastAsia="Times New Roman"/>
              </w:rPr>
              <w:br/>
              <w:t>Uz vienu VPVKAC 544,33 EUR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544,33 x 110 = 59 876 EUR</w:t>
            </w:r>
          </w:p>
        </w:tc>
      </w:tr>
      <w:tr w:rsidR="00570B60" w:rsidRPr="00083F7E" w:rsidTr="00570B60">
        <w:trPr>
          <w:trHeight w:val="20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ind w:firstLineChars="100" w:firstLine="240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Telpu uzturēšana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Tikai 21 VPVKAC:</w:t>
            </w:r>
            <w:r w:rsidRPr="00083F7E">
              <w:rPr>
                <w:rFonts w:eastAsia="Times New Roman"/>
              </w:rPr>
              <w:br/>
              <w:t>Sakari: vid. 64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</w:t>
            </w:r>
            <w:r w:rsidRPr="00083F7E">
              <w:rPr>
                <w:rFonts w:eastAsia="Times New Roman"/>
              </w:rPr>
              <w:br/>
              <w:t>Komunālie pakalpojumi: vid. 134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</w:t>
            </w:r>
            <w:r w:rsidRPr="00083F7E">
              <w:rPr>
                <w:rFonts w:eastAsia="Times New Roman"/>
              </w:rPr>
              <w:br/>
              <w:t>Telpu īre: vid. 267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 xml:space="preserve">. </w:t>
            </w:r>
            <w:r w:rsidRPr="00083F7E">
              <w:rPr>
                <w:rFonts w:eastAsia="Times New Roman"/>
                <w:i/>
              </w:rPr>
              <w:t>(minētā summa nav pietiekama īres izdevumu segšanai, trūkstošā īres maksas daļa iekļauta JPI "VPVKAC tīkla attīstība")</w:t>
            </w:r>
            <w:r w:rsidRPr="00083F7E">
              <w:rPr>
                <w:rFonts w:eastAsia="Times New Roman"/>
              </w:rPr>
              <w:br/>
              <w:t>Kondicionēšanas sistēmas uzturēšana - 201 EUR/g.</w:t>
            </w:r>
            <w:r w:rsidRPr="00083F7E">
              <w:rPr>
                <w:rFonts w:eastAsia="Times New Roman"/>
              </w:rPr>
              <w:br/>
              <w:t>Telpu uzkopšana: 78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((64 + 134 + 268 + 78) x 12 + 201) x 21 = 141 066 EUR</w:t>
            </w:r>
          </w:p>
        </w:tc>
      </w:tr>
      <w:tr w:rsidR="00570B60" w:rsidRPr="00083F7E" w:rsidTr="00570B60">
        <w:trPr>
          <w:trHeight w:val="112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ind w:firstLineChars="100" w:firstLine="240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lastRenderedPageBreak/>
              <w:t>Korespondences sūtīšana &amp; kancelejas preces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Korespondences sūtīšana: parastās un ierakstītās vēstules, vidēji</w:t>
            </w:r>
            <w:proofErr w:type="gramStart"/>
            <w:r w:rsidRPr="00083F7E">
              <w:rPr>
                <w:rFonts w:eastAsia="Times New Roman"/>
              </w:rPr>
              <w:t xml:space="preserve">  </w:t>
            </w:r>
            <w:proofErr w:type="gramEnd"/>
            <w:r w:rsidRPr="00083F7E">
              <w:rPr>
                <w:rFonts w:eastAsia="Times New Roman"/>
              </w:rPr>
              <w:t>30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</w:t>
            </w:r>
            <w:r w:rsidRPr="00083F7E">
              <w:rPr>
                <w:rFonts w:eastAsia="Times New Roman"/>
              </w:rPr>
              <w:br/>
              <w:t>Kancelejas preces: papīrs, aploksnes, pildspalvas u.c., vidēji 21,24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Korespondences sūtīšana 2015-2017: 30 x 110 x 12 = 39 600 EUR</w:t>
            </w:r>
            <w:r w:rsidRPr="00083F7E">
              <w:rPr>
                <w:rFonts w:eastAsia="Times New Roman"/>
              </w:rPr>
              <w:br/>
              <w:t>Kancelejas preces: 21,24 x 110 x 12 = 28 036 EUR</w:t>
            </w:r>
          </w:p>
        </w:tc>
      </w:tr>
      <w:tr w:rsidR="00570B60" w:rsidRPr="00083F7E" w:rsidTr="00570B60">
        <w:trPr>
          <w:trHeight w:val="155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ind w:firstLineChars="100" w:firstLine="240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VPVKAC atpazīstamības veicināšana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proofErr w:type="gramStart"/>
            <w:r w:rsidRPr="00083F7E">
              <w:rPr>
                <w:rFonts w:eastAsia="Times New Roman"/>
              </w:rPr>
              <w:t>Lakati KA</w:t>
            </w:r>
            <w:proofErr w:type="gramEnd"/>
            <w:r w:rsidRPr="00083F7E">
              <w:rPr>
                <w:rFonts w:eastAsia="Times New Roman"/>
              </w:rPr>
              <w:t xml:space="preserve"> speciālistiem 10 EUR/gab. Katram KAS 2 lakati). </w:t>
            </w:r>
            <w:r w:rsidRPr="00083F7E">
              <w:rPr>
                <w:rFonts w:eastAsia="Times New Roman"/>
              </w:rPr>
              <w:br/>
              <w:t>Informācijas stendi 30 EUR/gab., 2 stendi VPVKAC</w:t>
            </w:r>
            <w:r w:rsidRPr="00083F7E">
              <w:rPr>
                <w:rFonts w:eastAsia="Times New Roman"/>
              </w:rPr>
              <w:br/>
            </w:r>
            <w:proofErr w:type="spellStart"/>
            <w:r w:rsidRPr="00083F7E">
              <w:rPr>
                <w:rFonts w:eastAsia="Times New Roman"/>
              </w:rPr>
              <w:t>VPVKAC</w:t>
            </w:r>
            <w:proofErr w:type="spellEnd"/>
            <w:r w:rsidRPr="00083F7E">
              <w:rPr>
                <w:rFonts w:eastAsia="Times New Roman"/>
              </w:rPr>
              <w:t xml:space="preserve"> izkārtnes 600 EUR/gab. </w:t>
            </w:r>
            <w:r w:rsidRPr="00083F7E">
              <w:rPr>
                <w:rFonts w:eastAsia="Times New Roman"/>
              </w:rPr>
              <w:br/>
              <w:t>Reklāmas pakalpojumi (TV, radio, bukleti): 21 830 EUR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Lakati: 10 x 2 x 110 = 2200 EUR</w:t>
            </w:r>
            <w:r w:rsidRPr="00083F7E">
              <w:rPr>
                <w:rFonts w:eastAsia="Times New Roman"/>
              </w:rPr>
              <w:br/>
            </w:r>
            <w:proofErr w:type="spellStart"/>
            <w:r w:rsidRPr="00083F7E">
              <w:rPr>
                <w:rFonts w:eastAsia="Times New Roman"/>
              </w:rPr>
              <w:t>Info</w:t>
            </w:r>
            <w:proofErr w:type="spellEnd"/>
            <w:r w:rsidRPr="00083F7E">
              <w:rPr>
                <w:rFonts w:eastAsia="Times New Roman"/>
              </w:rPr>
              <w:t xml:space="preserve"> stendi: 30 x 2 x 110 = 6600 EUR</w:t>
            </w:r>
            <w:r w:rsidRPr="00083F7E">
              <w:rPr>
                <w:rFonts w:eastAsia="Times New Roman"/>
              </w:rPr>
              <w:br/>
              <w:t>VPVKAC izkārtnes: 600 x 110 = 66 000 EUR</w:t>
            </w:r>
            <w:r w:rsidRPr="00083F7E">
              <w:rPr>
                <w:rFonts w:eastAsia="Times New Roman"/>
              </w:rPr>
              <w:br/>
              <w:t>Reklāmas pakalpojumi: 21 830 EUR</w:t>
            </w:r>
          </w:p>
        </w:tc>
      </w:tr>
      <w:tr w:rsidR="00570B60" w:rsidRPr="00083F7E" w:rsidTr="00570B60">
        <w:trPr>
          <w:trHeight w:val="9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VPVKAC tīkla pārraudzības funkcijas nodrošināšana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Apmācības nodrošināšana VPVKAC darbiniekiem 75 600 EUR/gadā</w:t>
            </w:r>
            <w:r w:rsidRPr="00083F7E">
              <w:rPr>
                <w:rFonts w:eastAsia="Times New Roman"/>
              </w:rPr>
              <w:br/>
              <w:t>2 ekspertu pakalpojumi: 1700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</w:t>
            </w:r>
            <w:r w:rsidRPr="00083F7E">
              <w:rPr>
                <w:rFonts w:eastAsia="Times New Roman"/>
              </w:rPr>
              <w:br/>
              <w:t>Automašīnas noma VPVKAC tīkla apsekošanai: 2 503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 xml:space="preserve">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75 600 + 1700 </w:t>
            </w:r>
            <w:r w:rsidRPr="00083F7E">
              <w:rPr>
                <w:rFonts w:eastAsia="Times New Roman"/>
              </w:rPr>
              <w:t>x 12 x 2 +2 503 x 12 = 146 436 EUR</w:t>
            </w:r>
          </w:p>
        </w:tc>
      </w:tr>
      <w:tr w:rsidR="00570B60" w:rsidRPr="00083F7E" w:rsidTr="00570B60">
        <w:trPr>
          <w:trHeight w:val="384"/>
        </w:trPr>
        <w:tc>
          <w:tcPr>
            <w:tcW w:w="14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  <w:b/>
                <w:bCs/>
              </w:rPr>
            </w:pPr>
            <w:r w:rsidRPr="00083F7E">
              <w:rPr>
                <w:rFonts w:eastAsia="Times New Roman"/>
                <w:b/>
                <w:bCs/>
              </w:rPr>
              <w:t>JPI „VPVKAC tīkla attīstība”</w:t>
            </w:r>
          </w:p>
        </w:tc>
      </w:tr>
      <w:tr w:rsidR="00570B60" w:rsidRPr="00083F7E" w:rsidTr="00570B60">
        <w:trPr>
          <w:trHeight w:val="1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Darbinieku atlīdzība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Kopējais slodžu skaits 12 VPVKAC = 14,18. Vidējā slodze VPVKAC = 1,18175.</w:t>
            </w:r>
            <w:r w:rsidRPr="00083F7E">
              <w:rPr>
                <w:rFonts w:eastAsia="Times New Roman"/>
              </w:rPr>
              <w:br/>
              <w:t>1 slodzes atlīdzība 760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 xml:space="preserve">. + </w:t>
            </w:r>
            <w:proofErr w:type="spellStart"/>
            <w:r w:rsidRPr="00083F7E">
              <w:rPr>
                <w:rFonts w:eastAsia="Times New Roman"/>
              </w:rPr>
              <w:t>DD</w:t>
            </w:r>
            <w:proofErr w:type="spellEnd"/>
            <w:r w:rsidRPr="00083F7E">
              <w:rPr>
                <w:rFonts w:eastAsia="Times New Roman"/>
              </w:rPr>
              <w:t xml:space="preserve"> </w:t>
            </w:r>
            <w:proofErr w:type="spellStart"/>
            <w:r w:rsidRPr="00083F7E">
              <w:rPr>
                <w:rFonts w:eastAsia="Times New Roman"/>
              </w:rPr>
              <w:t>soc.iemaksas</w:t>
            </w:r>
            <w:proofErr w:type="spellEnd"/>
            <w:r w:rsidRPr="00083F7E">
              <w:rPr>
                <w:rFonts w:eastAsia="Times New Roman"/>
              </w:rPr>
              <w:t xml:space="preserve"> </w:t>
            </w:r>
            <w:proofErr w:type="gramStart"/>
            <w:r w:rsidRPr="00083F7E">
              <w:rPr>
                <w:rFonts w:eastAsia="Times New Roman"/>
              </w:rPr>
              <w:t>(</w:t>
            </w:r>
            <w:proofErr w:type="gramEnd"/>
            <w:r w:rsidRPr="00083F7E">
              <w:rPr>
                <w:rFonts w:eastAsia="Times New Roman"/>
              </w:rPr>
              <w:t>amata saime 23; amata līmenis III B, mēnešalgu grupa 9)</w:t>
            </w:r>
            <w:r w:rsidRPr="00083F7E">
              <w:rPr>
                <w:rFonts w:eastAsia="Times New Roman"/>
              </w:rPr>
              <w:br/>
              <w:t>12 VPVKAC tiek ieviesti pakāpeniski: 2018 -4, 2019 -4, 2020 -4.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1,18175 x 4 x 760 x 1,2359 x 12 = 53 280 EUR</w:t>
            </w:r>
          </w:p>
        </w:tc>
      </w:tr>
      <w:tr w:rsidR="00570B60" w:rsidRPr="00083F7E" w:rsidTr="00570B60">
        <w:trPr>
          <w:trHeight w:val="27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lastRenderedPageBreak/>
              <w:t>Telpu pielāgošana VPVKAC vajadzībām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  <w:u w:val="single"/>
              </w:rPr>
              <w:t>Remontdarbi:</w:t>
            </w:r>
            <w:r w:rsidRPr="00083F7E">
              <w:rPr>
                <w:rFonts w:eastAsia="Times New Roman"/>
                <w:u w:val="single"/>
              </w:rPr>
              <w:br/>
            </w:r>
            <w:r w:rsidRPr="00083F7E">
              <w:rPr>
                <w:rFonts w:eastAsia="Times New Roman"/>
                <w:b/>
                <w:bCs/>
              </w:rPr>
              <w:t>21 VPVKAC</w:t>
            </w:r>
            <w:r w:rsidRPr="00083F7E">
              <w:rPr>
                <w:rFonts w:eastAsia="Times New Roman"/>
              </w:rPr>
              <w:t xml:space="preserve"> (trūkstošā daļa </w:t>
            </w:r>
            <w:proofErr w:type="spellStart"/>
            <w:r w:rsidRPr="00083F7E">
              <w:rPr>
                <w:rFonts w:eastAsia="Times New Roman"/>
              </w:rPr>
              <w:t>2016.-2018.gg</w:t>
            </w:r>
            <w:proofErr w:type="spellEnd"/>
            <w:r w:rsidRPr="00083F7E">
              <w:rPr>
                <w:rFonts w:eastAsia="Times New Roman"/>
              </w:rPr>
              <w:t>.): 57 286,63 EUR uz katru VPVKAC</w:t>
            </w:r>
            <w:r w:rsidRPr="00083F7E">
              <w:rPr>
                <w:rFonts w:eastAsia="Times New Roman"/>
              </w:rPr>
              <w:br/>
            </w:r>
            <w:r w:rsidRPr="00083F7E">
              <w:rPr>
                <w:b/>
              </w:rPr>
              <w:t>12 VPVKAC</w:t>
            </w:r>
            <w:r w:rsidRPr="00083F7E">
              <w:t>: 109051,75 EUR uz katru</w:t>
            </w:r>
            <w:r w:rsidRPr="00083F7E">
              <w:rPr>
                <w:rFonts w:eastAsia="Times New Roman"/>
              </w:rPr>
              <w:br/>
            </w:r>
            <w:r w:rsidRPr="00083F7E">
              <w:rPr>
                <w:rFonts w:eastAsia="Times New Roman"/>
                <w:u w:val="single"/>
              </w:rPr>
              <w:t>Kapitālieguldījumi:</w:t>
            </w:r>
            <w:r w:rsidRPr="00083F7E">
              <w:rPr>
                <w:rFonts w:eastAsia="Times New Roman"/>
              </w:rPr>
              <w:br/>
              <w:t xml:space="preserve">Rindu vadības sistēma 5000 EUR, </w:t>
            </w:r>
            <w:r w:rsidRPr="00083F7E">
              <w:rPr>
                <w:rFonts w:eastAsia="Times New Roman"/>
              </w:rPr>
              <w:br/>
              <w:t>videonovērošanas sistēma 7500 EUR, kondicionēšanas sistēma - 8000 - 10 000 EUR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</w:pPr>
            <w:r w:rsidRPr="00083F7E">
              <w:rPr>
                <w:rFonts w:eastAsia="Times New Roman"/>
                <w:u w:val="single"/>
              </w:rPr>
              <w:t>Remontdarbi:</w:t>
            </w:r>
            <w:r w:rsidRPr="00083F7E">
              <w:rPr>
                <w:rFonts w:eastAsia="Times New Roman"/>
              </w:rPr>
              <w:br/>
              <w:t>21 VPVKAC = 57 286,63 x 21 = 1 203 019 EUR</w:t>
            </w:r>
            <w:r w:rsidRPr="00083F7E">
              <w:rPr>
                <w:rFonts w:eastAsia="Times New Roman"/>
              </w:rPr>
              <w:br/>
            </w:r>
            <w:r w:rsidRPr="00083F7E">
              <w:t>12 VPVKAC = 109 051,75 x 12 = 1 308 621 EUR</w:t>
            </w:r>
          </w:p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  <w:u w:val="single"/>
              </w:rPr>
              <w:t>Kapitālieguldījumi:</w:t>
            </w:r>
            <w:r w:rsidRPr="00083F7E">
              <w:rPr>
                <w:rFonts w:eastAsia="Times New Roman"/>
              </w:rPr>
              <w:br/>
              <w:t xml:space="preserve">21 VPVKAC: (5000 + 7500 </w:t>
            </w:r>
            <w:r>
              <w:rPr>
                <w:rFonts w:eastAsia="Times New Roman"/>
              </w:rPr>
              <w:t xml:space="preserve">+ 8000) x 21 = </w:t>
            </w:r>
            <w:r w:rsidRPr="00083F7E">
              <w:rPr>
                <w:rFonts w:eastAsia="Times New Roman"/>
              </w:rPr>
              <w:t>430 500 EUR</w:t>
            </w:r>
            <w:r w:rsidRPr="00083F7E">
              <w:rPr>
                <w:rFonts w:eastAsia="Times New Roman"/>
              </w:rPr>
              <w:br/>
              <w:t>12 VPVKAC: (5000 + 7500 + 10000) x 12 = 276 000 EUR</w:t>
            </w:r>
          </w:p>
        </w:tc>
      </w:tr>
      <w:tr w:rsidR="00570B60" w:rsidRPr="00083F7E" w:rsidTr="00570B60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proofErr w:type="gramStart"/>
            <w:r w:rsidRPr="00083F7E">
              <w:rPr>
                <w:rFonts w:eastAsia="Times New Roman"/>
              </w:rPr>
              <w:t>Darba vietu</w:t>
            </w:r>
            <w:proofErr w:type="gramEnd"/>
            <w:r w:rsidRPr="00083F7E">
              <w:rPr>
                <w:rFonts w:eastAsia="Times New Roman"/>
              </w:rPr>
              <w:t xml:space="preserve"> aprīkošana un uzturēšana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proofErr w:type="gramStart"/>
            <w:r w:rsidRPr="00083F7E">
              <w:rPr>
                <w:rFonts w:eastAsia="Times New Roman"/>
              </w:rPr>
              <w:t>Darba vietas</w:t>
            </w:r>
            <w:proofErr w:type="gramEnd"/>
            <w:r w:rsidRPr="00083F7E">
              <w:rPr>
                <w:rFonts w:eastAsia="Times New Roman"/>
              </w:rPr>
              <w:t xml:space="preserve"> aprīkošana ar multifunkcionālajām iekārtām 21+12 VPVKAC: 6000 EUR/gab.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6000 x (12 + 21) = 198 000 EUR</w:t>
            </w:r>
          </w:p>
        </w:tc>
      </w:tr>
      <w:tr w:rsidR="00570B60" w:rsidRPr="00083F7E" w:rsidTr="00570B60">
        <w:trPr>
          <w:trHeight w:val="283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 xml:space="preserve">Telpu uzturēšana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  <w:b/>
                <w:bCs/>
              </w:rPr>
              <w:t>21 VPVKAC:</w:t>
            </w:r>
            <w:r w:rsidRPr="00083F7E">
              <w:rPr>
                <w:rFonts w:eastAsia="Times New Roman"/>
                <w:b/>
                <w:bCs/>
              </w:rPr>
              <w:br/>
            </w:r>
            <w:r w:rsidRPr="00083F7E">
              <w:rPr>
                <w:rFonts w:eastAsia="Times New Roman"/>
              </w:rPr>
              <w:t>īres izdevumi (trūkstošā daļa): vid. 699,243 EUR/</w:t>
            </w:r>
            <w:proofErr w:type="spellStart"/>
            <w:r w:rsidRPr="00083F7E">
              <w:rPr>
                <w:rFonts w:eastAsia="Times New Roman"/>
              </w:rPr>
              <w:t>mēn.(kop.īres</w:t>
            </w:r>
            <w:proofErr w:type="spellEnd"/>
            <w:r w:rsidRPr="00083F7E">
              <w:rPr>
                <w:rFonts w:eastAsia="Times New Roman"/>
              </w:rPr>
              <w:t xml:space="preserve"> maksa vid. 896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.)</w:t>
            </w:r>
            <w:r w:rsidRPr="00083F7E">
              <w:rPr>
                <w:rFonts w:eastAsia="Times New Roman"/>
              </w:rPr>
              <w:br/>
              <w:t>Telpu uzkopšana (trūkstošā daļa): 72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</w:t>
            </w:r>
            <w:r w:rsidRPr="00083F7E">
              <w:rPr>
                <w:rFonts w:eastAsia="Times New Roman"/>
              </w:rPr>
              <w:br/>
              <w:t>21 VPVKAC uzturē</w:t>
            </w:r>
            <w:r>
              <w:rPr>
                <w:rFonts w:eastAsia="Times New Roman"/>
              </w:rPr>
              <w:t xml:space="preserve">šanas izmaksas gadā (trūkstošā </w:t>
            </w:r>
            <w:r w:rsidRPr="00083F7E">
              <w:rPr>
                <w:rFonts w:eastAsia="Times New Roman"/>
              </w:rPr>
              <w:t>daļa):</w:t>
            </w:r>
            <w:r w:rsidRPr="00083F7E">
              <w:rPr>
                <w:rFonts w:eastAsia="Times New Roman"/>
              </w:rPr>
              <w:br/>
              <w:t>Vidēji (699,243 + 72) x 12 x 21 =</w:t>
            </w:r>
            <w:proofErr w:type="gramStart"/>
            <w:r w:rsidRPr="00083F7E">
              <w:rPr>
                <w:rFonts w:eastAsia="Times New Roman"/>
              </w:rPr>
              <w:t xml:space="preserve">  </w:t>
            </w:r>
            <w:proofErr w:type="gramEnd"/>
            <w:r w:rsidRPr="00083F7E">
              <w:rPr>
                <w:rFonts w:eastAsia="Times New Roman"/>
              </w:rPr>
              <w:t>194 292</w:t>
            </w:r>
            <w:r w:rsidRPr="00083F7E">
              <w:rPr>
                <w:rFonts w:eastAsia="Times New Roman"/>
                <w:b/>
                <w:bCs/>
              </w:rPr>
              <w:t xml:space="preserve"> EUR (</w:t>
            </w:r>
            <w:proofErr w:type="spellStart"/>
            <w:r w:rsidRPr="00083F7E">
              <w:rPr>
                <w:rFonts w:eastAsia="Times New Roman"/>
                <w:b/>
                <w:bCs/>
              </w:rPr>
              <w:t>2018.-2020.gg</w:t>
            </w:r>
            <w:proofErr w:type="spellEnd"/>
            <w:r w:rsidRPr="00083F7E">
              <w:rPr>
                <w:rFonts w:eastAsia="Times New Roman"/>
                <w:b/>
                <w:bCs/>
              </w:rPr>
              <w:t>.)</w:t>
            </w:r>
            <w:r w:rsidRPr="00083F7E">
              <w:rPr>
                <w:rFonts w:eastAsia="Times New Roman"/>
                <w:b/>
                <w:bCs/>
              </w:rPr>
              <w:br/>
            </w:r>
            <w:proofErr w:type="spellStart"/>
            <w:r w:rsidRPr="00083F7E">
              <w:rPr>
                <w:rFonts w:eastAsia="Times New Roman"/>
              </w:rPr>
              <w:t>2015-2016.g</w:t>
            </w:r>
            <w:proofErr w:type="spellEnd"/>
            <w:r w:rsidRPr="00083F7E">
              <w:rPr>
                <w:rFonts w:eastAsia="Times New Roman"/>
              </w:rPr>
              <w:t>. daļa no 21 VPVKAC notiks telpu pielāgošanas remonti, tāpēc tiek pieņemts, ka uzturēšanas izmaksas 12-13 VPVKAC būs mazākas telpu īres izdevumu dēļ: 107 648 EUR.</w:t>
            </w:r>
            <w:r w:rsidRPr="00083F7E">
              <w:rPr>
                <w:rFonts w:eastAsia="Times New Roman"/>
              </w:rPr>
              <w:br/>
            </w:r>
            <w:proofErr w:type="spellStart"/>
            <w:r w:rsidRPr="00083F7E">
              <w:rPr>
                <w:rFonts w:eastAsia="Times New Roman"/>
              </w:rPr>
              <w:t>2015.-2017.gg</w:t>
            </w:r>
            <w:proofErr w:type="spellEnd"/>
            <w:r w:rsidRPr="00083F7E">
              <w:rPr>
                <w:rFonts w:eastAsia="Times New Roman"/>
              </w:rPr>
              <w:t>. telpu uzkopšana tiks nodrošināta JPI "</w:t>
            </w:r>
            <w:proofErr w:type="spellStart"/>
            <w:r w:rsidRPr="00083F7E">
              <w:rPr>
                <w:rFonts w:eastAsia="Times New Roman"/>
              </w:rPr>
              <w:t>Publlisko</w:t>
            </w:r>
            <w:proofErr w:type="spellEnd"/>
            <w:r w:rsidRPr="00083F7E">
              <w:rPr>
                <w:rFonts w:eastAsia="Times New Roman"/>
              </w:rPr>
              <w:t xml:space="preserve"> pakalpojumu pieejamības nodrošināšana saskaņā ar vienas pieturas aģentūras principu" un pašvaldību </w:t>
            </w:r>
            <w:proofErr w:type="spellStart"/>
            <w:r w:rsidRPr="00083F7E">
              <w:rPr>
                <w:rFonts w:eastAsia="Times New Roman"/>
              </w:rPr>
              <w:t>līdzfinasējuma</w:t>
            </w:r>
            <w:proofErr w:type="spellEnd"/>
            <w:r w:rsidRPr="00083F7E">
              <w:rPr>
                <w:rFonts w:eastAsia="Times New Roman"/>
              </w:rPr>
              <w:t xml:space="preserve"> ietvaros. Paplašinoties telpām un remontējot tās, ar </w:t>
            </w:r>
            <w:proofErr w:type="spellStart"/>
            <w:r w:rsidRPr="00083F7E">
              <w:rPr>
                <w:rFonts w:eastAsia="Times New Roman"/>
              </w:rPr>
              <w:t>2018.g</w:t>
            </w:r>
            <w:proofErr w:type="spellEnd"/>
            <w:r w:rsidRPr="00083F7E">
              <w:rPr>
                <w:rFonts w:eastAsia="Times New Roman"/>
              </w:rPr>
              <w:t>. telpu uzkopšanas izdevumi tiks segti no JPI "VPVKAC tīkla attīstība"</w:t>
            </w:r>
            <w:r w:rsidRPr="00083F7E">
              <w:rPr>
                <w:rFonts w:eastAsia="Times New Roman"/>
              </w:rPr>
              <w:br/>
              <w:t>2015: 0</w:t>
            </w:r>
            <w:r w:rsidRPr="00083F7E">
              <w:rPr>
                <w:rFonts w:eastAsia="Times New Roman"/>
              </w:rPr>
              <w:br/>
              <w:t>2016: 107 647 EUR</w:t>
            </w:r>
            <w:r w:rsidRPr="00083F7E">
              <w:rPr>
                <w:rFonts w:eastAsia="Times New Roman"/>
              </w:rPr>
              <w:br/>
              <w:t>2017: 699 x 12 x 21 = 176 209 EUR</w:t>
            </w:r>
            <w:r w:rsidRPr="00083F7E">
              <w:rPr>
                <w:rFonts w:eastAsia="Times New Roman"/>
              </w:rPr>
              <w:br/>
              <w:t xml:space="preserve">2018-2020: (699+72) x 12 x 21 = </w:t>
            </w:r>
            <w:r w:rsidRPr="00083F7E">
              <w:rPr>
                <w:rFonts w:eastAsia="Times New Roman"/>
                <w:b/>
                <w:bCs/>
              </w:rPr>
              <w:t>194 353 EUR gadā</w:t>
            </w:r>
            <w:r w:rsidRPr="00083F7E">
              <w:rPr>
                <w:rFonts w:eastAsia="Times New Roman"/>
              </w:rPr>
              <w:br/>
            </w:r>
            <w:r w:rsidRPr="00083F7E">
              <w:rPr>
                <w:rFonts w:eastAsia="Times New Roman"/>
                <w:b/>
                <w:bCs/>
              </w:rPr>
              <w:t>12 VPVKAC</w:t>
            </w:r>
            <w:r w:rsidRPr="00083F7E">
              <w:rPr>
                <w:rFonts w:eastAsia="Times New Roman"/>
              </w:rPr>
              <w:t>:</w:t>
            </w:r>
            <w:r w:rsidRPr="00083F7E">
              <w:rPr>
                <w:rFonts w:eastAsia="Times New Roman"/>
              </w:rPr>
              <w:br/>
              <w:t>Sakari: vid. 90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</w:t>
            </w:r>
            <w:r w:rsidRPr="00083F7E">
              <w:rPr>
                <w:rFonts w:eastAsia="Times New Roman"/>
              </w:rPr>
              <w:br/>
            </w:r>
            <w:r w:rsidRPr="00083F7E">
              <w:rPr>
                <w:rFonts w:eastAsia="Times New Roman"/>
              </w:rPr>
              <w:lastRenderedPageBreak/>
              <w:t>Komunālie pakalpojumi: vid. 1100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</w:t>
            </w:r>
            <w:r w:rsidRPr="00083F7E">
              <w:rPr>
                <w:rFonts w:eastAsia="Times New Roman"/>
              </w:rPr>
              <w:br/>
              <w:t>Telpu īre: vid. 1550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</w:t>
            </w:r>
            <w:r w:rsidRPr="00083F7E">
              <w:rPr>
                <w:rFonts w:eastAsia="Times New Roman"/>
              </w:rPr>
              <w:br/>
              <w:t>Kondicionēšanas sistēmas uzturēšana - 300 EUR/g.</w:t>
            </w:r>
            <w:r w:rsidRPr="00083F7E">
              <w:rPr>
                <w:rFonts w:eastAsia="Times New Roman"/>
              </w:rPr>
              <w:br/>
              <w:t>Telpu uzkopšana: 214,358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</w:t>
            </w:r>
            <w:r w:rsidRPr="00083F7E">
              <w:rPr>
                <w:rFonts w:eastAsia="Times New Roman"/>
              </w:rPr>
              <w:br/>
              <w:t>1 VPVKAC uzturēšanas izmaksas gadā:</w:t>
            </w:r>
            <w:r w:rsidRPr="00083F7E">
              <w:rPr>
                <w:rFonts w:eastAsia="Times New Roman"/>
              </w:rPr>
              <w:br/>
              <w:t xml:space="preserve">(90 + 1100 + 1550 + 214,358) x 12 +300= </w:t>
            </w:r>
            <w:r w:rsidRPr="00083F7E">
              <w:rPr>
                <w:rFonts w:eastAsia="Times New Roman"/>
                <w:b/>
                <w:bCs/>
              </w:rPr>
              <w:t>35 752,3 EUR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lastRenderedPageBreak/>
              <w:t xml:space="preserve">Kopējās 21 VPVKAC uzturēšanas izmaksas 2015-2020 (trūkstošā daļa): </w:t>
            </w:r>
            <w:r w:rsidRPr="00083F7E">
              <w:rPr>
                <w:rFonts w:eastAsia="Times New Roman"/>
              </w:rPr>
              <w:br/>
              <w:t>107 647 + 176 209 + 194 353 x 3 = 866 915 EUR</w:t>
            </w:r>
            <w:r w:rsidRPr="00083F7E">
              <w:rPr>
                <w:rFonts w:eastAsia="Times New Roman"/>
              </w:rPr>
              <w:br/>
              <w:t>Kopējās 12 VPVKAC uzturēšanas izmaksas 2018-2020: 35 752,3 x (4 + 8 + 12) = 858 055 EUR</w:t>
            </w:r>
            <w:r w:rsidRPr="00083F7E">
              <w:rPr>
                <w:rFonts w:eastAsia="Times New Roman"/>
              </w:rPr>
              <w:br/>
              <w:t>KOPĀ: 866 915 + 858 055 =</w:t>
            </w:r>
            <w:r w:rsidRPr="00083F7E">
              <w:rPr>
                <w:rFonts w:eastAsia="Times New Roman"/>
                <w:b/>
                <w:bCs/>
              </w:rPr>
              <w:t xml:space="preserve"> 1 724 970 EUR</w:t>
            </w:r>
          </w:p>
        </w:tc>
      </w:tr>
      <w:tr w:rsidR="00570B60" w:rsidRPr="00083F7E" w:rsidTr="00570B60">
        <w:trPr>
          <w:trHeight w:val="95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lastRenderedPageBreak/>
              <w:t>Korespondences sūtīšana &amp; kancelejas preces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Korespondences sūtīšana: parastās un ierakstītās vēstules, vidēji</w:t>
            </w:r>
            <w:proofErr w:type="gramStart"/>
            <w:r w:rsidRPr="00083F7E">
              <w:rPr>
                <w:rFonts w:eastAsia="Times New Roman"/>
              </w:rPr>
              <w:t xml:space="preserve">  </w:t>
            </w:r>
            <w:proofErr w:type="gramEnd"/>
            <w:r w:rsidRPr="00083F7E">
              <w:rPr>
                <w:rFonts w:eastAsia="Times New Roman"/>
              </w:rPr>
              <w:t>30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</w:t>
            </w:r>
            <w:r w:rsidRPr="00083F7E">
              <w:rPr>
                <w:rFonts w:eastAsia="Times New Roman"/>
              </w:rPr>
              <w:br/>
              <w:t>Kancelejas preces: papīrs, aploksnes, pildspalvas u.c., vidēji 24 EUR/</w:t>
            </w:r>
            <w:proofErr w:type="spellStart"/>
            <w:r w:rsidRPr="00083F7E">
              <w:rPr>
                <w:rFonts w:eastAsia="Times New Roman"/>
              </w:rPr>
              <w:t>mēn</w:t>
            </w:r>
            <w:proofErr w:type="spellEnd"/>
            <w:r w:rsidRPr="00083F7E">
              <w:rPr>
                <w:rFonts w:eastAsia="Times New Roman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Korespondences sūtīšana: 30 x 9 x 12 =3 240 EUR</w:t>
            </w:r>
            <w:r w:rsidRPr="00083F7E">
              <w:rPr>
                <w:rFonts w:eastAsia="Times New Roman"/>
              </w:rPr>
              <w:br/>
              <w:t>Kancelejas preces: 24 x 9 x 12 = 2 592 EUR</w:t>
            </w:r>
          </w:p>
        </w:tc>
      </w:tr>
      <w:tr w:rsidR="00570B60" w:rsidRPr="00083F7E" w:rsidTr="00570B60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VPVKAC atpazīstamības veicināšana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proofErr w:type="gramStart"/>
            <w:r w:rsidRPr="00083F7E">
              <w:rPr>
                <w:rFonts w:eastAsia="Times New Roman"/>
              </w:rPr>
              <w:t>Lakati KA</w:t>
            </w:r>
            <w:proofErr w:type="gramEnd"/>
            <w:r w:rsidRPr="00083F7E">
              <w:rPr>
                <w:rFonts w:eastAsia="Times New Roman"/>
              </w:rPr>
              <w:t xml:space="preserve"> speciālistiem 10 EUR/gab. Katram KAS 2 lakati). </w:t>
            </w:r>
            <w:r w:rsidRPr="00083F7E">
              <w:rPr>
                <w:rFonts w:eastAsia="Times New Roman"/>
              </w:rPr>
              <w:br/>
              <w:t>Informācijas stendi 30 EUR/gab., 2 stendi VPVKAC</w:t>
            </w:r>
            <w:r w:rsidRPr="00083F7E">
              <w:rPr>
                <w:rFonts w:eastAsia="Times New Roman"/>
              </w:rPr>
              <w:br/>
            </w:r>
            <w:proofErr w:type="spellStart"/>
            <w:r w:rsidRPr="00083F7E">
              <w:rPr>
                <w:rFonts w:eastAsia="Times New Roman"/>
              </w:rPr>
              <w:t>VPVKAC</w:t>
            </w:r>
            <w:proofErr w:type="spellEnd"/>
            <w:r w:rsidRPr="00083F7E">
              <w:rPr>
                <w:rFonts w:eastAsia="Times New Roman"/>
              </w:rPr>
              <w:t xml:space="preserve"> izkārtnes 600 EUR/gab. </w:t>
            </w:r>
            <w:r w:rsidRPr="00083F7E">
              <w:rPr>
                <w:rFonts w:eastAsia="Times New Roman"/>
              </w:rPr>
              <w:br/>
              <w:t>Reklāmas pakalpojumi (TV, radio, bukleti): 6240 EUR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Lakati: 10 x 2 x 12 = 240 EUR</w:t>
            </w:r>
            <w:r w:rsidRPr="00083F7E">
              <w:rPr>
                <w:rFonts w:eastAsia="Times New Roman"/>
              </w:rPr>
              <w:br/>
            </w:r>
            <w:proofErr w:type="spellStart"/>
            <w:r w:rsidRPr="00083F7E">
              <w:rPr>
                <w:rFonts w:eastAsia="Times New Roman"/>
              </w:rPr>
              <w:t>Info</w:t>
            </w:r>
            <w:proofErr w:type="spellEnd"/>
            <w:r w:rsidRPr="00083F7E">
              <w:rPr>
                <w:rFonts w:eastAsia="Times New Roman"/>
              </w:rPr>
              <w:t xml:space="preserve"> stendi: 30 x 2 x 12 = 720 EUR</w:t>
            </w:r>
            <w:r w:rsidRPr="00083F7E">
              <w:rPr>
                <w:rFonts w:eastAsia="Times New Roman"/>
              </w:rPr>
              <w:br/>
              <w:t>VPVKAC izkārtnes: 600 x 12 = 7 200 EUR</w:t>
            </w:r>
            <w:r w:rsidRPr="00083F7E">
              <w:rPr>
                <w:rFonts w:eastAsia="Times New Roman"/>
              </w:rPr>
              <w:br/>
              <w:t>Reklāmas pakalpojumi: 6240 EUR</w:t>
            </w:r>
          </w:p>
        </w:tc>
      </w:tr>
      <w:tr w:rsidR="00570B60" w:rsidRPr="00083F7E" w:rsidTr="00570B60">
        <w:trPr>
          <w:trHeight w:val="62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  <w:b/>
                <w:bCs/>
              </w:rPr>
              <w:t>Pašvaldību līdzfinansējums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</w:p>
        </w:tc>
      </w:tr>
      <w:tr w:rsidR="00570B60" w:rsidRPr="00083F7E" w:rsidTr="00570B6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  <w:bCs/>
              </w:rPr>
            </w:pPr>
            <w:r w:rsidRPr="00083F7E">
              <w:rPr>
                <w:rFonts w:eastAsia="Times New Roman"/>
                <w:bCs/>
              </w:rPr>
              <w:t>Pašvaldību līdzfinansējums (detalizēts)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  <w:u w:val="single"/>
              </w:rPr>
              <w:t>Telpu pielāgošana</w:t>
            </w:r>
            <w:r w:rsidRPr="00083F7E">
              <w:rPr>
                <w:rFonts w:eastAsia="Times New Roman"/>
              </w:rPr>
              <w:t xml:space="preserve"> 89 un 21 VPVKAC vajadzībām:</w:t>
            </w:r>
          </w:p>
          <w:p w:rsidR="00570B60" w:rsidRPr="00083F7E" w:rsidRDefault="00570B60" w:rsidP="00570B60">
            <w:pPr>
              <w:pStyle w:val="ListParagraph"/>
              <w:numPr>
                <w:ilvl w:val="0"/>
                <w:numId w:val="1"/>
              </w:numPr>
              <w:ind w:left="459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 xml:space="preserve">pašvaldības telpu nodrošināšana VPVKAC vajadzībām </w:t>
            </w:r>
            <w:r w:rsidRPr="00083F7E">
              <w:rPr>
                <w:rFonts w:eastAsia="Times New Roman"/>
                <w:b/>
              </w:rPr>
              <w:t>4 790 000 EUR</w:t>
            </w:r>
          </w:p>
          <w:p w:rsidR="00570B60" w:rsidRPr="00083F7E" w:rsidRDefault="00570B60" w:rsidP="00570B60">
            <w:pPr>
              <w:pStyle w:val="ListParagraph"/>
              <w:numPr>
                <w:ilvl w:val="0"/>
                <w:numId w:val="2"/>
              </w:numPr>
              <w:ind w:left="459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 xml:space="preserve">Remontdarbi, bezvadu interneta pieslēguma nodrošināšana klientiem, </w:t>
            </w:r>
            <w:proofErr w:type="gramStart"/>
            <w:r w:rsidRPr="00083F7E">
              <w:rPr>
                <w:rFonts w:eastAsia="Times New Roman"/>
              </w:rPr>
              <w:t>darba vietu</w:t>
            </w:r>
            <w:proofErr w:type="gramEnd"/>
            <w:r w:rsidRPr="00083F7E">
              <w:rPr>
                <w:rFonts w:eastAsia="Times New Roman"/>
              </w:rPr>
              <w:t xml:space="preserve"> aprīkošana klientu apkalpošanas speciālistiem (89 VPVKAC</w:t>
            </w:r>
            <w:r w:rsidRPr="00083F7E">
              <w:rPr>
                <w:rFonts w:eastAsia="Times New Roman"/>
                <w:b/>
              </w:rPr>
              <w:t>) 2 306 000 EUR</w:t>
            </w:r>
          </w:p>
          <w:p w:rsidR="00570B60" w:rsidRPr="00083F7E" w:rsidRDefault="00570B60" w:rsidP="0017333C">
            <w:pPr>
              <w:ind w:left="99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  <w:u w:val="single"/>
              </w:rPr>
              <w:t>Integrācija ar pakalpojumu piegādes platformu</w:t>
            </w:r>
            <w:r w:rsidRPr="00083F7E">
              <w:rPr>
                <w:rFonts w:eastAsia="Times New Roman"/>
              </w:rPr>
              <w:t xml:space="preserve">: </w:t>
            </w:r>
            <w:r w:rsidRPr="00083F7E">
              <w:rPr>
                <w:rFonts w:eastAsia="Times New Roman"/>
                <w:b/>
              </w:rPr>
              <w:t>1 205 005 EUR</w:t>
            </w:r>
          </w:p>
          <w:p w:rsidR="00570B60" w:rsidRPr="00083F7E" w:rsidRDefault="00570B60" w:rsidP="0017333C">
            <w:pPr>
              <w:ind w:left="99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  <w:u w:val="single"/>
              </w:rPr>
              <w:t>Pašvaldības darbinieku darbs, organizējot VPVKAC darbību</w:t>
            </w:r>
            <w:r w:rsidRPr="00083F7E">
              <w:rPr>
                <w:rFonts w:eastAsia="Times New Roman"/>
              </w:rPr>
              <w:t xml:space="preserve">: </w:t>
            </w:r>
          </w:p>
          <w:p w:rsidR="00570B60" w:rsidRPr="00083F7E" w:rsidRDefault="00570B60" w:rsidP="00570B60">
            <w:pPr>
              <w:pStyle w:val="ListParagraph"/>
              <w:numPr>
                <w:ilvl w:val="0"/>
                <w:numId w:val="1"/>
              </w:numPr>
              <w:ind w:left="459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lastRenderedPageBreak/>
              <w:t xml:space="preserve">89+21 VPVKAC: 10,81 stundas mēnesī uz 1 VPVKAC (atalgojuma aprēķinam, personāla vadības u.c. jautājumiem): </w:t>
            </w:r>
          </w:p>
          <w:p w:rsidR="00570B60" w:rsidRPr="00083F7E" w:rsidRDefault="00570B60" w:rsidP="0017333C">
            <w:pPr>
              <w:ind w:left="459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5,337 EUR/</w:t>
            </w:r>
            <w:proofErr w:type="spellStart"/>
            <w:r w:rsidRPr="00083F7E">
              <w:rPr>
                <w:rFonts w:eastAsia="Times New Roman"/>
              </w:rPr>
              <w:t>st</w:t>
            </w:r>
            <w:proofErr w:type="spellEnd"/>
            <w:r w:rsidRPr="00083F7E">
              <w:rPr>
                <w:rFonts w:eastAsia="Times New Roman"/>
              </w:rPr>
              <w:t xml:space="preserve"> x 10,81 x 12 x (89 + 21) = 76 154,7 EUR/gadā (2015 -2020. g.)</w:t>
            </w:r>
          </w:p>
          <w:p w:rsidR="00570B60" w:rsidRPr="00083F7E" w:rsidRDefault="00570B60" w:rsidP="00570B60">
            <w:pPr>
              <w:pStyle w:val="ListParagraph"/>
              <w:numPr>
                <w:ilvl w:val="0"/>
                <w:numId w:val="1"/>
              </w:numPr>
              <w:ind w:left="459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9 VPVKAC: 7,14 stundas mēnesī 1 VPVKAC (atalgojuma aprēķinam, personāla vadības u.c. jautājumiem):</w:t>
            </w:r>
          </w:p>
          <w:p w:rsidR="00570B60" w:rsidRPr="00083F7E" w:rsidRDefault="00570B60" w:rsidP="0017333C">
            <w:pPr>
              <w:ind w:left="459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5,337 EUR/</w:t>
            </w:r>
            <w:proofErr w:type="spellStart"/>
            <w:r w:rsidRPr="00083F7E">
              <w:rPr>
                <w:rFonts w:eastAsia="Times New Roman"/>
              </w:rPr>
              <w:t>st</w:t>
            </w:r>
            <w:proofErr w:type="spellEnd"/>
            <w:r w:rsidRPr="00083F7E">
              <w:rPr>
                <w:rFonts w:eastAsia="Times New Roman"/>
              </w:rPr>
              <w:t xml:space="preserve"> x 7,215 </w:t>
            </w:r>
            <w:proofErr w:type="spellStart"/>
            <w:r w:rsidRPr="00083F7E">
              <w:rPr>
                <w:rFonts w:eastAsia="Times New Roman"/>
              </w:rPr>
              <w:t>st</w:t>
            </w:r>
            <w:proofErr w:type="spellEnd"/>
            <w:r w:rsidRPr="00083F7E">
              <w:rPr>
                <w:rFonts w:eastAsia="Times New Roman"/>
              </w:rPr>
              <w:t xml:space="preserve"> x 12 x 12 = 5 545 EUR/gadā </w:t>
            </w:r>
          </w:p>
          <w:p w:rsidR="00570B60" w:rsidRPr="00083F7E" w:rsidRDefault="00570B60" w:rsidP="00570B60">
            <w:pPr>
              <w:pStyle w:val="ListParagraph"/>
              <w:numPr>
                <w:ilvl w:val="0"/>
                <w:numId w:val="1"/>
              </w:numPr>
              <w:ind w:left="459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 xml:space="preserve">2015-2020: 76 154,7 EUR x 6 gadi + 5 545 x 3 gadi = </w:t>
            </w:r>
            <w:r w:rsidRPr="00083F7E">
              <w:rPr>
                <w:rFonts w:eastAsia="Times New Roman"/>
                <w:b/>
              </w:rPr>
              <w:t>473 563 EUR</w:t>
            </w:r>
          </w:p>
          <w:p w:rsidR="00570B60" w:rsidRPr="00083F7E" w:rsidRDefault="00570B60" w:rsidP="0017333C">
            <w:pPr>
              <w:ind w:left="99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  <w:u w:val="single"/>
              </w:rPr>
              <w:t>Telpu uzturēšana</w:t>
            </w:r>
            <w:r w:rsidRPr="00083F7E">
              <w:rPr>
                <w:rFonts w:eastAsia="Times New Roman"/>
              </w:rPr>
              <w:t xml:space="preserve"> (daļēji): 89 pašvaldības maksās par sakaru un komunālajiem pakalpojumi no sava budžeta </w:t>
            </w:r>
          </w:p>
          <w:p w:rsidR="00570B60" w:rsidRPr="00083F7E" w:rsidRDefault="00570B60" w:rsidP="00570B60">
            <w:pPr>
              <w:pStyle w:val="ListParagraph"/>
              <w:numPr>
                <w:ilvl w:val="0"/>
                <w:numId w:val="1"/>
              </w:numPr>
              <w:ind w:left="459"/>
              <w:jc w:val="left"/>
              <w:rPr>
                <w:rFonts w:eastAsia="Times New Roman"/>
                <w:u w:val="single"/>
              </w:rPr>
            </w:pPr>
            <w:r w:rsidRPr="00083F7E">
              <w:rPr>
                <w:rFonts w:eastAsia="Times New Roman"/>
                <w:u w:val="single"/>
              </w:rPr>
              <w:t>89 +21 VPVKAC: 49,8 EUR/</w:t>
            </w:r>
            <w:proofErr w:type="spellStart"/>
            <w:r w:rsidRPr="00083F7E">
              <w:rPr>
                <w:rFonts w:eastAsia="Times New Roman"/>
                <w:u w:val="single"/>
              </w:rPr>
              <w:t>mēn</w:t>
            </w:r>
            <w:proofErr w:type="spellEnd"/>
            <w:r w:rsidRPr="00083F7E">
              <w:rPr>
                <w:rFonts w:eastAsia="Times New Roman"/>
                <w:u w:val="single"/>
              </w:rPr>
              <w:t>. uz 1 VPVKAC</w:t>
            </w:r>
          </w:p>
          <w:p w:rsidR="00570B60" w:rsidRPr="00083F7E" w:rsidRDefault="00570B60" w:rsidP="0017333C">
            <w:pPr>
              <w:ind w:left="459"/>
              <w:jc w:val="left"/>
              <w:rPr>
                <w:rFonts w:eastAsia="Times New Roman"/>
                <w:u w:val="single"/>
              </w:rPr>
            </w:pPr>
            <w:r w:rsidRPr="00083F7E">
              <w:rPr>
                <w:rFonts w:eastAsia="Times New Roman"/>
                <w:u w:val="single"/>
              </w:rPr>
              <w:t>49,8 EUR/</w:t>
            </w:r>
            <w:proofErr w:type="spellStart"/>
            <w:r w:rsidRPr="00083F7E">
              <w:rPr>
                <w:rFonts w:eastAsia="Times New Roman"/>
                <w:u w:val="single"/>
              </w:rPr>
              <w:t>mēn</w:t>
            </w:r>
            <w:proofErr w:type="spellEnd"/>
            <w:r w:rsidRPr="00083F7E">
              <w:rPr>
                <w:rFonts w:eastAsia="Times New Roman"/>
                <w:u w:val="single"/>
              </w:rPr>
              <w:t xml:space="preserve">. x 12 </w:t>
            </w:r>
            <w:proofErr w:type="spellStart"/>
            <w:r w:rsidRPr="00083F7E">
              <w:rPr>
                <w:rFonts w:eastAsia="Times New Roman"/>
                <w:u w:val="single"/>
              </w:rPr>
              <w:t>mēn</w:t>
            </w:r>
            <w:proofErr w:type="spellEnd"/>
            <w:r w:rsidRPr="00083F7E">
              <w:rPr>
                <w:rFonts w:eastAsia="Times New Roman"/>
                <w:u w:val="single"/>
              </w:rPr>
              <w:t>. x 110 VPVKAC</w:t>
            </w:r>
            <w:proofErr w:type="gramStart"/>
            <w:r w:rsidRPr="00083F7E">
              <w:rPr>
                <w:rFonts w:eastAsia="Times New Roman"/>
                <w:u w:val="single"/>
              </w:rPr>
              <w:t xml:space="preserve">  </w:t>
            </w:r>
            <w:proofErr w:type="gramEnd"/>
            <w:r w:rsidRPr="00083F7E">
              <w:rPr>
                <w:rFonts w:eastAsia="Times New Roman"/>
                <w:u w:val="single"/>
              </w:rPr>
              <w:t>= 65 736 EUR</w:t>
            </w:r>
          </w:p>
          <w:p w:rsidR="00570B60" w:rsidRPr="00083F7E" w:rsidRDefault="00570B60" w:rsidP="00570B60">
            <w:pPr>
              <w:pStyle w:val="ListParagraph"/>
              <w:numPr>
                <w:ilvl w:val="0"/>
                <w:numId w:val="1"/>
              </w:numPr>
              <w:ind w:left="459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 xml:space="preserve">9 VPVKAC: 58,34 </w:t>
            </w:r>
            <w:r w:rsidRPr="00083F7E">
              <w:rPr>
                <w:rFonts w:eastAsia="Times New Roman"/>
                <w:u w:val="single"/>
              </w:rPr>
              <w:t>EUR/</w:t>
            </w:r>
            <w:proofErr w:type="spellStart"/>
            <w:r w:rsidRPr="00083F7E">
              <w:rPr>
                <w:rFonts w:eastAsia="Times New Roman"/>
                <w:u w:val="single"/>
              </w:rPr>
              <w:t>mēn</w:t>
            </w:r>
            <w:proofErr w:type="spellEnd"/>
            <w:r w:rsidRPr="00083F7E">
              <w:rPr>
                <w:rFonts w:eastAsia="Times New Roman"/>
                <w:u w:val="single"/>
              </w:rPr>
              <w:t>. uz 1 VPVKAC</w:t>
            </w:r>
          </w:p>
          <w:p w:rsidR="00570B60" w:rsidRPr="00083F7E" w:rsidRDefault="00570B60" w:rsidP="0017333C">
            <w:pPr>
              <w:pStyle w:val="ListParagraph"/>
              <w:ind w:left="459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  <w:u w:val="single"/>
              </w:rPr>
              <w:t>59 EUR/</w:t>
            </w:r>
            <w:proofErr w:type="spellStart"/>
            <w:r w:rsidRPr="00083F7E">
              <w:rPr>
                <w:rFonts w:eastAsia="Times New Roman"/>
                <w:u w:val="single"/>
              </w:rPr>
              <w:t>mēn</w:t>
            </w:r>
            <w:proofErr w:type="spellEnd"/>
            <w:r w:rsidRPr="00083F7E">
              <w:rPr>
                <w:rFonts w:eastAsia="Times New Roman"/>
                <w:u w:val="single"/>
              </w:rPr>
              <w:t xml:space="preserve">. x 12 </w:t>
            </w:r>
            <w:proofErr w:type="spellStart"/>
            <w:r w:rsidRPr="00083F7E">
              <w:rPr>
                <w:rFonts w:eastAsia="Times New Roman"/>
                <w:u w:val="single"/>
              </w:rPr>
              <w:t>mēn</w:t>
            </w:r>
            <w:proofErr w:type="spellEnd"/>
            <w:r w:rsidRPr="00083F7E">
              <w:rPr>
                <w:rFonts w:eastAsia="Times New Roman"/>
                <w:u w:val="single"/>
              </w:rPr>
              <w:t xml:space="preserve">. x 12 VPVKAC = 8 401 EUR </w:t>
            </w:r>
            <w:r w:rsidRPr="00083F7E">
              <w:rPr>
                <w:rFonts w:eastAsia="Times New Roman"/>
              </w:rPr>
              <w:t>(2018. – 4., 2019. – 8, 2020 – 12 VPVKAC)</w:t>
            </w:r>
          </w:p>
          <w:p w:rsidR="00570B60" w:rsidRPr="00083F7E" w:rsidRDefault="00570B60" w:rsidP="00570B60">
            <w:pPr>
              <w:pStyle w:val="ListParagraph"/>
              <w:numPr>
                <w:ilvl w:val="0"/>
                <w:numId w:val="1"/>
              </w:numPr>
              <w:ind w:left="459"/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 xml:space="preserve">2015-2020: 65 736 x 6 gadi + 8 401 x 4 VPVKAC +8 401 x 8 VPVKAC + 8401 x 12 VPVKAC = </w:t>
            </w:r>
            <w:r w:rsidRPr="00083F7E">
              <w:rPr>
                <w:rFonts w:eastAsia="Times New Roman"/>
                <w:b/>
              </w:rPr>
              <w:t>411 408 EUR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lastRenderedPageBreak/>
              <w:t>Kopējā līdzfinansējuma summa 2015-2020</w:t>
            </w:r>
            <w:proofErr w:type="gramStart"/>
            <w:r w:rsidRPr="00083F7E">
              <w:rPr>
                <w:rFonts w:eastAsia="Times New Roman"/>
              </w:rPr>
              <w:t xml:space="preserve">  </w:t>
            </w:r>
            <w:proofErr w:type="gramEnd"/>
            <w:r w:rsidRPr="00083F7E">
              <w:rPr>
                <w:rFonts w:eastAsia="Times New Roman"/>
              </w:rPr>
              <w:t xml:space="preserve">= </w:t>
            </w:r>
          </w:p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 xml:space="preserve">4 790 000 EUR + 2 306 000 EUR + 1 205 005 EUR + 473 563 + 411 408 = </w:t>
            </w:r>
            <w:r w:rsidRPr="00083F7E">
              <w:rPr>
                <w:rFonts w:eastAsia="Times New Roman"/>
                <w:b/>
              </w:rPr>
              <w:t>9 185 976 EUR</w:t>
            </w:r>
          </w:p>
        </w:tc>
      </w:tr>
      <w:tr w:rsidR="00570B60" w:rsidRPr="00083F7E" w:rsidTr="00570B60">
        <w:trPr>
          <w:trHeight w:val="283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  <w:b/>
                <w:bCs/>
              </w:rPr>
            </w:pPr>
            <w:r w:rsidRPr="00083F7E">
              <w:rPr>
                <w:rFonts w:eastAsia="Times New Roman"/>
                <w:b/>
                <w:bCs/>
              </w:rPr>
              <w:lastRenderedPageBreak/>
              <w:t>2. Publisko pakalpojumu daudzkanālu piegādes platformas izveide un uzturēšana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>IKT rīka izveide:</w:t>
            </w:r>
            <w:r w:rsidRPr="00083F7E">
              <w:rPr>
                <w:rFonts w:eastAsia="Times New Roman"/>
              </w:rPr>
              <w:br/>
              <w:t>- tehniskās specifikācijas dokumentu izstrāde</w:t>
            </w:r>
            <w:r w:rsidRPr="00083F7E">
              <w:rPr>
                <w:rFonts w:eastAsia="Times New Roman"/>
              </w:rPr>
              <w:br/>
              <w:t xml:space="preserve"> - sistēmas izstrāde (ārpakalpojumi)</w:t>
            </w:r>
            <w:r w:rsidRPr="00083F7E">
              <w:rPr>
                <w:rFonts w:eastAsia="Times New Roman"/>
              </w:rPr>
              <w:br/>
              <w:t>- ar sistēmas izveidi saistītas IKT infrastruktūras iegāde</w:t>
            </w:r>
            <w:r w:rsidRPr="00083F7E">
              <w:rPr>
                <w:rFonts w:eastAsia="Times New Roman"/>
              </w:rPr>
              <w:br/>
              <w:t>- IKT sistēmas ieviešanas uzraudzība</w:t>
            </w:r>
            <w:r w:rsidRPr="00083F7E">
              <w:rPr>
                <w:rFonts w:eastAsia="Times New Roman"/>
              </w:rPr>
              <w:br/>
              <w:t>IKT rīka administrēšana 15% no izveides summas:</w:t>
            </w:r>
            <w:r w:rsidRPr="00083F7E">
              <w:rPr>
                <w:rFonts w:eastAsia="Times New Roman"/>
              </w:rPr>
              <w:br/>
              <w:t xml:space="preserve"> - ārpakalpojumi sistēmas uzturēšanai</w:t>
            </w:r>
            <w:r w:rsidRPr="00083F7E">
              <w:rPr>
                <w:rFonts w:eastAsia="Times New Roman"/>
              </w:rPr>
              <w:br/>
              <w:t xml:space="preserve"> - atlīdzība par sistēmas uzturēšanu atbildīgajiem darbiniekiem</w:t>
            </w:r>
            <w:r w:rsidRPr="00083F7E">
              <w:rPr>
                <w:rFonts w:eastAsia="Times New Roman"/>
              </w:rPr>
              <w:br/>
              <w:t xml:space="preserve"> - elektrības un sakaru pakalpojumi</w:t>
            </w:r>
            <w:r w:rsidRPr="00083F7E">
              <w:rPr>
                <w:rFonts w:eastAsia="Times New Roman"/>
              </w:rPr>
              <w:br/>
              <w:t xml:space="preserve"> - u.c. sistēmas uzturēšanas nepieciešami izdevumi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60" w:rsidRPr="00083F7E" w:rsidRDefault="00570B60" w:rsidP="0017333C">
            <w:pPr>
              <w:jc w:val="left"/>
              <w:rPr>
                <w:rFonts w:eastAsia="Times New Roman"/>
              </w:rPr>
            </w:pPr>
            <w:r w:rsidRPr="00083F7E">
              <w:rPr>
                <w:rFonts w:eastAsia="Times New Roman"/>
              </w:rPr>
              <w:t xml:space="preserve">Precīzāks IKT rīka izveides un uzturēšanas izmaksu sadalījums tiks </w:t>
            </w:r>
            <w:proofErr w:type="gramStart"/>
            <w:r w:rsidRPr="00083F7E">
              <w:rPr>
                <w:rFonts w:eastAsia="Times New Roman"/>
              </w:rPr>
              <w:t>sniegts koncepcijā "Ar pakalpojumiem saistīto informācijas sistēmu attīstība"</w:t>
            </w:r>
            <w:proofErr w:type="gramEnd"/>
          </w:p>
        </w:tc>
      </w:tr>
    </w:tbl>
    <w:p w:rsidR="00882D9F" w:rsidRDefault="00882D9F" w:rsidP="00882D9F">
      <w:pPr>
        <w:tabs>
          <w:tab w:val="left" w:pos="426"/>
        </w:tabs>
      </w:pPr>
    </w:p>
    <w:p w:rsidR="00F47859" w:rsidRPr="00E50147" w:rsidRDefault="00F47859" w:rsidP="00882D9F">
      <w:pPr>
        <w:tabs>
          <w:tab w:val="left" w:pos="426"/>
        </w:tabs>
      </w:pPr>
      <w:bookmarkStart w:id="1" w:name="_GoBack"/>
      <w:bookmarkEnd w:id="1"/>
    </w:p>
    <w:p w:rsidR="00882D9F" w:rsidRPr="00E50147" w:rsidRDefault="00783341" w:rsidP="00882D9F">
      <w:r>
        <w:t>M</w:t>
      </w:r>
      <w:r w:rsidR="00882D9F" w:rsidRPr="00E50147">
        <w:t xml:space="preserve">inistrs </w:t>
      </w:r>
      <w:r w:rsidR="00882D9F" w:rsidRPr="00E50147">
        <w:tab/>
      </w:r>
      <w:r w:rsidR="00882D9F" w:rsidRPr="00E50147">
        <w:tab/>
      </w:r>
      <w:r w:rsidR="00882D9F" w:rsidRPr="00E50147">
        <w:tab/>
      </w:r>
      <w:r w:rsidR="00882D9F" w:rsidRPr="00E50147">
        <w:tab/>
      </w:r>
      <w:r w:rsidR="00951757">
        <w:tab/>
      </w:r>
      <w:r w:rsidR="00951757">
        <w:tab/>
      </w:r>
      <w:r w:rsidR="00951757">
        <w:tab/>
      </w:r>
      <w:r w:rsidR="00951757">
        <w:tab/>
      </w:r>
      <w:r w:rsidR="00951757">
        <w:tab/>
      </w:r>
      <w:r w:rsidR="00951757">
        <w:tab/>
      </w:r>
      <w:r w:rsidR="00882D9F" w:rsidRPr="00E50147">
        <w:tab/>
      </w:r>
      <w:r w:rsidR="00882D9F" w:rsidRPr="00E50147">
        <w:tab/>
      </w:r>
      <w:r w:rsidR="00882D9F" w:rsidRPr="00E50147">
        <w:tab/>
      </w:r>
      <w:r w:rsidR="00882D9F" w:rsidRPr="00E50147">
        <w:tab/>
      </w:r>
      <w:r w:rsidR="00882D9F" w:rsidRPr="00E50147">
        <w:tab/>
      </w:r>
      <w:r w:rsidR="00882D9F" w:rsidRPr="00E50147">
        <w:tab/>
        <w:t>R. Naudiņš</w:t>
      </w:r>
    </w:p>
    <w:p w:rsidR="00882D9F" w:rsidRPr="00951757" w:rsidRDefault="00882D9F" w:rsidP="00570B60">
      <w:pPr>
        <w:rPr>
          <w:sz w:val="20"/>
          <w:szCs w:val="20"/>
        </w:rPr>
      </w:pPr>
    </w:p>
    <w:p w:rsidR="00882D9F" w:rsidRPr="00951757" w:rsidRDefault="00882D9F" w:rsidP="00570B60">
      <w:pPr>
        <w:rPr>
          <w:sz w:val="20"/>
          <w:szCs w:val="20"/>
        </w:rPr>
      </w:pPr>
    </w:p>
    <w:p w:rsidR="00882D9F" w:rsidRPr="00EE25E9" w:rsidRDefault="00882D9F" w:rsidP="00882D9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783341">
        <w:rPr>
          <w:sz w:val="20"/>
          <w:szCs w:val="20"/>
        </w:rPr>
        <w:t>7</w:t>
      </w:r>
      <w:r>
        <w:rPr>
          <w:sz w:val="20"/>
          <w:szCs w:val="20"/>
        </w:rPr>
        <w:t xml:space="preserve">.10.2014. </w:t>
      </w:r>
      <w:r w:rsidR="00783341">
        <w:rPr>
          <w:sz w:val="20"/>
          <w:szCs w:val="20"/>
        </w:rPr>
        <w:t>09:00</w:t>
      </w:r>
    </w:p>
    <w:p w:rsidR="00882D9F" w:rsidRPr="00EE25E9" w:rsidRDefault="00783341" w:rsidP="00882D9F">
      <w:pPr>
        <w:rPr>
          <w:sz w:val="20"/>
          <w:szCs w:val="20"/>
        </w:rPr>
      </w:pPr>
      <w:r>
        <w:rPr>
          <w:sz w:val="20"/>
          <w:szCs w:val="20"/>
        </w:rPr>
        <w:t>1215</w:t>
      </w:r>
    </w:p>
    <w:p w:rsidR="00882D9F" w:rsidRPr="00EE25E9" w:rsidRDefault="00882D9F" w:rsidP="00882D9F">
      <w:pPr>
        <w:tabs>
          <w:tab w:val="left" w:pos="6161"/>
        </w:tabs>
        <w:rPr>
          <w:sz w:val="20"/>
          <w:szCs w:val="20"/>
        </w:rPr>
      </w:pPr>
      <w:r w:rsidRPr="00EE25E9">
        <w:rPr>
          <w:sz w:val="20"/>
          <w:szCs w:val="20"/>
        </w:rPr>
        <w:t>M.Anspoka, 66016538</w:t>
      </w:r>
      <w:r w:rsidRPr="00EE25E9">
        <w:rPr>
          <w:sz w:val="20"/>
          <w:szCs w:val="20"/>
        </w:rPr>
        <w:tab/>
      </w:r>
    </w:p>
    <w:p w:rsidR="00882D9F" w:rsidRPr="00EE25E9" w:rsidRDefault="000744BA" w:rsidP="00882D9F">
      <w:pPr>
        <w:rPr>
          <w:sz w:val="20"/>
          <w:szCs w:val="20"/>
        </w:rPr>
      </w:pPr>
      <w:hyperlink r:id="rId8" w:history="1">
        <w:r w:rsidR="00882D9F" w:rsidRPr="00EE25E9">
          <w:rPr>
            <w:rStyle w:val="Hyperlink"/>
            <w:sz w:val="20"/>
            <w:szCs w:val="20"/>
          </w:rPr>
          <w:t>Maija.Anspoka@varam.gov.lv</w:t>
        </w:r>
      </w:hyperlink>
    </w:p>
    <w:sectPr w:rsidR="00882D9F" w:rsidRPr="00EE25E9" w:rsidSect="00486244">
      <w:headerReference w:type="default" r:id="rId9"/>
      <w:pgSz w:w="16838" w:h="11906" w:orient="landscape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BA" w:rsidRDefault="000744BA" w:rsidP="00486244">
      <w:r>
        <w:separator/>
      </w:r>
    </w:p>
  </w:endnote>
  <w:endnote w:type="continuationSeparator" w:id="0">
    <w:p w:rsidR="000744BA" w:rsidRDefault="000744BA" w:rsidP="0048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BA" w:rsidRDefault="000744BA" w:rsidP="00486244">
      <w:r>
        <w:separator/>
      </w:r>
    </w:p>
  </w:footnote>
  <w:footnote w:type="continuationSeparator" w:id="0">
    <w:p w:rsidR="000744BA" w:rsidRDefault="000744BA" w:rsidP="0048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2638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6244" w:rsidRDefault="00486244" w:rsidP="004862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8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7FE"/>
    <w:multiLevelType w:val="hybridMultilevel"/>
    <w:tmpl w:val="95F0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6371C"/>
    <w:multiLevelType w:val="hybridMultilevel"/>
    <w:tmpl w:val="F614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60"/>
    <w:rsid w:val="000744BA"/>
    <w:rsid w:val="003120FA"/>
    <w:rsid w:val="003D33D3"/>
    <w:rsid w:val="00486244"/>
    <w:rsid w:val="00570B60"/>
    <w:rsid w:val="00783341"/>
    <w:rsid w:val="00882D9F"/>
    <w:rsid w:val="00951757"/>
    <w:rsid w:val="009F7CE2"/>
    <w:rsid w:val="00B57EB9"/>
    <w:rsid w:val="00BC576B"/>
    <w:rsid w:val="00C824AE"/>
    <w:rsid w:val="00F4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before="4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60"/>
    <w:pPr>
      <w:spacing w:before="0"/>
      <w:ind w:left="0" w:firstLine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B60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0B60"/>
    <w:rPr>
      <w:rFonts w:eastAsiaTheme="majorEastAsia" w:cstheme="majorBidi"/>
      <w:b/>
      <w:bCs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70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B60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570B60"/>
  </w:style>
  <w:style w:type="paragraph" w:styleId="Header">
    <w:name w:val="header"/>
    <w:basedOn w:val="Normal"/>
    <w:link w:val="HeaderChar"/>
    <w:uiPriority w:val="99"/>
    <w:unhideWhenUsed/>
    <w:rsid w:val="004862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244"/>
  </w:style>
  <w:style w:type="paragraph" w:styleId="Footer">
    <w:name w:val="footer"/>
    <w:basedOn w:val="Normal"/>
    <w:link w:val="FooterChar"/>
    <w:uiPriority w:val="99"/>
    <w:unhideWhenUsed/>
    <w:rsid w:val="004862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before="4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60"/>
    <w:pPr>
      <w:spacing w:before="0"/>
      <w:ind w:left="0" w:firstLine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B60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0B60"/>
    <w:rPr>
      <w:rFonts w:eastAsiaTheme="majorEastAsia" w:cstheme="majorBidi"/>
      <w:b/>
      <w:bCs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70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B60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570B60"/>
  </w:style>
  <w:style w:type="paragraph" w:styleId="Header">
    <w:name w:val="header"/>
    <w:basedOn w:val="Normal"/>
    <w:link w:val="HeaderChar"/>
    <w:uiPriority w:val="99"/>
    <w:unhideWhenUsed/>
    <w:rsid w:val="004862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244"/>
  </w:style>
  <w:style w:type="paragraph" w:styleId="Footer">
    <w:name w:val="footer"/>
    <w:basedOn w:val="Normal"/>
    <w:link w:val="FooterChar"/>
    <w:uiPriority w:val="99"/>
    <w:unhideWhenUsed/>
    <w:rsid w:val="004862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granta@varam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4893</Words>
  <Characters>2790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Anspoka</dc:creator>
  <cp:lastModifiedBy>Maija Anspoka</cp:lastModifiedBy>
  <cp:revision>6</cp:revision>
  <dcterms:created xsi:type="dcterms:W3CDTF">2014-10-24T15:06:00Z</dcterms:created>
  <dcterms:modified xsi:type="dcterms:W3CDTF">2014-10-27T07:04:00Z</dcterms:modified>
</cp:coreProperties>
</file>