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93" w:rsidRDefault="00B97E93" w:rsidP="00B97E93">
      <w:pPr>
        <w:autoSpaceDE w:val="0"/>
        <w:autoSpaceDN w:val="0"/>
        <w:adjustRightInd w:val="0"/>
        <w:jc w:val="right"/>
        <w:rPr>
          <w:bCs/>
          <w:color w:val="000000"/>
        </w:rPr>
      </w:pPr>
      <w:bookmarkStart w:id="0" w:name="_Toc400994060"/>
      <w:r>
        <w:rPr>
          <w:bCs/>
          <w:color w:val="000000"/>
        </w:rPr>
        <w:t>9</w:t>
      </w:r>
      <w:r>
        <w:rPr>
          <w:bCs/>
          <w:color w:val="000000"/>
        </w:rPr>
        <w:t>. pielikums</w:t>
      </w:r>
    </w:p>
    <w:p w:rsidR="00B97E93" w:rsidRDefault="00B97E93" w:rsidP="00B97E93">
      <w:pPr>
        <w:autoSpaceDE w:val="0"/>
        <w:autoSpaceDN w:val="0"/>
        <w:adjustRightInd w:val="0"/>
        <w:jc w:val="right"/>
        <w:rPr>
          <w:bCs/>
          <w:color w:val="000000"/>
        </w:rPr>
      </w:pPr>
      <w:r>
        <w:rPr>
          <w:bCs/>
          <w:color w:val="000000"/>
        </w:rPr>
        <w:t>Koncepcijai par publisko pakalpojumu sistēmas pilnveidi</w:t>
      </w:r>
    </w:p>
    <w:p w:rsidR="00B97E93" w:rsidRPr="00B97E93" w:rsidRDefault="00B97E93" w:rsidP="00B97E93">
      <w:pPr>
        <w:pStyle w:val="Heading2"/>
        <w:jc w:val="both"/>
        <w:rPr>
          <w:rFonts w:eastAsiaTheme="minorHAnsi" w:cs="Times New Roman"/>
          <w:b w:val="0"/>
          <w:szCs w:val="24"/>
        </w:rPr>
      </w:pPr>
    </w:p>
    <w:p w:rsidR="00B97E93" w:rsidRPr="00B97E93" w:rsidRDefault="00B97E93" w:rsidP="00B97E93"/>
    <w:p w:rsidR="008271DA" w:rsidRPr="00083F7E" w:rsidRDefault="008271DA" w:rsidP="008271DA">
      <w:pPr>
        <w:pStyle w:val="Heading2"/>
        <w:rPr>
          <w:rFonts w:cs="Times New Roman"/>
          <w:sz w:val="28"/>
          <w:szCs w:val="28"/>
        </w:rPr>
      </w:pPr>
      <w:r w:rsidRPr="00083F7E">
        <w:rPr>
          <w:rFonts w:cs="Times New Roman"/>
          <w:sz w:val="28"/>
          <w:szCs w:val="28"/>
        </w:rPr>
        <w:t>Finanšu un ekonomisko ieguvumu aprēķina metodika</w:t>
      </w:r>
      <w:bookmarkEnd w:id="0"/>
    </w:p>
    <w:p w:rsidR="008271DA" w:rsidRPr="00083F7E" w:rsidRDefault="008271DA" w:rsidP="008271DA"/>
    <w:p w:rsidR="008271DA" w:rsidRPr="00083F7E" w:rsidRDefault="008271DA" w:rsidP="008271DA">
      <w:pPr>
        <w:ind w:firstLine="709"/>
      </w:pPr>
      <w:r w:rsidRPr="00083F7E">
        <w:t>Ekonomiski VPVKAC tīkla izveide ir orientēta gan uz iedzīvotāju izmaksu samazinājumu, gan uz valsts budžeta līdzekļu ietaupījumu.</w:t>
      </w:r>
    </w:p>
    <w:p w:rsidR="008271DA" w:rsidRPr="00083F7E" w:rsidRDefault="008271DA" w:rsidP="008271DA">
      <w:pPr>
        <w:ind w:firstLine="709"/>
      </w:pPr>
      <w:r w:rsidRPr="00083F7E">
        <w:t>Finanšu ieguvumi ir izmaksu ietaupījums, kas veidojas iestādēm, nododot pakalpojumus VPVKAC. Ieviešot VPVKAC koncepciju, veidojas šādi finanšu ieguvumi:</w:t>
      </w:r>
    </w:p>
    <w:p w:rsidR="008271DA" w:rsidRPr="00083F7E" w:rsidRDefault="008271DA" w:rsidP="008271DA">
      <w:pPr>
        <w:pStyle w:val="ListParagraph"/>
        <w:numPr>
          <w:ilvl w:val="0"/>
          <w:numId w:val="7"/>
        </w:numPr>
        <w:tabs>
          <w:tab w:val="left" w:pos="1418"/>
        </w:tabs>
        <w:ind w:left="0" w:firstLine="851"/>
      </w:pPr>
      <w:r w:rsidRPr="00083F7E">
        <w:t>Iestāžu reģionālo nodaļu telpu uzturēšanas izmaksu samazinājums.</w:t>
      </w:r>
    </w:p>
    <w:p w:rsidR="008271DA" w:rsidRPr="00083F7E" w:rsidRDefault="008271DA" w:rsidP="008271DA">
      <w:pPr>
        <w:pStyle w:val="ListParagraph"/>
        <w:numPr>
          <w:ilvl w:val="0"/>
          <w:numId w:val="7"/>
        </w:numPr>
        <w:tabs>
          <w:tab w:val="left" w:pos="1418"/>
        </w:tabs>
        <w:ind w:left="0" w:firstLine="851"/>
      </w:pPr>
      <w:r w:rsidRPr="00083F7E">
        <w:t>Klientu apkalpošanas speciālistu noslodzes samazinājums:</w:t>
      </w:r>
    </w:p>
    <w:p w:rsidR="008271DA" w:rsidRPr="00083F7E" w:rsidRDefault="008271DA" w:rsidP="008271DA">
      <w:pPr>
        <w:pStyle w:val="ListParagraph"/>
        <w:numPr>
          <w:ilvl w:val="0"/>
          <w:numId w:val="8"/>
        </w:numPr>
        <w:tabs>
          <w:tab w:val="left" w:pos="1701"/>
        </w:tabs>
        <w:ind w:left="0" w:firstLine="1080"/>
      </w:pPr>
      <w:r w:rsidRPr="00083F7E">
        <w:t>zinot, ka noteikta daļa pakalpojumu tiks nodota 89 VPVKAC;</w:t>
      </w:r>
    </w:p>
    <w:p w:rsidR="008271DA" w:rsidRPr="00083F7E" w:rsidRDefault="008271DA" w:rsidP="008271DA">
      <w:pPr>
        <w:pStyle w:val="ListParagraph"/>
        <w:numPr>
          <w:ilvl w:val="0"/>
          <w:numId w:val="8"/>
        </w:numPr>
        <w:tabs>
          <w:tab w:val="left" w:pos="1701"/>
        </w:tabs>
        <w:ind w:left="0" w:firstLine="1080"/>
      </w:pPr>
      <w:r w:rsidRPr="00083F7E">
        <w:t>elektronizācijas pakalpojumu popularitātes pieaugšanas dēļ.</w:t>
      </w:r>
    </w:p>
    <w:p w:rsidR="008271DA" w:rsidRPr="00083F7E" w:rsidRDefault="008271DA" w:rsidP="008271DA">
      <w:pPr>
        <w:ind w:firstLine="709"/>
      </w:pPr>
      <w:r w:rsidRPr="00083F7E">
        <w:t xml:space="preserve">Ieviešot VPVKAC tīklu, pakalpojumu sniedzēji (iestādes) pakāpeniski izvietos savus klientu apkalpošanas speciālistus VPVKAC telpās. Reorganizējot pakalpojumu izpildi – piemēram, koncentrējot to vienā vai atsevišķās vietās – esošās iestāžu telpas var tikt daļēji atslogotas, attiecīgi samazinot iestāžu izmaksas. </w:t>
      </w:r>
    </w:p>
    <w:p w:rsidR="008271DA" w:rsidRPr="00083F7E" w:rsidRDefault="008271DA" w:rsidP="008271DA">
      <w:pPr>
        <w:ind w:firstLine="709"/>
      </w:pPr>
      <w:r w:rsidRPr="00083F7E">
        <w:t>VPVKAC tīkls 89 novadu nozīmes attīstības centros apkalpos 60% iedzīvotāju, sniedzot minimālo valsts pakalpojumu grozu (skat. pakalpojumu pieprasījumu prognozi 5.3.3.4. sadaļā). Tas nozīmē, ka iestāžu klientu apkalpošanas speciālistu noslodze samazināsies. Savukārt pakalpojumi, kuri netiek nodoti VPVKAC 89 novadu nozīmes attīstības centros, pilnā apmērā tiek nodrošināti attiecīgajā valsts pārvaldes iestādē klātienē vai elektronisku pakalpojumu veidā.</w:t>
      </w:r>
    </w:p>
    <w:p w:rsidR="008271DA" w:rsidRPr="00083F7E" w:rsidRDefault="008271DA" w:rsidP="008271DA">
      <w:pPr>
        <w:ind w:firstLine="709"/>
      </w:pPr>
      <w:r w:rsidRPr="00083F7E">
        <w:t>Viens VPVKAC tīkla uzdevumiem būs konsultēt iedzīvotājus par iespēju pieteikties pakalpojumu saņemšanai elektroniski un praktiski palīdzēt iedzīvotājiem apgūt tādas iemaņas. Pieņemot, ka katrs desmitais VPVKAC apmeklētājs turpmāk izmantos pieejamos e-pakalpojumus, klātienē pieteikto pakalpojumu skaits samazināsies. Līdz ar to pakāpeniski samazināsies arī VPVKAC klientu apkalpošanas speciālistu noslodze.</w:t>
      </w:r>
    </w:p>
    <w:p w:rsidR="008271DA" w:rsidRPr="00083F7E" w:rsidRDefault="008271DA" w:rsidP="008271DA">
      <w:pPr>
        <w:ind w:firstLine="709"/>
      </w:pPr>
      <w:r w:rsidRPr="00083F7E">
        <w:t>Finanšu ieguvumu aprēķins pamatots ar šādiem pieņēmumiem (skat. 1. tabulu):</w:t>
      </w:r>
    </w:p>
    <w:p w:rsidR="008271DA" w:rsidRPr="00083F7E" w:rsidRDefault="008271DA" w:rsidP="008271DA">
      <w:pPr>
        <w:pStyle w:val="ListParagraph"/>
        <w:numPr>
          <w:ilvl w:val="0"/>
          <w:numId w:val="1"/>
        </w:numPr>
        <w:tabs>
          <w:tab w:val="left" w:pos="1418"/>
        </w:tabs>
        <w:ind w:left="0" w:firstLine="851"/>
      </w:pPr>
      <w:r w:rsidRPr="00083F7E">
        <w:t>telpu izmaksu izvērtējuma pamatā tika izmantotas izlases iestāžu sniegtie dati par reģionālo nodaļu telpām un darbiniekiem:</w:t>
      </w:r>
    </w:p>
    <w:p w:rsidR="008271DA" w:rsidRPr="00083F7E" w:rsidRDefault="008271DA" w:rsidP="008271DA">
      <w:pPr>
        <w:pStyle w:val="ListParagraph"/>
        <w:numPr>
          <w:ilvl w:val="1"/>
          <w:numId w:val="1"/>
        </w:numPr>
        <w:tabs>
          <w:tab w:val="left" w:pos="1701"/>
        </w:tabs>
        <w:ind w:left="0" w:firstLine="1134"/>
      </w:pPr>
      <w:r w:rsidRPr="00083F7E">
        <w:t>dati par telpu platību, izmaksām, darbinieku skaitu un amatu sadalījumu;</w:t>
      </w:r>
    </w:p>
    <w:p w:rsidR="008271DA" w:rsidRPr="00083F7E" w:rsidRDefault="008271DA" w:rsidP="008271DA">
      <w:pPr>
        <w:pStyle w:val="ListParagraph"/>
        <w:numPr>
          <w:ilvl w:val="1"/>
          <w:numId w:val="1"/>
        </w:numPr>
        <w:tabs>
          <w:tab w:val="left" w:pos="1701"/>
        </w:tabs>
        <w:ind w:left="0" w:firstLine="1134"/>
      </w:pPr>
      <w:r w:rsidRPr="00083F7E">
        <w:t>prognoze par e-pakalpojumu apjoma izmaiņām 2015. – 2020. gadā;</w:t>
      </w:r>
    </w:p>
    <w:p w:rsidR="008271DA" w:rsidRPr="00083F7E" w:rsidRDefault="008271DA" w:rsidP="008271DA">
      <w:pPr>
        <w:pStyle w:val="ListParagraph"/>
        <w:numPr>
          <w:ilvl w:val="1"/>
          <w:numId w:val="1"/>
        </w:numPr>
        <w:tabs>
          <w:tab w:val="left" w:pos="1701"/>
        </w:tabs>
        <w:ind w:left="0" w:firstLine="1134"/>
      </w:pPr>
      <w:r w:rsidRPr="00083F7E">
        <w:t>prognoze par iestāžu darbinieku izvietošanu VPVKAC telpās;</w:t>
      </w:r>
    </w:p>
    <w:p w:rsidR="008271DA" w:rsidRPr="00083F7E" w:rsidRDefault="008271DA" w:rsidP="008271DA">
      <w:pPr>
        <w:pStyle w:val="ListParagraph"/>
        <w:numPr>
          <w:ilvl w:val="0"/>
          <w:numId w:val="1"/>
        </w:numPr>
        <w:tabs>
          <w:tab w:val="left" w:pos="1418"/>
        </w:tabs>
        <w:ind w:left="0" w:firstLine="851"/>
      </w:pPr>
      <w:r w:rsidRPr="00083F7E">
        <w:t>aprēķini par iestādēm, kuras nebija iesniegušas informāciju par telpu sadalījumu, tika veikti, pamatojoties uz līdzīgo iestāžu proporcionālo telpu sadalījumu;</w:t>
      </w:r>
    </w:p>
    <w:p w:rsidR="008271DA" w:rsidRPr="00083F7E" w:rsidRDefault="008271DA" w:rsidP="008271DA">
      <w:pPr>
        <w:pStyle w:val="ListParagraph"/>
        <w:numPr>
          <w:ilvl w:val="0"/>
          <w:numId w:val="1"/>
        </w:numPr>
        <w:tabs>
          <w:tab w:val="left" w:pos="1418"/>
        </w:tabs>
        <w:ind w:left="0" w:firstLine="851"/>
      </w:pPr>
      <w:r w:rsidRPr="00083F7E">
        <w:t>klientu apkalpošanas noslodzes izmaiņu aprēķinam tika izmantoti izlases iestāžu mājas lapās publiskotie dati par darbinieku atlīdzību un ekspertu vērtējums par novadu iedzīvotāju novirzi un 89 VPVKAC novadu nozīmes attīstības centros;</w:t>
      </w:r>
    </w:p>
    <w:p w:rsidR="008271DA" w:rsidRPr="00083F7E" w:rsidRDefault="008271DA" w:rsidP="008271DA">
      <w:pPr>
        <w:pStyle w:val="ListParagraph"/>
        <w:numPr>
          <w:ilvl w:val="0"/>
          <w:numId w:val="1"/>
        </w:numPr>
        <w:tabs>
          <w:tab w:val="left" w:pos="1418"/>
        </w:tabs>
        <w:ind w:left="0" w:firstLine="851"/>
      </w:pPr>
      <w:r w:rsidRPr="00083F7E">
        <w:t>katrai iestādei, ņemot vērā pakalpojumu specifiku, tika aprēķināts vidējais klientu skaits uz vienu klientu apkalpošanas speciālistu;</w:t>
      </w:r>
    </w:p>
    <w:p w:rsidR="008271DA" w:rsidRPr="00083F7E" w:rsidRDefault="008271DA" w:rsidP="008271DA">
      <w:pPr>
        <w:pStyle w:val="ListParagraph"/>
        <w:numPr>
          <w:ilvl w:val="0"/>
          <w:numId w:val="1"/>
        </w:numPr>
        <w:tabs>
          <w:tab w:val="left" w:pos="1418"/>
        </w:tabs>
        <w:ind w:left="0" w:firstLine="851"/>
      </w:pPr>
      <w:r w:rsidRPr="00083F7E">
        <w:t>iestādēm, kuras nebija iesniegušas vadības prognozes par prognozēto klientu samazinājumu esošajās reģionālajās nodaļās, zinot, ka noteikta daļa pakalpojumu tiks nodota 89 pašvaldībām, un par e-pakalpojumu apjomu, t.i. LAD un PMLP, tika aprēķināta tikai paredzētā slodze konsultācijām 9+21+89 VPVKAC;</w:t>
      </w:r>
    </w:p>
    <w:p w:rsidR="008271DA" w:rsidRPr="00083F7E" w:rsidRDefault="008271DA" w:rsidP="008271DA">
      <w:pPr>
        <w:pStyle w:val="ListParagraph"/>
        <w:numPr>
          <w:ilvl w:val="0"/>
          <w:numId w:val="1"/>
        </w:numPr>
        <w:tabs>
          <w:tab w:val="left" w:pos="1418"/>
        </w:tabs>
        <w:ind w:left="0" w:firstLine="851"/>
      </w:pPr>
      <w:r w:rsidRPr="00083F7E">
        <w:t>ņemot vērā to, ka izlases iestāžu vadības prognozes par 89 VPVKAC noslogojumu būtiski atšķiras no izmēģinājumprojektā sasniegtajiem rezultātiem, iestāžu iesniegtas vadības prognozes tika konservatīvi palielinātas par 10 %;</w:t>
      </w:r>
    </w:p>
    <w:p w:rsidR="008271DA" w:rsidRPr="00083F7E" w:rsidRDefault="008271DA" w:rsidP="008271DA">
      <w:pPr>
        <w:pStyle w:val="ListParagraph"/>
        <w:numPr>
          <w:ilvl w:val="0"/>
          <w:numId w:val="1"/>
        </w:numPr>
        <w:tabs>
          <w:tab w:val="left" w:pos="1418"/>
        </w:tabs>
        <w:ind w:left="0" w:firstLine="851"/>
      </w:pPr>
      <w:r w:rsidRPr="00083F7E">
        <w:t>VPVKAC izveidē 9 nacionālās un 21 reģionālās nozīmes attīstības centrā iestāžu izdevumus par pārcelšanos uz VPVKAC telpām sedz pašas iestādes.</w:t>
      </w:r>
    </w:p>
    <w:p w:rsidR="008271DA" w:rsidRPr="00083F7E" w:rsidRDefault="008271DA" w:rsidP="008271DA">
      <w:pPr>
        <w:tabs>
          <w:tab w:val="left" w:pos="1418"/>
        </w:tabs>
        <w:jc w:val="right"/>
      </w:pPr>
      <w:bookmarkStart w:id="1" w:name="_GoBack"/>
      <w:bookmarkEnd w:id="1"/>
      <w:r w:rsidRPr="00083F7E">
        <w:lastRenderedPageBreak/>
        <w:t>1. tabula</w:t>
      </w:r>
    </w:p>
    <w:p w:rsidR="008271DA" w:rsidRPr="00083F7E" w:rsidRDefault="008271DA" w:rsidP="008271DA">
      <w:pPr>
        <w:ind w:firstLine="720"/>
        <w:jc w:val="center"/>
      </w:pPr>
      <w:r w:rsidRPr="00083F7E">
        <w:t>Finanšu ieguvumu aprēķinā izmantotie statistiskie dati.</w:t>
      </w:r>
    </w:p>
    <w:tbl>
      <w:tblPr>
        <w:tblStyle w:val="TableGrid"/>
        <w:tblW w:w="0" w:type="auto"/>
        <w:jc w:val="center"/>
        <w:tblInd w:w="-370" w:type="dxa"/>
        <w:tblLayout w:type="fixed"/>
        <w:tblLook w:val="04A0" w:firstRow="1" w:lastRow="0" w:firstColumn="1" w:lastColumn="0" w:noHBand="0" w:noVBand="1"/>
      </w:tblPr>
      <w:tblGrid>
        <w:gridCol w:w="3030"/>
        <w:gridCol w:w="1843"/>
        <w:gridCol w:w="4014"/>
      </w:tblGrid>
      <w:tr w:rsidR="008271DA" w:rsidRPr="00083F7E" w:rsidTr="0017333C">
        <w:trPr>
          <w:jc w:val="center"/>
        </w:trPr>
        <w:tc>
          <w:tcPr>
            <w:tcW w:w="3030" w:type="dxa"/>
          </w:tcPr>
          <w:p w:rsidR="008271DA" w:rsidRPr="00083F7E" w:rsidRDefault="008271DA" w:rsidP="0017333C">
            <w:pPr>
              <w:jc w:val="center"/>
            </w:pPr>
            <w:r w:rsidRPr="00083F7E">
              <w:t>Nosaukums</w:t>
            </w:r>
          </w:p>
        </w:tc>
        <w:tc>
          <w:tcPr>
            <w:tcW w:w="1843" w:type="dxa"/>
          </w:tcPr>
          <w:p w:rsidR="008271DA" w:rsidRPr="00083F7E" w:rsidRDefault="008271DA" w:rsidP="0017333C">
            <w:pPr>
              <w:jc w:val="center"/>
            </w:pPr>
            <w:r w:rsidRPr="00083F7E">
              <w:t>Vērtība</w:t>
            </w:r>
          </w:p>
        </w:tc>
        <w:tc>
          <w:tcPr>
            <w:tcW w:w="4014" w:type="dxa"/>
          </w:tcPr>
          <w:p w:rsidR="008271DA" w:rsidRPr="00083F7E" w:rsidRDefault="008271DA" w:rsidP="0017333C">
            <w:pPr>
              <w:jc w:val="center"/>
            </w:pPr>
            <w:r w:rsidRPr="00083F7E">
              <w:t>Avots</w:t>
            </w:r>
          </w:p>
        </w:tc>
      </w:tr>
      <w:tr w:rsidR="008271DA" w:rsidRPr="00083F7E" w:rsidTr="0017333C">
        <w:trPr>
          <w:jc w:val="center"/>
        </w:trPr>
        <w:tc>
          <w:tcPr>
            <w:tcW w:w="3030" w:type="dxa"/>
          </w:tcPr>
          <w:p w:rsidR="008271DA" w:rsidRPr="00083F7E" w:rsidRDefault="008271DA" w:rsidP="0017333C">
            <w:r w:rsidRPr="00083F7E">
              <w:t>Vidējā alga UR gadā (bruto)</w:t>
            </w:r>
          </w:p>
        </w:tc>
        <w:tc>
          <w:tcPr>
            <w:tcW w:w="1843" w:type="dxa"/>
          </w:tcPr>
          <w:p w:rsidR="008271DA" w:rsidRPr="00083F7E" w:rsidRDefault="008271DA" w:rsidP="0017333C">
            <w:r w:rsidRPr="00083F7E">
              <w:t>7194,31 EUR</w:t>
            </w:r>
          </w:p>
        </w:tc>
        <w:tc>
          <w:tcPr>
            <w:tcW w:w="4014" w:type="dxa"/>
          </w:tcPr>
          <w:p w:rsidR="008271DA" w:rsidRPr="00083F7E" w:rsidRDefault="008271DA" w:rsidP="0017333C">
            <w:r w:rsidRPr="00083F7E">
              <w:t>http://www.ur.gov.lv/budzets.html</w:t>
            </w:r>
          </w:p>
        </w:tc>
      </w:tr>
      <w:tr w:rsidR="008271DA" w:rsidRPr="00083F7E" w:rsidTr="0017333C">
        <w:trPr>
          <w:jc w:val="center"/>
        </w:trPr>
        <w:tc>
          <w:tcPr>
            <w:tcW w:w="3030" w:type="dxa"/>
          </w:tcPr>
          <w:p w:rsidR="008271DA" w:rsidRPr="00083F7E" w:rsidRDefault="008271DA" w:rsidP="0017333C">
            <w:r w:rsidRPr="00083F7E">
              <w:t>Vidējā alga VID gadā (bruto)</w:t>
            </w:r>
          </w:p>
        </w:tc>
        <w:tc>
          <w:tcPr>
            <w:tcW w:w="1843" w:type="dxa"/>
          </w:tcPr>
          <w:p w:rsidR="008271DA" w:rsidRPr="00083F7E" w:rsidRDefault="008271DA" w:rsidP="0017333C">
            <w:r w:rsidRPr="00083F7E">
              <w:t>6141,49 EUR</w:t>
            </w:r>
          </w:p>
        </w:tc>
        <w:tc>
          <w:tcPr>
            <w:tcW w:w="4014" w:type="dxa"/>
          </w:tcPr>
          <w:p w:rsidR="008271DA" w:rsidRPr="00083F7E" w:rsidRDefault="008271DA" w:rsidP="0017333C">
            <w:r w:rsidRPr="00083F7E">
              <w:t>https://www.vid.gov.lv/default.aspx?tabid=4&amp;id=4716&amp;hl=1&amp;mod=33</w:t>
            </w:r>
          </w:p>
        </w:tc>
      </w:tr>
      <w:tr w:rsidR="008271DA" w:rsidRPr="00083F7E" w:rsidTr="0017333C">
        <w:trPr>
          <w:jc w:val="center"/>
        </w:trPr>
        <w:tc>
          <w:tcPr>
            <w:tcW w:w="3030" w:type="dxa"/>
          </w:tcPr>
          <w:p w:rsidR="008271DA" w:rsidRPr="00083F7E" w:rsidRDefault="008271DA" w:rsidP="0017333C">
            <w:r w:rsidRPr="00083F7E">
              <w:t>Vidējā alga VSAA gadā (bruto)</w:t>
            </w:r>
          </w:p>
        </w:tc>
        <w:tc>
          <w:tcPr>
            <w:tcW w:w="1843" w:type="dxa"/>
          </w:tcPr>
          <w:p w:rsidR="008271DA" w:rsidRPr="00083F7E" w:rsidRDefault="008271DA" w:rsidP="0017333C">
            <w:r w:rsidRPr="00083F7E">
              <w:t>6073,08 EUR</w:t>
            </w:r>
          </w:p>
        </w:tc>
        <w:tc>
          <w:tcPr>
            <w:tcW w:w="4014" w:type="dxa"/>
          </w:tcPr>
          <w:p w:rsidR="008271DA" w:rsidRPr="00083F7E" w:rsidRDefault="008271DA" w:rsidP="0017333C">
            <w:r w:rsidRPr="00083F7E">
              <w:t>http://www.vsaa.lv/lv/budzets-un-statistika/vsaa-amatpersonu-atalgojums</w:t>
            </w:r>
          </w:p>
        </w:tc>
      </w:tr>
      <w:tr w:rsidR="008271DA" w:rsidRPr="00083F7E" w:rsidTr="0017333C">
        <w:trPr>
          <w:jc w:val="center"/>
        </w:trPr>
        <w:tc>
          <w:tcPr>
            <w:tcW w:w="3030" w:type="dxa"/>
          </w:tcPr>
          <w:p w:rsidR="008271DA" w:rsidRPr="00083F7E" w:rsidRDefault="008271DA" w:rsidP="0017333C">
            <w:r w:rsidRPr="00083F7E">
              <w:t>Vidējā alga NVA gadā (bruto)</w:t>
            </w:r>
          </w:p>
        </w:tc>
        <w:tc>
          <w:tcPr>
            <w:tcW w:w="1843" w:type="dxa"/>
          </w:tcPr>
          <w:p w:rsidR="008271DA" w:rsidRPr="00083F7E" w:rsidRDefault="008271DA" w:rsidP="0017333C">
            <w:r w:rsidRPr="00083F7E">
              <w:t>6141,49 EUR</w:t>
            </w:r>
          </w:p>
        </w:tc>
        <w:tc>
          <w:tcPr>
            <w:tcW w:w="4014" w:type="dxa"/>
          </w:tcPr>
          <w:p w:rsidR="008271DA" w:rsidRPr="00083F7E" w:rsidRDefault="008271DA" w:rsidP="0017333C">
            <w:r w:rsidRPr="00083F7E">
              <w:t>http://www.nva.gov.lv/index.php?cid=6&amp;mid=318</w:t>
            </w:r>
          </w:p>
        </w:tc>
      </w:tr>
      <w:tr w:rsidR="008271DA" w:rsidRPr="00083F7E" w:rsidTr="0017333C">
        <w:trPr>
          <w:jc w:val="center"/>
        </w:trPr>
        <w:tc>
          <w:tcPr>
            <w:tcW w:w="3030" w:type="dxa"/>
          </w:tcPr>
          <w:p w:rsidR="008271DA" w:rsidRPr="00083F7E" w:rsidRDefault="008271DA" w:rsidP="0017333C">
            <w:r w:rsidRPr="00083F7E">
              <w:t>Vidējā alga VZD gadā (bruto)</w:t>
            </w:r>
          </w:p>
        </w:tc>
        <w:tc>
          <w:tcPr>
            <w:tcW w:w="1843" w:type="dxa"/>
          </w:tcPr>
          <w:p w:rsidR="008271DA" w:rsidRPr="00083F7E" w:rsidRDefault="008271DA" w:rsidP="0017333C">
            <w:r w:rsidRPr="00083F7E">
              <w:t>6624,633 EUR</w:t>
            </w:r>
          </w:p>
        </w:tc>
        <w:tc>
          <w:tcPr>
            <w:tcW w:w="4014" w:type="dxa"/>
          </w:tcPr>
          <w:p w:rsidR="008271DA" w:rsidRPr="00083F7E" w:rsidRDefault="008271DA" w:rsidP="0017333C">
            <w:r w:rsidRPr="00083F7E">
              <w:t>http://www.vzd.gov.lv/lv/par-mums/budzets/algu-saraksts/</w:t>
            </w:r>
          </w:p>
        </w:tc>
      </w:tr>
      <w:tr w:rsidR="008271DA" w:rsidRPr="00083F7E" w:rsidTr="0017333C">
        <w:trPr>
          <w:jc w:val="center"/>
        </w:trPr>
        <w:tc>
          <w:tcPr>
            <w:tcW w:w="3030" w:type="dxa"/>
          </w:tcPr>
          <w:p w:rsidR="008271DA" w:rsidRPr="00083F7E" w:rsidRDefault="008271DA" w:rsidP="0017333C">
            <w:r w:rsidRPr="00083F7E">
              <w:t>Darba stundu skaits gadā</w:t>
            </w:r>
          </w:p>
        </w:tc>
        <w:tc>
          <w:tcPr>
            <w:tcW w:w="1843" w:type="dxa"/>
          </w:tcPr>
          <w:p w:rsidR="008271DA" w:rsidRPr="00083F7E" w:rsidRDefault="008271DA" w:rsidP="0017333C">
            <w:r w:rsidRPr="00083F7E">
              <w:t>1987,92 st./2013. gadā</w:t>
            </w:r>
          </w:p>
        </w:tc>
        <w:tc>
          <w:tcPr>
            <w:tcW w:w="4014" w:type="dxa"/>
          </w:tcPr>
          <w:p w:rsidR="008271DA" w:rsidRPr="00083F7E" w:rsidRDefault="008271DA" w:rsidP="0017333C">
            <w:r w:rsidRPr="00083F7E">
              <w:t>http://www.vid.lv/lv/gada_kalendars/</w:t>
            </w:r>
          </w:p>
        </w:tc>
      </w:tr>
    </w:tbl>
    <w:p w:rsidR="008271DA" w:rsidRPr="00083F7E" w:rsidRDefault="008271DA" w:rsidP="008271DA">
      <w:pPr>
        <w:ind w:firstLine="720"/>
        <w:rPr>
          <w:sz w:val="20"/>
          <w:szCs w:val="20"/>
        </w:rPr>
      </w:pPr>
    </w:p>
    <w:p w:rsidR="008271DA" w:rsidRPr="00083F7E" w:rsidRDefault="008271DA" w:rsidP="008271DA">
      <w:pPr>
        <w:ind w:firstLine="720"/>
      </w:pPr>
      <w:r w:rsidRPr="00083F7E">
        <w:t xml:space="preserve">Finanšu ieguvumu aprēķins ir šāds. Iestāžu reģionālo nodaļu telpu uzturēšanas izmaksu ietaupījums: </w:t>
      </w:r>
    </w:p>
    <w:p w:rsidR="008271DA" w:rsidRPr="00083F7E" w:rsidRDefault="008271DA" w:rsidP="008271DA">
      <w:pPr>
        <w:pStyle w:val="ListParagraph"/>
        <w:numPr>
          <w:ilvl w:val="0"/>
          <w:numId w:val="4"/>
        </w:numPr>
        <w:ind w:left="0" w:firstLine="851"/>
      </w:pPr>
      <w:r w:rsidRPr="00083F7E">
        <w:t>Pēc iestāžu sniegtajiem datiem par telpu platībām un izmaksām, tika identificētas filiāles, kurās ir tikai KAC, kurus var apvienot vienā ēkā. Telpu ieguvums veidojas no šo atlasīto iestāžu ietaupītajām komunālajām un īres izmaksām.</w:t>
      </w:r>
    </w:p>
    <w:p w:rsidR="008271DA" w:rsidRPr="00083F7E" w:rsidRDefault="008271DA" w:rsidP="008271DA">
      <w:pPr>
        <w:ind w:firstLine="720"/>
      </w:pPr>
      <w:r w:rsidRPr="00083F7E">
        <w:t>Klientu apkalpošanas speciālistu noslodzes samazinājums e-pakalpojumu dēļ:</w:t>
      </w:r>
    </w:p>
    <w:p w:rsidR="008271DA" w:rsidRPr="00083F7E" w:rsidRDefault="008271DA" w:rsidP="008271DA">
      <w:pPr>
        <w:pStyle w:val="ListParagraph"/>
        <w:numPr>
          <w:ilvl w:val="0"/>
          <w:numId w:val="3"/>
        </w:numPr>
        <w:tabs>
          <w:tab w:val="left" w:pos="1418"/>
        </w:tabs>
        <w:ind w:left="0" w:firstLine="851"/>
      </w:pPr>
      <w:r w:rsidRPr="00083F7E">
        <w:t>Bruto alga privātajā sektorā stundā = bruto alga privātajā sektorā mēnesī x 12/ darba stundu skaits gadā</w:t>
      </w:r>
    </w:p>
    <w:p w:rsidR="008271DA" w:rsidRPr="00083F7E" w:rsidRDefault="008271DA" w:rsidP="008271DA">
      <w:pPr>
        <w:pStyle w:val="ListParagraph"/>
        <w:numPr>
          <w:ilvl w:val="0"/>
          <w:numId w:val="3"/>
        </w:numPr>
        <w:tabs>
          <w:tab w:val="left" w:pos="1418"/>
        </w:tabs>
        <w:ind w:left="0" w:firstLine="851"/>
      </w:pPr>
      <w:r w:rsidRPr="00083F7E">
        <w:t>Ekonomiski aktīvo iedzīvotāju koeficients = Latvijas ekonomiski aktīvie iedzīvotāji 2013. gadā vecumā 15-64 gadi / visi Latvijas iedzīvotāji 2013. gadā.</w:t>
      </w:r>
    </w:p>
    <w:p w:rsidR="008271DA" w:rsidRPr="00083F7E" w:rsidRDefault="008271DA" w:rsidP="008271DA">
      <w:pPr>
        <w:pStyle w:val="ListParagraph"/>
        <w:numPr>
          <w:ilvl w:val="0"/>
          <w:numId w:val="3"/>
        </w:numPr>
        <w:tabs>
          <w:tab w:val="left" w:pos="1418"/>
        </w:tabs>
        <w:ind w:left="0" w:firstLine="851"/>
      </w:pPr>
      <w:r w:rsidRPr="00083F7E">
        <w:t>Konsultācijām nepieciešamās viena novada KAC slodzes = iedzīvotāju skaits novadā x ekonomiski aktīvo iedzīvotāju koeficients x klientam veltītais laiks / darba stundu skaits gadā</w:t>
      </w:r>
    </w:p>
    <w:p w:rsidR="008271DA" w:rsidRPr="00083F7E" w:rsidRDefault="008271DA" w:rsidP="008271DA">
      <w:pPr>
        <w:pStyle w:val="ListParagraph"/>
        <w:numPr>
          <w:ilvl w:val="0"/>
          <w:numId w:val="3"/>
        </w:numPr>
        <w:tabs>
          <w:tab w:val="left" w:pos="1418"/>
        </w:tabs>
        <w:ind w:left="0" w:firstLine="851"/>
      </w:pPr>
      <w:r w:rsidRPr="00083F7E">
        <w:t xml:space="preserve">Kopējās nepieciešamās slodzes konsultācijām = konsultācijām nepieciešamo viena novada KAC slodžu kopsumma </w:t>
      </w:r>
    </w:p>
    <w:p w:rsidR="008271DA" w:rsidRPr="00083F7E" w:rsidRDefault="008271DA" w:rsidP="008271DA">
      <w:pPr>
        <w:ind w:firstLine="720"/>
      </w:pPr>
      <w:r w:rsidRPr="00083F7E">
        <w:t>Klientu apkalpošanas speciālistu noslodzes samazinājums dēļ 89:</w:t>
      </w:r>
    </w:p>
    <w:p w:rsidR="008271DA" w:rsidRPr="00083F7E" w:rsidRDefault="008271DA" w:rsidP="008271DA">
      <w:pPr>
        <w:pStyle w:val="ListParagraph"/>
        <w:numPr>
          <w:ilvl w:val="0"/>
          <w:numId w:val="6"/>
        </w:numPr>
        <w:tabs>
          <w:tab w:val="left" w:pos="1418"/>
        </w:tabs>
        <w:ind w:left="0" w:firstLine="851"/>
      </w:pPr>
      <w:r w:rsidRPr="00083F7E">
        <w:t>Klientu skaits, kuri brauks uz 89 VPVKAC = Paredzamo klientu skaits iestādēs x vadības prognozes</w:t>
      </w:r>
    </w:p>
    <w:p w:rsidR="008271DA" w:rsidRPr="00083F7E" w:rsidRDefault="008271DA" w:rsidP="008271DA">
      <w:pPr>
        <w:pStyle w:val="ListParagraph"/>
        <w:numPr>
          <w:ilvl w:val="0"/>
          <w:numId w:val="6"/>
        </w:numPr>
        <w:tabs>
          <w:tab w:val="left" w:pos="1418"/>
        </w:tabs>
        <w:ind w:left="0" w:firstLine="851"/>
      </w:pPr>
      <w:r w:rsidRPr="00083F7E">
        <w:t>Vienas iestādes slodzes, kuras pārņems 89 VPVKAC = iestādes klientu skaits, kuri izvēlēsies braukt uz 89 pašvaldībām / iestādes vidējais klientu skaits uz vienu klientu apkalpošanas speciālistu.</w:t>
      </w:r>
    </w:p>
    <w:p w:rsidR="008271DA" w:rsidRPr="00083F7E" w:rsidRDefault="008271DA" w:rsidP="008271DA">
      <w:pPr>
        <w:pStyle w:val="ListParagraph"/>
        <w:numPr>
          <w:ilvl w:val="0"/>
          <w:numId w:val="6"/>
        </w:numPr>
        <w:tabs>
          <w:tab w:val="left" w:pos="1418"/>
        </w:tabs>
        <w:ind w:left="0" w:firstLine="851"/>
      </w:pPr>
      <w:r w:rsidRPr="00083F7E">
        <w:t>Kopējās 89 VPVKAC slodzes = izlases iestāžu slodžu kopsumma 89 VPVKAC.</w:t>
      </w:r>
    </w:p>
    <w:p w:rsidR="008271DA" w:rsidRPr="00083F7E" w:rsidRDefault="008271DA" w:rsidP="008271DA">
      <w:pPr>
        <w:pStyle w:val="ListParagraph"/>
        <w:numPr>
          <w:ilvl w:val="0"/>
          <w:numId w:val="6"/>
        </w:numPr>
        <w:tabs>
          <w:tab w:val="left" w:pos="1418"/>
        </w:tabs>
        <w:ind w:left="0" w:firstLine="851"/>
      </w:pPr>
      <w:r w:rsidRPr="00083F7E">
        <w:t>Iestādes slodzes EUR, kuras tiks ietaupītas, pateicoties elektronizācijai = apmeklētāji, kuri izmantos e-pakalpojumus / vidējais klientu skaits uz KAC speciālistu x vidējā alga iestādē.</w:t>
      </w:r>
    </w:p>
    <w:p w:rsidR="008271DA" w:rsidRPr="00083F7E" w:rsidRDefault="008271DA" w:rsidP="008271DA">
      <w:pPr>
        <w:pStyle w:val="ListParagraph"/>
        <w:numPr>
          <w:ilvl w:val="0"/>
          <w:numId w:val="6"/>
        </w:numPr>
        <w:tabs>
          <w:tab w:val="left" w:pos="1418"/>
        </w:tabs>
        <w:ind w:left="0" w:firstLine="851"/>
      </w:pPr>
      <w:r w:rsidRPr="00083F7E">
        <w:t>Kopējās slodzes EUR, kuras tiks ietaupītas pateicoties elektronizācijai= iestāžu slodžu EUR, kuras tiks ietaupītas pateicoties elektronizācijai kopsumma.</w:t>
      </w:r>
    </w:p>
    <w:p w:rsidR="008271DA" w:rsidRPr="00083F7E" w:rsidRDefault="008271DA" w:rsidP="008271DA">
      <w:pPr>
        <w:ind w:firstLine="709"/>
      </w:pPr>
      <w:r w:rsidRPr="00083F7E">
        <w:t>Ekonomiskie ieguvumi attiecas klientiem un valsts tautsaimniecību kopumā. Tie ir tie ietaupījumi un nezaudētais produktīvais laiks, ko iedzīvotājs var izmantot citiem mērķiem. No valsts ekonomikas viedokļa tiek pieņemts, ka iedzīvotājs izmantos zaudēto darba laiku darba pienākumu izpildei, t.i. IKP palielināšanai.</w:t>
      </w:r>
    </w:p>
    <w:p w:rsidR="008271DA" w:rsidRPr="00083F7E" w:rsidRDefault="008271DA" w:rsidP="008271DA">
      <w:pPr>
        <w:ind w:firstLine="709"/>
      </w:pPr>
      <w:r w:rsidRPr="00083F7E">
        <w:t>Īstenojot VPVKAC koncepciju, veidojas šādi ekonomiskie ieguvumi:</w:t>
      </w:r>
    </w:p>
    <w:p w:rsidR="008271DA" w:rsidRPr="00083F7E" w:rsidRDefault="008271DA" w:rsidP="008271DA">
      <w:pPr>
        <w:pStyle w:val="ListParagraph"/>
        <w:numPr>
          <w:ilvl w:val="0"/>
          <w:numId w:val="9"/>
        </w:numPr>
        <w:tabs>
          <w:tab w:val="left" w:pos="1418"/>
        </w:tabs>
        <w:ind w:left="0" w:firstLine="851"/>
      </w:pPr>
      <w:r w:rsidRPr="00083F7E">
        <w:t>administratīvā sloga samazinājums VPVKAC iestāžu klientiem;</w:t>
      </w:r>
    </w:p>
    <w:p w:rsidR="008271DA" w:rsidRPr="00083F7E" w:rsidRDefault="008271DA" w:rsidP="008271DA">
      <w:pPr>
        <w:pStyle w:val="ListParagraph"/>
        <w:numPr>
          <w:ilvl w:val="0"/>
          <w:numId w:val="9"/>
        </w:numPr>
        <w:tabs>
          <w:tab w:val="left" w:pos="1418"/>
        </w:tabs>
        <w:ind w:left="0" w:firstLine="851"/>
      </w:pPr>
      <w:r w:rsidRPr="00083F7E">
        <w:t>IKP palielinājums.</w:t>
      </w:r>
    </w:p>
    <w:p w:rsidR="008271DA" w:rsidRPr="00083F7E" w:rsidRDefault="008271DA" w:rsidP="008271DA">
      <w:pPr>
        <w:ind w:firstLine="709"/>
      </w:pPr>
      <w:r w:rsidRPr="00083F7E">
        <w:lastRenderedPageBreak/>
        <w:t xml:space="preserve">Administratīvā sloga samazinājums 89 novadu centros pamatots ar klientu laika ietaupījumu, nebraucot uz tuvāko reģionālo centru. 21 un 9 nacionālās un reģionālās nozīmes centros administratīvais slogs arī samazināsies sinerģijas efekta dēļ: </w:t>
      </w:r>
    </w:p>
    <w:p w:rsidR="008271DA" w:rsidRPr="00083F7E" w:rsidRDefault="008271DA" w:rsidP="008271DA">
      <w:pPr>
        <w:pStyle w:val="ListParagraph"/>
        <w:numPr>
          <w:ilvl w:val="0"/>
          <w:numId w:val="1"/>
        </w:numPr>
        <w:tabs>
          <w:tab w:val="left" w:pos="1418"/>
        </w:tabs>
        <w:ind w:left="0" w:firstLine="851"/>
      </w:pPr>
      <w:r w:rsidRPr="00083F7E">
        <w:t>bieži vien klienta vajadzība nosaka vairāku iestāžu saistīto pakalpojumu pieteikšanu;</w:t>
      </w:r>
    </w:p>
    <w:p w:rsidR="008271DA" w:rsidRPr="00083F7E" w:rsidRDefault="008271DA" w:rsidP="008271DA">
      <w:pPr>
        <w:pStyle w:val="ListParagraph"/>
        <w:numPr>
          <w:ilvl w:val="0"/>
          <w:numId w:val="1"/>
        </w:numPr>
        <w:tabs>
          <w:tab w:val="left" w:pos="1418"/>
        </w:tabs>
        <w:ind w:left="0" w:firstLine="851"/>
      </w:pPr>
      <w:r w:rsidRPr="00083F7E">
        <w:t>VPVKAC apmeklētājs vienlaicīgi var būt dažādu iestāžu klients (piemēram, uzņēmējs, aizbildnis bērnam, nekustamā īpašuma īpašnieks u.c.). Vēršoties VPVKAC vienas situācijas dēļ, klients var vienuviet atrisināt arī citas neprioritāras, taču svarīgas dzīves situācijas.</w:t>
      </w:r>
    </w:p>
    <w:p w:rsidR="008271DA" w:rsidRPr="00083F7E" w:rsidRDefault="008271DA" w:rsidP="008271DA">
      <w:pPr>
        <w:ind w:firstLine="709"/>
      </w:pPr>
      <w:r w:rsidRPr="00083F7E">
        <w:t>Ekonomisko ieguvumu aprēķins pamatojas uz šādiem galvenajiem pieņēmumiem:</w:t>
      </w:r>
    </w:p>
    <w:p w:rsidR="008271DA" w:rsidRPr="00083F7E" w:rsidRDefault="008271DA" w:rsidP="008271DA">
      <w:pPr>
        <w:pStyle w:val="ListParagraph"/>
        <w:numPr>
          <w:ilvl w:val="0"/>
          <w:numId w:val="2"/>
        </w:numPr>
        <w:tabs>
          <w:tab w:val="left" w:pos="1418"/>
        </w:tabs>
        <w:ind w:left="0" w:firstLine="851"/>
      </w:pPr>
      <w:r w:rsidRPr="00083F7E">
        <w:t>katrs brauciens un tuvāko reģionālās vai nacionālās nozīmes centru prasa klientam vidēji 1,24 st. abos virzienos (konservatīvs pieņēmums). Laiks, ko klients pavada iestādē netiek iekļauts;</w:t>
      </w:r>
    </w:p>
    <w:p w:rsidR="008271DA" w:rsidRPr="00083F7E" w:rsidRDefault="008271DA" w:rsidP="008271DA">
      <w:pPr>
        <w:pStyle w:val="ListParagraph"/>
        <w:numPr>
          <w:ilvl w:val="0"/>
          <w:numId w:val="2"/>
        </w:numPr>
        <w:tabs>
          <w:tab w:val="left" w:pos="1418"/>
        </w:tabs>
        <w:ind w:left="0" w:firstLine="851"/>
      </w:pPr>
      <w:r w:rsidRPr="00083F7E">
        <w:t>ekonomiski aktīvo iedzīvotāju skaits 2013. gadā tika izteikts procentuāli no visiem iedzīvotājiem un piemērots arī turpmākajiem gadiem;</w:t>
      </w:r>
    </w:p>
    <w:p w:rsidR="008271DA" w:rsidRPr="00083F7E" w:rsidRDefault="008271DA" w:rsidP="008271DA">
      <w:pPr>
        <w:pStyle w:val="ListParagraph"/>
        <w:numPr>
          <w:ilvl w:val="0"/>
          <w:numId w:val="2"/>
        </w:numPr>
        <w:tabs>
          <w:tab w:val="left" w:pos="1418"/>
        </w:tabs>
        <w:ind w:left="0" w:firstLine="851"/>
      </w:pPr>
      <w:r w:rsidRPr="00083F7E">
        <w:t>vidējā transporta biļetes cena un ceļā pavadītais laiks, tika noteikts, pamatojoties uz detalizētu VID nodaļu apmeklētāju kustības analīzi. Rezultāti tika ekstrapolēti uz citām iestādēm proporcionāli apmeklētāju skaitam;</w:t>
      </w:r>
    </w:p>
    <w:p w:rsidR="008271DA" w:rsidRPr="00083F7E" w:rsidRDefault="008271DA" w:rsidP="008271DA">
      <w:pPr>
        <w:pStyle w:val="ListParagraph"/>
        <w:numPr>
          <w:ilvl w:val="0"/>
          <w:numId w:val="1"/>
        </w:numPr>
        <w:tabs>
          <w:tab w:val="left" w:pos="1418"/>
        </w:tabs>
        <w:ind w:left="0" w:firstLine="851"/>
      </w:pPr>
      <w:r w:rsidRPr="00083F7E">
        <w:t>5 % gadījumos (katrā divdesmitajā gadījumā) klients apvienos VPVKAC apmeklējumu divu pakalpojumu pieteikšanai.</w:t>
      </w:r>
    </w:p>
    <w:p w:rsidR="008271DA" w:rsidRPr="00083F7E" w:rsidRDefault="008271DA" w:rsidP="008271DA">
      <w:pPr>
        <w:pStyle w:val="ListParagraph"/>
        <w:jc w:val="right"/>
      </w:pPr>
      <w:r w:rsidRPr="00083F7E">
        <w:t>2. tabula</w:t>
      </w:r>
    </w:p>
    <w:p w:rsidR="008271DA" w:rsidRPr="00083F7E" w:rsidRDefault="008271DA" w:rsidP="008271DA">
      <w:pPr>
        <w:pStyle w:val="ListParagraph"/>
        <w:jc w:val="center"/>
      </w:pPr>
      <w:r w:rsidRPr="00083F7E">
        <w:t>Ekonomisko ieguvumu aprēķinā izmantotie dati.</w:t>
      </w:r>
    </w:p>
    <w:tbl>
      <w:tblPr>
        <w:tblStyle w:val="TableGrid"/>
        <w:tblW w:w="9180" w:type="dxa"/>
        <w:tblLayout w:type="fixed"/>
        <w:tblLook w:val="04A0" w:firstRow="1" w:lastRow="0" w:firstColumn="1" w:lastColumn="0" w:noHBand="0" w:noVBand="1"/>
      </w:tblPr>
      <w:tblGrid>
        <w:gridCol w:w="1951"/>
        <w:gridCol w:w="1559"/>
        <w:gridCol w:w="3686"/>
        <w:gridCol w:w="1984"/>
      </w:tblGrid>
      <w:tr w:rsidR="008271DA" w:rsidRPr="00083F7E" w:rsidTr="0017333C">
        <w:trPr>
          <w:trHeight w:val="245"/>
        </w:trPr>
        <w:tc>
          <w:tcPr>
            <w:tcW w:w="1951" w:type="dxa"/>
          </w:tcPr>
          <w:p w:rsidR="008271DA" w:rsidRPr="00083F7E" w:rsidRDefault="008271DA" w:rsidP="0017333C">
            <w:pPr>
              <w:jc w:val="center"/>
              <w:rPr>
                <w:sz w:val="22"/>
                <w:szCs w:val="22"/>
              </w:rPr>
            </w:pPr>
            <w:r w:rsidRPr="00083F7E">
              <w:rPr>
                <w:sz w:val="22"/>
                <w:szCs w:val="22"/>
              </w:rPr>
              <w:t>Nosaukums</w:t>
            </w:r>
          </w:p>
        </w:tc>
        <w:tc>
          <w:tcPr>
            <w:tcW w:w="1559" w:type="dxa"/>
          </w:tcPr>
          <w:p w:rsidR="008271DA" w:rsidRPr="00083F7E" w:rsidRDefault="008271DA" w:rsidP="0017333C">
            <w:pPr>
              <w:jc w:val="center"/>
              <w:rPr>
                <w:sz w:val="22"/>
                <w:szCs w:val="22"/>
              </w:rPr>
            </w:pPr>
            <w:r w:rsidRPr="00083F7E">
              <w:rPr>
                <w:sz w:val="22"/>
                <w:szCs w:val="22"/>
              </w:rPr>
              <w:t>Vērtība</w:t>
            </w:r>
          </w:p>
        </w:tc>
        <w:tc>
          <w:tcPr>
            <w:tcW w:w="3686" w:type="dxa"/>
          </w:tcPr>
          <w:p w:rsidR="008271DA" w:rsidRPr="00083F7E" w:rsidRDefault="008271DA" w:rsidP="0017333C">
            <w:pPr>
              <w:jc w:val="center"/>
              <w:rPr>
                <w:sz w:val="22"/>
                <w:szCs w:val="22"/>
              </w:rPr>
            </w:pPr>
            <w:r w:rsidRPr="00083F7E">
              <w:rPr>
                <w:sz w:val="22"/>
                <w:szCs w:val="22"/>
              </w:rPr>
              <w:t>Avots</w:t>
            </w:r>
          </w:p>
        </w:tc>
        <w:tc>
          <w:tcPr>
            <w:tcW w:w="1984" w:type="dxa"/>
          </w:tcPr>
          <w:p w:rsidR="008271DA" w:rsidRPr="00083F7E" w:rsidRDefault="008271DA" w:rsidP="0017333C">
            <w:pPr>
              <w:jc w:val="center"/>
              <w:rPr>
                <w:sz w:val="22"/>
                <w:szCs w:val="22"/>
              </w:rPr>
            </w:pPr>
            <w:r w:rsidRPr="00083F7E">
              <w:rPr>
                <w:sz w:val="22"/>
                <w:szCs w:val="22"/>
              </w:rPr>
              <w:t>Piebilde</w:t>
            </w:r>
          </w:p>
        </w:tc>
      </w:tr>
      <w:tr w:rsidR="008271DA" w:rsidRPr="00083F7E" w:rsidTr="0017333C">
        <w:trPr>
          <w:trHeight w:val="547"/>
        </w:trPr>
        <w:tc>
          <w:tcPr>
            <w:tcW w:w="1951" w:type="dxa"/>
          </w:tcPr>
          <w:p w:rsidR="008271DA" w:rsidRPr="00083F7E" w:rsidRDefault="008271DA" w:rsidP="0017333C">
            <w:pPr>
              <w:rPr>
                <w:sz w:val="22"/>
                <w:szCs w:val="22"/>
              </w:rPr>
            </w:pPr>
            <w:r w:rsidRPr="00083F7E">
              <w:rPr>
                <w:sz w:val="22"/>
                <w:szCs w:val="22"/>
              </w:rPr>
              <w:t>Vidējā biļetes cena divos virzienos</w:t>
            </w:r>
          </w:p>
        </w:tc>
        <w:tc>
          <w:tcPr>
            <w:tcW w:w="1559" w:type="dxa"/>
          </w:tcPr>
          <w:p w:rsidR="008271DA" w:rsidRPr="00083F7E" w:rsidRDefault="008271DA" w:rsidP="0017333C">
            <w:pPr>
              <w:rPr>
                <w:sz w:val="22"/>
                <w:szCs w:val="22"/>
              </w:rPr>
            </w:pPr>
            <w:r w:rsidRPr="00083F7E">
              <w:rPr>
                <w:sz w:val="22"/>
                <w:szCs w:val="22"/>
              </w:rPr>
              <w:t>2.98 EUR</w:t>
            </w:r>
          </w:p>
        </w:tc>
        <w:tc>
          <w:tcPr>
            <w:tcW w:w="3686" w:type="dxa"/>
          </w:tcPr>
          <w:p w:rsidR="008271DA" w:rsidRPr="00083F7E" w:rsidRDefault="008271DA" w:rsidP="0017333C">
            <w:pPr>
              <w:rPr>
                <w:sz w:val="22"/>
                <w:szCs w:val="22"/>
              </w:rPr>
            </w:pPr>
            <w:r w:rsidRPr="00083F7E">
              <w:rPr>
                <w:sz w:val="22"/>
                <w:szCs w:val="22"/>
              </w:rPr>
              <w:t>http://www.1188.lv/satiksme/starppilsetu-autobusi</w:t>
            </w:r>
          </w:p>
        </w:tc>
        <w:tc>
          <w:tcPr>
            <w:tcW w:w="1984" w:type="dxa"/>
          </w:tcPr>
          <w:p w:rsidR="008271DA" w:rsidRPr="00083F7E" w:rsidRDefault="008271DA" w:rsidP="0017333C">
            <w:pPr>
              <w:rPr>
                <w:sz w:val="22"/>
                <w:szCs w:val="22"/>
              </w:rPr>
            </w:pPr>
          </w:p>
        </w:tc>
      </w:tr>
      <w:tr w:rsidR="008271DA" w:rsidRPr="00083F7E" w:rsidTr="0017333C">
        <w:trPr>
          <w:trHeight w:val="994"/>
        </w:trPr>
        <w:tc>
          <w:tcPr>
            <w:tcW w:w="1951" w:type="dxa"/>
          </w:tcPr>
          <w:p w:rsidR="008271DA" w:rsidRPr="00083F7E" w:rsidRDefault="008271DA" w:rsidP="0017333C">
            <w:pPr>
              <w:rPr>
                <w:sz w:val="22"/>
                <w:szCs w:val="22"/>
              </w:rPr>
            </w:pPr>
            <w:r w:rsidRPr="00083F7E">
              <w:rPr>
                <w:sz w:val="22"/>
                <w:szCs w:val="22"/>
              </w:rPr>
              <w:t>Attālumi starp novadiem</w:t>
            </w:r>
          </w:p>
        </w:tc>
        <w:tc>
          <w:tcPr>
            <w:tcW w:w="1559" w:type="dxa"/>
          </w:tcPr>
          <w:p w:rsidR="008271DA" w:rsidRPr="00083F7E" w:rsidRDefault="008271DA" w:rsidP="0017333C">
            <w:pPr>
              <w:rPr>
                <w:sz w:val="22"/>
                <w:szCs w:val="22"/>
              </w:rPr>
            </w:pPr>
            <w:r w:rsidRPr="00083F7E">
              <w:rPr>
                <w:sz w:val="22"/>
                <w:szCs w:val="22"/>
              </w:rPr>
              <w:t>km</w:t>
            </w:r>
          </w:p>
        </w:tc>
        <w:tc>
          <w:tcPr>
            <w:tcW w:w="3686" w:type="dxa"/>
          </w:tcPr>
          <w:p w:rsidR="008271DA" w:rsidRPr="00083F7E" w:rsidRDefault="008271DA" w:rsidP="0017333C">
            <w:pPr>
              <w:rPr>
                <w:sz w:val="22"/>
                <w:szCs w:val="22"/>
              </w:rPr>
            </w:pPr>
            <w:r w:rsidRPr="00083F7E">
              <w:rPr>
                <w:sz w:val="22"/>
                <w:szCs w:val="22"/>
              </w:rPr>
              <w:t>https://www.google.com/maps/place/Latvijas+Republika/@56.8801729,24.6057484,8z/data=!3m1!4b1!4m2!3m1!1s0x46e930677b8a9afd:0xcfcd68f2fc10</w:t>
            </w:r>
          </w:p>
        </w:tc>
        <w:tc>
          <w:tcPr>
            <w:tcW w:w="1984" w:type="dxa"/>
          </w:tcPr>
          <w:p w:rsidR="008271DA" w:rsidRPr="00083F7E" w:rsidRDefault="008271DA" w:rsidP="0017333C">
            <w:pPr>
              <w:rPr>
                <w:sz w:val="22"/>
                <w:szCs w:val="22"/>
              </w:rPr>
            </w:pPr>
            <w:r w:rsidRPr="00083F7E">
              <w:rPr>
                <w:sz w:val="22"/>
                <w:szCs w:val="22"/>
              </w:rPr>
              <w:t>Attālumi tika skatīti no novada centra līdz novada centram</w:t>
            </w:r>
          </w:p>
        </w:tc>
      </w:tr>
      <w:tr w:rsidR="008271DA" w:rsidRPr="00083F7E" w:rsidTr="0017333C">
        <w:trPr>
          <w:trHeight w:val="683"/>
        </w:trPr>
        <w:tc>
          <w:tcPr>
            <w:tcW w:w="1951" w:type="dxa"/>
          </w:tcPr>
          <w:p w:rsidR="008271DA" w:rsidRPr="00083F7E" w:rsidRDefault="008271DA" w:rsidP="0017333C">
            <w:pPr>
              <w:rPr>
                <w:sz w:val="22"/>
                <w:szCs w:val="22"/>
              </w:rPr>
            </w:pPr>
            <w:r w:rsidRPr="00083F7E">
              <w:rPr>
                <w:sz w:val="22"/>
                <w:szCs w:val="22"/>
              </w:rPr>
              <w:t>Vidējā darba alga privātajā sektorā mēnesī</w:t>
            </w:r>
          </w:p>
        </w:tc>
        <w:tc>
          <w:tcPr>
            <w:tcW w:w="1559" w:type="dxa"/>
          </w:tcPr>
          <w:p w:rsidR="008271DA" w:rsidRPr="00083F7E" w:rsidRDefault="008271DA" w:rsidP="0017333C">
            <w:pPr>
              <w:rPr>
                <w:sz w:val="22"/>
                <w:szCs w:val="22"/>
              </w:rPr>
            </w:pPr>
            <w:r w:rsidRPr="00083F7E">
              <w:rPr>
                <w:sz w:val="22"/>
                <w:szCs w:val="22"/>
              </w:rPr>
              <w:t>689 EUR</w:t>
            </w:r>
          </w:p>
        </w:tc>
        <w:tc>
          <w:tcPr>
            <w:tcW w:w="3686" w:type="dxa"/>
          </w:tcPr>
          <w:p w:rsidR="008271DA" w:rsidRPr="00083F7E" w:rsidRDefault="008271DA" w:rsidP="0017333C">
            <w:pPr>
              <w:rPr>
                <w:sz w:val="22"/>
                <w:szCs w:val="22"/>
              </w:rPr>
            </w:pPr>
            <w:r w:rsidRPr="00083F7E">
              <w:rPr>
                <w:sz w:val="22"/>
                <w:szCs w:val="22"/>
              </w:rPr>
              <w:t>http://www.csb.gov.lv/statistikas-temas/darba-samaksa-galvenie-raditaji-30270.html</w:t>
            </w:r>
          </w:p>
        </w:tc>
        <w:tc>
          <w:tcPr>
            <w:tcW w:w="1984" w:type="dxa"/>
          </w:tcPr>
          <w:p w:rsidR="008271DA" w:rsidRPr="00083F7E" w:rsidRDefault="008271DA" w:rsidP="0017333C">
            <w:pPr>
              <w:rPr>
                <w:sz w:val="22"/>
                <w:szCs w:val="22"/>
              </w:rPr>
            </w:pPr>
            <w:r w:rsidRPr="00083F7E">
              <w:rPr>
                <w:sz w:val="22"/>
                <w:szCs w:val="22"/>
              </w:rPr>
              <w:t xml:space="preserve">Ar darba devēja VSAOI </w:t>
            </w:r>
          </w:p>
        </w:tc>
      </w:tr>
      <w:tr w:rsidR="008271DA" w:rsidRPr="00083F7E" w:rsidTr="0017333C">
        <w:trPr>
          <w:trHeight w:val="892"/>
        </w:trPr>
        <w:tc>
          <w:tcPr>
            <w:tcW w:w="1951" w:type="dxa"/>
          </w:tcPr>
          <w:p w:rsidR="008271DA" w:rsidRPr="00083F7E" w:rsidRDefault="008271DA" w:rsidP="0017333C">
            <w:pPr>
              <w:rPr>
                <w:sz w:val="22"/>
                <w:szCs w:val="22"/>
              </w:rPr>
            </w:pPr>
            <w:r w:rsidRPr="00083F7E">
              <w:rPr>
                <w:sz w:val="22"/>
                <w:szCs w:val="22"/>
              </w:rPr>
              <w:t>Ekonomiski aktīvo iedzīvotāju skaits</w:t>
            </w:r>
          </w:p>
        </w:tc>
        <w:tc>
          <w:tcPr>
            <w:tcW w:w="1559" w:type="dxa"/>
          </w:tcPr>
          <w:p w:rsidR="008271DA" w:rsidRPr="00083F7E" w:rsidRDefault="008271DA" w:rsidP="0017333C">
            <w:pPr>
              <w:rPr>
                <w:sz w:val="22"/>
                <w:szCs w:val="22"/>
              </w:rPr>
            </w:pPr>
            <w:r w:rsidRPr="00083F7E">
              <w:rPr>
                <w:sz w:val="22"/>
                <w:szCs w:val="22"/>
              </w:rPr>
              <w:t>1036500 =</w:t>
            </w:r>
            <w:r>
              <w:rPr>
                <w:sz w:val="22"/>
                <w:szCs w:val="22"/>
              </w:rPr>
              <w:t xml:space="preserve"> </w:t>
            </w:r>
            <w:r w:rsidRPr="00083F7E">
              <w:rPr>
                <w:sz w:val="22"/>
                <w:szCs w:val="22"/>
              </w:rPr>
              <w:t>62% no visiem iedzīvotājiem</w:t>
            </w:r>
          </w:p>
        </w:tc>
        <w:tc>
          <w:tcPr>
            <w:tcW w:w="3686" w:type="dxa"/>
          </w:tcPr>
          <w:p w:rsidR="008271DA" w:rsidRPr="00083F7E" w:rsidRDefault="008271DA" w:rsidP="0017333C">
            <w:pPr>
              <w:rPr>
                <w:sz w:val="22"/>
                <w:szCs w:val="22"/>
              </w:rPr>
            </w:pPr>
            <w:r w:rsidRPr="00083F7E">
              <w:rPr>
                <w:sz w:val="22"/>
                <w:szCs w:val="22"/>
              </w:rPr>
              <w:t>Centrālā statistikas pārvalde</w:t>
            </w:r>
          </w:p>
        </w:tc>
        <w:tc>
          <w:tcPr>
            <w:tcW w:w="1984" w:type="dxa"/>
          </w:tcPr>
          <w:p w:rsidR="008271DA" w:rsidRPr="00083F7E" w:rsidRDefault="008271DA" w:rsidP="0017333C">
            <w:pPr>
              <w:rPr>
                <w:sz w:val="22"/>
                <w:szCs w:val="22"/>
              </w:rPr>
            </w:pPr>
            <w:r w:rsidRPr="00083F7E">
              <w:rPr>
                <w:sz w:val="22"/>
                <w:szCs w:val="22"/>
              </w:rPr>
              <w:t>2013.gada ekonomiski aktīvo iedzīvotāju skaits</w:t>
            </w:r>
          </w:p>
        </w:tc>
      </w:tr>
    </w:tbl>
    <w:p w:rsidR="008271DA" w:rsidRPr="008271DA" w:rsidRDefault="008271DA" w:rsidP="008271DA">
      <w:pPr>
        <w:rPr>
          <w:sz w:val="10"/>
          <w:szCs w:val="10"/>
        </w:rPr>
      </w:pPr>
    </w:p>
    <w:p w:rsidR="008271DA" w:rsidRPr="00083F7E" w:rsidRDefault="008271DA" w:rsidP="008271DA">
      <w:pPr>
        <w:pStyle w:val="ListParagraph"/>
        <w:ind w:left="1069"/>
      </w:pPr>
      <w:r w:rsidRPr="00083F7E">
        <w:t>Izmantotie aprēķini:</w:t>
      </w:r>
    </w:p>
    <w:p w:rsidR="008271DA" w:rsidRPr="00083F7E" w:rsidRDefault="008271DA" w:rsidP="008271DA">
      <w:pPr>
        <w:pStyle w:val="ListParagraph"/>
        <w:numPr>
          <w:ilvl w:val="0"/>
          <w:numId w:val="5"/>
        </w:numPr>
        <w:tabs>
          <w:tab w:val="left" w:pos="1418"/>
        </w:tabs>
        <w:ind w:left="0" w:firstLine="851"/>
      </w:pPr>
      <w:r w:rsidRPr="00083F7E">
        <w:t xml:space="preserve"> IKP stundas likme = gada IKP / ekonomiski aktīvo iedzīvotāju skaits / darba stundu skaits gadā</w:t>
      </w:r>
    </w:p>
    <w:p w:rsidR="008271DA" w:rsidRPr="00083F7E" w:rsidRDefault="008271DA" w:rsidP="008271DA">
      <w:pPr>
        <w:pStyle w:val="ListParagraph"/>
        <w:numPr>
          <w:ilvl w:val="0"/>
          <w:numId w:val="5"/>
        </w:numPr>
        <w:tabs>
          <w:tab w:val="left" w:pos="1418"/>
        </w:tabs>
        <w:ind w:left="0" w:firstLine="851"/>
      </w:pPr>
      <w:r w:rsidRPr="00083F7E">
        <w:t xml:space="preserve">IKP palielinājums no ekonomiski aktīvajiem klientiem= vidējais ceļā pavadītais laiks x apmeklējumu skaits x IKP stundas likme </w:t>
      </w:r>
    </w:p>
    <w:p w:rsidR="008271DA" w:rsidRPr="00083F7E" w:rsidRDefault="008271DA" w:rsidP="008271DA">
      <w:pPr>
        <w:pStyle w:val="ListParagraph"/>
        <w:numPr>
          <w:ilvl w:val="0"/>
          <w:numId w:val="5"/>
        </w:numPr>
        <w:tabs>
          <w:tab w:val="left" w:pos="1418"/>
        </w:tabs>
        <w:ind w:left="0" w:firstLine="851"/>
      </w:pPr>
      <w:r w:rsidRPr="00083F7E">
        <w:t>Administratīvā sloga samazinājums VPVKAC iestāžu klientiem vairāku pakalpojumu pieteikšanas vienuviet dēļ = VPVKAC apmeklētāju skaits x (transporta vidējā biļetes cena + vidējais ceļā pavadītais laiks x bruto alga stundā) x gadījumu %, kad klients apvienos VPVKAC apmeklējumu divu pakalpojumu pieteikšanai.</w:t>
      </w:r>
    </w:p>
    <w:p w:rsidR="008271DA" w:rsidRPr="008271DA" w:rsidRDefault="008271DA" w:rsidP="008271DA">
      <w:pPr>
        <w:tabs>
          <w:tab w:val="left" w:pos="1418"/>
        </w:tabs>
        <w:rPr>
          <w:sz w:val="20"/>
          <w:szCs w:val="20"/>
        </w:rPr>
      </w:pPr>
    </w:p>
    <w:p w:rsidR="008271DA" w:rsidRPr="008271DA" w:rsidRDefault="008271DA" w:rsidP="008271DA">
      <w:pPr>
        <w:rPr>
          <w:sz w:val="20"/>
          <w:szCs w:val="20"/>
        </w:rPr>
      </w:pPr>
    </w:p>
    <w:p w:rsidR="008271DA" w:rsidRPr="00E50147" w:rsidRDefault="008271DA" w:rsidP="008271DA">
      <w:r>
        <w:t>M</w:t>
      </w:r>
      <w:r w:rsidRPr="00E50147">
        <w:t xml:space="preserve">inistrs </w:t>
      </w:r>
      <w:r w:rsidRPr="00E50147">
        <w:tab/>
      </w:r>
      <w:r w:rsidRPr="00E50147">
        <w:tab/>
      </w:r>
      <w:r w:rsidRPr="00E50147">
        <w:tab/>
      </w:r>
      <w:r w:rsidRPr="00E50147">
        <w:tab/>
      </w:r>
      <w:r w:rsidRPr="00E50147">
        <w:tab/>
      </w:r>
      <w:r w:rsidRPr="00E50147">
        <w:tab/>
      </w:r>
      <w:r w:rsidRPr="00E50147">
        <w:tab/>
      </w:r>
      <w:r w:rsidRPr="00E50147">
        <w:tab/>
      </w:r>
      <w:r w:rsidRPr="00E50147">
        <w:tab/>
      </w:r>
      <w:r w:rsidRPr="00E50147">
        <w:tab/>
        <w:t>R. Naudiņš</w:t>
      </w:r>
    </w:p>
    <w:p w:rsidR="008271DA" w:rsidRDefault="008271DA" w:rsidP="008271DA">
      <w:pPr>
        <w:rPr>
          <w:sz w:val="28"/>
          <w:szCs w:val="28"/>
        </w:rPr>
      </w:pPr>
    </w:p>
    <w:p w:rsidR="008271DA" w:rsidRPr="00EE25E9" w:rsidRDefault="00B97E93" w:rsidP="008271DA">
      <w:pPr>
        <w:rPr>
          <w:sz w:val="20"/>
          <w:szCs w:val="20"/>
        </w:rPr>
      </w:pPr>
      <w:r>
        <w:rPr>
          <w:sz w:val="20"/>
          <w:szCs w:val="20"/>
        </w:rPr>
        <w:t>27</w:t>
      </w:r>
      <w:r w:rsidR="008271DA">
        <w:rPr>
          <w:sz w:val="20"/>
          <w:szCs w:val="20"/>
        </w:rPr>
        <w:t xml:space="preserve">.10.2014. </w:t>
      </w:r>
      <w:r>
        <w:rPr>
          <w:sz w:val="20"/>
          <w:szCs w:val="20"/>
        </w:rPr>
        <w:t>09:00</w:t>
      </w:r>
    </w:p>
    <w:p w:rsidR="008271DA" w:rsidRPr="00EE25E9" w:rsidRDefault="00B97E93" w:rsidP="008271DA">
      <w:pPr>
        <w:rPr>
          <w:sz w:val="20"/>
          <w:szCs w:val="20"/>
        </w:rPr>
      </w:pPr>
      <w:r>
        <w:rPr>
          <w:sz w:val="20"/>
          <w:szCs w:val="20"/>
        </w:rPr>
        <w:t>1081</w:t>
      </w:r>
    </w:p>
    <w:p w:rsidR="008271DA" w:rsidRPr="00EE25E9" w:rsidRDefault="008271DA" w:rsidP="008271DA">
      <w:pPr>
        <w:tabs>
          <w:tab w:val="left" w:pos="6161"/>
        </w:tabs>
        <w:rPr>
          <w:sz w:val="20"/>
          <w:szCs w:val="20"/>
        </w:rPr>
      </w:pPr>
      <w:r w:rsidRPr="00EE25E9">
        <w:rPr>
          <w:sz w:val="20"/>
          <w:szCs w:val="20"/>
        </w:rPr>
        <w:t>M.Anspoka, 66016538</w:t>
      </w:r>
      <w:r w:rsidRPr="00EE25E9">
        <w:rPr>
          <w:sz w:val="20"/>
          <w:szCs w:val="20"/>
        </w:rPr>
        <w:tab/>
      </w:r>
    </w:p>
    <w:p w:rsidR="00C824AE" w:rsidRDefault="00B64BDA">
      <w:hyperlink r:id="rId8" w:history="1">
        <w:r w:rsidR="008271DA" w:rsidRPr="00EE25E9">
          <w:rPr>
            <w:rStyle w:val="Hyperlink"/>
            <w:sz w:val="20"/>
            <w:szCs w:val="20"/>
          </w:rPr>
          <w:t>Maija.Anspoka@varam.gov.lv</w:t>
        </w:r>
      </w:hyperlink>
    </w:p>
    <w:sectPr w:rsidR="00C824AE" w:rsidSect="008271DA">
      <w:headerReference w:type="defaul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DA" w:rsidRDefault="00B64BDA" w:rsidP="008271DA">
      <w:r>
        <w:separator/>
      </w:r>
    </w:p>
  </w:endnote>
  <w:endnote w:type="continuationSeparator" w:id="0">
    <w:p w:rsidR="00B64BDA" w:rsidRDefault="00B64BDA" w:rsidP="0082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DA" w:rsidRDefault="00B64BDA" w:rsidP="008271DA">
      <w:r>
        <w:separator/>
      </w:r>
    </w:p>
  </w:footnote>
  <w:footnote w:type="continuationSeparator" w:id="0">
    <w:p w:rsidR="00B64BDA" w:rsidRDefault="00B64BDA" w:rsidP="0082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42423"/>
      <w:docPartObj>
        <w:docPartGallery w:val="Page Numbers (Top of Page)"/>
        <w:docPartUnique/>
      </w:docPartObj>
    </w:sdtPr>
    <w:sdtEndPr>
      <w:rPr>
        <w:noProof/>
      </w:rPr>
    </w:sdtEndPr>
    <w:sdtContent>
      <w:p w:rsidR="008271DA" w:rsidRDefault="008271DA" w:rsidP="008271DA">
        <w:pPr>
          <w:pStyle w:val="Header"/>
          <w:jc w:val="center"/>
        </w:pPr>
        <w:r>
          <w:fldChar w:fldCharType="begin"/>
        </w:r>
        <w:r>
          <w:instrText xml:space="preserve"> PAGE   \* MERGEFORMAT </w:instrText>
        </w:r>
        <w:r>
          <w:fldChar w:fldCharType="separate"/>
        </w:r>
        <w:r w:rsidR="00B97E9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0C2"/>
    <w:multiLevelType w:val="hybridMultilevel"/>
    <w:tmpl w:val="4A367CE4"/>
    <w:lvl w:ilvl="0" w:tplc="0426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E03C12"/>
    <w:multiLevelType w:val="hybridMultilevel"/>
    <w:tmpl w:val="7FA8D75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7D35184"/>
    <w:multiLevelType w:val="hybridMultilevel"/>
    <w:tmpl w:val="0BECA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FF30D69"/>
    <w:multiLevelType w:val="hybridMultilevel"/>
    <w:tmpl w:val="886045D2"/>
    <w:lvl w:ilvl="0" w:tplc="1438E6CA">
      <w:start w:val="1"/>
      <w:numFmt w:val="decimal"/>
      <w:lvlText w:val="%1."/>
      <w:lvlJc w:val="left"/>
      <w:pPr>
        <w:ind w:left="1080" w:hanging="360"/>
      </w:pPr>
      <w:rPr>
        <w:rFonts w:ascii="Times New Roman" w:eastAsiaTheme="minorHAns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60806CB1"/>
    <w:multiLevelType w:val="hybridMultilevel"/>
    <w:tmpl w:val="66F0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F269E1"/>
    <w:multiLevelType w:val="hybridMultilevel"/>
    <w:tmpl w:val="6E201CA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67EE6D74"/>
    <w:multiLevelType w:val="hybridMultilevel"/>
    <w:tmpl w:val="0BB208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59100C9"/>
    <w:multiLevelType w:val="hybridMultilevel"/>
    <w:tmpl w:val="A224C4B6"/>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8202514"/>
    <w:multiLevelType w:val="hybridMultilevel"/>
    <w:tmpl w:val="34A02B88"/>
    <w:lvl w:ilvl="0" w:tplc="0D7E121E">
      <w:start w:val="1"/>
      <w:numFmt w:val="decimal"/>
      <w:lvlText w:val="%1."/>
      <w:lvlJc w:val="left"/>
      <w:pPr>
        <w:ind w:left="1069"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8"/>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DA"/>
    <w:rsid w:val="003D33D3"/>
    <w:rsid w:val="00570EA6"/>
    <w:rsid w:val="008271DA"/>
    <w:rsid w:val="009F7CE2"/>
    <w:rsid w:val="00A06BE1"/>
    <w:rsid w:val="00B64BDA"/>
    <w:rsid w:val="00B97E93"/>
    <w:rsid w:val="00C824AE"/>
    <w:rsid w:val="00DB53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DA"/>
    <w:pPr>
      <w:spacing w:before="0"/>
      <w:ind w:left="0" w:firstLine="0"/>
    </w:pPr>
  </w:style>
  <w:style w:type="paragraph" w:styleId="Heading2">
    <w:name w:val="heading 2"/>
    <w:basedOn w:val="Normal"/>
    <w:next w:val="Normal"/>
    <w:link w:val="Heading2Char"/>
    <w:uiPriority w:val="9"/>
    <w:unhideWhenUsed/>
    <w:qFormat/>
    <w:rsid w:val="008271DA"/>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1DA"/>
    <w:rPr>
      <w:rFonts w:eastAsiaTheme="majorEastAsia" w:cstheme="majorBidi"/>
      <w:b/>
      <w:bCs/>
      <w:szCs w:val="26"/>
    </w:rPr>
  </w:style>
  <w:style w:type="paragraph" w:styleId="ListParagraph">
    <w:name w:val="List Paragraph"/>
    <w:basedOn w:val="Normal"/>
    <w:link w:val="ListParagraphChar"/>
    <w:uiPriority w:val="34"/>
    <w:qFormat/>
    <w:rsid w:val="008271DA"/>
    <w:pPr>
      <w:ind w:left="720"/>
      <w:contextualSpacing/>
    </w:pPr>
  </w:style>
  <w:style w:type="character" w:styleId="Hyperlink">
    <w:name w:val="Hyperlink"/>
    <w:basedOn w:val="DefaultParagraphFont"/>
    <w:uiPriority w:val="99"/>
    <w:unhideWhenUsed/>
    <w:rsid w:val="008271DA"/>
    <w:rPr>
      <w:color w:val="0000FF" w:themeColor="hyperlink"/>
      <w:u w:val="single"/>
    </w:rPr>
  </w:style>
  <w:style w:type="table" w:styleId="TableGrid">
    <w:name w:val="Table Grid"/>
    <w:basedOn w:val="TableNormal"/>
    <w:uiPriority w:val="59"/>
    <w:rsid w:val="008271DA"/>
    <w:pPr>
      <w:spacing w:before="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271DA"/>
  </w:style>
  <w:style w:type="paragraph" w:styleId="Header">
    <w:name w:val="header"/>
    <w:basedOn w:val="Normal"/>
    <w:link w:val="HeaderChar"/>
    <w:uiPriority w:val="99"/>
    <w:unhideWhenUsed/>
    <w:rsid w:val="008271DA"/>
    <w:pPr>
      <w:tabs>
        <w:tab w:val="center" w:pos="4153"/>
        <w:tab w:val="right" w:pos="8306"/>
      </w:tabs>
    </w:pPr>
  </w:style>
  <w:style w:type="character" w:customStyle="1" w:styleId="HeaderChar">
    <w:name w:val="Header Char"/>
    <w:basedOn w:val="DefaultParagraphFont"/>
    <w:link w:val="Header"/>
    <w:uiPriority w:val="99"/>
    <w:rsid w:val="008271DA"/>
  </w:style>
  <w:style w:type="paragraph" w:styleId="Footer">
    <w:name w:val="footer"/>
    <w:basedOn w:val="Normal"/>
    <w:link w:val="FooterChar"/>
    <w:uiPriority w:val="99"/>
    <w:unhideWhenUsed/>
    <w:rsid w:val="008271DA"/>
    <w:pPr>
      <w:tabs>
        <w:tab w:val="center" w:pos="4153"/>
        <w:tab w:val="right" w:pos="8306"/>
      </w:tabs>
    </w:pPr>
  </w:style>
  <w:style w:type="character" w:customStyle="1" w:styleId="FooterChar">
    <w:name w:val="Footer Char"/>
    <w:basedOn w:val="DefaultParagraphFont"/>
    <w:link w:val="Footer"/>
    <w:uiPriority w:val="99"/>
    <w:rsid w:val="00827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DA"/>
    <w:pPr>
      <w:spacing w:before="0"/>
      <w:ind w:left="0" w:firstLine="0"/>
    </w:pPr>
  </w:style>
  <w:style w:type="paragraph" w:styleId="Heading2">
    <w:name w:val="heading 2"/>
    <w:basedOn w:val="Normal"/>
    <w:next w:val="Normal"/>
    <w:link w:val="Heading2Char"/>
    <w:uiPriority w:val="9"/>
    <w:unhideWhenUsed/>
    <w:qFormat/>
    <w:rsid w:val="008271DA"/>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1DA"/>
    <w:rPr>
      <w:rFonts w:eastAsiaTheme="majorEastAsia" w:cstheme="majorBidi"/>
      <w:b/>
      <w:bCs/>
      <w:szCs w:val="26"/>
    </w:rPr>
  </w:style>
  <w:style w:type="paragraph" w:styleId="ListParagraph">
    <w:name w:val="List Paragraph"/>
    <w:basedOn w:val="Normal"/>
    <w:link w:val="ListParagraphChar"/>
    <w:uiPriority w:val="34"/>
    <w:qFormat/>
    <w:rsid w:val="008271DA"/>
    <w:pPr>
      <w:ind w:left="720"/>
      <w:contextualSpacing/>
    </w:pPr>
  </w:style>
  <w:style w:type="character" w:styleId="Hyperlink">
    <w:name w:val="Hyperlink"/>
    <w:basedOn w:val="DefaultParagraphFont"/>
    <w:uiPriority w:val="99"/>
    <w:unhideWhenUsed/>
    <w:rsid w:val="008271DA"/>
    <w:rPr>
      <w:color w:val="0000FF" w:themeColor="hyperlink"/>
      <w:u w:val="single"/>
    </w:rPr>
  </w:style>
  <w:style w:type="table" w:styleId="TableGrid">
    <w:name w:val="Table Grid"/>
    <w:basedOn w:val="TableNormal"/>
    <w:uiPriority w:val="59"/>
    <w:rsid w:val="008271DA"/>
    <w:pPr>
      <w:spacing w:before="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8271DA"/>
  </w:style>
  <w:style w:type="paragraph" w:styleId="Header">
    <w:name w:val="header"/>
    <w:basedOn w:val="Normal"/>
    <w:link w:val="HeaderChar"/>
    <w:uiPriority w:val="99"/>
    <w:unhideWhenUsed/>
    <w:rsid w:val="008271DA"/>
    <w:pPr>
      <w:tabs>
        <w:tab w:val="center" w:pos="4153"/>
        <w:tab w:val="right" w:pos="8306"/>
      </w:tabs>
    </w:pPr>
  </w:style>
  <w:style w:type="character" w:customStyle="1" w:styleId="HeaderChar">
    <w:name w:val="Header Char"/>
    <w:basedOn w:val="DefaultParagraphFont"/>
    <w:link w:val="Header"/>
    <w:uiPriority w:val="99"/>
    <w:rsid w:val="008271DA"/>
  </w:style>
  <w:style w:type="paragraph" w:styleId="Footer">
    <w:name w:val="footer"/>
    <w:basedOn w:val="Normal"/>
    <w:link w:val="FooterChar"/>
    <w:uiPriority w:val="99"/>
    <w:unhideWhenUsed/>
    <w:rsid w:val="008271DA"/>
    <w:pPr>
      <w:tabs>
        <w:tab w:val="center" w:pos="4153"/>
        <w:tab w:val="right" w:pos="8306"/>
      </w:tabs>
    </w:pPr>
  </w:style>
  <w:style w:type="character" w:customStyle="1" w:styleId="FooterChar">
    <w:name w:val="Footer Char"/>
    <w:basedOn w:val="DefaultParagraphFont"/>
    <w:link w:val="Footer"/>
    <w:uiPriority w:val="99"/>
    <w:rsid w:val="0082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granta@varam.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5733</Words>
  <Characters>3269</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Anspoka</dc:creator>
  <cp:lastModifiedBy>Maija Anspoka</cp:lastModifiedBy>
  <cp:revision>3</cp:revision>
  <dcterms:created xsi:type="dcterms:W3CDTF">2014-10-24T15:11:00Z</dcterms:created>
  <dcterms:modified xsi:type="dcterms:W3CDTF">2014-10-27T07:02:00Z</dcterms:modified>
</cp:coreProperties>
</file>