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EB" w:rsidRPr="00E26EF7" w:rsidRDefault="00382AEB" w:rsidP="00382AEB">
      <w:pPr>
        <w:shd w:val="clear" w:color="auto" w:fill="FFFFFF"/>
        <w:jc w:val="center"/>
        <w:rPr>
          <w:rFonts w:cs="Times New Roman"/>
          <w:b/>
          <w:bCs/>
          <w:color w:val="414142"/>
          <w:sz w:val="28"/>
          <w:szCs w:val="28"/>
          <w:lang w:val="lv-LV" w:eastAsia="lv-LV" w:bidi="ar-SA"/>
        </w:rPr>
      </w:pPr>
      <w:r w:rsidRPr="00E26EF7">
        <w:rPr>
          <w:rFonts w:cs="Times New Roman"/>
          <w:b/>
          <w:bCs/>
          <w:color w:val="414142"/>
          <w:sz w:val="28"/>
          <w:szCs w:val="28"/>
          <w:lang w:val="lv-LV" w:eastAsia="lv-LV" w:bidi="ar-SA"/>
        </w:rPr>
        <w:t>Likumprojekta „Grozījumi Nacionālo bruņoto spēku likumā” sākotnējās ietekmes novērtējuma ziņojums (anotācija)</w:t>
      </w:r>
    </w:p>
    <w:p w:rsidR="00382AEB" w:rsidRPr="00382AEB" w:rsidRDefault="00382AEB" w:rsidP="00382AEB">
      <w:pPr>
        <w:shd w:val="clear" w:color="auto" w:fill="FFFFFF"/>
        <w:spacing w:before="45" w:line="240" w:lineRule="atLeast"/>
        <w:ind w:firstLine="300"/>
        <w:jc w:val="center"/>
        <w:rPr>
          <w:rFonts w:ascii="Arial" w:hAnsi="Arial" w:cs="Arial"/>
          <w:i/>
          <w:iCs/>
          <w:color w:val="414142"/>
          <w:lang w:val="lv-LV" w:eastAsia="lv-LV" w:bidi="ar-SA"/>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382AEB" w:rsidRPr="00382AEB" w:rsidTr="00382AE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I. Tiesību akta projekta izstrādes nepieciešamība</w:t>
            </w:r>
          </w:p>
        </w:tc>
      </w:tr>
      <w:tr w:rsidR="00382AEB" w:rsidRPr="00382AEB" w:rsidTr="00382AEB">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spacing w:before="100" w:beforeAutospacing="1" w:after="100" w:afterAutospacing="1" w:line="285" w:lineRule="atLeast"/>
              <w:jc w:val="center"/>
              <w:rPr>
                <w:rFonts w:cs="Times New Roman"/>
                <w:color w:val="414142"/>
                <w:lang w:val="lv-LV" w:eastAsia="lv-LV" w:bidi="ar-SA"/>
              </w:rPr>
            </w:pPr>
            <w:r w:rsidRPr="00382AEB">
              <w:rPr>
                <w:rFonts w:cs="Times New Roman"/>
                <w:color w:val="414142"/>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Pr>
                <w:rFonts w:cs="Times New Roman"/>
                <w:color w:val="414142"/>
                <w:lang w:val="lv-LV" w:eastAsia="lv-LV" w:bidi="ar-SA"/>
              </w:rPr>
              <w:t>Projekts šo jomu neskar.</w:t>
            </w:r>
          </w:p>
        </w:tc>
      </w:tr>
      <w:tr w:rsidR="00403408" w:rsidRPr="00134B47" w:rsidTr="00382AE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403408" w:rsidP="00403408">
            <w:pPr>
              <w:spacing w:before="100" w:beforeAutospacing="1" w:after="100" w:afterAutospacing="1" w:line="285" w:lineRule="atLeast"/>
              <w:jc w:val="center"/>
              <w:rPr>
                <w:rFonts w:cs="Times New Roman"/>
                <w:color w:val="414142"/>
                <w:lang w:val="lv-LV" w:eastAsia="lv-LV" w:bidi="ar-SA"/>
              </w:rPr>
            </w:pPr>
            <w:r w:rsidRPr="00382AEB">
              <w:rPr>
                <w:rFonts w:cs="Times New Roman"/>
                <w:color w:val="414142"/>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403408" w:rsidRPr="00382AEB" w:rsidRDefault="00403408" w:rsidP="00403408">
            <w:pPr>
              <w:rPr>
                <w:rFonts w:cs="Times New Roman"/>
                <w:color w:val="414142"/>
                <w:lang w:val="lv-LV" w:eastAsia="lv-LV" w:bidi="ar-SA"/>
              </w:rPr>
            </w:pPr>
            <w:r w:rsidRPr="00382AEB">
              <w:rPr>
                <w:rFonts w:cs="Times New Roman"/>
                <w:color w:val="414142"/>
                <w:lang w:val="lv-LV" w:eastAsia="lv-LV" w:bidi="ar-SA"/>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03408" w:rsidRPr="00403408" w:rsidRDefault="00403408" w:rsidP="00403408">
            <w:pPr>
              <w:jc w:val="both"/>
              <w:rPr>
                <w:sz w:val="22"/>
                <w:szCs w:val="22"/>
                <w:lang w:val="lv-LV"/>
              </w:rPr>
            </w:pPr>
            <w:r w:rsidRPr="00403408">
              <w:rPr>
                <w:sz w:val="22"/>
                <w:szCs w:val="22"/>
                <w:lang w:val="lv-LV"/>
              </w:rPr>
              <w:t>Aizsardzības ministrija ir sagatavojusi grozījumus Nacionālo bruņoto spēku likumā, jo:</w:t>
            </w:r>
          </w:p>
          <w:p w:rsidR="00403408" w:rsidRPr="00403408" w:rsidRDefault="00403408" w:rsidP="00403408">
            <w:pPr>
              <w:jc w:val="both"/>
              <w:rPr>
                <w:bCs/>
                <w:sz w:val="22"/>
                <w:szCs w:val="22"/>
                <w:lang w:val="lv-LV"/>
              </w:rPr>
            </w:pPr>
            <w:r w:rsidRPr="00403408">
              <w:rPr>
                <w:sz w:val="22"/>
                <w:szCs w:val="22"/>
                <w:lang w:val="lv-LV"/>
              </w:rPr>
              <w:t xml:space="preserve">1. Latvijas Administratīvo pārkāpumu kodeksa </w:t>
            </w:r>
            <w:r w:rsidRPr="00403408">
              <w:rPr>
                <w:bCs/>
                <w:sz w:val="22"/>
                <w:szCs w:val="22"/>
                <w:lang w:val="lv-LV"/>
              </w:rPr>
              <w:t>194.</w:t>
            </w:r>
            <w:r w:rsidRPr="00403408">
              <w:rPr>
                <w:bCs/>
                <w:sz w:val="22"/>
                <w:szCs w:val="22"/>
                <w:vertAlign w:val="superscript"/>
                <w:lang w:val="lv-LV"/>
              </w:rPr>
              <w:t>3</w:t>
            </w:r>
            <w:r w:rsidRPr="00403408">
              <w:rPr>
                <w:bCs/>
                <w:sz w:val="22"/>
                <w:szCs w:val="22"/>
                <w:lang w:val="lv-LV"/>
              </w:rPr>
              <w:t xml:space="preserve"> pants paredz administratīvo sodu par patvaļīgu iekļūšanu militārajos objektos un militāro objektu aprīkojuma bojāšanu. Ārējos normatīvajos aktos nav skaidrojuma, kas ir saprotams ar jēdzienu „militārais objekts”. Nacionālie bruņotie spēki (turpmāk – NBS) ir saskārušies ar situāciju, kad piemēram, pašvaldības policija lūdz sniegt informāciju par ārējiem normatīvajiem aktiem, kuri nosaka, kas ir saprotams ar militāro objektu. Ņemot vērā minēto un tā kā personu iekļūšana un pārvietošanās militāro objektu teritorijā ir ierobežota, </w:t>
            </w:r>
            <w:r w:rsidR="004E3EB2">
              <w:rPr>
                <w:bCs/>
                <w:sz w:val="22"/>
                <w:szCs w:val="22"/>
                <w:lang w:val="lv-LV"/>
              </w:rPr>
              <w:t>Nacionālo bruņoto spēku</w:t>
            </w:r>
            <w:r w:rsidRPr="00403408">
              <w:rPr>
                <w:bCs/>
                <w:sz w:val="22"/>
                <w:szCs w:val="22"/>
                <w:lang w:val="lv-LV"/>
              </w:rPr>
              <w:t xml:space="preserve"> likum</w:t>
            </w:r>
            <w:r w:rsidR="004E3EB2">
              <w:rPr>
                <w:bCs/>
                <w:sz w:val="22"/>
                <w:szCs w:val="22"/>
                <w:lang w:val="lv-LV"/>
              </w:rPr>
              <w:t>ā ir paredzēts precizēt NBS izvietošanas vietu un</w:t>
            </w:r>
            <w:proofErr w:type="gramStart"/>
            <w:r w:rsidR="004E3EB2">
              <w:rPr>
                <w:bCs/>
                <w:sz w:val="22"/>
                <w:szCs w:val="22"/>
                <w:lang w:val="lv-LV"/>
              </w:rPr>
              <w:t xml:space="preserve"> </w:t>
            </w:r>
            <w:r w:rsidRPr="00403408">
              <w:rPr>
                <w:bCs/>
                <w:sz w:val="22"/>
                <w:szCs w:val="22"/>
                <w:lang w:val="lv-LV"/>
              </w:rPr>
              <w:t xml:space="preserve"> </w:t>
            </w:r>
            <w:proofErr w:type="gramEnd"/>
            <w:r w:rsidRPr="00403408">
              <w:rPr>
                <w:bCs/>
                <w:sz w:val="22"/>
                <w:szCs w:val="22"/>
                <w:lang w:val="lv-LV"/>
              </w:rPr>
              <w:t>noteikt, kas ir saprotams ar jēdzienu „militārais objekts”.</w:t>
            </w:r>
          </w:p>
          <w:p w:rsidR="00403408" w:rsidRPr="00134B47" w:rsidRDefault="00403408" w:rsidP="00403408">
            <w:pPr>
              <w:jc w:val="both"/>
              <w:rPr>
                <w:sz w:val="22"/>
                <w:szCs w:val="22"/>
                <w:lang w:val="lv-LV"/>
              </w:rPr>
            </w:pPr>
            <w:r w:rsidRPr="00403408">
              <w:rPr>
                <w:sz w:val="22"/>
                <w:szCs w:val="22"/>
                <w:lang w:val="lv-LV"/>
              </w:rPr>
              <w:t>2. Saskaņā ar Militārā dienesta likuma (turpmāk – MDL) 17.¹panta pirmo daļu jaunieši vecumā no 10 līdz 21 gadam var darboties brīvprātīgā kustībā „</w:t>
            </w:r>
            <w:proofErr w:type="spellStart"/>
            <w:r w:rsidRPr="00403408">
              <w:rPr>
                <w:sz w:val="22"/>
                <w:szCs w:val="22"/>
                <w:lang w:val="lv-LV"/>
              </w:rPr>
              <w:t>Jaunsardze</w:t>
            </w:r>
            <w:proofErr w:type="spellEnd"/>
            <w:r w:rsidRPr="00403408">
              <w:rPr>
                <w:sz w:val="22"/>
                <w:szCs w:val="22"/>
                <w:lang w:val="lv-LV"/>
              </w:rPr>
              <w:t xml:space="preserve">”, kuras mērķis ir jaunatnes izglītošana valsts aizsardzības jomā un pilsoniskās apziņas un patriotisma veicināšana. </w:t>
            </w:r>
            <w:proofErr w:type="spellStart"/>
            <w:r w:rsidRPr="00CE3F79">
              <w:rPr>
                <w:sz w:val="22"/>
                <w:szCs w:val="22"/>
              </w:rPr>
              <w:t>Jaunsargu</w:t>
            </w:r>
            <w:proofErr w:type="spellEnd"/>
            <w:r w:rsidRPr="00CE3F79">
              <w:rPr>
                <w:sz w:val="22"/>
                <w:szCs w:val="22"/>
              </w:rPr>
              <w:t xml:space="preserve"> </w:t>
            </w:r>
            <w:r w:rsidRPr="00134B47">
              <w:rPr>
                <w:sz w:val="22"/>
                <w:szCs w:val="22"/>
                <w:lang w:val="lv-LV"/>
              </w:rPr>
              <w:t xml:space="preserve">interešu izglītības programmu organizē un īsteno </w:t>
            </w:r>
            <w:proofErr w:type="spellStart"/>
            <w:r w:rsidRPr="00134B47">
              <w:rPr>
                <w:sz w:val="22"/>
                <w:szCs w:val="22"/>
                <w:lang w:val="lv-LV"/>
              </w:rPr>
              <w:t>Rekrutēšanas</w:t>
            </w:r>
            <w:proofErr w:type="spellEnd"/>
            <w:r w:rsidRPr="00134B47">
              <w:rPr>
                <w:sz w:val="22"/>
                <w:szCs w:val="22"/>
                <w:lang w:val="lv-LV"/>
              </w:rPr>
              <w:t xml:space="preserve"> un </w:t>
            </w:r>
            <w:proofErr w:type="spellStart"/>
            <w:r w:rsidRPr="00134B47">
              <w:rPr>
                <w:sz w:val="22"/>
                <w:szCs w:val="22"/>
                <w:lang w:val="lv-LV"/>
              </w:rPr>
              <w:t>jaunsardzes</w:t>
            </w:r>
            <w:proofErr w:type="spellEnd"/>
            <w:r w:rsidRPr="00134B47">
              <w:rPr>
                <w:sz w:val="22"/>
                <w:szCs w:val="22"/>
                <w:lang w:val="lv-LV"/>
              </w:rPr>
              <w:t xml:space="preserve"> centrs. Šīs programmas īstenošanā atbalstu sniedz NBS regulāro spēku vienības un Zemessardze. Ciešā sadarbība ir izveidojusies vēsturiski, ņemot vērā gan to, ka </w:t>
            </w:r>
            <w:proofErr w:type="spellStart"/>
            <w:r w:rsidRPr="00134B47">
              <w:rPr>
                <w:sz w:val="22"/>
                <w:szCs w:val="22"/>
                <w:lang w:val="lv-LV"/>
              </w:rPr>
              <w:t>Jaunsardzes</w:t>
            </w:r>
            <w:proofErr w:type="spellEnd"/>
            <w:r w:rsidRPr="00134B47">
              <w:rPr>
                <w:sz w:val="22"/>
                <w:szCs w:val="22"/>
                <w:lang w:val="lv-LV"/>
              </w:rPr>
              <w:t xml:space="preserve"> pirmsākumi saistāmi ar Zemessardzi, </w:t>
            </w:r>
            <w:r w:rsidR="004D3EC5" w:rsidRPr="00134B47">
              <w:rPr>
                <w:sz w:val="22"/>
                <w:szCs w:val="22"/>
                <w:lang w:val="lv-LV"/>
              </w:rPr>
              <w:t>un arī šobrīd sadarbība ir būtiska</w:t>
            </w:r>
            <w:r w:rsidRPr="00134B47">
              <w:rPr>
                <w:sz w:val="22"/>
                <w:szCs w:val="22"/>
                <w:lang w:val="lv-LV"/>
              </w:rPr>
              <w:t xml:space="preserve">, </w:t>
            </w:r>
            <w:r w:rsidR="004D3EC5" w:rsidRPr="00134B47">
              <w:rPr>
                <w:sz w:val="22"/>
                <w:szCs w:val="22"/>
                <w:lang w:val="lv-LV"/>
              </w:rPr>
              <w:t>jo</w:t>
            </w:r>
            <w:r w:rsidRPr="00134B47">
              <w:rPr>
                <w:sz w:val="22"/>
                <w:szCs w:val="22"/>
                <w:lang w:val="lv-LV"/>
              </w:rPr>
              <w:t xml:space="preserve"> </w:t>
            </w:r>
            <w:r w:rsidR="004D3EC5" w:rsidRPr="00134B47">
              <w:rPr>
                <w:sz w:val="22"/>
                <w:szCs w:val="22"/>
                <w:lang w:val="lv-LV"/>
              </w:rPr>
              <w:t>liela</w:t>
            </w:r>
            <w:r w:rsidRPr="00134B47">
              <w:rPr>
                <w:sz w:val="22"/>
                <w:szCs w:val="22"/>
                <w:lang w:val="lv-LV"/>
              </w:rPr>
              <w:t xml:space="preserve"> daļa jauniešu pēc </w:t>
            </w:r>
            <w:proofErr w:type="spellStart"/>
            <w:r w:rsidRPr="00134B47">
              <w:rPr>
                <w:sz w:val="22"/>
                <w:szCs w:val="22"/>
                <w:lang w:val="lv-LV"/>
              </w:rPr>
              <w:t>Jaunsardzes</w:t>
            </w:r>
            <w:proofErr w:type="spellEnd"/>
            <w:r w:rsidRPr="00134B47">
              <w:rPr>
                <w:sz w:val="22"/>
                <w:szCs w:val="22"/>
                <w:lang w:val="lv-LV"/>
              </w:rPr>
              <w:t xml:space="preserve"> savas turpmākās profesionālās gaitas izvēlas saistīt ar profesionālo</w:t>
            </w:r>
            <w:r w:rsidR="004D3EC5" w:rsidRPr="00134B47">
              <w:rPr>
                <w:sz w:val="22"/>
                <w:szCs w:val="22"/>
                <w:lang w:val="lv-LV"/>
              </w:rPr>
              <w:t xml:space="preserve"> militāro</w:t>
            </w:r>
            <w:r w:rsidRPr="00134B47">
              <w:rPr>
                <w:sz w:val="22"/>
                <w:szCs w:val="22"/>
                <w:lang w:val="lv-LV"/>
              </w:rPr>
              <w:t xml:space="preserve"> dienestu vai dienestu Zemessardzē. </w:t>
            </w:r>
          </w:p>
          <w:p w:rsidR="00403408" w:rsidRPr="00134B47" w:rsidRDefault="00403408" w:rsidP="00403408">
            <w:pPr>
              <w:jc w:val="both"/>
              <w:rPr>
                <w:sz w:val="22"/>
                <w:szCs w:val="22"/>
                <w:lang w:val="lv-LV"/>
              </w:rPr>
            </w:pPr>
            <w:r w:rsidRPr="00134B47">
              <w:rPr>
                <w:sz w:val="22"/>
                <w:szCs w:val="22"/>
                <w:lang w:val="lv-LV"/>
              </w:rPr>
              <w:t>Nacionālo bruņoto spēku likuma 6.pantā noteikti NBS uzdevumi, 6.¹panta</w:t>
            </w:r>
            <w:r w:rsidR="008A3A38" w:rsidRPr="00134B47">
              <w:rPr>
                <w:sz w:val="22"/>
                <w:szCs w:val="22"/>
                <w:lang w:val="lv-LV"/>
              </w:rPr>
              <w:t xml:space="preserve"> pirmajā daļā pasākumi, kurus veic NBS, pildot 6.pantā noteiktos uzdevumus, bet</w:t>
            </w:r>
            <w:r w:rsidRPr="00134B47">
              <w:rPr>
                <w:sz w:val="22"/>
                <w:szCs w:val="22"/>
                <w:lang w:val="lv-LV"/>
              </w:rPr>
              <w:t xml:space="preserve"> trešajā daļā – tās institūcijas, kurām NBS sniedz atbalstu. Šobrīd šajā regulējumā nav minēta sadarbība ar </w:t>
            </w:r>
            <w:proofErr w:type="spellStart"/>
            <w:r w:rsidRPr="00134B47">
              <w:rPr>
                <w:sz w:val="22"/>
                <w:szCs w:val="22"/>
                <w:lang w:val="lv-LV"/>
              </w:rPr>
              <w:t>Rekrutēšanas</w:t>
            </w:r>
            <w:proofErr w:type="spellEnd"/>
            <w:r w:rsidRPr="00134B47">
              <w:rPr>
                <w:sz w:val="22"/>
                <w:szCs w:val="22"/>
                <w:lang w:val="lv-LV"/>
              </w:rPr>
              <w:t xml:space="preserve"> un </w:t>
            </w:r>
            <w:proofErr w:type="spellStart"/>
            <w:r w:rsidRPr="00134B47">
              <w:rPr>
                <w:sz w:val="22"/>
                <w:szCs w:val="22"/>
                <w:lang w:val="lv-LV"/>
              </w:rPr>
              <w:t>jaunsardzes</w:t>
            </w:r>
            <w:proofErr w:type="spellEnd"/>
            <w:r w:rsidRPr="00134B47">
              <w:rPr>
                <w:sz w:val="22"/>
                <w:szCs w:val="22"/>
                <w:lang w:val="lv-LV"/>
              </w:rPr>
              <w:t xml:space="preserve"> centru. Lai nodrošinātu ar iespējami kvalitatīvāku un efektīvāku atbalstu jaunatnes izglītošanai valsts aizsardzības jomā, ņemot vērā, ka valsts pārvalde darbojas normatīvajos aktos noteiktās kompetences ietvaros, </w:t>
            </w:r>
            <w:r w:rsidR="00A41D06" w:rsidRPr="00134B47">
              <w:rPr>
                <w:sz w:val="22"/>
                <w:szCs w:val="22"/>
                <w:lang w:val="lv-LV"/>
              </w:rPr>
              <w:t xml:space="preserve">paredzēts paplašināt NBS </w:t>
            </w:r>
            <w:r w:rsidR="008A3A38" w:rsidRPr="00134B47">
              <w:rPr>
                <w:sz w:val="22"/>
                <w:szCs w:val="22"/>
                <w:lang w:val="lv-LV"/>
              </w:rPr>
              <w:t>veicamo pasākumu loku</w:t>
            </w:r>
            <w:r w:rsidR="00A41D06" w:rsidRPr="00134B47">
              <w:rPr>
                <w:sz w:val="22"/>
                <w:szCs w:val="22"/>
                <w:lang w:val="lv-LV"/>
              </w:rPr>
              <w:t>, nosakot, ka NBS sniedz atbalstu jaunatnes</w:t>
            </w:r>
            <w:r w:rsidR="00A566A0" w:rsidRPr="00134B47">
              <w:rPr>
                <w:sz w:val="22"/>
                <w:szCs w:val="22"/>
                <w:lang w:val="lv-LV"/>
              </w:rPr>
              <w:t xml:space="preserve"> izglītošanai valsts aizsardzības jomā</w:t>
            </w:r>
            <w:r w:rsidR="004D3EC5" w:rsidRPr="00134B47">
              <w:rPr>
                <w:sz w:val="22"/>
                <w:szCs w:val="22"/>
                <w:lang w:val="lv-LV"/>
              </w:rPr>
              <w:t xml:space="preserve"> un sniedz atbalstu</w:t>
            </w:r>
            <w:proofErr w:type="gramStart"/>
            <w:r w:rsidR="00A41D06" w:rsidRPr="00134B47">
              <w:rPr>
                <w:sz w:val="22"/>
                <w:szCs w:val="22"/>
                <w:lang w:val="lv-LV"/>
              </w:rPr>
              <w:t xml:space="preserve"> </w:t>
            </w:r>
            <w:r w:rsidRPr="00134B47">
              <w:rPr>
                <w:sz w:val="22"/>
                <w:szCs w:val="22"/>
                <w:lang w:val="lv-LV"/>
              </w:rPr>
              <w:t xml:space="preserve"> </w:t>
            </w:r>
            <w:proofErr w:type="spellStart"/>
            <w:proofErr w:type="gramEnd"/>
            <w:r w:rsidR="004D3EC5" w:rsidRPr="00134B47">
              <w:rPr>
                <w:sz w:val="22"/>
                <w:szCs w:val="22"/>
                <w:lang w:val="lv-LV"/>
              </w:rPr>
              <w:t>Rekrutēšanas</w:t>
            </w:r>
            <w:proofErr w:type="spellEnd"/>
            <w:r w:rsidR="004D3EC5" w:rsidRPr="00134B47">
              <w:rPr>
                <w:sz w:val="22"/>
                <w:szCs w:val="22"/>
                <w:lang w:val="lv-LV"/>
              </w:rPr>
              <w:t xml:space="preserve"> un </w:t>
            </w:r>
            <w:proofErr w:type="spellStart"/>
            <w:r w:rsidR="004D3EC5" w:rsidRPr="00134B47">
              <w:rPr>
                <w:sz w:val="22"/>
                <w:szCs w:val="22"/>
                <w:lang w:val="lv-LV"/>
              </w:rPr>
              <w:t>jaunsardzes</w:t>
            </w:r>
            <w:proofErr w:type="spellEnd"/>
            <w:r w:rsidR="004D3EC5" w:rsidRPr="00134B47">
              <w:rPr>
                <w:sz w:val="22"/>
                <w:szCs w:val="22"/>
                <w:lang w:val="lv-LV"/>
              </w:rPr>
              <w:t xml:space="preserve"> centram jaunsargu interešu izglītības programmas īstenošanā</w:t>
            </w:r>
            <w:r w:rsidRPr="00134B47">
              <w:rPr>
                <w:sz w:val="22"/>
                <w:szCs w:val="22"/>
                <w:lang w:val="lv-LV"/>
              </w:rPr>
              <w:t>.</w:t>
            </w:r>
          </w:p>
          <w:p w:rsidR="00403408" w:rsidRPr="00134B47" w:rsidRDefault="00403408" w:rsidP="00403408">
            <w:pPr>
              <w:jc w:val="both"/>
              <w:rPr>
                <w:sz w:val="22"/>
                <w:szCs w:val="22"/>
                <w:lang w:val="lv-LV"/>
              </w:rPr>
            </w:pPr>
            <w:r w:rsidRPr="00134B47">
              <w:rPr>
                <w:sz w:val="22"/>
                <w:szCs w:val="22"/>
                <w:lang w:val="lv-LV"/>
              </w:rPr>
              <w:t xml:space="preserve">3. Saskaņā ar Ministru kabineta 05.10.2010. noteikumu Nr.946 „Kārtība, kādā Nacionālie bruņotie spēki piedalās avārijas, ugunsdzēsības un glābšanas darbos, kā arī neatliekamos ārkārtējo situāciju izraisījušo notikumu seku likvidēšanas pasākumos” 3.8.apakšpunktu piedaloties </w:t>
            </w:r>
            <w:r w:rsidRPr="00134B47">
              <w:rPr>
                <w:sz w:val="22"/>
                <w:szCs w:val="22"/>
                <w:lang w:val="lv-LV"/>
              </w:rPr>
              <w:lastRenderedPageBreak/>
              <w:t>avārijas, ugunsdzēsības un glābšanas darbos, kā arī neatliekamajos pasākumos, NBS iesaista spridzināšanas darbu veikšanā civilajām vajadzībām, izmantojot sprāgstvielas.</w:t>
            </w:r>
            <w:r w:rsidR="00CC3333" w:rsidRPr="00134B47">
              <w:rPr>
                <w:sz w:val="22"/>
                <w:szCs w:val="22"/>
                <w:lang w:val="lv-LV"/>
              </w:rPr>
              <w:t xml:space="preserve"> Arī Civilām vajadzībām paredzētu sprāgstvielu aprites likuma 22.panta otrajā daļā ir noteikts, ka sprāgstvielas</w:t>
            </w:r>
            <w:proofErr w:type="gramStart"/>
            <w:r w:rsidR="00CC3333" w:rsidRPr="00134B47">
              <w:rPr>
                <w:sz w:val="22"/>
                <w:szCs w:val="22"/>
                <w:lang w:val="lv-LV"/>
              </w:rPr>
              <w:t xml:space="preserve">  </w:t>
            </w:r>
            <w:proofErr w:type="gramEnd"/>
            <w:r w:rsidR="00CC3333" w:rsidRPr="00134B47">
              <w:rPr>
                <w:sz w:val="22"/>
                <w:szCs w:val="22"/>
                <w:lang w:val="lv-LV"/>
              </w:rPr>
              <w:t xml:space="preserve">un spridzināšanas ietaises iznīcina NBS un kā iznīcināšanas metode var tikt izmantota </w:t>
            </w:r>
            <w:r w:rsidR="00D96EA6" w:rsidRPr="00134B47">
              <w:rPr>
                <w:sz w:val="22"/>
                <w:szCs w:val="22"/>
                <w:lang w:val="lv-LV"/>
              </w:rPr>
              <w:t>spridzināšanas metode.</w:t>
            </w:r>
            <w:r w:rsidR="00CC3333" w:rsidRPr="00134B47">
              <w:rPr>
                <w:sz w:val="22"/>
                <w:szCs w:val="22"/>
                <w:lang w:val="lv-LV"/>
              </w:rPr>
              <w:t xml:space="preserve"> </w:t>
            </w:r>
            <w:r w:rsidR="001311CA" w:rsidRPr="00134B47">
              <w:rPr>
                <w:sz w:val="22"/>
                <w:szCs w:val="22"/>
                <w:lang w:val="lv-LV"/>
              </w:rPr>
              <w:t xml:space="preserve"> Savukārt Nacionālo bruņoto spēku likuma 6.</w:t>
            </w:r>
            <w:r w:rsidR="001311CA" w:rsidRPr="00134B47">
              <w:rPr>
                <w:rFonts w:cs="Times New Roman"/>
                <w:sz w:val="22"/>
                <w:szCs w:val="22"/>
                <w:lang w:val="lv-LV"/>
              </w:rPr>
              <w:t>¹</w:t>
            </w:r>
            <w:r w:rsidR="001311CA" w:rsidRPr="00134B47">
              <w:rPr>
                <w:sz w:val="22"/>
                <w:szCs w:val="22"/>
                <w:lang w:val="lv-LV"/>
              </w:rPr>
              <w:t>panta pirmās daļas 3.punktā ir paredzēts, ka NBS iznīcina sprādzienbīstamus priekšmetus.</w:t>
            </w:r>
            <w:r w:rsidRPr="00134B47">
              <w:rPr>
                <w:sz w:val="22"/>
                <w:szCs w:val="22"/>
                <w:lang w:val="lv-LV"/>
              </w:rPr>
              <w:t xml:space="preserve"> Nepieciešams saskaņot tiesību normas, kā arī ņemot vērā, ka NBS vienības jau šobrīd sniedz atbalstu</w:t>
            </w:r>
            <w:r w:rsidR="00674528" w:rsidRPr="00134B47">
              <w:rPr>
                <w:sz w:val="22"/>
                <w:szCs w:val="22"/>
                <w:lang w:val="lv-LV"/>
              </w:rPr>
              <w:t xml:space="preserve"> valsts iestādēm un</w:t>
            </w:r>
            <w:r w:rsidRPr="00134B47">
              <w:rPr>
                <w:sz w:val="22"/>
                <w:szCs w:val="22"/>
                <w:lang w:val="lv-LV"/>
              </w:rPr>
              <w:t xml:space="preserve"> pašvaldībām</w:t>
            </w:r>
            <w:r w:rsidR="00674528" w:rsidRPr="00134B47">
              <w:rPr>
                <w:sz w:val="22"/>
                <w:szCs w:val="22"/>
                <w:lang w:val="lv-LV"/>
              </w:rPr>
              <w:t xml:space="preserve"> (no 2006.gada līdz 2012.gadam NBS 12 gadījumos ir sniedzis atbalstu valsts iestādēm un pašvaldībām pēc to pieprasījuma, veicot objektu vai būvju demontāžu ar spridzināšanas metodi)</w:t>
            </w:r>
            <w:r w:rsidRPr="00134B47">
              <w:rPr>
                <w:sz w:val="22"/>
                <w:szCs w:val="22"/>
                <w:lang w:val="lv-LV"/>
              </w:rPr>
              <w:t>, lai nodrošinātu personu drošību demontējot, piemēram, ēkas, kas apdraud personu dzīvību, izmantojot spridzināšanas metodi, kā arī veic ledus spridzināšanu pavasara plūdu novēršanai un apmāca karavīrus spridzināšanas darbu veikšanā, paredzēt</w:t>
            </w:r>
            <w:r w:rsidR="00674528" w:rsidRPr="00134B47">
              <w:rPr>
                <w:sz w:val="22"/>
                <w:szCs w:val="22"/>
                <w:lang w:val="lv-LV"/>
              </w:rPr>
              <w:t>s precizēt normu un noteikt</w:t>
            </w:r>
            <w:r w:rsidRPr="00134B47">
              <w:rPr>
                <w:sz w:val="22"/>
                <w:szCs w:val="22"/>
                <w:lang w:val="lv-LV"/>
              </w:rPr>
              <w:t xml:space="preserve">, ka NBS veic arī spridzināšanas darbus. </w:t>
            </w:r>
            <w:r w:rsidR="00674528" w:rsidRPr="00134B47">
              <w:rPr>
                <w:sz w:val="22"/>
                <w:szCs w:val="22"/>
                <w:lang w:val="lv-LV"/>
              </w:rPr>
              <w:t>Paredzēts, ka kārtību, kādā NBS iesaistīs spridzināšanas darbu veikšanā sauszemes teritorijā miera laikā, noteiks Ministru kabinets.</w:t>
            </w:r>
          </w:p>
          <w:p w:rsidR="00403408" w:rsidRPr="00134B47" w:rsidRDefault="00403408" w:rsidP="00403408">
            <w:pPr>
              <w:jc w:val="both"/>
              <w:rPr>
                <w:sz w:val="22"/>
                <w:szCs w:val="22"/>
                <w:lang w:val="lv-LV"/>
              </w:rPr>
            </w:pPr>
            <w:r w:rsidRPr="00134B47">
              <w:rPr>
                <w:sz w:val="22"/>
                <w:szCs w:val="22"/>
                <w:lang w:val="lv-LV"/>
              </w:rPr>
              <w:t>4. Saskaņā ar Ceļu satiksmes likuma 41.panta pirmo daļu ceļu satiksmi regulē un uzrauga policijas darbinieki un citas likumos un citos normatīvajos aktos tam pilnvarotas personas. NBS Militārā policija saskaņā ar Nacionālo bruņoto spēku likuma 6.¹panta otrās daļas 3.punkta c apakšpunktu pavada kolonnas un apsargā militārās kravas, regulē NBS transportlīdzekļu kustību un veic tās kontroli (satiksmes uzraudzību), kā arī regulē citu transportlīdzekļu kustību un veic tās kontroli (satiksmes uzraudzību) Aizsardzības ministrijas valdījumā esošajos objektos, apsargājamos objektos un militāro pasākumu norises vietās. Izvērtējot praksi un pieredzi (notikušos ceļu satiksmes negadījumus un radušās bīstamās situācijas uz ceļiem NBS Militārās policijas uzdevumu izpildes laikā, situācijas, kad veicot NBS Militārajai policijai noteikto personu aizsardzību (apsardzi), pilnvērtīgu uzdevuma izpildi apgrūtināja nepietiekošs normatīvajos aktos noteikto pilnvaru apjoms) ir secināts, ka nepieciešams paredzēt, ka NBS Militārā policija ir tiesīga</w:t>
            </w:r>
            <w:r w:rsidR="00134B47" w:rsidRPr="00134B47">
              <w:rPr>
                <w:sz w:val="22"/>
                <w:szCs w:val="22"/>
                <w:lang w:val="lv-LV"/>
              </w:rPr>
              <w:t xml:space="preserve"> veikt</w:t>
            </w:r>
            <w:r w:rsidRPr="00134B47">
              <w:rPr>
                <w:sz w:val="22"/>
                <w:szCs w:val="22"/>
                <w:lang w:val="lv-LV"/>
              </w:rPr>
              <w:t xml:space="preserve"> transportlīdzekļu kontroli (satiksmes uzraudzību) pavadāmo kolonnu, NBS transportlīdzekļu un apsargājamo militāro kravu pārvietošanās maršrutos un likumā noteikto personu, kuru aizsardzību (apsardzi) veic NBS Militārā policija, uzturēšanās vietās. Tādā veidā tiktu nodrošināta:</w:t>
            </w:r>
          </w:p>
          <w:p w:rsidR="00403408" w:rsidRPr="00134B47" w:rsidRDefault="00403408" w:rsidP="00403408">
            <w:pPr>
              <w:jc w:val="both"/>
              <w:rPr>
                <w:sz w:val="22"/>
                <w:szCs w:val="22"/>
                <w:lang w:val="lv-LV"/>
              </w:rPr>
            </w:pPr>
            <w:r w:rsidRPr="00134B47">
              <w:rPr>
                <w:sz w:val="22"/>
                <w:szCs w:val="22"/>
                <w:lang w:val="lv-LV"/>
              </w:rPr>
              <w:t>- apsargājamo personu drošība, īpaši īslaicīgās uzturēšanās vietās (viesnīcās, pasākumu norises vietās), kā arī novērsts šo personu iespējamais apdraudējums;</w:t>
            </w:r>
          </w:p>
          <w:p w:rsidR="00403408" w:rsidRPr="00134B47" w:rsidRDefault="00403408" w:rsidP="00403408">
            <w:pPr>
              <w:jc w:val="both"/>
              <w:rPr>
                <w:sz w:val="22"/>
                <w:szCs w:val="22"/>
                <w:lang w:val="lv-LV"/>
              </w:rPr>
            </w:pPr>
            <w:r w:rsidRPr="00134B47">
              <w:rPr>
                <w:sz w:val="22"/>
                <w:szCs w:val="22"/>
                <w:lang w:val="lv-LV"/>
              </w:rPr>
              <w:t xml:space="preserve">- ceļu satiksmes dalībnieku drošība un novērsti iespējamie ceļu satiksmes negadījumi NBS transportlīdzekļu pārvietošanās maršrutos, pavadāmo kolonnu un </w:t>
            </w:r>
            <w:r w:rsidRPr="00134B47">
              <w:rPr>
                <w:sz w:val="22"/>
                <w:szCs w:val="22"/>
                <w:lang w:val="lv-LV"/>
              </w:rPr>
              <w:lastRenderedPageBreak/>
              <w:t>apsargājamo militāro kravu pārvietošanās maršrutos – veicot transportlīdzekļu kustības regulēšanu krustojumos (nodrošinot drošu krustojumu šķērsošanu intensīvas transportlīdzekļu kustības laikā) un transportlīdzekļu plūsmas virziena norādi pavadāmo kolonnu apstāšanās vietās (samazinot transportlīdzekļu sastrēgumu rašanās iespējas).</w:t>
            </w:r>
          </w:p>
          <w:p w:rsidR="00481816" w:rsidRPr="00481816" w:rsidRDefault="00403408" w:rsidP="00481816">
            <w:pPr>
              <w:pStyle w:val="Header"/>
              <w:widowControl w:val="0"/>
              <w:tabs>
                <w:tab w:val="clear" w:pos="4153"/>
                <w:tab w:val="clear" w:pos="8306"/>
              </w:tabs>
              <w:ind w:firstLine="720"/>
              <w:jc w:val="both"/>
              <w:rPr>
                <w:sz w:val="22"/>
                <w:szCs w:val="22"/>
              </w:rPr>
            </w:pPr>
            <w:r w:rsidRPr="00CE3F79">
              <w:rPr>
                <w:sz w:val="22"/>
                <w:szCs w:val="22"/>
              </w:rPr>
              <w:t xml:space="preserve">5. </w:t>
            </w:r>
            <w:r w:rsidR="00134B47">
              <w:rPr>
                <w:sz w:val="22"/>
                <w:szCs w:val="22"/>
              </w:rPr>
              <w:t>Likumprojekts paredz t</w:t>
            </w:r>
            <w:r w:rsidRPr="00CE3F79">
              <w:rPr>
                <w:sz w:val="22"/>
                <w:szCs w:val="22"/>
              </w:rPr>
              <w:t>iesības veikt alkohola, narkotisko, psihotropo, toksisko vai citu apreibinošo vielu ietekmes pārbaudi NBS Militārās policijas amatpersonām, lai pierādītu likumpārkāpuma faktu vai objektīvi izskatītu lietu par likumpārkāpuma izdarīšanu, kas saskaņā ar Nacionālo bruņoto spēku likuma 6.¹panta otro daļu ir NBS Militārās policijas kompetencē</w:t>
            </w:r>
            <w:r w:rsidRPr="00134B47">
              <w:t>.</w:t>
            </w:r>
            <w:r w:rsidR="00134B47" w:rsidRPr="00134B47">
              <w:t xml:space="preserve"> Šādas pārbaudes NBS Militārā policija varēs veikt Aizsardzības ministrijas valdījumā esošajos objektos, apsargājamos objektos un militāro pasākumu norises vietās, ja pastāvēs pamatotas aizdomas, ka persona ir izdarījusi likumpārkāpumu. </w:t>
            </w:r>
            <w:r w:rsidR="00481816" w:rsidRPr="00481816">
              <w:rPr>
                <w:sz w:val="22"/>
                <w:szCs w:val="22"/>
              </w:rPr>
              <w:t>Nacionālo bruņoto spēku likuma 3.panta piektajā daļā ir noteikts, lai nodrošinātu likumību, NBS regulāro spēku sastāvā ar izmeklēšanas iestādes un operatīvās darbības subjekta tiesībām darbojas NBS Militārā policija. Tātad NBS Militārajai policijai darbības mērķis ir likumības nodrošināšana, kas nav iedomājama bez šādu pasākumu realizācijas:</w:t>
            </w:r>
          </w:p>
          <w:p w:rsidR="00481816" w:rsidRPr="00481816" w:rsidRDefault="00481816" w:rsidP="00481816">
            <w:pPr>
              <w:pStyle w:val="Header"/>
              <w:widowControl w:val="0"/>
              <w:tabs>
                <w:tab w:val="clear" w:pos="4153"/>
                <w:tab w:val="clear" w:pos="8306"/>
              </w:tabs>
              <w:autoSpaceDE w:val="0"/>
              <w:autoSpaceDN w:val="0"/>
              <w:jc w:val="both"/>
              <w:rPr>
                <w:sz w:val="22"/>
                <w:szCs w:val="22"/>
              </w:rPr>
            </w:pPr>
            <w:r w:rsidRPr="00481816">
              <w:rPr>
                <w:sz w:val="22"/>
                <w:szCs w:val="22"/>
              </w:rPr>
              <w:t>- efektīvas kontroles par tiesību normu ievērošanu un izpildi,</w:t>
            </w:r>
          </w:p>
          <w:p w:rsidR="00481816" w:rsidRPr="00481816" w:rsidRDefault="00481816" w:rsidP="00481816">
            <w:pPr>
              <w:pStyle w:val="Header"/>
              <w:widowControl w:val="0"/>
              <w:tabs>
                <w:tab w:val="clear" w:pos="4153"/>
                <w:tab w:val="clear" w:pos="8306"/>
              </w:tabs>
              <w:autoSpaceDE w:val="0"/>
              <w:autoSpaceDN w:val="0"/>
              <w:jc w:val="both"/>
              <w:rPr>
                <w:sz w:val="22"/>
                <w:szCs w:val="22"/>
              </w:rPr>
            </w:pPr>
            <w:r w:rsidRPr="00481816">
              <w:rPr>
                <w:sz w:val="22"/>
                <w:szCs w:val="22"/>
              </w:rPr>
              <w:t>- juridiskās atbildības un aizsardzības nodrošināšanas pasākumiem, kas dod iespēju attiecīgi iedarboties uz likumpārkāpējiem un atjaunot zaudētās tiesības,</w:t>
            </w:r>
          </w:p>
          <w:p w:rsidR="00481816" w:rsidRPr="00481816" w:rsidRDefault="00481816" w:rsidP="00481816">
            <w:pPr>
              <w:pStyle w:val="Header"/>
              <w:widowControl w:val="0"/>
              <w:tabs>
                <w:tab w:val="clear" w:pos="4153"/>
                <w:tab w:val="clear" w:pos="8306"/>
              </w:tabs>
              <w:autoSpaceDE w:val="0"/>
              <w:autoSpaceDN w:val="0"/>
              <w:jc w:val="both"/>
              <w:rPr>
                <w:sz w:val="22"/>
                <w:szCs w:val="22"/>
              </w:rPr>
            </w:pPr>
            <w:r w:rsidRPr="00481816">
              <w:rPr>
                <w:sz w:val="22"/>
                <w:szCs w:val="22"/>
              </w:rPr>
              <w:t>- likumpārkāpumu profilakse (preventīvie pasākumi).</w:t>
            </w:r>
          </w:p>
          <w:p w:rsidR="00403408" w:rsidRPr="00481816" w:rsidRDefault="00481816" w:rsidP="00481816">
            <w:pPr>
              <w:jc w:val="both"/>
              <w:rPr>
                <w:sz w:val="22"/>
                <w:szCs w:val="22"/>
                <w:lang w:val="lv-LV"/>
              </w:rPr>
            </w:pPr>
            <w:r w:rsidRPr="00481816">
              <w:rPr>
                <w:sz w:val="22"/>
                <w:szCs w:val="22"/>
                <w:lang w:val="lv-LV"/>
              </w:rPr>
              <w:t>Veicot šos pasākumus, NBS Militārā policija ir saskārusies ar situācijām, kad tai trūks tiesisko instrumentu, lai efektīvi veiktu pasākumus likumības nodrošināšanai (piemēram - pierādījumu nodrošināšanai), tai skaitā realizējot pirmstiesas izmeklēšanas iestādes uzdevumus.</w:t>
            </w:r>
            <w:r w:rsidR="00B12AAC" w:rsidRPr="00481816">
              <w:rPr>
                <w:sz w:val="22"/>
                <w:szCs w:val="22"/>
                <w:lang w:val="lv-LV"/>
              </w:rPr>
              <w:t xml:space="preserve"> Ministru kabinets noteiks kārtību, kādā notiks pārbaudes.</w:t>
            </w:r>
          </w:p>
          <w:p w:rsidR="000E3449" w:rsidRPr="00481816" w:rsidRDefault="00403408" w:rsidP="00403408">
            <w:pPr>
              <w:jc w:val="both"/>
              <w:rPr>
                <w:sz w:val="22"/>
                <w:szCs w:val="22"/>
                <w:lang w:val="lv-LV"/>
              </w:rPr>
            </w:pPr>
            <w:r w:rsidRPr="00481816">
              <w:rPr>
                <w:sz w:val="22"/>
                <w:szCs w:val="22"/>
                <w:lang w:val="lv-LV"/>
              </w:rPr>
              <w:t>6.</w:t>
            </w:r>
            <w:r w:rsidR="000E3449" w:rsidRPr="00481816">
              <w:rPr>
                <w:sz w:val="22"/>
                <w:szCs w:val="22"/>
                <w:lang w:val="lv-LV"/>
              </w:rPr>
              <w:t xml:space="preserve"> </w:t>
            </w:r>
            <w:r w:rsidR="00A735D8" w:rsidRPr="00481816">
              <w:rPr>
                <w:sz w:val="22"/>
                <w:szCs w:val="22"/>
                <w:lang w:val="lv-LV"/>
              </w:rPr>
              <w:t>Nacionālo bruņoto spēku likuma 14.panta otrās daļas 5.punkts paredz, ka NBS komandieris apstiprina NBS vienību nolikumus</w:t>
            </w:r>
            <w:r w:rsidR="00ED6874" w:rsidRPr="00481816">
              <w:rPr>
                <w:sz w:val="22"/>
                <w:szCs w:val="22"/>
                <w:lang w:val="lv-LV"/>
              </w:rPr>
              <w:t xml:space="preserve">. </w:t>
            </w:r>
            <w:r w:rsidR="007528B6" w:rsidRPr="00481816">
              <w:rPr>
                <w:sz w:val="22"/>
                <w:szCs w:val="22"/>
                <w:lang w:val="lv-LV"/>
              </w:rPr>
              <w:t xml:space="preserve">Saskaņā ar Militārā dienesta likumu vienība ir militārais formējums, kuram ir patstāvīga vadība un apstiprināts štats, tātad nolikumi tiek apstiprināti līdz bataljona līmenim. </w:t>
            </w:r>
            <w:r w:rsidR="00ED6874" w:rsidRPr="00481816">
              <w:rPr>
                <w:sz w:val="22"/>
                <w:szCs w:val="22"/>
                <w:lang w:val="lv-LV"/>
              </w:rPr>
              <w:t>Tādā veidā NBS komandieris apstiprina NBS regul</w:t>
            </w:r>
            <w:r w:rsidR="00E26EF7" w:rsidRPr="00481816">
              <w:rPr>
                <w:sz w:val="22"/>
                <w:szCs w:val="22"/>
                <w:lang w:val="lv-LV"/>
              </w:rPr>
              <w:t>ā</w:t>
            </w:r>
            <w:r w:rsidR="00ED6874" w:rsidRPr="00481816">
              <w:rPr>
                <w:sz w:val="22"/>
                <w:szCs w:val="22"/>
                <w:lang w:val="lv-LV"/>
              </w:rPr>
              <w:t>r</w:t>
            </w:r>
            <w:r w:rsidR="00726C0D" w:rsidRPr="00481816">
              <w:rPr>
                <w:sz w:val="22"/>
                <w:szCs w:val="22"/>
                <w:lang w:val="lv-LV"/>
              </w:rPr>
              <w:t>o</w:t>
            </w:r>
            <w:r w:rsidR="00ED6874" w:rsidRPr="00481816">
              <w:rPr>
                <w:sz w:val="22"/>
                <w:szCs w:val="22"/>
                <w:lang w:val="lv-LV"/>
              </w:rPr>
              <w:t xml:space="preserve"> spēku nolikumus un visu pārējo vienību nolikumus, kopumā komandierim ir jāapstiprina aptuveni </w:t>
            </w:r>
            <w:r w:rsidR="00726C0D" w:rsidRPr="00481816">
              <w:rPr>
                <w:sz w:val="22"/>
                <w:szCs w:val="22"/>
                <w:lang w:val="lv-LV"/>
              </w:rPr>
              <w:t>85 nolikumi</w:t>
            </w:r>
            <w:r w:rsidR="007528B6" w:rsidRPr="00481816">
              <w:rPr>
                <w:sz w:val="22"/>
                <w:szCs w:val="22"/>
                <w:lang w:val="lv-LV"/>
              </w:rPr>
              <w:t>. Lai mazinātu NBS komandiera noslogotību apstiprinot visu NBS vienību nolikumus, paredzēts noteikt, ka NBS komandieris apstiprina regul</w:t>
            </w:r>
            <w:r w:rsidR="00AF510F" w:rsidRPr="00481816">
              <w:rPr>
                <w:sz w:val="22"/>
                <w:szCs w:val="22"/>
                <w:lang w:val="lv-LV"/>
              </w:rPr>
              <w:t>āro</w:t>
            </w:r>
            <w:r w:rsidR="007528B6" w:rsidRPr="00481816">
              <w:rPr>
                <w:sz w:val="22"/>
                <w:szCs w:val="22"/>
                <w:lang w:val="lv-LV"/>
              </w:rPr>
              <w:t xml:space="preserve"> spēku nolikumus. Savukārt NBS regul</w:t>
            </w:r>
            <w:r w:rsidR="00AF510F" w:rsidRPr="00481816">
              <w:rPr>
                <w:sz w:val="22"/>
                <w:szCs w:val="22"/>
                <w:lang w:val="lv-LV"/>
              </w:rPr>
              <w:t>āro</w:t>
            </w:r>
            <w:r w:rsidR="007528B6" w:rsidRPr="00481816">
              <w:rPr>
                <w:sz w:val="22"/>
                <w:szCs w:val="22"/>
                <w:lang w:val="lv-LV"/>
              </w:rPr>
              <w:t xml:space="preserve"> spēku komandieri apstiprinās pakļauto vienību</w:t>
            </w:r>
            <w:r w:rsidR="00AD22FA" w:rsidRPr="00481816">
              <w:rPr>
                <w:sz w:val="22"/>
                <w:szCs w:val="22"/>
                <w:lang w:val="lv-LV"/>
              </w:rPr>
              <w:t xml:space="preserve"> (izņemot Latvijas Nacionālo aizsardzības akadēmiju)</w:t>
            </w:r>
            <w:r w:rsidR="007528B6" w:rsidRPr="00481816">
              <w:rPr>
                <w:sz w:val="22"/>
                <w:szCs w:val="22"/>
                <w:lang w:val="lv-LV"/>
              </w:rPr>
              <w:t xml:space="preserve"> nolikumus, kas saskaņā ar Valsts pārvaldes iekārtas likuma 75.panta ceturto daļu būs jāsaskaņo ar NBS komandieri</w:t>
            </w:r>
            <w:r w:rsidR="00004AF9" w:rsidRPr="00481816">
              <w:rPr>
                <w:sz w:val="22"/>
                <w:szCs w:val="22"/>
                <w:lang w:val="lv-LV"/>
              </w:rPr>
              <w:t>.</w:t>
            </w:r>
            <w:r w:rsidR="00AD22FA" w:rsidRPr="00481816">
              <w:rPr>
                <w:sz w:val="22"/>
                <w:szCs w:val="22"/>
                <w:lang w:val="lv-LV"/>
              </w:rPr>
              <w:t xml:space="preserve"> Latvijas Nacionālo aizsardzības akadēmijas satversmes apstiprināšanu nosaka Augstskolu likuma </w:t>
            </w:r>
            <w:r w:rsidR="00AD22FA" w:rsidRPr="00481816">
              <w:rPr>
                <w:sz w:val="22"/>
                <w:szCs w:val="22"/>
                <w:lang w:val="lv-LV"/>
              </w:rPr>
              <w:lastRenderedPageBreak/>
              <w:t xml:space="preserve">10.panta trešā </w:t>
            </w:r>
            <w:r w:rsidR="007E6CFB" w:rsidRPr="00481816">
              <w:rPr>
                <w:sz w:val="22"/>
                <w:szCs w:val="22"/>
                <w:lang w:val="lv-LV"/>
              </w:rPr>
              <w:t>daļa.</w:t>
            </w:r>
          </w:p>
          <w:p w:rsidR="00403408" w:rsidRPr="00481816" w:rsidRDefault="000E3449" w:rsidP="00403408">
            <w:pPr>
              <w:jc w:val="both"/>
              <w:rPr>
                <w:sz w:val="22"/>
                <w:szCs w:val="22"/>
                <w:lang w:val="lv-LV"/>
              </w:rPr>
            </w:pPr>
            <w:r w:rsidRPr="00481816">
              <w:rPr>
                <w:sz w:val="22"/>
                <w:szCs w:val="22"/>
                <w:lang w:val="lv-LV"/>
              </w:rPr>
              <w:t>7.</w:t>
            </w:r>
            <w:r w:rsidR="00AD22FA" w:rsidRPr="00481816">
              <w:rPr>
                <w:sz w:val="22"/>
                <w:szCs w:val="22"/>
                <w:lang w:val="lv-LV"/>
              </w:rPr>
              <w:t xml:space="preserve"> </w:t>
            </w:r>
            <w:r w:rsidR="00403408" w:rsidRPr="00481816">
              <w:rPr>
                <w:sz w:val="22"/>
                <w:szCs w:val="22"/>
                <w:lang w:val="lv-LV"/>
              </w:rPr>
              <w:t>Nacionālo bruņoto spēku likuma 18.panta ceturtā daļa paredz nenodot privatizācijai šā panta trešajā daļā minētos īpašumus. Tāpat ir noteikts deleģējums Ministru kabinetam apstiprināt privatizācijai nenododamo nekustamo īpašumu sarakstu.</w:t>
            </w:r>
          </w:p>
          <w:p w:rsidR="00403408" w:rsidRPr="00CE3F79" w:rsidRDefault="00403408" w:rsidP="00403408">
            <w:pPr>
              <w:pStyle w:val="naiskr"/>
              <w:autoSpaceDE w:val="0"/>
              <w:autoSpaceDN w:val="0"/>
              <w:adjustRightInd w:val="0"/>
              <w:spacing w:before="0" w:after="0"/>
              <w:jc w:val="both"/>
              <w:rPr>
                <w:sz w:val="22"/>
                <w:szCs w:val="22"/>
              </w:rPr>
            </w:pPr>
            <w:r w:rsidRPr="00CE3F79">
              <w:rPr>
                <w:rFonts w:eastAsia="Calibri"/>
                <w:sz w:val="22"/>
                <w:szCs w:val="22"/>
              </w:rPr>
              <w:t xml:space="preserve">Atbilstoši </w:t>
            </w:r>
            <w:r w:rsidRPr="00CE3F79">
              <w:rPr>
                <w:sz w:val="22"/>
                <w:szCs w:val="22"/>
              </w:rPr>
              <w:t>Valsts un pašvaldību īpašuma privatizācijas un privatizācijas sertifikātu izmantošanas pabeigšanas likuma</w:t>
            </w:r>
            <w:proofErr w:type="gramStart"/>
            <w:r w:rsidRPr="00CE3F79">
              <w:rPr>
                <w:sz w:val="22"/>
                <w:szCs w:val="22"/>
              </w:rPr>
              <w:t xml:space="preserve">  </w:t>
            </w:r>
            <w:proofErr w:type="gramEnd"/>
            <w:r w:rsidRPr="00CE3F79">
              <w:rPr>
                <w:rFonts w:eastAsia="Calibri"/>
                <w:sz w:val="22"/>
                <w:szCs w:val="22"/>
              </w:rPr>
              <w:t xml:space="preserve">16.panta otrajai daļai valsts vai pašvaldības īpašuma objekti, apbūvēti un neapbūvēti zemesgabali, par kuriem līdz pabeigšanas datumam nav saņemts privatizācijas ierosinājums vai kurus Ministru kabinets vai pašvaldības dome nav nodevusi privatizācijai, turpmāk var tikt atsavināti Publiskas personas mantas atsavināšanas likumā noteiktajā kārtībā. </w:t>
            </w:r>
            <w:r w:rsidRPr="00CE3F79">
              <w:rPr>
                <w:sz w:val="22"/>
                <w:szCs w:val="22"/>
              </w:rPr>
              <w:t>Publiskas personas mantas atsavināšanas likuma 4.panta pirmā daļa paredz, ka valsts mantas atsavināšanu var ierosināt, ja tā nav nepieciešama attiecīgajai iestādei vai citām valsts iestādēm to funkciju nodrošināšanai. Savukārt minētā likuma 5.panta pirmā daļa nosaka, ka atļauju atsavināt valsts nekustamo īpašumu dod Ministru kabinets. Attiecīgi Ministru kabinets lēmumu atļaut atsavināšanas ierosinājumā minētās publiskās personas mantas atsavināšanu vai pamatotu atteikumu par atsavināšanas ierosinājuma noraidīšanu pieņem sešu mēnešu laikā no atsavināšanas ierosinājuma saņemšanas dienas. Ministru kabineta atļauja nav nepieciešama tādu valsts īpašumā esošu apbūvētu zemesgabalu atsavināšanai, par kuriem Publiskas personas mantas atsavināšanas likuma 4.panta ceturtās daļas 3. un 4.punktā minētās personas noteiktā kārtībā ir iesniegušas atsavināšanas ierosinājumu. Valsts akciju sabiedrība „Valsts nekustamie īpašumi” divu mēnešu laikā pēc tam, kad iesniegts atsavināšanas ierosinājums, ja tam pievienoti visi dokumenti, kas apliecina personas pirmpirkuma tiesības, pieņem lēmumu par attiecīgā zemesgabala pārdošanu. Valsts akciju sabiedrība „Valsts nekustamie īpašumi” nedrīkst nodot atsavināšanai apbūvētu zemesgabalu, par kuru Ministru kabinets ir lēmis, ka tas nepieciešams valsts pārvaldes funkciju veikšanai saskaņā ar Valsts pārvaldes iekārtas likumu.</w:t>
            </w:r>
          </w:p>
          <w:p w:rsidR="00403408" w:rsidRPr="007C0F2C" w:rsidRDefault="00403408" w:rsidP="00403408">
            <w:pPr>
              <w:pStyle w:val="naiskr"/>
              <w:spacing w:before="0" w:after="0"/>
              <w:jc w:val="both"/>
              <w:rPr>
                <w:sz w:val="22"/>
                <w:szCs w:val="22"/>
              </w:rPr>
            </w:pPr>
            <w:r w:rsidRPr="00CE3F79">
              <w:rPr>
                <w:sz w:val="22"/>
                <w:szCs w:val="22"/>
              </w:rPr>
              <w:t>Ņemot vērā minēto, nav nepieciešama un tiesiski pamatota Nacionālo bruņoto spēku likuma 18.panta trešajā daļā minēto privatizācijai nenododamo īpašumus saraksta veidošana.</w:t>
            </w:r>
          </w:p>
        </w:tc>
      </w:tr>
      <w:tr w:rsidR="00403408" w:rsidRPr="00134B47" w:rsidTr="00382AE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403408" w:rsidP="00403408">
            <w:pPr>
              <w:spacing w:before="100" w:beforeAutospacing="1" w:after="100" w:afterAutospacing="1" w:line="285" w:lineRule="atLeast"/>
              <w:jc w:val="center"/>
              <w:rPr>
                <w:rFonts w:cs="Times New Roman"/>
                <w:color w:val="414142"/>
                <w:lang w:val="lv-LV" w:eastAsia="lv-LV" w:bidi="ar-SA"/>
              </w:rPr>
            </w:pPr>
            <w:r w:rsidRPr="00382AEB">
              <w:rPr>
                <w:rFonts w:cs="Times New Roman"/>
                <w:color w:val="414142"/>
                <w:lang w:val="lv-LV" w:eastAsia="lv-LV" w:bidi="ar-SA"/>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3408" w:rsidRPr="00382AEB" w:rsidRDefault="00403408" w:rsidP="00403408">
            <w:pPr>
              <w:rPr>
                <w:rFonts w:cs="Times New Roman"/>
                <w:color w:val="414142"/>
                <w:lang w:val="lv-LV" w:eastAsia="lv-LV" w:bidi="ar-SA"/>
              </w:rPr>
            </w:pPr>
            <w:r w:rsidRPr="00382AEB">
              <w:rPr>
                <w:rFonts w:cs="Times New Roman"/>
                <w:color w:val="414142"/>
                <w:lang w:val="lv-LV" w:eastAsia="lv-LV" w:bidi="ar-SA"/>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03408" w:rsidRPr="00382AEB" w:rsidRDefault="00403408" w:rsidP="00403408">
            <w:pPr>
              <w:rPr>
                <w:rFonts w:cs="Times New Roman"/>
                <w:color w:val="414142"/>
                <w:lang w:val="lv-LV" w:eastAsia="lv-LV" w:bidi="ar-SA"/>
              </w:rPr>
            </w:pPr>
            <w:r w:rsidRPr="00403408">
              <w:rPr>
                <w:iCs/>
                <w:sz w:val="22"/>
                <w:szCs w:val="22"/>
                <w:lang w:val="lv-LV"/>
              </w:rPr>
              <w:t xml:space="preserve">Aizsardzības ministrija, Nacionālie bruņotie spēki, </w:t>
            </w:r>
            <w:proofErr w:type="spellStart"/>
            <w:r w:rsidRPr="00403408">
              <w:rPr>
                <w:iCs/>
                <w:sz w:val="22"/>
                <w:szCs w:val="22"/>
                <w:lang w:val="lv-LV"/>
              </w:rPr>
              <w:t>Rekrutēšanas</w:t>
            </w:r>
            <w:proofErr w:type="spellEnd"/>
            <w:r w:rsidRPr="00403408">
              <w:rPr>
                <w:iCs/>
                <w:sz w:val="22"/>
                <w:szCs w:val="22"/>
                <w:lang w:val="lv-LV"/>
              </w:rPr>
              <w:t xml:space="preserve"> un </w:t>
            </w:r>
            <w:proofErr w:type="spellStart"/>
            <w:r w:rsidRPr="00403408">
              <w:rPr>
                <w:iCs/>
                <w:sz w:val="22"/>
                <w:szCs w:val="22"/>
                <w:lang w:val="lv-LV"/>
              </w:rPr>
              <w:t>jaunsardzes</w:t>
            </w:r>
            <w:proofErr w:type="spellEnd"/>
            <w:r w:rsidRPr="00403408">
              <w:rPr>
                <w:iCs/>
                <w:sz w:val="22"/>
                <w:szCs w:val="22"/>
                <w:lang w:val="lv-LV"/>
              </w:rPr>
              <w:t xml:space="preserve"> centrs un Valsts aizsardzības militāro objektu un iepirkumu centrs.</w:t>
            </w:r>
          </w:p>
        </w:tc>
      </w:tr>
      <w:tr w:rsidR="00403408" w:rsidRPr="00382AEB" w:rsidTr="00382AEB">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403408" w:rsidP="00403408">
            <w:pPr>
              <w:spacing w:before="100" w:beforeAutospacing="1" w:after="100" w:afterAutospacing="1" w:line="285" w:lineRule="atLeast"/>
              <w:jc w:val="center"/>
              <w:rPr>
                <w:rFonts w:cs="Times New Roman"/>
                <w:color w:val="414142"/>
                <w:lang w:val="lv-LV" w:eastAsia="lv-LV" w:bidi="ar-SA"/>
              </w:rPr>
            </w:pPr>
            <w:r w:rsidRPr="00382AEB">
              <w:rPr>
                <w:rFonts w:cs="Times New Roman"/>
                <w:color w:val="414142"/>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403408" w:rsidRPr="00382AEB" w:rsidRDefault="00403408" w:rsidP="00403408">
            <w:pPr>
              <w:rPr>
                <w:rFonts w:cs="Times New Roman"/>
                <w:color w:val="414142"/>
                <w:lang w:val="lv-LV" w:eastAsia="lv-LV" w:bidi="ar-SA"/>
              </w:rPr>
            </w:pPr>
            <w:r w:rsidRPr="00382AEB">
              <w:rPr>
                <w:rFonts w:cs="Times New Roman"/>
                <w:color w:val="414142"/>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Pr="00382AEB" w:rsidRDefault="00403408" w:rsidP="00403408">
            <w:pPr>
              <w:spacing w:before="100" w:beforeAutospacing="1" w:after="100" w:afterAutospacing="1" w:line="285" w:lineRule="atLeast"/>
              <w:rPr>
                <w:rFonts w:cs="Times New Roman"/>
                <w:color w:val="414142"/>
                <w:lang w:val="lv-LV" w:eastAsia="lv-LV" w:bidi="ar-SA"/>
              </w:rPr>
            </w:pPr>
            <w:r w:rsidRPr="00382AEB">
              <w:rPr>
                <w:rFonts w:cs="Times New Roman"/>
                <w:color w:val="414142"/>
                <w:lang w:val="lv-LV" w:eastAsia="lv-LV" w:bidi="ar-SA"/>
              </w:rPr>
              <w:t>Nav</w:t>
            </w:r>
            <w:r>
              <w:rPr>
                <w:rFonts w:cs="Times New Roman"/>
                <w:color w:val="414142"/>
                <w:lang w:val="lv-LV" w:eastAsia="lv-LV" w:bidi="ar-SA"/>
              </w:rPr>
              <w:t>.</w:t>
            </w:r>
          </w:p>
        </w:tc>
      </w:tr>
    </w:tbl>
    <w:p w:rsidR="00382AEB" w:rsidRPr="00382AEB" w:rsidRDefault="00382AEB" w:rsidP="00382AEB">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382AEB" w:rsidRPr="00134B47" w:rsidTr="00382AEB">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II. Tiesību akta projekta ietekme uz sabiedrību, tautsaimniecības attīstību un administratīvo slogu</w:t>
            </w:r>
          </w:p>
        </w:tc>
      </w:tr>
      <w:tr w:rsidR="00382AEB" w:rsidRPr="00134B47" w:rsidTr="00382AEB">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 xml:space="preserve">Sabiedrības </w:t>
            </w:r>
            <w:proofErr w:type="spellStart"/>
            <w:r w:rsidRPr="00382AEB">
              <w:rPr>
                <w:rFonts w:cs="Times New Roman"/>
                <w:color w:val="414142"/>
                <w:lang w:val="lv-LV" w:eastAsia="lv-LV" w:bidi="ar-SA"/>
              </w:rPr>
              <w:t>mērķgrupas</w:t>
            </w:r>
            <w:proofErr w:type="spellEnd"/>
            <w:r w:rsidRPr="00382AEB">
              <w:rPr>
                <w:rFonts w:cs="Times New Roman"/>
                <w:color w:val="414142"/>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Default="00DF386D" w:rsidP="00382AEB">
            <w:pPr>
              <w:rPr>
                <w:rFonts w:cs="Times New Roman"/>
                <w:color w:val="414142"/>
                <w:lang w:val="lv-LV" w:eastAsia="lv-LV" w:bidi="ar-SA"/>
              </w:rPr>
            </w:pPr>
            <w:r>
              <w:rPr>
                <w:rFonts w:cs="Times New Roman"/>
                <w:color w:val="414142"/>
                <w:lang w:val="lv-LV" w:eastAsia="lv-LV" w:bidi="ar-SA"/>
              </w:rPr>
              <w:t>1) profesionālā militārā dienesta karavīri</w:t>
            </w:r>
          </w:p>
          <w:p w:rsidR="00DF386D" w:rsidRDefault="00DF386D" w:rsidP="00382AEB">
            <w:pPr>
              <w:rPr>
                <w:rFonts w:cs="Times New Roman"/>
                <w:color w:val="414142"/>
                <w:lang w:val="lv-LV" w:eastAsia="lv-LV" w:bidi="ar-SA"/>
              </w:rPr>
            </w:pPr>
            <w:r>
              <w:rPr>
                <w:rFonts w:cs="Times New Roman"/>
                <w:color w:val="414142"/>
                <w:lang w:val="lv-LV" w:eastAsia="lv-LV" w:bidi="ar-SA"/>
              </w:rPr>
              <w:t>2) ceļu satiksmes dalībnieki</w:t>
            </w:r>
          </w:p>
          <w:p w:rsidR="00DF386D" w:rsidRDefault="00DF386D" w:rsidP="00382AEB">
            <w:pPr>
              <w:rPr>
                <w:rFonts w:cs="Times New Roman"/>
                <w:color w:val="414142"/>
                <w:lang w:val="lv-LV" w:eastAsia="lv-LV" w:bidi="ar-SA"/>
              </w:rPr>
            </w:pPr>
            <w:r>
              <w:rPr>
                <w:rFonts w:cs="Times New Roman"/>
                <w:color w:val="414142"/>
                <w:lang w:val="lv-LV" w:eastAsia="lv-LV" w:bidi="ar-SA"/>
              </w:rPr>
              <w:t xml:space="preserve">3) </w:t>
            </w:r>
            <w:proofErr w:type="spellStart"/>
            <w:r w:rsidR="00C424D9">
              <w:rPr>
                <w:rFonts w:cs="Times New Roman"/>
                <w:color w:val="414142"/>
                <w:lang w:val="lv-LV" w:eastAsia="lv-LV" w:bidi="ar-SA"/>
              </w:rPr>
              <w:t>Rekrutēšanas</w:t>
            </w:r>
            <w:proofErr w:type="spellEnd"/>
            <w:r w:rsidR="00C424D9">
              <w:rPr>
                <w:rFonts w:cs="Times New Roman"/>
                <w:color w:val="414142"/>
                <w:lang w:val="lv-LV" w:eastAsia="lv-LV" w:bidi="ar-SA"/>
              </w:rPr>
              <w:t xml:space="preserve"> un </w:t>
            </w:r>
            <w:proofErr w:type="spellStart"/>
            <w:r w:rsidR="00C424D9">
              <w:rPr>
                <w:rFonts w:cs="Times New Roman"/>
                <w:color w:val="414142"/>
                <w:lang w:val="lv-LV" w:eastAsia="lv-LV" w:bidi="ar-SA"/>
              </w:rPr>
              <w:t>jaunsardzes</w:t>
            </w:r>
            <w:proofErr w:type="spellEnd"/>
            <w:r w:rsidR="00C424D9">
              <w:rPr>
                <w:rFonts w:cs="Times New Roman"/>
                <w:color w:val="414142"/>
                <w:lang w:val="lv-LV" w:eastAsia="lv-LV" w:bidi="ar-SA"/>
              </w:rPr>
              <w:t xml:space="preserve"> centrs</w:t>
            </w:r>
            <w:proofErr w:type="gramStart"/>
            <w:r w:rsidR="00C424D9">
              <w:rPr>
                <w:rFonts w:cs="Times New Roman"/>
                <w:color w:val="414142"/>
                <w:lang w:val="lv-LV" w:eastAsia="lv-LV" w:bidi="ar-SA"/>
              </w:rPr>
              <w:t xml:space="preserve"> </w:t>
            </w:r>
            <w:r>
              <w:rPr>
                <w:rFonts w:cs="Times New Roman"/>
                <w:color w:val="414142"/>
                <w:lang w:val="lv-LV" w:eastAsia="lv-LV" w:bidi="ar-SA"/>
              </w:rPr>
              <w:t xml:space="preserve"> </w:t>
            </w:r>
            <w:proofErr w:type="gramEnd"/>
            <w:r>
              <w:rPr>
                <w:rFonts w:cs="Times New Roman"/>
                <w:color w:val="414142"/>
                <w:lang w:val="lv-LV" w:eastAsia="lv-LV" w:bidi="ar-SA"/>
              </w:rPr>
              <w:t>un jaunsargi</w:t>
            </w:r>
          </w:p>
          <w:p w:rsidR="00DF386D" w:rsidRPr="00382AEB" w:rsidRDefault="00DF386D" w:rsidP="00DF386D">
            <w:pPr>
              <w:rPr>
                <w:rFonts w:cs="Times New Roman"/>
                <w:color w:val="414142"/>
                <w:lang w:val="lv-LV" w:eastAsia="lv-LV" w:bidi="ar-SA"/>
              </w:rPr>
            </w:pPr>
            <w:r>
              <w:rPr>
                <w:rFonts w:cs="Times New Roman"/>
                <w:color w:val="414142"/>
                <w:lang w:val="lv-LV" w:eastAsia="lv-LV" w:bidi="ar-SA"/>
              </w:rPr>
              <w:t xml:space="preserve">4) </w:t>
            </w:r>
            <w:r w:rsidRPr="003A6DC4">
              <w:rPr>
                <w:lang w:val="lv-LV"/>
              </w:rPr>
              <w:t>personas, kuras varētu izdarīt likumpārkāpumus</w:t>
            </w:r>
            <w:r w:rsidR="003A6DC4" w:rsidRPr="003A6DC4">
              <w:rPr>
                <w:lang w:val="lv-LV"/>
              </w:rPr>
              <w:t>, atrodoties alkohola, narkotisko, psihotropo, toksisko vai citu apreibinošo vielu ietekmē</w:t>
            </w:r>
          </w:p>
        </w:tc>
      </w:tr>
      <w:tr w:rsidR="00382AEB" w:rsidRPr="00382AEB" w:rsidTr="00382AEB">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Pr="00382AEB" w:rsidRDefault="005F54DA" w:rsidP="00382AEB">
            <w:pPr>
              <w:rPr>
                <w:rFonts w:cs="Times New Roman"/>
                <w:color w:val="414142"/>
                <w:lang w:val="lv-LV" w:eastAsia="lv-LV" w:bidi="ar-SA"/>
              </w:rPr>
            </w:pPr>
            <w:r>
              <w:rPr>
                <w:rFonts w:cs="Times New Roman"/>
                <w:color w:val="414142"/>
                <w:lang w:val="lv-LV" w:eastAsia="lv-LV" w:bidi="ar-SA"/>
              </w:rPr>
              <w:t>Projekts šo jomu neskar.</w:t>
            </w:r>
          </w:p>
        </w:tc>
      </w:tr>
      <w:tr w:rsidR="00382AEB" w:rsidRPr="00382AEB" w:rsidTr="00382AEB">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Pr="00382AEB" w:rsidRDefault="005F54DA" w:rsidP="00382AEB">
            <w:pPr>
              <w:rPr>
                <w:rFonts w:cs="Times New Roman"/>
                <w:color w:val="414142"/>
                <w:lang w:val="lv-LV" w:eastAsia="lv-LV" w:bidi="ar-SA"/>
              </w:rPr>
            </w:pPr>
            <w:r>
              <w:rPr>
                <w:rFonts w:cs="Times New Roman"/>
                <w:color w:val="414142"/>
                <w:lang w:val="lv-LV" w:eastAsia="lv-LV" w:bidi="ar-SA"/>
              </w:rPr>
              <w:t>Projekts šo jomu neskar.</w:t>
            </w:r>
          </w:p>
        </w:tc>
      </w:tr>
      <w:tr w:rsidR="00382AEB" w:rsidRPr="00382AEB" w:rsidTr="00382AEB">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5F54DA">
            <w:pPr>
              <w:spacing w:before="100" w:beforeAutospacing="1" w:after="100" w:afterAutospacing="1" w:line="285" w:lineRule="atLeast"/>
              <w:rPr>
                <w:rFonts w:cs="Times New Roman"/>
                <w:color w:val="414142"/>
                <w:lang w:val="lv-LV" w:eastAsia="lv-LV" w:bidi="ar-SA"/>
              </w:rPr>
            </w:pPr>
            <w:r w:rsidRPr="00382AEB">
              <w:rPr>
                <w:rFonts w:cs="Times New Roman"/>
                <w:color w:val="414142"/>
                <w:lang w:val="lv-LV" w:eastAsia="lv-LV" w:bidi="ar-SA"/>
              </w:rPr>
              <w:t>Nav</w:t>
            </w:r>
            <w:r w:rsidR="005F54DA">
              <w:rPr>
                <w:rFonts w:cs="Times New Roman"/>
                <w:color w:val="414142"/>
                <w:lang w:val="lv-LV" w:eastAsia="lv-LV" w:bidi="ar-SA"/>
              </w:rPr>
              <w:t>.</w:t>
            </w:r>
          </w:p>
        </w:tc>
      </w:tr>
    </w:tbl>
    <w:p w:rsidR="00382AEB" w:rsidRPr="00382AEB" w:rsidRDefault="00382AEB" w:rsidP="00382AEB">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382AEB" w:rsidRPr="00134B47" w:rsidTr="00382AE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III. Tiesību akta projekta ietekme uz valsts budžetu un pašvaldību budžetiem</w:t>
            </w:r>
          </w:p>
        </w:tc>
      </w:tr>
      <w:tr w:rsidR="00AD22FA" w:rsidRPr="00AD22FA" w:rsidTr="00382AEB">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AD22FA" w:rsidRPr="00AD22FA" w:rsidRDefault="00AD22FA" w:rsidP="00382AEB">
            <w:pPr>
              <w:spacing w:before="100" w:beforeAutospacing="1" w:after="100" w:afterAutospacing="1" w:line="285" w:lineRule="atLeast"/>
              <w:jc w:val="center"/>
              <w:rPr>
                <w:rFonts w:cs="Times New Roman"/>
                <w:bCs/>
                <w:color w:val="414142"/>
                <w:lang w:val="lv-LV" w:eastAsia="lv-LV" w:bidi="ar-SA"/>
              </w:rPr>
            </w:pPr>
            <w:r>
              <w:rPr>
                <w:rFonts w:cs="Times New Roman"/>
                <w:bCs/>
                <w:color w:val="414142"/>
                <w:lang w:val="lv-LV" w:eastAsia="lv-LV" w:bidi="ar-SA"/>
              </w:rPr>
              <w:t>Projekts šo jomu neskar</w:t>
            </w:r>
          </w:p>
        </w:tc>
      </w:tr>
    </w:tbl>
    <w:p w:rsidR="00382AEB" w:rsidRPr="00382AEB" w:rsidRDefault="00382AEB" w:rsidP="00382AEB">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382AEB" w:rsidRPr="00134B47" w:rsidTr="00382AEB">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IV. Tiesību akta projekta ietekme uz spēkā esošo tiesību normu sistēmu</w:t>
            </w:r>
          </w:p>
        </w:tc>
      </w:tr>
      <w:tr w:rsidR="00382AEB" w:rsidRPr="00134B47" w:rsidTr="00382A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15ABA" w:rsidRPr="003238BD" w:rsidRDefault="00A15ABA" w:rsidP="00A15ABA">
            <w:pPr>
              <w:jc w:val="both"/>
              <w:rPr>
                <w:bCs/>
                <w:lang w:val="lv-LV"/>
              </w:rPr>
            </w:pPr>
            <w:r w:rsidRPr="003238BD">
              <w:rPr>
                <w:bCs/>
                <w:lang w:val="lv-LV"/>
              </w:rPr>
              <w:t>Pēc izstrādāto grozījumu Nacionālo bruņoto spēku likumā apstiprināšanas Ministru kabinetā, jāizstrādā:</w:t>
            </w:r>
          </w:p>
          <w:p w:rsidR="00A15ABA" w:rsidRPr="003238BD" w:rsidRDefault="00A15ABA" w:rsidP="00A15ABA">
            <w:pPr>
              <w:jc w:val="both"/>
              <w:rPr>
                <w:iCs/>
                <w:lang w:val="lv-LV"/>
              </w:rPr>
            </w:pPr>
            <w:r w:rsidRPr="003238BD">
              <w:rPr>
                <w:bCs/>
                <w:lang w:val="lv-LV"/>
              </w:rPr>
              <w:t xml:space="preserve">- </w:t>
            </w:r>
            <w:r w:rsidRPr="003238BD">
              <w:rPr>
                <w:iCs/>
                <w:lang w:val="lv-LV"/>
              </w:rPr>
              <w:t>grozījumi Ministru kabineta 2008.gada 2.jūnija noteikumos Nr.394 „Alkohola, narkotisko, psihotropo un toksisko vielu ietekmes pārbaudes kārtība”;</w:t>
            </w:r>
          </w:p>
          <w:p w:rsidR="00382AEB" w:rsidRPr="00382AEB" w:rsidRDefault="00A15ABA" w:rsidP="00A15ABA">
            <w:pPr>
              <w:rPr>
                <w:rFonts w:cs="Times New Roman"/>
                <w:color w:val="414142"/>
                <w:lang w:val="lv-LV" w:eastAsia="lv-LV" w:bidi="ar-SA"/>
              </w:rPr>
            </w:pPr>
            <w:r w:rsidRPr="003238BD">
              <w:rPr>
                <w:iCs/>
                <w:lang w:val="lv-LV"/>
              </w:rPr>
              <w:t>- grozījumi Ministru kabineta 2008.gada 10.jūnija instrukcijā Nr.6 „Kārtība, kādā Nacionālie bruņotie spēki tiek iesaistīti sprādzienbīstamu priekšmetu iznīcināšanā sauszemes teritorijā miera laikā”</w:t>
            </w:r>
            <w:r w:rsidRPr="003238BD">
              <w:rPr>
                <w:lang w:val="lv-LV"/>
              </w:rPr>
              <w:t>.</w:t>
            </w:r>
          </w:p>
        </w:tc>
      </w:tr>
      <w:tr w:rsidR="00382AEB" w:rsidRPr="000E3449" w:rsidTr="00382A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382AEB" w:rsidRPr="00382AEB" w:rsidRDefault="00A15ABA" w:rsidP="00382AEB">
            <w:pPr>
              <w:rPr>
                <w:rFonts w:cs="Times New Roman"/>
                <w:color w:val="414142"/>
                <w:lang w:val="lv-LV" w:eastAsia="lv-LV" w:bidi="ar-SA"/>
              </w:rPr>
            </w:pPr>
            <w:r>
              <w:rPr>
                <w:rFonts w:cs="Times New Roman"/>
                <w:color w:val="414142"/>
                <w:lang w:val="lv-LV" w:eastAsia="lv-LV" w:bidi="ar-SA"/>
              </w:rPr>
              <w:t>Aizsardzības ministrija.</w:t>
            </w:r>
          </w:p>
        </w:tc>
      </w:tr>
      <w:tr w:rsidR="00382AEB" w:rsidRPr="00382AEB" w:rsidTr="00382AEB">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5F54DA">
            <w:pPr>
              <w:spacing w:before="100" w:beforeAutospacing="1" w:after="100" w:afterAutospacing="1" w:line="285" w:lineRule="atLeast"/>
              <w:rPr>
                <w:rFonts w:cs="Times New Roman"/>
                <w:color w:val="414142"/>
                <w:lang w:val="lv-LV" w:eastAsia="lv-LV" w:bidi="ar-SA"/>
              </w:rPr>
            </w:pPr>
            <w:r w:rsidRPr="00382AEB">
              <w:rPr>
                <w:rFonts w:cs="Times New Roman"/>
                <w:color w:val="414142"/>
                <w:lang w:val="lv-LV" w:eastAsia="lv-LV" w:bidi="ar-SA"/>
              </w:rPr>
              <w:t>Nav</w:t>
            </w:r>
            <w:r w:rsidR="005F54DA">
              <w:rPr>
                <w:rFonts w:cs="Times New Roman"/>
                <w:color w:val="414142"/>
                <w:lang w:val="lv-LV" w:eastAsia="lv-LV" w:bidi="ar-SA"/>
              </w:rPr>
              <w:t>.</w:t>
            </w:r>
          </w:p>
        </w:tc>
      </w:tr>
    </w:tbl>
    <w:p w:rsidR="00382AEB" w:rsidRPr="00382AEB" w:rsidRDefault="00382AEB" w:rsidP="00382AEB">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382AEB" w:rsidRPr="00382AEB" w:rsidTr="00382AEB">
        <w:tc>
          <w:tcPr>
            <w:tcW w:w="0" w:type="auto"/>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V. Tiesību akta projekta atbilstība Latvijas Republikas starptautiskajām saistībām</w:t>
            </w:r>
          </w:p>
        </w:tc>
      </w:tr>
      <w:tr w:rsidR="00A15ABA" w:rsidRPr="00382AEB" w:rsidTr="00382AEB">
        <w:tc>
          <w:tcPr>
            <w:tcW w:w="0" w:type="auto"/>
            <w:tcBorders>
              <w:top w:val="outset" w:sz="6" w:space="0" w:color="414142"/>
              <w:left w:val="outset" w:sz="6" w:space="0" w:color="414142"/>
              <w:bottom w:val="outset" w:sz="6" w:space="0" w:color="414142"/>
              <w:right w:val="outset" w:sz="6" w:space="0" w:color="414142"/>
            </w:tcBorders>
            <w:vAlign w:val="center"/>
          </w:tcPr>
          <w:p w:rsidR="00A15ABA" w:rsidRPr="00A15ABA" w:rsidRDefault="00A15ABA" w:rsidP="00382AEB">
            <w:pPr>
              <w:spacing w:before="100" w:beforeAutospacing="1" w:after="100" w:afterAutospacing="1" w:line="285" w:lineRule="atLeast"/>
              <w:jc w:val="center"/>
              <w:rPr>
                <w:rFonts w:cs="Times New Roman"/>
                <w:bCs/>
                <w:color w:val="414142"/>
                <w:lang w:val="lv-LV" w:eastAsia="lv-LV" w:bidi="ar-SA"/>
              </w:rPr>
            </w:pPr>
            <w:r w:rsidRPr="00A15ABA">
              <w:rPr>
                <w:rFonts w:cs="Times New Roman"/>
                <w:bCs/>
                <w:color w:val="414142"/>
                <w:lang w:val="lv-LV" w:eastAsia="lv-LV" w:bidi="ar-SA"/>
              </w:rPr>
              <w:t>Projekts šo jomu neskar.</w:t>
            </w:r>
          </w:p>
        </w:tc>
      </w:tr>
    </w:tbl>
    <w:p w:rsidR="00382AEB" w:rsidRPr="00382AEB" w:rsidRDefault="00382AEB" w:rsidP="00A15ABA">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54"/>
      </w:tblGrid>
      <w:tr w:rsidR="00382AEB" w:rsidRPr="00134B47" w:rsidTr="00382AE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VI. Sabiedrības līdzdalība un komunikācijas aktivitātes</w:t>
            </w:r>
          </w:p>
        </w:tc>
      </w:tr>
      <w:tr w:rsidR="003238BD" w:rsidRPr="000E3449" w:rsidTr="00382AEB">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3238BD" w:rsidRPr="003238BD" w:rsidRDefault="003238BD" w:rsidP="00382AEB">
            <w:pPr>
              <w:spacing w:before="100" w:beforeAutospacing="1" w:after="100" w:afterAutospacing="1" w:line="285" w:lineRule="atLeast"/>
              <w:jc w:val="center"/>
              <w:rPr>
                <w:rFonts w:cs="Times New Roman"/>
                <w:bCs/>
                <w:color w:val="414142"/>
                <w:lang w:val="lv-LV" w:eastAsia="lv-LV" w:bidi="ar-SA"/>
              </w:rPr>
            </w:pPr>
            <w:r>
              <w:rPr>
                <w:rFonts w:cs="Times New Roman"/>
                <w:bCs/>
                <w:color w:val="414142"/>
                <w:lang w:val="lv-LV" w:eastAsia="lv-LV" w:bidi="ar-SA"/>
              </w:rPr>
              <w:t>Projekts šo jomu neskar.</w:t>
            </w:r>
          </w:p>
        </w:tc>
      </w:tr>
    </w:tbl>
    <w:p w:rsidR="00382AEB" w:rsidRPr="00382AEB" w:rsidRDefault="00382AEB" w:rsidP="00382AEB">
      <w:pPr>
        <w:shd w:val="clear" w:color="auto" w:fill="FFFFFF"/>
        <w:spacing w:before="100" w:beforeAutospacing="1" w:after="100" w:afterAutospacing="1" w:line="285" w:lineRule="atLeast"/>
        <w:ind w:firstLine="300"/>
        <w:rPr>
          <w:rFonts w:ascii="Arial" w:hAnsi="Arial" w:cs="Arial"/>
          <w:color w:val="414142"/>
          <w:lang w:val="lv-LV" w:eastAsia="lv-LV" w:bidi="ar-SA"/>
        </w:rPr>
      </w:pPr>
      <w:r w:rsidRPr="00382AEB">
        <w:rPr>
          <w:rFonts w:ascii="Arial" w:hAnsi="Arial" w:cs="Arial"/>
          <w:color w:val="414142"/>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382AEB" w:rsidRPr="00134B47" w:rsidTr="00382AEB">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382AEB" w:rsidRPr="00382AEB" w:rsidRDefault="00382AEB" w:rsidP="00382AEB">
            <w:pPr>
              <w:spacing w:before="100" w:beforeAutospacing="1" w:after="100" w:afterAutospacing="1" w:line="285" w:lineRule="atLeast"/>
              <w:jc w:val="center"/>
              <w:rPr>
                <w:rFonts w:cs="Times New Roman"/>
                <w:b/>
                <w:bCs/>
                <w:color w:val="414142"/>
                <w:lang w:val="lv-LV" w:eastAsia="lv-LV" w:bidi="ar-SA"/>
              </w:rPr>
            </w:pPr>
            <w:r w:rsidRPr="00382AEB">
              <w:rPr>
                <w:rFonts w:cs="Times New Roman"/>
                <w:b/>
                <w:bCs/>
                <w:color w:val="414142"/>
                <w:lang w:val="lv-LV" w:eastAsia="lv-LV" w:bidi="ar-SA"/>
              </w:rPr>
              <w:t>VII. Tiesību akta projekta izpildes nodrošināšana un tās ietekme uz institūcijām</w:t>
            </w:r>
          </w:p>
        </w:tc>
      </w:tr>
      <w:tr w:rsidR="00382AEB" w:rsidRPr="00134B47" w:rsidTr="00382AEB">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382AEB" w:rsidRPr="003238BD" w:rsidRDefault="003238BD" w:rsidP="00382AEB">
            <w:pPr>
              <w:rPr>
                <w:rFonts w:cs="Times New Roman"/>
                <w:color w:val="414142"/>
                <w:lang w:val="lv-LV" w:eastAsia="lv-LV" w:bidi="ar-SA"/>
              </w:rPr>
            </w:pPr>
            <w:r w:rsidRPr="003238BD">
              <w:rPr>
                <w:lang w:val="lv-LV"/>
              </w:rPr>
              <w:t xml:space="preserve">Projekta izpildi nodrošinās Aizsardzības ministrija, Nacionālie bruņotie spēki, Valsts aizsardzības un militāro objektu iepirkumu centrs un </w:t>
            </w:r>
            <w:proofErr w:type="spellStart"/>
            <w:r w:rsidRPr="003238BD">
              <w:rPr>
                <w:lang w:val="lv-LV"/>
              </w:rPr>
              <w:t>Rekrutēšanas</w:t>
            </w:r>
            <w:proofErr w:type="spellEnd"/>
            <w:r w:rsidRPr="003238BD">
              <w:rPr>
                <w:lang w:val="lv-LV"/>
              </w:rPr>
              <w:t xml:space="preserve"> un </w:t>
            </w:r>
            <w:proofErr w:type="spellStart"/>
            <w:r w:rsidRPr="003238BD">
              <w:rPr>
                <w:lang w:val="lv-LV"/>
              </w:rPr>
              <w:t>jaunsardzes</w:t>
            </w:r>
            <w:proofErr w:type="spellEnd"/>
            <w:r w:rsidRPr="003238BD">
              <w:rPr>
                <w:lang w:val="lv-LV"/>
              </w:rPr>
              <w:t xml:space="preserve"> </w:t>
            </w:r>
            <w:r w:rsidRPr="003238BD">
              <w:rPr>
                <w:lang w:val="lv-LV"/>
              </w:rPr>
              <w:lastRenderedPageBreak/>
              <w:t>centrs normatīvajos aktos noteiktajā kārtībā.</w:t>
            </w:r>
          </w:p>
        </w:tc>
      </w:tr>
      <w:tr w:rsidR="00382AEB" w:rsidRPr="00134B47" w:rsidTr="00382AEB">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Projekta izpildes ietekme uz pārvaldes funkcijām un institucionālo struktūru.</w:t>
            </w:r>
          </w:p>
          <w:p w:rsidR="00382AEB" w:rsidRPr="00382AEB" w:rsidRDefault="00382AEB" w:rsidP="00382AEB">
            <w:pPr>
              <w:spacing w:before="100" w:beforeAutospacing="1" w:after="100" w:afterAutospacing="1" w:line="285" w:lineRule="atLeast"/>
              <w:rPr>
                <w:rFonts w:cs="Times New Roman"/>
                <w:color w:val="414142"/>
                <w:lang w:val="lv-LV" w:eastAsia="lv-LV" w:bidi="ar-SA"/>
              </w:rPr>
            </w:pPr>
            <w:r w:rsidRPr="00382AEB">
              <w:rPr>
                <w:rFonts w:cs="Times New Roman"/>
                <w:color w:val="414142"/>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382AEB" w:rsidRPr="00382AEB" w:rsidRDefault="00AF510F" w:rsidP="00AF510F">
            <w:pPr>
              <w:rPr>
                <w:rFonts w:cs="Times New Roman"/>
                <w:color w:val="414142"/>
                <w:lang w:val="lv-LV" w:eastAsia="lv-LV" w:bidi="ar-SA"/>
              </w:rPr>
            </w:pPr>
            <w:r w:rsidRPr="00AF510F">
              <w:rPr>
                <w:sz w:val="22"/>
                <w:szCs w:val="22"/>
                <w:lang w:val="lv-LV"/>
              </w:rPr>
              <w:t>Lai mazinātu NBS komandiera noslogotību apstiprinot visu NBS vienību nolikumus</w:t>
            </w:r>
            <w:r>
              <w:rPr>
                <w:sz w:val="22"/>
                <w:szCs w:val="22"/>
                <w:lang w:val="lv-LV"/>
              </w:rPr>
              <w:t xml:space="preserve"> </w:t>
            </w:r>
            <w:proofErr w:type="gramStart"/>
            <w:r>
              <w:rPr>
                <w:sz w:val="22"/>
                <w:szCs w:val="22"/>
                <w:lang w:val="lv-LV"/>
              </w:rPr>
              <w:t>(</w:t>
            </w:r>
            <w:proofErr w:type="gramEnd"/>
            <w:r>
              <w:rPr>
                <w:sz w:val="22"/>
                <w:szCs w:val="22"/>
                <w:lang w:val="lv-LV"/>
              </w:rPr>
              <w:t>aptuveni 85)</w:t>
            </w:r>
            <w:r w:rsidRPr="00AF510F">
              <w:rPr>
                <w:sz w:val="22"/>
                <w:szCs w:val="22"/>
                <w:lang w:val="lv-LV"/>
              </w:rPr>
              <w:t>, paredzēts, ka NBS komandieris apstiprin</w:t>
            </w:r>
            <w:r>
              <w:rPr>
                <w:sz w:val="22"/>
                <w:szCs w:val="22"/>
                <w:lang w:val="lv-LV"/>
              </w:rPr>
              <w:t>ās</w:t>
            </w:r>
            <w:r w:rsidRPr="00AF510F">
              <w:rPr>
                <w:sz w:val="22"/>
                <w:szCs w:val="22"/>
                <w:lang w:val="lv-LV"/>
              </w:rPr>
              <w:t xml:space="preserve"> regul</w:t>
            </w:r>
            <w:r>
              <w:rPr>
                <w:sz w:val="22"/>
                <w:szCs w:val="22"/>
                <w:lang w:val="lv-LV"/>
              </w:rPr>
              <w:t>ā</w:t>
            </w:r>
            <w:r w:rsidRPr="00AF510F">
              <w:rPr>
                <w:sz w:val="22"/>
                <w:szCs w:val="22"/>
                <w:lang w:val="lv-LV"/>
              </w:rPr>
              <w:t>r</w:t>
            </w:r>
            <w:r>
              <w:rPr>
                <w:sz w:val="22"/>
                <w:szCs w:val="22"/>
                <w:lang w:val="lv-LV"/>
              </w:rPr>
              <w:t>o</w:t>
            </w:r>
            <w:r w:rsidRPr="00AF510F">
              <w:rPr>
                <w:sz w:val="22"/>
                <w:szCs w:val="22"/>
                <w:lang w:val="lv-LV"/>
              </w:rPr>
              <w:t xml:space="preserve"> spēku nolikumus. Savukārt NBS regul</w:t>
            </w:r>
            <w:r>
              <w:rPr>
                <w:sz w:val="22"/>
                <w:szCs w:val="22"/>
                <w:lang w:val="lv-LV"/>
              </w:rPr>
              <w:t>ā</w:t>
            </w:r>
            <w:r w:rsidRPr="00AF510F">
              <w:rPr>
                <w:sz w:val="22"/>
                <w:szCs w:val="22"/>
                <w:lang w:val="lv-LV"/>
              </w:rPr>
              <w:t>r</w:t>
            </w:r>
            <w:r>
              <w:rPr>
                <w:sz w:val="22"/>
                <w:szCs w:val="22"/>
                <w:lang w:val="lv-LV"/>
              </w:rPr>
              <w:t>o</w:t>
            </w:r>
            <w:r w:rsidRPr="00AF510F">
              <w:rPr>
                <w:sz w:val="22"/>
                <w:szCs w:val="22"/>
                <w:lang w:val="lv-LV"/>
              </w:rPr>
              <w:t xml:space="preserve"> spēku komandieri apstiprinās pakļauto vienību</w:t>
            </w:r>
            <w:r w:rsidR="00AD22FA">
              <w:rPr>
                <w:sz w:val="22"/>
                <w:szCs w:val="22"/>
                <w:lang w:val="lv-LV"/>
              </w:rPr>
              <w:t xml:space="preserve"> (izņemot Latvijas Nacionālo aizsardzības akadēmiju)</w:t>
            </w:r>
            <w:r w:rsidRPr="00AF510F">
              <w:rPr>
                <w:sz w:val="22"/>
                <w:szCs w:val="22"/>
                <w:lang w:val="lv-LV"/>
              </w:rPr>
              <w:t xml:space="preserve"> nolikumus</w:t>
            </w:r>
            <w:r>
              <w:rPr>
                <w:sz w:val="22"/>
                <w:szCs w:val="22"/>
                <w:lang w:val="lv-LV"/>
              </w:rPr>
              <w:t>.</w:t>
            </w:r>
          </w:p>
        </w:tc>
      </w:tr>
      <w:tr w:rsidR="00382AEB" w:rsidRPr="00382AEB" w:rsidTr="00382AEB">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382AEB">
            <w:pPr>
              <w:rPr>
                <w:rFonts w:cs="Times New Roman"/>
                <w:color w:val="414142"/>
                <w:lang w:val="lv-LV" w:eastAsia="lv-LV" w:bidi="ar-SA"/>
              </w:rPr>
            </w:pPr>
            <w:r w:rsidRPr="00382AEB">
              <w:rPr>
                <w:rFonts w:cs="Times New Roman"/>
                <w:color w:val="414142"/>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382AEB" w:rsidRPr="00382AEB" w:rsidRDefault="00382AEB" w:rsidP="001B1C00">
            <w:pPr>
              <w:spacing w:before="100" w:beforeAutospacing="1" w:after="100" w:afterAutospacing="1" w:line="285" w:lineRule="atLeast"/>
              <w:rPr>
                <w:rFonts w:cs="Times New Roman"/>
                <w:color w:val="414142"/>
                <w:lang w:val="lv-LV" w:eastAsia="lv-LV" w:bidi="ar-SA"/>
              </w:rPr>
            </w:pPr>
            <w:r w:rsidRPr="00382AEB">
              <w:rPr>
                <w:rFonts w:cs="Times New Roman"/>
                <w:color w:val="414142"/>
                <w:lang w:val="lv-LV" w:eastAsia="lv-LV" w:bidi="ar-SA"/>
              </w:rPr>
              <w:t>Nav</w:t>
            </w:r>
            <w:r w:rsidR="001B1C00">
              <w:rPr>
                <w:rFonts w:cs="Times New Roman"/>
                <w:color w:val="414142"/>
                <w:lang w:val="lv-LV" w:eastAsia="lv-LV" w:bidi="ar-SA"/>
              </w:rPr>
              <w:t>.</w:t>
            </w:r>
          </w:p>
        </w:tc>
      </w:tr>
    </w:tbl>
    <w:p w:rsidR="0026236D" w:rsidRDefault="0026236D"/>
    <w:p w:rsidR="00E26EF7" w:rsidRPr="00E377ED" w:rsidRDefault="00E26EF7" w:rsidP="00E26EF7">
      <w:pPr>
        <w:tabs>
          <w:tab w:val="right" w:pos="9074"/>
        </w:tabs>
        <w:rPr>
          <w:sz w:val="28"/>
          <w:szCs w:val="28"/>
        </w:rPr>
      </w:pPr>
      <w:proofErr w:type="spellStart"/>
      <w:r w:rsidRPr="00E377ED">
        <w:rPr>
          <w:sz w:val="28"/>
          <w:szCs w:val="28"/>
        </w:rPr>
        <w:t>Aizsardzības</w:t>
      </w:r>
      <w:proofErr w:type="spellEnd"/>
      <w:r w:rsidRPr="00E377ED">
        <w:rPr>
          <w:sz w:val="28"/>
          <w:szCs w:val="28"/>
        </w:rPr>
        <w:t xml:space="preserve"> </w:t>
      </w:r>
      <w:proofErr w:type="spellStart"/>
      <w:r w:rsidRPr="00E377ED">
        <w:rPr>
          <w:sz w:val="28"/>
          <w:szCs w:val="28"/>
        </w:rPr>
        <w:t>ministrs</w:t>
      </w:r>
      <w:proofErr w:type="spellEnd"/>
      <w:r w:rsidRPr="00E377ED">
        <w:rPr>
          <w:sz w:val="28"/>
          <w:szCs w:val="28"/>
        </w:rPr>
        <w:tab/>
      </w:r>
      <w:proofErr w:type="spellStart"/>
      <w:r w:rsidR="00840FF0">
        <w:rPr>
          <w:sz w:val="28"/>
          <w:szCs w:val="28"/>
        </w:rPr>
        <w:t>R.Vējonis</w:t>
      </w:r>
      <w:proofErr w:type="spellEnd"/>
    </w:p>
    <w:p w:rsidR="00E26EF7" w:rsidRPr="00E377ED" w:rsidRDefault="00E26EF7" w:rsidP="00E26EF7">
      <w:pPr>
        <w:tabs>
          <w:tab w:val="right" w:pos="9000"/>
        </w:tabs>
        <w:jc w:val="both"/>
        <w:rPr>
          <w:sz w:val="28"/>
          <w:szCs w:val="28"/>
        </w:rPr>
      </w:pPr>
    </w:p>
    <w:p w:rsidR="00E26EF7" w:rsidRPr="00E377ED" w:rsidRDefault="00E26EF7" w:rsidP="00E26EF7">
      <w:pPr>
        <w:tabs>
          <w:tab w:val="right" w:pos="9000"/>
        </w:tabs>
        <w:jc w:val="both"/>
        <w:rPr>
          <w:sz w:val="28"/>
          <w:szCs w:val="28"/>
        </w:rPr>
      </w:pPr>
      <w:proofErr w:type="spellStart"/>
      <w:r w:rsidRPr="00E377ED">
        <w:rPr>
          <w:sz w:val="28"/>
          <w:szCs w:val="28"/>
        </w:rPr>
        <w:t>Vīza</w:t>
      </w:r>
      <w:proofErr w:type="spellEnd"/>
      <w:r w:rsidRPr="00E377ED">
        <w:rPr>
          <w:sz w:val="28"/>
          <w:szCs w:val="28"/>
        </w:rPr>
        <w:t xml:space="preserve">: </w:t>
      </w:r>
      <w:proofErr w:type="spellStart"/>
      <w:r w:rsidRPr="00E377ED">
        <w:rPr>
          <w:sz w:val="28"/>
          <w:szCs w:val="28"/>
        </w:rPr>
        <w:t>valsts</w:t>
      </w:r>
      <w:proofErr w:type="spellEnd"/>
      <w:r w:rsidRPr="00E377ED">
        <w:rPr>
          <w:sz w:val="28"/>
          <w:szCs w:val="28"/>
        </w:rPr>
        <w:t xml:space="preserve"> </w:t>
      </w:r>
      <w:proofErr w:type="spellStart"/>
      <w:r w:rsidRPr="00E377ED">
        <w:rPr>
          <w:sz w:val="28"/>
          <w:szCs w:val="28"/>
        </w:rPr>
        <w:t>sekretārs</w:t>
      </w:r>
      <w:proofErr w:type="spellEnd"/>
      <w:r w:rsidRPr="00E377ED">
        <w:rPr>
          <w:sz w:val="28"/>
          <w:szCs w:val="28"/>
        </w:rPr>
        <w:tab/>
      </w:r>
      <w:proofErr w:type="spellStart"/>
      <w:r w:rsidRPr="00E377ED">
        <w:rPr>
          <w:sz w:val="28"/>
          <w:szCs w:val="28"/>
        </w:rPr>
        <w:t>J.Sārts</w:t>
      </w:r>
      <w:proofErr w:type="spellEnd"/>
    </w:p>
    <w:p w:rsidR="00E26EF7" w:rsidRDefault="00E26EF7" w:rsidP="00E26EF7">
      <w:pPr>
        <w:tabs>
          <w:tab w:val="left" w:pos="1560"/>
        </w:tabs>
      </w:pPr>
    </w:p>
    <w:p w:rsidR="00E26EF7" w:rsidRDefault="00E26EF7" w:rsidP="00E26EF7">
      <w:pPr>
        <w:tabs>
          <w:tab w:val="left" w:pos="1560"/>
        </w:tabs>
      </w:pPr>
    </w:p>
    <w:p w:rsidR="00E26EF7" w:rsidRPr="00E377ED" w:rsidRDefault="00134B47" w:rsidP="00E26EF7">
      <w:pPr>
        <w:tabs>
          <w:tab w:val="left" w:pos="1560"/>
        </w:tabs>
      </w:pPr>
      <w:r>
        <w:t>05.08</w:t>
      </w:r>
      <w:r w:rsidR="00840FF0">
        <w:t>.2014</w:t>
      </w:r>
      <w:r w:rsidR="00E26EF7">
        <w:t>.</w:t>
      </w:r>
      <w:r w:rsidR="00E26EF7" w:rsidRPr="00E377ED">
        <w:t xml:space="preserve">   </w:t>
      </w:r>
      <w:r w:rsidR="004367B2">
        <w:t>1</w:t>
      </w:r>
      <w:r w:rsidR="004C4691">
        <w:t>4</w:t>
      </w:r>
      <w:r w:rsidR="003E6F4B">
        <w:t>:</w:t>
      </w:r>
      <w:r w:rsidR="004C4691">
        <w:t>29</w:t>
      </w:r>
      <w:bookmarkStart w:id="0" w:name="_GoBack"/>
      <w:bookmarkEnd w:id="0"/>
    </w:p>
    <w:p w:rsidR="00E26EF7" w:rsidRPr="00E377ED" w:rsidRDefault="003309E5" w:rsidP="00E26EF7">
      <w:pPr>
        <w:tabs>
          <w:tab w:val="right" w:pos="9071"/>
        </w:tabs>
      </w:pPr>
      <w:r>
        <w:t>1</w:t>
      </w:r>
      <w:r w:rsidR="004C4691">
        <w:t>684</w:t>
      </w:r>
      <w:r w:rsidR="00E26EF7">
        <w:tab/>
      </w:r>
    </w:p>
    <w:p w:rsidR="00E26EF7" w:rsidRPr="00E377ED" w:rsidRDefault="00E26EF7" w:rsidP="00E26EF7">
      <w:pPr>
        <w:pStyle w:val="Header"/>
        <w:rPr>
          <w:sz w:val="20"/>
          <w:szCs w:val="20"/>
        </w:rPr>
      </w:pPr>
      <w:r>
        <w:rPr>
          <w:sz w:val="20"/>
          <w:szCs w:val="20"/>
        </w:rPr>
        <w:t>Sanita Žogota</w:t>
      </w:r>
    </w:p>
    <w:p w:rsidR="00E26EF7" w:rsidRPr="00E377ED" w:rsidRDefault="00E26EF7" w:rsidP="00E26EF7">
      <w:pPr>
        <w:pStyle w:val="Header"/>
        <w:rPr>
          <w:sz w:val="20"/>
          <w:szCs w:val="20"/>
        </w:rPr>
      </w:pPr>
      <w:r w:rsidRPr="00E377ED">
        <w:rPr>
          <w:sz w:val="20"/>
          <w:szCs w:val="20"/>
        </w:rPr>
        <w:fldChar w:fldCharType="begin"/>
      </w:r>
      <w:r w:rsidRPr="00E377ED">
        <w:rPr>
          <w:sz w:val="20"/>
          <w:szCs w:val="20"/>
        </w:rPr>
        <w:instrText xml:space="preserve"> COMMENTS  \* MERGEFORMAT </w:instrText>
      </w:r>
      <w:r w:rsidRPr="00E377ED">
        <w:rPr>
          <w:sz w:val="20"/>
          <w:szCs w:val="20"/>
        </w:rPr>
        <w:fldChar w:fldCharType="separate"/>
      </w:r>
      <w:proofErr w:type="spellStart"/>
      <w:r w:rsidRPr="00E377ED">
        <w:rPr>
          <w:sz w:val="20"/>
          <w:szCs w:val="20"/>
        </w:rPr>
        <w:t>tālr</w:t>
      </w:r>
      <w:proofErr w:type="spellEnd"/>
      <w:r w:rsidRPr="00E377ED">
        <w:rPr>
          <w:sz w:val="20"/>
          <w:szCs w:val="20"/>
        </w:rPr>
        <w:t>.: 673352</w:t>
      </w:r>
      <w:r>
        <w:rPr>
          <w:sz w:val="20"/>
          <w:szCs w:val="20"/>
        </w:rPr>
        <w:t>83</w:t>
      </w:r>
      <w:r w:rsidRPr="00E377ED">
        <w:rPr>
          <w:sz w:val="20"/>
          <w:szCs w:val="20"/>
        </w:rPr>
        <w:t>, fakss: 67212307,</w:t>
      </w:r>
    </w:p>
    <w:p w:rsidR="00E26EF7" w:rsidRDefault="00E26EF7" w:rsidP="00E26EF7">
      <w:pPr>
        <w:tabs>
          <w:tab w:val="left" w:pos="1560"/>
        </w:tabs>
      </w:pPr>
      <w:proofErr w:type="gramStart"/>
      <w:r w:rsidRPr="00E377ED">
        <w:t>e-pasta</w:t>
      </w:r>
      <w:proofErr w:type="gramEnd"/>
      <w:r w:rsidRPr="00E377ED">
        <w:t xml:space="preserve"> </w:t>
      </w:r>
      <w:proofErr w:type="spellStart"/>
      <w:r w:rsidRPr="00E377ED">
        <w:t>adrese</w:t>
      </w:r>
      <w:proofErr w:type="spellEnd"/>
      <w:r w:rsidRPr="00E377ED">
        <w:t xml:space="preserve">: </w:t>
      </w:r>
      <w:r>
        <w:t>Sanita.Zogota</w:t>
      </w:r>
      <w:r w:rsidRPr="00E377ED">
        <w:t>@mod.gov.lv</w:t>
      </w:r>
      <w:r w:rsidRPr="00E377ED">
        <w:fldChar w:fldCharType="end"/>
      </w:r>
    </w:p>
    <w:p w:rsidR="00E26EF7" w:rsidRPr="00E4111B" w:rsidRDefault="00E26EF7" w:rsidP="00E26EF7">
      <w:pPr>
        <w:rPr>
          <w:sz w:val="22"/>
          <w:szCs w:val="22"/>
        </w:rPr>
      </w:pPr>
      <w:proofErr w:type="spellStart"/>
      <w:r w:rsidRPr="00E4111B">
        <w:rPr>
          <w:sz w:val="22"/>
          <w:szCs w:val="22"/>
        </w:rPr>
        <w:t>Inita</w:t>
      </w:r>
      <w:proofErr w:type="spellEnd"/>
      <w:r w:rsidRPr="00E4111B">
        <w:rPr>
          <w:sz w:val="22"/>
          <w:szCs w:val="22"/>
        </w:rPr>
        <w:t xml:space="preserve"> </w:t>
      </w:r>
      <w:proofErr w:type="spellStart"/>
      <w:r w:rsidRPr="00E4111B">
        <w:rPr>
          <w:sz w:val="22"/>
          <w:szCs w:val="22"/>
        </w:rPr>
        <w:t>Ruka-Kāpostiņa</w:t>
      </w:r>
      <w:proofErr w:type="spellEnd"/>
    </w:p>
    <w:p w:rsidR="00E26EF7" w:rsidRPr="00E4111B" w:rsidRDefault="00E26EF7" w:rsidP="00E26EF7">
      <w:pPr>
        <w:rPr>
          <w:sz w:val="22"/>
          <w:szCs w:val="22"/>
        </w:rPr>
      </w:pPr>
      <w:proofErr w:type="spellStart"/>
      <w:proofErr w:type="gramStart"/>
      <w:r w:rsidRPr="00E4111B">
        <w:rPr>
          <w:sz w:val="22"/>
          <w:szCs w:val="22"/>
        </w:rPr>
        <w:t>tālr</w:t>
      </w:r>
      <w:proofErr w:type="spellEnd"/>
      <w:r w:rsidRPr="00E4111B">
        <w:rPr>
          <w:sz w:val="22"/>
          <w:szCs w:val="22"/>
        </w:rPr>
        <w:t>.:</w:t>
      </w:r>
      <w:proofErr w:type="gramEnd"/>
      <w:r w:rsidRPr="00E4111B">
        <w:rPr>
          <w:sz w:val="22"/>
          <w:szCs w:val="22"/>
        </w:rPr>
        <w:t xml:space="preserve"> 67971901</w:t>
      </w:r>
    </w:p>
    <w:p w:rsidR="00E26EF7" w:rsidRPr="001329DF" w:rsidRDefault="00E26EF7" w:rsidP="00E26EF7">
      <w:pPr>
        <w:tabs>
          <w:tab w:val="left" w:pos="1560"/>
        </w:tabs>
        <w:rPr>
          <w:rStyle w:val="Hyperlink"/>
          <w:color w:val="auto"/>
          <w:sz w:val="22"/>
          <w:szCs w:val="22"/>
          <w:u w:val="none"/>
        </w:rPr>
      </w:pPr>
      <w:proofErr w:type="gramStart"/>
      <w:r w:rsidRPr="00E4111B">
        <w:rPr>
          <w:sz w:val="22"/>
          <w:szCs w:val="22"/>
        </w:rPr>
        <w:t>e-pasta</w:t>
      </w:r>
      <w:proofErr w:type="gramEnd"/>
      <w:r w:rsidRPr="00E4111B">
        <w:rPr>
          <w:sz w:val="22"/>
          <w:szCs w:val="22"/>
        </w:rPr>
        <w:t xml:space="preserve"> </w:t>
      </w:r>
      <w:proofErr w:type="spellStart"/>
      <w:r w:rsidRPr="00E4111B">
        <w:rPr>
          <w:sz w:val="22"/>
          <w:szCs w:val="22"/>
        </w:rPr>
        <w:t>adrese</w:t>
      </w:r>
      <w:proofErr w:type="spellEnd"/>
      <w:r w:rsidRPr="00E4111B">
        <w:rPr>
          <w:sz w:val="22"/>
          <w:szCs w:val="22"/>
        </w:rPr>
        <w:t xml:space="preserve">: </w:t>
      </w:r>
      <w:hyperlink r:id="rId8" w:history="1">
        <w:r w:rsidRPr="001329DF">
          <w:rPr>
            <w:rStyle w:val="Hyperlink"/>
            <w:color w:val="auto"/>
            <w:sz w:val="22"/>
            <w:szCs w:val="22"/>
            <w:u w:val="none"/>
          </w:rPr>
          <w:t>Inita.Ruka@mil.lv</w:t>
        </w:r>
      </w:hyperlink>
    </w:p>
    <w:p w:rsidR="00E26EF7" w:rsidRPr="001329DF" w:rsidRDefault="00E26EF7" w:rsidP="00E26EF7">
      <w:pPr>
        <w:tabs>
          <w:tab w:val="left" w:pos="1560"/>
        </w:tabs>
        <w:rPr>
          <w:sz w:val="22"/>
          <w:szCs w:val="22"/>
        </w:rPr>
      </w:pPr>
    </w:p>
    <w:p w:rsidR="00E26EF7" w:rsidRDefault="00E26EF7"/>
    <w:sectPr w:rsidR="00E26EF7" w:rsidSect="00E26EF7">
      <w:headerReference w:type="default" r:id="rId9"/>
      <w:footerReference w:type="default" r:id="rId10"/>
      <w:footerReference w:type="first" r:id="rId11"/>
      <w:pgSz w:w="11906" w:h="16838"/>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F7" w:rsidRDefault="00E26EF7" w:rsidP="00E26EF7">
      <w:r>
        <w:separator/>
      </w:r>
    </w:p>
  </w:endnote>
  <w:endnote w:type="continuationSeparator" w:id="0">
    <w:p w:rsidR="00E26EF7" w:rsidRDefault="00E26EF7" w:rsidP="00E2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F7" w:rsidRPr="00E26EF7" w:rsidRDefault="00E26EF7">
    <w:pPr>
      <w:pStyle w:val="Footer"/>
      <w:rPr>
        <w:sz w:val="16"/>
        <w:szCs w:val="16"/>
      </w:rPr>
    </w:pPr>
    <w:r>
      <w:rPr>
        <w:sz w:val="16"/>
        <w:szCs w:val="16"/>
      </w:rPr>
      <w:t>AIMAnot_</w:t>
    </w:r>
    <w:r w:rsidR="00134B47">
      <w:rPr>
        <w:sz w:val="16"/>
        <w:szCs w:val="16"/>
      </w:rPr>
      <w:t>0508</w:t>
    </w:r>
    <w:r w:rsidR="007E6CFB">
      <w:rPr>
        <w:sz w:val="16"/>
        <w:szCs w:val="16"/>
      </w:rPr>
      <w:t>14</w:t>
    </w:r>
    <w:r>
      <w:rPr>
        <w:sz w:val="16"/>
        <w:szCs w:val="16"/>
      </w:rPr>
      <w:t xml:space="preserve">_NBSl; </w:t>
    </w:r>
    <w:proofErr w:type="spellStart"/>
    <w:r w:rsidRPr="006D3636">
      <w:rPr>
        <w:sz w:val="16"/>
        <w:szCs w:val="16"/>
      </w:rPr>
      <w:t>Likumprojekta</w:t>
    </w:r>
    <w:proofErr w:type="spellEnd"/>
    <w:r w:rsidRPr="006D3636">
      <w:rPr>
        <w:sz w:val="16"/>
        <w:szCs w:val="16"/>
      </w:rPr>
      <w:t xml:space="preserve"> „</w:t>
    </w:r>
    <w:proofErr w:type="spellStart"/>
    <w:r w:rsidRPr="006D3636">
      <w:rPr>
        <w:sz w:val="16"/>
        <w:szCs w:val="16"/>
      </w:rPr>
      <w:t>Grozījumi</w:t>
    </w:r>
    <w:proofErr w:type="spellEnd"/>
    <w:r w:rsidRPr="006D3636">
      <w:rPr>
        <w:sz w:val="16"/>
        <w:szCs w:val="16"/>
      </w:rPr>
      <w:t xml:space="preserve"> </w:t>
    </w:r>
    <w:proofErr w:type="spellStart"/>
    <w:r w:rsidRPr="006D3636">
      <w:rPr>
        <w:sz w:val="16"/>
        <w:szCs w:val="16"/>
      </w:rPr>
      <w:t>Nacionālo</w:t>
    </w:r>
    <w:proofErr w:type="spellEnd"/>
    <w:r w:rsidRPr="006D3636">
      <w:rPr>
        <w:sz w:val="16"/>
        <w:szCs w:val="16"/>
      </w:rPr>
      <w:t xml:space="preserve"> </w:t>
    </w:r>
    <w:proofErr w:type="spellStart"/>
    <w:r w:rsidRPr="006D3636">
      <w:rPr>
        <w:sz w:val="16"/>
        <w:szCs w:val="16"/>
      </w:rPr>
      <w:t>bruņoto</w:t>
    </w:r>
    <w:proofErr w:type="spellEnd"/>
    <w:r w:rsidRPr="006D3636">
      <w:rPr>
        <w:sz w:val="16"/>
        <w:szCs w:val="16"/>
      </w:rPr>
      <w:t xml:space="preserve"> </w:t>
    </w:r>
    <w:proofErr w:type="spellStart"/>
    <w:r w:rsidRPr="006D3636">
      <w:rPr>
        <w:sz w:val="16"/>
        <w:szCs w:val="16"/>
      </w:rPr>
      <w:t>spēku</w:t>
    </w:r>
    <w:proofErr w:type="spellEnd"/>
    <w:r w:rsidRPr="006D3636">
      <w:rPr>
        <w:sz w:val="16"/>
        <w:szCs w:val="16"/>
      </w:rPr>
      <w:t xml:space="preserve"> </w:t>
    </w:r>
    <w:proofErr w:type="spellStart"/>
    <w:r w:rsidRPr="006D3636">
      <w:rPr>
        <w:sz w:val="16"/>
        <w:szCs w:val="16"/>
      </w:rPr>
      <w:t>likumā</w:t>
    </w:r>
    <w:proofErr w:type="spellEnd"/>
    <w:r w:rsidRPr="006D3636">
      <w:rPr>
        <w:sz w:val="16"/>
        <w:szCs w:val="16"/>
      </w:rPr>
      <w:t xml:space="preserve">” </w:t>
    </w:r>
    <w:proofErr w:type="spellStart"/>
    <w:r w:rsidRPr="006D3636">
      <w:rPr>
        <w:sz w:val="16"/>
        <w:szCs w:val="16"/>
      </w:rPr>
      <w:t>sākotnējās</w:t>
    </w:r>
    <w:proofErr w:type="spellEnd"/>
    <w:r w:rsidRPr="006D3636">
      <w:rPr>
        <w:sz w:val="16"/>
        <w:szCs w:val="16"/>
      </w:rPr>
      <w:t xml:space="preserve"> </w:t>
    </w:r>
    <w:proofErr w:type="spellStart"/>
    <w:r w:rsidRPr="006D3636">
      <w:rPr>
        <w:sz w:val="16"/>
        <w:szCs w:val="16"/>
      </w:rPr>
      <w:t>ietekmes</w:t>
    </w:r>
    <w:proofErr w:type="spellEnd"/>
    <w:r w:rsidRPr="006D3636">
      <w:rPr>
        <w:sz w:val="16"/>
        <w:szCs w:val="16"/>
      </w:rPr>
      <w:t xml:space="preserve"> </w:t>
    </w:r>
    <w:proofErr w:type="spellStart"/>
    <w:r w:rsidRPr="006D3636">
      <w:rPr>
        <w:sz w:val="16"/>
        <w:szCs w:val="16"/>
      </w:rPr>
      <w:t>novērtējuma</w:t>
    </w:r>
    <w:proofErr w:type="spellEnd"/>
    <w:r w:rsidRPr="006D3636">
      <w:rPr>
        <w:sz w:val="16"/>
        <w:szCs w:val="16"/>
      </w:rPr>
      <w:t xml:space="preserve"> </w:t>
    </w:r>
    <w:proofErr w:type="spellStart"/>
    <w:smartTag w:uri="schemas-tilde-lv/tildestengine" w:element="veidnes">
      <w:smartTagPr>
        <w:attr w:name="id" w:val="-1"/>
        <w:attr w:name="baseform" w:val="ziņojums"/>
        <w:attr w:name="text" w:val="ziņojums"/>
      </w:smartTagPr>
      <w:r w:rsidRPr="006D3636">
        <w:rPr>
          <w:sz w:val="16"/>
          <w:szCs w:val="16"/>
        </w:rPr>
        <w:t>ziņojums</w:t>
      </w:r>
    </w:smartTag>
    <w:proofErr w:type="spellEnd"/>
    <w:r w:rsidRPr="006D3636">
      <w:rPr>
        <w:sz w:val="16"/>
        <w:szCs w:val="16"/>
      </w:rPr>
      <w:t xml:space="preserve"> (</w:t>
    </w:r>
    <w:proofErr w:type="spellStart"/>
    <w:r w:rsidRPr="006D3636">
      <w:rPr>
        <w:sz w:val="16"/>
        <w:szCs w:val="16"/>
      </w:rPr>
      <w:t>anotācija</w:t>
    </w:r>
    <w:proofErr w:type="spellEnd"/>
    <w:r w:rsidRPr="006D3636">
      <w:rPr>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EF7" w:rsidRPr="00E26EF7" w:rsidRDefault="00E26EF7">
    <w:pPr>
      <w:pStyle w:val="Footer"/>
      <w:rPr>
        <w:sz w:val="16"/>
        <w:szCs w:val="16"/>
      </w:rPr>
    </w:pPr>
    <w:r>
      <w:rPr>
        <w:sz w:val="16"/>
        <w:szCs w:val="16"/>
      </w:rPr>
      <w:t>AIMAnot_</w:t>
    </w:r>
    <w:r w:rsidR="00134B47">
      <w:rPr>
        <w:sz w:val="16"/>
        <w:szCs w:val="16"/>
      </w:rPr>
      <w:t>0508</w:t>
    </w:r>
    <w:r w:rsidR="007E6CFB">
      <w:rPr>
        <w:sz w:val="16"/>
        <w:szCs w:val="16"/>
      </w:rPr>
      <w:t>14</w:t>
    </w:r>
    <w:r>
      <w:rPr>
        <w:sz w:val="16"/>
        <w:szCs w:val="16"/>
      </w:rPr>
      <w:t xml:space="preserve">_NBSl; </w:t>
    </w:r>
    <w:proofErr w:type="spellStart"/>
    <w:r w:rsidRPr="006D3636">
      <w:rPr>
        <w:sz w:val="16"/>
        <w:szCs w:val="16"/>
      </w:rPr>
      <w:t>Likumprojekta</w:t>
    </w:r>
    <w:proofErr w:type="spellEnd"/>
    <w:r w:rsidRPr="006D3636">
      <w:rPr>
        <w:sz w:val="16"/>
        <w:szCs w:val="16"/>
      </w:rPr>
      <w:t xml:space="preserve"> „</w:t>
    </w:r>
    <w:proofErr w:type="spellStart"/>
    <w:r w:rsidRPr="006D3636">
      <w:rPr>
        <w:sz w:val="16"/>
        <w:szCs w:val="16"/>
      </w:rPr>
      <w:t>Grozījumi</w:t>
    </w:r>
    <w:proofErr w:type="spellEnd"/>
    <w:r w:rsidRPr="006D3636">
      <w:rPr>
        <w:sz w:val="16"/>
        <w:szCs w:val="16"/>
      </w:rPr>
      <w:t xml:space="preserve"> </w:t>
    </w:r>
    <w:proofErr w:type="spellStart"/>
    <w:r w:rsidRPr="006D3636">
      <w:rPr>
        <w:sz w:val="16"/>
        <w:szCs w:val="16"/>
      </w:rPr>
      <w:t>Nacionālo</w:t>
    </w:r>
    <w:proofErr w:type="spellEnd"/>
    <w:r w:rsidRPr="006D3636">
      <w:rPr>
        <w:sz w:val="16"/>
        <w:szCs w:val="16"/>
      </w:rPr>
      <w:t xml:space="preserve"> </w:t>
    </w:r>
    <w:proofErr w:type="spellStart"/>
    <w:r w:rsidRPr="006D3636">
      <w:rPr>
        <w:sz w:val="16"/>
        <w:szCs w:val="16"/>
      </w:rPr>
      <w:t>bruņoto</w:t>
    </w:r>
    <w:proofErr w:type="spellEnd"/>
    <w:r w:rsidRPr="006D3636">
      <w:rPr>
        <w:sz w:val="16"/>
        <w:szCs w:val="16"/>
      </w:rPr>
      <w:t xml:space="preserve"> </w:t>
    </w:r>
    <w:proofErr w:type="spellStart"/>
    <w:r w:rsidRPr="006D3636">
      <w:rPr>
        <w:sz w:val="16"/>
        <w:szCs w:val="16"/>
      </w:rPr>
      <w:t>spēku</w:t>
    </w:r>
    <w:proofErr w:type="spellEnd"/>
    <w:r w:rsidRPr="006D3636">
      <w:rPr>
        <w:sz w:val="16"/>
        <w:szCs w:val="16"/>
      </w:rPr>
      <w:t xml:space="preserve"> </w:t>
    </w:r>
    <w:proofErr w:type="spellStart"/>
    <w:r w:rsidRPr="006D3636">
      <w:rPr>
        <w:sz w:val="16"/>
        <w:szCs w:val="16"/>
      </w:rPr>
      <w:t>likumā</w:t>
    </w:r>
    <w:proofErr w:type="spellEnd"/>
    <w:r w:rsidRPr="006D3636">
      <w:rPr>
        <w:sz w:val="16"/>
        <w:szCs w:val="16"/>
      </w:rPr>
      <w:t xml:space="preserve">” </w:t>
    </w:r>
    <w:proofErr w:type="spellStart"/>
    <w:r w:rsidRPr="006D3636">
      <w:rPr>
        <w:sz w:val="16"/>
        <w:szCs w:val="16"/>
      </w:rPr>
      <w:t>sākotnējās</w:t>
    </w:r>
    <w:proofErr w:type="spellEnd"/>
    <w:r w:rsidRPr="006D3636">
      <w:rPr>
        <w:sz w:val="16"/>
        <w:szCs w:val="16"/>
      </w:rPr>
      <w:t xml:space="preserve"> </w:t>
    </w:r>
    <w:proofErr w:type="spellStart"/>
    <w:r w:rsidRPr="006D3636">
      <w:rPr>
        <w:sz w:val="16"/>
        <w:szCs w:val="16"/>
      </w:rPr>
      <w:t>ietekmes</w:t>
    </w:r>
    <w:proofErr w:type="spellEnd"/>
    <w:r w:rsidRPr="006D3636">
      <w:rPr>
        <w:sz w:val="16"/>
        <w:szCs w:val="16"/>
      </w:rPr>
      <w:t xml:space="preserve"> </w:t>
    </w:r>
    <w:proofErr w:type="spellStart"/>
    <w:r w:rsidRPr="006D3636">
      <w:rPr>
        <w:sz w:val="16"/>
        <w:szCs w:val="16"/>
      </w:rPr>
      <w:t>novērtējuma</w:t>
    </w:r>
    <w:proofErr w:type="spellEnd"/>
    <w:r w:rsidRPr="006D3636">
      <w:rPr>
        <w:sz w:val="16"/>
        <w:szCs w:val="16"/>
      </w:rPr>
      <w:t xml:space="preserve"> </w:t>
    </w:r>
    <w:proofErr w:type="spellStart"/>
    <w:smartTag w:uri="schemas-tilde-lv/tildestengine" w:element="veidnes">
      <w:smartTagPr>
        <w:attr w:name="id" w:val="-1"/>
        <w:attr w:name="baseform" w:val="ziņojums"/>
        <w:attr w:name="text" w:val="ziņojums"/>
      </w:smartTagPr>
      <w:r w:rsidRPr="006D3636">
        <w:rPr>
          <w:sz w:val="16"/>
          <w:szCs w:val="16"/>
        </w:rPr>
        <w:t>ziņojums</w:t>
      </w:r>
    </w:smartTag>
    <w:proofErr w:type="spellEnd"/>
    <w:r w:rsidRPr="006D3636">
      <w:rPr>
        <w:sz w:val="16"/>
        <w:szCs w:val="16"/>
      </w:rPr>
      <w:t xml:space="preserve"> (</w:t>
    </w:r>
    <w:proofErr w:type="spellStart"/>
    <w:r w:rsidRPr="006D3636">
      <w:rPr>
        <w:sz w:val="16"/>
        <w:szCs w:val="16"/>
      </w:rPr>
      <w:t>anotācija</w:t>
    </w:r>
    <w:proofErr w:type="spellEnd"/>
    <w:r w:rsidRPr="006D3636">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F7" w:rsidRDefault="00E26EF7" w:rsidP="00E26EF7">
      <w:r>
        <w:separator/>
      </w:r>
    </w:p>
  </w:footnote>
  <w:footnote w:type="continuationSeparator" w:id="0">
    <w:p w:rsidR="00E26EF7" w:rsidRDefault="00E26EF7" w:rsidP="00E2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323684"/>
      <w:docPartObj>
        <w:docPartGallery w:val="Page Numbers (Top of Page)"/>
        <w:docPartUnique/>
      </w:docPartObj>
    </w:sdtPr>
    <w:sdtEndPr>
      <w:rPr>
        <w:noProof/>
      </w:rPr>
    </w:sdtEndPr>
    <w:sdtContent>
      <w:p w:rsidR="00E26EF7" w:rsidRDefault="00E26EF7">
        <w:pPr>
          <w:pStyle w:val="Header"/>
          <w:jc w:val="center"/>
        </w:pPr>
        <w:r>
          <w:fldChar w:fldCharType="begin"/>
        </w:r>
        <w:r>
          <w:instrText xml:space="preserve"> PAGE   \* MERGEFORMAT </w:instrText>
        </w:r>
        <w:r>
          <w:fldChar w:fldCharType="separate"/>
        </w:r>
        <w:r w:rsidR="004C4691">
          <w:rPr>
            <w:noProof/>
          </w:rPr>
          <w:t>6</w:t>
        </w:r>
        <w:r>
          <w:rPr>
            <w:noProof/>
          </w:rPr>
          <w:fldChar w:fldCharType="end"/>
        </w:r>
      </w:p>
    </w:sdtContent>
  </w:sdt>
  <w:p w:rsidR="00E26EF7" w:rsidRDefault="00E26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EB"/>
    <w:rsid w:val="00004AF9"/>
    <w:rsid w:val="0008629F"/>
    <w:rsid w:val="000A794A"/>
    <w:rsid w:val="000E3449"/>
    <w:rsid w:val="000F2189"/>
    <w:rsid w:val="001311CA"/>
    <w:rsid w:val="001329DF"/>
    <w:rsid w:val="00134B47"/>
    <w:rsid w:val="001B1C00"/>
    <w:rsid w:val="001C25DB"/>
    <w:rsid w:val="0026236D"/>
    <w:rsid w:val="00304507"/>
    <w:rsid w:val="003238BD"/>
    <w:rsid w:val="003309E5"/>
    <w:rsid w:val="00382AEB"/>
    <w:rsid w:val="003A6DC4"/>
    <w:rsid w:val="003E6F4B"/>
    <w:rsid w:val="00403408"/>
    <w:rsid w:val="004367B2"/>
    <w:rsid w:val="00481816"/>
    <w:rsid w:val="004C4691"/>
    <w:rsid w:val="004D3EC5"/>
    <w:rsid w:val="004E3EB2"/>
    <w:rsid w:val="005F54DA"/>
    <w:rsid w:val="00674528"/>
    <w:rsid w:val="00726C0D"/>
    <w:rsid w:val="007528B6"/>
    <w:rsid w:val="007635F3"/>
    <w:rsid w:val="0077100E"/>
    <w:rsid w:val="007E6CFB"/>
    <w:rsid w:val="008130F6"/>
    <w:rsid w:val="00840FF0"/>
    <w:rsid w:val="008804EF"/>
    <w:rsid w:val="008A3A38"/>
    <w:rsid w:val="00961EAA"/>
    <w:rsid w:val="009A48D6"/>
    <w:rsid w:val="00A15ABA"/>
    <w:rsid w:val="00A41D06"/>
    <w:rsid w:val="00A566A0"/>
    <w:rsid w:val="00A735D8"/>
    <w:rsid w:val="00AD22FA"/>
    <w:rsid w:val="00AF3AC3"/>
    <w:rsid w:val="00AF510F"/>
    <w:rsid w:val="00B12AAC"/>
    <w:rsid w:val="00C424D9"/>
    <w:rsid w:val="00C729FB"/>
    <w:rsid w:val="00CC3333"/>
    <w:rsid w:val="00D96EA6"/>
    <w:rsid w:val="00DF386D"/>
    <w:rsid w:val="00E26EF7"/>
    <w:rsid w:val="00ED6874"/>
    <w:rsid w:val="00F22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403408"/>
    <w:pPr>
      <w:spacing w:before="75" w:after="75"/>
    </w:pPr>
    <w:rPr>
      <w:rFonts w:cs="Times New Roman"/>
      <w:sz w:val="24"/>
      <w:szCs w:val="24"/>
      <w:lang w:val="lv-LV" w:eastAsia="lv-LV" w:bidi="ar-SA"/>
    </w:rPr>
  </w:style>
  <w:style w:type="paragraph" w:styleId="ListParagraph">
    <w:name w:val="List Paragraph"/>
    <w:basedOn w:val="Normal"/>
    <w:uiPriority w:val="34"/>
    <w:qFormat/>
    <w:rsid w:val="00DF386D"/>
    <w:pPr>
      <w:ind w:left="720"/>
      <w:contextualSpacing/>
    </w:pPr>
  </w:style>
  <w:style w:type="paragraph" w:styleId="Header">
    <w:name w:val="header"/>
    <w:basedOn w:val="Normal"/>
    <w:link w:val="HeaderChar"/>
    <w:rsid w:val="00E26EF7"/>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E26EF7"/>
    <w:rPr>
      <w:sz w:val="24"/>
      <w:szCs w:val="24"/>
    </w:rPr>
  </w:style>
  <w:style w:type="character" w:styleId="Hyperlink">
    <w:name w:val="Hyperlink"/>
    <w:rsid w:val="00E26EF7"/>
    <w:rPr>
      <w:color w:val="0000FF"/>
      <w:u w:val="single"/>
    </w:rPr>
  </w:style>
  <w:style w:type="paragraph" w:styleId="Footer">
    <w:name w:val="footer"/>
    <w:basedOn w:val="Normal"/>
    <w:link w:val="FooterChar"/>
    <w:rsid w:val="00E26EF7"/>
    <w:pPr>
      <w:tabs>
        <w:tab w:val="center" w:pos="4153"/>
        <w:tab w:val="right" w:pos="8306"/>
      </w:tabs>
    </w:pPr>
  </w:style>
  <w:style w:type="character" w:customStyle="1" w:styleId="FooterChar">
    <w:name w:val="Footer Char"/>
    <w:basedOn w:val="DefaultParagraphFont"/>
    <w:link w:val="Footer"/>
    <w:rsid w:val="00E26EF7"/>
    <w:rPr>
      <w:rFonts w:cs="Arial Unicode M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403408"/>
    <w:pPr>
      <w:spacing w:before="75" w:after="75"/>
    </w:pPr>
    <w:rPr>
      <w:rFonts w:cs="Times New Roman"/>
      <w:sz w:val="24"/>
      <w:szCs w:val="24"/>
      <w:lang w:val="lv-LV" w:eastAsia="lv-LV" w:bidi="ar-SA"/>
    </w:rPr>
  </w:style>
  <w:style w:type="paragraph" w:styleId="ListParagraph">
    <w:name w:val="List Paragraph"/>
    <w:basedOn w:val="Normal"/>
    <w:uiPriority w:val="34"/>
    <w:qFormat/>
    <w:rsid w:val="00DF386D"/>
    <w:pPr>
      <w:ind w:left="720"/>
      <w:contextualSpacing/>
    </w:pPr>
  </w:style>
  <w:style w:type="paragraph" w:styleId="Header">
    <w:name w:val="header"/>
    <w:basedOn w:val="Normal"/>
    <w:link w:val="HeaderChar"/>
    <w:rsid w:val="00E26EF7"/>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E26EF7"/>
    <w:rPr>
      <w:sz w:val="24"/>
      <w:szCs w:val="24"/>
    </w:rPr>
  </w:style>
  <w:style w:type="character" w:styleId="Hyperlink">
    <w:name w:val="Hyperlink"/>
    <w:rsid w:val="00E26EF7"/>
    <w:rPr>
      <w:color w:val="0000FF"/>
      <w:u w:val="single"/>
    </w:rPr>
  </w:style>
  <w:style w:type="paragraph" w:styleId="Footer">
    <w:name w:val="footer"/>
    <w:basedOn w:val="Normal"/>
    <w:link w:val="FooterChar"/>
    <w:rsid w:val="00E26EF7"/>
    <w:pPr>
      <w:tabs>
        <w:tab w:val="center" w:pos="4153"/>
        <w:tab w:val="right" w:pos="8306"/>
      </w:tabs>
    </w:pPr>
  </w:style>
  <w:style w:type="character" w:customStyle="1" w:styleId="FooterChar">
    <w:name w:val="Footer Char"/>
    <w:basedOn w:val="DefaultParagraphFont"/>
    <w:link w:val="Footer"/>
    <w:rsid w:val="00E26EF7"/>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473659">
      <w:bodyDiv w:val="1"/>
      <w:marLeft w:val="0"/>
      <w:marRight w:val="0"/>
      <w:marTop w:val="0"/>
      <w:marBottom w:val="0"/>
      <w:divBdr>
        <w:top w:val="none" w:sz="0" w:space="0" w:color="auto"/>
        <w:left w:val="none" w:sz="0" w:space="0" w:color="auto"/>
        <w:bottom w:val="none" w:sz="0" w:space="0" w:color="auto"/>
        <w:right w:val="none" w:sz="0" w:space="0" w:color="auto"/>
      </w:divBdr>
      <w:divsChild>
        <w:div w:id="1401637360">
          <w:marLeft w:val="0"/>
          <w:marRight w:val="0"/>
          <w:marTop w:val="400"/>
          <w:marBottom w:val="0"/>
          <w:divBdr>
            <w:top w:val="none" w:sz="0" w:space="0" w:color="auto"/>
            <w:left w:val="none" w:sz="0" w:space="0" w:color="auto"/>
            <w:bottom w:val="none" w:sz="0" w:space="0" w:color="auto"/>
            <w:right w:val="none" w:sz="0" w:space="0" w:color="auto"/>
          </w:divBdr>
        </w:div>
        <w:div w:id="17777461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Ruka@mil.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0DAF6-91B1-43E6-9784-D8CB563E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14AB0658.dotm</Template>
  <TotalTime>561</TotalTime>
  <Pages>6</Pages>
  <Words>1684</Words>
  <Characters>12239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likumprojekts "Grozījumi Nacionālo bruņoto spēku likumā"</vt:lpstr>
    </vt:vector>
  </TitlesOfParts>
  <Manager>Juridiskais departaments</Manager>
  <Company>AM</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Nacionālo bruņoto spēku likumā"</dc:title>
  <dc:subject>Anotācija</dc:subject>
  <dc:creator>Sanita Žogota</dc:creator>
  <dc:description>Sanita.Zogota@mod.gov.lv_x000d_
tālr.:67335283</dc:description>
  <cp:lastModifiedBy>Sanita Žogota</cp:lastModifiedBy>
  <cp:revision>25</cp:revision>
  <dcterms:created xsi:type="dcterms:W3CDTF">2013-12-12T08:39:00Z</dcterms:created>
  <dcterms:modified xsi:type="dcterms:W3CDTF">2014-08-05T11:29:00Z</dcterms:modified>
</cp:coreProperties>
</file>