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A" w:rsidRPr="006E1657" w:rsidRDefault="00CD135A" w:rsidP="00CD135A">
      <w:pPr>
        <w:jc w:val="center"/>
        <w:rPr>
          <w:rFonts w:cs="Times New Roman"/>
          <w:b/>
          <w:sz w:val="28"/>
          <w:szCs w:val="28"/>
          <w:lang w:eastAsia="lv-LV" w:bidi="ar-SA"/>
        </w:rPr>
      </w:pPr>
      <w:bookmarkStart w:id="0" w:name="468683"/>
      <w:bookmarkEnd w:id="0"/>
      <w:r w:rsidRPr="006E1657">
        <w:rPr>
          <w:rFonts w:cs="Times New Roman"/>
          <w:b/>
          <w:sz w:val="28"/>
          <w:szCs w:val="28"/>
          <w:lang w:eastAsia="lv-LV" w:bidi="ar-SA"/>
        </w:rPr>
        <w:t>Ministru kabineta noteikumu</w:t>
      </w:r>
      <w:r w:rsidRPr="006E1657">
        <w:rPr>
          <w:b/>
          <w:bCs/>
          <w:sz w:val="28"/>
          <w:szCs w:val="28"/>
        </w:rPr>
        <w:t xml:space="preserve"> projekta</w:t>
      </w:r>
    </w:p>
    <w:p w:rsidR="00226001" w:rsidRPr="006E1657" w:rsidRDefault="00CD135A" w:rsidP="00CD135A">
      <w:pPr>
        <w:jc w:val="center"/>
        <w:rPr>
          <w:rFonts w:cs="Times New Roman"/>
          <w:b/>
          <w:sz w:val="28"/>
          <w:szCs w:val="28"/>
          <w:lang w:eastAsia="lv-LV" w:bidi="ar-SA"/>
        </w:rPr>
      </w:pPr>
      <w:r w:rsidRPr="006E1657">
        <w:rPr>
          <w:rFonts w:cs="Times New Roman"/>
          <w:b/>
          <w:sz w:val="28"/>
          <w:szCs w:val="28"/>
          <w:lang w:eastAsia="lv-LV" w:bidi="ar-SA"/>
        </w:rPr>
        <w:t>„</w:t>
      </w:r>
      <w:r w:rsidR="00965EEB">
        <w:rPr>
          <w:rFonts w:cs="Times New Roman"/>
          <w:b/>
          <w:sz w:val="28"/>
          <w:szCs w:val="28"/>
          <w:lang w:eastAsia="lv-LV" w:bidi="ar-SA"/>
        </w:rPr>
        <w:t>Grozījums Ministru kabineta 2014.gada 26.augusta noteikumos Nr.509</w:t>
      </w:r>
      <w:r w:rsidRPr="006E1657">
        <w:rPr>
          <w:rFonts w:cs="Times New Roman"/>
          <w:b/>
          <w:sz w:val="28"/>
          <w:szCs w:val="28"/>
          <w:lang w:eastAsia="lv-LV" w:bidi="ar-SA"/>
        </w:rPr>
        <w:t xml:space="preserve"> </w:t>
      </w:r>
      <w:r w:rsidR="00965EEB">
        <w:rPr>
          <w:rFonts w:cs="Times New Roman"/>
          <w:b/>
          <w:sz w:val="28"/>
          <w:szCs w:val="28"/>
          <w:lang w:eastAsia="lv-LV" w:bidi="ar-SA"/>
        </w:rPr>
        <w:t xml:space="preserve">„Noteikumi </w:t>
      </w:r>
      <w:r w:rsidRPr="006E1657">
        <w:rPr>
          <w:rFonts w:cs="Times New Roman"/>
          <w:b/>
          <w:sz w:val="28"/>
          <w:szCs w:val="28"/>
          <w:lang w:eastAsia="lv-LV" w:bidi="ar-SA"/>
        </w:rPr>
        <w:t>p</w:t>
      </w:r>
      <w:r w:rsidRPr="006E1657">
        <w:rPr>
          <w:rFonts w:cs="Times New Roman"/>
          <w:b/>
          <w:bCs/>
          <w:sz w:val="28"/>
          <w:szCs w:val="28"/>
          <w:lang w:eastAsia="lv-LV" w:bidi="ar-SA"/>
        </w:rPr>
        <w:t>ar karavīra mēnešalgas un speciālo piemaksu noteikšanas kārtību un to apmēru</w:t>
      </w:r>
      <w:r w:rsidRPr="006E1657">
        <w:rPr>
          <w:rFonts w:cs="Times New Roman"/>
          <w:b/>
          <w:sz w:val="28"/>
          <w:szCs w:val="28"/>
          <w:lang w:eastAsia="lv-LV" w:bidi="ar-SA"/>
        </w:rPr>
        <w:t>”</w:t>
      </w:r>
      <w:r w:rsidRPr="006E1657">
        <w:rPr>
          <w:b/>
          <w:bCs/>
          <w:sz w:val="28"/>
          <w:szCs w:val="28"/>
        </w:rPr>
        <w:t xml:space="preserve"> </w:t>
      </w:r>
      <w:r w:rsidR="00226001" w:rsidRPr="006E1657">
        <w:rPr>
          <w:b/>
          <w:bCs/>
          <w:sz w:val="28"/>
          <w:szCs w:val="28"/>
        </w:rPr>
        <w:t>sākotnējās ietekmes novērtējuma ziņojums (anotācija)</w:t>
      </w:r>
    </w:p>
    <w:p w:rsidR="00226001" w:rsidRPr="006E1657" w:rsidRDefault="00226001" w:rsidP="00226001">
      <w:pPr>
        <w:rPr>
          <w:iCs/>
          <w:color w:val="FF0000"/>
        </w:rPr>
      </w:pPr>
    </w:p>
    <w:tbl>
      <w:tblPr>
        <w:tblW w:w="5365"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513"/>
        <w:gridCol w:w="5859"/>
      </w:tblGrid>
      <w:tr w:rsidR="007C1053" w:rsidRPr="006E1657" w:rsidTr="00055AF4">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6E1657" w:rsidRDefault="00226001" w:rsidP="00226001">
            <w:pPr>
              <w:rPr>
                <w:b/>
                <w:bCs/>
                <w:sz w:val="28"/>
                <w:szCs w:val="28"/>
              </w:rPr>
            </w:pPr>
            <w:r w:rsidRPr="006E1657">
              <w:rPr>
                <w:b/>
                <w:bCs/>
                <w:sz w:val="28"/>
                <w:szCs w:val="28"/>
              </w:rPr>
              <w:t>I. Tiesību akta projekta izstrādes nepieciešamība</w:t>
            </w:r>
          </w:p>
        </w:tc>
      </w:tr>
      <w:tr w:rsidR="007C1053" w:rsidRPr="006E1657" w:rsidTr="00055AF4">
        <w:trPr>
          <w:trHeight w:val="40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1.</w:t>
            </w:r>
          </w:p>
        </w:tc>
        <w:tc>
          <w:tcPr>
            <w:tcW w:w="1377" w:type="pct"/>
            <w:tcBorders>
              <w:top w:val="outset" w:sz="6" w:space="0" w:color="auto"/>
              <w:left w:val="outset" w:sz="6" w:space="0" w:color="auto"/>
              <w:bottom w:val="outset" w:sz="6" w:space="0" w:color="auto"/>
              <w:right w:val="outset" w:sz="6" w:space="0" w:color="auto"/>
            </w:tcBorders>
            <w:hideMark/>
          </w:tcPr>
          <w:p w:rsidR="00055AF4" w:rsidRPr="006E1657" w:rsidRDefault="00226001" w:rsidP="00226001">
            <w:pPr>
              <w:rPr>
                <w:sz w:val="28"/>
                <w:szCs w:val="28"/>
              </w:rPr>
            </w:pPr>
            <w:r w:rsidRPr="006E1657">
              <w:rPr>
                <w:sz w:val="28"/>
                <w:szCs w:val="28"/>
              </w:rPr>
              <w:t>Pamatojums</w:t>
            </w:r>
          </w:p>
          <w:p w:rsidR="00226001" w:rsidRPr="006E1657" w:rsidRDefault="00226001" w:rsidP="00055AF4">
            <w:pPr>
              <w:jc w:val="center"/>
              <w:rPr>
                <w:sz w:val="28"/>
                <w:szCs w:val="28"/>
              </w:rPr>
            </w:pPr>
          </w:p>
        </w:tc>
        <w:tc>
          <w:tcPr>
            <w:tcW w:w="3193" w:type="pct"/>
            <w:tcBorders>
              <w:top w:val="outset" w:sz="6" w:space="0" w:color="auto"/>
              <w:left w:val="outset" w:sz="6" w:space="0" w:color="auto"/>
              <w:bottom w:val="outset" w:sz="6" w:space="0" w:color="auto"/>
              <w:right w:val="outset" w:sz="6" w:space="0" w:color="auto"/>
            </w:tcBorders>
            <w:hideMark/>
          </w:tcPr>
          <w:p w:rsidR="00C664B0" w:rsidRDefault="00C664B0" w:rsidP="00C664B0">
            <w:pPr>
              <w:pStyle w:val="ListParagraph"/>
              <w:numPr>
                <w:ilvl w:val="0"/>
                <w:numId w:val="5"/>
              </w:numPr>
              <w:spacing w:before="240"/>
              <w:ind w:left="412" w:hanging="283"/>
              <w:jc w:val="both"/>
              <w:rPr>
                <w:sz w:val="28"/>
                <w:szCs w:val="28"/>
              </w:rPr>
            </w:pPr>
            <w:r w:rsidRPr="005A70AA">
              <w:rPr>
                <w:sz w:val="28"/>
                <w:szCs w:val="28"/>
              </w:rPr>
              <w:t>Ministru kabineta 2014.gada 10.novembra sēdes protokola Nr.61 2</w:t>
            </w:r>
            <w:r>
              <w:rPr>
                <w:sz w:val="28"/>
                <w:szCs w:val="28"/>
              </w:rPr>
              <w:t>8</w:t>
            </w:r>
            <w:r w:rsidRPr="005A70AA">
              <w:rPr>
                <w:sz w:val="28"/>
                <w:szCs w:val="28"/>
              </w:rPr>
              <w:t xml:space="preserve">.§ </w:t>
            </w:r>
            <w:r>
              <w:rPr>
                <w:sz w:val="28"/>
                <w:szCs w:val="28"/>
              </w:rPr>
              <w:t>35</w:t>
            </w:r>
            <w:r w:rsidRPr="005A70AA">
              <w:rPr>
                <w:sz w:val="28"/>
                <w:szCs w:val="28"/>
              </w:rPr>
              <w:t>.punkts</w:t>
            </w:r>
            <w:r>
              <w:rPr>
                <w:sz w:val="28"/>
                <w:szCs w:val="28"/>
              </w:rPr>
              <w:t>, kas paredz, ka sakarā ar minimālās algas pieaugumu tiek koriģētas ministriju un padotības iestāžu mēnešalgu skalas minimālās robežas, palielinot tās par 40 EUR;</w:t>
            </w:r>
          </w:p>
          <w:p w:rsidR="00C664B0" w:rsidRDefault="00C664B0" w:rsidP="005A70AA">
            <w:pPr>
              <w:pStyle w:val="ListParagraph"/>
              <w:numPr>
                <w:ilvl w:val="0"/>
                <w:numId w:val="5"/>
              </w:numPr>
              <w:spacing w:before="240"/>
              <w:ind w:left="412" w:hanging="283"/>
              <w:jc w:val="both"/>
              <w:rPr>
                <w:sz w:val="28"/>
                <w:szCs w:val="28"/>
              </w:rPr>
            </w:pPr>
            <w:r w:rsidRPr="005A70AA">
              <w:rPr>
                <w:sz w:val="28"/>
                <w:szCs w:val="28"/>
              </w:rPr>
              <w:t xml:space="preserve">Ministru kabineta 2014.gada </w:t>
            </w:r>
            <w:r>
              <w:rPr>
                <w:sz w:val="28"/>
                <w:szCs w:val="28"/>
              </w:rPr>
              <w:t>12</w:t>
            </w:r>
            <w:r w:rsidRPr="005A70AA">
              <w:rPr>
                <w:sz w:val="28"/>
                <w:szCs w:val="28"/>
              </w:rPr>
              <w:t>.novembra sēdes protokola Nr.6</w:t>
            </w:r>
            <w:r>
              <w:rPr>
                <w:sz w:val="28"/>
                <w:szCs w:val="28"/>
              </w:rPr>
              <w:t>2</w:t>
            </w:r>
            <w:r w:rsidRPr="005A70AA">
              <w:rPr>
                <w:sz w:val="28"/>
                <w:szCs w:val="28"/>
              </w:rPr>
              <w:t xml:space="preserve"> 2.§ </w:t>
            </w:r>
            <w:r>
              <w:rPr>
                <w:sz w:val="28"/>
                <w:szCs w:val="28"/>
              </w:rPr>
              <w:t>6</w:t>
            </w:r>
            <w:r w:rsidRPr="005A70AA">
              <w:rPr>
                <w:sz w:val="28"/>
                <w:szCs w:val="28"/>
              </w:rPr>
              <w:t>.punkts</w:t>
            </w:r>
            <w:r>
              <w:rPr>
                <w:sz w:val="28"/>
                <w:szCs w:val="28"/>
              </w:rPr>
              <w:t>, kas nosaka Aizsardzības ministrijai pārskatīt karavīru atlīdzības skalu un izdevumus atlīdzībai karavīriem 2015. un turpmākajiem gadiem Aizsardzības ministrijai piešķirto valsts budžeta līdzekļu ietvaros;</w:t>
            </w:r>
          </w:p>
          <w:p w:rsidR="005A70AA" w:rsidRPr="00C664B0" w:rsidRDefault="005A70AA" w:rsidP="00C664B0">
            <w:pPr>
              <w:pStyle w:val="ListParagraph"/>
              <w:numPr>
                <w:ilvl w:val="0"/>
                <w:numId w:val="5"/>
              </w:numPr>
              <w:spacing w:before="240"/>
              <w:ind w:left="412" w:hanging="283"/>
              <w:jc w:val="both"/>
              <w:rPr>
                <w:sz w:val="28"/>
                <w:szCs w:val="28"/>
              </w:rPr>
            </w:pPr>
            <w:r w:rsidRPr="005A70AA">
              <w:rPr>
                <w:sz w:val="28"/>
                <w:szCs w:val="28"/>
              </w:rPr>
              <w:t xml:space="preserve">Ministru kabineta 2014.gada 10.novembra sēdes protokola Nr.61 27.§ 2.punkts, kas paredz noteikt finansējumu valsts aizsardzībai 2015.gadam ne mazāku kā 1,0 procentu no attiecīgajam gadam prognozētā iekšzemes kopprodukta apjoma </w:t>
            </w:r>
            <w:proofErr w:type="gramStart"/>
            <w:r w:rsidRPr="005A70AA">
              <w:rPr>
                <w:sz w:val="28"/>
                <w:szCs w:val="28"/>
              </w:rPr>
              <w:t>(</w:t>
            </w:r>
            <w:proofErr w:type="gramEnd"/>
            <w:r w:rsidRPr="005A70AA">
              <w:rPr>
                <w:sz w:val="28"/>
                <w:szCs w:val="28"/>
              </w:rPr>
              <w:t>25</w:t>
            </w:r>
            <w:r>
              <w:rPr>
                <w:sz w:val="28"/>
                <w:szCs w:val="28"/>
              </w:rPr>
              <w:t> 365,</w:t>
            </w:r>
            <w:r w:rsidRPr="005A70AA">
              <w:rPr>
                <w:sz w:val="28"/>
                <w:szCs w:val="28"/>
              </w:rPr>
              <w:t>6 milj. EUR), tādējādi nodrošinot Valsts aizsardzības finansēšanas likuma 2.pantā noteikto</w:t>
            </w:r>
            <w:r w:rsidR="00C664B0">
              <w:rPr>
                <w:sz w:val="28"/>
                <w:szCs w:val="28"/>
              </w:rPr>
              <w:t>.</w:t>
            </w:r>
          </w:p>
        </w:tc>
      </w:tr>
      <w:tr w:rsidR="007C1053" w:rsidRPr="006E1657" w:rsidTr="00055AF4">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2.</w:t>
            </w:r>
          </w:p>
        </w:tc>
        <w:tc>
          <w:tcPr>
            <w:tcW w:w="1377"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Pašreizējā situācija un problēmas, kuru risināšanai tiesību akta projekts izstrādāts, tiesiskā regulējuma mērķis un būtība</w:t>
            </w:r>
          </w:p>
        </w:tc>
        <w:tc>
          <w:tcPr>
            <w:tcW w:w="3193" w:type="pct"/>
            <w:tcBorders>
              <w:top w:val="outset" w:sz="6" w:space="0" w:color="auto"/>
              <w:left w:val="outset" w:sz="6" w:space="0" w:color="auto"/>
              <w:bottom w:val="outset" w:sz="6" w:space="0" w:color="auto"/>
              <w:right w:val="outset" w:sz="6" w:space="0" w:color="auto"/>
            </w:tcBorders>
            <w:hideMark/>
          </w:tcPr>
          <w:p w:rsidR="005315AA" w:rsidRDefault="00EE4C17" w:rsidP="001F67E2">
            <w:pPr>
              <w:pStyle w:val="ListParagraph"/>
              <w:ind w:left="129" w:firstLine="591"/>
              <w:jc w:val="both"/>
              <w:rPr>
                <w:rFonts w:cs="Times New Roman"/>
                <w:sz w:val="28"/>
                <w:szCs w:val="28"/>
                <w:lang w:bidi="ar-SA"/>
              </w:rPr>
            </w:pPr>
            <w:r w:rsidRPr="005A70AA">
              <w:rPr>
                <w:sz w:val="28"/>
                <w:szCs w:val="28"/>
              </w:rPr>
              <w:t>Ministru kabineta 2014.gada 10.novembra sēdes protokola Nr.61 2</w:t>
            </w:r>
            <w:r>
              <w:rPr>
                <w:sz w:val="28"/>
                <w:szCs w:val="28"/>
              </w:rPr>
              <w:t>8</w:t>
            </w:r>
            <w:r w:rsidRPr="005A70AA">
              <w:rPr>
                <w:sz w:val="28"/>
                <w:szCs w:val="28"/>
              </w:rPr>
              <w:t xml:space="preserve">.§ </w:t>
            </w:r>
            <w:r>
              <w:rPr>
                <w:sz w:val="28"/>
                <w:szCs w:val="28"/>
              </w:rPr>
              <w:t xml:space="preserve">35.punkts nosaka, ka sakarā ar minimālās algas pieaugumu tiek koriģētas ministriju un padotības iestāžu </w:t>
            </w:r>
            <w:r w:rsidRPr="005315AA">
              <w:rPr>
                <w:sz w:val="28"/>
                <w:szCs w:val="28"/>
              </w:rPr>
              <w:t xml:space="preserve">mēnešalgu skalas minimālās robežas, palielinot tās par 40 </w:t>
            </w:r>
            <w:r w:rsidR="005315AA" w:rsidRPr="005315AA">
              <w:rPr>
                <w:i/>
                <w:sz w:val="28"/>
                <w:szCs w:val="28"/>
              </w:rPr>
              <w:t>euro</w:t>
            </w:r>
            <w:r w:rsidRPr="005315AA">
              <w:rPr>
                <w:sz w:val="28"/>
                <w:szCs w:val="28"/>
              </w:rPr>
              <w:t>.</w:t>
            </w:r>
            <w:r w:rsidRPr="005315AA">
              <w:rPr>
                <w:rFonts w:cs="Times New Roman"/>
                <w:sz w:val="28"/>
                <w:szCs w:val="28"/>
                <w:lang w:bidi="ar-SA"/>
              </w:rPr>
              <w:t xml:space="preserve"> </w:t>
            </w:r>
          </w:p>
          <w:p w:rsidR="00EE4C17" w:rsidRDefault="005315AA" w:rsidP="001F67E2">
            <w:pPr>
              <w:pStyle w:val="ListParagraph"/>
              <w:ind w:left="129" w:firstLine="591"/>
              <w:jc w:val="both"/>
              <w:rPr>
                <w:rFonts w:cs="Times New Roman"/>
                <w:sz w:val="28"/>
                <w:szCs w:val="28"/>
                <w:highlight w:val="yellow"/>
                <w:lang w:bidi="ar-SA"/>
              </w:rPr>
            </w:pPr>
            <w:r w:rsidRPr="005315AA">
              <w:rPr>
                <w:rFonts w:cs="Times New Roman"/>
                <w:sz w:val="28"/>
                <w:szCs w:val="28"/>
                <w:lang w:bidi="ar-SA"/>
              </w:rPr>
              <w:t>P</w:t>
            </w:r>
            <w:r w:rsidR="00EE4C17" w:rsidRPr="005315AA">
              <w:rPr>
                <w:rFonts w:cs="Times New Roman"/>
                <w:sz w:val="28"/>
                <w:szCs w:val="28"/>
                <w:lang w:bidi="ar-SA"/>
              </w:rPr>
              <w:t xml:space="preserve">amatojoties uz Valsts un pašvaldību institūciju amatpersonu un darbinieku atlīdzības likuma 4.panta piekto daļu, </w:t>
            </w:r>
            <w:r w:rsidRPr="005315AA">
              <w:rPr>
                <w:rFonts w:cs="Times New Roman"/>
                <w:sz w:val="28"/>
                <w:szCs w:val="28"/>
                <w:lang w:bidi="ar-SA"/>
              </w:rPr>
              <w:t xml:space="preserve">karavīriem </w:t>
            </w:r>
            <w:r w:rsidR="00EE4C17" w:rsidRPr="005315AA">
              <w:rPr>
                <w:rFonts w:cs="Times New Roman"/>
                <w:sz w:val="28"/>
                <w:szCs w:val="28"/>
                <w:lang w:bidi="ar-SA"/>
              </w:rPr>
              <w:t>mēnešalgas apmēru nosaka atbilstoši dienesta pakāpei un izdienai</w:t>
            </w:r>
            <w:r w:rsidRPr="005315AA">
              <w:rPr>
                <w:rFonts w:cs="Times New Roman"/>
                <w:sz w:val="28"/>
                <w:szCs w:val="28"/>
                <w:lang w:bidi="ar-SA"/>
              </w:rPr>
              <w:t>,</w:t>
            </w:r>
            <w:r>
              <w:rPr>
                <w:rFonts w:cs="Times New Roman"/>
                <w:sz w:val="28"/>
                <w:szCs w:val="28"/>
                <w:lang w:bidi="ar-SA"/>
              </w:rPr>
              <w:t xml:space="preserve"> </w:t>
            </w:r>
            <w:r w:rsidR="00C664B0">
              <w:rPr>
                <w:rFonts w:cs="Times New Roman"/>
                <w:sz w:val="28"/>
                <w:szCs w:val="28"/>
                <w:lang w:bidi="ar-SA"/>
              </w:rPr>
              <w:t xml:space="preserve">un </w:t>
            </w:r>
            <w:r>
              <w:rPr>
                <w:rFonts w:cs="Times New Roman"/>
                <w:sz w:val="28"/>
                <w:szCs w:val="28"/>
                <w:lang w:bidi="ar-SA"/>
              </w:rPr>
              <w:t>mēnešalgu apmēriem</w:t>
            </w:r>
            <w:r w:rsidR="00EE4C17">
              <w:rPr>
                <w:rFonts w:cs="Times New Roman"/>
                <w:sz w:val="28"/>
                <w:szCs w:val="28"/>
                <w:lang w:bidi="ar-SA"/>
              </w:rPr>
              <w:t xml:space="preserve"> nav noteiktas minimālās un maksimālās robežas</w:t>
            </w:r>
            <w:r>
              <w:rPr>
                <w:rFonts w:cs="Times New Roman"/>
                <w:sz w:val="28"/>
                <w:szCs w:val="28"/>
                <w:lang w:bidi="ar-SA"/>
              </w:rPr>
              <w:t>.</w:t>
            </w:r>
            <w:r w:rsidR="00EE4C17">
              <w:rPr>
                <w:rFonts w:cs="Times New Roman"/>
                <w:sz w:val="28"/>
                <w:szCs w:val="28"/>
                <w:lang w:bidi="ar-SA"/>
              </w:rPr>
              <w:t xml:space="preserve"> </w:t>
            </w:r>
            <w:r w:rsidR="00C664B0">
              <w:rPr>
                <w:rFonts w:cs="Times New Roman"/>
                <w:sz w:val="28"/>
                <w:szCs w:val="28"/>
                <w:lang w:bidi="ar-SA"/>
              </w:rPr>
              <w:lastRenderedPageBreak/>
              <w:t>I</w:t>
            </w:r>
            <w:r w:rsidR="00C664B0" w:rsidRPr="005315AA">
              <w:rPr>
                <w:rFonts w:cs="Times New Roman"/>
                <w:sz w:val="28"/>
                <w:szCs w:val="28"/>
                <w:lang w:bidi="ar-SA"/>
              </w:rPr>
              <w:t xml:space="preserve">zpildot </w:t>
            </w:r>
            <w:r w:rsidR="00C664B0" w:rsidRPr="005315AA">
              <w:rPr>
                <w:sz w:val="28"/>
                <w:szCs w:val="28"/>
              </w:rPr>
              <w:t>Ministru kabineta 2014.gada 12.novembra sēdes protokola Nr.62 2.§ 6.punktā noteikto, Aizsardzības ministrija ir pārskatījusi karavīru atlīdzības skalu un izdevumus atlīdzībai karavīriem 2015. un turpmākajiem gadiem Aizsardzības ministrijai piešķirto valsts</w:t>
            </w:r>
            <w:r w:rsidR="00C664B0">
              <w:rPr>
                <w:sz w:val="28"/>
                <w:szCs w:val="28"/>
              </w:rPr>
              <w:t xml:space="preserve"> budžeta līdzekļu ietvaros, </w:t>
            </w:r>
            <w:r>
              <w:rPr>
                <w:rFonts w:cs="Times New Roman"/>
                <w:sz w:val="28"/>
                <w:szCs w:val="28"/>
                <w:lang w:bidi="ar-SA"/>
              </w:rPr>
              <w:t xml:space="preserve">ir iespējams atbilstoši dienesta pakāpei un izdienai noteiktās karavīru mēnešalgas palielināt par 20 </w:t>
            </w:r>
            <w:r w:rsidRPr="005315AA">
              <w:rPr>
                <w:rFonts w:cs="Times New Roman"/>
                <w:i/>
                <w:sz w:val="28"/>
                <w:szCs w:val="28"/>
                <w:lang w:bidi="ar-SA"/>
              </w:rPr>
              <w:t>euro</w:t>
            </w:r>
            <w:r w:rsidR="00C664B0">
              <w:rPr>
                <w:rFonts w:cs="Times New Roman"/>
                <w:sz w:val="28"/>
                <w:szCs w:val="28"/>
                <w:lang w:bidi="ar-SA"/>
              </w:rPr>
              <w:t>, kas būtu puse no minimālās skalas palielināšanas apjoma valsts pārvaldē.</w:t>
            </w:r>
          </w:p>
          <w:p w:rsidR="00C664B0" w:rsidRDefault="00C664B0" w:rsidP="00C664B0">
            <w:pPr>
              <w:pStyle w:val="ListParagraph"/>
              <w:ind w:left="129" w:firstLine="591"/>
              <w:jc w:val="both"/>
              <w:rPr>
                <w:rFonts w:cs="Times New Roman"/>
                <w:sz w:val="28"/>
                <w:szCs w:val="28"/>
                <w:lang w:bidi="ar-SA"/>
              </w:rPr>
            </w:pPr>
            <w:r>
              <w:rPr>
                <w:rFonts w:cs="Times New Roman"/>
                <w:sz w:val="28"/>
                <w:szCs w:val="28"/>
                <w:lang w:bidi="ar-SA"/>
              </w:rPr>
              <w:t>L</w:t>
            </w:r>
            <w:r w:rsidRPr="005315AA">
              <w:rPr>
                <w:rFonts w:cs="Times New Roman"/>
                <w:sz w:val="28"/>
                <w:szCs w:val="28"/>
                <w:lang w:bidi="ar-SA"/>
              </w:rPr>
              <w:t xml:space="preserve">ai saglabātu un noturētu dienestā profesionālākos karavīrus un motivētu viņus pārslēgt kārtējos profesionālā dienesta līgumus pēc 10., 15. un 20.izdienas gada, nepieciešams </w:t>
            </w:r>
            <w:r>
              <w:rPr>
                <w:rFonts w:cs="Times New Roman"/>
                <w:sz w:val="28"/>
                <w:szCs w:val="28"/>
                <w:lang w:bidi="ar-SA"/>
              </w:rPr>
              <w:t xml:space="preserve">ieviest papildus posmus karavīru mēnešalgu izmaiņām: </w:t>
            </w:r>
          </w:p>
          <w:p w:rsidR="00C664B0" w:rsidRPr="005315AA" w:rsidRDefault="00C664B0" w:rsidP="00C664B0">
            <w:pPr>
              <w:pStyle w:val="ListParagraph"/>
              <w:ind w:left="129" w:firstLine="591"/>
              <w:jc w:val="both"/>
              <w:rPr>
                <w:rFonts w:cs="Times New Roman"/>
                <w:sz w:val="28"/>
                <w:szCs w:val="28"/>
                <w:lang w:bidi="ar-SA"/>
              </w:rPr>
            </w:pPr>
            <w:r w:rsidRPr="005315AA">
              <w:rPr>
                <w:rFonts w:cs="Times New Roman"/>
                <w:sz w:val="28"/>
                <w:szCs w:val="28"/>
                <w:lang w:bidi="ar-SA"/>
              </w:rPr>
              <w:t>1) ieviešot jaunus izdienas periodus un nosakot karavīra mēnešalgas pieaugumu ik pēc diviem izdienas gadiem;</w:t>
            </w:r>
          </w:p>
          <w:p w:rsidR="00C664B0" w:rsidRPr="005315AA" w:rsidRDefault="00C664B0" w:rsidP="00C664B0">
            <w:pPr>
              <w:pStyle w:val="ListParagraph"/>
              <w:ind w:left="129" w:firstLine="591"/>
              <w:jc w:val="both"/>
              <w:rPr>
                <w:rFonts w:cs="Times New Roman"/>
                <w:sz w:val="28"/>
                <w:szCs w:val="28"/>
                <w:lang w:bidi="ar-SA"/>
              </w:rPr>
            </w:pPr>
            <w:r w:rsidRPr="005315AA">
              <w:rPr>
                <w:rFonts w:cs="Times New Roman"/>
                <w:sz w:val="28"/>
                <w:szCs w:val="28"/>
                <w:lang w:bidi="ar-SA"/>
              </w:rPr>
              <w:t>2) papildinot karavīru mēnešalgu tabulu ar izdienas periodiem virs 25.izdienas gadiem.</w:t>
            </w:r>
          </w:p>
          <w:p w:rsidR="006369BF" w:rsidRPr="005315AA" w:rsidRDefault="006369BF" w:rsidP="006369BF">
            <w:pPr>
              <w:pStyle w:val="ListParagraph"/>
              <w:ind w:left="129" w:firstLine="591"/>
              <w:jc w:val="both"/>
              <w:rPr>
                <w:rFonts w:cs="Times New Roman"/>
                <w:sz w:val="28"/>
                <w:szCs w:val="28"/>
                <w:lang w:bidi="ar-SA"/>
              </w:rPr>
            </w:pPr>
            <w:r w:rsidRPr="005315AA">
              <w:rPr>
                <w:rFonts w:cs="Times New Roman"/>
                <w:sz w:val="28"/>
                <w:szCs w:val="28"/>
                <w:lang w:bidi="ar-SA"/>
              </w:rPr>
              <w:t>Saskaņā ar</w:t>
            </w:r>
            <w:r w:rsidR="00E43C39" w:rsidRPr="005315AA">
              <w:rPr>
                <w:rFonts w:cs="Times New Roman"/>
                <w:sz w:val="28"/>
                <w:szCs w:val="28"/>
                <w:lang w:bidi="ar-SA"/>
              </w:rPr>
              <w:t xml:space="preserve"> pastāvoš</w:t>
            </w:r>
            <w:r w:rsidRPr="005315AA">
              <w:rPr>
                <w:rFonts w:cs="Times New Roman"/>
                <w:sz w:val="28"/>
                <w:szCs w:val="28"/>
                <w:lang w:bidi="ar-SA"/>
              </w:rPr>
              <w:t xml:space="preserve">o </w:t>
            </w:r>
            <w:r w:rsidR="00E43C39" w:rsidRPr="005315AA">
              <w:rPr>
                <w:rFonts w:cs="Times New Roman"/>
                <w:sz w:val="28"/>
                <w:szCs w:val="28"/>
                <w:lang w:bidi="ar-SA"/>
              </w:rPr>
              <w:t>atlīdzības sistēm</w:t>
            </w:r>
            <w:r w:rsidRPr="005315AA">
              <w:rPr>
                <w:rFonts w:cs="Times New Roman"/>
                <w:sz w:val="28"/>
                <w:szCs w:val="28"/>
                <w:lang w:bidi="ar-SA"/>
              </w:rPr>
              <w:t>u</w:t>
            </w:r>
            <w:r w:rsidR="00E43C39" w:rsidRPr="005315AA">
              <w:rPr>
                <w:rFonts w:cs="Times New Roman"/>
                <w:sz w:val="28"/>
                <w:szCs w:val="28"/>
                <w:lang w:bidi="ar-SA"/>
              </w:rPr>
              <w:t xml:space="preserve"> un atalgojuma struktūr</w:t>
            </w:r>
            <w:r w:rsidRPr="005315AA">
              <w:rPr>
                <w:rFonts w:cs="Times New Roman"/>
                <w:sz w:val="28"/>
                <w:szCs w:val="28"/>
                <w:lang w:bidi="ar-SA"/>
              </w:rPr>
              <w:t>u</w:t>
            </w:r>
            <w:r w:rsidR="00E43C39" w:rsidRPr="005315AA">
              <w:rPr>
                <w:rFonts w:cs="Times New Roman"/>
                <w:sz w:val="28"/>
                <w:szCs w:val="28"/>
                <w:lang w:bidi="ar-SA"/>
              </w:rPr>
              <w:t>, sasniedzot 25 gadu dienestu N</w:t>
            </w:r>
            <w:r w:rsidR="001F67E2" w:rsidRPr="005315AA">
              <w:rPr>
                <w:rFonts w:cs="Times New Roman"/>
                <w:sz w:val="28"/>
                <w:szCs w:val="28"/>
                <w:lang w:bidi="ar-SA"/>
              </w:rPr>
              <w:t>acionālajos bruņotajos spēkos</w:t>
            </w:r>
            <w:r w:rsidR="00E43C39" w:rsidRPr="005315AA">
              <w:rPr>
                <w:rFonts w:cs="Times New Roman"/>
                <w:sz w:val="28"/>
                <w:szCs w:val="28"/>
                <w:lang w:bidi="ar-SA"/>
              </w:rPr>
              <w:t>, aptuveni 45 gadu vecumā militārpersona ir sasniegusi iespējamos atalgojuma „griestus”</w:t>
            </w:r>
            <w:r w:rsidR="001F67E2" w:rsidRPr="005315AA">
              <w:rPr>
                <w:rFonts w:cs="Times New Roman"/>
                <w:sz w:val="28"/>
                <w:szCs w:val="28"/>
                <w:lang w:bidi="ar-SA"/>
              </w:rPr>
              <w:t>,</w:t>
            </w:r>
            <w:r w:rsidR="00E43C39" w:rsidRPr="005315AA">
              <w:rPr>
                <w:rFonts w:cs="Times New Roman"/>
                <w:sz w:val="28"/>
                <w:szCs w:val="28"/>
                <w:lang w:bidi="ar-SA"/>
              </w:rPr>
              <w:t xml:space="preserve"> un karavīram šobrīd netiek uzturēta papildu motivācija turpināt dienēt. Īpaši tas ir attiecināms uz augsti kvalificētiem un labi apmācītiem karavīriem. </w:t>
            </w:r>
          </w:p>
          <w:p w:rsidR="006369BF" w:rsidRPr="005315AA" w:rsidRDefault="006369BF" w:rsidP="006369BF">
            <w:pPr>
              <w:pStyle w:val="ListParagraph"/>
              <w:ind w:left="129" w:firstLine="591"/>
              <w:jc w:val="both"/>
              <w:rPr>
                <w:rFonts w:cs="Times New Roman"/>
                <w:sz w:val="28"/>
                <w:szCs w:val="28"/>
                <w:lang w:bidi="ar-SA"/>
              </w:rPr>
            </w:pPr>
            <w:r w:rsidRPr="005315AA">
              <w:rPr>
                <w:rFonts w:cs="Times New Roman"/>
                <w:sz w:val="28"/>
                <w:szCs w:val="28"/>
                <w:lang w:bidi="ar-SA"/>
              </w:rPr>
              <w:t xml:space="preserve">Analizējot karavīru atvaļināšanās statistiku, ir konstatētas galvenās personāla grupas, </w:t>
            </w:r>
            <w:r w:rsidR="00771352" w:rsidRPr="005315AA">
              <w:rPr>
                <w:rFonts w:cs="Times New Roman"/>
                <w:sz w:val="28"/>
                <w:szCs w:val="28"/>
                <w:lang w:bidi="ar-SA"/>
              </w:rPr>
              <w:t>kurām nepieciešama mērķtiecīgāka</w:t>
            </w:r>
            <w:r w:rsidRPr="005315AA">
              <w:rPr>
                <w:rFonts w:cs="Times New Roman"/>
                <w:sz w:val="28"/>
                <w:szCs w:val="28"/>
                <w:lang w:bidi="ar-SA"/>
              </w:rPr>
              <w:t xml:space="preserve"> dienestā noturēšanas politika, līdz ar to izsecināmi arī svarīgākie atalgojuma politikas pamatprincipi. Noturēšana dienestā kļuvusi aktuāla situācijā, kad </w:t>
            </w:r>
            <w:proofErr w:type="spellStart"/>
            <w:r w:rsidRPr="005315AA">
              <w:rPr>
                <w:rFonts w:cs="Times New Roman"/>
                <w:sz w:val="28"/>
                <w:szCs w:val="28"/>
                <w:lang w:bidi="ar-SA"/>
              </w:rPr>
              <w:t>rekrutēšanas</w:t>
            </w:r>
            <w:proofErr w:type="spellEnd"/>
            <w:r w:rsidRPr="005315AA">
              <w:rPr>
                <w:rFonts w:cs="Times New Roman"/>
                <w:sz w:val="28"/>
                <w:szCs w:val="28"/>
                <w:lang w:bidi="ar-SA"/>
              </w:rPr>
              <w:t xml:space="preserve"> intensitāte un iesaucamo kvalitāte spēj uzturēt tikai karavīru kvantitatīvo skaitu esošajā līmenī, bet tiek zaudēta pieredze un kvalitāte, kā arī nav panākams personāla skaitliskais pieaugums (aizpildot vakances vai </w:t>
            </w:r>
            <w:r w:rsidRPr="005315AA">
              <w:rPr>
                <w:rFonts w:cs="Times New Roman"/>
                <w:sz w:val="28"/>
                <w:szCs w:val="28"/>
                <w:lang w:bidi="ar-SA"/>
              </w:rPr>
              <w:lastRenderedPageBreak/>
              <w:t xml:space="preserve">plānojot attīstību). </w:t>
            </w:r>
            <w:r w:rsidR="00C664B0">
              <w:rPr>
                <w:rFonts w:cs="Times New Roman"/>
                <w:sz w:val="28"/>
                <w:szCs w:val="28"/>
                <w:lang w:bidi="ar-SA"/>
              </w:rPr>
              <w:t>L</w:t>
            </w:r>
            <w:r w:rsidRPr="005315AA">
              <w:rPr>
                <w:rFonts w:cs="Times New Roman"/>
                <w:sz w:val="28"/>
                <w:szCs w:val="28"/>
                <w:lang w:bidi="ar-SA"/>
              </w:rPr>
              <w:t>ai panāktu karavīru skaita pieaugumu, nepietiek tikai ar jauno karavīru iesaukšanu un apmācību, nepieciešama arī mērķtiecīgāka šobrīd Nacionālajos bruņotajos spēkos dienošo karavīru noturēšana, motivējot</w:t>
            </w:r>
            <w:r w:rsidR="00C664B0">
              <w:rPr>
                <w:rFonts w:cs="Times New Roman"/>
                <w:sz w:val="28"/>
                <w:szCs w:val="28"/>
                <w:lang w:bidi="ar-SA"/>
              </w:rPr>
              <w:t xml:space="preserve"> tos</w:t>
            </w:r>
            <w:r w:rsidRPr="005315AA">
              <w:rPr>
                <w:rFonts w:cs="Times New Roman"/>
                <w:sz w:val="28"/>
                <w:szCs w:val="28"/>
                <w:lang w:bidi="ar-SA"/>
              </w:rPr>
              <w:t xml:space="preserve"> ilgstošam dienestam.</w:t>
            </w:r>
          </w:p>
          <w:p w:rsidR="006369BF" w:rsidRPr="005315AA" w:rsidRDefault="006369BF" w:rsidP="006369BF">
            <w:pPr>
              <w:pStyle w:val="ListParagraph"/>
              <w:ind w:left="129" w:firstLine="591"/>
              <w:jc w:val="both"/>
              <w:rPr>
                <w:rFonts w:cs="Times New Roman"/>
                <w:sz w:val="28"/>
                <w:szCs w:val="28"/>
                <w:lang w:bidi="ar-SA"/>
              </w:rPr>
            </w:pPr>
            <w:r w:rsidRPr="005315AA">
              <w:rPr>
                <w:rFonts w:cs="Times New Roman"/>
                <w:sz w:val="28"/>
                <w:szCs w:val="28"/>
                <w:lang w:bidi="ar-SA"/>
              </w:rPr>
              <w:t>Karavīru atvaļināšanās analīze parāda, ka motivēšanas pasākumu mērķauditorija ir pieredzējuši virsnieki un instruktori sākot no 10. izdienas gada (karavīri aptuveni 28 – 33 gadu vecumā)</w:t>
            </w:r>
            <w:r w:rsidR="00771352" w:rsidRPr="005315AA">
              <w:rPr>
                <w:rFonts w:cs="Times New Roman"/>
                <w:sz w:val="28"/>
                <w:szCs w:val="28"/>
                <w:lang w:bidi="ar-SA"/>
              </w:rPr>
              <w:t xml:space="preserve">. </w:t>
            </w:r>
          </w:p>
          <w:p w:rsidR="00833773" w:rsidRPr="00833773" w:rsidRDefault="00E43C39" w:rsidP="005315AA">
            <w:pPr>
              <w:pStyle w:val="ListParagraph"/>
              <w:ind w:left="129" w:firstLine="591"/>
              <w:jc w:val="both"/>
              <w:rPr>
                <w:rFonts w:cs="Times New Roman"/>
                <w:sz w:val="28"/>
                <w:szCs w:val="28"/>
                <w:lang w:bidi="ar-SA"/>
              </w:rPr>
            </w:pPr>
            <w:r w:rsidRPr="005315AA">
              <w:rPr>
                <w:rFonts w:cs="Times New Roman"/>
                <w:sz w:val="28"/>
                <w:szCs w:val="28"/>
                <w:lang w:bidi="ar-SA"/>
              </w:rPr>
              <w:t xml:space="preserve">Kopumā šāda koriģēta mēnešalgu tabula saglabā līdzšinējās karavīru mēnešalgu likmes un mēnešalgas noteikšanas metodiku, bet papildina izdienu periodus tieši kritiskajos </w:t>
            </w:r>
            <w:r w:rsidR="00EE4C17" w:rsidRPr="005315AA">
              <w:rPr>
                <w:rFonts w:cs="Times New Roman"/>
                <w:sz w:val="28"/>
                <w:szCs w:val="28"/>
                <w:lang w:bidi="ar-SA"/>
              </w:rPr>
              <w:t xml:space="preserve">profesionālā dienesta </w:t>
            </w:r>
            <w:r w:rsidRPr="005315AA">
              <w:rPr>
                <w:rFonts w:cs="Times New Roman"/>
                <w:sz w:val="28"/>
                <w:szCs w:val="28"/>
                <w:lang w:bidi="ar-SA"/>
              </w:rPr>
              <w:t>līgumu slēgšanas periodos – 10., 15. un 20.izdienas gadā, kā arī veido motivējošu perspektīvu dienesta turpināšanai pēc 20 gadu izdienas sasniegšanas. Šāds karavīru mēnešalgu tabulas papildinājums ļauj augsti kvalificētiem karavīriem un virsniekiem ar vairāk kā 25 gadu dienesta pieredzi N</w:t>
            </w:r>
            <w:r w:rsidR="006369BF" w:rsidRPr="005315AA">
              <w:rPr>
                <w:rFonts w:cs="Times New Roman"/>
                <w:sz w:val="28"/>
                <w:szCs w:val="28"/>
                <w:lang w:bidi="ar-SA"/>
              </w:rPr>
              <w:t>acionālajos bruņotajos spēkos</w:t>
            </w:r>
            <w:r w:rsidRPr="005315AA">
              <w:rPr>
                <w:rFonts w:cs="Times New Roman"/>
                <w:sz w:val="28"/>
                <w:szCs w:val="28"/>
                <w:lang w:bidi="ar-SA"/>
              </w:rPr>
              <w:t xml:space="preserve"> sasniegt šā brīža attiecīgai civilā sektora atlīdzībai tuvinātu mēnešalgas līmeni.</w:t>
            </w:r>
          </w:p>
        </w:tc>
      </w:tr>
      <w:tr w:rsidR="007C1053" w:rsidRPr="006E1657" w:rsidTr="00055AF4">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lastRenderedPageBreak/>
              <w:t>3.</w:t>
            </w:r>
          </w:p>
        </w:tc>
        <w:tc>
          <w:tcPr>
            <w:tcW w:w="1377"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Projekta izstrādē iesaistītās institūcijas</w:t>
            </w:r>
          </w:p>
        </w:tc>
        <w:tc>
          <w:tcPr>
            <w:tcW w:w="3193" w:type="pct"/>
            <w:tcBorders>
              <w:top w:val="outset" w:sz="6" w:space="0" w:color="auto"/>
              <w:left w:val="outset" w:sz="6" w:space="0" w:color="auto"/>
              <w:bottom w:val="outset" w:sz="6" w:space="0" w:color="auto"/>
              <w:right w:val="outset" w:sz="6" w:space="0" w:color="auto"/>
            </w:tcBorders>
            <w:hideMark/>
          </w:tcPr>
          <w:p w:rsidR="00226001" w:rsidRPr="006E1657" w:rsidRDefault="00910940" w:rsidP="00BF5ABA">
            <w:pPr>
              <w:ind w:firstLine="554"/>
              <w:jc w:val="both"/>
              <w:rPr>
                <w:sz w:val="28"/>
                <w:szCs w:val="28"/>
              </w:rPr>
            </w:pPr>
            <w:r w:rsidRPr="006E1657">
              <w:rPr>
                <w:sz w:val="28"/>
                <w:szCs w:val="28"/>
              </w:rPr>
              <w:t>Noteikumu projekts ir izstrādāts Aizsardzības ministrijā sadarbībā ar Nacionālajiem bruņotajiem spēkiem.</w:t>
            </w:r>
          </w:p>
        </w:tc>
      </w:tr>
      <w:tr w:rsidR="007C1053" w:rsidRPr="006E1657" w:rsidTr="00055AF4">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4.</w:t>
            </w:r>
          </w:p>
        </w:tc>
        <w:tc>
          <w:tcPr>
            <w:tcW w:w="1377"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Cita informācija</w:t>
            </w:r>
          </w:p>
        </w:tc>
        <w:tc>
          <w:tcPr>
            <w:tcW w:w="3193" w:type="pct"/>
            <w:tcBorders>
              <w:top w:val="outset" w:sz="6" w:space="0" w:color="auto"/>
              <w:left w:val="outset" w:sz="6" w:space="0" w:color="auto"/>
              <w:bottom w:val="outset" w:sz="6" w:space="0" w:color="auto"/>
              <w:right w:val="outset" w:sz="6" w:space="0" w:color="auto"/>
            </w:tcBorders>
            <w:hideMark/>
          </w:tcPr>
          <w:p w:rsidR="00226001" w:rsidRDefault="005A70AA" w:rsidP="00BF5ABA">
            <w:pPr>
              <w:ind w:firstLine="554"/>
              <w:jc w:val="both"/>
              <w:rPr>
                <w:sz w:val="28"/>
                <w:szCs w:val="28"/>
              </w:rPr>
            </w:pPr>
            <w:r>
              <w:rPr>
                <w:sz w:val="28"/>
                <w:szCs w:val="28"/>
              </w:rPr>
              <w:t xml:space="preserve">Normatīvā akta izpildi Aizsardzības ministrija īstenos atbilstoši tai piešķirtajiem valsts budžeta līdzekļiem </w:t>
            </w:r>
            <w:r w:rsidR="00C664B0">
              <w:rPr>
                <w:sz w:val="28"/>
                <w:szCs w:val="28"/>
              </w:rPr>
              <w:t xml:space="preserve">pamatā </w:t>
            </w:r>
            <w:r w:rsidRPr="006E1657">
              <w:rPr>
                <w:sz w:val="28"/>
                <w:szCs w:val="28"/>
              </w:rPr>
              <w:t>budžeta programmas 22.00.00 „Nacionālie bruņotie spēki” apakšprogrammas 22.10.00 „Starptautisko operāciju un Nacionālo bruņoto spēku personālsastāva centralizētais atalgojums” ietvaros</w:t>
            </w:r>
            <w:r>
              <w:rPr>
                <w:sz w:val="28"/>
                <w:szCs w:val="28"/>
              </w:rPr>
              <w:t>, kā arī</w:t>
            </w:r>
            <w:r w:rsidRPr="006E1657">
              <w:rPr>
                <w:sz w:val="28"/>
                <w:szCs w:val="28"/>
              </w:rPr>
              <w:t xml:space="preserve"> no budžeta programm</w:t>
            </w:r>
            <w:r>
              <w:rPr>
                <w:sz w:val="28"/>
                <w:szCs w:val="28"/>
              </w:rPr>
              <w:t>ām</w:t>
            </w:r>
            <w:r w:rsidR="006B1A16">
              <w:rPr>
                <w:sz w:val="28"/>
                <w:szCs w:val="28"/>
              </w:rPr>
              <w:t xml:space="preserve"> 33.00.00 „Aizsardzības īpašumu pārvaldīšana”, 34.00.00 „Jaunsardzes centrs”, </w:t>
            </w:r>
            <w:r w:rsidRPr="006E1657">
              <w:rPr>
                <w:sz w:val="28"/>
                <w:szCs w:val="28"/>
              </w:rPr>
              <w:t>35.00.00 „Militārie un a</w:t>
            </w:r>
            <w:r w:rsidR="006B1A16">
              <w:rPr>
                <w:sz w:val="28"/>
                <w:szCs w:val="28"/>
              </w:rPr>
              <w:t>i</w:t>
            </w:r>
            <w:r w:rsidR="00A952E7">
              <w:rPr>
                <w:sz w:val="28"/>
                <w:szCs w:val="28"/>
              </w:rPr>
              <w:t>zsardzības pārstāvji ārvalstīs” un</w:t>
            </w:r>
            <w:r w:rsidR="006B1A16">
              <w:rPr>
                <w:sz w:val="28"/>
                <w:szCs w:val="28"/>
              </w:rPr>
              <w:t xml:space="preserve"> 97.00.00 „</w:t>
            </w:r>
            <w:r w:rsidR="00A952E7">
              <w:rPr>
                <w:sz w:val="28"/>
                <w:szCs w:val="28"/>
              </w:rPr>
              <w:t>Nozaru vadības politikas plānošana</w:t>
            </w:r>
            <w:r w:rsidR="006B1A16">
              <w:rPr>
                <w:sz w:val="28"/>
                <w:szCs w:val="28"/>
              </w:rPr>
              <w:t>”</w:t>
            </w:r>
            <w:r w:rsidR="00C664B0">
              <w:rPr>
                <w:sz w:val="28"/>
                <w:szCs w:val="28"/>
              </w:rPr>
              <w:t>, ņemot vērā karavīru integrāciju civilajās iestādēs.</w:t>
            </w:r>
          </w:p>
          <w:p w:rsidR="00C664B0" w:rsidRPr="006E1657" w:rsidRDefault="00C664B0" w:rsidP="00EB0A95">
            <w:pPr>
              <w:ind w:firstLine="554"/>
              <w:jc w:val="both"/>
              <w:rPr>
                <w:sz w:val="28"/>
                <w:szCs w:val="28"/>
              </w:rPr>
            </w:pPr>
            <w:r>
              <w:rPr>
                <w:sz w:val="28"/>
                <w:szCs w:val="28"/>
              </w:rPr>
              <w:t>M</w:t>
            </w:r>
            <w:r w:rsidR="00B00BD4">
              <w:rPr>
                <w:sz w:val="28"/>
                <w:szCs w:val="28"/>
              </w:rPr>
              <w:t>inistru kabineta noteikumu jaunā</w:t>
            </w:r>
            <w:r>
              <w:rPr>
                <w:sz w:val="28"/>
                <w:szCs w:val="28"/>
              </w:rPr>
              <w:t xml:space="preserve"> </w:t>
            </w:r>
            <w:r>
              <w:rPr>
                <w:sz w:val="28"/>
                <w:szCs w:val="28"/>
              </w:rPr>
              <w:lastRenderedPageBreak/>
              <w:t xml:space="preserve">1.pielikuma ieviešanai ir nepieciešami </w:t>
            </w:r>
            <w:r w:rsidR="00B00BD4" w:rsidRPr="00965B0E">
              <w:rPr>
                <w:sz w:val="28"/>
                <w:szCs w:val="28"/>
              </w:rPr>
              <w:t>2 421</w:t>
            </w:r>
            <w:r w:rsidR="007C495B">
              <w:rPr>
                <w:sz w:val="28"/>
                <w:szCs w:val="28"/>
              </w:rPr>
              <w:t> </w:t>
            </w:r>
            <w:r w:rsidR="00B00BD4" w:rsidRPr="00965B0E">
              <w:rPr>
                <w:sz w:val="28"/>
                <w:szCs w:val="28"/>
              </w:rPr>
              <w:t>474</w:t>
            </w:r>
            <w:r w:rsidR="007C495B">
              <w:rPr>
                <w:sz w:val="28"/>
                <w:szCs w:val="28"/>
              </w:rPr>
              <w:t> </w:t>
            </w:r>
            <w:r w:rsidRPr="00965B0E">
              <w:rPr>
                <w:sz w:val="28"/>
                <w:szCs w:val="28"/>
              </w:rPr>
              <w:t xml:space="preserve"> </w:t>
            </w:r>
            <w:r w:rsidRPr="00EB0A95">
              <w:rPr>
                <w:i/>
                <w:sz w:val="28"/>
                <w:szCs w:val="28"/>
              </w:rPr>
              <w:t>euro</w:t>
            </w:r>
            <w:r w:rsidR="00732702">
              <w:rPr>
                <w:sz w:val="28"/>
                <w:szCs w:val="28"/>
              </w:rPr>
              <w:t xml:space="preserve"> 201</w:t>
            </w:r>
            <w:r w:rsidR="007C495B">
              <w:rPr>
                <w:sz w:val="28"/>
                <w:szCs w:val="28"/>
              </w:rPr>
              <w:t>5</w:t>
            </w:r>
            <w:r w:rsidR="00732702">
              <w:rPr>
                <w:sz w:val="28"/>
                <w:szCs w:val="28"/>
              </w:rPr>
              <w:t xml:space="preserve">.gadā, </w:t>
            </w:r>
            <w:proofErr w:type="spellStart"/>
            <w:r w:rsidR="00732702">
              <w:rPr>
                <w:sz w:val="28"/>
                <w:szCs w:val="28"/>
              </w:rPr>
              <w:t>t.sk</w:t>
            </w:r>
            <w:proofErr w:type="spellEnd"/>
            <w:r w:rsidR="00732702">
              <w:rPr>
                <w:sz w:val="28"/>
                <w:szCs w:val="28"/>
              </w:rPr>
              <w:t xml:space="preserve">. no </w:t>
            </w:r>
            <w:r w:rsidR="003C6D77">
              <w:rPr>
                <w:sz w:val="28"/>
                <w:szCs w:val="28"/>
              </w:rPr>
              <w:t>jaunās politikas iniciatīvas (JPI)</w:t>
            </w:r>
            <w:r w:rsidR="00732702">
              <w:rPr>
                <w:sz w:val="28"/>
                <w:szCs w:val="28"/>
              </w:rPr>
              <w:t xml:space="preserve"> „NBS esošo spēju attīstībai nepieciešamās kapacitātes nodrošināšana un sociālo garantiju nodrošināšana aizsardzības nozarē strādājošaji</w:t>
            </w:r>
            <w:r w:rsidR="007C495B">
              <w:rPr>
                <w:sz w:val="28"/>
                <w:szCs w:val="28"/>
              </w:rPr>
              <w:t xml:space="preserve">em” 1 763 853 </w:t>
            </w:r>
            <w:r w:rsidR="007C495B" w:rsidRPr="00EB0A95">
              <w:rPr>
                <w:i/>
                <w:sz w:val="28"/>
                <w:szCs w:val="28"/>
              </w:rPr>
              <w:t>eur</w:t>
            </w:r>
            <w:r w:rsidR="007C495B">
              <w:rPr>
                <w:sz w:val="28"/>
                <w:szCs w:val="28"/>
              </w:rPr>
              <w:t>o un 657</w:t>
            </w:r>
            <w:r w:rsidR="00EB0A95">
              <w:rPr>
                <w:sz w:val="28"/>
                <w:szCs w:val="28"/>
              </w:rPr>
              <w:t> </w:t>
            </w:r>
            <w:r w:rsidR="007C495B">
              <w:rPr>
                <w:sz w:val="28"/>
                <w:szCs w:val="28"/>
              </w:rPr>
              <w:t>621</w:t>
            </w:r>
            <w:r w:rsidR="00EB0A95">
              <w:rPr>
                <w:sz w:val="28"/>
                <w:szCs w:val="28"/>
              </w:rPr>
              <w:t> </w:t>
            </w:r>
            <w:r w:rsidR="007C495B" w:rsidRPr="00EB0A95">
              <w:rPr>
                <w:i/>
                <w:sz w:val="28"/>
                <w:szCs w:val="28"/>
              </w:rPr>
              <w:t>eu</w:t>
            </w:r>
            <w:r w:rsidR="00732702" w:rsidRPr="00EB0A95">
              <w:rPr>
                <w:i/>
                <w:sz w:val="28"/>
                <w:szCs w:val="28"/>
              </w:rPr>
              <w:t>ro</w:t>
            </w:r>
            <w:r w:rsidR="00732702">
              <w:rPr>
                <w:sz w:val="28"/>
                <w:szCs w:val="28"/>
              </w:rPr>
              <w:t xml:space="preserve"> no piemaksām plānotajiem izdevumiem</w:t>
            </w:r>
            <w:r w:rsidR="00F210BE">
              <w:rPr>
                <w:sz w:val="28"/>
                <w:szCs w:val="28"/>
              </w:rPr>
              <w:t xml:space="preserve"> pārdalot to piešķirtā finansējuma ietvaros</w:t>
            </w:r>
            <w:r w:rsidR="00732702">
              <w:rPr>
                <w:sz w:val="28"/>
                <w:szCs w:val="28"/>
              </w:rPr>
              <w:t>. Savukārt 2016.g</w:t>
            </w:r>
            <w:r w:rsidR="007C495B">
              <w:rPr>
                <w:sz w:val="28"/>
                <w:szCs w:val="28"/>
              </w:rPr>
              <w:t>adā ir nepieciešami 2 548</w:t>
            </w:r>
            <w:r w:rsidR="00296C32">
              <w:rPr>
                <w:sz w:val="28"/>
                <w:szCs w:val="28"/>
              </w:rPr>
              <w:t> </w:t>
            </w:r>
            <w:r w:rsidR="007C495B">
              <w:rPr>
                <w:sz w:val="28"/>
                <w:szCs w:val="28"/>
              </w:rPr>
              <w:t>107</w:t>
            </w:r>
            <w:r w:rsidR="00296C32">
              <w:rPr>
                <w:sz w:val="28"/>
                <w:szCs w:val="28"/>
              </w:rPr>
              <w:t> </w:t>
            </w:r>
            <w:r w:rsidR="007C495B" w:rsidRPr="00EB0A95">
              <w:rPr>
                <w:i/>
                <w:sz w:val="28"/>
                <w:szCs w:val="28"/>
              </w:rPr>
              <w:t>euro</w:t>
            </w:r>
            <w:r w:rsidR="007C495B">
              <w:rPr>
                <w:sz w:val="28"/>
                <w:szCs w:val="28"/>
              </w:rPr>
              <w:t xml:space="preserve"> un 2017.gadā</w:t>
            </w:r>
            <w:r w:rsidR="00EB0A95">
              <w:rPr>
                <w:sz w:val="28"/>
                <w:szCs w:val="28"/>
              </w:rPr>
              <w:t xml:space="preserve"> -</w:t>
            </w:r>
            <w:r w:rsidR="007C495B">
              <w:rPr>
                <w:sz w:val="28"/>
                <w:szCs w:val="28"/>
              </w:rPr>
              <w:t xml:space="preserve"> 2 651 931 </w:t>
            </w:r>
            <w:r w:rsidR="007C495B" w:rsidRPr="00EB0A95">
              <w:rPr>
                <w:i/>
                <w:sz w:val="28"/>
                <w:szCs w:val="28"/>
              </w:rPr>
              <w:t>eu</w:t>
            </w:r>
            <w:r w:rsidR="00732702" w:rsidRPr="00EB0A95">
              <w:rPr>
                <w:i/>
                <w:sz w:val="28"/>
                <w:szCs w:val="28"/>
              </w:rPr>
              <w:t>ro</w:t>
            </w:r>
            <w:r w:rsidR="00732702">
              <w:rPr>
                <w:sz w:val="28"/>
                <w:szCs w:val="28"/>
              </w:rPr>
              <w:t xml:space="preserve">, kas </w:t>
            </w:r>
            <w:r>
              <w:rPr>
                <w:sz w:val="28"/>
                <w:szCs w:val="28"/>
              </w:rPr>
              <w:t>ir plānoti</w:t>
            </w:r>
            <w:r w:rsidR="00732702">
              <w:rPr>
                <w:sz w:val="28"/>
                <w:szCs w:val="28"/>
              </w:rPr>
              <w:t xml:space="preserve"> kā daļa no</w:t>
            </w:r>
            <w:r>
              <w:rPr>
                <w:sz w:val="28"/>
                <w:szCs w:val="28"/>
              </w:rPr>
              <w:t xml:space="preserve"> </w:t>
            </w:r>
            <w:r w:rsidR="003C6D77">
              <w:rPr>
                <w:sz w:val="28"/>
                <w:szCs w:val="28"/>
              </w:rPr>
              <w:t>JPI</w:t>
            </w:r>
            <w:r>
              <w:rPr>
                <w:sz w:val="28"/>
                <w:szCs w:val="28"/>
              </w:rPr>
              <w:t xml:space="preserve"> „NBS esošo spēju attīstībai nepieciešamās kapacitātes nodrošināšana</w:t>
            </w:r>
            <w:r w:rsidR="00BF5ABA">
              <w:rPr>
                <w:sz w:val="28"/>
                <w:szCs w:val="28"/>
              </w:rPr>
              <w:t xml:space="preserve"> un sociālo garantiju nodrošināšana</w:t>
            </w:r>
            <w:r>
              <w:rPr>
                <w:sz w:val="28"/>
                <w:szCs w:val="28"/>
              </w:rPr>
              <w:t xml:space="preserve"> aizsardzības nozarē strādājošajiem</w:t>
            </w:r>
            <w:r w:rsidR="00BF5ABA">
              <w:rPr>
                <w:sz w:val="28"/>
                <w:szCs w:val="28"/>
              </w:rPr>
              <w:t>” un iekļauta Ministru kabineta 2014.gada 10.novembrī apstiprinātajā f</w:t>
            </w:r>
            <w:r w:rsidR="001D5687">
              <w:rPr>
                <w:sz w:val="28"/>
                <w:szCs w:val="28"/>
              </w:rPr>
              <w:t>inansējumā aizsardzības nozarei</w:t>
            </w:r>
            <w:r w:rsidR="00BF5ABA">
              <w:rPr>
                <w:sz w:val="28"/>
                <w:szCs w:val="28"/>
              </w:rPr>
              <w:t xml:space="preserve">. </w:t>
            </w:r>
          </w:p>
        </w:tc>
      </w:tr>
    </w:tbl>
    <w:p w:rsidR="00226001" w:rsidRPr="006E1657" w:rsidRDefault="00226001" w:rsidP="00226001">
      <w:r w:rsidRPr="006E1657">
        <w:lastRenderedPageBreak/>
        <w:t> </w:t>
      </w:r>
    </w:p>
    <w:tbl>
      <w:tblPr>
        <w:tblW w:w="5365"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488"/>
        <w:gridCol w:w="5884"/>
      </w:tblGrid>
      <w:tr w:rsidR="00226001" w:rsidRPr="006E1657" w:rsidTr="00055AF4">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6E1657" w:rsidRDefault="00226001" w:rsidP="00226001">
            <w:pPr>
              <w:rPr>
                <w:b/>
                <w:bCs/>
                <w:sz w:val="28"/>
                <w:szCs w:val="28"/>
              </w:rPr>
            </w:pPr>
            <w:r w:rsidRPr="006E1657">
              <w:rPr>
                <w:b/>
                <w:bCs/>
                <w:sz w:val="28"/>
                <w:szCs w:val="28"/>
              </w:rPr>
              <w:t>II. Tiesību akta projekta ietekme uz sabiedrību, tautsaimniecības attīstību un administratīvo slogu</w:t>
            </w:r>
          </w:p>
        </w:tc>
      </w:tr>
      <w:tr w:rsidR="00F24779" w:rsidRPr="006E1657" w:rsidTr="00055AF4">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1.</w:t>
            </w:r>
          </w:p>
        </w:tc>
        <w:tc>
          <w:tcPr>
            <w:tcW w:w="1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Sabiedrības mērķgrupas, kuras tiesiskais regulējums ietekmē vai varētu ietekmēt</w:t>
            </w:r>
          </w:p>
        </w:tc>
        <w:tc>
          <w:tcPr>
            <w:tcW w:w="3206" w:type="pct"/>
            <w:tcBorders>
              <w:top w:val="outset" w:sz="6" w:space="0" w:color="auto"/>
              <w:left w:val="outset" w:sz="6" w:space="0" w:color="auto"/>
              <w:bottom w:val="outset" w:sz="6" w:space="0" w:color="auto"/>
              <w:right w:val="outset" w:sz="6" w:space="0" w:color="auto"/>
            </w:tcBorders>
            <w:hideMark/>
          </w:tcPr>
          <w:p w:rsidR="00910940" w:rsidRPr="006E1657" w:rsidRDefault="00910940" w:rsidP="006B1A16">
            <w:pPr>
              <w:jc w:val="both"/>
              <w:rPr>
                <w:sz w:val="28"/>
                <w:szCs w:val="28"/>
              </w:rPr>
            </w:pPr>
            <w:r w:rsidRPr="006E1657">
              <w:rPr>
                <w:sz w:val="28"/>
                <w:szCs w:val="28"/>
              </w:rPr>
              <w:t xml:space="preserve">Noteikumu projekts attiecināms uz </w:t>
            </w:r>
            <w:r w:rsidR="00DD7579" w:rsidRPr="006E1657">
              <w:rPr>
                <w:sz w:val="28"/>
                <w:szCs w:val="28"/>
              </w:rPr>
              <w:t>Nacionālo bruņoto spēku karavīri</w:t>
            </w:r>
            <w:r w:rsidRPr="006E1657">
              <w:rPr>
                <w:sz w:val="28"/>
                <w:szCs w:val="28"/>
              </w:rPr>
              <w:t>em</w:t>
            </w:r>
            <w:r w:rsidR="006B1A16">
              <w:rPr>
                <w:sz w:val="28"/>
                <w:szCs w:val="28"/>
              </w:rPr>
              <w:t>.</w:t>
            </w:r>
          </w:p>
        </w:tc>
      </w:tr>
      <w:tr w:rsidR="00F24779" w:rsidRPr="006E1657" w:rsidTr="00055AF4">
        <w:trPr>
          <w:trHeight w:val="51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2.</w:t>
            </w:r>
          </w:p>
        </w:tc>
        <w:tc>
          <w:tcPr>
            <w:tcW w:w="1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Tiesiskā regulējuma ietekme uz tautsaimniecību un administratīvo slogu</w:t>
            </w:r>
          </w:p>
        </w:tc>
        <w:tc>
          <w:tcPr>
            <w:tcW w:w="3206" w:type="pct"/>
            <w:tcBorders>
              <w:top w:val="outset" w:sz="6" w:space="0" w:color="auto"/>
              <w:left w:val="outset" w:sz="6" w:space="0" w:color="auto"/>
              <w:bottom w:val="outset" w:sz="6" w:space="0" w:color="auto"/>
              <w:right w:val="outset" w:sz="6" w:space="0" w:color="auto"/>
            </w:tcBorders>
            <w:hideMark/>
          </w:tcPr>
          <w:p w:rsidR="00226001" w:rsidRPr="006E1657" w:rsidRDefault="00910940" w:rsidP="006B1A16">
            <w:pPr>
              <w:jc w:val="both"/>
              <w:rPr>
                <w:sz w:val="28"/>
                <w:szCs w:val="28"/>
              </w:rPr>
            </w:pPr>
            <w:r w:rsidRPr="006E1657">
              <w:rPr>
                <w:sz w:val="28"/>
                <w:szCs w:val="28"/>
              </w:rPr>
              <w:t>Noteikumu projekts nemaina tiesības un pienākumus, kā arī veicamās darbības</w:t>
            </w:r>
            <w:r w:rsidR="006B1A16">
              <w:rPr>
                <w:sz w:val="28"/>
                <w:szCs w:val="28"/>
              </w:rPr>
              <w:t>.</w:t>
            </w:r>
          </w:p>
        </w:tc>
      </w:tr>
      <w:tr w:rsidR="00F24779" w:rsidRPr="006E1657" w:rsidTr="00055AF4">
        <w:trPr>
          <w:trHeight w:val="51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3.</w:t>
            </w:r>
          </w:p>
        </w:tc>
        <w:tc>
          <w:tcPr>
            <w:tcW w:w="1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Administratīvo izmaksu monetārs novērtējums</w:t>
            </w:r>
          </w:p>
        </w:tc>
        <w:tc>
          <w:tcPr>
            <w:tcW w:w="3206" w:type="pct"/>
            <w:tcBorders>
              <w:top w:val="outset" w:sz="6" w:space="0" w:color="auto"/>
              <w:left w:val="outset" w:sz="6" w:space="0" w:color="auto"/>
              <w:bottom w:val="outset" w:sz="6" w:space="0" w:color="auto"/>
              <w:right w:val="outset" w:sz="6" w:space="0" w:color="auto"/>
            </w:tcBorders>
            <w:hideMark/>
          </w:tcPr>
          <w:p w:rsidR="00226001" w:rsidRPr="006E1657" w:rsidRDefault="009235D7" w:rsidP="00226001">
            <w:pPr>
              <w:rPr>
                <w:sz w:val="28"/>
                <w:szCs w:val="28"/>
              </w:rPr>
            </w:pPr>
            <w:r w:rsidRPr="006E1657">
              <w:rPr>
                <w:sz w:val="28"/>
                <w:szCs w:val="28"/>
              </w:rPr>
              <w:t>Projekts šo jomu neskar.</w:t>
            </w:r>
          </w:p>
        </w:tc>
      </w:tr>
      <w:tr w:rsidR="00F24779" w:rsidRPr="006E1657" w:rsidTr="00055AF4">
        <w:trPr>
          <w:trHeight w:val="456"/>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4.</w:t>
            </w:r>
          </w:p>
        </w:tc>
        <w:tc>
          <w:tcPr>
            <w:tcW w:w="1364"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Cita informācija</w:t>
            </w:r>
          </w:p>
        </w:tc>
        <w:tc>
          <w:tcPr>
            <w:tcW w:w="3206"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Na</w:t>
            </w:r>
            <w:r w:rsidR="009235D7" w:rsidRPr="006E1657">
              <w:rPr>
                <w:sz w:val="28"/>
                <w:szCs w:val="28"/>
              </w:rPr>
              <w:t>v</w:t>
            </w:r>
          </w:p>
        </w:tc>
      </w:tr>
    </w:tbl>
    <w:p w:rsidR="00226001" w:rsidRPr="006E1657" w:rsidRDefault="00226001" w:rsidP="00226001"/>
    <w:p w:rsidR="00226001" w:rsidRPr="006E1657" w:rsidRDefault="00226001" w:rsidP="00226001">
      <w:pPr>
        <w:rPr>
          <w:sz w:val="28"/>
          <w:szCs w:val="28"/>
        </w:rPr>
      </w:pPr>
      <w:r w:rsidRPr="006E1657">
        <w:t> </w:t>
      </w:r>
      <w:r w:rsidRPr="006E1657">
        <w:rPr>
          <w:sz w:val="28"/>
          <w:szCs w:val="28"/>
        </w:rPr>
        <w:t>  </w:t>
      </w:r>
    </w:p>
    <w:tbl>
      <w:tblPr>
        <w:tblW w:w="5306" w:type="pct"/>
        <w:jc w:val="center"/>
        <w:tblCellSpacing w:w="15" w:type="dxa"/>
        <w:tblInd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8"/>
        <w:gridCol w:w="2666"/>
        <w:gridCol w:w="5580"/>
      </w:tblGrid>
      <w:tr w:rsidR="00226001" w:rsidRPr="006E1657" w:rsidTr="00055AF4">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6E1657" w:rsidRDefault="00226001" w:rsidP="00226001">
            <w:pPr>
              <w:rPr>
                <w:b/>
                <w:bCs/>
                <w:sz w:val="28"/>
                <w:szCs w:val="28"/>
              </w:rPr>
            </w:pPr>
            <w:r w:rsidRPr="006E1657">
              <w:rPr>
                <w:b/>
                <w:bCs/>
                <w:sz w:val="28"/>
                <w:szCs w:val="28"/>
              </w:rPr>
              <w:t>VII. Tiesību akta projekta izpildes nodrošināšana un tās ietekme uz institūcijām</w:t>
            </w:r>
          </w:p>
        </w:tc>
      </w:tr>
      <w:tr w:rsidR="00204FD2" w:rsidRPr="006E1657" w:rsidTr="00055AF4">
        <w:trPr>
          <w:trHeight w:val="420"/>
          <w:tblCellSpacing w:w="15" w:type="dxa"/>
          <w:jc w:val="center"/>
        </w:trPr>
        <w:tc>
          <w:tcPr>
            <w:tcW w:w="383"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1.</w:t>
            </w:r>
          </w:p>
        </w:tc>
        <w:tc>
          <w:tcPr>
            <w:tcW w:w="1479"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Projekta izpildē iesaistītās institūcijas</w:t>
            </w:r>
          </w:p>
        </w:tc>
        <w:tc>
          <w:tcPr>
            <w:tcW w:w="3071" w:type="pct"/>
            <w:tcBorders>
              <w:top w:val="outset" w:sz="6" w:space="0" w:color="auto"/>
              <w:left w:val="outset" w:sz="6" w:space="0" w:color="auto"/>
              <w:bottom w:val="outset" w:sz="6" w:space="0" w:color="auto"/>
              <w:right w:val="outset" w:sz="6" w:space="0" w:color="auto"/>
            </w:tcBorders>
            <w:hideMark/>
          </w:tcPr>
          <w:p w:rsidR="00226001" w:rsidRPr="006E1657" w:rsidRDefault="00C3358A" w:rsidP="007C495B">
            <w:pPr>
              <w:jc w:val="both"/>
              <w:rPr>
                <w:sz w:val="28"/>
                <w:szCs w:val="28"/>
              </w:rPr>
            </w:pPr>
            <w:r w:rsidRPr="006E1657">
              <w:rPr>
                <w:sz w:val="28"/>
                <w:szCs w:val="28"/>
              </w:rPr>
              <w:t>Projekta izpildi nodrošinās Aizsardzības ministrija</w:t>
            </w:r>
            <w:r w:rsidR="006B1A16">
              <w:rPr>
                <w:sz w:val="28"/>
                <w:szCs w:val="28"/>
              </w:rPr>
              <w:t>,</w:t>
            </w:r>
            <w:r w:rsidRPr="006E1657">
              <w:rPr>
                <w:sz w:val="28"/>
                <w:szCs w:val="28"/>
              </w:rPr>
              <w:t xml:space="preserve"> Nacionālie bruņotie spēki</w:t>
            </w:r>
            <w:r w:rsidR="006B1A16">
              <w:rPr>
                <w:sz w:val="28"/>
                <w:szCs w:val="28"/>
              </w:rPr>
              <w:t>, Valsts aizsardzības milit</w:t>
            </w:r>
            <w:r w:rsidR="00E43C39">
              <w:rPr>
                <w:sz w:val="28"/>
                <w:szCs w:val="28"/>
              </w:rPr>
              <w:t xml:space="preserve">āro objektu un iepirkumu </w:t>
            </w:r>
            <w:r w:rsidR="00E43C39">
              <w:rPr>
                <w:sz w:val="28"/>
                <w:szCs w:val="28"/>
              </w:rPr>
              <w:lastRenderedPageBreak/>
              <w:t>centrs un</w:t>
            </w:r>
            <w:r w:rsidR="006B1A16">
              <w:rPr>
                <w:sz w:val="28"/>
                <w:szCs w:val="28"/>
              </w:rPr>
              <w:t xml:space="preserve"> </w:t>
            </w:r>
            <w:proofErr w:type="spellStart"/>
            <w:r w:rsidR="007C495B">
              <w:rPr>
                <w:sz w:val="28"/>
                <w:szCs w:val="28"/>
              </w:rPr>
              <w:t>Rekrutēšanas</w:t>
            </w:r>
            <w:proofErr w:type="spellEnd"/>
            <w:r w:rsidR="007C495B">
              <w:rPr>
                <w:sz w:val="28"/>
                <w:szCs w:val="28"/>
              </w:rPr>
              <w:t xml:space="preserve"> un </w:t>
            </w:r>
            <w:proofErr w:type="spellStart"/>
            <w:r w:rsidR="007C495B">
              <w:rPr>
                <w:sz w:val="28"/>
                <w:szCs w:val="28"/>
              </w:rPr>
              <w:t>j</w:t>
            </w:r>
            <w:r w:rsidR="006B1A16">
              <w:rPr>
                <w:sz w:val="28"/>
                <w:szCs w:val="28"/>
              </w:rPr>
              <w:t>aunsardzes</w:t>
            </w:r>
            <w:proofErr w:type="spellEnd"/>
            <w:r w:rsidR="006B1A16">
              <w:rPr>
                <w:sz w:val="28"/>
                <w:szCs w:val="28"/>
              </w:rPr>
              <w:t xml:space="preserve"> centrs</w:t>
            </w:r>
            <w:r w:rsidRPr="006E1657">
              <w:rPr>
                <w:sz w:val="28"/>
                <w:szCs w:val="28"/>
              </w:rPr>
              <w:t xml:space="preserve"> normatīvajos aktos noteiktajā kārtībā.</w:t>
            </w:r>
          </w:p>
        </w:tc>
      </w:tr>
      <w:tr w:rsidR="00204FD2" w:rsidRPr="006E1657" w:rsidTr="00055AF4">
        <w:trPr>
          <w:trHeight w:val="450"/>
          <w:tblCellSpacing w:w="15" w:type="dxa"/>
          <w:jc w:val="center"/>
        </w:trPr>
        <w:tc>
          <w:tcPr>
            <w:tcW w:w="383"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lastRenderedPageBreak/>
              <w:t>2.</w:t>
            </w:r>
          </w:p>
        </w:tc>
        <w:tc>
          <w:tcPr>
            <w:tcW w:w="1479"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 xml:space="preserve">Projekta izpildes ietekme uz pārvaldes funkcijām un institucionālo struktūru. </w:t>
            </w:r>
          </w:p>
          <w:p w:rsidR="00226001" w:rsidRPr="006E1657" w:rsidRDefault="00226001" w:rsidP="00226001">
            <w:pPr>
              <w:rPr>
                <w:sz w:val="28"/>
                <w:szCs w:val="28"/>
              </w:rPr>
            </w:pPr>
            <w:r w:rsidRPr="006E1657">
              <w:rPr>
                <w:sz w:val="28"/>
                <w:szCs w:val="28"/>
              </w:rPr>
              <w:t>Jaunu institūciju izveide, esošu institūciju likvidācija vai reorganizācija, to ietekme uz institūcijas cilvēkresursiem</w:t>
            </w:r>
          </w:p>
        </w:tc>
        <w:tc>
          <w:tcPr>
            <w:tcW w:w="3071" w:type="pct"/>
            <w:tcBorders>
              <w:top w:val="outset" w:sz="6" w:space="0" w:color="auto"/>
              <w:left w:val="outset" w:sz="6" w:space="0" w:color="auto"/>
              <w:bottom w:val="outset" w:sz="6" w:space="0" w:color="auto"/>
              <w:right w:val="outset" w:sz="6" w:space="0" w:color="auto"/>
            </w:tcBorders>
            <w:hideMark/>
          </w:tcPr>
          <w:p w:rsidR="00226001" w:rsidRPr="006E1657" w:rsidRDefault="006E64F5" w:rsidP="006B1A16">
            <w:pPr>
              <w:jc w:val="both"/>
              <w:rPr>
                <w:sz w:val="28"/>
                <w:szCs w:val="28"/>
              </w:rPr>
            </w:pPr>
            <w:r w:rsidRPr="006E1657">
              <w:rPr>
                <w:sz w:val="28"/>
                <w:szCs w:val="28"/>
              </w:rPr>
              <w:t xml:space="preserve">Projekta izpilde notiks esošo pārvaldes funkciju ietvaros. </w:t>
            </w:r>
            <w:r w:rsidR="00C3358A" w:rsidRPr="006E1657">
              <w:rPr>
                <w:sz w:val="28"/>
                <w:szCs w:val="28"/>
              </w:rPr>
              <w:t>Veicamās funkcijas un uzdevumi netiek paplašināti vai sašaurināti.</w:t>
            </w:r>
            <w:r w:rsidR="0015005A" w:rsidRPr="006E1657">
              <w:rPr>
                <w:sz w:val="28"/>
                <w:szCs w:val="28"/>
              </w:rPr>
              <w:t xml:space="preserve"> </w:t>
            </w:r>
          </w:p>
        </w:tc>
      </w:tr>
      <w:tr w:rsidR="00204FD2" w:rsidRPr="006E1657" w:rsidTr="00055AF4">
        <w:trPr>
          <w:trHeight w:val="390"/>
          <w:tblCellSpacing w:w="15" w:type="dxa"/>
          <w:jc w:val="center"/>
        </w:trPr>
        <w:tc>
          <w:tcPr>
            <w:tcW w:w="383"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3.</w:t>
            </w:r>
          </w:p>
        </w:tc>
        <w:tc>
          <w:tcPr>
            <w:tcW w:w="1479"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Cita informācija</w:t>
            </w:r>
          </w:p>
        </w:tc>
        <w:tc>
          <w:tcPr>
            <w:tcW w:w="3071" w:type="pct"/>
            <w:tcBorders>
              <w:top w:val="outset" w:sz="6" w:space="0" w:color="auto"/>
              <w:left w:val="outset" w:sz="6" w:space="0" w:color="auto"/>
              <w:bottom w:val="outset" w:sz="6" w:space="0" w:color="auto"/>
              <w:right w:val="outset" w:sz="6" w:space="0" w:color="auto"/>
            </w:tcBorders>
            <w:hideMark/>
          </w:tcPr>
          <w:p w:rsidR="00226001" w:rsidRPr="006E1657" w:rsidRDefault="00226001" w:rsidP="00226001">
            <w:pPr>
              <w:rPr>
                <w:sz w:val="28"/>
                <w:szCs w:val="28"/>
              </w:rPr>
            </w:pPr>
            <w:r w:rsidRPr="006E1657">
              <w:rPr>
                <w:sz w:val="28"/>
                <w:szCs w:val="28"/>
              </w:rPr>
              <w:t>Nav</w:t>
            </w:r>
          </w:p>
        </w:tc>
      </w:tr>
    </w:tbl>
    <w:p w:rsidR="009F337A" w:rsidRPr="006E1657" w:rsidRDefault="009F337A" w:rsidP="00CB08E1">
      <w:pPr>
        <w:rPr>
          <w:rFonts w:cs="Times New Roman"/>
          <w:sz w:val="28"/>
          <w:szCs w:val="28"/>
          <w:lang w:eastAsia="lv-LV" w:bidi="ar-SA"/>
        </w:rPr>
      </w:pPr>
    </w:p>
    <w:p w:rsidR="00F5030A" w:rsidRDefault="009F337A" w:rsidP="00CD33D9">
      <w:pPr>
        <w:ind w:left="-709"/>
        <w:rPr>
          <w:rFonts w:cs="Times New Roman"/>
          <w:sz w:val="28"/>
          <w:szCs w:val="28"/>
          <w:lang w:eastAsia="lv-LV" w:bidi="ar-SA"/>
        </w:rPr>
      </w:pPr>
      <w:r w:rsidRPr="006E1657">
        <w:rPr>
          <w:rFonts w:cs="Times New Roman"/>
          <w:sz w:val="28"/>
          <w:szCs w:val="28"/>
          <w:lang w:eastAsia="lv-LV" w:bidi="ar-SA"/>
        </w:rPr>
        <w:t xml:space="preserve">  </w:t>
      </w:r>
      <w:r w:rsidR="00CD33D9" w:rsidRPr="006E1657">
        <w:rPr>
          <w:rFonts w:cs="Times New Roman"/>
          <w:sz w:val="28"/>
          <w:szCs w:val="28"/>
          <w:lang w:eastAsia="lv-LV" w:bidi="ar-SA"/>
        </w:rPr>
        <w:t xml:space="preserve"> </w:t>
      </w:r>
    </w:p>
    <w:p w:rsidR="00F5030A" w:rsidRDefault="00F5030A" w:rsidP="00CD33D9">
      <w:pPr>
        <w:ind w:left="-709"/>
        <w:rPr>
          <w:rFonts w:cs="Times New Roman"/>
          <w:sz w:val="28"/>
          <w:szCs w:val="28"/>
          <w:lang w:eastAsia="lv-LV" w:bidi="ar-SA"/>
        </w:rPr>
      </w:pPr>
    </w:p>
    <w:p w:rsidR="00364681" w:rsidRPr="006E1657" w:rsidRDefault="00CD33D9" w:rsidP="00CD33D9">
      <w:pPr>
        <w:ind w:left="-709"/>
        <w:rPr>
          <w:rFonts w:cs="Times New Roman"/>
          <w:sz w:val="28"/>
          <w:szCs w:val="28"/>
          <w:lang w:eastAsia="lv-LV" w:bidi="ar-SA"/>
        </w:rPr>
      </w:pPr>
      <w:r w:rsidRPr="006E1657">
        <w:rPr>
          <w:rFonts w:cs="Times New Roman"/>
          <w:sz w:val="28"/>
          <w:szCs w:val="28"/>
          <w:lang w:eastAsia="lv-LV" w:bidi="ar-SA"/>
        </w:rPr>
        <w:t xml:space="preserve"> </w:t>
      </w:r>
      <w:r w:rsidR="00790A41" w:rsidRPr="006E1657">
        <w:rPr>
          <w:rFonts w:cs="Times New Roman"/>
          <w:i/>
          <w:sz w:val="28"/>
          <w:szCs w:val="28"/>
          <w:lang w:eastAsia="lv-LV" w:bidi="ar-SA"/>
        </w:rPr>
        <w:t>An</w:t>
      </w:r>
      <w:r w:rsidR="00D41263" w:rsidRPr="006E1657">
        <w:rPr>
          <w:rFonts w:cs="Times New Roman"/>
          <w:i/>
          <w:sz w:val="28"/>
          <w:szCs w:val="28"/>
          <w:lang w:eastAsia="lv-LV" w:bidi="ar-SA"/>
        </w:rPr>
        <w:t>otācijas</w:t>
      </w:r>
      <w:r w:rsidR="00790A41" w:rsidRPr="006E1657">
        <w:rPr>
          <w:rFonts w:cs="Times New Roman"/>
          <w:i/>
          <w:sz w:val="28"/>
          <w:szCs w:val="28"/>
          <w:lang w:eastAsia="lv-LV" w:bidi="ar-SA"/>
        </w:rPr>
        <w:t xml:space="preserve"> </w:t>
      </w:r>
      <w:r w:rsidR="006B1A16">
        <w:rPr>
          <w:rFonts w:cs="Times New Roman"/>
          <w:i/>
          <w:sz w:val="28"/>
          <w:szCs w:val="28"/>
          <w:lang w:eastAsia="lv-LV" w:bidi="ar-SA"/>
        </w:rPr>
        <w:t xml:space="preserve">III, IV, </w:t>
      </w:r>
      <w:r w:rsidR="001E7CA9" w:rsidRPr="006E1657">
        <w:rPr>
          <w:rFonts w:cs="Times New Roman"/>
          <w:i/>
          <w:sz w:val="28"/>
          <w:szCs w:val="28"/>
          <w:lang w:eastAsia="lv-LV" w:bidi="ar-SA"/>
        </w:rPr>
        <w:t>V un VI sadaļa – projekts šīs jomas</w:t>
      </w:r>
      <w:r w:rsidR="00FD1311" w:rsidRPr="006E1657">
        <w:rPr>
          <w:rFonts w:cs="Times New Roman"/>
          <w:i/>
          <w:sz w:val="28"/>
          <w:szCs w:val="28"/>
          <w:lang w:eastAsia="lv-LV" w:bidi="ar-SA"/>
        </w:rPr>
        <w:t xml:space="preserve"> neskar</w:t>
      </w:r>
    </w:p>
    <w:p w:rsidR="00892928" w:rsidRPr="006E1657" w:rsidRDefault="00892928" w:rsidP="00790A41">
      <w:pPr>
        <w:tabs>
          <w:tab w:val="right" w:pos="9074"/>
        </w:tabs>
        <w:ind w:left="-709"/>
        <w:rPr>
          <w:rFonts w:cs="Times New Roman"/>
          <w:sz w:val="28"/>
          <w:szCs w:val="28"/>
          <w:lang w:eastAsia="lv-LV" w:bidi="ar-SA"/>
        </w:rPr>
      </w:pPr>
    </w:p>
    <w:p w:rsidR="006B4918" w:rsidRDefault="006B4918" w:rsidP="00790A41">
      <w:pPr>
        <w:tabs>
          <w:tab w:val="right" w:pos="9074"/>
        </w:tabs>
        <w:ind w:left="-709"/>
        <w:rPr>
          <w:rFonts w:cs="Times New Roman"/>
          <w:sz w:val="28"/>
          <w:szCs w:val="28"/>
          <w:lang w:eastAsia="lv-LV" w:bidi="ar-SA"/>
        </w:rPr>
      </w:pPr>
    </w:p>
    <w:p w:rsidR="00456BE6" w:rsidRPr="006E1657" w:rsidRDefault="00456BE6" w:rsidP="00790A41">
      <w:pPr>
        <w:tabs>
          <w:tab w:val="right" w:pos="9074"/>
        </w:tabs>
        <w:ind w:left="-709"/>
        <w:rPr>
          <w:rFonts w:cs="Times New Roman"/>
          <w:sz w:val="28"/>
          <w:szCs w:val="28"/>
          <w:lang w:eastAsia="lv-LV" w:bidi="ar-SA"/>
        </w:rPr>
      </w:pPr>
    </w:p>
    <w:p w:rsidR="00790A41" w:rsidRPr="006E1657" w:rsidRDefault="00892928" w:rsidP="00790A41">
      <w:pPr>
        <w:tabs>
          <w:tab w:val="right" w:pos="9074"/>
        </w:tabs>
        <w:ind w:left="-709"/>
        <w:rPr>
          <w:rFonts w:cs="Times New Roman"/>
          <w:sz w:val="28"/>
          <w:szCs w:val="28"/>
          <w:lang w:eastAsia="lv-LV" w:bidi="ar-SA"/>
        </w:rPr>
      </w:pPr>
      <w:r w:rsidRPr="006E1657">
        <w:rPr>
          <w:rFonts w:cs="Times New Roman"/>
          <w:sz w:val="28"/>
          <w:szCs w:val="28"/>
          <w:lang w:eastAsia="lv-LV" w:bidi="ar-SA"/>
        </w:rPr>
        <w:t xml:space="preserve">     </w:t>
      </w:r>
      <w:r w:rsidR="00790A41" w:rsidRPr="006E1657">
        <w:rPr>
          <w:rFonts w:cs="Times New Roman"/>
          <w:sz w:val="28"/>
          <w:szCs w:val="28"/>
          <w:lang w:eastAsia="lv-LV" w:bidi="ar-SA"/>
        </w:rPr>
        <w:t>Aizsardzības ministrs</w:t>
      </w:r>
      <w:proofErr w:type="gramStart"/>
      <w:r w:rsidR="00790A41" w:rsidRPr="006E1657">
        <w:rPr>
          <w:rFonts w:cs="Times New Roman"/>
          <w:sz w:val="28"/>
          <w:szCs w:val="28"/>
          <w:lang w:eastAsia="lv-LV" w:bidi="ar-SA"/>
        </w:rPr>
        <w:t xml:space="preserve">                                              </w:t>
      </w:r>
      <w:r w:rsidR="00055AF4" w:rsidRPr="006E1657">
        <w:rPr>
          <w:rFonts w:cs="Times New Roman"/>
          <w:sz w:val="28"/>
          <w:szCs w:val="28"/>
          <w:lang w:eastAsia="lv-LV" w:bidi="ar-SA"/>
        </w:rPr>
        <w:t xml:space="preserve">                        </w:t>
      </w:r>
      <w:proofErr w:type="gramEnd"/>
      <w:r w:rsidR="00790A41" w:rsidRPr="006E1657">
        <w:rPr>
          <w:rFonts w:cs="Times New Roman"/>
          <w:sz w:val="28"/>
          <w:szCs w:val="28"/>
          <w:lang w:eastAsia="lv-LV" w:bidi="ar-SA"/>
        </w:rPr>
        <w:t xml:space="preserve">R.Vējonis </w:t>
      </w:r>
    </w:p>
    <w:p w:rsidR="00790A41" w:rsidRPr="006E1657" w:rsidRDefault="00790A41" w:rsidP="00790A41">
      <w:pPr>
        <w:tabs>
          <w:tab w:val="right" w:pos="9074"/>
        </w:tabs>
        <w:rPr>
          <w:rFonts w:cs="Times New Roman"/>
          <w:sz w:val="28"/>
          <w:szCs w:val="28"/>
          <w:lang w:eastAsia="lv-LV" w:bidi="ar-SA"/>
        </w:rPr>
      </w:pPr>
    </w:p>
    <w:p w:rsidR="007568C6" w:rsidRPr="006E1657" w:rsidRDefault="00055AF4" w:rsidP="007568C6">
      <w:pPr>
        <w:ind w:left="-709"/>
        <w:rPr>
          <w:rFonts w:cs="Times New Roman"/>
          <w:sz w:val="28"/>
          <w:szCs w:val="28"/>
          <w:lang w:eastAsia="lv-LV" w:bidi="ar-SA"/>
        </w:rPr>
      </w:pPr>
      <w:r w:rsidRPr="006E1657">
        <w:rPr>
          <w:rFonts w:cs="Times New Roman"/>
          <w:sz w:val="28"/>
          <w:szCs w:val="28"/>
          <w:lang w:eastAsia="lv-LV" w:bidi="ar-SA"/>
        </w:rPr>
        <w:t xml:space="preserve">     </w:t>
      </w:r>
    </w:p>
    <w:p w:rsidR="00790A41" w:rsidRPr="006E1657" w:rsidRDefault="007568C6" w:rsidP="007568C6">
      <w:pPr>
        <w:ind w:left="-709"/>
        <w:rPr>
          <w:rFonts w:cs="Times New Roman"/>
          <w:sz w:val="28"/>
          <w:szCs w:val="28"/>
          <w:lang w:eastAsia="lv-LV" w:bidi="ar-SA"/>
        </w:rPr>
      </w:pPr>
      <w:r w:rsidRPr="006E1657">
        <w:rPr>
          <w:rFonts w:cs="Times New Roman"/>
          <w:sz w:val="28"/>
          <w:szCs w:val="28"/>
          <w:lang w:eastAsia="lv-LV" w:bidi="ar-SA"/>
        </w:rPr>
        <w:t xml:space="preserve">     </w:t>
      </w:r>
      <w:r w:rsidR="00790A41" w:rsidRPr="006E1657">
        <w:rPr>
          <w:rFonts w:cs="Times New Roman"/>
          <w:sz w:val="28"/>
          <w:szCs w:val="28"/>
          <w:lang w:eastAsia="lv-LV" w:bidi="ar-SA"/>
        </w:rPr>
        <w:t>Vīza: Valsts sekretār</w:t>
      </w:r>
      <w:r w:rsidR="006E1657">
        <w:rPr>
          <w:rFonts w:cs="Times New Roman"/>
          <w:sz w:val="28"/>
          <w:szCs w:val="28"/>
          <w:lang w:eastAsia="lv-LV" w:bidi="ar-SA"/>
        </w:rPr>
        <w:t>s</w:t>
      </w:r>
      <w:r w:rsidR="00790A41" w:rsidRPr="006E1657">
        <w:rPr>
          <w:rFonts w:cs="Times New Roman"/>
          <w:sz w:val="28"/>
          <w:szCs w:val="28"/>
          <w:lang w:eastAsia="lv-LV" w:bidi="ar-SA"/>
        </w:rPr>
        <w:tab/>
      </w:r>
      <w:r w:rsidR="00790A41" w:rsidRPr="006E1657">
        <w:rPr>
          <w:rFonts w:cs="Times New Roman"/>
          <w:sz w:val="28"/>
          <w:szCs w:val="28"/>
          <w:lang w:eastAsia="lv-LV" w:bidi="ar-SA"/>
        </w:rPr>
        <w:tab/>
      </w:r>
      <w:r w:rsidR="00055AF4" w:rsidRPr="006E1657">
        <w:rPr>
          <w:rFonts w:cs="Times New Roman"/>
          <w:sz w:val="28"/>
          <w:szCs w:val="28"/>
          <w:lang w:eastAsia="lv-LV" w:bidi="ar-SA"/>
        </w:rPr>
        <w:tab/>
      </w:r>
      <w:r w:rsidR="00055AF4" w:rsidRPr="006E1657">
        <w:rPr>
          <w:rFonts w:cs="Times New Roman"/>
          <w:sz w:val="28"/>
          <w:szCs w:val="28"/>
          <w:lang w:eastAsia="lv-LV" w:bidi="ar-SA"/>
        </w:rPr>
        <w:tab/>
      </w:r>
      <w:r w:rsidR="00055AF4" w:rsidRPr="006E1657">
        <w:rPr>
          <w:rFonts w:cs="Times New Roman"/>
          <w:sz w:val="28"/>
          <w:szCs w:val="28"/>
          <w:lang w:eastAsia="lv-LV" w:bidi="ar-SA"/>
        </w:rPr>
        <w:tab/>
        <w:t xml:space="preserve">               </w:t>
      </w:r>
      <w:r w:rsidR="006E1657">
        <w:rPr>
          <w:rFonts w:cs="Times New Roman"/>
          <w:sz w:val="28"/>
          <w:szCs w:val="28"/>
          <w:lang w:eastAsia="lv-LV" w:bidi="ar-SA"/>
        </w:rPr>
        <w:t xml:space="preserve">         </w:t>
      </w:r>
      <w:r w:rsidR="00055AF4" w:rsidRPr="006E1657">
        <w:rPr>
          <w:rFonts w:cs="Times New Roman"/>
          <w:sz w:val="28"/>
          <w:szCs w:val="28"/>
          <w:lang w:eastAsia="lv-LV" w:bidi="ar-SA"/>
        </w:rPr>
        <w:t xml:space="preserve"> </w:t>
      </w:r>
      <w:r w:rsidRPr="006E1657">
        <w:rPr>
          <w:rFonts w:cs="Times New Roman"/>
          <w:sz w:val="28"/>
          <w:szCs w:val="28"/>
          <w:lang w:eastAsia="lv-LV" w:bidi="ar-SA"/>
        </w:rPr>
        <w:t xml:space="preserve"> </w:t>
      </w:r>
      <w:r w:rsidR="00055AF4" w:rsidRPr="006E1657">
        <w:rPr>
          <w:rFonts w:cs="Times New Roman"/>
          <w:sz w:val="28"/>
          <w:szCs w:val="28"/>
          <w:lang w:eastAsia="lv-LV" w:bidi="ar-SA"/>
        </w:rPr>
        <w:t xml:space="preserve"> </w:t>
      </w:r>
      <w:r w:rsidR="006E1657">
        <w:rPr>
          <w:rFonts w:cs="Times New Roman"/>
          <w:sz w:val="28"/>
          <w:szCs w:val="28"/>
          <w:lang w:eastAsia="lv-LV" w:bidi="ar-SA"/>
        </w:rPr>
        <w:t>J.Sārts</w:t>
      </w:r>
    </w:p>
    <w:p w:rsidR="00790A41" w:rsidRPr="006E1657" w:rsidRDefault="00790A41" w:rsidP="00790A41">
      <w:pPr>
        <w:ind w:left="-709"/>
        <w:rPr>
          <w:rFonts w:cs="Times New Roman"/>
          <w:color w:val="FF0000"/>
          <w:lang w:eastAsia="lv-LV" w:bidi="ar-SA"/>
        </w:rPr>
      </w:pPr>
    </w:p>
    <w:p w:rsidR="00332D02" w:rsidRPr="006E1657" w:rsidRDefault="00332D02" w:rsidP="00790A41">
      <w:pPr>
        <w:ind w:left="-709"/>
        <w:rPr>
          <w:rFonts w:cs="Times New Roman"/>
          <w:color w:val="FF0000"/>
          <w:lang w:eastAsia="lv-LV" w:bidi="ar-SA"/>
        </w:rPr>
      </w:pPr>
    </w:p>
    <w:p w:rsidR="00332D02" w:rsidRPr="006E1657" w:rsidRDefault="00332D02" w:rsidP="00790A41">
      <w:pPr>
        <w:ind w:left="-709"/>
        <w:rPr>
          <w:rFonts w:cs="Times New Roman"/>
          <w:color w:val="FF0000"/>
          <w:lang w:eastAsia="lv-LV" w:bidi="ar-SA"/>
        </w:rPr>
      </w:pPr>
    </w:p>
    <w:p w:rsidR="00332D02" w:rsidRDefault="00332D02" w:rsidP="00790A41">
      <w:pPr>
        <w:ind w:left="-709"/>
        <w:rPr>
          <w:rFonts w:cs="Times New Roman"/>
          <w:color w:val="FF0000"/>
          <w:lang w:eastAsia="lv-LV" w:bidi="ar-SA"/>
        </w:rPr>
      </w:pPr>
      <w:bookmarkStart w:id="1" w:name="_GoBack"/>
      <w:bookmarkEnd w:id="1"/>
    </w:p>
    <w:p w:rsidR="004C40C0" w:rsidRDefault="004C40C0" w:rsidP="00790A41">
      <w:pPr>
        <w:ind w:left="-709"/>
        <w:rPr>
          <w:rFonts w:cs="Times New Roman"/>
          <w:color w:val="FF0000"/>
          <w:lang w:eastAsia="lv-LV" w:bidi="ar-SA"/>
        </w:rPr>
      </w:pPr>
    </w:p>
    <w:p w:rsidR="004C40C0" w:rsidRDefault="004C40C0" w:rsidP="00790A41">
      <w:pPr>
        <w:ind w:left="-709"/>
        <w:rPr>
          <w:rFonts w:cs="Times New Roman"/>
          <w:color w:val="FF0000"/>
          <w:lang w:eastAsia="lv-LV" w:bidi="ar-SA"/>
        </w:rPr>
      </w:pPr>
    </w:p>
    <w:p w:rsidR="004C40C0" w:rsidRDefault="004C40C0" w:rsidP="00790A41">
      <w:pPr>
        <w:ind w:left="-709"/>
        <w:rPr>
          <w:rFonts w:cs="Times New Roman"/>
          <w:color w:val="FF0000"/>
          <w:lang w:eastAsia="lv-LV" w:bidi="ar-SA"/>
        </w:rPr>
      </w:pPr>
    </w:p>
    <w:p w:rsidR="004C40C0" w:rsidRDefault="004C40C0" w:rsidP="00790A41">
      <w:pPr>
        <w:ind w:left="-709"/>
        <w:rPr>
          <w:rFonts w:cs="Times New Roman"/>
          <w:color w:val="FF0000"/>
          <w:lang w:eastAsia="lv-LV" w:bidi="ar-SA"/>
        </w:rPr>
      </w:pPr>
    </w:p>
    <w:p w:rsidR="004C40C0" w:rsidRDefault="004C40C0" w:rsidP="00790A41">
      <w:pPr>
        <w:ind w:left="-709"/>
        <w:rPr>
          <w:rFonts w:cs="Times New Roman"/>
          <w:color w:val="FF0000"/>
          <w:lang w:eastAsia="lv-LV" w:bidi="ar-SA"/>
        </w:rPr>
      </w:pPr>
    </w:p>
    <w:p w:rsidR="004C40C0" w:rsidRDefault="004C40C0" w:rsidP="00790A41">
      <w:pPr>
        <w:ind w:left="-709"/>
        <w:rPr>
          <w:rFonts w:cs="Times New Roman"/>
          <w:color w:val="FF0000"/>
          <w:lang w:eastAsia="lv-LV" w:bidi="ar-SA"/>
        </w:rPr>
      </w:pPr>
    </w:p>
    <w:p w:rsidR="004C40C0" w:rsidRDefault="004C40C0" w:rsidP="00790A41">
      <w:pPr>
        <w:ind w:left="-709"/>
        <w:rPr>
          <w:rFonts w:cs="Times New Roman"/>
          <w:color w:val="FF0000"/>
          <w:lang w:eastAsia="lv-LV" w:bidi="ar-SA"/>
        </w:rPr>
      </w:pPr>
    </w:p>
    <w:p w:rsidR="004C40C0" w:rsidRPr="004C40C0" w:rsidRDefault="004C40C0" w:rsidP="00790A41">
      <w:pPr>
        <w:ind w:left="-709"/>
        <w:rPr>
          <w:rFonts w:cs="Times New Roman"/>
          <w:color w:val="FF0000"/>
          <w:lang w:eastAsia="lv-LV" w:bidi="ar-SA"/>
        </w:rPr>
      </w:pPr>
    </w:p>
    <w:p w:rsidR="007568C6" w:rsidRPr="004C40C0" w:rsidRDefault="007568C6" w:rsidP="00CD33D9">
      <w:pPr>
        <w:rPr>
          <w:rFonts w:cs="Times New Roman"/>
          <w:lang w:eastAsia="lv-LV" w:bidi="ar-SA"/>
        </w:rPr>
      </w:pPr>
    </w:p>
    <w:p w:rsidR="004C40C0" w:rsidRPr="004C40C0" w:rsidRDefault="00A17E0F" w:rsidP="004C40C0">
      <w:pPr>
        <w:rPr>
          <w:rFonts w:cs="Times New Roman"/>
        </w:rPr>
      </w:pPr>
      <w:r>
        <w:rPr>
          <w:rFonts w:cs="Times New Roman"/>
        </w:rPr>
        <w:t>08</w:t>
      </w:r>
      <w:r w:rsidR="004C40C0" w:rsidRPr="004C40C0">
        <w:rPr>
          <w:rFonts w:cs="Times New Roman"/>
        </w:rPr>
        <w:t>.</w:t>
      </w:r>
      <w:r>
        <w:rPr>
          <w:rFonts w:cs="Times New Roman"/>
        </w:rPr>
        <w:t>12</w:t>
      </w:r>
      <w:r w:rsidR="004C40C0" w:rsidRPr="004C40C0">
        <w:rPr>
          <w:rFonts w:cs="Times New Roman"/>
        </w:rPr>
        <w:t xml:space="preserve">.2014. </w:t>
      </w:r>
      <w:r w:rsidR="00EB0A95">
        <w:rPr>
          <w:rFonts w:cs="Times New Roman"/>
        </w:rPr>
        <w:t>10:27</w:t>
      </w:r>
    </w:p>
    <w:p w:rsidR="004C40C0" w:rsidRPr="004C40C0" w:rsidRDefault="0010471B" w:rsidP="004C40C0">
      <w:pPr>
        <w:rPr>
          <w:rFonts w:cs="Times New Roman"/>
        </w:rPr>
      </w:pPr>
      <w:fldSimple w:instr=" NUMWORDS   \* MERGEFORMAT ">
        <w:r w:rsidR="000D1336" w:rsidRPr="000D1336">
          <w:rPr>
            <w:rFonts w:cs="Times New Roman"/>
            <w:noProof/>
          </w:rPr>
          <w:t>912</w:t>
        </w:r>
      </w:fldSimple>
    </w:p>
    <w:p w:rsidR="004C40C0" w:rsidRPr="004C40C0" w:rsidRDefault="004C40C0" w:rsidP="004C40C0">
      <w:pPr>
        <w:rPr>
          <w:rFonts w:cs="Times New Roman"/>
        </w:rPr>
      </w:pPr>
      <w:r w:rsidRPr="004C40C0">
        <w:rPr>
          <w:rFonts w:cs="Times New Roman"/>
        </w:rPr>
        <w:t>I.Jursiņa-Videmane</w:t>
      </w:r>
    </w:p>
    <w:p w:rsidR="004C40C0" w:rsidRPr="004C40C0" w:rsidRDefault="004C40C0" w:rsidP="004C40C0">
      <w:pPr>
        <w:tabs>
          <w:tab w:val="left" w:pos="5130"/>
        </w:tabs>
        <w:rPr>
          <w:rFonts w:cs="Times New Roman"/>
        </w:rPr>
      </w:pPr>
      <w:r w:rsidRPr="004C40C0">
        <w:rPr>
          <w:rFonts w:cs="Times New Roman"/>
        </w:rPr>
        <w:t>tālr.: 67335162; fakss: 67212307</w:t>
      </w:r>
      <w:r w:rsidRPr="004C40C0">
        <w:rPr>
          <w:rFonts w:cs="Times New Roman"/>
        </w:rPr>
        <w:tab/>
      </w:r>
    </w:p>
    <w:p w:rsidR="004C40C0" w:rsidRPr="00732702" w:rsidRDefault="004C40C0" w:rsidP="004C40C0">
      <w:pPr>
        <w:rPr>
          <w:rFonts w:cs="Times New Roman"/>
          <w:lang w:val="de-DE"/>
        </w:rPr>
      </w:pPr>
      <w:r w:rsidRPr="004C40C0">
        <w:rPr>
          <w:rFonts w:cs="Times New Roman"/>
        </w:rPr>
        <w:t>e-pasta adrese: ineta.jursina@mod.gov.lv</w:t>
      </w:r>
    </w:p>
    <w:p w:rsidR="006E64F5" w:rsidRPr="00732702" w:rsidRDefault="006E64F5" w:rsidP="004C40C0">
      <w:pPr>
        <w:rPr>
          <w:lang w:val="de-DE"/>
        </w:rPr>
      </w:pPr>
    </w:p>
    <w:sectPr w:rsidR="006E64F5" w:rsidRPr="00732702" w:rsidSect="00055AF4">
      <w:footerReference w:type="default" r:id="rId9"/>
      <w:pgSz w:w="11906" w:h="16838"/>
      <w:pgMar w:top="1440" w:right="1800" w:bottom="1440" w:left="1800" w:header="68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2B" w:rsidRDefault="0099072B" w:rsidP="00721C60">
      <w:r>
        <w:separator/>
      </w:r>
    </w:p>
  </w:endnote>
  <w:endnote w:type="continuationSeparator" w:id="0">
    <w:p w:rsidR="0099072B" w:rsidRDefault="0099072B" w:rsidP="0072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C0" w:rsidRDefault="0010471B" w:rsidP="004C40C0">
    <w:pPr>
      <w:jc w:val="both"/>
      <w:rPr>
        <w:rFonts w:cs="Times New Roman"/>
      </w:rPr>
    </w:pPr>
    <w:fldSimple w:instr=" FILENAME   \* MERGEFORMAT ">
      <w:r w:rsidR="008779D4" w:rsidRPr="008779D4">
        <w:rPr>
          <w:rFonts w:cs="Times New Roman"/>
          <w:noProof/>
        </w:rPr>
        <w:t>AIMAnot_081214.docx</w:t>
      </w:r>
    </w:fldSimple>
    <w:r w:rsidR="004C40C0">
      <w:rPr>
        <w:rFonts w:cs="Times New Roman"/>
      </w:rPr>
      <w:t xml:space="preserve">; </w:t>
    </w:r>
    <w:r w:rsidR="004C40C0" w:rsidRPr="00A81032">
      <w:rPr>
        <w:rFonts w:cs="Times New Roman"/>
      </w:rPr>
      <w:t>Minist</w:t>
    </w:r>
    <w:r w:rsidR="004C40C0">
      <w:rPr>
        <w:rFonts w:cs="Times New Roman"/>
      </w:rPr>
      <w:t>ru kabineta noteikumu projekta</w:t>
    </w:r>
    <w:r w:rsidR="004C40C0" w:rsidRPr="00A81032">
      <w:rPr>
        <w:rFonts w:cs="Times New Roman"/>
      </w:rPr>
      <w:t xml:space="preserve"> „Grozījums Ministru kabineta 2014.gada 26.augusta noteikumos Nr.509 „Noteikumi par karavīra mēnešalgas un speciālo piemaksu noteikšanas kārtību un to apmēru””</w:t>
    </w:r>
    <w:r w:rsidR="004C40C0">
      <w:rPr>
        <w:rFonts w:cs="Times New Roman"/>
      </w:rPr>
      <w:t xml:space="preserve"> sākotnējās ietekmes novērtējuma ziņojums (anotācija)</w:t>
    </w:r>
  </w:p>
  <w:p w:rsidR="00055AF4" w:rsidRPr="006D1E8B" w:rsidRDefault="00055AF4" w:rsidP="005864ED">
    <w:pPr>
      <w:ind w:left="-284" w:right="-341"/>
      <w:jc w:val="both"/>
      <w:rPr>
        <w:rFonts w:cs="Times New Roman"/>
        <w:lang w:eastAsia="lv-LV" w:bidi="ar-SA"/>
      </w:rPr>
    </w:pPr>
  </w:p>
  <w:p w:rsidR="00055AF4" w:rsidRPr="00055AF4" w:rsidRDefault="00991899" w:rsidP="00055AF4">
    <w:pPr>
      <w:tabs>
        <w:tab w:val="center" w:pos="4153"/>
        <w:tab w:val="right" w:pos="8306"/>
      </w:tabs>
      <w:jc w:val="right"/>
      <w:rPr>
        <w:rFonts w:cs="Times New Roman"/>
        <w:sz w:val="24"/>
        <w:szCs w:val="24"/>
        <w:lang w:eastAsia="lv-LV" w:bidi="ar-SA"/>
      </w:rPr>
    </w:pPr>
    <w:r w:rsidRPr="00055AF4">
      <w:rPr>
        <w:rFonts w:cs="Times New Roman"/>
        <w:sz w:val="24"/>
        <w:szCs w:val="24"/>
        <w:lang w:eastAsia="lv-LV" w:bidi="ar-SA"/>
      </w:rPr>
      <w:fldChar w:fldCharType="begin"/>
    </w:r>
    <w:r w:rsidR="00055AF4" w:rsidRPr="00055AF4">
      <w:rPr>
        <w:rFonts w:cs="Times New Roman"/>
        <w:sz w:val="24"/>
        <w:szCs w:val="24"/>
        <w:lang w:eastAsia="lv-LV" w:bidi="ar-SA"/>
      </w:rPr>
      <w:instrText xml:space="preserve"> PAGE   \* MERGEFORMAT </w:instrText>
    </w:r>
    <w:r w:rsidRPr="00055AF4">
      <w:rPr>
        <w:rFonts w:cs="Times New Roman"/>
        <w:sz w:val="24"/>
        <w:szCs w:val="24"/>
        <w:lang w:eastAsia="lv-LV" w:bidi="ar-SA"/>
      </w:rPr>
      <w:fldChar w:fldCharType="separate"/>
    </w:r>
    <w:r w:rsidR="008779D4">
      <w:rPr>
        <w:rFonts w:cs="Times New Roman"/>
        <w:noProof/>
        <w:sz w:val="24"/>
        <w:szCs w:val="24"/>
        <w:lang w:eastAsia="lv-LV" w:bidi="ar-SA"/>
      </w:rPr>
      <w:t>2</w:t>
    </w:r>
    <w:r w:rsidRPr="00055AF4">
      <w:rPr>
        <w:rFonts w:cs="Times New Roman"/>
        <w:noProof/>
        <w:sz w:val="24"/>
        <w:szCs w:val="24"/>
        <w:lang w:eastAsia="lv-LV" w:bidi="ar-SA"/>
      </w:rPr>
      <w:fldChar w:fldCharType="end"/>
    </w:r>
  </w:p>
  <w:p w:rsidR="00055AF4" w:rsidRPr="00055AF4" w:rsidRDefault="00055AF4" w:rsidP="00055AF4">
    <w:pPr>
      <w:jc w:val="both"/>
      <w:rPr>
        <w:rFonts w:cs="Times New Roman"/>
        <w:lang w:eastAsia="lv-LV" w:bidi="ar-SA"/>
      </w:rPr>
    </w:pPr>
  </w:p>
  <w:p w:rsidR="00721C60" w:rsidRDefault="00721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2B" w:rsidRDefault="0099072B" w:rsidP="00721C60">
      <w:r>
        <w:separator/>
      </w:r>
    </w:p>
  </w:footnote>
  <w:footnote w:type="continuationSeparator" w:id="0">
    <w:p w:rsidR="0099072B" w:rsidRDefault="0099072B" w:rsidP="00721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3188"/>
    <w:multiLevelType w:val="hybridMultilevel"/>
    <w:tmpl w:val="F6DAB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E7628"/>
    <w:multiLevelType w:val="hybridMultilevel"/>
    <w:tmpl w:val="9CCA6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EA588F"/>
    <w:multiLevelType w:val="hybridMultilevel"/>
    <w:tmpl w:val="8A8A69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D92C9B"/>
    <w:multiLevelType w:val="hybridMultilevel"/>
    <w:tmpl w:val="9CCA6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9D5400"/>
    <w:multiLevelType w:val="hybridMultilevel"/>
    <w:tmpl w:val="9CCA6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D4163D"/>
    <w:multiLevelType w:val="hybridMultilevel"/>
    <w:tmpl w:val="C23CF6E6"/>
    <w:lvl w:ilvl="0" w:tplc="5B2AB64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7"/>
    <w:rsid w:val="00042181"/>
    <w:rsid w:val="00042F0F"/>
    <w:rsid w:val="00045145"/>
    <w:rsid w:val="00055AF4"/>
    <w:rsid w:val="000D1336"/>
    <w:rsid w:val="000F493B"/>
    <w:rsid w:val="0010471B"/>
    <w:rsid w:val="00131927"/>
    <w:rsid w:val="00135EE7"/>
    <w:rsid w:val="0013670B"/>
    <w:rsid w:val="00146413"/>
    <w:rsid w:val="0015005A"/>
    <w:rsid w:val="00184257"/>
    <w:rsid w:val="001951D0"/>
    <w:rsid w:val="001A5282"/>
    <w:rsid w:val="001C0FC5"/>
    <w:rsid w:val="001C25DB"/>
    <w:rsid w:val="001C6616"/>
    <w:rsid w:val="001C6E3F"/>
    <w:rsid w:val="001D5687"/>
    <w:rsid w:val="001D5C7A"/>
    <w:rsid w:val="001E7CA9"/>
    <w:rsid w:val="001F6099"/>
    <w:rsid w:val="001F67E2"/>
    <w:rsid w:val="00204FD2"/>
    <w:rsid w:val="00214049"/>
    <w:rsid w:val="00226001"/>
    <w:rsid w:val="002276DA"/>
    <w:rsid w:val="00230D1E"/>
    <w:rsid w:val="002534CD"/>
    <w:rsid w:val="0026236D"/>
    <w:rsid w:val="00281AF8"/>
    <w:rsid w:val="0029183A"/>
    <w:rsid w:val="00296C32"/>
    <w:rsid w:val="002A05A7"/>
    <w:rsid w:val="002A5FAE"/>
    <w:rsid w:val="002B7DAC"/>
    <w:rsid w:val="002F4AF9"/>
    <w:rsid w:val="00302CB0"/>
    <w:rsid w:val="00304507"/>
    <w:rsid w:val="003103CD"/>
    <w:rsid w:val="00332D02"/>
    <w:rsid w:val="00335C32"/>
    <w:rsid w:val="00364681"/>
    <w:rsid w:val="00392774"/>
    <w:rsid w:val="00396F6B"/>
    <w:rsid w:val="003A10A1"/>
    <w:rsid w:val="003A56E4"/>
    <w:rsid w:val="003B135F"/>
    <w:rsid w:val="003C497E"/>
    <w:rsid w:val="003C5875"/>
    <w:rsid w:val="003C6D77"/>
    <w:rsid w:val="003E53AB"/>
    <w:rsid w:val="0041677F"/>
    <w:rsid w:val="00424B4B"/>
    <w:rsid w:val="00456BE6"/>
    <w:rsid w:val="00457A2D"/>
    <w:rsid w:val="004C2B6A"/>
    <w:rsid w:val="004C40C0"/>
    <w:rsid w:val="004D6CBB"/>
    <w:rsid w:val="004F37CD"/>
    <w:rsid w:val="004F77DB"/>
    <w:rsid w:val="00511A3D"/>
    <w:rsid w:val="00521500"/>
    <w:rsid w:val="005315AA"/>
    <w:rsid w:val="00564858"/>
    <w:rsid w:val="005864ED"/>
    <w:rsid w:val="0059118B"/>
    <w:rsid w:val="005A6830"/>
    <w:rsid w:val="005A6B38"/>
    <w:rsid w:val="005A70AA"/>
    <w:rsid w:val="005B3197"/>
    <w:rsid w:val="005B38C5"/>
    <w:rsid w:val="005B4C6F"/>
    <w:rsid w:val="005F520F"/>
    <w:rsid w:val="00627937"/>
    <w:rsid w:val="006369BF"/>
    <w:rsid w:val="00683762"/>
    <w:rsid w:val="006B1A16"/>
    <w:rsid w:val="006B3862"/>
    <w:rsid w:val="006B4918"/>
    <w:rsid w:val="006D079F"/>
    <w:rsid w:val="006D1E8B"/>
    <w:rsid w:val="006D2226"/>
    <w:rsid w:val="006D358B"/>
    <w:rsid w:val="006E1657"/>
    <w:rsid w:val="006E64F5"/>
    <w:rsid w:val="007027FC"/>
    <w:rsid w:val="00721C60"/>
    <w:rsid w:val="00732702"/>
    <w:rsid w:val="007568C6"/>
    <w:rsid w:val="0076163E"/>
    <w:rsid w:val="007635F3"/>
    <w:rsid w:val="00771352"/>
    <w:rsid w:val="00780963"/>
    <w:rsid w:val="00790815"/>
    <w:rsid w:val="00790A41"/>
    <w:rsid w:val="007A0562"/>
    <w:rsid w:val="007A5830"/>
    <w:rsid w:val="007C1053"/>
    <w:rsid w:val="007C495B"/>
    <w:rsid w:val="007D21DE"/>
    <w:rsid w:val="007F11C4"/>
    <w:rsid w:val="007F4377"/>
    <w:rsid w:val="00802F61"/>
    <w:rsid w:val="008171F7"/>
    <w:rsid w:val="00833773"/>
    <w:rsid w:val="008444EF"/>
    <w:rsid w:val="00854C82"/>
    <w:rsid w:val="00856AAF"/>
    <w:rsid w:val="00856F83"/>
    <w:rsid w:val="008779D4"/>
    <w:rsid w:val="0088025F"/>
    <w:rsid w:val="008804EF"/>
    <w:rsid w:val="00892928"/>
    <w:rsid w:val="008944AB"/>
    <w:rsid w:val="008A6D6A"/>
    <w:rsid w:val="008B0935"/>
    <w:rsid w:val="008B3CF4"/>
    <w:rsid w:val="008C1C39"/>
    <w:rsid w:val="008E6D94"/>
    <w:rsid w:val="008F0A5B"/>
    <w:rsid w:val="008F65AF"/>
    <w:rsid w:val="008F6DE2"/>
    <w:rsid w:val="00910940"/>
    <w:rsid w:val="009235D7"/>
    <w:rsid w:val="0095145F"/>
    <w:rsid w:val="00961EAA"/>
    <w:rsid w:val="0096447E"/>
    <w:rsid w:val="00965B0E"/>
    <w:rsid w:val="00965EEB"/>
    <w:rsid w:val="0096701F"/>
    <w:rsid w:val="0099072B"/>
    <w:rsid w:val="00991899"/>
    <w:rsid w:val="009A48D6"/>
    <w:rsid w:val="009B3281"/>
    <w:rsid w:val="009C5B57"/>
    <w:rsid w:val="009D1A1A"/>
    <w:rsid w:val="009E3130"/>
    <w:rsid w:val="009F337A"/>
    <w:rsid w:val="00A04DD0"/>
    <w:rsid w:val="00A14FF3"/>
    <w:rsid w:val="00A17E0F"/>
    <w:rsid w:val="00A23FBF"/>
    <w:rsid w:val="00A32227"/>
    <w:rsid w:val="00A32467"/>
    <w:rsid w:val="00A61AB9"/>
    <w:rsid w:val="00A822E2"/>
    <w:rsid w:val="00A937F1"/>
    <w:rsid w:val="00A952E7"/>
    <w:rsid w:val="00AB10EB"/>
    <w:rsid w:val="00AD208D"/>
    <w:rsid w:val="00AD4150"/>
    <w:rsid w:val="00AD7B70"/>
    <w:rsid w:val="00AF3AC3"/>
    <w:rsid w:val="00B00BD4"/>
    <w:rsid w:val="00B12015"/>
    <w:rsid w:val="00B371D1"/>
    <w:rsid w:val="00B43608"/>
    <w:rsid w:val="00B44769"/>
    <w:rsid w:val="00BD065A"/>
    <w:rsid w:val="00BD3CC6"/>
    <w:rsid w:val="00BD4489"/>
    <w:rsid w:val="00BF1ACA"/>
    <w:rsid w:val="00BF5ABA"/>
    <w:rsid w:val="00C01B5F"/>
    <w:rsid w:val="00C02BED"/>
    <w:rsid w:val="00C16194"/>
    <w:rsid w:val="00C27BB0"/>
    <w:rsid w:val="00C30F99"/>
    <w:rsid w:val="00C3237D"/>
    <w:rsid w:val="00C3358A"/>
    <w:rsid w:val="00C429DC"/>
    <w:rsid w:val="00C47459"/>
    <w:rsid w:val="00C55CC7"/>
    <w:rsid w:val="00C664B0"/>
    <w:rsid w:val="00C729FB"/>
    <w:rsid w:val="00C81C18"/>
    <w:rsid w:val="00C978D5"/>
    <w:rsid w:val="00CB08E1"/>
    <w:rsid w:val="00CB1BBD"/>
    <w:rsid w:val="00CB7567"/>
    <w:rsid w:val="00CD135A"/>
    <w:rsid w:val="00CD33D9"/>
    <w:rsid w:val="00CD58B7"/>
    <w:rsid w:val="00CF5CF2"/>
    <w:rsid w:val="00CF6861"/>
    <w:rsid w:val="00D07280"/>
    <w:rsid w:val="00D16953"/>
    <w:rsid w:val="00D36ED9"/>
    <w:rsid w:val="00D41263"/>
    <w:rsid w:val="00D41A30"/>
    <w:rsid w:val="00D51502"/>
    <w:rsid w:val="00D51782"/>
    <w:rsid w:val="00D8501E"/>
    <w:rsid w:val="00D870CC"/>
    <w:rsid w:val="00D960F6"/>
    <w:rsid w:val="00DD1759"/>
    <w:rsid w:val="00DD4D52"/>
    <w:rsid w:val="00DD7579"/>
    <w:rsid w:val="00DE3821"/>
    <w:rsid w:val="00DF2364"/>
    <w:rsid w:val="00E37E70"/>
    <w:rsid w:val="00E43C39"/>
    <w:rsid w:val="00E4593B"/>
    <w:rsid w:val="00E45DFB"/>
    <w:rsid w:val="00E7009D"/>
    <w:rsid w:val="00E737A6"/>
    <w:rsid w:val="00E74E30"/>
    <w:rsid w:val="00E924F1"/>
    <w:rsid w:val="00EB0A95"/>
    <w:rsid w:val="00EC1681"/>
    <w:rsid w:val="00EE4C17"/>
    <w:rsid w:val="00F12A5A"/>
    <w:rsid w:val="00F154E6"/>
    <w:rsid w:val="00F210BE"/>
    <w:rsid w:val="00F22346"/>
    <w:rsid w:val="00F24779"/>
    <w:rsid w:val="00F5030A"/>
    <w:rsid w:val="00F530FE"/>
    <w:rsid w:val="00F56727"/>
    <w:rsid w:val="00F663BE"/>
    <w:rsid w:val="00F665C1"/>
    <w:rsid w:val="00F854DC"/>
    <w:rsid w:val="00FD1311"/>
    <w:rsid w:val="00FE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rsid w:val="00721C60"/>
    <w:pPr>
      <w:tabs>
        <w:tab w:val="center" w:pos="4153"/>
        <w:tab w:val="right" w:pos="8306"/>
      </w:tabs>
    </w:pPr>
  </w:style>
  <w:style w:type="character" w:customStyle="1" w:styleId="HeaderChar">
    <w:name w:val="Header Char"/>
    <w:basedOn w:val="DefaultParagraphFont"/>
    <w:link w:val="Header"/>
    <w:rsid w:val="00721C60"/>
    <w:rPr>
      <w:rFonts w:cs="Arial Unicode MS"/>
      <w:lang w:eastAsia="en-US" w:bidi="lo-LA"/>
    </w:rPr>
  </w:style>
  <w:style w:type="paragraph" w:styleId="Footer">
    <w:name w:val="footer"/>
    <w:basedOn w:val="Normal"/>
    <w:link w:val="FooterChar"/>
    <w:rsid w:val="00721C60"/>
    <w:pPr>
      <w:tabs>
        <w:tab w:val="center" w:pos="4153"/>
        <w:tab w:val="right" w:pos="8306"/>
      </w:tabs>
    </w:pPr>
  </w:style>
  <w:style w:type="character" w:customStyle="1" w:styleId="FooterChar">
    <w:name w:val="Footer Char"/>
    <w:basedOn w:val="DefaultParagraphFont"/>
    <w:link w:val="Footer"/>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rsid w:val="00721C60"/>
    <w:pPr>
      <w:tabs>
        <w:tab w:val="center" w:pos="4153"/>
        <w:tab w:val="right" w:pos="8306"/>
      </w:tabs>
    </w:pPr>
  </w:style>
  <w:style w:type="character" w:customStyle="1" w:styleId="HeaderChar">
    <w:name w:val="Header Char"/>
    <w:basedOn w:val="DefaultParagraphFont"/>
    <w:link w:val="Header"/>
    <w:rsid w:val="00721C60"/>
    <w:rPr>
      <w:rFonts w:cs="Arial Unicode MS"/>
      <w:lang w:eastAsia="en-US" w:bidi="lo-LA"/>
    </w:rPr>
  </w:style>
  <w:style w:type="paragraph" w:styleId="Footer">
    <w:name w:val="footer"/>
    <w:basedOn w:val="Normal"/>
    <w:link w:val="FooterChar"/>
    <w:rsid w:val="00721C60"/>
    <w:pPr>
      <w:tabs>
        <w:tab w:val="center" w:pos="4153"/>
        <w:tab w:val="right" w:pos="8306"/>
      </w:tabs>
    </w:pPr>
  </w:style>
  <w:style w:type="character" w:customStyle="1" w:styleId="FooterChar">
    <w:name w:val="Footer Char"/>
    <w:basedOn w:val="DefaultParagraphFont"/>
    <w:link w:val="Footer"/>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4793">
      <w:bodyDiv w:val="1"/>
      <w:marLeft w:val="0"/>
      <w:marRight w:val="0"/>
      <w:marTop w:val="0"/>
      <w:marBottom w:val="0"/>
      <w:divBdr>
        <w:top w:val="none" w:sz="0" w:space="0" w:color="auto"/>
        <w:left w:val="none" w:sz="0" w:space="0" w:color="auto"/>
        <w:bottom w:val="none" w:sz="0" w:space="0" w:color="auto"/>
        <w:right w:val="none" w:sz="0" w:space="0" w:color="auto"/>
      </w:divBdr>
    </w:div>
    <w:div w:id="748884561">
      <w:bodyDiv w:val="1"/>
      <w:marLeft w:val="0"/>
      <w:marRight w:val="0"/>
      <w:marTop w:val="0"/>
      <w:marBottom w:val="0"/>
      <w:divBdr>
        <w:top w:val="none" w:sz="0" w:space="0" w:color="auto"/>
        <w:left w:val="none" w:sz="0" w:space="0" w:color="auto"/>
        <w:bottom w:val="none" w:sz="0" w:space="0" w:color="auto"/>
        <w:right w:val="none" w:sz="0" w:space="0" w:color="auto"/>
      </w:divBdr>
    </w:div>
    <w:div w:id="1540892722">
      <w:bodyDiv w:val="1"/>
      <w:marLeft w:val="0"/>
      <w:marRight w:val="0"/>
      <w:marTop w:val="0"/>
      <w:marBottom w:val="0"/>
      <w:divBdr>
        <w:top w:val="none" w:sz="0" w:space="0" w:color="auto"/>
        <w:left w:val="none" w:sz="0" w:space="0" w:color="auto"/>
        <w:bottom w:val="none" w:sz="0" w:space="0" w:color="auto"/>
        <w:right w:val="none" w:sz="0" w:space="0" w:color="auto"/>
      </w:divBdr>
    </w:div>
    <w:div w:id="1583758086">
      <w:bodyDiv w:val="1"/>
      <w:marLeft w:val="0"/>
      <w:marRight w:val="0"/>
      <w:marTop w:val="0"/>
      <w:marBottom w:val="0"/>
      <w:divBdr>
        <w:top w:val="none" w:sz="0" w:space="0" w:color="auto"/>
        <w:left w:val="none" w:sz="0" w:space="0" w:color="auto"/>
        <w:bottom w:val="none" w:sz="0" w:space="0" w:color="auto"/>
        <w:right w:val="none" w:sz="0" w:space="0" w:color="auto"/>
      </w:divBdr>
      <w:divsChild>
        <w:div w:id="1990472987">
          <w:marLeft w:val="0"/>
          <w:marRight w:val="0"/>
          <w:marTop w:val="0"/>
          <w:marBottom w:val="0"/>
          <w:divBdr>
            <w:top w:val="none" w:sz="0" w:space="0" w:color="auto"/>
            <w:left w:val="none" w:sz="0" w:space="0" w:color="auto"/>
            <w:bottom w:val="none" w:sz="0" w:space="0" w:color="auto"/>
            <w:right w:val="none" w:sz="0" w:space="0" w:color="auto"/>
          </w:divBdr>
          <w:divsChild>
            <w:div w:id="1242714614">
              <w:marLeft w:val="0"/>
              <w:marRight w:val="0"/>
              <w:marTop w:val="0"/>
              <w:marBottom w:val="0"/>
              <w:divBdr>
                <w:top w:val="none" w:sz="0" w:space="0" w:color="auto"/>
                <w:left w:val="none" w:sz="0" w:space="0" w:color="auto"/>
                <w:bottom w:val="none" w:sz="0" w:space="0" w:color="auto"/>
                <w:right w:val="none" w:sz="0" w:space="0" w:color="auto"/>
              </w:divBdr>
              <w:divsChild>
                <w:div w:id="1468816763">
                  <w:marLeft w:val="0"/>
                  <w:marRight w:val="0"/>
                  <w:marTop w:val="0"/>
                  <w:marBottom w:val="0"/>
                  <w:divBdr>
                    <w:top w:val="none" w:sz="0" w:space="0" w:color="auto"/>
                    <w:left w:val="none" w:sz="0" w:space="0" w:color="auto"/>
                    <w:bottom w:val="none" w:sz="0" w:space="0" w:color="auto"/>
                    <w:right w:val="none" w:sz="0" w:space="0" w:color="auto"/>
                  </w:divBdr>
                  <w:divsChild>
                    <w:div w:id="1345278504">
                      <w:marLeft w:val="0"/>
                      <w:marRight w:val="0"/>
                      <w:marTop w:val="0"/>
                      <w:marBottom w:val="0"/>
                      <w:divBdr>
                        <w:top w:val="none" w:sz="0" w:space="0" w:color="auto"/>
                        <w:left w:val="none" w:sz="0" w:space="0" w:color="auto"/>
                        <w:bottom w:val="none" w:sz="0" w:space="0" w:color="auto"/>
                        <w:right w:val="none" w:sz="0" w:space="0" w:color="auto"/>
                      </w:divBdr>
                      <w:divsChild>
                        <w:div w:id="1820608018">
                          <w:marLeft w:val="0"/>
                          <w:marRight w:val="0"/>
                          <w:marTop w:val="0"/>
                          <w:marBottom w:val="0"/>
                          <w:divBdr>
                            <w:top w:val="none" w:sz="0" w:space="0" w:color="auto"/>
                            <w:left w:val="none" w:sz="0" w:space="0" w:color="auto"/>
                            <w:bottom w:val="none" w:sz="0" w:space="0" w:color="auto"/>
                            <w:right w:val="none" w:sz="0" w:space="0" w:color="auto"/>
                          </w:divBdr>
                          <w:divsChild>
                            <w:div w:id="2086535195">
                              <w:marLeft w:val="0"/>
                              <w:marRight w:val="0"/>
                              <w:marTop w:val="400"/>
                              <w:marBottom w:val="0"/>
                              <w:divBdr>
                                <w:top w:val="none" w:sz="0" w:space="0" w:color="auto"/>
                                <w:left w:val="none" w:sz="0" w:space="0" w:color="auto"/>
                                <w:bottom w:val="none" w:sz="0" w:space="0" w:color="auto"/>
                                <w:right w:val="none" w:sz="0" w:space="0" w:color="auto"/>
                              </w:divBdr>
                            </w:div>
                            <w:div w:id="1132138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65AC-2104-426A-B54D-E0BCE2AD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912</Words>
  <Characters>6783</Characters>
  <Application>Microsoft Office Word</Application>
  <DocSecurity>0</DocSecurity>
  <Lines>251</Lines>
  <Paragraphs>67</Paragraphs>
  <ScaleCrop>false</ScaleCrop>
  <HeadingPairs>
    <vt:vector size="2" baseType="variant">
      <vt:variant>
        <vt:lpstr>Title</vt:lpstr>
      </vt:variant>
      <vt:variant>
        <vt:i4>1</vt:i4>
      </vt:variant>
    </vt:vector>
  </HeadingPairs>
  <TitlesOfParts>
    <vt:vector size="1" baseType="lpstr">
      <vt:lpstr>Grozījums MK 26.08.2014. not. Nr.509 " Noteikumi par karavīra mēnešalgas un speciālo piemaksu noteikšanas kārtību un to apmēru"</vt:lpstr>
    </vt:vector>
  </TitlesOfParts>
  <Manager>Resursu plānošanas departaments</Manager>
  <Company>AIM</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MK 26.08.2014. not. Nr.509 " Noteikumi par karavīra mēnešalgas un speciālo piemaksu noteikšanas kārtību un to apmēru"</dc:title>
  <dc:subject>MK noteikumu projekts</dc:subject>
  <dc:creator>I.Jursiņa-Videmane</dc:creator>
  <dc:description>I.Jursiņa-Videmane
67335162
ineta.jursina@mod.gov.lv</dc:description>
  <cp:lastModifiedBy>Ineta Jursina</cp:lastModifiedBy>
  <cp:revision>5</cp:revision>
  <cp:lastPrinted>2014-12-08T08:29:00Z</cp:lastPrinted>
  <dcterms:created xsi:type="dcterms:W3CDTF">2014-12-08T08:25:00Z</dcterms:created>
  <dcterms:modified xsi:type="dcterms:W3CDTF">2014-12-08T08:30:00Z</dcterms:modified>
</cp:coreProperties>
</file>