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137" w:rsidRPr="00F64137" w:rsidRDefault="00F64137" w:rsidP="00F64137">
      <w:pPr>
        <w:jc w:val="center"/>
        <w:rPr>
          <w:rFonts w:cs="Times New Roman"/>
          <w:b/>
          <w:bCs/>
          <w:color w:val="414142"/>
          <w:sz w:val="24"/>
          <w:szCs w:val="24"/>
          <w:lang w:val="lv-LV" w:eastAsia="lv-LV" w:bidi="ar-SA"/>
        </w:rPr>
      </w:pPr>
      <w:r w:rsidRPr="00120AC3">
        <w:rPr>
          <w:rFonts w:cs="Times New Roman"/>
          <w:b/>
          <w:bCs/>
          <w:color w:val="414142"/>
          <w:sz w:val="24"/>
          <w:szCs w:val="24"/>
          <w:lang w:val="lv-LV" w:eastAsia="lv-LV" w:bidi="ar-SA"/>
        </w:rPr>
        <w:t xml:space="preserve">Ministru kabineta rīkojuma „Par nekustamā īpašuma </w:t>
      </w:r>
      <w:r w:rsidR="00582D2D">
        <w:rPr>
          <w:rFonts w:cs="Times New Roman"/>
          <w:b/>
          <w:bCs/>
          <w:color w:val="414142"/>
          <w:sz w:val="24"/>
          <w:szCs w:val="24"/>
          <w:lang w:val="lv-LV" w:eastAsia="lv-LV" w:bidi="ar-SA"/>
        </w:rPr>
        <w:t xml:space="preserve">iegādi </w:t>
      </w:r>
      <w:r w:rsidRPr="00120AC3">
        <w:rPr>
          <w:rFonts w:cs="Times New Roman"/>
          <w:b/>
          <w:bCs/>
          <w:color w:val="414142"/>
          <w:sz w:val="24"/>
          <w:szCs w:val="24"/>
          <w:lang w:val="lv-LV" w:eastAsia="lv-LV" w:bidi="ar-SA"/>
        </w:rPr>
        <w:t xml:space="preserve">aizsardzības nozares vajadzībām” </w:t>
      </w:r>
      <w:r w:rsidRPr="00F64137">
        <w:rPr>
          <w:rFonts w:cs="Times New Roman"/>
          <w:b/>
          <w:bCs/>
          <w:color w:val="414142"/>
          <w:sz w:val="24"/>
          <w:szCs w:val="24"/>
          <w:lang w:val="lv-LV" w:eastAsia="lv-LV" w:bidi="ar-SA"/>
        </w:rPr>
        <w:t>projekta sākotnējās ietekmes novērtējuma ziņojums (anotācija)</w:t>
      </w:r>
    </w:p>
    <w:p w:rsidR="00F64137" w:rsidRPr="00F64137" w:rsidRDefault="00F64137" w:rsidP="00F64137">
      <w:pPr>
        <w:spacing w:before="45" w:line="360" w:lineRule="auto"/>
        <w:ind w:firstLine="300"/>
        <w:jc w:val="center"/>
        <w:rPr>
          <w:rFonts w:cs="Times New Roman"/>
          <w:i/>
          <w:iCs/>
          <w:color w:val="414142"/>
          <w:sz w:val="24"/>
          <w:szCs w:val="24"/>
          <w:lang w:val="lv-LV"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2"/>
        <w:gridCol w:w="2614"/>
        <w:gridCol w:w="5380"/>
      </w:tblGrid>
      <w:tr w:rsidR="00F64137" w:rsidRPr="00F64137" w:rsidTr="00F64137">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spacing w:before="100" w:beforeAutospacing="1" w:after="100" w:afterAutospacing="1" w:line="360" w:lineRule="auto"/>
              <w:ind w:firstLine="300"/>
              <w:jc w:val="center"/>
              <w:rPr>
                <w:rFonts w:cs="Times New Roman"/>
                <w:b/>
                <w:bCs/>
                <w:color w:val="414142"/>
                <w:sz w:val="24"/>
                <w:szCs w:val="24"/>
                <w:lang w:val="lv-LV" w:eastAsia="lv-LV" w:bidi="ar-SA"/>
              </w:rPr>
            </w:pPr>
            <w:r w:rsidRPr="00F64137">
              <w:rPr>
                <w:rFonts w:cs="Times New Roman"/>
                <w:b/>
                <w:bCs/>
                <w:color w:val="414142"/>
                <w:sz w:val="24"/>
                <w:szCs w:val="24"/>
                <w:lang w:val="lv-LV" w:eastAsia="lv-LV" w:bidi="ar-SA"/>
              </w:rPr>
              <w:t>I. Tiesību akta projekta izstrādes nepieciešamība</w:t>
            </w:r>
          </w:p>
        </w:tc>
      </w:tr>
      <w:tr w:rsidR="00F64137" w:rsidRPr="00715A78" w:rsidTr="00F64137">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spacing w:before="100" w:beforeAutospacing="1" w:after="100" w:afterAutospacing="1" w:line="360" w:lineRule="auto"/>
              <w:rPr>
                <w:rFonts w:cs="Times New Roman"/>
                <w:color w:val="414142"/>
                <w:sz w:val="24"/>
                <w:szCs w:val="24"/>
                <w:lang w:val="lv-LV" w:eastAsia="lv-LV" w:bidi="ar-SA"/>
              </w:rPr>
            </w:pPr>
            <w:r w:rsidRPr="00F64137">
              <w:rPr>
                <w:rFonts w:cs="Times New Roman"/>
                <w:color w:val="414142"/>
                <w:sz w:val="24"/>
                <w:szCs w:val="24"/>
                <w:lang w:val="lv-LV" w:eastAsia="lv-LV" w:bidi="ar-SA"/>
              </w:rPr>
              <w:t>1.</w:t>
            </w:r>
          </w:p>
        </w:tc>
        <w:tc>
          <w:tcPr>
            <w:tcW w:w="1550"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Pamatojums</w:t>
            </w:r>
          </w:p>
        </w:tc>
        <w:tc>
          <w:tcPr>
            <w:tcW w:w="3200" w:type="pct"/>
            <w:tcBorders>
              <w:top w:val="outset" w:sz="6" w:space="0" w:color="auto"/>
              <w:left w:val="outset" w:sz="6" w:space="0" w:color="auto"/>
              <w:bottom w:val="outset" w:sz="6" w:space="0" w:color="auto"/>
              <w:right w:val="outset" w:sz="6" w:space="0" w:color="auto"/>
            </w:tcBorders>
            <w:hideMark/>
          </w:tcPr>
          <w:p w:rsidR="00F64137" w:rsidRPr="00575802" w:rsidRDefault="00F64137" w:rsidP="00A9643D">
            <w:pPr>
              <w:rPr>
                <w:rFonts w:cs="Times New Roman"/>
                <w:color w:val="414142"/>
                <w:sz w:val="24"/>
                <w:szCs w:val="24"/>
                <w:lang w:val="lv-LV" w:eastAsia="lv-LV" w:bidi="ar-SA"/>
              </w:rPr>
            </w:pPr>
            <w:r w:rsidRPr="00575802">
              <w:rPr>
                <w:rFonts w:cs="Times New Roman"/>
                <w:sz w:val="24"/>
                <w:szCs w:val="24"/>
                <w:lang w:val="lv-LV"/>
              </w:rPr>
              <w:t>Sabiedrības vajadzībām nepieciešamā nekustamā īpašuma atsavināšanas likuma 9.pants.</w:t>
            </w:r>
          </w:p>
        </w:tc>
      </w:tr>
      <w:tr w:rsidR="00F64137" w:rsidRPr="00715A78" w:rsidTr="00F64137">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spacing w:before="100" w:beforeAutospacing="1" w:after="100" w:afterAutospacing="1" w:line="360" w:lineRule="auto"/>
              <w:rPr>
                <w:rFonts w:cs="Times New Roman"/>
                <w:color w:val="414142"/>
                <w:sz w:val="24"/>
                <w:szCs w:val="24"/>
                <w:lang w:val="lv-LV" w:eastAsia="lv-LV" w:bidi="ar-SA"/>
              </w:rPr>
            </w:pPr>
            <w:r w:rsidRPr="00F64137">
              <w:rPr>
                <w:rFonts w:cs="Times New Roman"/>
                <w:color w:val="414142"/>
                <w:sz w:val="24"/>
                <w:szCs w:val="24"/>
                <w:lang w:val="lv-LV" w:eastAsia="lv-LV" w:bidi="ar-SA"/>
              </w:rPr>
              <w:t>2.</w:t>
            </w:r>
          </w:p>
        </w:tc>
        <w:tc>
          <w:tcPr>
            <w:tcW w:w="1550"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577B12" w:rsidRPr="00575802" w:rsidRDefault="00577B12" w:rsidP="00577B12">
            <w:pPr>
              <w:tabs>
                <w:tab w:val="left" w:pos="582"/>
              </w:tabs>
              <w:ind w:firstLine="582"/>
              <w:jc w:val="both"/>
              <w:rPr>
                <w:rFonts w:cs="Times New Roman"/>
                <w:sz w:val="24"/>
                <w:szCs w:val="24"/>
                <w:lang w:val="lv-LV"/>
              </w:rPr>
            </w:pPr>
            <w:r w:rsidRPr="00575802">
              <w:rPr>
                <w:rFonts w:cs="Times New Roman"/>
                <w:sz w:val="24"/>
                <w:szCs w:val="24"/>
                <w:lang w:val="lv-LV"/>
              </w:rPr>
              <w:t>Saskaņā ar Ministru kabineta 1999.gada 21.oktobra rīkojumu Nr.485 „Par nekustamā īpašuma Rīgā, K.Valdemāra ielā 10/12 un Skolas ielā 1, saglabāšanu valsts īpašumā” Aizsardzības ministrijas valdījumā ir nodots valsts nekustamais īpašums Rīgā, Krišjāņa Valdemāra ielā 10/12– divas administratīvās ēkas un zemes vienība 2736 m</w:t>
            </w:r>
            <w:r w:rsidRPr="00575802">
              <w:rPr>
                <w:rFonts w:cs="Times New Roman"/>
                <w:sz w:val="24"/>
                <w:szCs w:val="24"/>
                <w:vertAlign w:val="superscript"/>
                <w:lang w:val="lv-LV"/>
              </w:rPr>
              <w:t xml:space="preserve">2 </w:t>
            </w:r>
            <w:r w:rsidRPr="00575802">
              <w:rPr>
                <w:rFonts w:cs="Times New Roman"/>
                <w:sz w:val="24"/>
                <w:szCs w:val="24"/>
                <w:lang w:val="lv-LV"/>
              </w:rPr>
              <w:t>platībā, un Skolas ielā 1 – zemes vienība 2870 m</w:t>
            </w:r>
            <w:r w:rsidRPr="00575802">
              <w:rPr>
                <w:rFonts w:cs="Times New Roman"/>
                <w:sz w:val="24"/>
                <w:szCs w:val="24"/>
                <w:vertAlign w:val="superscript"/>
                <w:lang w:val="lv-LV"/>
              </w:rPr>
              <w:t xml:space="preserve">2 </w:t>
            </w:r>
            <w:r w:rsidRPr="00575802">
              <w:rPr>
                <w:rFonts w:cs="Times New Roman"/>
                <w:sz w:val="24"/>
                <w:szCs w:val="24"/>
                <w:lang w:val="lv-LV"/>
              </w:rPr>
              <w:t>platībā.</w:t>
            </w:r>
          </w:p>
          <w:p w:rsidR="00A9643D" w:rsidRPr="00575802" w:rsidRDefault="00A9643D" w:rsidP="00A9643D">
            <w:pPr>
              <w:tabs>
                <w:tab w:val="left" w:pos="582"/>
              </w:tabs>
              <w:ind w:firstLine="582"/>
              <w:jc w:val="both"/>
              <w:rPr>
                <w:rFonts w:cs="Times New Roman"/>
                <w:sz w:val="24"/>
                <w:szCs w:val="24"/>
                <w:lang w:val="lv-LV"/>
              </w:rPr>
            </w:pPr>
            <w:r w:rsidRPr="00575802">
              <w:rPr>
                <w:rFonts w:cs="Times New Roman"/>
                <w:sz w:val="24"/>
                <w:szCs w:val="24"/>
                <w:lang w:val="lv-LV"/>
              </w:rPr>
              <w:t>Uz Aizsardzības ministrijas valdījumā esošās zemes vienības ar kadastra apzīmējumu 0100 020 0131 Rīgā, Skolas ielā 1 atrodas divas biedrībai „Latvijas Sarkanais Krusts” piederošas administratīvās</w:t>
            </w:r>
            <w:r w:rsidR="008B44DA" w:rsidRPr="00575802">
              <w:rPr>
                <w:rFonts w:cs="Times New Roman"/>
                <w:sz w:val="24"/>
                <w:szCs w:val="24"/>
                <w:lang w:val="lv-LV"/>
              </w:rPr>
              <w:t xml:space="preserve"> divstāvu</w:t>
            </w:r>
            <w:r w:rsidRPr="00575802">
              <w:rPr>
                <w:rFonts w:cs="Times New Roman"/>
                <w:sz w:val="24"/>
                <w:szCs w:val="24"/>
                <w:lang w:val="lv-LV"/>
              </w:rPr>
              <w:t xml:space="preserve"> </w:t>
            </w:r>
            <w:r w:rsidR="008B44DA" w:rsidRPr="00575802">
              <w:rPr>
                <w:rFonts w:cs="Times New Roman"/>
                <w:sz w:val="24"/>
                <w:szCs w:val="24"/>
                <w:lang w:val="lv-LV"/>
              </w:rPr>
              <w:t>būves (lit.Nr.1 un lit</w:t>
            </w:r>
            <w:r w:rsidRPr="00575802">
              <w:rPr>
                <w:rFonts w:cs="Times New Roman"/>
                <w:sz w:val="24"/>
                <w:szCs w:val="24"/>
                <w:lang w:val="lv-LV"/>
              </w:rPr>
              <w:t>.</w:t>
            </w:r>
            <w:r w:rsidR="008B44DA" w:rsidRPr="00575802">
              <w:rPr>
                <w:rFonts w:cs="Times New Roman"/>
                <w:sz w:val="24"/>
                <w:szCs w:val="24"/>
                <w:lang w:val="lv-LV"/>
              </w:rPr>
              <w:t>Nr.2).</w:t>
            </w:r>
          </w:p>
          <w:p w:rsidR="00BA2D1F" w:rsidRPr="00575802" w:rsidRDefault="00A11A12" w:rsidP="00BA2D1F">
            <w:pPr>
              <w:spacing w:before="100" w:beforeAutospacing="1" w:after="100" w:afterAutospacing="1"/>
              <w:jc w:val="both"/>
              <w:rPr>
                <w:rFonts w:cs="Times New Roman"/>
                <w:sz w:val="24"/>
                <w:szCs w:val="24"/>
                <w:lang w:val="lv-LV"/>
              </w:rPr>
            </w:pPr>
            <w:r w:rsidRPr="00575802">
              <w:rPr>
                <w:rFonts w:cs="Times New Roman"/>
                <w:sz w:val="24"/>
                <w:szCs w:val="24"/>
                <w:lang w:val="lv-LV"/>
              </w:rPr>
              <w:t xml:space="preserve"> </w:t>
            </w:r>
            <w:r w:rsidR="00BA2D1F" w:rsidRPr="00575802">
              <w:rPr>
                <w:rFonts w:cs="Times New Roman"/>
                <w:sz w:val="24"/>
                <w:szCs w:val="24"/>
                <w:lang w:val="lv-LV"/>
              </w:rPr>
              <w:t>(Informācija Anotācijas pielikumā.)</w:t>
            </w:r>
          </w:p>
          <w:p w:rsidR="00577B12" w:rsidRPr="00575802" w:rsidRDefault="00577B12" w:rsidP="00A11A12">
            <w:pPr>
              <w:spacing w:before="100" w:beforeAutospacing="1" w:after="100" w:afterAutospacing="1"/>
              <w:ind w:firstLine="625"/>
              <w:jc w:val="both"/>
              <w:rPr>
                <w:rFonts w:cs="Times New Roman"/>
                <w:sz w:val="24"/>
                <w:szCs w:val="24"/>
                <w:lang w:val="lv-LV"/>
              </w:rPr>
            </w:pPr>
            <w:r w:rsidRPr="00575802">
              <w:rPr>
                <w:rFonts w:cs="Times New Roman"/>
                <w:sz w:val="24"/>
                <w:szCs w:val="24"/>
                <w:lang w:val="lv-LV"/>
              </w:rPr>
              <w:t>Ministru kabinets 2012.gada 10.jūlijā (protokola Nr.39, 41.§) konceptuāli atbalstīja Aizsardzības ministrijas informatīvajā ziņojumā norādīto nepieciešamību nodrošināt valsts aizsardzības vajadzības, lai nodrošinātu valsts noslēpumu aizsardzību un paaugstinātu bruņoto spēku reaģēšanas spējas militārā, teroristiska vai cita uzbrukuma, apdraudējuma gadījumos un uzdeva Aizsardzības ministrijai uzsākt valsts aizsardzības vajadzību nodrošināšanai nepieciešamā nekustamā</w:t>
            </w:r>
            <w:r w:rsidR="00005D36" w:rsidRPr="00575802">
              <w:rPr>
                <w:rFonts w:cs="Times New Roman"/>
                <w:sz w:val="24"/>
                <w:szCs w:val="24"/>
                <w:lang w:val="lv-LV"/>
              </w:rPr>
              <w:t xml:space="preserve"> īpašuma Skolas iela 1, Rīgā (</w:t>
            </w:r>
            <w:r w:rsidRPr="00575802">
              <w:rPr>
                <w:rFonts w:cs="Times New Roman"/>
                <w:sz w:val="24"/>
                <w:szCs w:val="24"/>
                <w:lang w:val="lv-LV"/>
              </w:rPr>
              <w:t>būv</w:t>
            </w:r>
            <w:r w:rsidR="00411DB6" w:rsidRPr="00575802">
              <w:rPr>
                <w:rFonts w:cs="Times New Roman"/>
                <w:sz w:val="24"/>
                <w:szCs w:val="24"/>
                <w:lang w:val="lv-LV"/>
              </w:rPr>
              <w:t>ju</w:t>
            </w:r>
            <w:r w:rsidRPr="00575802">
              <w:rPr>
                <w:rFonts w:cs="Times New Roman"/>
                <w:sz w:val="24"/>
                <w:szCs w:val="24"/>
                <w:lang w:val="lv-LV"/>
              </w:rPr>
              <w:t xml:space="preserve"> ar kadastra apzīmējum</w:t>
            </w:r>
            <w:r w:rsidR="00411DB6" w:rsidRPr="00575802">
              <w:rPr>
                <w:rFonts w:cs="Times New Roman"/>
                <w:sz w:val="24"/>
                <w:szCs w:val="24"/>
                <w:lang w:val="lv-LV"/>
              </w:rPr>
              <w:t>iem</w:t>
            </w:r>
            <w:r w:rsidRPr="00575802">
              <w:rPr>
                <w:rFonts w:cs="Times New Roman"/>
                <w:sz w:val="24"/>
                <w:szCs w:val="24"/>
                <w:lang w:val="lv-LV"/>
              </w:rPr>
              <w:t xml:space="preserve"> 0100 020 0131 001 un 0100 020 0131 002), turpmāk – nekustamais īpašums, atsavināšanu atbilstoši Sabiedrības vajadzībām nepieciešamā nekustamā īpašuma atsavināšan</w:t>
            </w:r>
            <w:r w:rsidR="00411DB6" w:rsidRPr="00575802">
              <w:rPr>
                <w:rFonts w:cs="Times New Roman"/>
                <w:sz w:val="24"/>
                <w:szCs w:val="24"/>
                <w:lang w:val="lv-LV"/>
              </w:rPr>
              <w:t>as likumā paredzētajai kārtībai.</w:t>
            </w:r>
          </w:p>
          <w:p w:rsidR="00B8505C" w:rsidRPr="00575802" w:rsidRDefault="00411DB6" w:rsidP="00276100">
            <w:pPr>
              <w:spacing w:before="100" w:beforeAutospacing="1" w:after="100" w:afterAutospacing="1"/>
              <w:ind w:firstLine="483"/>
              <w:jc w:val="both"/>
              <w:rPr>
                <w:rFonts w:cs="Times New Roman"/>
                <w:sz w:val="24"/>
                <w:szCs w:val="24"/>
                <w:lang w:val="lv-LV"/>
              </w:rPr>
            </w:pPr>
            <w:r w:rsidRPr="00575802">
              <w:rPr>
                <w:rFonts w:cs="Times New Roman"/>
                <w:sz w:val="24"/>
                <w:szCs w:val="24"/>
                <w:lang w:val="lv-LV"/>
              </w:rPr>
              <w:t>Pamatojoties uz</w:t>
            </w:r>
            <w:r w:rsidR="00B8505C" w:rsidRPr="00575802">
              <w:rPr>
                <w:rFonts w:cs="Times New Roman"/>
                <w:sz w:val="24"/>
                <w:szCs w:val="24"/>
                <w:lang w:val="lv-LV"/>
              </w:rPr>
              <w:t xml:space="preserve"> augstāk norādīt</w:t>
            </w:r>
            <w:r w:rsidRPr="00575802">
              <w:rPr>
                <w:rFonts w:cs="Times New Roman"/>
                <w:sz w:val="24"/>
                <w:szCs w:val="24"/>
                <w:lang w:val="lv-LV"/>
              </w:rPr>
              <w:t>o</w:t>
            </w:r>
            <w:r w:rsidR="00B8505C" w:rsidRPr="00575802">
              <w:rPr>
                <w:rFonts w:cs="Times New Roman"/>
                <w:sz w:val="24"/>
                <w:szCs w:val="24"/>
                <w:lang w:val="lv-LV"/>
              </w:rPr>
              <w:t xml:space="preserve"> un Ministru kabineta 2011.gada 15.marta noteikumu Nr.204 „</w:t>
            </w:r>
            <w:r w:rsidR="00B8505C" w:rsidRPr="00575802">
              <w:rPr>
                <w:rFonts w:cs="Times New Roman"/>
                <w:bCs/>
                <w:sz w:val="24"/>
                <w:szCs w:val="24"/>
                <w:lang w:val="lv-LV"/>
              </w:rPr>
              <w:t>Kārtība, kādā nosaka taisnīgu atlīdzību par sabiedrības vajadzībām atsavināmo nekustamo īpašumu” 2.punkt</w:t>
            </w:r>
            <w:r w:rsidRPr="00575802">
              <w:rPr>
                <w:rFonts w:cs="Times New Roman"/>
                <w:bCs/>
                <w:sz w:val="24"/>
                <w:szCs w:val="24"/>
                <w:lang w:val="lv-LV"/>
              </w:rPr>
              <w:t xml:space="preserve">u </w:t>
            </w:r>
            <w:r w:rsidR="00B8505C" w:rsidRPr="00575802">
              <w:rPr>
                <w:rFonts w:cs="Times New Roman"/>
                <w:bCs/>
                <w:sz w:val="24"/>
                <w:szCs w:val="24"/>
                <w:lang w:val="lv-LV"/>
              </w:rPr>
              <w:t>Aizsardzības ministrija izveidoja Taisnīgas atlīdzības noteikšanas komisiju, k</w:t>
            </w:r>
            <w:r w:rsidRPr="00575802">
              <w:rPr>
                <w:rFonts w:cs="Times New Roman"/>
                <w:bCs/>
                <w:sz w:val="24"/>
                <w:szCs w:val="24"/>
                <w:lang w:val="lv-LV"/>
              </w:rPr>
              <w:t>as</w:t>
            </w:r>
            <w:r w:rsidR="00B8505C" w:rsidRPr="00575802">
              <w:rPr>
                <w:rFonts w:cs="Times New Roman"/>
                <w:bCs/>
                <w:sz w:val="24"/>
                <w:szCs w:val="24"/>
                <w:lang w:val="lv-LV"/>
              </w:rPr>
              <w:t xml:space="preserve"> 2014.gada 17.marta sēdē noteica </w:t>
            </w:r>
            <w:r w:rsidR="00E53D38" w:rsidRPr="00575802">
              <w:rPr>
                <w:rFonts w:cs="Times New Roman"/>
                <w:bCs/>
                <w:sz w:val="24"/>
                <w:szCs w:val="24"/>
                <w:lang w:val="lv-LV"/>
              </w:rPr>
              <w:t xml:space="preserve">atlīdzību par </w:t>
            </w:r>
            <w:r w:rsidR="00E53D38" w:rsidRPr="00575802">
              <w:rPr>
                <w:rFonts w:cs="Times New Roman"/>
                <w:bCs/>
                <w:sz w:val="24"/>
                <w:szCs w:val="24"/>
                <w:lang w:val="lv-LV"/>
              </w:rPr>
              <w:lastRenderedPageBreak/>
              <w:t>nekustamo īpašumu</w:t>
            </w:r>
            <w:r w:rsidRPr="00575802">
              <w:rPr>
                <w:rFonts w:cs="Times New Roman"/>
                <w:bCs/>
                <w:sz w:val="24"/>
                <w:szCs w:val="24"/>
                <w:lang w:val="lv-LV"/>
              </w:rPr>
              <w:t xml:space="preserve">, </w:t>
            </w:r>
            <w:r w:rsidR="00E53D38" w:rsidRPr="00575802">
              <w:rPr>
                <w:rFonts w:cs="Times New Roman"/>
                <w:bCs/>
                <w:sz w:val="24"/>
                <w:szCs w:val="24"/>
                <w:lang w:val="lv-LV"/>
              </w:rPr>
              <w:t>k</w:t>
            </w:r>
            <w:r w:rsidRPr="00575802">
              <w:rPr>
                <w:rFonts w:cs="Times New Roman"/>
                <w:bCs/>
                <w:sz w:val="24"/>
                <w:szCs w:val="24"/>
                <w:lang w:val="lv-LV"/>
              </w:rPr>
              <w:t>o</w:t>
            </w:r>
            <w:r w:rsidR="00E53D38" w:rsidRPr="00575802">
              <w:rPr>
                <w:rFonts w:cs="Times New Roman"/>
                <w:bCs/>
                <w:sz w:val="24"/>
                <w:szCs w:val="24"/>
                <w:lang w:val="lv-LV"/>
              </w:rPr>
              <w:t xml:space="preserve"> 2014.gada 26.martā apstiprināja</w:t>
            </w:r>
            <w:r w:rsidRPr="00575802">
              <w:rPr>
                <w:rFonts w:cs="Times New Roman"/>
                <w:bCs/>
                <w:sz w:val="24"/>
                <w:szCs w:val="24"/>
                <w:lang w:val="lv-LV"/>
              </w:rPr>
              <w:t xml:space="preserve"> arī</w:t>
            </w:r>
            <w:r w:rsidR="00E53D38" w:rsidRPr="00575802">
              <w:rPr>
                <w:rFonts w:cs="Times New Roman"/>
                <w:bCs/>
                <w:sz w:val="24"/>
                <w:szCs w:val="24"/>
                <w:lang w:val="lv-LV"/>
              </w:rPr>
              <w:t xml:space="preserve"> aizsardzības ministrs.</w:t>
            </w:r>
            <w:r w:rsidR="00B8505C" w:rsidRPr="00575802">
              <w:rPr>
                <w:rFonts w:cs="Times New Roman"/>
                <w:sz w:val="24"/>
                <w:szCs w:val="24"/>
                <w:lang w:val="lv-LV"/>
              </w:rPr>
              <w:t xml:space="preserve"> </w:t>
            </w:r>
          </w:p>
          <w:p w:rsidR="00577B12" w:rsidRPr="00575802" w:rsidRDefault="00577B12" w:rsidP="00577B12">
            <w:pPr>
              <w:ind w:firstLine="360"/>
              <w:jc w:val="both"/>
              <w:rPr>
                <w:rFonts w:cs="Times New Roman"/>
                <w:sz w:val="24"/>
                <w:szCs w:val="24"/>
                <w:lang w:val="lv-LV"/>
              </w:rPr>
            </w:pPr>
            <w:r w:rsidRPr="00575802">
              <w:rPr>
                <w:rFonts w:cs="Times New Roman"/>
                <w:sz w:val="24"/>
                <w:szCs w:val="24"/>
                <w:lang w:val="lv-LV"/>
              </w:rPr>
              <w:t>Taisnīgas atlīdzības noteikšanas komisija, lai noteiktu atlīdzību par nekust</w:t>
            </w:r>
            <w:r w:rsidR="00A9643D" w:rsidRPr="00575802">
              <w:rPr>
                <w:rFonts w:cs="Times New Roman"/>
                <w:sz w:val="24"/>
                <w:szCs w:val="24"/>
                <w:lang w:val="lv-LV"/>
              </w:rPr>
              <w:t>amo īpašumu</w:t>
            </w:r>
            <w:r w:rsidR="00411DB6" w:rsidRPr="00575802">
              <w:rPr>
                <w:rFonts w:cs="Times New Roman"/>
                <w:sz w:val="24"/>
                <w:szCs w:val="24"/>
                <w:lang w:val="lv-LV"/>
              </w:rPr>
              <w:t>,</w:t>
            </w:r>
            <w:r w:rsidR="00A9643D" w:rsidRPr="00575802">
              <w:rPr>
                <w:rFonts w:cs="Times New Roman"/>
                <w:sz w:val="24"/>
                <w:szCs w:val="24"/>
                <w:lang w:val="lv-LV"/>
              </w:rPr>
              <w:t xml:space="preserve"> to </w:t>
            </w:r>
            <w:r w:rsidR="00411DB6" w:rsidRPr="00575802">
              <w:rPr>
                <w:rFonts w:cs="Times New Roman"/>
                <w:sz w:val="24"/>
                <w:szCs w:val="24"/>
                <w:lang w:val="lv-LV"/>
              </w:rPr>
              <w:t>uzdeva veikt</w:t>
            </w:r>
            <w:r w:rsidRPr="00575802">
              <w:rPr>
                <w:rFonts w:cs="Times New Roman"/>
                <w:sz w:val="24"/>
                <w:szCs w:val="24"/>
                <w:lang w:val="lv-LV"/>
              </w:rPr>
              <w:t xml:space="preserve"> sertificētam nekustamā īpašuma vērtētājam.  Sertificēts vērtētājs - SIA „Eiroeksperts”- veica gan nekustamā īpašuma tirgus vērtības noteikšanu, gan zaudējumu atlīdzības apmēra noteikšanu, kas nekustamā īpašuma īpašniekam rastos ar nekustamā īpašuma atsavināšanu.</w:t>
            </w:r>
          </w:p>
          <w:p w:rsidR="00577B12" w:rsidRPr="00575802" w:rsidRDefault="00577B12" w:rsidP="00577B12">
            <w:pPr>
              <w:ind w:firstLine="360"/>
              <w:jc w:val="both"/>
              <w:rPr>
                <w:rFonts w:cs="Times New Roman"/>
                <w:sz w:val="24"/>
                <w:szCs w:val="24"/>
                <w:lang w:val="lv-LV"/>
              </w:rPr>
            </w:pPr>
            <w:r w:rsidRPr="00575802">
              <w:rPr>
                <w:rFonts w:cs="Times New Roman"/>
                <w:sz w:val="24"/>
                <w:szCs w:val="24"/>
                <w:lang w:val="lv-LV"/>
              </w:rPr>
              <w:t>Saskaņā ar sertificēta vērtētāja SIA „Eiroeksperts” 2013.gada 28.novembrī izsniegtajā novērtējuma atskaitē Nr.2013/689/1119 (N</w:t>
            </w:r>
            <w:r w:rsidRPr="00575802">
              <w:rPr>
                <w:rFonts w:cs="Times New Roman"/>
                <w:sz w:val="24"/>
                <w:szCs w:val="24"/>
                <w:vertAlign w:val="superscript"/>
                <w:lang w:val="lv-LV"/>
              </w:rPr>
              <w:t>0</w:t>
            </w:r>
            <w:r w:rsidRPr="00575802">
              <w:rPr>
                <w:rFonts w:cs="Times New Roman"/>
                <w:sz w:val="24"/>
                <w:szCs w:val="24"/>
                <w:lang w:val="lv-LV"/>
              </w:rPr>
              <w:t xml:space="preserve"> AA 054281) norādīto nekustamā īpašuma tirgus vērtību uz 2013.gada 22.novembri ir 1 849 733.35</w:t>
            </w:r>
            <w:r w:rsidR="0013607D" w:rsidRPr="00575802">
              <w:rPr>
                <w:rFonts w:cs="Times New Roman"/>
                <w:sz w:val="24"/>
                <w:szCs w:val="24"/>
                <w:lang w:val="lv-LV"/>
              </w:rPr>
              <w:t xml:space="preserve"> </w:t>
            </w:r>
            <w:proofErr w:type="spellStart"/>
            <w:r w:rsidR="0013607D" w:rsidRPr="00575802">
              <w:rPr>
                <w:rFonts w:cs="Times New Roman"/>
                <w:i/>
                <w:sz w:val="24"/>
                <w:szCs w:val="24"/>
                <w:lang w:val="lv-LV"/>
              </w:rPr>
              <w:t>euro</w:t>
            </w:r>
            <w:proofErr w:type="spellEnd"/>
            <w:r w:rsidRPr="00575802">
              <w:rPr>
                <w:rFonts w:cs="Times New Roman"/>
                <w:sz w:val="24"/>
                <w:szCs w:val="24"/>
                <w:lang w:val="lv-LV"/>
              </w:rPr>
              <w:t xml:space="preserve"> (viens miljons astoņi simti četrdesmit deviņi tūkstoši septiņi simti trīsdesmit trīs </w:t>
            </w:r>
            <w:proofErr w:type="spellStart"/>
            <w:r w:rsidRPr="00575802">
              <w:rPr>
                <w:rFonts w:cs="Times New Roman"/>
                <w:sz w:val="24"/>
                <w:szCs w:val="24"/>
                <w:lang w:val="lv-LV"/>
              </w:rPr>
              <w:t>euro</w:t>
            </w:r>
            <w:proofErr w:type="spellEnd"/>
            <w:r w:rsidRPr="00575802">
              <w:rPr>
                <w:rFonts w:cs="Times New Roman"/>
                <w:sz w:val="24"/>
                <w:szCs w:val="24"/>
                <w:lang w:val="lv-LV"/>
              </w:rPr>
              <w:t xml:space="preserve">, 35 </w:t>
            </w:r>
            <w:proofErr w:type="spellStart"/>
            <w:r w:rsidRPr="00575802">
              <w:rPr>
                <w:rFonts w:cs="Times New Roman"/>
                <w:sz w:val="24"/>
                <w:szCs w:val="24"/>
                <w:lang w:val="lv-LV"/>
              </w:rPr>
              <w:t>eurocenti</w:t>
            </w:r>
            <w:proofErr w:type="spellEnd"/>
            <w:r w:rsidRPr="00575802">
              <w:rPr>
                <w:rFonts w:cs="Times New Roman"/>
                <w:sz w:val="24"/>
                <w:szCs w:val="24"/>
                <w:lang w:val="lv-LV"/>
              </w:rPr>
              <w:t>).</w:t>
            </w:r>
          </w:p>
          <w:p w:rsidR="00577B12" w:rsidRPr="00575802" w:rsidRDefault="00A11A12" w:rsidP="00577B12">
            <w:pPr>
              <w:ind w:firstLine="360"/>
              <w:jc w:val="both"/>
              <w:rPr>
                <w:rFonts w:cs="Times New Roman"/>
                <w:sz w:val="24"/>
                <w:szCs w:val="24"/>
                <w:lang w:val="lv-LV"/>
              </w:rPr>
            </w:pPr>
            <w:r w:rsidRPr="00575802">
              <w:rPr>
                <w:rFonts w:cs="Times New Roman"/>
                <w:sz w:val="24"/>
                <w:szCs w:val="24"/>
                <w:lang w:val="lv-LV"/>
              </w:rPr>
              <w:t>Tāpat sertificēts vērtētājs ir īpaši atsaucies uz šādiem zemesgrāmatā reģistrētiem apgrūtinājumiem:</w:t>
            </w:r>
          </w:p>
          <w:p w:rsidR="00577B12" w:rsidRPr="00575802" w:rsidRDefault="00577B12" w:rsidP="008F7436">
            <w:pPr>
              <w:pStyle w:val="ListParagraph"/>
              <w:numPr>
                <w:ilvl w:val="0"/>
                <w:numId w:val="1"/>
              </w:numPr>
              <w:jc w:val="both"/>
              <w:rPr>
                <w:sz w:val="24"/>
                <w:szCs w:val="24"/>
                <w:lang w:val="lv-LV"/>
              </w:rPr>
            </w:pPr>
            <w:r w:rsidRPr="00575802">
              <w:rPr>
                <w:sz w:val="24"/>
                <w:szCs w:val="24"/>
                <w:lang w:val="lv-LV"/>
              </w:rPr>
              <w:t xml:space="preserve">ķīlas tiesība </w:t>
            </w:r>
            <w:proofErr w:type="gramStart"/>
            <w:r w:rsidRPr="00575802">
              <w:rPr>
                <w:sz w:val="24"/>
                <w:szCs w:val="24"/>
                <w:lang w:val="lv-LV"/>
              </w:rPr>
              <w:t>(</w:t>
            </w:r>
            <w:proofErr w:type="gramEnd"/>
            <w:r w:rsidRPr="00575802">
              <w:rPr>
                <w:sz w:val="24"/>
                <w:szCs w:val="24"/>
                <w:lang w:val="lv-LV"/>
              </w:rPr>
              <w:t>pretprasības nodr</w:t>
            </w:r>
            <w:r w:rsidR="008F7436" w:rsidRPr="00575802">
              <w:rPr>
                <w:sz w:val="24"/>
                <w:szCs w:val="24"/>
                <w:lang w:val="lv-LV"/>
              </w:rPr>
              <w:t xml:space="preserve">ošināšanai (prasītājs </w:t>
            </w:r>
            <w:proofErr w:type="spellStart"/>
            <w:r w:rsidR="008F7436" w:rsidRPr="00575802">
              <w:rPr>
                <w:sz w:val="24"/>
                <w:szCs w:val="24"/>
                <w:lang w:val="lv-LV"/>
              </w:rPr>
              <w:t>M.Uļmans</w:t>
            </w:r>
            <w:proofErr w:type="spellEnd"/>
            <w:r w:rsidR="008F7436" w:rsidRPr="00575802">
              <w:rPr>
                <w:sz w:val="24"/>
                <w:szCs w:val="24"/>
                <w:lang w:val="lv-LV"/>
              </w:rPr>
              <w:t xml:space="preserve">) 16 697.87 </w:t>
            </w:r>
            <w:proofErr w:type="spellStart"/>
            <w:r w:rsidR="008F7436" w:rsidRPr="00575802">
              <w:rPr>
                <w:i/>
                <w:sz w:val="24"/>
                <w:szCs w:val="24"/>
                <w:lang w:val="lv-LV"/>
              </w:rPr>
              <w:t>euro</w:t>
            </w:r>
            <w:proofErr w:type="spellEnd"/>
            <w:r w:rsidR="008F7436" w:rsidRPr="00575802">
              <w:rPr>
                <w:sz w:val="24"/>
                <w:szCs w:val="24"/>
                <w:lang w:val="lv-LV"/>
              </w:rPr>
              <w:t xml:space="preserve"> (sešpadsmit tūkstoši seši simti deviņdesmit septiņi </w:t>
            </w:r>
            <w:proofErr w:type="spellStart"/>
            <w:r w:rsidR="008F7436" w:rsidRPr="00575802">
              <w:rPr>
                <w:sz w:val="24"/>
                <w:szCs w:val="24"/>
                <w:lang w:val="lv-LV"/>
              </w:rPr>
              <w:t>euro</w:t>
            </w:r>
            <w:proofErr w:type="spellEnd"/>
            <w:r w:rsidR="008F7436" w:rsidRPr="00575802">
              <w:rPr>
                <w:sz w:val="24"/>
                <w:szCs w:val="24"/>
                <w:lang w:val="lv-LV"/>
              </w:rPr>
              <w:t xml:space="preserve"> un 87 </w:t>
            </w:r>
            <w:proofErr w:type="spellStart"/>
            <w:r w:rsidR="008F7436" w:rsidRPr="00575802">
              <w:rPr>
                <w:sz w:val="24"/>
                <w:szCs w:val="24"/>
                <w:lang w:val="lv-LV"/>
              </w:rPr>
              <w:t>eurocenti</w:t>
            </w:r>
            <w:proofErr w:type="spellEnd"/>
            <w:r w:rsidR="008F7436" w:rsidRPr="00575802">
              <w:rPr>
                <w:sz w:val="24"/>
                <w:szCs w:val="24"/>
                <w:lang w:val="lv-LV"/>
              </w:rPr>
              <w:t>) (summa zeme</w:t>
            </w:r>
            <w:r w:rsidR="00411DB6" w:rsidRPr="00575802">
              <w:rPr>
                <w:sz w:val="24"/>
                <w:szCs w:val="24"/>
                <w:lang w:val="lv-LV"/>
              </w:rPr>
              <w:t>sgrāmatā norādīta latos, kas ir</w:t>
            </w:r>
            <w:r w:rsidRPr="00575802">
              <w:rPr>
                <w:sz w:val="24"/>
                <w:szCs w:val="24"/>
                <w:lang w:val="lv-LV"/>
              </w:rPr>
              <w:t xml:space="preserve"> 11 735.33 </w:t>
            </w:r>
            <w:r w:rsidR="008F7436" w:rsidRPr="00575802">
              <w:rPr>
                <w:sz w:val="24"/>
                <w:szCs w:val="24"/>
                <w:lang w:val="lv-LV"/>
              </w:rPr>
              <w:t xml:space="preserve">LVL </w:t>
            </w:r>
            <w:r w:rsidRPr="00575802">
              <w:rPr>
                <w:sz w:val="24"/>
                <w:szCs w:val="24"/>
                <w:lang w:val="lv-LV"/>
              </w:rPr>
              <w:t>apmērā);</w:t>
            </w:r>
          </w:p>
          <w:p w:rsidR="00577B12" w:rsidRPr="00575802" w:rsidRDefault="008F7436" w:rsidP="008F7436">
            <w:pPr>
              <w:pStyle w:val="ListParagraph"/>
              <w:numPr>
                <w:ilvl w:val="0"/>
                <w:numId w:val="1"/>
              </w:numPr>
              <w:jc w:val="both"/>
              <w:rPr>
                <w:sz w:val="24"/>
                <w:szCs w:val="24"/>
                <w:lang w:val="lv-LV"/>
              </w:rPr>
            </w:pPr>
            <w:r w:rsidRPr="00575802">
              <w:rPr>
                <w:sz w:val="24"/>
                <w:szCs w:val="24"/>
                <w:lang w:val="lv-LV"/>
              </w:rPr>
              <w:t xml:space="preserve">nostiprināta hipotēka </w:t>
            </w:r>
            <w:r w:rsidR="00577B12" w:rsidRPr="00575802">
              <w:rPr>
                <w:sz w:val="24"/>
                <w:szCs w:val="24"/>
                <w:lang w:val="lv-LV"/>
              </w:rPr>
              <w:t>ar aizdevuma summu</w:t>
            </w:r>
            <w:proofErr w:type="gramStart"/>
            <w:r w:rsidR="00577B12" w:rsidRPr="00575802">
              <w:rPr>
                <w:sz w:val="24"/>
                <w:szCs w:val="24"/>
                <w:lang w:val="lv-LV"/>
              </w:rPr>
              <w:t xml:space="preserve"> </w:t>
            </w:r>
            <w:r w:rsidRPr="00575802">
              <w:rPr>
                <w:sz w:val="24"/>
                <w:szCs w:val="24"/>
                <w:lang w:val="lv-LV"/>
              </w:rPr>
              <w:t xml:space="preserve"> </w:t>
            </w:r>
            <w:proofErr w:type="gramEnd"/>
            <w:r w:rsidRPr="00575802">
              <w:rPr>
                <w:sz w:val="24"/>
                <w:szCs w:val="24"/>
                <w:lang w:val="lv-LV"/>
              </w:rPr>
              <w:t xml:space="preserve">1 138 297.45 </w:t>
            </w:r>
            <w:proofErr w:type="spellStart"/>
            <w:r w:rsidRPr="00575802">
              <w:rPr>
                <w:i/>
                <w:sz w:val="24"/>
                <w:szCs w:val="24"/>
                <w:lang w:val="lv-LV"/>
              </w:rPr>
              <w:t>euro</w:t>
            </w:r>
            <w:proofErr w:type="spellEnd"/>
            <w:r w:rsidRPr="00575802">
              <w:rPr>
                <w:sz w:val="24"/>
                <w:szCs w:val="24"/>
                <w:lang w:val="lv-LV"/>
              </w:rPr>
              <w:t xml:space="preserve"> (viens miljons simts trīsdesmit astoņi tūkstoši divi simti deviņdesmit septiņi </w:t>
            </w:r>
            <w:proofErr w:type="spellStart"/>
            <w:r w:rsidRPr="00575802">
              <w:rPr>
                <w:sz w:val="24"/>
                <w:szCs w:val="24"/>
                <w:lang w:val="lv-LV"/>
              </w:rPr>
              <w:t>euro</w:t>
            </w:r>
            <w:proofErr w:type="spellEnd"/>
            <w:r w:rsidRPr="00575802">
              <w:rPr>
                <w:sz w:val="24"/>
                <w:szCs w:val="24"/>
                <w:lang w:val="lv-LV"/>
              </w:rPr>
              <w:t xml:space="preserve"> un 45 </w:t>
            </w:r>
            <w:proofErr w:type="spellStart"/>
            <w:r w:rsidRPr="00575802">
              <w:rPr>
                <w:sz w:val="24"/>
                <w:szCs w:val="24"/>
                <w:lang w:val="lv-LV"/>
              </w:rPr>
              <w:t>eurocenti</w:t>
            </w:r>
            <w:proofErr w:type="spellEnd"/>
            <w:r w:rsidRPr="00575802">
              <w:rPr>
                <w:sz w:val="24"/>
                <w:szCs w:val="24"/>
                <w:lang w:val="lv-LV"/>
              </w:rPr>
              <w:t xml:space="preserve">)  (summa zemesgrāmatā norādīta latos, kas ir  </w:t>
            </w:r>
            <w:r w:rsidR="00577B12" w:rsidRPr="00575802">
              <w:rPr>
                <w:sz w:val="24"/>
                <w:szCs w:val="24"/>
                <w:lang w:val="lv-LV"/>
              </w:rPr>
              <w:t>800</w:t>
            </w:r>
            <w:r w:rsidRPr="00575802">
              <w:rPr>
                <w:sz w:val="24"/>
                <w:szCs w:val="24"/>
                <w:lang w:val="lv-LV"/>
              </w:rPr>
              <w:t> </w:t>
            </w:r>
            <w:r w:rsidR="00577B12" w:rsidRPr="00575802">
              <w:rPr>
                <w:sz w:val="24"/>
                <w:szCs w:val="24"/>
                <w:lang w:val="lv-LV"/>
              </w:rPr>
              <w:t>000</w:t>
            </w:r>
            <w:r w:rsidRPr="00575802">
              <w:rPr>
                <w:sz w:val="24"/>
                <w:szCs w:val="24"/>
                <w:lang w:val="lv-LV"/>
              </w:rPr>
              <w:t>.00 LVL)</w:t>
            </w:r>
            <w:r w:rsidR="00577B12" w:rsidRPr="00575802">
              <w:rPr>
                <w:sz w:val="24"/>
                <w:szCs w:val="24"/>
                <w:lang w:val="lv-LV"/>
              </w:rPr>
              <w:t xml:space="preserve">, kreditors </w:t>
            </w:r>
            <w:r w:rsidR="00014B51" w:rsidRPr="00575802">
              <w:rPr>
                <w:sz w:val="24"/>
                <w:szCs w:val="24"/>
                <w:lang w:val="lv-LV"/>
              </w:rPr>
              <w:t xml:space="preserve">- </w:t>
            </w:r>
            <w:r w:rsidR="00577B12" w:rsidRPr="00575802">
              <w:rPr>
                <w:sz w:val="24"/>
                <w:szCs w:val="24"/>
                <w:lang w:val="lv-LV"/>
              </w:rPr>
              <w:t>sabiedrība ar ierobežotu atbilstību „EUROBALT JUNIPRO”.</w:t>
            </w:r>
          </w:p>
          <w:p w:rsidR="00577B12" w:rsidRPr="00575802" w:rsidRDefault="00577B12" w:rsidP="00276100">
            <w:pPr>
              <w:ind w:firstLine="341"/>
              <w:jc w:val="both"/>
              <w:rPr>
                <w:rFonts w:cs="Times New Roman"/>
                <w:sz w:val="24"/>
                <w:szCs w:val="24"/>
                <w:lang w:val="lv-LV"/>
              </w:rPr>
            </w:pPr>
            <w:r w:rsidRPr="00575802">
              <w:rPr>
                <w:rFonts w:cs="Times New Roman"/>
                <w:sz w:val="24"/>
                <w:szCs w:val="24"/>
                <w:lang w:val="lv-LV"/>
              </w:rPr>
              <w:t xml:space="preserve">2014.gada 17.februāra sēdes laikā </w:t>
            </w:r>
            <w:r w:rsidR="00A9643D" w:rsidRPr="00575802">
              <w:rPr>
                <w:rFonts w:cs="Times New Roman"/>
                <w:sz w:val="24"/>
                <w:szCs w:val="24"/>
                <w:lang w:val="lv-LV"/>
              </w:rPr>
              <w:t xml:space="preserve">nekustamā īpašuma īpašnieks </w:t>
            </w:r>
            <w:r w:rsidR="002B3D04" w:rsidRPr="00575802">
              <w:rPr>
                <w:rFonts w:cs="Times New Roman"/>
                <w:sz w:val="24"/>
                <w:szCs w:val="24"/>
                <w:lang w:val="lv-LV"/>
              </w:rPr>
              <w:t xml:space="preserve">biedrība </w:t>
            </w:r>
            <w:r w:rsidR="00A9643D" w:rsidRPr="00575802">
              <w:rPr>
                <w:rFonts w:cs="Times New Roman"/>
                <w:sz w:val="24"/>
                <w:szCs w:val="24"/>
                <w:lang w:val="lv-LV"/>
              </w:rPr>
              <w:t>„Latvijas Sarkanais Krusts”</w:t>
            </w:r>
            <w:r w:rsidRPr="00575802">
              <w:rPr>
                <w:rFonts w:cs="Times New Roman"/>
                <w:sz w:val="24"/>
                <w:szCs w:val="24"/>
                <w:lang w:val="lv-LV"/>
              </w:rPr>
              <w:t xml:space="preserve"> pauda viedokli, ka ar hipotēkas un ķīlas tiesības dzēšanu problēmu nebūs, jo biedrība ir gatava no izmaksātās atlīdzības dzēst hipotēku un atrisināt jautājumu par prasības nodrošinājumu. Lai to izdarītu, summa, kas nepieciešama šo apgrūtinājumu noņemšanai, būtu jāsaņem uzreiz, bet atlikušo atlīdzību biedrība piekrīt izmaksāšanai pa daļām.</w:t>
            </w:r>
            <w:r w:rsidR="002B3D04" w:rsidRPr="00575802">
              <w:rPr>
                <w:rFonts w:cs="Times New Roman"/>
                <w:sz w:val="24"/>
                <w:szCs w:val="24"/>
                <w:lang w:val="lv-LV"/>
              </w:rPr>
              <w:t xml:space="preserve"> Ņemot vērā, ka atlīdzība par nekustamo īpašumu ir vairāki simti tūkstoši latu, biedrība „Latvijas Sarkanais Krusts” izrāda pretimnākšanu un pati ir ierosinājusi maksājumus sadalīt pa d</w:t>
            </w:r>
            <w:r w:rsidR="00715A78">
              <w:rPr>
                <w:rFonts w:cs="Times New Roman"/>
                <w:sz w:val="24"/>
                <w:szCs w:val="24"/>
                <w:lang w:val="lv-LV"/>
              </w:rPr>
              <w:t xml:space="preserve">aļām. Šāds ierosinājums ir </w:t>
            </w:r>
            <w:proofErr w:type="spellStart"/>
            <w:r w:rsidR="00715A78">
              <w:rPr>
                <w:rFonts w:cs="Times New Roman"/>
                <w:sz w:val="24"/>
                <w:szCs w:val="24"/>
                <w:lang w:val="lv-LV"/>
              </w:rPr>
              <w:t>vairā</w:t>
            </w:r>
            <w:r w:rsidR="002B3D04" w:rsidRPr="00575802">
              <w:rPr>
                <w:rFonts w:cs="Times New Roman"/>
                <w:sz w:val="24"/>
                <w:szCs w:val="24"/>
                <w:lang w:val="lv-LV"/>
              </w:rPr>
              <w:t>kkārt</w:t>
            </w:r>
            <w:proofErr w:type="spellEnd"/>
            <w:r w:rsidR="002B3D04" w:rsidRPr="00575802">
              <w:rPr>
                <w:rFonts w:cs="Times New Roman"/>
                <w:sz w:val="24"/>
                <w:szCs w:val="24"/>
                <w:lang w:val="lv-LV"/>
              </w:rPr>
              <w:t xml:space="preserve"> apstiprināts (</w:t>
            </w:r>
            <w:r w:rsidR="0066005F" w:rsidRPr="00575802">
              <w:rPr>
                <w:rFonts w:cs="Times New Roman"/>
                <w:sz w:val="24"/>
                <w:szCs w:val="24"/>
                <w:lang w:val="lv-LV"/>
              </w:rPr>
              <w:t>biedrības 05.04.2013.vēstule Nr.2-20/158, 22.11.2013. vēstule Nr.2-20/591)</w:t>
            </w:r>
            <w:r w:rsidR="00014B51" w:rsidRPr="00575802">
              <w:rPr>
                <w:rFonts w:cs="Times New Roman"/>
                <w:sz w:val="24"/>
                <w:szCs w:val="24"/>
                <w:lang w:val="lv-LV"/>
              </w:rPr>
              <w:t xml:space="preserve"> no nekustamā īpašuma īpašnieka puses</w:t>
            </w:r>
            <w:r w:rsidR="0066005F" w:rsidRPr="00575802">
              <w:rPr>
                <w:rFonts w:cs="Times New Roman"/>
                <w:sz w:val="24"/>
                <w:szCs w:val="24"/>
                <w:lang w:val="lv-LV"/>
              </w:rPr>
              <w:t xml:space="preserve">. </w:t>
            </w:r>
            <w:r w:rsidR="00A05C5A" w:rsidRPr="00575802">
              <w:rPr>
                <w:rFonts w:cs="Times New Roman"/>
                <w:sz w:val="24"/>
                <w:szCs w:val="24"/>
                <w:lang w:val="lv-LV"/>
              </w:rPr>
              <w:t xml:space="preserve"> </w:t>
            </w:r>
            <w:r w:rsidR="00A05C5A" w:rsidRPr="00575802">
              <w:rPr>
                <w:rFonts w:cs="Times New Roman"/>
                <w:sz w:val="24"/>
                <w:szCs w:val="24"/>
                <w:lang w:val="lv-LV"/>
              </w:rPr>
              <w:lastRenderedPageBreak/>
              <w:t xml:space="preserve">Ievērojot augstāk minēto, atbilstoši Sabiedrības vajadzībām nepieciešamā nekustamā īpašuma atsavināšanas likuma 26.panta pirmās daļas 3.punktam konkrētajā gadījumā paredzēts izmantot citu pusēm izdevīgu atlīdzības kompensācijas veidu, t.i., dalīt atlīdzības izmaksu 2 maksājumos, kas balstīts uz nekustamā īpašuma īpašnieka ierosinājumu un brīvprātīgu piekrišanu. </w:t>
            </w:r>
          </w:p>
          <w:p w:rsidR="00120AC3" w:rsidRPr="00575802" w:rsidRDefault="00AD2582" w:rsidP="00276100">
            <w:pPr>
              <w:ind w:firstLine="341"/>
              <w:jc w:val="both"/>
              <w:rPr>
                <w:rFonts w:cs="Times New Roman"/>
                <w:sz w:val="24"/>
                <w:szCs w:val="24"/>
                <w:lang w:val="lv-LV"/>
              </w:rPr>
            </w:pPr>
            <w:r w:rsidRPr="00575802">
              <w:rPr>
                <w:rFonts w:cs="Times New Roman"/>
                <w:sz w:val="24"/>
                <w:szCs w:val="24"/>
                <w:lang w:val="lv-LV"/>
              </w:rPr>
              <w:t>Taisnīgas atlīdzības noteikšanas komisija atbilstoši normatīvajos aktos, kas nosaka nekustamā īpašuma atsavināšanas sabiedrības vajadzībām ietvaros veicamās darbības, vairakkārt lūdza nekustamā īpašuma īpašnieku iesniegt zaudējumu, kas tam radušies ar nekustamā īpašuma atsavināšanu</w:t>
            </w:r>
            <w:r w:rsidR="00036259" w:rsidRPr="00575802">
              <w:rPr>
                <w:rFonts w:cs="Times New Roman"/>
                <w:sz w:val="24"/>
                <w:szCs w:val="24"/>
                <w:lang w:val="lv-LV"/>
              </w:rPr>
              <w:t xml:space="preserve">, apliecinošus dokumentus. Visu tai iesniegto informāciju attiecībā uz zaudējumu apmēru tā iesniedza sertificētam vērtētājam, tomēr nedz vērtētājs, nedz pati komisija nevarēja pamatot norādīto zaudējumu tiesiskumu. </w:t>
            </w:r>
          </w:p>
          <w:p w:rsidR="00AD2582" w:rsidRPr="00575802" w:rsidRDefault="00036259" w:rsidP="00276100">
            <w:pPr>
              <w:ind w:firstLine="341"/>
              <w:jc w:val="both"/>
              <w:rPr>
                <w:rFonts w:cs="Times New Roman"/>
                <w:sz w:val="24"/>
                <w:szCs w:val="24"/>
                <w:lang w:val="lv-LV"/>
              </w:rPr>
            </w:pPr>
            <w:r w:rsidRPr="00575802">
              <w:rPr>
                <w:rFonts w:cs="Times New Roman"/>
                <w:sz w:val="24"/>
                <w:szCs w:val="24"/>
                <w:lang w:val="lv-LV"/>
              </w:rPr>
              <w:t xml:space="preserve">Līdz ar to identificētie zaudējumi, kas nekustamā īpašuma īpašniekam </w:t>
            </w:r>
            <w:r w:rsidR="00120AC3" w:rsidRPr="00575802">
              <w:rPr>
                <w:rFonts w:cs="Times New Roman"/>
                <w:sz w:val="24"/>
                <w:szCs w:val="24"/>
                <w:lang w:val="lv-LV"/>
              </w:rPr>
              <w:t>saskaņā ar likumu jākompensē</w:t>
            </w:r>
            <w:r w:rsidR="00A9643D" w:rsidRPr="00575802">
              <w:rPr>
                <w:rFonts w:cs="Times New Roman"/>
                <w:sz w:val="24"/>
                <w:szCs w:val="24"/>
                <w:lang w:val="lv-LV"/>
              </w:rPr>
              <w:t>,</w:t>
            </w:r>
            <w:r w:rsidRPr="00575802">
              <w:rPr>
                <w:rFonts w:cs="Times New Roman"/>
                <w:sz w:val="24"/>
                <w:szCs w:val="24"/>
                <w:lang w:val="lv-LV"/>
              </w:rPr>
              <w:t xml:space="preserve"> ir šādi:</w:t>
            </w:r>
          </w:p>
          <w:p w:rsidR="00036259" w:rsidRPr="00575802" w:rsidRDefault="00036259" w:rsidP="00276100">
            <w:pPr>
              <w:ind w:firstLine="341"/>
              <w:jc w:val="both"/>
              <w:rPr>
                <w:rFonts w:cs="Times New Roman"/>
                <w:sz w:val="24"/>
                <w:szCs w:val="24"/>
                <w:lang w:val="lv-LV"/>
              </w:rPr>
            </w:pPr>
            <w:r w:rsidRPr="00575802">
              <w:rPr>
                <w:rFonts w:cs="Times New Roman"/>
                <w:sz w:val="24"/>
                <w:szCs w:val="24"/>
                <w:lang w:val="lv-LV"/>
              </w:rPr>
              <w:t xml:space="preserve">Nostiprinājuma lūguma sagatavošana pie zvērināta notāra </w:t>
            </w:r>
            <w:r w:rsidR="00666D11" w:rsidRPr="00575802">
              <w:rPr>
                <w:rFonts w:cs="Times New Roman"/>
                <w:sz w:val="24"/>
                <w:szCs w:val="24"/>
                <w:lang w:val="lv-LV"/>
              </w:rPr>
              <w:t>hipotēkas dzēšanai –</w:t>
            </w:r>
            <w:r w:rsidR="0013607D" w:rsidRPr="00575802">
              <w:rPr>
                <w:rFonts w:cs="Times New Roman"/>
                <w:sz w:val="24"/>
                <w:szCs w:val="24"/>
                <w:lang w:val="lv-LV"/>
              </w:rPr>
              <w:t xml:space="preserve"> </w:t>
            </w:r>
            <w:r w:rsidR="00666D11" w:rsidRPr="00575802">
              <w:rPr>
                <w:rFonts w:cs="Times New Roman"/>
                <w:sz w:val="24"/>
                <w:szCs w:val="24"/>
                <w:lang w:val="lv-LV"/>
              </w:rPr>
              <w:t>50.00</w:t>
            </w:r>
            <w:r w:rsidR="0013607D" w:rsidRPr="00575802">
              <w:rPr>
                <w:rFonts w:cs="Times New Roman"/>
                <w:sz w:val="24"/>
                <w:szCs w:val="24"/>
                <w:lang w:val="lv-LV"/>
              </w:rPr>
              <w:t xml:space="preserve"> </w:t>
            </w:r>
            <w:proofErr w:type="spellStart"/>
            <w:r w:rsidR="0013607D" w:rsidRPr="00575802">
              <w:rPr>
                <w:rFonts w:cs="Times New Roman"/>
                <w:i/>
                <w:sz w:val="24"/>
                <w:szCs w:val="24"/>
                <w:lang w:val="lv-LV"/>
              </w:rPr>
              <w:t>euro</w:t>
            </w:r>
            <w:proofErr w:type="spellEnd"/>
            <w:r w:rsidR="00666D11" w:rsidRPr="00575802">
              <w:rPr>
                <w:rFonts w:cs="Times New Roman"/>
                <w:sz w:val="24"/>
                <w:szCs w:val="24"/>
                <w:lang w:val="lv-LV"/>
              </w:rPr>
              <w:t xml:space="preserve"> (piecdesmit </w:t>
            </w:r>
            <w:proofErr w:type="spellStart"/>
            <w:r w:rsidR="00666D11" w:rsidRPr="00575802">
              <w:rPr>
                <w:rFonts w:cs="Times New Roman"/>
                <w:sz w:val="24"/>
                <w:szCs w:val="24"/>
                <w:lang w:val="lv-LV"/>
              </w:rPr>
              <w:t>euro</w:t>
            </w:r>
            <w:proofErr w:type="spellEnd"/>
            <w:r w:rsidR="00666D11" w:rsidRPr="00575802">
              <w:rPr>
                <w:rFonts w:cs="Times New Roman"/>
                <w:sz w:val="24"/>
                <w:szCs w:val="24"/>
                <w:lang w:val="lv-LV"/>
              </w:rPr>
              <w:t xml:space="preserve">, </w:t>
            </w:r>
            <w:r w:rsidR="00AB1CD1" w:rsidRPr="00575802">
              <w:rPr>
                <w:rFonts w:cs="Times New Roman"/>
                <w:sz w:val="24"/>
                <w:szCs w:val="24"/>
                <w:lang w:val="lv-LV"/>
              </w:rPr>
              <w:t>0</w:t>
            </w:r>
            <w:r w:rsidR="00666D11" w:rsidRPr="00575802">
              <w:rPr>
                <w:rFonts w:cs="Times New Roman"/>
                <w:sz w:val="24"/>
                <w:szCs w:val="24"/>
                <w:lang w:val="lv-LV"/>
              </w:rPr>
              <w:t xml:space="preserve"> </w:t>
            </w:r>
            <w:proofErr w:type="spellStart"/>
            <w:r w:rsidR="00666D11" w:rsidRPr="00575802">
              <w:rPr>
                <w:rFonts w:cs="Times New Roman"/>
                <w:sz w:val="24"/>
                <w:szCs w:val="24"/>
                <w:lang w:val="lv-LV"/>
              </w:rPr>
              <w:t>eurocenti</w:t>
            </w:r>
            <w:proofErr w:type="spellEnd"/>
            <w:r w:rsidR="00666D11" w:rsidRPr="00575802">
              <w:rPr>
                <w:rFonts w:cs="Times New Roman"/>
                <w:sz w:val="24"/>
                <w:szCs w:val="24"/>
                <w:lang w:val="lv-LV"/>
              </w:rPr>
              <w:t xml:space="preserve">); prasības nodrošinājuma pārreģistrēšanas izdevumi </w:t>
            </w:r>
            <w:r w:rsidR="00120AC3" w:rsidRPr="00575802">
              <w:rPr>
                <w:rFonts w:cs="Times New Roman"/>
                <w:sz w:val="24"/>
                <w:szCs w:val="24"/>
                <w:lang w:val="lv-LV"/>
              </w:rPr>
              <w:t>–</w:t>
            </w:r>
            <w:r w:rsidR="0013607D" w:rsidRPr="00575802">
              <w:rPr>
                <w:rFonts w:cs="Times New Roman"/>
                <w:sz w:val="24"/>
                <w:szCs w:val="24"/>
                <w:lang w:val="lv-LV"/>
              </w:rPr>
              <w:t xml:space="preserve"> </w:t>
            </w:r>
            <w:r w:rsidR="00276100" w:rsidRPr="00575802">
              <w:rPr>
                <w:rFonts w:cs="Times New Roman"/>
                <w:sz w:val="24"/>
                <w:szCs w:val="24"/>
                <w:lang w:val="lv-LV"/>
              </w:rPr>
              <w:t>200</w:t>
            </w:r>
            <w:r w:rsidR="0013607D" w:rsidRPr="00575802">
              <w:rPr>
                <w:rFonts w:cs="Times New Roman"/>
                <w:sz w:val="24"/>
                <w:szCs w:val="24"/>
                <w:lang w:val="lv-LV"/>
              </w:rPr>
              <w:t xml:space="preserve"> </w:t>
            </w:r>
            <w:proofErr w:type="spellStart"/>
            <w:r w:rsidR="0013607D" w:rsidRPr="00575802">
              <w:rPr>
                <w:rFonts w:cs="Times New Roman"/>
                <w:i/>
                <w:sz w:val="24"/>
                <w:szCs w:val="24"/>
                <w:lang w:val="lv-LV"/>
              </w:rPr>
              <w:t>euro</w:t>
            </w:r>
            <w:proofErr w:type="spellEnd"/>
            <w:r w:rsidR="0013607D" w:rsidRPr="00575802">
              <w:rPr>
                <w:rFonts w:cs="Times New Roman"/>
                <w:sz w:val="24"/>
                <w:szCs w:val="24"/>
                <w:lang w:val="lv-LV"/>
              </w:rPr>
              <w:t xml:space="preserve"> (divi simti </w:t>
            </w:r>
            <w:proofErr w:type="spellStart"/>
            <w:r w:rsidR="0013607D" w:rsidRPr="00575802">
              <w:rPr>
                <w:rFonts w:cs="Times New Roman"/>
                <w:sz w:val="24"/>
                <w:szCs w:val="24"/>
                <w:lang w:val="lv-LV"/>
              </w:rPr>
              <w:t>euro</w:t>
            </w:r>
            <w:proofErr w:type="spellEnd"/>
            <w:r w:rsidR="0013607D" w:rsidRPr="00575802">
              <w:rPr>
                <w:rFonts w:cs="Times New Roman"/>
                <w:sz w:val="24"/>
                <w:szCs w:val="24"/>
                <w:lang w:val="lv-LV"/>
              </w:rPr>
              <w:t xml:space="preserve"> un </w:t>
            </w:r>
            <w:r w:rsidR="00AB1CD1" w:rsidRPr="00575802">
              <w:rPr>
                <w:rFonts w:cs="Times New Roman"/>
                <w:sz w:val="24"/>
                <w:szCs w:val="24"/>
                <w:lang w:val="lv-LV"/>
              </w:rPr>
              <w:t>0</w:t>
            </w:r>
            <w:r w:rsidR="0013607D" w:rsidRPr="00575802">
              <w:rPr>
                <w:rFonts w:cs="Times New Roman"/>
                <w:sz w:val="24"/>
                <w:szCs w:val="24"/>
                <w:lang w:val="lv-LV"/>
              </w:rPr>
              <w:t xml:space="preserve"> </w:t>
            </w:r>
            <w:proofErr w:type="spellStart"/>
            <w:r w:rsidR="0013607D" w:rsidRPr="00575802">
              <w:rPr>
                <w:rFonts w:cs="Times New Roman"/>
                <w:sz w:val="24"/>
                <w:szCs w:val="24"/>
                <w:lang w:val="lv-LV"/>
              </w:rPr>
              <w:t>eurocenti</w:t>
            </w:r>
            <w:proofErr w:type="spellEnd"/>
            <w:r w:rsidR="0013607D" w:rsidRPr="00575802">
              <w:rPr>
                <w:rFonts w:cs="Times New Roman"/>
                <w:sz w:val="24"/>
                <w:szCs w:val="24"/>
                <w:lang w:val="lv-LV"/>
              </w:rPr>
              <w:t>)</w:t>
            </w:r>
            <w:r w:rsidR="00120AC3" w:rsidRPr="00575802">
              <w:rPr>
                <w:rFonts w:cs="Times New Roman"/>
                <w:sz w:val="24"/>
                <w:szCs w:val="24"/>
                <w:lang w:val="lv-LV"/>
              </w:rPr>
              <w:t>; nos</w:t>
            </w:r>
            <w:r w:rsidR="00715A78">
              <w:rPr>
                <w:rFonts w:cs="Times New Roman"/>
                <w:sz w:val="24"/>
                <w:szCs w:val="24"/>
                <w:lang w:val="lv-LV"/>
              </w:rPr>
              <w:t>tip</w:t>
            </w:r>
            <w:r w:rsidR="00120AC3" w:rsidRPr="00575802">
              <w:rPr>
                <w:rFonts w:cs="Times New Roman"/>
                <w:sz w:val="24"/>
                <w:szCs w:val="24"/>
                <w:lang w:val="lv-LV"/>
              </w:rPr>
              <w:t>rinājuma lūguma sagatavošana par īpašuma tiesību maiņu - 50.00</w:t>
            </w:r>
            <w:r w:rsidR="0013607D" w:rsidRPr="00575802">
              <w:rPr>
                <w:rFonts w:cs="Times New Roman"/>
                <w:i/>
                <w:sz w:val="24"/>
                <w:szCs w:val="24"/>
                <w:lang w:val="lv-LV"/>
              </w:rPr>
              <w:t xml:space="preserve"> </w:t>
            </w:r>
            <w:proofErr w:type="spellStart"/>
            <w:r w:rsidR="0013607D" w:rsidRPr="00575802">
              <w:rPr>
                <w:rFonts w:cs="Times New Roman"/>
                <w:i/>
                <w:sz w:val="24"/>
                <w:szCs w:val="24"/>
                <w:lang w:val="lv-LV"/>
              </w:rPr>
              <w:t>euro</w:t>
            </w:r>
            <w:proofErr w:type="spellEnd"/>
            <w:proofErr w:type="gramStart"/>
            <w:r w:rsidR="0013607D" w:rsidRPr="00575802">
              <w:rPr>
                <w:rFonts w:cs="Times New Roman"/>
                <w:sz w:val="24"/>
                <w:szCs w:val="24"/>
                <w:lang w:val="lv-LV"/>
              </w:rPr>
              <w:t xml:space="preserve"> </w:t>
            </w:r>
            <w:r w:rsidR="00120AC3" w:rsidRPr="00575802">
              <w:rPr>
                <w:rFonts w:cs="Times New Roman"/>
                <w:sz w:val="24"/>
                <w:szCs w:val="24"/>
                <w:lang w:val="lv-LV"/>
              </w:rPr>
              <w:t xml:space="preserve"> </w:t>
            </w:r>
            <w:proofErr w:type="gramEnd"/>
            <w:r w:rsidR="00120AC3" w:rsidRPr="00575802">
              <w:rPr>
                <w:rFonts w:cs="Times New Roman"/>
                <w:sz w:val="24"/>
                <w:szCs w:val="24"/>
                <w:lang w:val="lv-LV"/>
              </w:rPr>
              <w:t xml:space="preserve">(piecdesmit </w:t>
            </w:r>
            <w:proofErr w:type="spellStart"/>
            <w:r w:rsidR="00120AC3" w:rsidRPr="00575802">
              <w:rPr>
                <w:rFonts w:cs="Times New Roman"/>
                <w:sz w:val="24"/>
                <w:szCs w:val="24"/>
                <w:lang w:val="lv-LV"/>
              </w:rPr>
              <w:t>euro</w:t>
            </w:r>
            <w:proofErr w:type="spellEnd"/>
            <w:r w:rsidR="00120AC3" w:rsidRPr="00575802">
              <w:rPr>
                <w:rFonts w:cs="Times New Roman"/>
                <w:sz w:val="24"/>
                <w:szCs w:val="24"/>
                <w:lang w:val="lv-LV"/>
              </w:rPr>
              <w:t xml:space="preserve">, </w:t>
            </w:r>
            <w:r w:rsidR="00AB1CD1" w:rsidRPr="00575802">
              <w:rPr>
                <w:rFonts w:cs="Times New Roman"/>
                <w:sz w:val="24"/>
                <w:szCs w:val="24"/>
                <w:lang w:val="lv-LV"/>
              </w:rPr>
              <w:t>0</w:t>
            </w:r>
            <w:r w:rsidR="00120AC3" w:rsidRPr="00575802">
              <w:rPr>
                <w:rFonts w:cs="Times New Roman"/>
                <w:sz w:val="24"/>
                <w:szCs w:val="24"/>
                <w:lang w:val="lv-LV"/>
              </w:rPr>
              <w:t xml:space="preserve"> </w:t>
            </w:r>
            <w:proofErr w:type="spellStart"/>
            <w:r w:rsidR="00120AC3" w:rsidRPr="00575802">
              <w:rPr>
                <w:rFonts w:cs="Times New Roman"/>
                <w:sz w:val="24"/>
                <w:szCs w:val="24"/>
                <w:lang w:val="lv-LV"/>
              </w:rPr>
              <w:t>eurocenti</w:t>
            </w:r>
            <w:proofErr w:type="spellEnd"/>
            <w:r w:rsidR="00120AC3" w:rsidRPr="00575802">
              <w:rPr>
                <w:rFonts w:cs="Times New Roman"/>
                <w:sz w:val="24"/>
                <w:szCs w:val="24"/>
                <w:lang w:val="lv-LV"/>
              </w:rPr>
              <w:t>).</w:t>
            </w:r>
          </w:p>
          <w:p w:rsidR="00666D11" w:rsidRPr="00575802" w:rsidRDefault="00666D11" w:rsidP="00577B12">
            <w:pPr>
              <w:jc w:val="both"/>
              <w:rPr>
                <w:rFonts w:cs="Times New Roman"/>
                <w:sz w:val="24"/>
                <w:szCs w:val="24"/>
                <w:lang w:val="lv-LV"/>
              </w:rPr>
            </w:pPr>
          </w:p>
          <w:p w:rsidR="00120AC3" w:rsidRPr="00575802" w:rsidRDefault="00120AC3" w:rsidP="00276100">
            <w:pPr>
              <w:ind w:firstLine="483"/>
              <w:jc w:val="both"/>
              <w:rPr>
                <w:rFonts w:cs="Times New Roman"/>
                <w:sz w:val="24"/>
                <w:szCs w:val="24"/>
                <w:lang w:val="lv-LV"/>
              </w:rPr>
            </w:pPr>
            <w:r w:rsidRPr="00575802">
              <w:rPr>
                <w:rFonts w:cs="Times New Roman"/>
                <w:sz w:val="24"/>
                <w:szCs w:val="24"/>
                <w:lang w:val="lv-LV"/>
              </w:rPr>
              <w:t>Aizsardzības ministrijai no savas puses izdevumi, kas nepieciešami īpašuma tiesību nostiprināšanai, būtu šādi: kancelejas nodeva 14.23</w:t>
            </w:r>
            <w:r w:rsidR="0013607D" w:rsidRPr="00575802">
              <w:rPr>
                <w:rFonts w:cs="Times New Roman"/>
                <w:sz w:val="24"/>
                <w:szCs w:val="24"/>
                <w:lang w:val="lv-LV"/>
              </w:rPr>
              <w:t xml:space="preserve"> </w:t>
            </w:r>
            <w:proofErr w:type="spellStart"/>
            <w:r w:rsidR="0013607D" w:rsidRPr="00575802">
              <w:rPr>
                <w:rFonts w:cs="Times New Roman"/>
                <w:i/>
                <w:sz w:val="24"/>
                <w:szCs w:val="24"/>
                <w:lang w:val="lv-LV"/>
              </w:rPr>
              <w:t>euro</w:t>
            </w:r>
            <w:proofErr w:type="spellEnd"/>
            <w:r w:rsidRPr="00575802">
              <w:rPr>
                <w:rFonts w:cs="Times New Roman"/>
                <w:sz w:val="24"/>
                <w:szCs w:val="24"/>
                <w:lang w:val="lv-LV"/>
              </w:rPr>
              <w:t xml:space="preserve"> (četrpadsmit </w:t>
            </w:r>
            <w:proofErr w:type="spellStart"/>
            <w:r w:rsidRPr="00575802">
              <w:rPr>
                <w:rFonts w:cs="Times New Roman"/>
                <w:sz w:val="24"/>
                <w:szCs w:val="24"/>
                <w:lang w:val="lv-LV"/>
              </w:rPr>
              <w:t>euro</w:t>
            </w:r>
            <w:proofErr w:type="spellEnd"/>
            <w:r w:rsidRPr="00575802">
              <w:rPr>
                <w:rFonts w:cs="Times New Roman"/>
                <w:sz w:val="24"/>
                <w:szCs w:val="24"/>
                <w:lang w:val="lv-LV"/>
              </w:rPr>
              <w:t>, divdesmit</w:t>
            </w:r>
            <w:r w:rsidR="00AB1CD1" w:rsidRPr="00575802">
              <w:rPr>
                <w:rFonts w:cs="Times New Roman"/>
                <w:sz w:val="24"/>
                <w:szCs w:val="24"/>
                <w:lang w:val="lv-LV"/>
              </w:rPr>
              <w:t xml:space="preserve"> un</w:t>
            </w:r>
            <w:r w:rsidRPr="00575802">
              <w:rPr>
                <w:rFonts w:cs="Times New Roman"/>
                <w:sz w:val="24"/>
                <w:szCs w:val="24"/>
                <w:lang w:val="lv-LV"/>
              </w:rPr>
              <w:t xml:space="preserve"> </w:t>
            </w:r>
            <w:r w:rsidR="00AB1CD1" w:rsidRPr="00575802">
              <w:rPr>
                <w:rFonts w:cs="Times New Roman"/>
                <w:sz w:val="24"/>
                <w:szCs w:val="24"/>
                <w:lang w:val="lv-LV"/>
              </w:rPr>
              <w:t>3</w:t>
            </w:r>
            <w:r w:rsidRPr="00575802">
              <w:rPr>
                <w:rFonts w:cs="Times New Roman"/>
                <w:sz w:val="24"/>
                <w:szCs w:val="24"/>
                <w:lang w:val="lv-LV"/>
              </w:rPr>
              <w:t xml:space="preserve"> </w:t>
            </w:r>
            <w:proofErr w:type="spellStart"/>
            <w:r w:rsidRPr="00575802">
              <w:rPr>
                <w:rFonts w:cs="Times New Roman"/>
                <w:sz w:val="24"/>
                <w:szCs w:val="24"/>
                <w:lang w:val="lv-LV"/>
              </w:rPr>
              <w:t>eurocenti</w:t>
            </w:r>
            <w:proofErr w:type="spellEnd"/>
            <w:r w:rsidRPr="00575802">
              <w:rPr>
                <w:rFonts w:cs="Times New Roman"/>
                <w:sz w:val="24"/>
                <w:szCs w:val="24"/>
                <w:lang w:val="lv-LV"/>
              </w:rPr>
              <w:t xml:space="preserve">), zemesgrāmatas apliecības saņemšana 7.11 </w:t>
            </w:r>
            <w:proofErr w:type="spellStart"/>
            <w:r w:rsidR="0013607D" w:rsidRPr="00575802">
              <w:rPr>
                <w:rFonts w:cs="Times New Roman"/>
                <w:i/>
                <w:sz w:val="24"/>
                <w:szCs w:val="24"/>
                <w:lang w:val="lv-LV"/>
              </w:rPr>
              <w:t>euro</w:t>
            </w:r>
            <w:proofErr w:type="spellEnd"/>
            <w:r w:rsidR="0013607D" w:rsidRPr="00575802">
              <w:rPr>
                <w:rFonts w:cs="Times New Roman"/>
                <w:sz w:val="24"/>
                <w:szCs w:val="24"/>
                <w:lang w:val="lv-LV"/>
              </w:rPr>
              <w:t xml:space="preserve"> </w:t>
            </w:r>
            <w:r w:rsidRPr="00575802">
              <w:rPr>
                <w:rFonts w:cs="Times New Roman"/>
                <w:sz w:val="24"/>
                <w:szCs w:val="24"/>
                <w:lang w:val="lv-LV"/>
              </w:rPr>
              <w:t xml:space="preserve">(septiņi </w:t>
            </w:r>
            <w:proofErr w:type="spellStart"/>
            <w:r w:rsidRPr="00575802">
              <w:rPr>
                <w:rFonts w:cs="Times New Roman"/>
                <w:sz w:val="24"/>
                <w:szCs w:val="24"/>
                <w:lang w:val="lv-LV"/>
              </w:rPr>
              <w:t>euro</w:t>
            </w:r>
            <w:proofErr w:type="spellEnd"/>
            <w:r w:rsidR="00AB1CD1" w:rsidRPr="00575802">
              <w:rPr>
                <w:rFonts w:cs="Times New Roman"/>
                <w:sz w:val="24"/>
                <w:szCs w:val="24"/>
                <w:lang w:val="lv-LV"/>
              </w:rPr>
              <w:t xml:space="preserve"> un 11</w:t>
            </w:r>
            <w:r w:rsidRPr="00575802">
              <w:rPr>
                <w:rFonts w:cs="Times New Roman"/>
                <w:sz w:val="24"/>
                <w:szCs w:val="24"/>
                <w:lang w:val="lv-LV"/>
              </w:rPr>
              <w:t xml:space="preserve"> </w:t>
            </w:r>
            <w:proofErr w:type="spellStart"/>
            <w:r w:rsidRPr="00575802">
              <w:rPr>
                <w:rFonts w:cs="Times New Roman"/>
                <w:sz w:val="24"/>
                <w:szCs w:val="24"/>
                <w:lang w:val="lv-LV"/>
              </w:rPr>
              <w:t>eurocenti</w:t>
            </w:r>
            <w:proofErr w:type="spellEnd"/>
            <w:r w:rsidRPr="00575802">
              <w:rPr>
                <w:rFonts w:cs="Times New Roman"/>
                <w:sz w:val="24"/>
                <w:szCs w:val="24"/>
                <w:lang w:val="lv-LV"/>
              </w:rPr>
              <w:t>).</w:t>
            </w:r>
          </w:p>
          <w:p w:rsidR="00A9643D" w:rsidRPr="00575802" w:rsidRDefault="00A9643D" w:rsidP="00120AC3">
            <w:pPr>
              <w:jc w:val="both"/>
              <w:rPr>
                <w:rFonts w:cs="Times New Roman"/>
                <w:sz w:val="24"/>
                <w:szCs w:val="24"/>
                <w:lang w:val="lv-LV"/>
              </w:rPr>
            </w:pPr>
          </w:p>
          <w:p w:rsidR="0082499C" w:rsidRPr="00575802" w:rsidRDefault="00411DB6" w:rsidP="00A11A12">
            <w:pPr>
              <w:ind w:firstLine="341"/>
              <w:jc w:val="both"/>
              <w:rPr>
                <w:rFonts w:cs="Times New Roman"/>
                <w:sz w:val="24"/>
                <w:szCs w:val="24"/>
                <w:lang w:val="lv-LV"/>
              </w:rPr>
            </w:pPr>
            <w:r w:rsidRPr="00575802">
              <w:rPr>
                <w:rFonts w:cs="Times New Roman"/>
                <w:sz w:val="24"/>
                <w:szCs w:val="24"/>
                <w:lang w:val="lv-LV"/>
              </w:rPr>
              <w:t>Z</w:t>
            </w:r>
            <w:r w:rsidR="0082499C" w:rsidRPr="00575802">
              <w:rPr>
                <w:rFonts w:cs="Times New Roman"/>
                <w:sz w:val="24"/>
                <w:szCs w:val="24"/>
                <w:lang w:val="lv-LV"/>
              </w:rPr>
              <w:t>emesgrāmatā ir ierakstītas šādas lietu tiesības, kas apgrūtina nekustamo īpašumu:</w:t>
            </w:r>
          </w:p>
          <w:p w:rsidR="0082499C" w:rsidRPr="00575802" w:rsidRDefault="009F21EC" w:rsidP="0082499C">
            <w:pPr>
              <w:pStyle w:val="ListParagraph"/>
              <w:numPr>
                <w:ilvl w:val="0"/>
                <w:numId w:val="2"/>
              </w:numPr>
              <w:jc w:val="both"/>
              <w:rPr>
                <w:sz w:val="24"/>
                <w:szCs w:val="24"/>
                <w:lang w:val="lv-LV"/>
              </w:rPr>
            </w:pPr>
            <w:r w:rsidRPr="00575802">
              <w:rPr>
                <w:sz w:val="24"/>
                <w:szCs w:val="24"/>
                <w:lang w:val="lv-LV"/>
              </w:rPr>
              <w:t xml:space="preserve">akciju sabiedrībai „Baltijas tirdzniecības savienība” </w:t>
            </w:r>
            <w:r w:rsidR="0082499C" w:rsidRPr="00575802">
              <w:rPr>
                <w:sz w:val="24"/>
                <w:szCs w:val="24"/>
                <w:lang w:val="lv-LV"/>
              </w:rPr>
              <w:t>nostiprinātas nomas tiesības uz ēku lit.1 daļu 1214kv.m platībā līdz 2023.gada 3.jūnijam;</w:t>
            </w:r>
          </w:p>
          <w:p w:rsidR="00A11A12" w:rsidRPr="00575802" w:rsidRDefault="0082499C" w:rsidP="00A11A12">
            <w:pPr>
              <w:pStyle w:val="ListParagraph"/>
              <w:numPr>
                <w:ilvl w:val="0"/>
                <w:numId w:val="2"/>
              </w:numPr>
              <w:jc w:val="both"/>
              <w:rPr>
                <w:sz w:val="24"/>
                <w:szCs w:val="24"/>
                <w:lang w:val="lv-LV"/>
              </w:rPr>
            </w:pPr>
            <w:r w:rsidRPr="00575802">
              <w:rPr>
                <w:sz w:val="24"/>
                <w:szCs w:val="24"/>
                <w:lang w:val="lv-LV"/>
              </w:rPr>
              <w:t>ķīlas tiesība prasības nodrošināšanai uz biedrības „Latvijas Sarkanais Krusts” piederošo īpašumu</w:t>
            </w:r>
            <w:r w:rsidR="006C6E54" w:rsidRPr="00575802">
              <w:rPr>
                <w:sz w:val="24"/>
                <w:szCs w:val="24"/>
                <w:lang w:val="lv-LV"/>
              </w:rPr>
              <w:t>;</w:t>
            </w:r>
          </w:p>
          <w:p w:rsidR="00A11A12" w:rsidRPr="00575802" w:rsidRDefault="00A11A12" w:rsidP="00A11A12">
            <w:pPr>
              <w:pStyle w:val="ListParagraph"/>
              <w:numPr>
                <w:ilvl w:val="0"/>
                <w:numId w:val="2"/>
              </w:numPr>
              <w:jc w:val="both"/>
              <w:rPr>
                <w:sz w:val="24"/>
                <w:szCs w:val="24"/>
                <w:lang w:val="lv-LV"/>
              </w:rPr>
            </w:pPr>
            <w:r w:rsidRPr="00575802">
              <w:rPr>
                <w:sz w:val="24"/>
                <w:szCs w:val="24"/>
                <w:lang w:val="lv-LV"/>
              </w:rPr>
              <w:t>hipotēka</w:t>
            </w:r>
            <w:r w:rsidR="006C6E54" w:rsidRPr="00575802">
              <w:rPr>
                <w:sz w:val="24"/>
                <w:szCs w:val="24"/>
                <w:lang w:val="lv-LV"/>
              </w:rPr>
              <w:t xml:space="preserve"> ar aizdevuma summu 1 138 297.45 </w:t>
            </w:r>
            <w:proofErr w:type="spellStart"/>
            <w:r w:rsidR="006C6E54" w:rsidRPr="00575802">
              <w:rPr>
                <w:i/>
                <w:sz w:val="24"/>
                <w:szCs w:val="24"/>
                <w:lang w:val="lv-LV"/>
              </w:rPr>
              <w:t>euro</w:t>
            </w:r>
            <w:proofErr w:type="spellEnd"/>
            <w:r w:rsidR="006C6E54" w:rsidRPr="00575802">
              <w:rPr>
                <w:sz w:val="24"/>
                <w:szCs w:val="24"/>
                <w:lang w:val="lv-LV"/>
              </w:rPr>
              <w:t xml:space="preserve"> (viens miljons simts trīsdesmit astoņi tūkstoši divi simti deviņdesmit septiņi </w:t>
            </w:r>
            <w:proofErr w:type="spellStart"/>
            <w:r w:rsidR="006C6E54" w:rsidRPr="00575802">
              <w:rPr>
                <w:sz w:val="24"/>
                <w:szCs w:val="24"/>
                <w:lang w:val="lv-LV"/>
              </w:rPr>
              <w:t>euro</w:t>
            </w:r>
            <w:proofErr w:type="spellEnd"/>
            <w:r w:rsidR="006C6E54" w:rsidRPr="00575802">
              <w:rPr>
                <w:sz w:val="24"/>
                <w:szCs w:val="24"/>
                <w:lang w:val="lv-LV"/>
              </w:rPr>
              <w:t xml:space="preserve"> un 45 </w:t>
            </w:r>
            <w:proofErr w:type="spellStart"/>
            <w:r w:rsidR="006C6E54" w:rsidRPr="00575802">
              <w:rPr>
                <w:sz w:val="24"/>
                <w:szCs w:val="24"/>
                <w:lang w:val="lv-LV"/>
              </w:rPr>
              <w:t>eurocenti</w:t>
            </w:r>
            <w:proofErr w:type="spellEnd"/>
            <w:r w:rsidR="006C6E54" w:rsidRPr="00575802">
              <w:rPr>
                <w:sz w:val="24"/>
                <w:szCs w:val="24"/>
                <w:lang w:val="lv-LV"/>
              </w:rPr>
              <w:t>)</w:t>
            </w:r>
            <w:r w:rsidRPr="00575802">
              <w:rPr>
                <w:sz w:val="24"/>
                <w:szCs w:val="24"/>
                <w:lang w:val="lv-LV"/>
              </w:rPr>
              <w:t xml:space="preserve">, pamatojoties uz 2011.gada </w:t>
            </w:r>
            <w:r w:rsidR="00411DB6" w:rsidRPr="00575802">
              <w:rPr>
                <w:sz w:val="24"/>
                <w:szCs w:val="24"/>
                <w:lang w:val="lv-LV"/>
              </w:rPr>
              <w:lastRenderedPageBreak/>
              <w:t>9.decembra līgumu par aizdevumu</w:t>
            </w:r>
            <w:r w:rsidRPr="00575802">
              <w:rPr>
                <w:sz w:val="24"/>
                <w:szCs w:val="24"/>
                <w:lang w:val="lv-LV"/>
              </w:rPr>
              <w:t xml:space="preserve"> ar kreditoru - sabiedrību ar ierobežotu atbildību „</w:t>
            </w:r>
            <w:proofErr w:type="spellStart"/>
            <w:r w:rsidRPr="00575802">
              <w:rPr>
                <w:sz w:val="24"/>
                <w:szCs w:val="24"/>
                <w:lang w:val="lv-LV"/>
              </w:rPr>
              <w:t>Eurobalt</w:t>
            </w:r>
            <w:proofErr w:type="spellEnd"/>
            <w:r w:rsidRPr="00575802">
              <w:rPr>
                <w:sz w:val="24"/>
                <w:szCs w:val="24"/>
                <w:lang w:val="lv-LV"/>
              </w:rPr>
              <w:t xml:space="preserve"> </w:t>
            </w:r>
            <w:proofErr w:type="spellStart"/>
            <w:r w:rsidRPr="00575802">
              <w:rPr>
                <w:sz w:val="24"/>
                <w:szCs w:val="24"/>
                <w:lang w:val="lv-LV"/>
              </w:rPr>
              <w:t>Junipro</w:t>
            </w:r>
            <w:proofErr w:type="spellEnd"/>
            <w:r w:rsidRPr="00575802">
              <w:rPr>
                <w:sz w:val="24"/>
                <w:szCs w:val="24"/>
                <w:lang w:val="lv-LV"/>
              </w:rPr>
              <w:t xml:space="preserve">”, nodokļu maksātāja </w:t>
            </w:r>
            <w:r w:rsidR="00411DB6" w:rsidRPr="00575802">
              <w:rPr>
                <w:sz w:val="24"/>
                <w:szCs w:val="24"/>
                <w:lang w:val="lv-LV"/>
              </w:rPr>
              <w:t xml:space="preserve">reģistrācijas </w:t>
            </w:r>
            <w:r w:rsidRPr="00575802">
              <w:rPr>
                <w:sz w:val="24"/>
                <w:szCs w:val="24"/>
                <w:lang w:val="lv-LV"/>
              </w:rPr>
              <w:t>numurs 4000809899;</w:t>
            </w:r>
          </w:p>
          <w:p w:rsidR="00A11A12" w:rsidRPr="00575802" w:rsidRDefault="006C6E54" w:rsidP="00A11A12">
            <w:pPr>
              <w:pStyle w:val="ListParagraph"/>
              <w:numPr>
                <w:ilvl w:val="0"/>
                <w:numId w:val="2"/>
              </w:numPr>
              <w:jc w:val="both"/>
              <w:rPr>
                <w:sz w:val="24"/>
                <w:szCs w:val="24"/>
                <w:lang w:val="lv-LV"/>
              </w:rPr>
            </w:pPr>
            <w:r w:rsidRPr="00575802">
              <w:rPr>
                <w:sz w:val="24"/>
                <w:szCs w:val="24"/>
                <w:lang w:val="lv-LV"/>
              </w:rPr>
              <w:t xml:space="preserve"> </w:t>
            </w:r>
            <w:r w:rsidR="00A11A12" w:rsidRPr="00575802">
              <w:rPr>
                <w:sz w:val="24"/>
                <w:szCs w:val="24"/>
                <w:lang w:val="lv-LV"/>
              </w:rPr>
              <w:t>III daļas 1.iedaļā – zemes gabalā atrodas pašvaldībai piederošas ēkas, Aizsardzības ministrijas valdījumā esošas ēkas daļa, siltumtīkli, ”Rīgas elektrotīkliem” piederošs transformatora punkts, elektrisko kabeļu tīkli un piebraucamais ceļš 474 m</w:t>
            </w:r>
            <w:r w:rsidR="00A11A12" w:rsidRPr="00575802">
              <w:rPr>
                <w:sz w:val="24"/>
                <w:szCs w:val="24"/>
                <w:vertAlign w:val="superscript"/>
                <w:lang w:val="lv-LV"/>
              </w:rPr>
              <w:t xml:space="preserve">2 </w:t>
            </w:r>
            <w:r w:rsidR="00A11A12" w:rsidRPr="00575802">
              <w:rPr>
                <w:sz w:val="24"/>
                <w:szCs w:val="24"/>
                <w:lang w:val="lv-LV"/>
              </w:rPr>
              <w:t>platībā. III daļas 3.iedaļā informācija par to, ka būves ar kadastra apzīmējumu 0100 020 0131 001 ir vietējas nozīmes arhitektūras piemineklis un zemesgabals ar kadastra apzīmējumu 0100 020 0131 un apbūve uz tā atrodas valsts nozīmes pilsētbūvniecības pieminekļa „Rīgas pilsētas vēsturiskais centrs” un UNESCO Pasaules kultūras mantojuma vietas „Rīgas vēsturiskais centrs” teritorijā.</w:t>
            </w:r>
          </w:p>
          <w:p w:rsidR="0082499C" w:rsidRPr="00575802" w:rsidRDefault="0082499C" w:rsidP="00A11A12">
            <w:pPr>
              <w:ind w:left="360"/>
              <w:jc w:val="both"/>
              <w:rPr>
                <w:sz w:val="24"/>
                <w:szCs w:val="24"/>
                <w:lang w:val="lv-LV"/>
              </w:rPr>
            </w:pPr>
          </w:p>
          <w:p w:rsidR="006C6E54" w:rsidRPr="00575802" w:rsidRDefault="006C6E54" w:rsidP="006C6E54">
            <w:pPr>
              <w:ind w:firstLine="483"/>
              <w:jc w:val="both"/>
              <w:rPr>
                <w:rFonts w:cs="Times New Roman"/>
                <w:sz w:val="24"/>
                <w:szCs w:val="24"/>
                <w:lang w:val="lv-LV"/>
              </w:rPr>
            </w:pPr>
            <w:r w:rsidRPr="00575802">
              <w:rPr>
                <w:rFonts w:cs="Times New Roman"/>
                <w:sz w:val="24"/>
                <w:szCs w:val="24"/>
                <w:lang w:val="lv-LV"/>
              </w:rPr>
              <w:t xml:space="preserve">Zemesgrāmatā reģistrētās nomas </w:t>
            </w:r>
            <w:r w:rsidR="00E0183D" w:rsidRPr="00575802">
              <w:rPr>
                <w:rFonts w:cs="Times New Roman"/>
                <w:sz w:val="24"/>
                <w:szCs w:val="24"/>
                <w:lang w:val="lv-LV"/>
              </w:rPr>
              <w:t>attiecības</w:t>
            </w:r>
            <w:r w:rsidRPr="00575802">
              <w:rPr>
                <w:rFonts w:cs="Times New Roman"/>
                <w:sz w:val="24"/>
                <w:szCs w:val="24"/>
                <w:lang w:val="lv-LV"/>
              </w:rPr>
              <w:t xml:space="preserve"> ar</w:t>
            </w:r>
            <w:proofErr w:type="gramStart"/>
            <w:r w:rsidRPr="00575802">
              <w:rPr>
                <w:rFonts w:cs="Times New Roman"/>
                <w:sz w:val="24"/>
                <w:szCs w:val="24"/>
                <w:lang w:val="lv-LV"/>
              </w:rPr>
              <w:t xml:space="preserve">  </w:t>
            </w:r>
            <w:proofErr w:type="gramEnd"/>
            <w:r w:rsidRPr="00575802">
              <w:rPr>
                <w:rFonts w:cs="Times New Roman"/>
                <w:sz w:val="24"/>
                <w:szCs w:val="24"/>
                <w:lang w:val="lv-LV"/>
              </w:rPr>
              <w:t>akciju sabiedrību „Baltijas tirdzniecības savienība” faktiski nepastāv un nomnieks nekustamajā īpašumā neatrodas jau vairākus gadus. Šī apgrūtinājuma dzēšana no zemesgrāmatas tiks paredzēta nekustamā īpašuma pirkuma līgumā.</w:t>
            </w:r>
          </w:p>
          <w:p w:rsidR="0082499C" w:rsidRPr="00575802" w:rsidRDefault="006C6E54" w:rsidP="006C6E54">
            <w:pPr>
              <w:ind w:firstLine="483"/>
              <w:jc w:val="both"/>
              <w:rPr>
                <w:rFonts w:cs="Times New Roman"/>
                <w:sz w:val="24"/>
                <w:szCs w:val="24"/>
                <w:lang w:val="lv-LV"/>
              </w:rPr>
            </w:pPr>
            <w:r w:rsidRPr="00575802">
              <w:rPr>
                <w:rFonts w:cs="Times New Roman"/>
                <w:sz w:val="24"/>
                <w:szCs w:val="24"/>
                <w:lang w:val="lv-LV"/>
              </w:rPr>
              <w:t xml:space="preserve">Attiecībā uz ķīlas tiesību prasības nodrošināšanu, kas reģistrēta saistībā ar </w:t>
            </w:r>
            <w:proofErr w:type="spellStart"/>
            <w:r w:rsidRPr="00575802">
              <w:rPr>
                <w:rFonts w:cs="Times New Roman"/>
                <w:sz w:val="24"/>
                <w:szCs w:val="24"/>
                <w:lang w:val="lv-LV"/>
              </w:rPr>
              <w:t>M.Uļmana</w:t>
            </w:r>
            <w:proofErr w:type="spellEnd"/>
            <w:r w:rsidRPr="00575802">
              <w:rPr>
                <w:rFonts w:cs="Times New Roman"/>
                <w:sz w:val="24"/>
                <w:szCs w:val="24"/>
                <w:lang w:val="lv-LV"/>
              </w:rPr>
              <w:t xml:space="preserve"> prasību tiesā, nekustamā īpašuma īpašnieks prasības nodrošinājuma summas apmērā (16697.87 </w:t>
            </w:r>
            <w:proofErr w:type="spellStart"/>
            <w:r w:rsidRPr="00575802">
              <w:rPr>
                <w:rFonts w:cs="Times New Roman"/>
                <w:sz w:val="24"/>
                <w:szCs w:val="24"/>
                <w:lang w:val="lv-LV"/>
              </w:rPr>
              <w:t>euro</w:t>
            </w:r>
            <w:proofErr w:type="spellEnd"/>
            <w:r w:rsidRPr="00575802">
              <w:rPr>
                <w:rFonts w:cs="Times New Roman"/>
                <w:sz w:val="24"/>
                <w:szCs w:val="24"/>
                <w:lang w:val="lv-LV"/>
              </w:rPr>
              <w:t>) plāno šo summu rezervēt atsevišķā kontā un tādā veidā dzēst zemesgrāmatā reģistrēto ķīlas tiesību.</w:t>
            </w:r>
          </w:p>
          <w:p w:rsidR="00A11A12" w:rsidRPr="00575802" w:rsidRDefault="0085064D" w:rsidP="00A11A12">
            <w:pPr>
              <w:ind w:firstLine="483"/>
              <w:jc w:val="both"/>
              <w:rPr>
                <w:rFonts w:cs="Times New Roman"/>
                <w:sz w:val="24"/>
                <w:szCs w:val="24"/>
                <w:lang w:val="lv-LV"/>
              </w:rPr>
            </w:pPr>
            <w:r w:rsidRPr="00575802">
              <w:rPr>
                <w:rFonts w:cs="Times New Roman"/>
                <w:sz w:val="24"/>
                <w:szCs w:val="24"/>
                <w:lang w:val="lv-LV"/>
              </w:rPr>
              <w:t xml:space="preserve"> Attiecībā uz zemesgrāmatā reģistrēto hipotēku –nekustamā īpašuma īpašnieks ir informējis kreditoru sabiedrību ar ierobežotu atbildību „</w:t>
            </w:r>
            <w:r w:rsidR="008F7436" w:rsidRPr="00575802">
              <w:rPr>
                <w:rFonts w:cs="Times New Roman"/>
                <w:sz w:val="24"/>
                <w:szCs w:val="24"/>
                <w:lang w:val="lv-LV"/>
              </w:rPr>
              <w:t>EUROBALT JUNIPRO</w:t>
            </w:r>
            <w:r w:rsidRPr="00575802">
              <w:rPr>
                <w:rFonts w:cs="Times New Roman"/>
                <w:sz w:val="24"/>
                <w:szCs w:val="24"/>
                <w:lang w:val="lv-LV"/>
              </w:rPr>
              <w:t xml:space="preserve">” un nekustamā īpašuma pirkuma līgumā tiks noteiks, ka sākotnēji no pirkuma summas un pirmās daļas maksājuma tiks dzēsta hipotēka </w:t>
            </w:r>
            <w:r w:rsidR="006C6E54" w:rsidRPr="00575802">
              <w:rPr>
                <w:rFonts w:cs="Times New Roman"/>
                <w:sz w:val="24"/>
                <w:szCs w:val="24"/>
                <w:lang w:val="lv-LV"/>
              </w:rPr>
              <w:t>aizdevuma summas</w:t>
            </w:r>
            <w:r w:rsidRPr="00575802">
              <w:rPr>
                <w:rFonts w:cs="Times New Roman"/>
                <w:sz w:val="24"/>
                <w:szCs w:val="24"/>
                <w:lang w:val="lv-LV"/>
              </w:rPr>
              <w:t xml:space="preserve"> apmērā, pārskaitot uz kreditora norādīto bankas kontu.</w:t>
            </w:r>
          </w:p>
          <w:p w:rsidR="00A11A12" w:rsidRPr="00575802" w:rsidRDefault="00A11A12" w:rsidP="00A11A12">
            <w:pPr>
              <w:ind w:firstLine="483"/>
              <w:jc w:val="both"/>
              <w:rPr>
                <w:rFonts w:cs="Times New Roman"/>
                <w:sz w:val="24"/>
                <w:szCs w:val="24"/>
                <w:lang w:val="lv-LV"/>
              </w:rPr>
            </w:pPr>
            <w:r w:rsidRPr="00575802">
              <w:rPr>
                <w:rFonts w:cs="Times New Roman"/>
                <w:sz w:val="24"/>
                <w:szCs w:val="24"/>
                <w:lang w:val="lv-LV"/>
              </w:rPr>
              <w:t>Lietu tiesības, kas apgrūtina nekustamo īpašumu un tiks saglabātas zemesgrāmatā ir norādītas III daļas 1.iedaļā - iera</w:t>
            </w:r>
            <w:r w:rsidR="00715A78">
              <w:rPr>
                <w:rFonts w:cs="Times New Roman"/>
                <w:sz w:val="24"/>
                <w:szCs w:val="24"/>
                <w:lang w:val="lv-LV"/>
              </w:rPr>
              <w:t>k</w:t>
            </w:r>
            <w:r w:rsidRPr="00575802">
              <w:rPr>
                <w:rFonts w:cs="Times New Roman"/>
                <w:sz w:val="24"/>
                <w:szCs w:val="24"/>
                <w:lang w:val="lv-LV"/>
              </w:rPr>
              <w:t>sti Nr.1.1. un 3.1.</w:t>
            </w:r>
          </w:p>
          <w:p w:rsidR="007A6F3C" w:rsidRPr="00575802" w:rsidRDefault="007A6F3C" w:rsidP="007A6F3C">
            <w:pPr>
              <w:jc w:val="both"/>
              <w:rPr>
                <w:sz w:val="24"/>
                <w:szCs w:val="24"/>
                <w:lang w:val="lv-LV"/>
              </w:rPr>
            </w:pPr>
            <w:r w:rsidRPr="00575802">
              <w:rPr>
                <w:rFonts w:cs="Times New Roman"/>
                <w:sz w:val="24"/>
                <w:szCs w:val="24"/>
                <w:lang w:val="lv-LV"/>
              </w:rPr>
              <w:t xml:space="preserve">Tāpat, ņemot vērā, ka būve (litersNr.1) </w:t>
            </w:r>
            <w:r w:rsidRPr="00575802">
              <w:rPr>
                <w:sz w:val="24"/>
                <w:szCs w:val="24"/>
                <w:lang w:val="lv-LV"/>
              </w:rPr>
              <w:t xml:space="preserve">ir vietējās nozīmes arhitektūras piemineklis ar nosaukumu „Savrupmāja” (valsts aizsardzības Nr.8030), datējums -1889.gads un to, ka nekustamais īpašums atrodas UNESCO Pasaules kultūras un dabas mantojuma objekta Nr.852 „Rīgas vēsturiskais centrs” un valsts nozīmes pilsētbūvniecības pieminekļa "Rīgas pilsētas </w:t>
            </w:r>
            <w:r w:rsidRPr="00575802">
              <w:rPr>
                <w:sz w:val="24"/>
                <w:szCs w:val="24"/>
                <w:lang w:val="lv-LV"/>
              </w:rPr>
              <w:lastRenderedPageBreak/>
              <w:t>vēsturiskais centrs” (valsts aizsardzības Nr.7442) teritorijā, saskaņā ar likuma „Par kultūras pieminekļu aizsardzību” 11.pantu, kas nosaka - fiziskajām un juridiskajām personām jānodrošina, lai tiktu saglabāti kultūras pieminekļi, kas ir to īpašumā (valdījumā), valsts īpašumā esošo kultūras pieminekļu saglabāšanu nodrošina to valdītāji, Aizsardzības ministrija ievēros visus šajā likumā noteiktos pienākumus.</w:t>
            </w:r>
          </w:p>
          <w:p w:rsidR="0085064D" w:rsidRPr="00575802" w:rsidRDefault="0085064D" w:rsidP="00120AC3">
            <w:pPr>
              <w:jc w:val="both"/>
              <w:rPr>
                <w:rFonts w:cs="Times New Roman"/>
                <w:sz w:val="24"/>
                <w:szCs w:val="24"/>
                <w:lang w:val="lv-LV"/>
              </w:rPr>
            </w:pPr>
          </w:p>
          <w:p w:rsidR="00A9643D" w:rsidRPr="00575802" w:rsidRDefault="00A9643D" w:rsidP="00276100">
            <w:pPr>
              <w:ind w:firstLine="341"/>
              <w:jc w:val="both"/>
              <w:rPr>
                <w:rFonts w:cs="Times New Roman"/>
                <w:sz w:val="24"/>
                <w:szCs w:val="24"/>
                <w:lang w:val="lv-LV"/>
              </w:rPr>
            </w:pPr>
            <w:r w:rsidRPr="00575802">
              <w:rPr>
                <w:rFonts w:cs="Times New Roman"/>
                <w:sz w:val="24"/>
                <w:szCs w:val="24"/>
                <w:lang w:val="lv-LV"/>
              </w:rPr>
              <w:t>Ņemot vērā Sabiedrības vajadzībām nepieciešamā nekustamā īpašuma atsavināšanas likuma (turpmāk – Likums) 9.panta pirmo daļu tika sagatavots Ministru kabineta, turpmāk – MK, rīkojuma projekts.</w:t>
            </w:r>
          </w:p>
        </w:tc>
      </w:tr>
      <w:tr w:rsidR="00F64137" w:rsidRPr="00F64137" w:rsidTr="00F64137">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spacing w:before="100" w:beforeAutospacing="1" w:after="100" w:afterAutospacing="1" w:line="360" w:lineRule="auto"/>
              <w:rPr>
                <w:rFonts w:cs="Times New Roman"/>
                <w:color w:val="414142"/>
                <w:sz w:val="24"/>
                <w:szCs w:val="24"/>
                <w:lang w:val="lv-LV" w:eastAsia="lv-LV" w:bidi="ar-SA"/>
              </w:rPr>
            </w:pPr>
            <w:r w:rsidRPr="00F64137">
              <w:rPr>
                <w:rFonts w:cs="Times New Roman"/>
                <w:color w:val="414142"/>
                <w:sz w:val="24"/>
                <w:szCs w:val="24"/>
                <w:lang w:val="lv-LV" w:eastAsia="lv-LV" w:bidi="ar-SA"/>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F64137" w:rsidRPr="00F64137" w:rsidRDefault="00666D11" w:rsidP="00F64137">
            <w:pPr>
              <w:rPr>
                <w:rFonts w:cs="Times New Roman"/>
                <w:color w:val="414142"/>
                <w:sz w:val="24"/>
                <w:szCs w:val="24"/>
                <w:lang w:val="lv-LV" w:eastAsia="lv-LV" w:bidi="ar-SA"/>
              </w:rPr>
            </w:pPr>
            <w:r w:rsidRPr="00120AC3">
              <w:rPr>
                <w:rFonts w:cs="Times New Roman"/>
                <w:color w:val="414142"/>
                <w:sz w:val="24"/>
                <w:szCs w:val="24"/>
                <w:lang w:val="lv-LV" w:eastAsia="lv-LV" w:bidi="ar-SA"/>
              </w:rPr>
              <w:t>Aizsardzības ministrija, Valsts aizsardzības militāro objektu un iepirkumu centrs.</w:t>
            </w:r>
          </w:p>
        </w:tc>
      </w:tr>
      <w:tr w:rsidR="00F64137" w:rsidRPr="00715A78" w:rsidTr="00F64137">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F64137" w:rsidRPr="00F64137" w:rsidRDefault="00F64137" w:rsidP="00E0183D">
            <w:pPr>
              <w:spacing w:line="360" w:lineRule="auto"/>
              <w:rPr>
                <w:rFonts w:cs="Times New Roman"/>
                <w:color w:val="414142"/>
                <w:sz w:val="24"/>
                <w:szCs w:val="24"/>
                <w:lang w:val="lv-LV" w:eastAsia="lv-LV" w:bidi="ar-SA"/>
              </w:rPr>
            </w:pPr>
            <w:r w:rsidRPr="00F64137">
              <w:rPr>
                <w:rFonts w:cs="Times New Roman"/>
                <w:color w:val="414142"/>
                <w:sz w:val="24"/>
                <w:szCs w:val="24"/>
                <w:lang w:val="lv-LV" w:eastAsia="lv-LV" w:bidi="ar-SA"/>
              </w:rPr>
              <w:t>4.</w:t>
            </w:r>
          </w:p>
        </w:tc>
        <w:tc>
          <w:tcPr>
            <w:tcW w:w="1550" w:type="pct"/>
            <w:tcBorders>
              <w:top w:val="outset" w:sz="6" w:space="0" w:color="auto"/>
              <w:left w:val="outset" w:sz="6" w:space="0" w:color="auto"/>
              <w:bottom w:val="outset" w:sz="6" w:space="0" w:color="auto"/>
              <w:right w:val="outset" w:sz="6" w:space="0" w:color="auto"/>
            </w:tcBorders>
            <w:hideMark/>
          </w:tcPr>
          <w:p w:rsidR="00F64137" w:rsidRPr="00F64137" w:rsidRDefault="00F64137" w:rsidP="00E0183D">
            <w:pPr>
              <w:rPr>
                <w:rFonts w:cs="Times New Roman"/>
                <w:color w:val="414142"/>
                <w:sz w:val="24"/>
                <w:szCs w:val="24"/>
                <w:lang w:val="lv-LV" w:eastAsia="lv-LV" w:bidi="ar-SA"/>
              </w:rPr>
            </w:pPr>
            <w:r w:rsidRPr="00F64137">
              <w:rPr>
                <w:rFonts w:cs="Times New Roman"/>
                <w:color w:val="414142"/>
                <w:sz w:val="24"/>
                <w:szCs w:val="24"/>
                <w:lang w:val="lv-LV" w:eastAsia="lv-LV" w:bidi="ar-SA"/>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F64137" w:rsidRPr="00575802" w:rsidRDefault="00120AC3" w:rsidP="00E0183D">
            <w:pPr>
              <w:jc w:val="both"/>
              <w:rPr>
                <w:rFonts w:cs="Times New Roman"/>
                <w:color w:val="414142"/>
                <w:sz w:val="24"/>
                <w:szCs w:val="24"/>
                <w:lang w:val="lv-LV" w:eastAsia="lv-LV" w:bidi="ar-SA"/>
              </w:rPr>
            </w:pPr>
            <w:r w:rsidRPr="00575802">
              <w:rPr>
                <w:rFonts w:cs="Times New Roman"/>
                <w:color w:val="414142"/>
                <w:sz w:val="24"/>
                <w:szCs w:val="24"/>
                <w:lang w:val="lv-LV" w:eastAsia="lv-LV" w:bidi="ar-SA"/>
              </w:rPr>
              <w:t>Nekustamā īpašuma īpašnieks ir izteicis piedāvājumu atlīdzības saņemšanai pa daļām. Proti, sākotnē</w:t>
            </w:r>
            <w:r w:rsidR="00A9643D" w:rsidRPr="00575802">
              <w:rPr>
                <w:rFonts w:cs="Times New Roman"/>
                <w:color w:val="414142"/>
                <w:sz w:val="24"/>
                <w:szCs w:val="24"/>
                <w:lang w:val="lv-LV" w:eastAsia="lv-LV" w:bidi="ar-SA"/>
              </w:rPr>
              <w:t>ji tam būtu nepieciešams saņemt</w:t>
            </w:r>
            <w:r w:rsidR="00F734BB" w:rsidRPr="00575802">
              <w:rPr>
                <w:rFonts w:cs="Times New Roman"/>
                <w:color w:val="414142"/>
                <w:sz w:val="24"/>
                <w:szCs w:val="24"/>
                <w:lang w:val="lv-LV" w:eastAsia="lv-LV" w:bidi="ar-SA"/>
              </w:rPr>
              <w:t xml:space="preserve"> </w:t>
            </w:r>
            <w:r w:rsidR="00C41E84" w:rsidRPr="00575802">
              <w:rPr>
                <w:rFonts w:cs="Times New Roman"/>
                <w:color w:val="414142"/>
                <w:sz w:val="24"/>
                <w:szCs w:val="24"/>
                <w:lang w:val="lv-LV" w:eastAsia="lv-LV" w:bidi="ar-SA"/>
              </w:rPr>
              <w:t>1 154 995.30</w:t>
            </w:r>
            <w:r w:rsidR="00F734BB" w:rsidRPr="00575802">
              <w:rPr>
                <w:rFonts w:cs="Times New Roman"/>
                <w:color w:val="414142"/>
                <w:sz w:val="24"/>
                <w:szCs w:val="24"/>
                <w:lang w:val="lv-LV" w:eastAsia="lv-LV" w:bidi="ar-SA"/>
              </w:rPr>
              <w:t xml:space="preserve"> </w:t>
            </w:r>
            <w:proofErr w:type="spellStart"/>
            <w:r w:rsidR="0013607D" w:rsidRPr="00575802">
              <w:rPr>
                <w:rFonts w:cs="Times New Roman"/>
                <w:i/>
                <w:color w:val="414142"/>
                <w:sz w:val="24"/>
                <w:szCs w:val="24"/>
                <w:lang w:val="lv-LV" w:eastAsia="lv-LV" w:bidi="ar-SA"/>
              </w:rPr>
              <w:t>euro</w:t>
            </w:r>
            <w:proofErr w:type="spellEnd"/>
            <w:r w:rsidR="00AB1CD1" w:rsidRPr="00575802">
              <w:rPr>
                <w:rFonts w:cs="Times New Roman"/>
                <w:i/>
                <w:color w:val="414142"/>
                <w:sz w:val="24"/>
                <w:szCs w:val="24"/>
                <w:lang w:val="lv-LV" w:eastAsia="lv-LV" w:bidi="ar-SA"/>
              </w:rPr>
              <w:t xml:space="preserve"> </w:t>
            </w:r>
            <w:r w:rsidR="00AB1CD1" w:rsidRPr="00575802">
              <w:rPr>
                <w:rFonts w:cs="Times New Roman"/>
                <w:color w:val="414142"/>
                <w:sz w:val="24"/>
                <w:szCs w:val="24"/>
                <w:lang w:val="lv-LV" w:eastAsia="lv-LV" w:bidi="ar-SA"/>
              </w:rPr>
              <w:t xml:space="preserve">(viens miljons simts piecdesmit četri tūkstoši deviņi simti deviņdesmit pieci </w:t>
            </w:r>
            <w:proofErr w:type="spellStart"/>
            <w:r w:rsidR="00AB1CD1" w:rsidRPr="00575802">
              <w:rPr>
                <w:rFonts w:cs="Times New Roman"/>
                <w:color w:val="414142"/>
                <w:sz w:val="24"/>
                <w:szCs w:val="24"/>
                <w:lang w:val="lv-LV" w:eastAsia="lv-LV" w:bidi="ar-SA"/>
              </w:rPr>
              <w:t>euro</w:t>
            </w:r>
            <w:proofErr w:type="spellEnd"/>
            <w:r w:rsidR="00AB1CD1" w:rsidRPr="00575802">
              <w:rPr>
                <w:rFonts w:cs="Times New Roman"/>
                <w:color w:val="414142"/>
                <w:sz w:val="24"/>
                <w:szCs w:val="24"/>
                <w:lang w:val="lv-LV" w:eastAsia="lv-LV" w:bidi="ar-SA"/>
              </w:rPr>
              <w:t xml:space="preserve"> un 30 </w:t>
            </w:r>
            <w:proofErr w:type="spellStart"/>
            <w:r w:rsidR="00AB1CD1" w:rsidRPr="00575802">
              <w:rPr>
                <w:rFonts w:cs="Times New Roman"/>
                <w:color w:val="414142"/>
                <w:sz w:val="24"/>
                <w:szCs w:val="24"/>
                <w:lang w:val="lv-LV" w:eastAsia="lv-LV" w:bidi="ar-SA"/>
              </w:rPr>
              <w:t>eurocenti</w:t>
            </w:r>
            <w:proofErr w:type="spellEnd"/>
            <w:r w:rsidR="00AB1CD1" w:rsidRPr="00575802">
              <w:rPr>
                <w:rFonts w:cs="Times New Roman"/>
                <w:color w:val="414142"/>
                <w:sz w:val="24"/>
                <w:szCs w:val="24"/>
                <w:lang w:val="lv-LV" w:eastAsia="lv-LV" w:bidi="ar-SA"/>
              </w:rPr>
              <w:t>)</w:t>
            </w:r>
            <w:r w:rsidR="00F734BB" w:rsidRPr="00575802">
              <w:rPr>
                <w:rFonts w:cs="Times New Roman"/>
                <w:color w:val="414142"/>
                <w:sz w:val="24"/>
                <w:szCs w:val="24"/>
                <w:lang w:val="lv-LV" w:eastAsia="lv-LV" w:bidi="ar-SA"/>
              </w:rPr>
              <w:t xml:space="preserve">, lai dzēstu hipotēku un noņemtu Zemesgrāmatā ierakstīto prasības nodrošinājumu. Tāpat šai summai jāpieskaita </w:t>
            </w:r>
            <w:r w:rsidR="00101FCB" w:rsidRPr="00575802">
              <w:rPr>
                <w:rFonts w:cs="Times New Roman"/>
                <w:color w:val="414142"/>
                <w:sz w:val="24"/>
                <w:szCs w:val="24"/>
                <w:lang w:val="lv-LV" w:eastAsia="lv-LV" w:bidi="ar-SA"/>
              </w:rPr>
              <w:t>izdevumi,</w:t>
            </w:r>
            <w:r w:rsidR="00F734BB" w:rsidRPr="00575802">
              <w:rPr>
                <w:rFonts w:cs="Times New Roman"/>
                <w:color w:val="414142"/>
                <w:sz w:val="24"/>
                <w:szCs w:val="24"/>
                <w:lang w:val="lv-LV" w:eastAsia="lv-LV" w:bidi="ar-SA"/>
              </w:rPr>
              <w:t xml:space="preserve"> atbilstoši Sabiedrības vajadzībām </w:t>
            </w:r>
            <w:r w:rsidR="00F734BB" w:rsidRPr="00575802">
              <w:rPr>
                <w:rFonts w:cs="Times New Roman"/>
                <w:sz w:val="24"/>
                <w:szCs w:val="24"/>
                <w:lang w:val="lv-LV"/>
              </w:rPr>
              <w:t xml:space="preserve">nepieciešamā nekustamā īpašuma </w:t>
            </w:r>
            <w:r w:rsidR="00A9643D" w:rsidRPr="00575802">
              <w:rPr>
                <w:rFonts w:cs="Times New Roman"/>
                <w:sz w:val="24"/>
                <w:szCs w:val="24"/>
                <w:lang w:val="lv-LV"/>
              </w:rPr>
              <w:t>atsavināšanas likuma 25.panta otrās daļas 1.punkts</w:t>
            </w:r>
            <w:r w:rsidR="00F734BB" w:rsidRPr="00575802">
              <w:rPr>
                <w:rFonts w:cs="Times New Roman"/>
                <w:sz w:val="24"/>
                <w:szCs w:val="24"/>
                <w:lang w:val="lv-LV"/>
              </w:rPr>
              <w:t>, kas obligāti kompensējami</w:t>
            </w:r>
            <w:r w:rsidR="00A9643D" w:rsidRPr="00575802">
              <w:rPr>
                <w:rFonts w:cs="Times New Roman"/>
                <w:sz w:val="24"/>
                <w:szCs w:val="24"/>
                <w:lang w:val="lv-LV"/>
              </w:rPr>
              <w:t xml:space="preserve"> nekustamā īpašuma īpašniekam.</w:t>
            </w:r>
          </w:p>
        </w:tc>
      </w:tr>
    </w:tbl>
    <w:p w:rsidR="00E0183D" w:rsidRPr="00F64137" w:rsidRDefault="00E0183D" w:rsidP="00E0183D">
      <w:pPr>
        <w:spacing w:line="360" w:lineRule="auto"/>
        <w:rPr>
          <w:rFonts w:cs="Times New Roman"/>
          <w:color w:val="414142"/>
          <w:sz w:val="24"/>
          <w:szCs w:val="24"/>
          <w:lang w:val="lv-LV" w:eastAsia="lv-LV" w:bidi="ar-SA"/>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39"/>
        <w:gridCol w:w="1201"/>
        <w:gridCol w:w="1401"/>
        <w:gridCol w:w="1054"/>
        <w:gridCol w:w="1054"/>
        <w:gridCol w:w="1207"/>
      </w:tblGrid>
      <w:tr w:rsidR="00F64137" w:rsidRPr="00715A78" w:rsidTr="00F64137">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E0183D">
            <w:pPr>
              <w:spacing w:line="360" w:lineRule="auto"/>
              <w:ind w:firstLine="300"/>
              <w:jc w:val="center"/>
              <w:rPr>
                <w:rFonts w:cs="Times New Roman"/>
                <w:b/>
                <w:bCs/>
                <w:color w:val="414142"/>
                <w:sz w:val="24"/>
                <w:szCs w:val="24"/>
                <w:lang w:val="lv-LV" w:eastAsia="lv-LV" w:bidi="ar-SA"/>
              </w:rPr>
            </w:pPr>
            <w:r w:rsidRPr="00F64137">
              <w:rPr>
                <w:rFonts w:cs="Times New Roman"/>
                <w:b/>
                <w:bCs/>
                <w:color w:val="414142"/>
                <w:sz w:val="24"/>
                <w:szCs w:val="24"/>
                <w:lang w:val="lv-LV" w:eastAsia="lv-LV" w:bidi="ar-SA"/>
              </w:rPr>
              <w:t>III. Tiesību akta projekta ietekme uz valsts budžetu un pašvaldību budžetiem</w:t>
            </w:r>
          </w:p>
        </w:tc>
      </w:tr>
      <w:tr w:rsidR="00F64137" w:rsidRPr="00F64137" w:rsidTr="00551F23">
        <w:trPr>
          <w:tblCellSpacing w:w="15" w:type="dxa"/>
          <w:jc w:val="center"/>
        </w:trPr>
        <w:tc>
          <w:tcPr>
            <w:tcW w:w="1501" w:type="pct"/>
            <w:vMerge w:val="restart"/>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spacing w:before="100" w:beforeAutospacing="1" w:after="100" w:afterAutospacing="1" w:line="360" w:lineRule="auto"/>
              <w:ind w:firstLine="300"/>
              <w:jc w:val="center"/>
              <w:rPr>
                <w:rFonts w:cs="Times New Roman"/>
                <w:b/>
                <w:bCs/>
                <w:color w:val="414142"/>
                <w:sz w:val="24"/>
                <w:szCs w:val="24"/>
                <w:lang w:val="lv-LV" w:eastAsia="lv-LV" w:bidi="ar-SA"/>
              </w:rPr>
            </w:pPr>
            <w:r w:rsidRPr="00F64137">
              <w:rPr>
                <w:rFonts w:cs="Times New Roman"/>
                <w:b/>
                <w:bCs/>
                <w:color w:val="414142"/>
                <w:sz w:val="24"/>
                <w:szCs w:val="24"/>
                <w:lang w:val="lv-LV" w:eastAsia="lv-LV" w:bidi="ar-SA"/>
              </w:rPr>
              <w:t>Rādītāji</w:t>
            </w:r>
          </w:p>
        </w:tc>
        <w:tc>
          <w:tcPr>
            <w:tcW w:w="153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64137" w:rsidRPr="00F64137" w:rsidRDefault="00666D11" w:rsidP="00F64137">
            <w:pPr>
              <w:spacing w:before="100" w:beforeAutospacing="1" w:after="100" w:afterAutospacing="1" w:line="360" w:lineRule="auto"/>
              <w:ind w:firstLine="300"/>
              <w:jc w:val="center"/>
              <w:rPr>
                <w:rFonts w:cs="Times New Roman"/>
                <w:b/>
                <w:bCs/>
                <w:color w:val="414142"/>
                <w:sz w:val="24"/>
                <w:szCs w:val="24"/>
                <w:lang w:val="lv-LV" w:eastAsia="lv-LV" w:bidi="ar-SA"/>
              </w:rPr>
            </w:pPr>
            <w:r w:rsidRPr="00120AC3">
              <w:rPr>
                <w:rFonts w:cs="Times New Roman"/>
                <w:b/>
                <w:bCs/>
                <w:color w:val="414142"/>
                <w:sz w:val="24"/>
                <w:szCs w:val="24"/>
                <w:lang w:val="lv-LV" w:eastAsia="lv-LV" w:bidi="ar-SA"/>
              </w:rPr>
              <w:t>2014</w:t>
            </w:r>
            <w:r w:rsidR="00F64137" w:rsidRPr="00F64137">
              <w:rPr>
                <w:rFonts w:cs="Times New Roman"/>
                <w:b/>
                <w:bCs/>
                <w:color w:val="414142"/>
                <w:sz w:val="24"/>
                <w:szCs w:val="24"/>
                <w:lang w:val="lv-LV" w:eastAsia="lv-LV" w:bidi="ar-SA"/>
              </w:rPr>
              <w:t>-tais gads</w:t>
            </w:r>
          </w:p>
        </w:tc>
        <w:tc>
          <w:tcPr>
            <w:tcW w:w="1894" w:type="pct"/>
            <w:gridSpan w:val="3"/>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spacing w:before="100" w:beforeAutospacing="1" w:after="100" w:afterAutospacing="1" w:line="360" w:lineRule="auto"/>
              <w:ind w:firstLine="300"/>
              <w:jc w:val="center"/>
              <w:rPr>
                <w:rFonts w:cs="Times New Roman"/>
                <w:color w:val="414142"/>
                <w:sz w:val="24"/>
                <w:szCs w:val="24"/>
                <w:lang w:val="lv-LV" w:eastAsia="lv-LV" w:bidi="ar-SA"/>
              </w:rPr>
            </w:pPr>
            <w:r w:rsidRPr="00F64137">
              <w:rPr>
                <w:rFonts w:cs="Times New Roman"/>
                <w:color w:val="414142"/>
                <w:sz w:val="24"/>
                <w:szCs w:val="24"/>
                <w:lang w:val="lv-LV" w:eastAsia="lv-LV" w:bidi="ar-SA"/>
              </w:rPr>
              <w:t>Turpmākie trīs gadi (</w:t>
            </w:r>
            <w:proofErr w:type="spellStart"/>
            <w:r w:rsidRPr="00F64137">
              <w:rPr>
                <w:rFonts w:cs="Times New Roman"/>
                <w:i/>
                <w:iCs/>
                <w:color w:val="414142"/>
                <w:sz w:val="24"/>
                <w:szCs w:val="24"/>
                <w:lang w:val="lv-LV" w:eastAsia="lv-LV" w:bidi="ar-SA"/>
              </w:rPr>
              <w:t>euro</w:t>
            </w:r>
            <w:proofErr w:type="spellEnd"/>
            <w:r w:rsidRPr="00F64137">
              <w:rPr>
                <w:rFonts w:cs="Times New Roman"/>
                <w:color w:val="414142"/>
                <w:sz w:val="24"/>
                <w:szCs w:val="24"/>
                <w:lang w:val="lv-LV" w:eastAsia="lv-LV" w:bidi="ar-SA"/>
              </w:rPr>
              <w:t>)</w:t>
            </w:r>
          </w:p>
        </w:tc>
      </w:tr>
      <w:tr w:rsidR="00F64137" w:rsidRPr="00F64137" w:rsidTr="00551F23">
        <w:trPr>
          <w:tblCellSpacing w:w="15" w:type="dxa"/>
          <w:jc w:val="center"/>
        </w:trPr>
        <w:tc>
          <w:tcPr>
            <w:tcW w:w="1501" w:type="pct"/>
            <w:vMerge/>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rPr>
                <w:rFonts w:cs="Times New Roman"/>
                <w:b/>
                <w:bCs/>
                <w:color w:val="414142"/>
                <w:sz w:val="24"/>
                <w:szCs w:val="24"/>
                <w:lang w:val="lv-LV" w:eastAsia="lv-LV" w:bidi="ar-SA"/>
              </w:rPr>
            </w:pPr>
          </w:p>
        </w:tc>
        <w:tc>
          <w:tcPr>
            <w:tcW w:w="1534" w:type="pct"/>
            <w:gridSpan w:val="2"/>
            <w:vMerge/>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rPr>
                <w:rFonts w:cs="Times New Roman"/>
                <w:b/>
                <w:bCs/>
                <w:color w:val="414142"/>
                <w:sz w:val="24"/>
                <w:szCs w:val="24"/>
                <w:lang w:val="lv-LV" w:eastAsia="lv-LV" w:bidi="ar-SA"/>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F64137" w:rsidRPr="00F64137" w:rsidRDefault="00E72436" w:rsidP="00F64137">
            <w:pPr>
              <w:spacing w:before="100" w:beforeAutospacing="1" w:after="100" w:afterAutospacing="1" w:line="360" w:lineRule="auto"/>
              <w:ind w:firstLine="300"/>
              <w:jc w:val="center"/>
              <w:rPr>
                <w:rFonts w:cs="Times New Roman"/>
                <w:b/>
                <w:bCs/>
                <w:color w:val="414142"/>
                <w:sz w:val="24"/>
                <w:szCs w:val="24"/>
                <w:lang w:val="lv-LV" w:eastAsia="lv-LV" w:bidi="ar-SA"/>
              </w:rPr>
            </w:pPr>
            <w:r>
              <w:rPr>
                <w:rFonts w:cs="Times New Roman"/>
                <w:b/>
                <w:bCs/>
                <w:color w:val="414142"/>
                <w:sz w:val="24"/>
                <w:szCs w:val="24"/>
                <w:lang w:val="lv-LV" w:eastAsia="lv-LV" w:bidi="ar-SA"/>
              </w:rPr>
              <w:t>2015</w:t>
            </w:r>
          </w:p>
        </w:tc>
        <w:tc>
          <w:tcPr>
            <w:tcW w:w="605" w:type="pct"/>
            <w:tcBorders>
              <w:top w:val="outset" w:sz="6" w:space="0" w:color="auto"/>
              <w:left w:val="outset" w:sz="6" w:space="0" w:color="auto"/>
              <w:bottom w:val="outset" w:sz="6" w:space="0" w:color="auto"/>
              <w:right w:val="outset" w:sz="6" w:space="0" w:color="auto"/>
            </w:tcBorders>
            <w:vAlign w:val="center"/>
            <w:hideMark/>
          </w:tcPr>
          <w:p w:rsidR="00F64137" w:rsidRPr="00F64137" w:rsidRDefault="00E72436" w:rsidP="00F64137">
            <w:pPr>
              <w:spacing w:before="100" w:beforeAutospacing="1" w:after="100" w:afterAutospacing="1" w:line="360" w:lineRule="auto"/>
              <w:ind w:firstLine="300"/>
              <w:jc w:val="center"/>
              <w:rPr>
                <w:rFonts w:cs="Times New Roman"/>
                <w:b/>
                <w:bCs/>
                <w:color w:val="414142"/>
                <w:sz w:val="24"/>
                <w:szCs w:val="24"/>
                <w:lang w:val="lv-LV" w:eastAsia="lv-LV" w:bidi="ar-SA"/>
              </w:rPr>
            </w:pPr>
            <w:r>
              <w:rPr>
                <w:rFonts w:cs="Times New Roman"/>
                <w:b/>
                <w:bCs/>
                <w:color w:val="414142"/>
                <w:sz w:val="24"/>
                <w:szCs w:val="24"/>
                <w:lang w:val="lv-LV" w:eastAsia="lv-LV" w:bidi="ar-SA"/>
              </w:rPr>
              <w:t>2016</w:t>
            </w:r>
          </w:p>
        </w:tc>
        <w:tc>
          <w:tcPr>
            <w:tcW w:w="647" w:type="pct"/>
            <w:tcBorders>
              <w:top w:val="outset" w:sz="6" w:space="0" w:color="auto"/>
              <w:left w:val="outset" w:sz="6" w:space="0" w:color="auto"/>
              <w:bottom w:val="outset" w:sz="6" w:space="0" w:color="auto"/>
              <w:right w:val="outset" w:sz="6" w:space="0" w:color="auto"/>
            </w:tcBorders>
            <w:vAlign w:val="center"/>
            <w:hideMark/>
          </w:tcPr>
          <w:p w:rsidR="00F64137" w:rsidRPr="00F64137" w:rsidRDefault="00E72436" w:rsidP="00F64137">
            <w:pPr>
              <w:spacing w:before="100" w:beforeAutospacing="1" w:after="100" w:afterAutospacing="1" w:line="360" w:lineRule="auto"/>
              <w:ind w:firstLine="300"/>
              <w:jc w:val="center"/>
              <w:rPr>
                <w:rFonts w:cs="Times New Roman"/>
                <w:b/>
                <w:bCs/>
                <w:color w:val="414142"/>
                <w:sz w:val="24"/>
                <w:szCs w:val="24"/>
                <w:lang w:val="lv-LV" w:eastAsia="lv-LV" w:bidi="ar-SA"/>
              </w:rPr>
            </w:pPr>
            <w:r>
              <w:rPr>
                <w:rFonts w:cs="Times New Roman"/>
                <w:b/>
                <w:bCs/>
                <w:color w:val="414142"/>
                <w:sz w:val="24"/>
                <w:szCs w:val="24"/>
                <w:lang w:val="lv-LV" w:eastAsia="lv-LV" w:bidi="ar-SA"/>
              </w:rPr>
              <w:t>2017</w:t>
            </w:r>
          </w:p>
        </w:tc>
      </w:tr>
      <w:tr w:rsidR="00F64137" w:rsidRPr="00F64137" w:rsidTr="00551F23">
        <w:trPr>
          <w:tblCellSpacing w:w="15" w:type="dxa"/>
          <w:jc w:val="center"/>
        </w:trPr>
        <w:tc>
          <w:tcPr>
            <w:tcW w:w="1501" w:type="pct"/>
            <w:vMerge/>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rPr>
                <w:rFonts w:cs="Times New Roman"/>
                <w:b/>
                <w:bCs/>
                <w:color w:val="414142"/>
                <w:sz w:val="24"/>
                <w:szCs w:val="24"/>
                <w:lang w:val="lv-LV" w:eastAsia="lv-LV" w:bidi="ar-SA"/>
              </w:rPr>
            </w:pPr>
          </w:p>
        </w:tc>
        <w:tc>
          <w:tcPr>
            <w:tcW w:w="707" w:type="pct"/>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spacing w:before="100" w:beforeAutospacing="1" w:after="100" w:afterAutospacing="1" w:line="360" w:lineRule="auto"/>
              <w:ind w:firstLine="300"/>
              <w:jc w:val="center"/>
              <w:rPr>
                <w:rFonts w:cs="Times New Roman"/>
                <w:color w:val="414142"/>
                <w:sz w:val="24"/>
                <w:szCs w:val="24"/>
                <w:lang w:val="lv-LV" w:eastAsia="lv-LV" w:bidi="ar-SA"/>
              </w:rPr>
            </w:pPr>
            <w:r w:rsidRPr="00F64137">
              <w:rPr>
                <w:rFonts w:cs="Times New Roman"/>
                <w:color w:val="414142"/>
                <w:sz w:val="24"/>
                <w:szCs w:val="24"/>
                <w:lang w:val="lv-LV" w:eastAsia="lv-LV" w:bidi="ar-SA"/>
              </w:rPr>
              <w:t>saskaņā ar valsts budžetu kārtējam gadam</w:t>
            </w:r>
          </w:p>
        </w:tc>
        <w:tc>
          <w:tcPr>
            <w:tcW w:w="809" w:type="pct"/>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spacing w:before="100" w:beforeAutospacing="1" w:after="100" w:afterAutospacing="1" w:line="360" w:lineRule="auto"/>
              <w:ind w:firstLine="300"/>
              <w:jc w:val="center"/>
              <w:rPr>
                <w:rFonts w:cs="Times New Roman"/>
                <w:color w:val="414142"/>
                <w:sz w:val="24"/>
                <w:szCs w:val="24"/>
                <w:lang w:val="lv-LV" w:eastAsia="lv-LV" w:bidi="ar-SA"/>
              </w:rPr>
            </w:pPr>
            <w:r w:rsidRPr="00F64137">
              <w:rPr>
                <w:rFonts w:cs="Times New Roman"/>
                <w:color w:val="414142"/>
                <w:sz w:val="24"/>
                <w:szCs w:val="24"/>
                <w:lang w:val="lv-LV" w:eastAsia="lv-LV" w:bidi="ar-SA"/>
              </w:rPr>
              <w:t>izmaiņas kārtējā gadā, salīdzinot ar valsts budžetu kārtējam gadam</w:t>
            </w:r>
          </w:p>
        </w:tc>
        <w:tc>
          <w:tcPr>
            <w:tcW w:w="605" w:type="pct"/>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spacing w:before="100" w:beforeAutospacing="1" w:after="100" w:afterAutospacing="1" w:line="360" w:lineRule="auto"/>
              <w:ind w:firstLine="300"/>
              <w:jc w:val="center"/>
              <w:rPr>
                <w:rFonts w:cs="Times New Roman"/>
                <w:color w:val="414142"/>
                <w:sz w:val="24"/>
                <w:szCs w:val="24"/>
                <w:lang w:val="lv-LV" w:eastAsia="lv-LV" w:bidi="ar-SA"/>
              </w:rPr>
            </w:pPr>
            <w:r w:rsidRPr="00F64137">
              <w:rPr>
                <w:rFonts w:cs="Times New Roman"/>
                <w:color w:val="414142"/>
                <w:sz w:val="24"/>
                <w:szCs w:val="24"/>
                <w:lang w:val="lv-LV" w:eastAsia="lv-LV" w:bidi="ar-SA"/>
              </w:rPr>
              <w:t>izmaiņas, salīdzinot ar kārtējo (n) gadu</w:t>
            </w:r>
          </w:p>
        </w:tc>
        <w:tc>
          <w:tcPr>
            <w:tcW w:w="605" w:type="pct"/>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spacing w:before="100" w:beforeAutospacing="1" w:after="100" w:afterAutospacing="1" w:line="360" w:lineRule="auto"/>
              <w:ind w:firstLine="300"/>
              <w:jc w:val="center"/>
              <w:rPr>
                <w:rFonts w:cs="Times New Roman"/>
                <w:color w:val="414142"/>
                <w:sz w:val="24"/>
                <w:szCs w:val="24"/>
                <w:lang w:val="lv-LV" w:eastAsia="lv-LV" w:bidi="ar-SA"/>
              </w:rPr>
            </w:pPr>
            <w:r w:rsidRPr="00F64137">
              <w:rPr>
                <w:rFonts w:cs="Times New Roman"/>
                <w:color w:val="414142"/>
                <w:sz w:val="24"/>
                <w:szCs w:val="24"/>
                <w:lang w:val="lv-LV" w:eastAsia="lv-LV" w:bidi="ar-SA"/>
              </w:rPr>
              <w:t>izmaiņas, salīdzinot ar kārtējo (n) gadu</w:t>
            </w:r>
          </w:p>
        </w:tc>
        <w:tc>
          <w:tcPr>
            <w:tcW w:w="647" w:type="pct"/>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spacing w:before="100" w:beforeAutospacing="1" w:after="100" w:afterAutospacing="1" w:line="360" w:lineRule="auto"/>
              <w:ind w:firstLine="300"/>
              <w:jc w:val="center"/>
              <w:rPr>
                <w:rFonts w:cs="Times New Roman"/>
                <w:color w:val="414142"/>
                <w:sz w:val="24"/>
                <w:szCs w:val="24"/>
                <w:lang w:val="lv-LV" w:eastAsia="lv-LV" w:bidi="ar-SA"/>
              </w:rPr>
            </w:pPr>
            <w:r w:rsidRPr="00F64137">
              <w:rPr>
                <w:rFonts w:cs="Times New Roman"/>
                <w:color w:val="414142"/>
                <w:sz w:val="24"/>
                <w:szCs w:val="24"/>
                <w:lang w:val="lv-LV" w:eastAsia="lv-LV" w:bidi="ar-SA"/>
              </w:rPr>
              <w:t>izmaiņas, salīdzinot ar kārtējo (n) gadu</w:t>
            </w:r>
          </w:p>
        </w:tc>
      </w:tr>
      <w:tr w:rsidR="00F64137" w:rsidRPr="00F64137" w:rsidTr="00551F23">
        <w:trPr>
          <w:tblCellSpacing w:w="15" w:type="dxa"/>
          <w:jc w:val="center"/>
        </w:trPr>
        <w:tc>
          <w:tcPr>
            <w:tcW w:w="1501" w:type="pct"/>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spacing w:before="100" w:beforeAutospacing="1" w:after="100" w:afterAutospacing="1" w:line="360" w:lineRule="auto"/>
              <w:ind w:firstLine="300"/>
              <w:jc w:val="center"/>
              <w:rPr>
                <w:rFonts w:cs="Times New Roman"/>
                <w:color w:val="414142"/>
                <w:sz w:val="24"/>
                <w:szCs w:val="24"/>
                <w:lang w:val="lv-LV" w:eastAsia="lv-LV" w:bidi="ar-SA"/>
              </w:rPr>
            </w:pPr>
            <w:r w:rsidRPr="00F64137">
              <w:rPr>
                <w:rFonts w:cs="Times New Roman"/>
                <w:color w:val="414142"/>
                <w:sz w:val="24"/>
                <w:szCs w:val="24"/>
                <w:lang w:val="lv-LV" w:eastAsia="lv-LV" w:bidi="ar-SA"/>
              </w:rPr>
              <w:t>1</w:t>
            </w:r>
          </w:p>
        </w:tc>
        <w:tc>
          <w:tcPr>
            <w:tcW w:w="707" w:type="pct"/>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spacing w:before="100" w:beforeAutospacing="1" w:after="100" w:afterAutospacing="1" w:line="360" w:lineRule="auto"/>
              <w:ind w:firstLine="300"/>
              <w:jc w:val="center"/>
              <w:rPr>
                <w:rFonts w:cs="Times New Roman"/>
                <w:color w:val="414142"/>
                <w:sz w:val="24"/>
                <w:szCs w:val="24"/>
                <w:lang w:val="lv-LV" w:eastAsia="lv-LV" w:bidi="ar-SA"/>
              </w:rPr>
            </w:pPr>
            <w:r w:rsidRPr="00F64137">
              <w:rPr>
                <w:rFonts w:cs="Times New Roman"/>
                <w:color w:val="414142"/>
                <w:sz w:val="24"/>
                <w:szCs w:val="24"/>
                <w:lang w:val="lv-LV" w:eastAsia="lv-LV" w:bidi="ar-SA"/>
              </w:rPr>
              <w:t>2</w:t>
            </w:r>
          </w:p>
        </w:tc>
        <w:tc>
          <w:tcPr>
            <w:tcW w:w="809" w:type="pct"/>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spacing w:before="100" w:beforeAutospacing="1" w:after="100" w:afterAutospacing="1" w:line="360" w:lineRule="auto"/>
              <w:ind w:firstLine="300"/>
              <w:jc w:val="center"/>
              <w:rPr>
                <w:rFonts w:cs="Times New Roman"/>
                <w:color w:val="414142"/>
                <w:sz w:val="24"/>
                <w:szCs w:val="24"/>
                <w:lang w:val="lv-LV" w:eastAsia="lv-LV" w:bidi="ar-SA"/>
              </w:rPr>
            </w:pPr>
            <w:r w:rsidRPr="00F64137">
              <w:rPr>
                <w:rFonts w:cs="Times New Roman"/>
                <w:color w:val="414142"/>
                <w:sz w:val="24"/>
                <w:szCs w:val="24"/>
                <w:lang w:val="lv-LV" w:eastAsia="lv-LV" w:bidi="ar-SA"/>
              </w:rPr>
              <w:t>3</w:t>
            </w:r>
          </w:p>
        </w:tc>
        <w:tc>
          <w:tcPr>
            <w:tcW w:w="605" w:type="pct"/>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spacing w:before="100" w:beforeAutospacing="1" w:after="100" w:afterAutospacing="1" w:line="360" w:lineRule="auto"/>
              <w:ind w:firstLine="300"/>
              <w:jc w:val="center"/>
              <w:rPr>
                <w:rFonts w:cs="Times New Roman"/>
                <w:color w:val="414142"/>
                <w:sz w:val="24"/>
                <w:szCs w:val="24"/>
                <w:lang w:val="lv-LV" w:eastAsia="lv-LV" w:bidi="ar-SA"/>
              </w:rPr>
            </w:pPr>
            <w:r w:rsidRPr="00F64137">
              <w:rPr>
                <w:rFonts w:cs="Times New Roman"/>
                <w:color w:val="414142"/>
                <w:sz w:val="24"/>
                <w:szCs w:val="24"/>
                <w:lang w:val="lv-LV" w:eastAsia="lv-LV" w:bidi="ar-SA"/>
              </w:rPr>
              <w:t>4</w:t>
            </w:r>
          </w:p>
        </w:tc>
        <w:tc>
          <w:tcPr>
            <w:tcW w:w="605" w:type="pct"/>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spacing w:before="100" w:beforeAutospacing="1" w:after="100" w:afterAutospacing="1" w:line="360" w:lineRule="auto"/>
              <w:ind w:firstLine="300"/>
              <w:jc w:val="center"/>
              <w:rPr>
                <w:rFonts w:cs="Times New Roman"/>
                <w:color w:val="414142"/>
                <w:sz w:val="24"/>
                <w:szCs w:val="24"/>
                <w:lang w:val="lv-LV" w:eastAsia="lv-LV" w:bidi="ar-SA"/>
              </w:rPr>
            </w:pPr>
            <w:r w:rsidRPr="00F64137">
              <w:rPr>
                <w:rFonts w:cs="Times New Roman"/>
                <w:color w:val="414142"/>
                <w:sz w:val="24"/>
                <w:szCs w:val="24"/>
                <w:lang w:val="lv-LV" w:eastAsia="lv-LV" w:bidi="ar-SA"/>
              </w:rPr>
              <w:t>5</w:t>
            </w:r>
          </w:p>
        </w:tc>
        <w:tc>
          <w:tcPr>
            <w:tcW w:w="647" w:type="pct"/>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spacing w:before="100" w:beforeAutospacing="1" w:after="100" w:afterAutospacing="1" w:line="360" w:lineRule="auto"/>
              <w:ind w:firstLine="300"/>
              <w:jc w:val="center"/>
              <w:rPr>
                <w:rFonts w:cs="Times New Roman"/>
                <w:color w:val="414142"/>
                <w:sz w:val="24"/>
                <w:szCs w:val="24"/>
                <w:lang w:val="lv-LV" w:eastAsia="lv-LV" w:bidi="ar-SA"/>
              </w:rPr>
            </w:pPr>
            <w:r w:rsidRPr="00F64137">
              <w:rPr>
                <w:rFonts w:cs="Times New Roman"/>
                <w:color w:val="414142"/>
                <w:sz w:val="24"/>
                <w:szCs w:val="24"/>
                <w:lang w:val="lv-LV" w:eastAsia="lv-LV" w:bidi="ar-SA"/>
              </w:rPr>
              <w:t>6</w:t>
            </w:r>
          </w:p>
        </w:tc>
      </w:tr>
      <w:tr w:rsidR="00F64137" w:rsidRPr="00F64137" w:rsidTr="00551F23">
        <w:trPr>
          <w:tblCellSpacing w:w="15" w:type="dxa"/>
          <w:jc w:val="center"/>
        </w:trPr>
        <w:tc>
          <w:tcPr>
            <w:tcW w:w="1501"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1. Budžeta ieņēmumi:</w:t>
            </w:r>
          </w:p>
        </w:tc>
        <w:tc>
          <w:tcPr>
            <w:tcW w:w="70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809"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4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r>
      <w:tr w:rsidR="00F64137" w:rsidRPr="00F64137" w:rsidTr="00551F23">
        <w:trPr>
          <w:tblCellSpacing w:w="15" w:type="dxa"/>
          <w:jc w:val="center"/>
        </w:trPr>
        <w:tc>
          <w:tcPr>
            <w:tcW w:w="1501"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lastRenderedPageBreak/>
              <w:t>1.1. valsts pamatbudžets, tai skaitā ieņēmumi no maksas pakalpojumiem un citi pašu ieņēmumi</w:t>
            </w:r>
          </w:p>
        </w:tc>
        <w:tc>
          <w:tcPr>
            <w:tcW w:w="70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E72436">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809"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4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r>
      <w:tr w:rsidR="00F64137" w:rsidRPr="00F64137" w:rsidTr="00551F23">
        <w:trPr>
          <w:tblCellSpacing w:w="15" w:type="dxa"/>
          <w:jc w:val="center"/>
        </w:trPr>
        <w:tc>
          <w:tcPr>
            <w:tcW w:w="1501"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1.2. valsts speciālais budžets</w:t>
            </w:r>
          </w:p>
        </w:tc>
        <w:tc>
          <w:tcPr>
            <w:tcW w:w="70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809"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4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r>
      <w:tr w:rsidR="00F64137" w:rsidRPr="00F64137" w:rsidTr="00551F23">
        <w:trPr>
          <w:tblCellSpacing w:w="15" w:type="dxa"/>
          <w:jc w:val="center"/>
        </w:trPr>
        <w:tc>
          <w:tcPr>
            <w:tcW w:w="1501"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1.3. pašvaldību budžets</w:t>
            </w:r>
          </w:p>
        </w:tc>
        <w:tc>
          <w:tcPr>
            <w:tcW w:w="70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809"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4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r>
      <w:tr w:rsidR="00F64137" w:rsidRPr="00F64137" w:rsidTr="00551F23">
        <w:trPr>
          <w:tblCellSpacing w:w="15" w:type="dxa"/>
          <w:jc w:val="center"/>
        </w:trPr>
        <w:tc>
          <w:tcPr>
            <w:tcW w:w="1501"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2. Budžeta izdevumi:</w:t>
            </w:r>
          </w:p>
        </w:tc>
        <w:tc>
          <w:tcPr>
            <w:tcW w:w="70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809"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r w:rsidR="00E52D71">
              <w:rPr>
                <w:rFonts w:cs="Times New Roman"/>
                <w:color w:val="414142"/>
                <w:sz w:val="24"/>
                <w:szCs w:val="24"/>
                <w:lang w:val="lv-LV" w:eastAsia="lv-LV" w:bidi="ar-SA"/>
              </w:rPr>
              <w:t>1 154 996</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r w:rsidR="00E52D71">
              <w:rPr>
                <w:rFonts w:cs="Times New Roman"/>
                <w:color w:val="414142"/>
                <w:sz w:val="24"/>
                <w:szCs w:val="24"/>
                <w:lang w:val="lv-LV" w:eastAsia="lv-LV" w:bidi="ar-SA"/>
              </w:rPr>
              <w:t>694738</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4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r>
      <w:tr w:rsidR="00F64137" w:rsidRPr="00F64137" w:rsidTr="00551F23">
        <w:trPr>
          <w:tblCellSpacing w:w="15" w:type="dxa"/>
          <w:jc w:val="center"/>
        </w:trPr>
        <w:tc>
          <w:tcPr>
            <w:tcW w:w="1501"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2.1. valsts pamatbudžets</w:t>
            </w:r>
          </w:p>
        </w:tc>
        <w:tc>
          <w:tcPr>
            <w:tcW w:w="70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p>
        </w:tc>
        <w:tc>
          <w:tcPr>
            <w:tcW w:w="809" w:type="pct"/>
            <w:tcBorders>
              <w:top w:val="outset" w:sz="6" w:space="0" w:color="auto"/>
              <w:left w:val="outset" w:sz="6" w:space="0" w:color="auto"/>
              <w:bottom w:val="outset" w:sz="6" w:space="0" w:color="auto"/>
              <w:right w:val="outset" w:sz="6" w:space="0" w:color="auto"/>
            </w:tcBorders>
            <w:hideMark/>
          </w:tcPr>
          <w:p w:rsidR="00F64137" w:rsidRPr="00F64137" w:rsidRDefault="00F64137" w:rsidP="00E52D71">
            <w:pPr>
              <w:rPr>
                <w:rFonts w:cs="Times New Roman"/>
                <w:color w:val="414142"/>
                <w:sz w:val="24"/>
                <w:szCs w:val="24"/>
                <w:lang w:val="lv-LV" w:eastAsia="lv-LV" w:bidi="ar-SA"/>
              </w:rPr>
            </w:pPr>
            <w:r w:rsidRPr="00F64137">
              <w:rPr>
                <w:rFonts w:cs="Times New Roman"/>
                <w:color w:val="414142"/>
                <w:sz w:val="24"/>
                <w:szCs w:val="24"/>
                <w:lang w:val="lv-LV" w:eastAsia="lv-LV" w:bidi="ar-SA"/>
              </w:rPr>
              <w:t> </w:t>
            </w:r>
            <w:r w:rsidR="00E52D71" w:rsidRPr="00F64137">
              <w:rPr>
                <w:rFonts w:cs="Times New Roman"/>
                <w:color w:val="414142"/>
                <w:sz w:val="24"/>
                <w:szCs w:val="24"/>
                <w:lang w:val="lv-LV" w:eastAsia="lv-LV" w:bidi="ar-SA"/>
              </w:rPr>
              <w:t> </w:t>
            </w:r>
            <w:r w:rsidR="00E52D71">
              <w:rPr>
                <w:rFonts w:cs="Times New Roman"/>
                <w:color w:val="414142"/>
                <w:sz w:val="24"/>
                <w:szCs w:val="24"/>
                <w:lang w:val="lv-LV" w:eastAsia="lv-LV" w:bidi="ar-SA"/>
              </w:rPr>
              <w:t>1 154 996</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r w:rsidR="00E52D71">
              <w:rPr>
                <w:rFonts w:cs="Times New Roman"/>
                <w:color w:val="414142"/>
                <w:sz w:val="24"/>
                <w:szCs w:val="24"/>
                <w:lang w:val="lv-LV" w:eastAsia="lv-LV" w:bidi="ar-SA"/>
              </w:rPr>
              <w:t>694738</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4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r>
      <w:tr w:rsidR="00F64137" w:rsidRPr="00F64137" w:rsidTr="00551F23">
        <w:trPr>
          <w:tblCellSpacing w:w="15" w:type="dxa"/>
          <w:jc w:val="center"/>
        </w:trPr>
        <w:tc>
          <w:tcPr>
            <w:tcW w:w="1501"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2.2. valsts speciālais budžets</w:t>
            </w:r>
          </w:p>
        </w:tc>
        <w:tc>
          <w:tcPr>
            <w:tcW w:w="70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809"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4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r>
      <w:tr w:rsidR="00F64137" w:rsidRPr="00F64137" w:rsidTr="00551F23">
        <w:trPr>
          <w:tblCellSpacing w:w="15" w:type="dxa"/>
          <w:jc w:val="center"/>
        </w:trPr>
        <w:tc>
          <w:tcPr>
            <w:tcW w:w="1501"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2.3. pašvaldību budžets</w:t>
            </w:r>
          </w:p>
        </w:tc>
        <w:tc>
          <w:tcPr>
            <w:tcW w:w="70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809"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4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r>
      <w:tr w:rsidR="00F64137" w:rsidRPr="00F64137" w:rsidTr="00551F23">
        <w:trPr>
          <w:tblCellSpacing w:w="15" w:type="dxa"/>
          <w:jc w:val="center"/>
        </w:trPr>
        <w:tc>
          <w:tcPr>
            <w:tcW w:w="1501"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3. Finansiālā ietekme:</w:t>
            </w:r>
          </w:p>
        </w:tc>
        <w:tc>
          <w:tcPr>
            <w:tcW w:w="707" w:type="pct"/>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809"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r w:rsidR="00E52D71">
              <w:rPr>
                <w:rFonts w:cs="Times New Roman"/>
                <w:color w:val="414142"/>
                <w:sz w:val="24"/>
                <w:szCs w:val="24"/>
                <w:lang w:val="lv-LV" w:eastAsia="lv-LV" w:bidi="ar-SA"/>
              </w:rPr>
              <w:t>-1154996</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r w:rsidR="00E52D71">
              <w:rPr>
                <w:rFonts w:cs="Times New Roman"/>
                <w:color w:val="414142"/>
                <w:sz w:val="24"/>
                <w:szCs w:val="24"/>
                <w:lang w:val="lv-LV" w:eastAsia="lv-LV" w:bidi="ar-SA"/>
              </w:rPr>
              <w:t>-694738</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4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r>
      <w:tr w:rsidR="00F64137" w:rsidRPr="00F64137" w:rsidTr="00551F23">
        <w:trPr>
          <w:tblCellSpacing w:w="15" w:type="dxa"/>
          <w:jc w:val="center"/>
        </w:trPr>
        <w:tc>
          <w:tcPr>
            <w:tcW w:w="1501"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3.1. valsts pamatbudžets</w:t>
            </w:r>
          </w:p>
        </w:tc>
        <w:tc>
          <w:tcPr>
            <w:tcW w:w="70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809"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r w:rsidR="00E52D71" w:rsidRPr="00F64137">
              <w:rPr>
                <w:rFonts w:cs="Times New Roman"/>
                <w:color w:val="414142"/>
                <w:sz w:val="24"/>
                <w:szCs w:val="24"/>
                <w:lang w:val="lv-LV" w:eastAsia="lv-LV" w:bidi="ar-SA"/>
              </w:rPr>
              <w:t> </w:t>
            </w:r>
            <w:r w:rsidR="00E52D71">
              <w:rPr>
                <w:rFonts w:cs="Times New Roman"/>
                <w:color w:val="414142"/>
                <w:sz w:val="24"/>
                <w:szCs w:val="24"/>
                <w:lang w:val="lv-LV" w:eastAsia="lv-LV" w:bidi="ar-SA"/>
              </w:rPr>
              <w:t>-1154996</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r w:rsidR="00E52D71">
              <w:rPr>
                <w:rFonts w:cs="Times New Roman"/>
                <w:color w:val="414142"/>
                <w:sz w:val="24"/>
                <w:szCs w:val="24"/>
                <w:lang w:val="lv-LV" w:eastAsia="lv-LV" w:bidi="ar-SA"/>
              </w:rPr>
              <w:t>-694738</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4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r>
      <w:tr w:rsidR="00F64137" w:rsidRPr="00F64137" w:rsidTr="00551F23">
        <w:trPr>
          <w:tblCellSpacing w:w="15" w:type="dxa"/>
          <w:jc w:val="center"/>
        </w:trPr>
        <w:tc>
          <w:tcPr>
            <w:tcW w:w="1501"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3.2. speciālais budžets</w:t>
            </w:r>
          </w:p>
        </w:tc>
        <w:tc>
          <w:tcPr>
            <w:tcW w:w="70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809"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4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r>
      <w:tr w:rsidR="00F64137" w:rsidRPr="00F64137" w:rsidTr="00551F23">
        <w:trPr>
          <w:tblCellSpacing w:w="15" w:type="dxa"/>
          <w:jc w:val="center"/>
        </w:trPr>
        <w:tc>
          <w:tcPr>
            <w:tcW w:w="1501"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3.3. pašvaldību budžets</w:t>
            </w:r>
          </w:p>
        </w:tc>
        <w:tc>
          <w:tcPr>
            <w:tcW w:w="70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809"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4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r>
      <w:tr w:rsidR="00F64137" w:rsidRPr="00F64137" w:rsidTr="00551F23">
        <w:trPr>
          <w:tblCellSpacing w:w="15" w:type="dxa"/>
          <w:jc w:val="center"/>
        </w:trPr>
        <w:tc>
          <w:tcPr>
            <w:tcW w:w="1501" w:type="pct"/>
            <w:vMerge w:val="restar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4. Finanšu līdzekļi papildu izdevumu finansēšanai (kompensējošu izdevumu samazinājumu norāda ar "+" zīmi)</w:t>
            </w:r>
          </w:p>
        </w:tc>
        <w:tc>
          <w:tcPr>
            <w:tcW w:w="707" w:type="pct"/>
            <w:vMerge w:val="restar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spacing w:before="100" w:beforeAutospacing="1" w:after="100" w:afterAutospacing="1" w:line="360" w:lineRule="auto"/>
              <w:ind w:firstLine="300"/>
              <w:jc w:val="center"/>
              <w:rPr>
                <w:rFonts w:cs="Times New Roman"/>
                <w:color w:val="414142"/>
                <w:sz w:val="24"/>
                <w:szCs w:val="24"/>
                <w:lang w:val="lv-LV" w:eastAsia="lv-LV" w:bidi="ar-SA"/>
              </w:rPr>
            </w:pPr>
            <w:r w:rsidRPr="00F64137">
              <w:rPr>
                <w:rFonts w:cs="Times New Roman"/>
                <w:color w:val="414142"/>
                <w:sz w:val="24"/>
                <w:szCs w:val="24"/>
                <w:lang w:val="lv-LV" w:eastAsia="lv-LV" w:bidi="ar-SA"/>
              </w:rPr>
              <w:t>X</w:t>
            </w:r>
          </w:p>
        </w:tc>
        <w:tc>
          <w:tcPr>
            <w:tcW w:w="809"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r w:rsidR="00E52D71">
              <w:rPr>
                <w:rFonts w:cs="Times New Roman"/>
                <w:color w:val="414142"/>
                <w:sz w:val="24"/>
                <w:szCs w:val="24"/>
                <w:lang w:val="lv-LV" w:eastAsia="lv-LV" w:bidi="ar-SA"/>
              </w:rPr>
              <w:t>1154996</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r w:rsidR="00E52D71">
              <w:rPr>
                <w:rFonts w:cs="Times New Roman"/>
                <w:color w:val="414142"/>
                <w:sz w:val="24"/>
                <w:szCs w:val="24"/>
                <w:lang w:val="lv-LV" w:eastAsia="lv-LV" w:bidi="ar-SA"/>
              </w:rPr>
              <w:t>694738</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4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r>
      <w:tr w:rsidR="00F64137" w:rsidRPr="00F64137" w:rsidTr="00551F23">
        <w:trPr>
          <w:tblCellSpacing w:w="15" w:type="dxa"/>
          <w:jc w:val="center"/>
        </w:trPr>
        <w:tc>
          <w:tcPr>
            <w:tcW w:w="1501" w:type="pct"/>
            <w:vMerge/>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rPr>
                <w:rFonts w:cs="Times New Roman"/>
                <w:color w:val="414142"/>
                <w:sz w:val="24"/>
                <w:szCs w:val="24"/>
                <w:lang w:val="lv-LV" w:eastAsia="lv-LV" w:bidi="ar-SA"/>
              </w:rPr>
            </w:pPr>
          </w:p>
        </w:tc>
        <w:tc>
          <w:tcPr>
            <w:tcW w:w="707" w:type="pct"/>
            <w:vMerge/>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rPr>
                <w:rFonts w:cs="Times New Roman"/>
                <w:color w:val="414142"/>
                <w:sz w:val="24"/>
                <w:szCs w:val="24"/>
                <w:lang w:val="lv-LV" w:eastAsia="lv-LV" w:bidi="ar-SA"/>
              </w:rPr>
            </w:pPr>
          </w:p>
        </w:tc>
        <w:tc>
          <w:tcPr>
            <w:tcW w:w="809"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4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r>
      <w:tr w:rsidR="00F64137" w:rsidRPr="00F64137" w:rsidTr="00551F23">
        <w:trPr>
          <w:tblCellSpacing w:w="15" w:type="dxa"/>
          <w:jc w:val="center"/>
        </w:trPr>
        <w:tc>
          <w:tcPr>
            <w:tcW w:w="1501" w:type="pct"/>
            <w:vMerge/>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rPr>
                <w:rFonts w:cs="Times New Roman"/>
                <w:color w:val="414142"/>
                <w:sz w:val="24"/>
                <w:szCs w:val="24"/>
                <w:lang w:val="lv-LV" w:eastAsia="lv-LV" w:bidi="ar-SA"/>
              </w:rPr>
            </w:pPr>
          </w:p>
        </w:tc>
        <w:tc>
          <w:tcPr>
            <w:tcW w:w="707" w:type="pct"/>
            <w:vMerge/>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rPr>
                <w:rFonts w:cs="Times New Roman"/>
                <w:color w:val="414142"/>
                <w:sz w:val="24"/>
                <w:szCs w:val="24"/>
                <w:lang w:val="lv-LV" w:eastAsia="lv-LV" w:bidi="ar-SA"/>
              </w:rPr>
            </w:pPr>
          </w:p>
        </w:tc>
        <w:tc>
          <w:tcPr>
            <w:tcW w:w="809"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r w:rsidR="00E52D71">
              <w:rPr>
                <w:rFonts w:cs="Times New Roman"/>
                <w:color w:val="414142"/>
                <w:sz w:val="24"/>
                <w:szCs w:val="24"/>
                <w:lang w:val="lv-LV" w:eastAsia="lv-LV" w:bidi="ar-SA"/>
              </w:rPr>
              <w:t>+</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4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r>
      <w:tr w:rsidR="00F64137" w:rsidRPr="00F64137" w:rsidTr="00551F23">
        <w:trPr>
          <w:tblCellSpacing w:w="15" w:type="dxa"/>
          <w:jc w:val="center"/>
        </w:trPr>
        <w:tc>
          <w:tcPr>
            <w:tcW w:w="1501"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5. Precizēta finansiālā ietekme:</w:t>
            </w:r>
          </w:p>
        </w:tc>
        <w:tc>
          <w:tcPr>
            <w:tcW w:w="707" w:type="pct"/>
            <w:vMerge w:val="restar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spacing w:before="100" w:beforeAutospacing="1" w:after="100" w:afterAutospacing="1" w:line="360" w:lineRule="auto"/>
              <w:ind w:firstLine="300"/>
              <w:jc w:val="center"/>
              <w:rPr>
                <w:rFonts w:cs="Times New Roman"/>
                <w:color w:val="414142"/>
                <w:sz w:val="24"/>
                <w:szCs w:val="24"/>
                <w:lang w:val="lv-LV" w:eastAsia="lv-LV" w:bidi="ar-SA"/>
              </w:rPr>
            </w:pPr>
            <w:r w:rsidRPr="00F64137">
              <w:rPr>
                <w:rFonts w:cs="Times New Roman"/>
                <w:color w:val="414142"/>
                <w:sz w:val="24"/>
                <w:szCs w:val="24"/>
                <w:lang w:val="lv-LV" w:eastAsia="lv-LV" w:bidi="ar-SA"/>
              </w:rPr>
              <w:t>X</w:t>
            </w:r>
          </w:p>
        </w:tc>
        <w:tc>
          <w:tcPr>
            <w:tcW w:w="809"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r w:rsidR="00E52D71">
              <w:rPr>
                <w:rFonts w:cs="Times New Roman"/>
                <w:color w:val="414142"/>
                <w:sz w:val="24"/>
                <w:szCs w:val="24"/>
                <w:lang w:val="lv-LV" w:eastAsia="lv-LV" w:bidi="ar-SA"/>
              </w:rPr>
              <w:t>0</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r w:rsidR="00E52D71">
              <w:rPr>
                <w:rFonts w:cs="Times New Roman"/>
                <w:color w:val="414142"/>
                <w:sz w:val="24"/>
                <w:szCs w:val="24"/>
                <w:lang w:val="lv-LV" w:eastAsia="lv-LV" w:bidi="ar-SA"/>
              </w:rPr>
              <w:t>0</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4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r>
      <w:tr w:rsidR="00F64137" w:rsidRPr="00F64137" w:rsidTr="00551F23">
        <w:trPr>
          <w:tblCellSpacing w:w="15" w:type="dxa"/>
          <w:jc w:val="center"/>
        </w:trPr>
        <w:tc>
          <w:tcPr>
            <w:tcW w:w="1501"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5.1. valsts pamatbudžets</w:t>
            </w:r>
          </w:p>
        </w:tc>
        <w:tc>
          <w:tcPr>
            <w:tcW w:w="707" w:type="pct"/>
            <w:vMerge/>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rPr>
                <w:rFonts w:cs="Times New Roman"/>
                <w:color w:val="414142"/>
                <w:sz w:val="24"/>
                <w:szCs w:val="24"/>
                <w:lang w:val="lv-LV" w:eastAsia="lv-LV" w:bidi="ar-SA"/>
              </w:rPr>
            </w:pPr>
          </w:p>
        </w:tc>
        <w:tc>
          <w:tcPr>
            <w:tcW w:w="809"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4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r>
      <w:tr w:rsidR="00F64137" w:rsidRPr="00F64137" w:rsidTr="00551F23">
        <w:trPr>
          <w:tblCellSpacing w:w="15" w:type="dxa"/>
          <w:jc w:val="center"/>
        </w:trPr>
        <w:tc>
          <w:tcPr>
            <w:tcW w:w="1501"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5.2. speciālais budžets</w:t>
            </w:r>
          </w:p>
        </w:tc>
        <w:tc>
          <w:tcPr>
            <w:tcW w:w="707" w:type="pct"/>
            <w:vMerge/>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rPr>
                <w:rFonts w:cs="Times New Roman"/>
                <w:color w:val="414142"/>
                <w:sz w:val="24"/>
                <w:szCs w:val="24"/>
                <w:lang w:val="lv-LV" w:eastAsia="lv-LV" w:bidi="ar-SA"/>
              </w:rPr>
            </w:pPr>
          </w:p>
        </w:tc>
        <w:tc>
          <w:tcPr>
            <w:tcW w:w="809"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4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r>
      <w:tr w:rsidR="00F64137" w:rsidRPr="00F64137" w:rsidTr="00551F23">
        <w:trPr>
          <w:tblCellSpacing w:w="15" w:type="dxa"/>
          <w:jc w:val="center"/>
        </w:trPr>
        <w:tc>
          <w:tcPr>
            <w:tcW w:w="1501"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5.3. pašvaldību budžets</w:t>
            </w:r>
          </w:p>
        </w:tc>
        <w:tc>
          <w:tcPr>
            <w:tcW w:w="707" w:type="pct"/>
            <w:vMerge/>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rPr>
                <w:rFonts w:cs="Times New Roman"/>
                <w:color w:val="414142"/>
                <w:sz w:val="24"/>
                <w:szCs w:val="24"/>
                <w:lang w:val="lv-LV" w:eastAsia="lv-LV" w:bidi="ar-SA"/>
              </w:rPr>
            </w:pPr>
          </w:p>
        </w:tc>
        <w:tc>
          <w:tcPr>
            <w:tcW w:w="809"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05"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c>
          <w:tcPr>
            <w:tcW w:w="647"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tc>
      </w:tr>
      <w:tr w:rsidR="00F64137" w:rsidRPr="00F64137" w:rsidTr="00551F23">
        <w:trPr>
          <w:tblCellSpacing w:w="15" w:type="dxa"/>
          <w:jc w:val="center"/>
        </w:trPr>
        <w:tc>
          <w:tcPr>
            <w:tcW w:w="1501"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6. Detalizēts ieņēmumu un izdevumu aprēķins (ja nepieciešams, detalizētu ieņēmumu un izdevumu aprēķinu var pievienot anotācijas pielikumā):</w:t>
            </w:r>
          </w:p>
        </w:tc>
        <w:tc>
          <w:tcPr>
            <w:tcW w:w="3445"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 </w:t>
            </w:r>
          </w:p>
          <w:p w:rsidR="00E0183D" w:rsidRDefault="00E0183D" w:rsidP="00F64137">
            <w:pPr>
              <w:rPr>
                <w:rFonts w:cs="Times New Roman"/>
                <w:color w:val="414142"/>
                <w:sz w:val="24"/>
                <w:szCs w:val="24"/>
                <w:lang w:val="lv-LV" w:eastAsia="lv-LV" w:bidi="ar-SA"/>
              </w:rPr>
            </w:pPr>
          </w:p>
          <w:p w:rsidR="00E0183D" w:rsidRDefault="00E0183D" w:rsidP="00F64137">
            <w:pPr>
              <w:rPr>
                <w:rFonts w:cs="Times New Roman"/>
                <w:color w:val="414142"/>
                <w:sz w:val="24"/>
                <w:szCs w:val="24"/>
                <w:lang w:val="lv-LV" w:eastAsia="lv-LV" w:bidi="ar-SA"/>
              </w:rPr>
            </w:pPr>
          </w:p>
          <w:p w:rsidR="00E0183D" w:rsidRDefault="00E0183D" w:rsidP="00F64137">
            <w:pPr>
              <w:rPr>
                <w:rFonts w:cs="Times New Roman"/>
                <w:color w:val="414142"/>
                <w:sz w:val="24"/>
                <w:szCs w:val="24"/>
                <w:lang w:val="lv-LV" w:eastAsia="lv-LV" w:bidi="ar-SA"/>
              </w:rPr>
            </w:pPr>
          </w:p>
          <w:p w:rsidR="00E0183D" w:rsidRDefault="00E0183D" w:rsidP="00F64137">
            <w:pPr>
              <w:rPr>
                <w:rFonts w:cs="Times New Roman"/>
                <w:color w:val="414142"/>
                <w:sz w:val="24"/>
                <w:szCs w:val="24"/>
                <w:lang w:val="lv-LV" w:eastAsia="lv-LV" w:bidi="ar-SA"/>
              </w:rPr>
            </w:pPr>
          </w:p>
          <w:p w:rsidR="00E0183D" w:rsidRDefault="00E0183D" w:rsidP="00F64137">
            <w:pPr>
              <w:rPr>
                <w:rFonts w:cs="Times New Roman"/>
                <w:color w:val="414142"/>
                <w:sz w:val="24"/>
                <w:szCs w:val="24"/>
                <w:lang w:val="lv-LV" w:eastAsia="lv-LV" w:bidi="ar-SA"/>
              </w:rPr>
            </w:pPr>
          </w:p>
          <w:p w:rsidR="00E0183D" w:rsidRDefault="00E0183D" w:rsidP="00F64137">
            <w:pPr>
              <w:rPr>
                <w:rFonts w:cs="Times New Roman"/>
                <w:color w:val="414142"/>
                <w:sz w:val="24"/>
                <w:szCs w:val="24"/>
                <w:lang w:val="lv-LV" w:eastAsia="lv-LV" w:bidi="ar-SA"/>
              </w:rPr>
            </w:pPr>
          </w:p>
          <w:p w:rsidR="00E0183D" w:rsidRDefault="00E0183D" w:rsidP="00F64137">
            <w:pPr>
              <w:rPr>
                <w:rFonts w:cs="Times New Roman"/>
                <w:color w:val="414142"/>
                <w:sz w:val="24"/>
                <w:szCs w:val="24"/>
                <w:lang w:val="lv-LV" w:eastAsia="lv-LV" w:bidi="ar-SA"/>
              </w:rPr>
            </w:pPr>
          </w:p>
          <w:p w:rsidR="00E0183D" w:rsidRDefault="00E0183D" w:rsidP="00F64137">
            <w:pPr>
              <w:rPr>
                <w:rFonts w:cs="Times New Roman"/>
                <w:color w:val="414142"/>
                <w:sz w:val="24"/>
                <w:szCs w:val="24"/>
                <w:lang w:val="lv-LV" w:eastAsia="lv-LV" w:bidi="ar-SA"/>
              </w:rPr>
            </w:pPr>
          </w:p>
          <w:p w:rsidR="00E0183D" w:rsidRDefault="00E0183D" w:rsidP="00F64137">
            <w:pPr>
              <w:rPr>
                <w:rFonts w:cs="Times New Roman"/>
                <w:color w:val="414142"/>
                <w:sz w:val="24"/>
                <w:szCs w:val="24"/>
                <w:lang w:val="lv-LV" w:eastAsia="lv-LV" w:bidi="ar-SA"/>
              </w:rPr>
            </w:pPr>
          </w:p>
          <w:p w:rsidR="00E0183D" w:rsidRDefault="00E0183D" w:rsidP="00F64137">
            <w:pPr>
              <w:rPr>
                <w:rFonts w:cs="Times New Roman"/>
                <w:color w:val="414142"/>
                <w:sz w:val="24"/>
                <w:szCs w:val="24"/>
                <w:lang w:val="lv-LV" w:eastAsia="lv-LV" w:bidi="ar-SA"/>
              </w:rPr>
            </w:pPr>
          </w:p>
          <w:p w:rsidR="00E0183D" w:rsidRDefault="00E0183D" w:rsidP="00F64137">
            <w:pPr>
              <w:rPr>
                <w:rFonts w:cs="Times New Roman"/>
                <w:color w:val="414142"/>
                <w:sz w:val="24"/>
                <w:szCs w:val="24"/>
                <w:lang w:val="lv-LV" w:eastAsia="lv-LV" w:bidi="ar-SA"/>
              </w:rPr>
            </w:pPr>
          </w:p>
          <w:p w:rsidR="00E0183D" w:rsidRDefault="00E0183D" w:rsidP="00F64137">
            <w:pPr>
              <w:rPr>
                <w:rFonts w:cs="Times New Roman"/>
                <w:color w:val="414142"/>
                <w:sz w:val="24"/>
                <w:szCs w:val="24"/>
                <w:lang w:val="lv-LV" w:eastAsia="lv-LV" w:bidi="ar-SA"/>
              </w:rPr>
            </w:pPr>
          </w:p>
          <w:p w:rsidR="00E0183D" w:rsidRDefault="00E0183D" w:rsidP="00F64137">
            <w:pPr>
              <w:rPr>
                <w:rFonts w:cs="Times New Roman"/>
                <w:color w:val="414142"/>
                <w:sz w:val="24"/>
                <w:szCs w:val="24"/>
                <w:lang w:val="lv-LV" w:eastAsia="lv-LV" w:bidi="ar-SA"/>
              </w:rPr>
            </w:pPr>
          </w:p>
          <w:p w:rsidR="00E0183D" w:rsidRPr="00F64137" w:rsidRDefault="00E0183D" w:rsidP="00F64137">
            <w:pPr>
              <w:rPr>
                <w:rFonts w:cs="Times New Roman"/>
                <w:color w:val="414142"/>
                <w:sz w:val="24"/>
                <w:szCs w:val="24"/>
                <w:lang w:val="lv-LV" w:eastAsia="lv-LV" w:bidi="ar-SA"/>
              </w:rPr>
            </w:pPr>
          </w:p>
        </w:tc>
      </w:tr>
      <w:tr w:rsidR="00F64137" w:rsidRPr="00F64137" w:rsidTr="00551F23">
        <w:trPr>
          <w:tblCellSpacing w:w="15" w:type="dxa"/>
          <w:jc w:val="center"/>
        </w:trPr>
        <w:tc>
          <w:tcPr>
            <w:tcW w:w="1501"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6.1. detalizēts ieņēmumu aprēķins</w:t>
            </w:r>
          </w:p>
        </w:tc>
        <w:tc>
          <w:tcPr>
            <w:tcW w:w="3445" w:type="pct"/>
            <w:gridSpan w:val="5"/>
            <w:vMerge/>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rPr>
                <w:rFonts w:cs="Times New Roman"/>
                <w:color w:val="414142"/>
                <w:sz w:val="24"/>
                <w:szCs w:val="24"/>
                <w:lang w:val="lv-LV" w:eastAsia="lv-LV" w:bidi="ar-SA"/>
              </w:rPr>
            </w:pPr>
          </w:p>
        </w:tc>
      </w:tr>
      <w:tr w:rsidR="00F64137" w:rsidRPr="00F64137" w:rsidTr="00551F23">
        <w:trPr>
          <w:tblCellSpacing w:w="15" w:type="dxa"/>
          <w:jc w:val="center"/>
        </w:trPr>
        <w:tc>
          <w:tcPr>
            <w:tcW w:w="1501"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6.2. detalizēts izdevumu aprēķins</w:t>
            </w:r>
          </w:p>
        </w:tc>
        <w:tc>
          <w:tcPr>
            <w:tcW w:w="3445" w:type="pct"/>
            <w:gridSpan w:val="5"/>
            <w:vMerge/>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rPr>
                <w:rFonts w:cs="Times New Roman"/>
                <w:color w:val="414142"/>
                <w:sz w:val="24"/>
                <w:szCs w:val="24"/>
                <w:lang w:val="lv-LV" w:eastAsia="lv-LV" w:bidi="ar-SA"/>
              </w:rPr>
            </w:pPr>
          </w:p>
        </w:tc>
      </w:tr>
      <w:tr w:rsidR="00B0263C" w:rsidRPr="00715A78" w:rsidTr="00551F23">
        <w:trPr>
          <w:tblCellSpacing w:w="15" w:type="dxa"/>
          <w:jc w:val="center"/>
        </w:trPr>
        <w:tc>
          <w:tcPr>
            <w:tcW w:w="1501" w:type="pct"/>
            <w:tcBorders>
              <w:top w:val="outset" w:sz="6" w:space="0" w:color="auto"/>
              <w:left w:val="outset" w:sz="6" w:space="0" w:color="auto"/>
              <w:bottom w:val="outset" w:sz="6" w:space="0" w:color="auto"/>
              <w:right w:val="outset" w:sz="6" w:space="0" w:color="auto"/>
            </w:tcBorders>
          </w:tcPr>
          <w:p w:rsidR="00B0263C" w:rsidRPr="00575802" w:rsidRDefault="00B0263C" w:rsidP="00F64137">
            <w:pPr>
              <w:rPr>
                <w:rFonts w:cs="Times New Roman"/>
                <w:color w:val="414142"/>
                <w:sz w:val="24"/>
                <w:szCs w:val="24"/>
                <w:lang w:val="lv-LV" w:eastAsia="lv-LV" w:bidi="ar-SA"/>
              </w:rPr>
            </w:pPr>
            <w:r w:rsidRPr="00575802">
              <w:rPr>
                <w:rFonts w:cs="Times New Roman"/>
                <w:color w:val="414142"/>
                <w:sz w:val="24"/>
                <w:szCs w:val="24"/>
                <w:lang w:val="lv-LV" w:eastAsia="lv-LV" w:bidi="ar-SA"/>
              </w:rPr>
              <w:lastRenderedPageBreak/>
              <w:t>7. Cita informācija</w:t>
            </w:r>
          </w:p>
        </w:tc>
        <w:tc>
          <w:tcPr>
            <w:tcW w:w="3445" w:type="pct"/>
            <w:gridSpan w:val="5"/>
            <w:tcBorders>
              <w:top w:val="outset" w:sz="6" w:space="0" w:color="auto"/>
              <w:left w:val="outset" w:sz="6" w:space="0" w:color="auto"/>
              <w:bottom w:val="outset" w:sz="6" w:space="0" w:color="auto"/>
              <w:right w:val="outset" w:sz="6" w:space="0" w:color="auto"/>
            </w:tcBorders>
            <w:vAlign w:val="center"/>
          </w:tcPr>
          <w:p w:rsidR="00B0263C" w:rsidRPr="00575802" w:rsidRDefault="00551F23" w:rsidP="00E52D71">
            <w:pPr>
              <w:jc w:val="both"/>
              <w:rPr>
                <w:rFonts w:cs="Times New Roman"/>
                <w:sz w:val="24"/>
                <w:szCs w:val="24"/>
                <w:lang w:val="lv-LV" w:eastAsia="lv-LV" w:bidi="ar-SA"/>
              </w:rPr>
            </w:pPr>
            <w:r w:rsidRPr="00575802">
              <w:rPr>
                <w:rFonts w:cs="Times New Roman"/>
                <w:color w:val="414142"/>
                <w:sz w:val="24"/>
                <w:szCs w:val="24"/>
                <w:lang w:val="lv-LV" w:eastAsia="lv-LV" w:bidi="ar-SA"/>
              </w:rPr>
              <w:t xml:space="preserve">MK rīkojums tiks realizēts Aizsardzības budžeta ietvaros no budžeta </w:t>
            </w:r>
            <w:r w:rsidRPr="00575802">
              <w:rPr>
                <w:sz w:val="24"/>
                <w:szCs w:val="24"/>
                <w:lang w:val="lv-LV"/>
              </w:rPr>
              <w:t>apakšprogrammas 22.12.00. „Nacionālo bruņoto spēku uzturēšana” ilgtermiņu saistību projekta „Nacionālo bruņoto spēku ilgtermiņa līgumi” finanšu resursiem 2014.gadā 547</w:t>
            </w:r>
            <w:r w:rsidR="00AB1CD1" w:rsidRPr="00575802">
              <w:rPr>
                <w:sz w:val="24"/>
                <w:szCs w:val="24"/>
                <w:lang w:val="lv-LV"/>
              </w:rPr>
              <w:t> </w:t>
            </w:r>
            <w:r w:rsidRPr="00575802">
              <w:rPr>
                <w:sz w:val="24"/>
                <w:szCs w:val="24"/>
                <w:lang w:val="lv-LV"/>
              </w:rPr>
              <w:t>145</w:t>
            </w:r>
            <w:r w:rsidR="00AB1CD1" w:rsidRPr="00575802">
              <w:rPr>
                <w:sz w:val="24"/>
                <w:szCs w:val="24"/>
                <w:lang w:val="lv-LV"/>
              </w:rPr>
              <w:t>.00</w:t>
            </w:r>
            <w:r w:rsidRPr="00575802">
              <w:rPr>
                <w:i/>
                <w:sz w:val="24"/>
                <w:szCs w:val="24"/>
                <w:lang w:val="lv-LV"/>
              </w:rPr>
              <w:t xml:space="preserve"> </w:t>
            </w:r>
            <w:proofErr w:type="spellStart"/>
            <w:r w:rsidRPr="00575802">
              <w:rPr>
                <w:i/>
                <w:sz w:val="24"/>
                <w:szCs w:val="24"/>
                <w:lang w:val="lv-LV"/>
              </w:rPr>
              <w:t>euro</w:t>
            </w:r>
            <w:proofErr w:type="spellEnd"/>
            <w:r w:rsidRPr="00575802">
              <w:rPr>
                <w:sz w:val="24"/>
                <w:szCs w:val="24"/>
                <w:lang w:val="lv-LV"/>
              </w:rPr>
              <w:t xml:space="preserve"> </w:t>
            </w:r>
            <w:r w:rsidR="00AB1CD1" w:rsidRPr="00575802">
              <w:rPr>
                <w:sz w:val="24"/>
                <w:szCs w:val="24"/>
                <w:lang w:val="lv-LV"/>
              </w:rPr>
              <w:t>(pieci simti četrdesmit</w:t>
            </w:r>
            <w:proofErr w:type="gramStart"/>
            <w:r w:rsidR="00AB1CD1" w:rsidRPr="00575802">
              <w:rPr>
                <w:sz w:val="24"/>
                <w:szCs w:val="24"/>
                <w:lang w:val="lv-LV"/>
              </w:rPr>
              <w:t xml:space="preserve">  </w:t>
            </w:r>
            <w:proofErr w:type="gramEnd"/>
            <w:r w:rsidR="00AB1CD1" w:rsidRPr="00575802">
              <w:rPr>
                <w:sz w:val="24"/>
                <w:szCs w:val="24"/>
                <w:lang w:val="lv-LV"/>
              </w:rPr>
              <w:t xml:space="preserve">septiņi tūkstoši simts četrdesmit pieci </w:t>
            </w:r>
            <w:proofErr w:type="spellStart"/>
            <w:r w:rsidR="00AB1CD1" w:rsidRPr="00575802">
              <w:rPr>
                <w:sz w:val="24"/>
                <w:szCs w:val="24"/>
                <w:lang w:val="lv-LV"/>
              </w:rPr>
              <w:t>euro</w:t>
            </w:r>
            <w:proofErr w:type="spellEnd"/>
            <w:r w:rsidR="00AB1CD1" w:rsidRPr="00575802">
              <w:rPr>
                <w:sz w:val="24"/>
                <w:szCs w:val="24"/>
                <w:lang w:val="lv-LV"/>
              </w:rPr>
              <w:t xml:space="preserve"> un 0 </w:t>
            </w:r>
            <w:proofErr w:type="spellStart"/>
            <w:r w:rsidR="00AB1CD1" w:rsidRPr="00575802">
              <w:rPr>
                <w:sz w:val="24"/>
                <w:szCs w:val="24"/>
                <w:lang w:val="lv-LV"/>
              </w:rPr>
              <w:t>eurocenti</w:t>
            </w:r>
            <w:proofErr w:type="spellEnd"/>
            <w:r w:rsidR="00AB1CD1" w:rsidRPr="00575802">
              <w:rPr>
                <w:sz w:val="24"/>
                <w:szCs w:val="24"/>
                <w:lang w:val="lv-LV"/>
              </w:rPr>
              <w:t xml:space="preserve">) </w:t>
            </w:r>
            <w:r w:rsidRPr="00575802">
              <w:rPr>
                <w:sz w:val="24"/>
                <w:szCs w:val="24"/>
                <w:lang w:val="lv-LV"/>
              </w:rPr>
              <w:t>apmērā un turpmākajos gados saskaņā ar pirkuma līgumu. Finanšu resursi tiks pārdalīti no plānotajām iegādēm, kas netiks apgūti iepirkumu konkursos, kas beidzas bez rezultāta un kārtējā gada laikā nav iespējams izsludināt atkārtotu konkursu. Papildus tam, s</w:t>
            </w:r>
            <w:r w:rsidR="00B0263C" w:rsidRPr="00575802">
              <w:rPr>
                <w:rFonts w:cs="Times New Roman"/>
                <w:color w:val="414142"/>
                <w:sz w:val="24"/>
                <w:szCs w:val="24"/>
                <w:lang w:val="lv-LV" w:eastAsia="lv-LV" w:bidi="ar-SA"/>
              </w:rPr>
              <w:t xml:space="preserve">askaņā ar starptautiskā </w:t>
            </w:r>
            <w:r w:rsidR="00B0263C" w:rsidRPr="00575802">
              <w:rPr>
                <w:sz w:val="24"/>
                <w:szCs w:val="24"/>
                <w:lang w:val="lv-LV"/>
              </w:rPr>
              <w:t xml:space="preserve">projekta „Operāciju vadības nodrošināšana gaisa telpas patrulēšanai Baltijas valstu gaisa telpā” pozitīvajiem iepirkuma rezultātiem projekta realizācijai </w:t>
            </w:r>
            <w:r w:rsidR="00E52D71" w:rsidRPr="00575802">
              <w:rPr>
                <w:sz w:val="24"/>
                <w:szCs w:val="24"/>
                <w:lang w:val="lv-LV"/>
              </w:rPr>
              <w:t>nebūs nepieciešami</w:t>
            </w:r>
            <w:r w:rsidR="00B0263C" w:rsidRPr="00575802">
              <w:rPr>
                <w:sz w:val="24"/>
                <w:szCs w:val="24"/>
                <w:lang w:val="lv-LV"/>
              </w:rPr>
              <w:t xml:space="preserve"> 2014.gadā</w:t>
            </w:r>
            <w:r w:rsidR="00E52D71" w:rsidRPr="00575802">
              <w:rPr>
                <w:sz w:val="24"/>
                <w:szCs w:val="24"/>
                <w:lang w:val="lv-LV"/>
              </w:rPr>
              <w:t xml:space="preserve"> projektam plānotie</w:t>
            </w:r>
            <w:r w:rsidR="00B0263C" w:rsidRPr="00575802">
              <w:rPr>
                <w:sz w:val="24"/>
                <w:szCs w:val="24"/>
                <w:lang w:val="lv-LV"/>
              </w:rPr>
              <w:t xml:space="preserve"> 607</w:t>
            </w:r>
            <w:r w:rsidR="00AB1CD1" w:rsidRPr="00575802">
              <w:rPr>
                <w:sz w:val="24"/>
                <w:szCs w:val="24"/>
                <w:lang w:val="lv-LV"/>
              </w:rPr>
              <w:t> </w:t>
            </w:r>
            <w:r w:rsidR="00B0263C" w:rsidRPr="00575802">
              <w:rPr>
                <w:sz w:val="24"/>
                <w:szCs w:val="24"/>
                <w:lang w:val="lv-LV"/>
              </w:rPr>
              <w:t>851</w:t>
            </w:r>
            <w:r w:rsidR="00AB1CD1" w:rsidRPr="00575802">
              <w:rPr>
                <w:sz w:val="24"/>
                <w:szCs w:val="24"/>
                <w:lang w:val="lv-LV"/>
              </w:rPr>
              <w:t>.00</w:t>
            </w:r>
            <w:r w:rsidR="00B0263C" w:rsidRPr="00575802">
              <w:rPr>
                <w:sz w:val="24"/>
                <w:szCs w:val="24"/>
                <w:lang w:val="lv-LV"/>
              </w:rPr>
              <w:t xml:space="preserve"> </w:t>
            </w:r>
            <w:proofErr w:type="spellStart"/>
            <w:r w:rsidR="00B0263C" w:rsidRPr="00575802">
              <w:rPr>
                <w:i/>
                <w:sz w:val="24"/>
                <w:szCs w:val="24"/>
                <w:lang w:val="lv-LV"/>
              </w:rPr>
              <w:t>euro</w:t>
            </w:r>
            <w:proofErr w:type="spellEnd"/>
            <w:r w:rsidR="00B0263C" w:rsidRPr="00575802">
              <w:rPr>
                <w:i/>
                <w:sz w:val="24"/>
                <w:szCs w:val="24"/>
                <w:lang w:val="lv-LV"/>
              </w:rPr>
              <w:t xml:space="preserve"> </w:t>
            </w:r>
            <w:r w:rsidR="00AB1CD1" w:rsidRPr="00575802">
              <w:rPr>
                <w:sz w:val="24"/>
                <w:szCs w:val="24"/>
                <w:lang w:val="lv-LV"/>
              </w:rPr>
              <w:t xml:space="preserve">(seši simti septiņi tūkstoši </w:t>
            </w:r>
            <w:proofErr w:type="spellStart"/>
            <w:r w:rsidR="00AB1CD1" w:rsidRPr="00575802">
              <w:rPr>
                <w:sz w:val="24"/>
                <w:szCs w:val="24"/>
                <w:lang w:val="lv-LV"/>
              </w:rPr>
              <w:t>euro</w:t>
            </w:r>
            <w:proofErr w:type="spellEnd"/>
            <w:r w:rsidR="00AB1CD1" w:rsidRPr="00575802">
              <w:rPr>
                <w:sz w:val="24"/>
                <w:szCs w:val="24"/>
                <w:lang w:val="lv-LV"/>
              </w:rPr>
              <w:t xml:space="preserve"> un 0 </w:t>
            </w:r>
            <w:proofErr w:type="spellStart"/>
            <w:r w:rsidR="00AB1CD1" w:rsidRPr="00575802">
              <w:rPr>
                <w:sz w:val="24"/>
                <w:szCs w:val="24"/>
                <w:lang w:val="lv-LV"/>
              </w:rPr>
              <w:t>eurocenti</w:t>
            </w:r>
            <w:proofErr w:type="spellEnd"/>
            <w:r w:rsidR="00AB1CD1" w:rsidRPr="00575802">
              <w:rPr>
                <w:sz w:val="24"/>
                <w:szCs w:val="24"/>
                <w:lang w:val="lv-LV"/>
              </w:rPr>
              <w:t xml:space="preserve">) </w:t>
            </w:r>
            <w:r w:rsidR="00B0263C" w:rsidRPr="00575802">
              <w:rPr>
                <w:sz w:val="24"/>
                <w:szCs w:val="24"/>
                <w:lang w:val="lv-LV"/>
              </w:rPr>
              <w:t>un 2015.gadā</w:t>
            </w:r>
            <w:r w:rsidR="00E52D71" w:rsidRPr="00575802">
              <w:rPr>
                <w:sz w:val="24"/>
                <w:szCs w:val="24"/>
                <w:lang w:val="lv-LV"/>
              </w:rPr>
              <w:t xml:space="preserve"> plānotie</w:t>
            </w:r>
            <w:r w:rsidR="00B0263C" w:rsidRPr="00575802">
              <w:rPr>
                <w:sz w:val="24"/>
                <w:szCs w:val="24"/>
                <w:lang w:val="lv-LV"/>
              </w:rPr>
              <w:t xml:space="preserve"> 152</w:t>
            </w:r>
            <w:r w:rsidR="00AB1CD1" w:rsidRPr="00575802">
              <w:rPr>
                <w:sz w:val="24"/>
                <w:szCs w:val="24"/>
                <w:lang w:val="lv-LV"/>
              </w:rPr>
              <w:t> </w:t>
            </w:r>
            <w:r w:rsidR="00B0263C" w:rsidRPr="00575802">
              <w:rPr>
                <w:sz w:val="24"/>
                <w:szCs w:val="24"/>
                <w:lang w:val="lv-LV"/>
              </w:rPr>
              <w:t>674</w:t>
            </w:r>
            <w:r w:rsidR="00AB1CD1" w:rsidRPr="00575802">
              <w:rPr>
                <w:sz w:val="24"/>
                <w:szCs w:val="24"/>
                <w:lang w:val="lv-LV"/>
              </w:rPr>
              <w:t>.00</w:t>
            </w:r>
            <w:r w:rsidR="00B0263C" w:rsidRPr="00575802">
              <w:rPr>
                <w:sz w:val="24"/>
                <w:szCs w:val="24"/>
                <w:lang w:val="lv-LV"/>
              </w:rPr>
              <w:t xml:space="preserve"> </w:t>
            </w:r>
            <w:proofErr w:type="spellStart"/>
            <w:r w:rsidR="00B0263C" w:rsidRPr="00575802">
              <w:rPr>
                <w:i/>
                <w:sz w:val="24"/>
                <w:szCs w:val="24"/>
                <w:lang w:val="lv-LV"/>
              </w:rPr>
              <w:t>euro</w:t>
            </w:r>
            <w:proofErr w:type="spellEnd"/>
            <w:r w:rsidR="00AB1CD1" w:rsidRPr="00575802">
              <w:rPr>
                <w:i/>
                <w:sz w:val="24"/>
                <w:szCs w:val="24"/>
                <w:lang w:val="lv-LV"/>
              </w:rPr>
              <w:t xml:space="preserve"> </w:t>
            </w:r>
            <w:r w:rsidR="00AB1CD1" w:rsidRPr="00575802">
              <w:rPr>
                <w:sz w:val="24"/>
                <w:szCs w:val="24"/>
                <w:lang w:val="lv-LV"/>
              </w:rPr>
              <w:t xml:space="preserve">(simts piecdesmit divi tūkstoši seši simti septiņdesmit četri </w:t>
            </w:r>
            <w:proofErr w:type="spellStart"/>
            <w:r w:rsidR="00AB1CD1" w:rsidRPr="00575802">
              <w:rPr>
                <w:sz w:val="24"/>
                <w:szCs w:val="24"/>
                <w:lang w:val="lv-LV"/>
              </w:rPr>
              <w:t>euro</w:t>
            </w:r>
            <w:proofErr w:type="spellEnd"/>
            <w:r w:rsidR="00AB1CD1" w:rsidRPr="00575802">
              <w:rPr>
                <w:sz w:val="24"/>
                <w:szCs w:val="24"/>
                <w:lang w:val="lv-LV"/>
              </w:rPr>
              <w:t xml:space="preserve"> un 0 </w:t>
            </w:r>
            <w:proofErr w:type="spellStart"/>
            <w:r w:rsidR="00AB1CD1" w:rsidRPr="00575802">
              <w:rPr>
                <w:sz w:val="24"/>
                <w:szCs w:val="24"/>
                <w:lang w:val="lv-LV"/>
              </w:rPr>
              <w:t>eurocenti</w:t>
            </w:r>
            <w:proofErr w:type="spellEnd"/>
            <w:r w:rsidR="00AB1CD1" w:rsidRPr="00575802">
              <w:rPr>
                <w:sz w:val="24"/>
                <w:szCs w:val="24"/>
                <w:lang w:val="lv-LV"/>
              </w:rPr>
              <w:t>)</w:t>
            </w:r>
            <w:proofErr w:type="gramStart"/>
            <w:r w:rsidR="00AB1CD1" w:rsidRPr="00575802">
              <w:rPr>
                <w:sz w:val="24"/>
                <w:szCs w:val="24"/>
                <w:lang w:val="lv-LV"/>
              </w:rPr>
              <w:t xml:space="preserve"> </w:t>
            </w:r>
            <w:r w:rsidR="00E52D71" w:rsidRPr="00575802">
              <w:rPr>
                <w:sz w:val="24"/>
                <w:szCs w:val="24"/>
                <w:lang w:val="lv-LV"/>
              </w:rPr>
              <w:t>,</w:t>
            </w:r>
            <w:r w:rsidR="00E52D71" w:rsidRPr="00575802">
              <w:rPr>
                <w:i/>
                <w:sz w:val="24"/>
                <w:szCs w:val="24"/>
                <w:lang w:val="lv-LV"/>
              </w:rPr>
              <w:t xml:space="preserve"> </w:t>
            </w:r>
            <w:proofErr w:type="gramEnd"/>
            <w:r w:rsidR="00E52D71" w:rsidRPr="00575802">
              <w:rPr>
                <w:sz w:val="24"/>
                <w:szCs w:val="24"/>
                <w:lang w:val="lv-LV"/>
              </w:rPr>
              <w:t>kas</w:t>
            </w:r>
            <w:r w:rsidR="00B0263C" w:rsidRPr="00575802">
              <w:rPr>
                <w:i/>
                <w:sz w:val="24"/>
                <w:szCs w:val="24"/>
                <w:lang w:val="lv-LV"/>
              </w:rPr>
              <w:t xml:space="preserve"> </w:t>
            </w:r>
            <w:r w:rsidR="00B0263C" w:rsidRPr="00575802">
              <w:rPr>
                <w:sz w:val="24"/>
                <w:szCs w:val="24"/>
                <w:lang w:val="lv-LV"/>
              </w:rPr>
              <w:t xml:space="preserve">ir </w:t>
            </w:r>
            <w:r w:rsidRPr="00575802">
              <w:rPr>
                <w:sz w:val="24"/>
                <w:szCs w:val="24"/>
                <w:lang w:val="lv-LV"/>
              </w:rPr>
              <w:t>pārdalāmi</w:t>
            </w:r>
            <w:r w:rsidR="00B0263C" w:rsidRPr="00575802">
              <w:rPr>
                <w:sz w:val="24"/>
                <w:szCs w:val="24"/>
                <w:lang w:val="lv-LV"/>
              </w:rPr>
              <w:t xml:space="preserve"> nekustamā īpašuma iegādei</w:t>
            </w:r>
            <w:r w:rsidRPr="00575802">
              <w:rPr>
                <w:sz w:val="24"/>
                <w:szCs w:val="24"/>
                <w:lang w:val="lv-LV"/>
              </w:rPr>
              <w:t xml:space="preserve"> uz ilgtermiņa saistību projektu „Nacionālo bruņoto spēku ilgtermiņa līgumi”</w:t>
            </w:r>
            <w:r w:rsidR="00B0263C" w:rsidRPr="00575802">
              <w:rPr>
                <w:sz w:val="24"/>
                <w:szCs w:val="24"/>
                <w:lang w:val="lv-LV"/>
              </w:rPr>
              <w:t>, kas nepieciešams valsts aizsardzības nozares vajadzībām.</w:t>
            </w:r>
            <w:r w:rsidR="00870A78" w:rsidRPr="00575802">
              <w:rPr>
                <w:sz w:val="24"/>
                <w:szCs w:val="24"/>
                <w:lang w:val="lv-LV"/>
              </w:rPr>
              <w:t xml:space="preserve"> </w:t>
            </w:r>
            <w:r w:rsidRPr="00575802">
              <w:rPr>
                <w:sz w:val="24"/>
                <w:szCs w:val="24"/>
                <w:lang w:val="lv-LV"/>
              </w:rPr>
              <w:t xml:space="preserve">Attiecīgi 2014.gadā Aizsardzības ministrija veiks maksājumu ne mazāk kā </w:t>
            </w:r>
            <w:r w:rsidRPr="00575802">
              <w:rPr>
                <w:rFonts w:cs="Times New Roman"/>
                <w:sz w:val="24"/>
                <w:szCs w:val="24"/>
                <w:lang w:val="lv-LV" w:eastAsia="lv-LV" w:bidi="ar-SA"/>
              </w:rPr>
              <w:t>1 154</w:t>
            </w:r>
            <w:r w:rsidR="00AB1CD1" w:rsidRPr="00575802">
              <w:rPr>
                <w:rFonts w:cs="Times New Roman"/>
                <w:sz w:val="24"/>
                <w:szCs w:val="24"/>
                <w:lang w:val="lv-LV" w:eastAsia="lv-LV" w:bidi="ar-SA"/>
              </w:rPr>
              <w:t> </w:t>
            </w:r>
            <w:r w:rsidRPr="00575802">
              <w:rPr>
                <w:rFonts w:cs="Times New Roman"/>
                <w:sz w:val="24"/>
                <w:szCs w:val="24"/>
                <w:lang w:val="lv-LV" w:eastAsia="lv-LV" w:bidi="ar-SA"/>
              </w:rPr>
              <w:t>996</w:t>
            </w:r>
            <w:r w:rsidR="00AB1CD1" w:rsidRPr="00575802">
              <w:rPr>
                <w:rFonts w:cs="Times New Roman"/>
                <w:sz w:val="24"/>
                <w:szCs w:val="24"/>
                <w:lang w:val="lv-LV" w:eastAsia="lv-LV" w:bidi="ar-SA"/>
              </w:rPr>
              <w:t>.00</w:t>
            </w:r>
            <w:r w:rsidRPr="00575802">
              <w:rPr>
                <w:rFonts w:cs="Times New Roman"/>
                <w:sz w:val="24"/>
                <w:szCs w:val="24"/>
                <w:lang w:val="lv-LV" w:eastAsia="lv-LV" w:bidi="ar-SA"/>
              </w:rPr>
              <w:t xml:space="preserve"> </w:t>
            </w:r>
            <w:proofErr w:type="spellStart"/>
            <w:r w:rsidRPr="00575802">
              <w:rPr>
                <w:rFonts w:cs="Times New Roman"/>
                <w:i/>
                <w:sz w:val="24"/>
                <w:szCs w:val="24"/>
                <w:lang w:val="lv-LV" w:eastAsia="lv-LV" w:bidi="ar-SA"/>
              </w:rPr>
              <w:t>euro</w:t>
            </w:r>
            <w:proofErr w:type="spellEnd"/>
            <w:r w:rsidRPr="00575802">
              <w:rPr>
                <w:rFonts w:cs="Times New Roman"/>
                <w:sz w:val="24"/>
                <w:szCs w:val="24"/>
                <w:lang w:val="lv-LV" w:eastAsia="lv-LV" w:bidi="ar-SA"/>
              </w:rPr>
              <w:t xml:space="preserve"> </w:t>
            </w:r>
            <w:r w:rsidR="00AB1CD1" w:rsidRPr="00575802">
              <w:rPr>
                <w:rFonts w:cs="Times New Roman"/>
                <w:sz w:val="24"/>
                <w:szCs w:val="24"/>
                <w:lang w:val="lv-LV" w:eastAsia="lv-LV" w:bidi="ar-SA"/>
              </w:rPr>
              <w:t xml:space="preserve">( viens miljons simts piecdesmit četri tūkstoši deviņi simti deviņdesmit seši </w:t>
            </w:r>
            <w:proofErr w:type="spellStart"/>
            <w:r w:rsidR="00AB1CD1" w:rsidRPr="00575802">
              <w:rPr>
                <w:rFonts w:cs="Times New Roman"/>
                <w:sz w:val="24"/>
                <w:szCs w:val="24"/>
                <w:lang w:val="lv-LV" w:eastAsia="lv-LV" w:bidi="ar-SA"/>
              </w:rPr>
              <w:t>euro</w:t>
            </w:r>
            <w:proofErr w:type="spellEnd"/>
            <w:r w:rsidR="00AB1CD1" w:rsidRPr="00575802">
              <w:rPr>
                <w:rFonts w:cs="Times New Roman"/>
                <w:sz w:val="24"/>
                <w:szCs w:val="24"/>
                <w:lang w:val="lv-LV" w:eastAsia="lv-LV" w:bidi="ar-SA"/>
              </w:rPr>
              <w:t xml:space="preserve"> un 0 </w:t>
            </w:r>
            <w:proofErr w:type="spellStart"/>
            <w:r w:rsidR="00AB1CD1" w:rsidRPr="00575802">
              <w:rPr>
                <w:rFonts w:cs="Times New Roman"/>
                <w:sz w:val="24"/>
                <w:szCs w:val="24"/>
                <w:lang w:val="lv-LV" w:eastAsia="lv-LV" w:bidi="ar-SA"/>
              </w:rPr>
              <w:t>eurocenti</w:t>
            </w:r>
            <w:proofErr w:type="spellEnd"/>
            <w:r w:rsidR="00AB1CD1" w:rsidRPr="00575802">
              <w:rPr>
                <w:rFonts w:cs="Times New Roman"/>
                <w:sz w:val="24"/>
                <w:szCs w:val="24"/>
                <w:lang w:val="lv-LV" w:eastAsia="lv-LV" w:bidi="ar-SA"/>
              </w:rPr>
              <w:t xml:space="preserve">) </w:t>
            </w:r>
            <w:r w:rsidRPr="00575802">
              <w:rPr>
                <w:rFonts w:cs="Times New Roman"/>
                <w:sz w:val="24"/>
                <w:szCs w:val="24"/>
                <w:lang w:val="lv-LV" w:eastAsia="lv-LV" w:bidi="ar-SA"/>
              </w:rPr>
              <w:t xml:space="preserve">apmērā un atlikušo </w:t>
            </w:r>
            <w:r w:rsidR="00101FCB" w:rsidRPr="00575802">
              <w:rPr>
                <w:rFonts w:cs="Times New Roman"/>
                <w:sz w:val="24"/>
                <w:szCs w:val="24"/>
                <w:lang w:val="lv-LV" w:eastAsia="lv-LV" w:bidi="ar-SA"/>
              </w:rPr>
              <w:t xml:space="preserve">nekustamā īpašuma iegādes </w:t>
            </w:r>
            <w:r w:rsidRPr="00575802">
              <w:rPr>
                <w:rFonts w:cs="Times New Roman"/>
                <w:sz w:val="24"/>
                <w:szCs w:val="24"/>
                <w:lang w:val="lv-LV" w:eastAsia="lv-LV" w:bidi="ar-SA"/>
              </w:rPr>
              <w:t xml:space="preserve">izdevumu daļu segs </w:t>
            </w:r>
            <w:r w:rsidR="00101FCB" w:rsidRPr="00575802">
              <w:rPr>
                <w:rFonts w:cs="Times New Roman"/>
                <w:sz w:val="24"/>
                <w:szCs w:val="24"/>
                <w:lang w:val="lv-LV" w:eastAsia="lv-LV" w:bidi="ar-SA"/>
              </w:rPr>
              <w:t>2015.gadā Aizsardzības ministrijas budžeta ietvaros.</w:t>
            </w:r>
          </w:p>
          <w:p w:rsidR="00E0183D" w:rsidRPr="00575802" w:rsidRDefault="00E0183D" w:rsidP="00E52D71">
            <w:pPr>
              <w:jc w:val="both"/>
              <w:rPr>
                <w:rFonts w:cs="Times New Roman"/>
                <w:color w:val="414142"/>
                <w:sz w:val="24"/>
                <w:szCs w:val="24"/>
                <w:lang w:val="lv-LV" w:eastAsia="lv-LV" w:bidi="ar-SA"/>
              </w:rPr>
            </w:pPr>
          </w:p>
        </w:tc>
      </w:tr>
    </w:tbl>
    <w:p w:rsidR="00F64137" w:rsidRPr="00F64137" w:rsidRDefault="00F64137" w:rsidP="00120AC3">
      <w:pPr>
        <w:spacing w:before="100" w:beforeAutospacing="1" w:after="100" w:afterAutospacing="1" w:line="360" w:lineRule="auto"/>
        <w:rPr>
          <w:rFonts w:cs="Times New Roman"/>
          <w:color w:val="414142"/>
          <w:sz w:val="24"/>
          <w:szCs w:val="24"/>
          <w:lang w:val="lv-LV" w:eastAsia="lv-LV" w:bidi="ar-SA"/>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1"/>
        <w:gridCol w:w="3198"/>
        <w:gridCol w:w="4797"/>
      </w:tblGrid>
      <w:tr w:rsidR="00F64137" w:rsidRPr="00715A78" w:rsidTr="00F64137">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64137" w:rsidRPr="00F64137" w:rsidRDefault="00F64137" w:rsidP="00F64137">
            <w:pPr>
              <w:spacing w:before="100" w:beforeAutospacing="1" w:after="100" w:afterAutospacing="1" w:line="360" w:lineRule="auto"/>
              <w:ind w:firstLine="300"/>
              <w:jc w:val="center"/>
              <w:rPr>
                <w:rFonts w:cs="Times New Roman"/>
                <w:b/>
                <w:bCs/>
                <w:color w:val="414142"/>
                <w:sz w:val="24"/>
                <w:szCs w:val="24"/>
                <w:lang w:val="lv-LV" w:eastAsia="lv-LV" w:bidi="ar-SA"/>
              </w:rPr>
            </w:pPr>
            <w:r w:rsidRPr="00F64137">
              <w:rPr>
                <w:rFonts w:cs="Times New Roman"/>
                <w:b/>
                <w:bCs/>
                <w:color w:val="414142"/>
                <w:sz w:val="24"/>
                <w:szCs w:val="24"/>
                <w:lang w:val="lv-LV" w:eastAsia="lv-LV" w:bidi="ar-SA"/>
              </w:rPr>
              <w:t>VII. Tiesību akta projekta izpildes nodrošināšana un tās ietekme uz institūcijām</w:t>
            </w:r>
          </w:p>
        </w:tc>
      </w:tr>
      <w:tr w:rsidR="00F64137" w:rsidRPr="00F64137" w:rsidTr="00F64137">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1.</w:t>
            </w:r>
          </w:p>
        </w:tc>
        <w:tc>
          <w:tcPr>
            <w:tcW w:w="1900"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F64137" w:rsidRPr="00F64137" w:rsidRDefault="00120AC3" w:rsidP="00F64137">
            <w:pPr>
              <w:rPr>
                <w:rFonts w:cs="Times New Roman"/>
                <w:color w:val="414142"/>
                <w:sz w:val="24"/>
                <w:szCs w:val="24"/>
                <w:lang w:val="lv-LV" w:eastAsia="lv-LV" w:bidi="ar-SA"/>
              </w:rPr>
            </w:pPr>
            <w:r w:rsidRPr="00120AC3">
              <w:rPr>
                <w:rFonts w:cs="Times New Roman"/>
                <w:color w:val="414142"/>
                <w:sz w:val="24"/>
                <w:szCs w:val="24"/>
                <w:lang w:val="lv-LV" w:eastAsia="lv-LV" w:bidi="ar-SA"/>
              </w:rPr>
              <w:t>Aizsardzības ministrija, Valsts aizsardzības militāro objektu un iepirkumu centrs.</w:t>
            </w:r>
          </w:p>
        </w:tc>
      </w:tr>
      <w:tr w:rsidR="00F64137" w:rsidRPr="00F64137" w:rsidTr="00F64137">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2.</w:t>
            </w:r>
          </w:p>
        </w:tc>
        <w:tc>
          <w:tcPr>
            <w:tcW w:w="1900" w:type="pct"/>
            <w:tcBorders>
              <w:top w:val="outset" w:sz="6" w:space="0" w:color="auto"/>
              <w:left w:val="outset" w:sz="6" w:space="0" w:color="auto"/>
              <w:bottom w:val="outset" w:sz="6" w:space="0" w:color="auto"/>
              <w:right w:val="outset" w:sz="6" w:space="0" w:color="auto"/>
            </w:tcBorders>
            <w:hideMark/>
          </w:tcPr>
          <w:p w:rsidR="00F64137" w:rsidRPr="00F64137" w:rsidRDefault="00F64137" w:rsidP="00120AC3">
            <w:pPr>
              <w:rPr>
                <w:rFonts w:cs="Times New Roman"/>
                <w:color w:val="414142"/>
                <w:sz w:val="24"/>
                <w:szCs w:val="24"/>
                <w:lang w:val="lv-LV" w:eastAsia="lv-LV" w:bidi="ar-SA"/>
              </w:rPr>
            </w:pPr>
            <w:r w:rsidRPr="00F64137">
              <w:rPr>
                <w:rFonts w:cs="Times New Roman"/>
                <w:color w:val="414142"/>
                <w:sz w:val="24"/>
                <w:szCs w:val="24"/>
                <w:lang w:val="lv-LV" w:eastAsia="lv-LV" w:bidi="ar-SA"/>
              </w:rPr>
              <w:t xml:space="preserve">Projekta izpildes ietekme uz pārvaldes funkcijām un institucionālo struktūru. </w:t>
            </w:r>
          </w:p>
          <w:p w:rsidR="00F64137" w:rsidRPr="00F64137" w:rsidRDefault="00F64137" w:rsidP="00120AC3">
            <w:pPr>
              <w:ind w:firstLine="300"/>
              <w:rPr>
                <w:rFonts w:cs="Times New Roman"/>
                <w:color w:val="414142"/>
                <w:sz w:val="24"/>
                <w:szCs w:val="24"/>
                <w:lang w:val="lv-LV" w:eastAsia="lv-LV" w:bidi="ar-SA"/>
              </w:rPr>
            </w:pPr>
            <w:r w:rsidRPr="00F64137">
              <w:rPr>
                <w:rFonts w:cs="Times New Roman"/>
                <w:color w:val="414142"/>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F64137" w:rsidRPr="00F64137" w:rsidRDefault="00120AC3" w:rsidP="00F64137">
            <w:pPr>
              <w:rPr>
                <w:rFonts w:cs="Times New Roman"/>
                <w:color w:val="414142"/>
                <w:sz w:val="24"/>
                <w:szCs w:val="24"/>
                <w:lang w:val="lv-LV" w:eastAsia="lv-LV" w:bidi="ar-SA"/>
              </w:rPr>
            </w:pPr>
            <w:r w:rsidRPr="00120AC3">
              <w:rPr>
                <w:rFonts w:cs="Times New Roman"/>
                <w:color w:val="414142"/>
                <w:sz w:val="24"/>
                <w:szCs w:val="24"/>
                <w:lang w:val="lv-LV" w:eastAsia="lv-LV" w:bidi="ar-SA"/>
              </w:rPr>
              <w:t>Projekts šo jomu neskar.</w:t>
            </w:r>
          </w:p>
        </w:tc>
      </w:tr>
      <w:tr w:rsidR="00F64137" w:rsidRPr="00F64137" w:rsidTr="00F64137">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3.</w:t>
            </w:r>
          </w:p>
        </w:tc>
        <w:tc>
          <w:tcPr>
            <w:tcW w:w="1900" w:type="pct"/>
            <w:tcBorders>
              <w:top w:val="outset" w:sz="6" w:space="0" w:color="auto"/>
              <w:left w:val="outset" w:sz="6" w:space="0" w:color="auto"/>
              <w:bottom w:val="outset" w:sz="6" w:space="0" w:color="auto"/>
              <w:right w:val="outset" w:sz="6" w:space="0" w:color="auto"/>
            </w:tcBorders>
            <w:hideMark/>
          </w:tcPr>
          <w:p w:rsidR="00F64137" w:rsidRPr="00F64137" w:rsidRDefault="00F64137" w:rsidP="00F64137">
            <w:pPr>
              <w:rPr>
                <w:rFonts w:cs="Times New Roman"/>
                <w:color w:val="414142"/>
                <w:sz w:val="24"/>
                <w:szCs w:val="24"/>
                <w:lang w:val="lv-LV" w:eastAsia="lv-LV" w:bidi="ar-SA"/>
              </w:rPr>
            </w:pPr>
            <w:r w:rsidRPr="00F64137">
              <w:rPr>
                <w:rFonts w:cs="Times New Roman"/>
                <w:color w:val="414142"/>
                <w:sz w:val="24"/>
                <w:szCs w:val="24"/>
                <w:lang w:val="lv-LV" w:eastAsia="lv-LV" w:bidi="ar-SA"/>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F64137" w:rsidRPr="00F64137" w:rsidRDefault="00120AC3" w:rsidP="00A90E60">
            <w:pPr>
              <w:spacing w:before="100" w:beforeAutospacing="1" w:after="100" w:afterAutospacing="1" w:line="360" w:lineRule="auto"/>
              <w:rPr>
                <w:rFonts w:cs="Times New Roman"/>
                <w:color w:val="414142"/>
                <w:sz w:val="24"/>
                <w:szCs w:val="24"/>
                <w:lang w:val="lv-LV" w:eastAsia="lv-LV" w:bidi="ar-SA"/>
              </w:rPr>
            </w:pPr>
            <w:r w:rsidRPr="00120AC3">
              <w:rPr>
                <w:rFonts w:cs="Times New Roman"/>
                <w:color w:val="414142"/>
                <w:sz w:val="24"/>
                <w:szCs w:val="24"/>
                <w:lang w:val="lv-LV" w:eastAsia="lv-LV" w:bidi="ar-SA"/>
              </w:rPr>
              <w:t>Nav.</w:t>
            </w:r>
          </w:p>
        </w:tc>
      </w:tr>
    </w:tbl>
    <w:p w:rsidR="007A6F3C" w:rsidRDefault="00563EDA">
      <w:pPr>
        <w:rPr>
          <w:rFonts w:cs="Times New Roman"/>
          <w:sz w:val="24"/>
          <w:szCs w:val="24"/>
          <w:lang w:val="lv-LV"/>
        </w:rPr>
      </w:pPr>
      <w:r w:rsidRPr="00120AC3">
        <w:rPr>
          <w:rFonts w:cs="Times New Roman"/>
          <w:sz w:val="24"/>
          <w:szCs w:val="24"/>
          <w:lang w:val="lv-LV"/>
        </w:rPr>
        <w:t xml:space="preserve"> </w:t>
      </w:r>
    </w:p>
    <w:p w:rsidR="007A6F3C" w:rsidRDefault="007A6F3C">
      <w:pPr>
        <w:rPr>
          <w:rFonts w:cs="Times New Roman"/>
          <w:sz w:val="24"/>
          <w:szCs w:val="24"/>
          <w:lang w:val="lv-LV"/>
        </w:rPr>
      </w:pPr>
    </w:p>
    <w:p w:rsidR="0026236D" w:rsidRDefault="00563EDA">
      <w:pPr>
        <w:rPr>
          <w:rFonts w:cs="Times New Roman"/>
          <w:sz w:val="24"/>
          <w:szCs w:val="24"/>
          <w:lang w:val="lv-LV"/>
        </w:rPr>
      </w:pPr>
      <w:r w:rsidRPr="00120AC3">
        <w:rPr>
          <w:rFonts w:cs="Times New Roman"/>
          <w:sz w:val="24"/>
          <w:szCs w:val="24"/>
          <w:lang w:val="lv-LV"/>
        </w:rPr>
        <w:lastRenderedPageBreak/>
        <w:t>Anotācijas II,</w:t>
      </w:r>
      <w:proofErr w:type="gramStart"/>
      <w:r w:rsidR="00101FCB">
        <w:rPr>
          <w:rFonts w:cs="Times New Roman"/>
          <w:sz w:val="24"/>
          <w:szCs w:val="24"/>
          <w:lang w:val="lv-LV"/>
        </w:rPr>
        <w:t xml:space="preserve"> </w:t>
      </w:r>
      <w:r w:rsidRPr="00120AC3">
        <w:rPr>
          <w:rFonts w:cs="Times New Roman"/>
          <w:sz w:val="24"/>
          <w:szCs w:val="24"/>
          <w:lang w:val="lv-LV"/>
        </w:rPr>
        <w:t xml:space="preserve"> </w:t>
      </w:r>
      <w:proofErr w:type="gramEnd"/>
      <w:r w:rsidRPr="00120AC3">
        <w:rPr>
          <w:rFonts w:cs="Times New Roman"/>
          <w:sz w:val="24"/>
          <w:szCs w:val="24"/>
          <w:lang w:val="lv-LV"/>
        </w:rPr>
        <w:t>IV, V un VI sadaļa – projekts šo jomu neskar.</w:t>
      </w:r>
    </w:p>
    <w:p w:rsidR="00C0728B" w:rsidRDefault="00C0728B">
      <w:pPr>
        <w:rPr>
          <w:rFonts w:cs="Times New Roman"/>
          <w:sz w:val="24"/>
          <w:szCs w:val="24"/>
          <w:lang w:val="lv-LV"/>
        </w:rPr>
      </w:pPr>
    </w:p>
    <w:p w:rsidR="00C0728B" w:rsidRDefault="00C0728B">
      <w:pPr>
        <w:rPr>
          <w:rFonts w:cs="Times New Roman"/>
          <w:sz w:val="24"/>
          <w:szCs w:val="24"/>
          <w:lang w:val="lv-LV"/>
        </w:rPr>
      </w:pPr>
    </w:p>
    <w:p w:rsidR="00D96A7C" w:rsidRDefault="00D96A7C">
      <w:pPr>
        <w:rPr>
          <w:rFonts w:cs="Times New Roman"/>
          <w:sz w:val="24"/>
          <w:szCs w:val="24"/>
          <w:lang w:val="lv-LV"/>
        </w:rPr>
      </w:pPr>
    </w:p>
    <w:p w:rsidR="00D96A7C" w:rsidRDefault="00D96A7C">
      <w:pPr>
        <w:rPr>
          <w:rFonts w:cs="Times New Roman"/>
          <w:sz w:val="24"/>
          <w:szCs w:val="24"/>
          <w:lang w:val="lv-LV"/>
        </w:rPr>
      </w:pPr>
    </w:p>
    <w:p w:rsidR="00C0728B" w:rsidRPr="00014B51" w:rsidRDefault="00C0728B" w:rsidP="00C0728B">
      <w:pPr>
        <w:tabs>
          <w:tab w:val="left" w:pos="6480"/>
        </w:tabs>
        <w:rPr>
          <w:rFonts w:cs="Times New Roman"/>
          <w:sz w:val="28"/>
          <w:szCs w:val="28"/>
          <w:lang w:val="lv-LV"/>
        </w:rPr>
      </w:pPr>
      <w:r w:rsidRPr="00014B51">
        <w:rPr>
          <w:rFonts w:cs="Times New Roman"/>
          <w:sz w:val="28"/>
          <w:szCs w:val="28"/>
          <w:lang w:val="lv-LV"/>
        </w:rPr>
        <w:t>Aizsardzības ministrs</w:t>
      </w:r>
      <w:r w:rsidRPr="00014B51">
        <w:rPr>
          <w:rFonts w:cs="Times New Roman"/>
          <w:sz w:val="28"/>
          <w:szCs w:val="28"/>
          <w:lang w:val="lv-LV"/>
        </w:rPr>
        <w:tab/>
      </w:r>
      <w:proofErr w:type="spellStart"/>
      <w:r w:rsidRPr="00014B51">
        <w:rPr>
          <w:rFonts w:cs="Times New Roman"/>
          <w:sz w:val="28"/>
          <w:szCs w:val="28"/>
          <w:lang w:val="lv-LV"/>
        </w:rPr>
        <w:t>R.Vējonis</w:t>
      </w:r>
      <w:proofErr w:type="spellEnd"/>
    </w:p>
    <w:p w:rsidR="00C0728B" w:rsidRDefault="00C0728B" w:rsidP="00C0728B">
      <w:pPr>
        <w:pStyle w:val="EnvelopeReturn"/>
        <w:tabs>
          <w:tab w:val="left" w:pos="6480"/>
          <w:tab w:val="right" w:pos="7560"/>
        </w:tabs>
        <w:spacing w:before="0"/>
        <w:rPr>
          <w:sz w:val="28"/>
          <w:szCs w:val="28"/>
          <w:lang w:val="lv-LV"/>
        </w:rPr>
      </w:pPr>
    </w:p>
    <w:p w:rsidR="00C0728B" w:rsidRDefault="00C0728B" w:rsidP="00C0728B">
      <w:pPr>
        <w:pStyle w:val="EnvelopeReturn"/>
        <w:tabs>
          <w:tab w:val="left" w:pos="6480"/>
          <w:tab w:val="right" w:pos="7560"/>
        </w:tabs>
        <w:spacing w:before="0"/>
        <w:rPr>
          <w:sz w:val="28"/>
          <w:szCs w:val="28"/>
          <w:lang w:val="lv-LV"/>
        </w:rPr>
      </w:pPr>
    </w:p>
    <w:p w:rsidR="00DB18F2" w:rsidRPr="009F21EC" w:rsidRDefault="00575802" w:rsidP="009F21EC">
      <w:pPr>
        <w:pStyle w:val="EnvelopeReturn"/>
        <w:tabs>
          <w:tab w:val="left" w:pos="6480"/>
          <w:tab w:val="right" w:pos="7560"/>
        </w:tabs>
        <w:spacing w:before="0"/>
        <w:rPr>
          <w:sz w:val="28"/>
          <w:szCs w:val="28"/>
          <w:lang w:val="lv-LV"/>
        </w:rPr>
      </w:pPr>
      <w:r>
        <w:rPr>
          <w:sz w:val="28"/>
          <w:szCs w:val="28"/>
          <w:lang w:val="lv-LV"/>
        </w:rPr>
        <w:t>Vīza: valsts sekretārs</w:t>
      </w:r>
      <w:r w:rsidR="00C0728B" w:rsidRPr="00756953">
        <w:rPr>
          <w:sz w:val="28"/>
          <w:szCs w:val="28"/>
          <w:lang w:val="lv-LV"/>
        </w:rPr>
        <w:tab/>
      </w:r>
      <w:r w:rsidR="00612760">
        <w:rPr>
          <w:sz w:val="28"/>
          <w:szCs w:val="28"/>
          <w:lang w:val="lv-LV"/>
        </w:rPr>
        <w:t>J.</w:t>
      </w:r>
      <w:r>
        <w:rPr>
          <w:sz w:val="28"/>
          <w:szCs w:val="28"/>
          <w:lang w:val="lv-LV"/>
        </w:rPr>
        <w:t>Sārts</w:t>
      </w:r>
    </w:p>
    <w:p w:rsidR="00DB18F2" w:rsidRDefault="00DB18F2">
      <w:pPr>
        <w:rPr>
          <w:rFonts w:cs="Times New Roman"/>
          <w:sz w:val="24"/>
          <w:szCs w:val="24"/>
          <w:lang w:val="lv-LV"/>
        </w:rPr>
      </w:pPr>
    </w:p>
    <w:p w:rsidR="00C0728B" w:rsidRDefault="00C0728B">
      <w:pPr>
        <w:rPr>
          <w:rFonts w:cs="Times New Roman"/>
          <w:sz w:val="24"/>
          <w:szCs w:val="24"/>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D96A7C" w:rsidRDefault="00D96A7C" w:rsidP="00C0728B">
      <w:pPr>
        <w:pStyle w:val="Header"/>
        <w:rPr>
          <w:lang w:val="lv-LV"/>
        </w:rPr>
      </w:pPr>
    </w:p>
    <w:p w:rsidR="00C0728B" w:rsidRPr="00014B51" w:rsidRDefault="00C0728B" w:rsidP="00C0728B">
      <w:pPr>
        <w:pStyle w:val="Header"/>
        <w:rPr>
          <w:sz w:val="16"/>
          <w:szCs w:val="16"/>
          <w:lang w:val="lv-LV"/>
        </w:rPr>
      </w:pPr>
      <w:r w:rsidRPr="00B72B0D">
        <w:rPr>
          <w:sz w:val="16"/>
          <w:szCs w:val="16"/>
        </w:rPr>
        <w:fldChar w:fldCharType="begin"/>
      </w:r>
      <w:r w:rsidRPr="00B72B0D">
        <w:rPr>
          <w:sz w:val="16"/>
          <w:szCs w:val="16"/>
        </w:rPr>
        <w:instrText xml:space="preserve"> TIME \@ "dd.MM.yyyy H:mm" </w:instrText>
      </w:r>
      <w:r w:rsidRPr="00B72B0D">
        <w:rPr>
          <w:sz w:val="16"/>
          <w:szCs w:val="16"/>
        </w:rPr>
        <w:fldChar w:fldCharType="separate"/>
      </w:r>
      <w:r w:rsidR="00AE6DDA">
        <w:rPr>
          <w:noProof/>
          <w:sz w:val="16"/>
          <w:szCs w:val="16"/>
        </w:rPr>
        <w:t>14.05.2014 13:21</w:t>
      </w:r>
      <w:r w:rsidRPr="00B72B0D">
        <w:rPr>
          <w:sz w:val="16"/>
          <w:szCs w:val="16"/>
        </w:rPr>
        <w:fldChar w:fldCharType="end"/>
      </w:r>
    </w:p>
    <w:p w:rsidR="00C0728B" w:rsidRPr="00014B51" w:rsidRDefault="00C0728B" w:rsidP="00C0728B">
      <w:pPr>
        <w:pStyle w:val="Header"/>
        <w:rPr>
          <w:sz w:val="16"/>
          <w:szCs w:val="16"/>
          <w:lang w:val="lv-LV"/>
        </w:rPr>
      </w:pPr>
      <w:r w:rsidRPr="00B72B0D">
        <w:rPr>
          <w:sz w:val="16"/>
          <w:szCs w:val="16"/>
        </w:rPr>
        <w:fldChar w:fldCharType="begin"/>
      </w:r>
      <w:r w:rsidRPr="00014B51">
        <w:rPr>
          <w:sz w:val="16"/>
          <w:szCs w:val="16"/>
          <w:lang w:val="lv-LV"/>
        </w:rPr>
        <w:instrText xml:space="preserve"> NUMWORDS   \* MERGEFORMAT </w:instrText>
      </w:r>
      <w:r w:rsidRPr="00B72B0D">
        <w:rPr>
          <w:sz w:val="16"/>
          <w:szCs w:val="16"/>
        </w:rPr>
        <w:fldChar w:fldCharType="separate"/>
      </w:r>
      <w:r w:rsidR="00AE6DDA">
        <w:rPr>
          <w:noProof/>
          <w:sz w:val="16"/>
          <w:szCs w:val="16"/>
          <w:lang w:val="lv-LV"/>
        </w:rPr>
        <w:t>1663</w:t>
      </w:r>
      <w:r w:rsidRPr="00B72B0D">
        <w:rPr>
          <w:sz w:val="16"/>
          <w:szCs w:val="16"/>
        </w:rPr>
        <w:fldChar w:fldCharType="end"/>
      </w:r>
      <w:bookmarkStart w:id="0" w:name="_GoBack"/>
      <w:bookmarkEnd w:id="0"/>
    </w:p>
    <w:p w:rsidR="00C0728B" w:rsidRPr="00014B51" w:rsidRDefault="00C0728B" w:rsidP="00C0728B">
      <w:pPr>
        <w:pStyle w:val="Header"/>
        <w:rPr>
          <w:sz w:val="16"/>
          <w:szCs w:val="16"/>
          <w:lang w:val="lv-LV"/>
        </w:rPr>
      </w:pPr>
      <w:r w:rsidRPr="00014B51">
        <w:rPr>
          <w:sz w:val="16"/>
          <w:szCs w:val="16"/>
          <w:lang w:val="lv-LV"/>
        </w:rPr>
        <w:t>S.Belrus</w:t>
      </w:r>
    </w:p>
    <w:p w:rsidR="00C0728B" w:rsidRPr="00014B51" w:rsidRDefault="00C0728B" w:rsidP="00C0728B">
      <w:pPr>
        <w:pStyle w:val="Header"/>
        <w:rPr>
          <w:sz w:val="16"/>
          <w:szCs w:val="16"/>
          <w:lang w:val="lv-LV"/>
        </w:rPr>
      </w:pPr>
      <w:proofErr w:type="spellStart"/>
      <w:r w:rsidRPr="00014B51">
        <w:rPr>
          <w:sz w:val="16"/>
          <w:szCs w:val="16"/>
          <w:lang w:val="lv-LV"/>
        </w:rPr>
        <w:t>Sanita.Belrus@mod.gov.lv</w:t>
      </w:r>
      <w:proofErr w:type="spellEnd"/>
      <w:r w:rsidRPr="00014B51">
        <w:rPr>
          <w:sz w:val="16"/>
          <w:szCs w:val="16"/>
          <w:lang w:val="lv-LV"/>
        </w:rPr>
        <w:t>,</w:t>
      </w:r>
    </w:p>
    <w:p w:rsidR="00C0728B" w:rsidRPr="00B72B0D" w:rsidRDefault="00C0728B" w:rsidP="00C0728B">
      <w:pPr>
        <w:pStyle w:val="Header"/>
        <w:rPr>
          <w:sz w:val="16"/>
          <w:szCs w:val="16"/>
        </w:rPr>
      </w:pPr>
      <w:proofErr w:type="spellStart"/>
      <w:proofErr w:type="gramStart"/>
      <w:r w:rsidRPr="00B72B0D">
        <w:rPr>
          <w:sz w:val="16"/>
          <w:szCs w:val="16"/>
        </w:rPr>
        <w:t>tālr</w:t>
      </w:r>
      <w:proofErr w:type="spellEnd"/>
      <w:proofErr w:type="gramEnd"/>
      <w:r w:rsidRPr="00B72B0D">
        <w:rPr>
          <w:sz w:val="16"/>
          <w:szCs w:val="16"/>
        </w:rPr>
        <w:t xml:space="preserve">. 67335063, </w:t>
      </w:r>
      <w:proofErr w:type="spellStart"/>
      <w:r w:rsidRPr="00B72B0D">
        <w:rPr>
          <w:sz w:val="16"/>
          <w:szCs w:val="16"/>
        </w:rPr>
        <w:t>fakss</w:t>
      </w:r>
      <w:proofErr w:type="spellEnd"/>
      <w:r w:rsidRPr="00B72B0D">
        <w:rPr>
          <w:sz w:val="16"/>
          <w:szCs w:val="16"/>
        </w:rPr>
        <w:t xml:space="preserve"> 67212307</w:t>
      </w:r>
    </w:p>
    <w:p w:rsidR="00C0728B" w:rsidRPr="00120AC3" w:rsidRDefault="00C0728B">
      <w:pPr>
        <w:rPr>
          <w:rFonts w:cs="Times New Roman"/>
          <w:sz w:val="24"/>
          <w:szCs w:val="24"/>
          <w:lang w:val="lv-LV"/>
        </w:rPr>
      </w:pPr>
    </w:p>
    <w:sectPr w:rsidR="00C0728B" w:rsidRPr="00120AC3">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8B" w:rsidRDefault="00C0728B" w:rsidP="00C0728B">
      <w:r>
        <w:separator/>
      </w:r>
    </w:p>
  </w:endnote>
  <w:endnote w:type="continuationSeparator" w:id="0">
    <w:p w:rsidR="00C0728B" w:rsidRDefault="00C0728B" w:rsidP="00C0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8B" w:rsidRPr="00C0728B" w:rsidRDefault="00C0728B" w:rsidP="00C0728B">
    <w:pPr>
      <w:jc w:val="both"/>
      <w:rPr>
        <w:rFonts w:cs="Times New Roman"/>
        <w:bCs/>
        <w:color w:val="414142"/>
        <w:lang w:val="lv-LV" w:eastAsia="lv-LV" w:bidi="ar-SA"/>
      </w:rPr>
    </w:pPr>
    <w:r w:rsidRPr="00C0728B">
      <w:t>A</w:t>
    </w:r>
    <w:r w:rsidR="00715A78">
      <w:t>IMAnot_14</w:t>
    </w:r>
    <w:r w:rsidR="00575802">
      <w:t>05</w:t>
    </w:r>
    <w:r w:rsidRPr="00C0728B">
      <w:t xml:space="preserve">14_atsavināšana; </w:t>
    </w:r>
    <w:r w:rsidRPr="00C0728B">
      <w:rPr>
        <w:rFonts w:cs="Times New Roman"/>
        <w:bCs/>
        <w:color w:val="414142"/>
        <w:lang w:val="lv-LV" w:eastAsia="lv-LV" w:bidi="ar-SA"/>
      </w:rPr>
      <w:t xml:space="preserve">Ministru kabineta rīkojuma „Par nekustamā īpašuma </w:t>
    </w:r>
    <w:r w:rsidR="00582D2D">
      <w:rPr>
        <w:rFonts w:cs="Times New Roman"/>
        <w:bCs/>
        <w:color w:val="414142"/>
        <w:lang w:val="lv-LV" w:eastAsia="lv-LV" w:bidi="ar-SA"/>
      </w:rPr>
      <w:t xml:space="preserve">iegādi </w:t>
    </w:r>
    <w:r w:rsidRPr="00C0728B">
      <w:rPr>
        <w:rFonts w:cs="Times New Roman"/>
        <w:bCs/>
        <w:color w:val="414142"/>
        <w:lang w:val="lv-LV" w:eastAsia="lv-LV" w:bidi="ar-SA"/>
      </w:rPr>
      <w:t>aizsardzības nozares vajadzībām” projekta sākotnējās ietekmes novērtējuma ziņojums (anotācija)</w:t>
    </w:r>
  </w:p>
  <w:p w:rsidR="00C0728B" w:rsidRDefault="00C07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8B" w:rsidRDefault="00C0728B" w:rsidP="00C0728B">
      <w:r>
        <w:separator/>
      </w:r>
    </w:p>
  </w:footnote>
  <w:footnote w:type="continuationSeparator" w:id="0">
    <w:p w:rsidR="00C0728B" w:rsidRDefault="00C0728B" w:rsidP="00C07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744F4"/>
    <w:multiLevelType w:val="hybridMultilevel"/>
    <w:tmpl w:val="A8AE94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7FA356C"/>
    <w:multiLevelType w:val="hybridMultilevel"/>
    <w:tmpl w:val="3FF63F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137"/>
    <w:rsid w:val="00005D36"/>
    <w:rsid w:val="00014B51"/>
    <w:rsid w:val="00032447"/>
    <w:rsid w:val="00036259"/>
    <w:rsid w:val="000B1D5B"/>
    <w:rsid w:val="00101FCB"/>
    <w:rsid w:val="00120AC3"/>
    <w:rsid w:val="00135A4E"/>
    <w:rsid w:val="0013607D"/>
    <w:rsid w:val="001C25DB"/>
    <w:rsid w:val="0026236D"/>
    <w:rsid w:val="0026473B"/>
    <w:rsid w:val="00276100"/>
    <w:rsid w:val="002B3D04"/>
    <w:rsid w:val="00304507"/>
    <w:rsid w:val="00333AE5"/>
    <w:rsid w:val="0033604B"/>
    <w:rsid w:val="003516AB"/>
    <w:rsid w:val="00373021"/>
    <w:rsid w:val="00411DB6"/>
    <w:rsid w:val="00447F06"/>
    <w:rsid w:val="00551F23"/>
    <w:rsid w:val="00563EDA"/>
    <w:rsid w:val="00575802"/>
    <w:rsid w:val="00577B12"/>
    <w:rsid w:val="00582D2D"/>
    <w:rsid w:val="00612760"/>
    <w:rsid w:val="0066005F"/>
    <w:rsid w:val="00666D11"/>
    <w:rsid w:val="006C6E54"/>
    <w:rsid w:val="007007F9"/>
    <w:rsid w:val="00715A78"/>
    <w:rsid w:val="00723A05"/>
    <w:rsid w:val="007635F3"/>
    <w:rsid w:val="007A6F3C"/>
    <w:rsid w:val="007D39E5"/>
    <w:rsid w:val="0082499C"/>
    <w:rsid w:val="0085064D"/>
    <w:rsid w:val="00860CD7"/>
    <w:rsid w:val="00870A78"/>
    <w:rsid w:val="008804EF"/>
    <w:rsid w:val="008B44DA"/>
    <w:rsid w:val="008F7436"/>
    <w:rsid w:val="00961EAA"/>
    <w:rsid w:val="009A48D6"/>
    <w:rsid w:val="009F21EC"/>
    <w:rsid w:val="00A05C5A"/>
    <w:rsid w:val="00A11A12"/>
    <w:rsid w:val="00A63D9E"/>
    <w:rsid w:val="00A90E60"/>
    <w:rsid w:val="00A9643D"/>
    <w:rsid w:val="00AB1CD1"/>
    <w:rsid w:val="00AD2582"/>
    <w:rsid w:val="00AE6DDA"/>
    <w:rsid w:val="00AF3AC3"/>
    <w:rsid w:val="00B0263C"/>
    <w:rsid w:val="00B62620"/>
    <w:rsid w:val="00B8505C"/>
    <w:rsid w:val="00BA2D1F"/>
    <w:rsid w:val="00C0728B"/>
    <w:rsid w:val="00C34448"/>
    <w:rsid w:val="00C41E84"/>
    <w:rsid w:val="00C729FB"/>
    <w:rsid w:val="00CC6C9D"/>
    <w:rsid w:val="00D20C2D"/>
    <w:rsid w:val="00D96A7C"/>
    <w:rsid w:val="00DB18F2"/>
    <w:rsid w:val="00E0183D"/>
    <w:rsid w:val="00E52D71"/>
    <w:rsid w:val="00E53D38"/>
    <w:rsid w:val="00E72436"/>
    <w:rsid w:val="00EB0CCE"/>
    <w:rsid w:val="00F00797"/>
    <w:rsid w:val="00F22346"/>
    <w:rsid w:val="00F64137"/>
    <w:rsid w:val="00F734BB"/>
    <w:rsid w:val="00F85671"/>
    <w:rsid w:val="00FE40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64137"/>
    <w:pPr>
      <w:spacing w:before="45" w:line="360" w:lineRule="auto"/>
      <w:ind w:firstLine="300"/>
    </w:pPr>
    <w:rPr>
      <w:rFonts w:cs="Times New Roman"/>
      <w:i/>
      <w:iCs/>
      <w:color w:val="414142"/>
      <w:lang w:val="lv-LV" w:eastAsia="lv-LV" w:bidi="ar-SA"/>
    </w:rPr>
  </w:style>
  <w:style w:type="paragraph" w:styleId="ListParagraph">
    <w:name w:val="List Paragraph"/>
    <w:basedOn w:val="Normal"/>
    <w:uiPriority w:val="34"/>
    <w:qFormat/>
    <w:rsid w:val="00577B12"/>
    <w:pPr>
      <w:ind w:left="720"/>
      <w:contextualSpacing/>
    </w:pPr>
    <w:rPr>
      <w:rFonts w:cs="Times New Roman"/>
      <w:lang w:eastAsia="lv-LV" w:bidi="ar-SA"/>
    </w:rPr>
  </w:style>
  <w:style w:type="paragraph" w:styleId="BalloonText">
    <w:name w:val="Balloon Text"/>
    <w:basedOn w:val="Normal"/>
    <w:link w:val="BalloonTextChar"/>
    <w:rsid w:val="00A9643D"/>
    <w:rPr>
      <w:rFonts w:ascii="Tahoma" w:hAnsi="Tahoma" w:cs="Tahoma"/>
      <w:sz w:val="16"/>
      <w:szCs w:val="16"/>
    </w:rPr>
  </w:style>
  <w:style w:type="character" w:customStyle="1" w:styleId="BalloonTextChar">
    <w:name w:val="Balloon Text Char"/>
    <w:basedOn w:val="DefaultParagraphFont"/>
    <w:link w:val="BalloonText"/>
    <w:rsid w:val="00A9643D"/>
    <w:rPr>
      <w:rFonts w:ascii="Tahoma" w:hAnsi="Tahoma" w:cs="Tahoma"/>
      <w:sz w:val="16"/>
      <w:szCs w:val="16"/>
      <w:lang w:val="en-AU" w:eastAsia="en-US" w:bidi="lo-LA"/>
    </w:rPr>
  </w:style>
  <w:style w:type="paragraph" w:styleId="Header">
    <w:name w:val="header"/>
    <w:basedOn w:val="Normal"/>
    <w:link w:val="HeaderChar"/>
    <w:rsid w:val="00C0728B"/>
    <w:pPr>
      <w:tabs>
        <w:tab w:val="center" w:pos="4153"/>
        <w:tab w:val="right" w:pos="8306"/>
      </w:tabs>
    </w:pPr>
  </w:style>
  <w:style w:type="character" w:customStyle="1" w:styleId="HeaderChar">
    <w:name w:val="Header Char"/>
    <w:basedOn w:val="DefaultParagraphFont"/>
    <w:link w:val="Header"/>
    <w:rsid w:val="00C0728B"/>
    <w:rPr>
      <w:rFonts w:cs="Arial Unicode MS"/>
      <w:lang w:val="en-AU" w:eastAsia="en-US" w:bidi="lo-LA"/>
    </w:rPr>
  </w:style>
  <w:style w:type="paragraph" w:styleId="Footer">
    <w:name w:val="footer"/>
    <w:basedOn w:val="Normal"/>
    <w:link w:val="FooterChar"/>
    <w:uiPriority w:val="99"/>
    <w:rsid w:val="00C0728B"/>
    <w:pPr>
      <w:tabs>
        <w:tab w:val="center" w:pos="4153"/>
        <w:tab w:val="right" w:pos="8306"/>
      </w:tabs>
    </w:pPr>
  </w:style>
  <w:style w:type="character" w:customStyle="1" w:styleId="FooterChar">
    <w:name w:val="Footer Char"/>
    <w:basedOn w:val="DefaultParagraphFont"/>
    <w:link w:val="Footer"/>
    <w:uiPriority w:val="99"/>
    <w:rsid w:val="00C0728B"/>
    <w:rPr>
      <w:rFonts w:cs="Arial Unicode MS"/>
      <w:lang w:val="en-AU" w:eastAsia="en-US" w:bidi="lo-LA"/>
    </w:rPr>
  </w:style>
  <w:style w:type="paragraph" w:styleId="EnvelopeReturn">
    <w:name w:val="envelope return"/>
    <w:basedOn w:val="Normal"/>
    <w:unhideWhenUsed/>
    <w:rsid w:val="00C0728B"/>
    <w:pPr>
      <w:keepLines/>
      <w:widowControl w:val="0"/>
      <w:spacing w:before="600"/>
    </w:pPr>
    <w:rPr>
      <w:rFonts w:cs="Times New Roman"/>
      <w:sz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64137"/>
    <w:pPr>
      <w:spacing w:before="45" w:line="360" w:lineRule="auto"/>
      <w:ind w:firstLine="300"/>
    </w:pPr>
    <w:rPr>
      <w:rFonts w:cs="Times New Roman"/>
      <w:i/>
      <w:iCs/>
      <w:color w:val="414142"/>
      <w:lang w:val="lv-LV" w:eastAsia="lv-LV" w:bidi="ar-SA"/>
    </w:rPr>
  </w:style>
  <w:style w:type="paragraph" w:styleId="ListParagraph">
    <w:name w:val="List Paragraph"/>
    <w:basedOn w:val="Normal"/>
    <w:uiPriority w:val="34"/>
    <w:qFormat/>
    <w:rsid w:val="00577B12"/>
    <w:pPr>
      <w:ind w:left="720"/>
      <w:contextualSpacing/>
    </w:pPr>
    <w:rPr>
      <w:rFonts w:cs="Times New Roman"/>
      <w:lang w:eastAsia="lv-LV" w:bidi="ar-SA"/>
    </w:rPr>
  </w:style>
  <w:style w:type="paragraph" w:styleId="BalloonText">
    <w:name w:val="Balloon Text"/>
    <w:basedOn w:val="Normal"/>
    <w:link w:val="BalloonTextChar"/>
    <w:rsid w:val="00A9643D"/>
    <w:rPr>
      <w:rFonts w:ascii="Tahoma" w:hAnsi="Tahoma" w:cs="Tahoma"/>
      <w:sz w:val="16"/>
      <w:szCs w:val="16"/>
    </w:rPr>
  </w:style>
  <w:style w:type="character" w:customStyle="1" w:styleId="BalloonTextChar">
    <w:name w:val="Balloon Text Char"/>
    <w:basedOn w:val="DefaultParagraphFont"/>
    <w:link w:val="BalloonText"/>
    <w:rsid w:val="00A9643D"/>
    <w:rPr>
      <w:rFonts w:ascii="Tahoma" w:hAnsi="Tahoma" w:cs="Tahoma"/>
      <w:sz w:val="16"/>
      <w:szCs w:val="16"/>
      <w:lang w:val="en-AU" w:eastAsia="en-US" w:bidi="lo-LA"/>
    </w:rPr>
  </w:style>
  <w:style w:type="paragraph" w:styleId="Header">
    <w:name w:val="header"/>
    <w:basedOn w:val="Normal"/>
    <w:link w:val="HeaderChar"/>
    <w:rsid w:val="00C0728B"/>
    <w:pPr>
      <w:tabs>
        <w:tab w:val="center" w:pos="4153"/>
        <w:tab w:val="right" w:pos="8306"/>
      </w:tabs>
    </w:pPr>
  </w:style>
  <w:style w:type="character" w:customStyle="1" w:styleId="HeaderChar">
    <w:name w:val="Header Char"/>
    <w:basedOn w:val="DefaultParagraphFont"/>
    <w:link w:val="Header"/>
    <w:rsid w:val="00C0728B"/>
    <w:rPr>
      <w:rFonts w:cs="Arial Unicode MS"/>
      <w:lang w:val="en-AU" w:eastAsia="en-US" w:bidi="lo-LA"/>
    </w:rPr>
  </w:style>
  <w:style w:type="paragraph" w:styleId="Footer">
    <w:name w:val="footer"/>
    <w:basedOn w:val="Normal"/>
    <w:link w:val="FooterChar"/>
    <w:uiPriority w:val="99"/>
    <w:rsid w:val="00C0728B"/>
    <w:pPr>
      <w:tabs>
        <w:tab w:val="center" w:pos="4153"/>
        <w:tab w:val="right" w:pos="8306"/>
      </w:tabs>
    </w:pPr>
  </w:style>
  <w:style w:type="character" w:customStyle="1" w:styleId="FooterChar">
    <w:name w:val="Footer Char"/>
    <w:basedOn w:val="DefaultParagraphFont"/>
    <w:link w:val="Footer"/>
    <w:uiPriority w:val="99"/>
    <w:rsid w:val="00C0728B"/>
    <w:rPr>
      <w:rFonts w:cs="Arial Unicode MS"/>
      <w:lang w:val="en-AU" w:eastAsia="en-US" w:bidi="lo-LA"/>
    </w:rPr>
  </w:style>
  <w:style w:type="paragraph" w:styleId="EnvelopeReturn">
    <w:name w:val="envelope return"/>
    <w:basedOn w:val="Normal"/>
    <w:unhideWhenUsed/>
    <w:rsid w:val="00C0728B"/>
    <w:pPr>
      <w:keepLines/>
      <w:widowControl w:val="0"/>
      <w:spacing w:before="600"/>
    </w:pPr>
    <w:rPr>
      <w:rFonts w:cs="Times New Roman"/>
      <w:sz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46852">
      <w:bodyDiv w:val="1"/>
      <w:marLeft w:val="0"/>
      <w:marRight w:val="0"/>
      <w:marTop w:val="0"/>
      <w:marBottom w:val="0"/>
      <w:divBdr>
        <w:top w:val="none" w:sz="0" w:space="0" w:color="auto"/>
        <w:left w:val="none" w:sz="0" w:space="0" w:color="auto"/>
        <w:bottom w:val="none" w:sz="0" w:space="0" w:color="auto"/>
        <w:right w:val="none" w:sz="0" w:space="0" w:color="auto"/>
      </w:divBdr>
      <w:divsChild>
        <w:div w:id="663701092">
          <w:marLeft w:val="0"/>
          <w:marRight w:val="0"/>
          <w:marTop w:val="0"/>
          <w:marBottom w:val="0"/>
          <w:divBdr>
            <w:top w:val="none" w:sz="0" w:space="0" w:color="auto"/>
            <w:left w:val="none" w:sz="0" w:space="0" w:color="auto"/>
            <w:bottom w:val="none" w:sz="0" w:space="0" w:color="auto"/>
            <w:right w:val="none" w:sz="0" w:space="0" w:color="auto"/>
          </w:divBdr>
          <w:divsChild>
            <w:div w:id="446432798">
              <w:marLeft w:val="0"/>
              <w:marRight w:val="0"/>
              <w:marTop w:val="0"/>
              <w:marBottom w:val="0"/>
              <w:divBdr>
                <w:top w:val="none" w:sz="0" w:space="0" w:color="auto"/>
                <w:left w:val="none" w:sz="0" w:space="0" w:color="auto"/>
                <w:bottom w:val="none" w:sz="0" w:space="0" w:color="auto"/>
                <w:right w:val="none" w:sz="0" w:space="0" w:color="auto"/>
              </w:divBdr>
              <w:divsChild>
                <w:div w:id="743066820">
                  <w:marLeft w:val="0"/>
                  <w:marRight w:val="0"/>
                  <w:marTop w:val="0"/>
                  <w:marBottom w:val="0"/>
                  <w:divBdr>
                    <w:top w:val="none" w:sz="0" w:space="0" w:color="auto"/>
                    <w:left w:val="none" w:sz="0" w:space="0" w:color="auto"/>
                    <w:bottom w:val="none" w:sz="0" w:space="0" w:color="auto"/>
                    <w:right w:val="none" w:sz="0" w:space="0" w:color="auto"/>
                  </w:divBdr>
                  <w:divsChild>
                    <w:div w:id="336469332">
                      <w:marLeft w:val="0"/>
                      <w:marRight w:val="0"/>
                      <w:marTop w:val="0"/>
                      <w:marBottom w:val="0"/>
                      <w:divBdr>
                        <w:top w:val="none" w:sz="0" w:space="0" w:color="auto"/>
                        <w:left w:val="none" w:sz="0" w:space="0" w:color="auto"/>
                        <w:bottom w:val="none" w:sz="0" w:space="0" w:color="auto"/>
                        <w:right w:val="none" w:sz="0" w:space="0" w:color="auto"/>
                      </w:divBdr>
                      <w:divsChild>
                        <w:div w:id="1018702213">
                          <w:marLeft w:val="0"/>
                          <w:marRight w:val="0"/>
                          <w:marTop w:val="0"/>
                          <w:marBottom w:val="0"/>
                          <w:divBdr>
                            <w:top w:val="none" w:sz="0" w:space="0" w:color="auto"/>
                            <w:left w:val="none" w:sz="0" w:space="0" w:color="auto"/>
                            <w:bottom w:val="none" w:sz="0" w:space="0" w:color="auto"/>
                            <w:right w:val="none" w:sz="0" w:space="0" w:color="auto"/>
                          </w:divBdr>
                          <w:divsChild>
                            <w:div w:id="73936490">
                              <w:marLeft w:val="0"/>
                              <w:marRight w:val="0"/>
                              <w:marTop w:val="400"/>
                              <w:marBottom w:val="0"/>
                              <w:divBdr>
                                <w:top w:val="none" w:sz="0" w:space="0" w:color="auto"/>
                                <w:left w:val="none" w:sz="0" w:space="0" w:color="auto"/>
                                <w:bottom w:val="none" w:sz="0" w:space="0" w:color="auto"/>
                                <w:right w:val="none" w:sz="0" w:space="0" w:color="auto"/>
                              </w:divBdr>
                            </w:div>
                            <w:div w:id="7017119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4752-0E69-40DF-9C7A-B3C00A56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192A03D7.dotm</Template>
  <TotalTime>329</TotalTime>
  <Pages>8</Pages>
  <Words>1708</Words>
  <Characters>11924</Characters>
  <Application>Microsoft Office Word</Application>
  <DocSecurity>0</DocSecurity>
  <Lines>567</Lines>
  <Paragraphs>132</Paragraphs>
  <ScaleCrop>false</ScaleCrop>
  <HeadingPairs>
    <vt:vector size="2" baseType="variant">
      <vt:variant>
        <vt:lpstr>Title</vt:lpstr>
      </vt:variant>
      <vt:variant>
        <vt:i4>1</vt:i4>
      </vt:variant>
    </vt:vector>
  </HeadingPairs>
  <TitlesOfParts>
    <vt:vector size="1" baseType="lpstr">
      <vt:lpstr>Sākotnējās ietekmes novērtējuma ziņojums (anotācija)</vt:lpstr>
    </vt:vector>
  </TitlesOfParts>
  <Manager>Juridiskais departaments</Manager>
  <Company>AM</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Ministru kabineta rīkojuma „Par nekustamā īpašuma pirkšanu aizsardzības nozares vajadzībām” projekts</dc:subject>
  <dc:creator>Sanita Belrus</dc:creator>
  <dc:description>S.Belrus_x000d_
Sanita.Belrus@mod.gov.lv, tālr.67335063, fakss:67212307</dc:description>
  <cp:lastModifiedBy>Sanita Belrus</cp:lastModifiedBy>
  <cp:revision>21</cp:revision>
  <cp:lastPrinted>2014-05-13T07:37:00Z</cp:lastPrinted>
  <dcterms:created xsi:type="dcterms:W3CDTF">2014-04-24T13:12:00Z</dcterms:created>
  <dcterms:modified xsi:type="dcterms:W3CDTF">2014-05-14T10:21:00Z</dcterms:modified>
</cp:coreProperties>
</file>