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3A" w:rsidRPr="00D7483A" w:rsidRDefault="00D7483A" w:rsidP="00D7483A">
      <w:pPr>
        <w:jc w:val="center"/>
        <w:rPr>
          <w:rFonts w:cs="Times New Roman"/>
          <w:b/>
          <w:sz w:val="24"/>
          <w:szCs w:val="24"/>
          <w:lang w:val="lv-LV" w:eastAsia="lv-LV" w:bidi="ar-SA"/>
        </w:rPr>
      </w:pPr>
      <w:r w:rsidRPr="00D7483A">
        <w:rPr>
          <w:rFonts w:cs="Times New Roman"/>
          <w:b/>
          <w:sz w:val="24"/>
          <w:szCs w:val="24"/>
          <w:lang w:val="lv-LV" w:eastAsia="lv-LV" w:bidi="ar-SA"/>
        </w:rPr>
        <w:t>Ministru kabineta noteikumu projekta „Grozījum</w:t>
      </w:r>
      <w:r w:rsidR="009504AB">
        <w:rPr>
          <w:rFonts w:cs="Times New Roman"/>
          <w:b/>
          <w:sz w:val="24"/>
          <w:szCs w:val="24"/>
          <w:lang w:val="lv-LV" w:eastAsia="lv-LV" w:bidi="ar-SA"/>
        </w:rPr>
        <w:t>i</w:t>
      </w:r>
      <w:r w:rsidRPr="00D7483A">
        <w:rPr>
          <w:rFonts w:cs="Times New Roman"/>
          <w:b/>
          <w:sz w:val="24"/>
          <w:szCs w:val="24"/>
          <w:lang w:val="lv-LV" w:eastAsia="lv-LV" w:bidi="ar-SA"/>
        </w:rPr>
        <w:t xml:space="preserve"> Ministru kabineta 2010.gada 5.oktobra noteikumos Nr.947 „Karavīru un zemessargu militārās disciplīnas reglaments”” sākotnējās ietekmes izvērtējums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E65F9E" w:rsidTr="0079325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1B6639" w:rsidTr="00793251">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D7483A" w:rsidRDefault="00D7483A" w:rsidP="002B1566">
            <w:pPr>
              <w:jc w:val="both"/>
              <w:rPr>
                <w:rFonts w:cs="Times New Roman"/>
                <w:sz w:val="24"/>
                <w:szCs w:val="24"/>
                <w:lang w:val="lv-LV" w:eastAsia="lv-LV" w:bidi="ar-SA"/>
              </w:rPr>
            </w:pPr>
            <w:r w:rsidRPr="00D7483A">
              <w:rPr>
                <w:sz w:val="24"/>
                <w:szCs w:val="24"/>
                <w:lang w:val="lv-LV"/>
              </w:rPr>
              <w:t>Grozījum</w:t>
            </w:r>
            <w:r w:rsidR="009504AB">
              <w:rPr>
                <w:sz w:val="24"/>
                <w:szCs w:val="24"/>
                <w:lang w:val="lv-LV"/>
              </w:rPr>
              <w:t>i</w:t>
            </w:r>
            <w:r w:rsidRPr="00D7483A">
              <w:rPr>
                <w:sz w:val="24"/>
                <w:szCs w:val="24"/>
                <w:lang w:val="lv-LV"/>
              </w:rPr>
              <w:t xml:space="preserve"> Ministru kabineta 2010.gada 5.oktobra noteikumos Nr.947 „Karavīru un zemessargu militārās di</w:t>
            </w:r>
            <w:r w:rsidR="009B4033">
              <w:rPr>
                <w:sz w:val="24"/>
                <w:szCs w:val="24"/>
                <w:lang w:val="lv-LV"/>
              </w:rPr>
              <w:t>sciplīnas reglaments” izstrādāti</w:t>
            </w:r>
            <w:r w:rsidRPr="00D7483A">
              <w:rPr>
                <w:sz w:val="24"/>
                <w:szCs w:val="24"/>
                <w:lang w:val="lv-LV"/>
              </w:rPr>
              <w:t>, lai noteiktu pienākumu sadarboties ar disciplīnas pārkāpuma izskatīšanas vai izmeklēšanas veicēju un</w:t>
            </w:r>
            <w:r>
              <w:rPr>
                <w:sz w:val="24"/>
                <w:szCs w:val="24"/>
                <w:lang w:val="lv-LV"/>
              </w:rPr>
              <w:t xml:space="preserve"> vienkāršotu saīsināto </w:t>
            </w:r>
            <w:r w:rsidR="0014533C">
              <w:rPr>
                <w:sz w:val="24"/>
                <w:szCs w:val="24"/>
                <w:lang w:val="lv-LV"/>
              </w:rPr>
              <w:t>disciplīnas pārkāpuma izskatīšanas procesu.</w:t>
            </w:r>
            <w:r w:rsidR="00D33345">
              <w:rPr>
                <w:sz w:val="24"/>
                <w:szCs w:val="24"/>
                <w:lang w:val="lv-LV"/>
              </w:rPr>
              <w:t xml:space="preserve"> Grozījumi Ministru kabineta </w:t>
            </w:r>
            <w:r w:rsidR="00D33345" w:rsidRPr="00D7483A">
              <w:rPr>
                <w:sz w:val="24"/>
                <w:szCs w:val="24"/>
                <w:lang w:val="lv-LV"/>
              </w:rPr>
              <w:t>2010.gada 5.oktobra noteikum</w:t>
            </w:r>
            <w:r w:rsidR="00D33345">
              <w:rPr>
                <w:sz w:val="24"/>
                <w:szCs w:val="24"/>
                <w:lang w:val="lv-LV"/>
              </w:rPr>
              <w:t>u</w:t>
            </w:r>
            <w:r w:rsidR="00D33345" w:rsidRPr="00D7483A">
              <w:rPr>
                <w:sz w:val="24"/>
                <w:szCs w:val="24"/>
                <w:lang w:val="lv-LV"/>
              </w:rPr>
              <w:t xml:space="preserve"> Nr.947 „Karavīru un zemessargu militārās di</w:t>
            </w:r>
            <w:r w:rsidR="00D33345">
              <w:rPr>
                <w:sz w:val="24"/>
                <w:szCs w:val="24"/>
                <w:lang w:val="lv-LV"/>
              </w:rPr>
              <w:t>sciplīnas reglaments” 44. un 90.punktā izstrādāti</w:t>
            </w:r>
            <w:r w:rsidR="005C38AA">
              <w:rPr>
                <w:sz w:val="24"/>
                <w:szCs w:val="24"/>
                <w:lang w:val="lv-LV"/>
              </w:rPr>
              <w:t>, ievērojot Latvijas Republikas Zemessardzes likuma 42.pantā izdarītos grozījumus</w:t>
            </w:r>
            <w:r w:rsidR="007D64EE">
              <w:rPr>
                <w:sz w:val="24"/>
                <w:szCs w:val="24"/>
                <w:lang w:val="lv-LV"/>
              </w:rPr>
              <w:t xml:space="preserve">, kas </w:t>
            </w:r>
            <w:r w:rsidR="002B1566">
              <w:rPr>
                <w:sz w:val="24"/>
                <w:szCs w:val="24"/>
                <w:lang w:val="lv-LV"/>
              </w:rPr>
              <w:t>pieņemti Saeimā 2014.gada 22.maijā.</w:t>
            </w:r>
          </w:p>
        </w:tc>
      </w:tr>
      <w:tr w:rsidR="00065F37" w:rsidRPr="001B6639" w:rsidTr="0014533C">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rsidR="000E4F01" w:rsidRPr="000E4F01" w:rsidRDefault="000E4F01" w:rsidP="000E4F01">
            <w:pPr>
              <w:jc w:val="both"/>
              <w:rPr>
                <w:rFonts w:cs="Times New Roman"/>
                <w:sz w:val="24"/>
                <w:szCs w:val="24"/>
                <w:lang w:val="lv-LV" w:eastAsia="lv-LV" w:bidi="ar-SA"/>
              </w:rPr>
            </w:pPr>
            <w:r w:rsidRPr="000E4F01">
              <w:rPr>
                <w:rFonts w:cs="Times New Roman"/>
                <w:sz w:val="24"/>
                <w:szCs w:val="24"/>
                <w:lang w:val="lv-LV" w:eastAsia="lv-LV" w:bidi="ar-SA"/>
              </w:rPr>
              <w:t>Disciplīnas pārkāpumu izskatīšanas kārtību un disciplinārsodu izpildi Nacionālajos bruņotajos spēkos regulē Ministru kabineta 2010.gada 5.oktobra noteikumi Nr.947 „Karavīru un zemessargu militārās disciplīnas reglaments” (turpmāk - noteikumi).</w:t>
            </w:r>
          </w:p>
          <w:p w:rsidR="003F7185" w:rsidRDefault="000E4F01" w:rsidP="000E4F01">
            <w:pPr>
              <w:jc w:val="both"/>
              <w:rPr>
                <w:rFonts w:cs="Times New Roman"/>
                <w:sz w:val="24"/>
                <w:szCs w:val="24"/>
                <w:lang w:val="lv-LV" w:eastAsia="lv-LV" w:bidi="ar-SA"/>
              </w:rPr>
            </w:pPr>
            <w:r w:rsidRPr="000E4F01">
              <w:rPr>
                <w:rFonts w:cs="Times New Roman"/>
                <w:sz w:val="24"/>
                <w:szCs w:val="24"/>
                <w:lang w:val="lv-LV" w:eastAsia="lv-LV" w:bidi="ar-SA"/>
              </w:rPr>
              <w:t>Atbilstoši noteikumu 61. un 63.punktam militārās disciplīnas pārkāpumus izskata komandieris (priekšnieks) vienpersoniski</w:t>
            </w:r>
            <w:r w:rsidR="007C6210">
              <w:rPr>
                <w:rFonts w:cs="Times New Roman"/>
                <w:sz w:val="24"/>
                <w:szCs w:val="24"/>
                <w:lang w:val="lv-LV" w:eastAsia="lv-LV" w:bidi="ar-SA"/>
              </w:rPr>
              <w:t xml:space="preserve"> </w:t>
            </w:r>
            <w:r w:rsidR="009B4033">
              <w:rPr>
                <w:rFonts w:cs="Times New Roman"/>
                <w:sz w:val="24"/>
                <w:szCs w:val="24"/>
                <w:lang w:val="lv-LV" w:eastAsia="lv-LV" w:bidi="ar-SA"/>
              </w:rPr>
              <w:t>(</w:t>
            </w:r>
            <w:r w:rsidR="007C6210">
              <w:rPr>
                <w:rFonts w:cs="Times New Roman"/>
                <w:sz w:val="24"/>
                <w:szCs w:val="24"/>
                <w:lang w:val="lv-LV" w:eastAsia="lv-LV" w:bidi="ar-SA"/>
              </w:rPr>
              <w:t>saīsinātais process)</w:t>
            </w:r>
            <w:r w:rsidRPr="000E4F01">
              <w:rPr>
                <w:rFonts w:cs="Times New Roman"/>
                <w:sz w:val="24"/>
                <w:szCs w:val="24"/>
                <w:lang w:val="lv-LV" w:eastAsia="lv-LV" w:bidi="ar-SA"/>
              </w:rPr>
              <w:t xml:space="preserve"> vai sarežģītu un smagu pārkāpumu gadījumos dienesta izmeklēšanu veic komandiera (priekšnieka) izveidot</w:t>
            </w:r>
            <w:r w:rsidR="006673C3">
              <w:rPr>
                <w:rFonts w:cs="Times New Roman"/>
                <w:sz w:val="24"/>
                <w:szCs w:val="24"/>
                <w:lang w:val="lv-LV" w:eastAsia="lv-LV" w:bidi="ar-SA"/>
              </w:rPr>
              <w:t>a</w:t>
            </w:r>
            <w:r w:rsidRPr="000E4F01">
              <w:rPr>
                <w:rFonts w:cs="Times New Roman"/>
                <w:sz w:val="24"/>
                <w:szCs w:val="24"/>
                <w:lang w:val="lv-LV" w:eastAsia="lv-LV" w:bidi="ar-SA"/>
              </w:rPr>
              <w:t xml:space="preserve"> dienesta izmeklēšanas komisija.</w:t>
            </w:r>
            <w:r w:rsidR="007C6210">
              <w:rPr>
                <w:rFonts w:cs="Times New Roman"/>
                <w:sz w:val="24"/>
                <w:szCs w:val="24"/>
                <w:lang w:val="lv-LV" w:eastAsia="lv-LV" w:bidi="ar-SA"/>
              </w:rPr>
              <w:t xml:space="preserve"> </w:t>
            </w:r>
          </w:p>
          <w:p w:rsidR="000E4F01" w:rsidRDefault="003F7185" w:rsidP="000E4F01">
            <w:pPr>
              <w:jc w:val="both"/>
              <w:rPr>
                <w:rFonts w:cs="Times New Roman"/>
                <w:sz w:val="24"/>
                <w:szCs w:val="24"/>
                <w:lang w:val="lv-LV" w:eastAsia="lv-LV" w:bidi="ar-SA"/>
              </w:rPr>
            </w:pPr>
            <w:r>
              <w:rPr>
                <w:rFonts w:cs="Times New Roman"/>
                <w:sz w:val="24"/>
                <w:szCs w:val="24"/>
                <w:lang w:val="lv-LV" w:eastAsia="lv-LV" w:bidi="ar-SA"/>
              </w:rPr>
              <w:t xml:space="preserve">Noteikumu 65.punkts uzliek par pienākumu komandierim pirms disciplinārsoda uzlikšanas rakstiski informēt karavīru vai zemessargu par viņa tiesībām iepazīties ar militārās disciplīnas pārkāpuma izskatīšanas materiāliem un sniegt paskaidrojumus un pierādījumus sevis aizstāvēšanai vai atbildības mīkstināšanai. </w:t>
            </w:r>
            <w:r w:rsidR="007C6210">
              <w:rPr>
                <w:rFonts w:cs="Times New Roman"/>
                <w:sz w:val="24"/>
                <w:szCs w:val="24"/>
                <w:lang w:val="lv-LV" w:eastAsia="lv-LV" w:bidi="ar-SA"/>
              </w:rPr>
              <w:t xml:space="preserve">Lai nodrošinātu vienveidīgu normu izpildi un abu </w:t>
            </w:r>
            <w:r>
              <w:rPr>
                <w:rFonts w:cs="Times New Roman"/>
                <w:sz w:val="24"/>
                <w:szCs w:val="24"/>
                <w:lang w:val="lv-LV" w:eastAsia="lv-LV" w:bidi="ar-SA"/>
              </w:rPr>
              <w:t xml:space="preserve">pārkāpumu izskatīšanas </w:t>
            </w:r>
            <w:r w:rsidR="007C6210">
              <w:rPr>
                <w:rFonts w:cs="Times New Roman"/>
                <w:sz w:val="24"/>
                <w:szCs w:val="24"/>
                <w:lang w:val="lv-LV" w:eastAsia="lv-LV" w:bidi="ar-SA"/>
              </w:rPr>
              <w:t xml:space="preserve">procesu </w:t>
            </w:r>
            <w:r>
              <w:rPr>
                <w:rFonts w:cs="Times New Roman"/>
                <w:sz w:val="24"/>
                <w:szCs w:val="24"/>
                <w:lang w:val="lv-LV" w:eastAsia="lv-LV" w:bidi="ar-SA"/>
              </w:rPr>
              <w:t xml:space="preserve">skaidrāku </w:t>
            </w:r>
            <w:r w:rsidR="007C6210">
              <w:rPr>
                <w:rFonts w:cs="Times New Roman"/>
                <w:sz w:val="24"/>
                <w:szCs w:val="24"/>
                <w:lang w:val="lv-LV" w:eastAsia="lv-LV" w:bidi="ar-SA"/>
              </w:rPr>
              <w:t>nošķiršanu</w:t>
            </w:r>
            <w:r>
              <w:rPr>
                <w:rFonts w:cs="Times New Roman"/>
                <w:sz w:val="24"/>
                <w:szCs w:val="24"/>
                <w:lang w:val="lv-LV" w:eastAsia="lv-LV" w:bidi="ar-SA"/>
              </w:rPr>
              <w:t>,</w:t>
            </w:r>
            <w:r w:rsidR="007C6210">
              <w:rPr>
                <w:rFonts w:cs="Times New Roman"/>
                <w:sz w:val="24"/>
                <w:szCs w:val="24"/>
                <w:lang w:val="lv-LV" w:eastAsia="lv-LV" w:bidi="ar-SA"/>
              </w:rPr>
              <w:t xml:space="preserve"> ir nepieciešams </w:t>
            </w:r>
            <w:r w:rsidR="006673C3">
              <w:rPr>
                <w:rFonts w:cs="Times New Roman"/>
                <w:sz w:val="24"/>
                <w:szCs w:val="24"/>
                <w:lang w:val="lv-LV" w:eastAsia="lv-LV" w:bidi="ar-SA"/>
              </w:rPr>
              <w:t>izdarīt</w:t>
            </w:r>
            <w:r w:rsidR="007C6210">
              <w:rPr>
                <w:rFonts w:cs="Times New Roman"/>
                <w:sz w:val="24"/>
                <w:szCs w:val="24"/>
                <w:lang w:val="lv-LV" w:eastAsia="lv-LV" w:bidi="ar-SA"/>
              </w:rPr>
              <w:t xml:space="preserve"> grozījumus, uzsverot, ka atkārtoti karavīru un zemessargu informē par viņa tiesībām sniegt paskaidrojumus pēc dienesta izmeklēšanas </w:t>
            </w:r>
            <w:r>
              <w:rPr>
                <w:rFonts w:cs="Times New Roman"/>
                <w:sz w:val="24"/>
                <w:szCs w:val="24"/>
                <w:lang w:val="lv-LV" w:eastAsia="lv-LV" w:bidi="ar-SA"/>
              </w:rPr>
              <w:t xml:space="preserve">pabeigšanas un pirms disciplinārsoda uzlikšanu. </w:t>
            </w:r>
          </w:p>
          <w:p w:rsidR="00065F37" w:rsidRDefault="000E4F01" w:rsidP="00C97EAA">
            <w:pPr>
              <w:jc w:val="both"/>
              <w:rPr>
                <w:rFonts w:cs="Times New Roman"/>
                <w:sz w:val="24"/>
                <w:szCs w:val="24"/>
                <w:lang w:val="lv-LV" w:eastAsia="lv-LV" w:bidi="ar-SA"/>
              </w:rPr>
            </w:pPr>
            <w:r w:rsidRPr="000E4F01">
              <w:rPr>
                <w:rFonts w:eastAsia="Calibri" w:cs="Times New Roman"/>
                <w:sz w:val="24"/>
                <w:szCs w:val="24"/>
                <w:lang w:val="lv-LV" w:eastAsia="lv-LV" w:bidi="ar-SA"/>
              </w:rPr>
              <w:t xml:space="preserve">Piemērojot praksē noteikumu normas, konstatēts, ka </w:t>
            </w:r>
            <w:r w:rsidRPr="000E4F01">
              <w:rPr>
                <w:rFonts w:cs="Times New Roman"/>
                <w:sz w:val="24"/>
                <w:szCs w:val="24"/>
                <w:lang w:val="lv-LV" w:eastAsia="lv-LV" w:bidi="ar-SA"/>
              </w:rPr>
              <w:t xml:space="preserve">noteikumos nav noteikts karavīra un </w:t>
            </w:r>
            <w:r w:rsidRPr="00AE5374">
              <w:rPr>
                <w:rFonts w:cs="Times New Roman"/>
                <w:sz w:val="24"/>
                <w:szCs w:val="24"/>
                <w:lang w:val="lv-LV" w:eastAsia="lv-LV" w:bidi="ar-SA"/>
              </w:rPr>
              <w:t>zemessarga pienākums sadarboties ar amatpersonu, kas izskata vai izmeklē disciplīnas pārkāpumu.</w:t>
            </w:r>
            <w:r w:rsidR="003F7185" w:rsidRPr="00AE5374">
              <w:rPr>
                <w:rFonts w:cs="Times New Roman"/>
                <w:sz w:val="24"/>
                <w:szCs w:val="24"/>
                <w:lang w:val="lv-LV" w:eastAsia="lv-LV" w:bidi="ar-SA"/>
              </w:rPr>
              <w:t xml:space="preserve"> </w:t>
            </w:r>
            <w:r w:rsidR="0065610B">
              <w:rPr>
                <w:rFonts w:cs="Times New Roman"/>
                <w:sz w:val="24"/>
                <w:szCs w:val="24"/>
                <w:lang w:val="lv-LV" w:eastAsia="lv-LV" w:bidi="ar-SA"/>
              </w:rPr>
              <w:t>P</w:t>
            </w:r>
            <w:r w:rsidR="00AE5374" w:rsidRPr="00AE5374">
              <w:rPr>
                <w:sz w:val="24"/>
                <w:szCs w:val="24"/>
                <w:lang w:val="lv-LV"/>
              </w:rPr>
              <w:t xml:space="preserve">rojekts </w:t>
            </w:r>
            <w:r w:rsidR="00AE5374">
              <w:rPr>
                <w:sz w:val="24"/>
                <w:szCs w:val="24"/>
                <w:lang w:val="lv-LV"/>
              </w:rPr>
              <w:t>papildin</w:t>
            </w:r>
            <w:r w:rsidR="00AE08B7">
              <w:rPr>
                <w:sz w:val="24"/>
                <w:szCs w:val="24"/>
                <w:lang w:val="lv-LV"/>
              </w:rPr>
              <w:t>a noteikumus</w:t>
            </w:r>
            <w:r w:rsidR="00AE5374">
              <w:rPr>
                <w:sz w:val="24"/>
                <w:szCs w:val="24"/>
                <w:lang w:val="lv-LV"/>
              </w:rPr>
              <w:t xml:space="preserve"> ar </w:t>
            </w:r>
            <w:r w:rsidR="00C97EAA">
              <w:rPr>
                <w:rFonts w:cs="Times New Roman"/>
                <w:bCs/>
                <w:sz w:val="24"/>
                <w:szCs w:val="24"/>
                <w:lang w:val="lv-LV"/>
              </w:rPr>
              <w:t>12</w:t>
            </w:r>
            <w:r w:rsidR="00AE5374" w:rsidRPr="00AE5374">
              <w:rPr>
                <w:rFonts w:cs="Times New Roman"/>
                <w:sz w:val="24"/>
                <w:szCs w:val="24"/>
                <w:lang w:val="lv-LV"/>
              </w:rPr>
              <w:t>.</w:t>
            </w:r>
            <w:r w:rsidR="00AE5374" w:rsidRPr="00AE5374">
              <w:rPr>
                <w:rFonts w:cs="Times New Roman"/>
                <w:sz w:val="24"/>
                <w:szCs w:val="24"/>
                <w:vertAlign w:val="superscript"/>
                <w:lang w:val="lv-LV"/>
              </w:rPr>
              <w:t>1</w:t>
            </w:r>
            <w:r w:rsidR="00AE5374" w:rsidRPr="00AE5374">
              <w:rPr>
                <w:rFonts w:cs="Times New Roman"/>
                <w:sz w:val="24"/>
                <w:szCs w:val="24"/>
                <w:lang w:val="lv-LV"/>
              </w:rPr>
              <w:t xml:space="preserve"> punktu</w:t>
            </w:r>
            <w:r w:rsidR="00AE5374">
              <w:rPr>
                <w:rFonts w:cs="Times New Roman"/>
                <w:sz w:val="24"/>
                <w:szCs w:val="24"/>
                <w:lang w:val="lv-LV"/>
              </w:rPr>
              <w:t xml:space="preserve">, kas </w:t>
            </w:r>
            <w:r w:rsidR="002447A7">
              <w:rPr>
                <w:sz w:val="24"/>
                <w:szCs w:val="24"/>
                <w:lang w:val="lv-LV"/>
              </w:rPr>
              <w:t xml:space="preserve">uzliek </w:t>
            </w:r>
            <w:r w:rsidR="002447A7" w:rsidRPr="00AE5374">
              <w:rPr>
                <w:sz w:val="24"/>
                <w:szCs w:val="24"/>
                <w:lang w:val="lv-LV"/>
              </w:rPr>
              <w:t xml:space="preserve">pienākumu </w:t>
            </w:r>
            <w:r w:rsidR="00AE5374" w:rsidRPr="00AE5374">
              <w:rPr>
                <w:sz w:val="24"/>
                <w:szCs w:val="24"/>
                <w:lang w:val="lv-LV"/>
              </w:rPr>
              <w:t xml:space="preserve">karavīram, zemessargam, cietušajam un citai iesaistītajai personai sadarboties ar komandieri (priekšnieku), kas izskata disciplīnas pārkāpumu vai </w:t>
            </w:r>
            <w:r w:rsidR="00AE5374" w:rsidRPr="00AE5374">
              <w:rPr>
                <w:sz w:val="24"/>
                <w:szCs w:val="24"/>
                <w:lang w:val="lv-LV"/>
              </w:rPr>
              <w:lastRenderedPageBreak/>
              <w:t>disciplīnas pārkāpuma izmeklēšanas veicēju un pēc šo amatpersonu pieprasījuma nekavējoties sniegt informāciju par apstākļiem, kas saistīti ar iespējamo disciplīnas pārkāpumu.</w:t>
            </w:r>
            <w:r w:rsidR="003F7185">
              <w:rPr>
                <w:rFonts w:cs="Times New Roman"/>
                <w:sz w:val="24"/>
                <w:szCs w:val="24"/>
                <w:lang w:val="lv-LV" w:eastAsia="lv-LV" w:bidi="ar-SA"/>
              </w:rPr>
              <w:t xml:space="preserve"> </w:t>
            </w:r>
          </w:p>
          <w:p w:rsidR="00474997" w:rsidRDefault="002B1566" w:rsidP="00C97EAA">
            <w:pPr>
              <w:jc w:val="both"/>
              <w:rPr>
                <w:rFonts w:cs="Times New Roman"/>
                <w:sz w:val="24"/>
                <w:szCs w:val="24"/>
                <w:lang w:val="lv-LV" w:eastAsia="lv-LV" w:bidi="ar-SA"/>
              </w:rPr>
            </w:pPr>
            <w:r>
              <w:rPr>
                <w:rFonts w:cs="Times New Roman"/>
                <w:sz w:val="24"/>
                <w:szCs w:val="24"/>
                <w:lang w:val="lv-LV" w:eastAsia="lv-LV" w:bidi="ar-SA"/>
              </w:rPr>
              <w:t xml:space="preserve">2014.gada 18.jūnijā stājas spēkā likums „Grozījumi Latvijas Republikas Zemessardzes likumā”, kas </w:t>
            </w:r>
            <w:r w:rsidR="008F1F33">
              <w:rPr>
                <w:rFonts w:cs="Times New Roman"/>
                <w:sz w:val="24"/>
                <w:szCs w:val="24"/>
                <w:lang w:val="lv-LV" w:eastAsia="lv-LV" w:bidi="ar-SA"/>
              </w:rPr>
              <w:t>satur šādus grozījumus Latvijas Republikas Zemessardzes likuma 42.pantā:</w:t>
            </w:r>
          </w:p>
          <w:p w:rsidR="008F1F33" w:rsidRDefault="008F1F33" w:rsidP="008F1F33">
            <w:pPr>
              <w:jc w:val="both"/>
              <w:rPr>
                <w:rFonts w:cs="Times New Roman"/>
                <w:sz w:val="24"/>
                <w:szCs w:val="24"/>
                <w:lang w:val="lv-LV" w:eastAsia="zh-TW" w:bidi="ar-SA"/>
              </w:rPr>
            </w:pPr>
            <w:r>
              <w:rPr>
                <w:rFonts w:cs="Times New Roman"/>
                <w:sz w:val="24"/>
                <w:szCs w:val="24"/>
                <w:lang w:val="lv-LV" w:eastAsia="zh-TW" w:bidi="ar-SA"/>
              </w:rPr>
              <w:t xml:space="preserve">1) </w:t>
            </w:r>
            <w:r w:rsidRPr="008F1F33">
              <w:rPr>
                <w:rFonts w:cs="Times New Roman"/>
                <w:sz w:val="24"/>
                <w:szCs w:val="24"/>
                <w:lang w:val="lv-LV" w:eastAsia="zh-TW" w:bidi="ar-SA"/>
              </w:rPr>
              <w:t xml:space="preserve">Latvijas Republikas Zemessardzes likuma 42.panta pirmās daļas 5.punktā vārds „atalgojuma” </w:t>
            </w:r>
            <w:r>
              <w:rPr>
                <w:rFonts w:cs="Times New Roman"/>
                <w:sz w:val="24"/>
                <w:szCs w:val="24"/>
                <w:lang w:val="lv-LV" w:eastAsia="zh-TW" w:bidi="ar-SA"/>
              </w:rPr>
              <w:t>tiek</w:t>
            </w:r>
            <w:r w:rsidRPr="008F1F33">
              <w:rPr>
                <w:rFonts w:cs="Times New Roman"/>
                <w:sz w:val="24"/>
                <w:szCs w:val="24"/>
                <w:lang w:val="lv-LV" w:eastAsia="zh-TW" w:bidi="ar-SA"/>
              </w:rPr>
              <w:t xml:space="preserve"> aizstāts ar vārdu „mēnešalgas”. </w:t>
            </w:r>
          </w:p>
          <w:p w:rsidR="008F1F33" w:rsidRPr="008F1F33" w:rsidRDefault="008F1F33" w:rsidP="008F1F33">
            <w:pPr>
              <w:jc w:val="both"/>
              <w:rPr>
                <w:rFonts w:cs="Times New Roman"/>
                <w:sz w:val="24"/>
                <w:szCs w:val="24"/>
                <w:lang w:val="lv-LV" w:eastAsia="zh-TW" w:bidi="ar-SA"/>
              </w:rPr>
            </w:pPr>
            <w:r>
              <w:rPr>
                <w:rFonts w:cs="Times New Roman"/>
                <w:sz w:val="24"/>
                <w:szCs w:val="24"/>
                <w:lang w:val="lv-LV" w:eastAsia="zh-TW" w:bidi="ar-SA"/>
              </w:rPr>
              <w:t xml:space="preserve">2) </w:t>
            </w:r>
            <w:r w:rsidRPr="008F1F33">
              <w:rPr>
                <w:rFonts w:cs="Times New Roman"/>
                <w:sz w:val="24"/>
                <w:szCs w:val="24"/>
                <w:lang w:val="lv-LV" w:eastAsia="zh-TW" w:bidi="ar-SA"/>
              </w:rPr>
              <w:t xml:space="preserve">Latvijas Republikas Zemessardzes likuma 42.pants </w:t>
            </w:r>
            <w:r>
              <w:rPr>
                <w:rFonts w:cs="Times New Roman"/>
                <w:sz w:val="24"/>
                <w:szCs w:val="24"/>
                <w:lang w:val="lv-LV" w:eastAsia="zh-TW" w:bidi="ar-SA"/>
              </w:rPr>
              <w:t>tiek</w:t>
            </w:r>
            <w:r w:rsidRPr="008F1F33">
              <w:rPr>
                <w:rFonts w:cs="Times New Roman"/>
                <w:sz w:val="24"/>
                <w:szCs w:val="24"/>
                <w:lang w:val="lv-LV" w:eastAsia="zh-TW" w:bidi="ar-SA"/>
              </w:rPr>
              <w:t xml:space="preserve"> papildināts ar 1.¹daļu šādā redakcijā:</w:t>
            </w:r>
          </w:p>
          <w:p w:rsidR="008F1F33" w:rsidRDefault="008F1F33" w:rsidP="008F1F33">
            <w:pPr>
              <w:jc w:val="both"/>
              <w:rPr>
                <w:rFonts w:cs="Times New Roman"/>
                <w:sz w:val="24"/>
                <w:szCs w:val="24"/>
                <w:lang w:val="lv-LV" w:eastAsia="zh-TW" w:bidi="ar-SA"/>
              </w:rPr>
            </w:pPr>
            <w:r w:rsidRPr="008F1F33">
              <w:rPr>
                <w:rFonts w:cs="Times New Roman"/>
                <w:sz w:val="24"/>
                <w:szCs w:val="24"/>
                <w:lang w:val="lv-LV" w:eastAsia="zh-TW" w:bidi="ar-SA"/>
              </w:rPr>
              <w:t>„(1¹) Šā panta pirmās daļas 4. un 6.punktā minēto disciplinārsodu apstrīdēšana vai pārsūdzēšana neaptur to izpildi.”</w:t>
            </w:r>
          </w:p>
          <w:p w:rsidR="008F1F33" w:rsidRPr="006D722F" w:rsidRDefault="0048766C" w:rsidP="004C1DF7">
            <w:pPr>
              <w:jc w:val="both"/>
              <w:rPr>
                <w:rFonts w:cs="Times New Roman"/>
                <w:sz w:val="24"/>
                <w:szCs w:val="24"/>
                <w:lang w:val="lv-LV" w:eastAsia="lv-LV" w:bidi="ar-SA"/>
              </w:rPr>
            </w:pPr>
            <w:r>
              <w:rPr>
                <w:rFonts w:cs="Times New Roman"/>
                <w:sz w:val="24"/>
                <w:szCs w:val="24"/>
                <w:lang w:val="lv-LV" w:eastAsia="zh-TW" w:bidi="ar-SA"/>
              </w:rPr>
              <w:t xml:space="preserve">Ievērojot šīs izmaiņas Latvijas Republikas Zemessardzes likumā, ir nepieciešams noteikumu 44.punktā aizstāt vārdu „atalgojumu” ar vārdu „mēnešalgu” un </w:t>
            </w:r>
            <w:r w:rsidR="006D722F">
              <w:rPr>
                <w:rFonts w:cs="Times New Roman"/>
                <w:sz w:val="24"/>
                <w:szCs w:val="24"/>
                <w:lang w:val="lv-LV" w:eastAsia="zh-TW" w:bidi="ar-SA"/>
              </w:rPr>
              <w:t xml:space="preserve">90.punktā paredzēt nekavējošu </w:t>
            </w:r>
            <w:r w:rsidR="004C1DF7" w:rsidRPr="006D722F">
              <w:rPr>
                <w:rFonts w:cs="Times New Roman"/>
                <w:sz w:val="24"/>
                <w:szCs w:val="24"/>
                <w:lang w:val="lv-LV"/>
              </w:rPr>
              <w:t>zemessargiem</w:t>
            </w:r>
            <w:r w:rsidR="004C1DF7">
              <w:rPr>
                <w:rFonts w:cs="Times New Roman"/>
                <w:sz w:val="24"/>
                <w:szCs w:val="24"/>
                <w:lang w:val="lv-LV"/>
              </w:rPr>
              <w:t xml:space="preserve"> uzlikto</w:t>
            </w:r>
            <w:r w:rsidR="004C1DF7">
              <w:rPr>
                <w:rFonts w:cs="Times New Roman"/>
                <w:sz w:val="24"/>
                <w:szCs w:val="24"/>
                <w:lang w:val="lv-LV" w:eastAsia="zh-TW" w:bidi="ar-SA"/>
              </w:rPr>
              <w:t xml:space="preserve"> </w:t>
            </w:r>
            <w:r w:rsidR="006D722F">
              <w:rPr>
                <w:rFonts w:cs="Times New Roman"/>
                <w:sz w:val="24"/>
                <w:szCs w:val="24"/>
                <w:lang w:val="lv-LV" w:eastAsia="zh-TW" w:bidi="ar-SA"/>
              </w:rPr>
              <w:t>disciplinārsod</w:t>
            </w:r>
            <w:r w:rsidR="004C1DF7">
              <w:rPr>
                <w:rFonts w:cs="Times New Roman"/>
                <w:sz w:val="24"/>
                <w:szCs w:val="24"/>
                <w:lang w:val="lv-LV" w:eastAsia="zh-TW" w:bidi="ar-SA"/>
              </w:rPr>
              <w:t>u</w:t>
            </w:r>
            <w:r w:rsidR="006D722F">
              <w:rPr>
                <w:rFonts w:cs="Times New Roman"/>
                <w:sz w:val="24"/>
                <w:szCs w:val="24"/>
                <w:lang w:val="lv-LV" w:eastAsia="zh-TW" w:bidi="ar-SA"/>
              </w:rPr>
              <w:t xml:space="preserve"> -</w:t>
            </w:r>
            <w:r w:rsidR="004C1DF7">
              <w:rPr>
                <w:rFonts w:cs="Times New Roman"/>
                <w:sz w:val="24"/>
                <w:szCs w:val="24"/>
                <w:lang w:val="lv-LV" w:eastAsia="zh-TW" w:bidi="ar-SA"/>
              </w:rPr>
              <w:t xml:space="preserve"> </w:t>
            </w:r>
            <w:r w:rsidR="006D722F" w:rsidRPr="006D722F">
              <w:rPr>
                <w:rFonts w:cs="Times New Roman"/>
                <w:sz w:val="24"/>
                <w:szCs w:val="24"/>
                <w:lang w:val="lv-LV"/>
              </w:rPr>
              <w:t>pazemināšana amatā vai izslēgšana no Zemessardzes – izpildi.</w:t>
            </w:r>
          </w:p>
        </w:tc>
      </w:tr>
      <w:tr w:rsidR="00065F37" w:rsidRPr="008F1F33"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E64ADC" w:rsidP="002447A7">
            <w:pPr>
              <w:rPr>
                <w:rFonts w:cs="Times New Roman"/>
                <w:sz w:val="24"/>
                <w:szCs w:val="24"/>
                <w:lang w:val="lv-LV" w:eastAsia="lv-LV" w:bidi="ar-SA"/>
              </w:rPr>
            </w:pPr>
            <w:r w:rsidRPr="00E65F9E">
              <w:rPr>
                <w:rFonts w:cs="Times New Roman"/>
                <w:sz w:val="24"/>
                <w:szCs w:val="24"/>
                <w:lang w:val="lv-LV" w:eastAsia="lv-LV" w:bidi="ar-SA"/>
              </w:rPr>
              <w:t xml:space="preserve">Nacionālie bruņotie spēki un </w:t>
            </w:r>
            <w:r w:rsidR="001F2472" w:rsidRPr="00E65F9E">
              <w:rPr>
                <w:rFonts w:cs="Times New Roman"/>
                <w:sz w:val="24"/>
                <w:szCs w:val="24"/>
                <w:lang w:val="lv-LV" w:eastAsia="lv-LV" w:bidi="ar-SA"/>
              </w:rPr>
              <w:t xml:space="preserve">Aizsardzības ministrija </w:t>
            </w:r>
          </w:p>
        </w:tc>
      </w:tr>
      <w:tr w:rsidR="00065F37" w:rsidRPr="008F1F33" w:rsidTr="00793251">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0637B5">
            <w:pPr>
              <w:rPr>
                <w:rFonts w:cs="Times New Roman"/>
                <w:sz w:val="24"/>
                <w:szCs w:val="24"/>
                <w:lang w:val="lv-LV" w:eastAsia="lv-LV" w:bidi="ar-SA"/>
              </w:rPr>
            </w:pPr>
            <w:r w:rsidRPr="00E65F9E">
              <w:rPr>
                <w:rFonts w:cs="Times New Roman"/>
                <w:sz w:val="24"/>
                <w:szCs w:val="24"/>
                <w:lang w:val="lv-LV" w:eastAsia="lv-LV" w:bidi="ar-SA"/>
              </w:rPr>
              <w:t>Na</w:t>
            </w:r>
            <w:r w:rsidR="000637B5" w:rsidRPr="00E65F9E">
              <w:rPr>
                <w:rFonts w:cs="Times New Roman"/>
                <w:sz w:val="24"/>
                <w:szCs w:val="24"/>
                <w:lang w:val="lv-LV" w:eastAsia="lv-LV" w:bidi="ar-SA"/>
              </w:rPr>
              <w:t>v.</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1B6639"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E65F9E"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040BA5" w:rsidP="002447A7">
            <w:pPr>
              <w:rPr>
                <w:rFonts w:cs="Times New Roman"/>
                <w:sz w:val="24"/>
                <w:szCs w:val="24"/>
                <w:lang w:val="lv-LV" w:eastAsia="lv-LV" w:bidi="ar-SA"/>
              </w:rPr>
            </w:pPr>
            <w:r w:rsidRPr="00E65F9E">
              <w:rPr>
                <w:rFonts w:cs="Times New Roman"/>
                <w:sz w:val="24"/>
                <w:szCs w:val="24"/>
                <w:lang w:val="lv-LV" w:eastAsia="lv-LV" w:bidi="ar-SA"/>
              </w:rPr>
              <w:t xml:space="preserve">Nacionālo bruņoto spēku profesionālā dienesta karavīri un </w:t>
            </w:r>
            <w:r w:rsidR="002447A7">
              <w:rPr>
                <w:rFonts w:cs="Times New Roman"/>
                <w:sz w:val="24"/>
                <w:szCs w:val="24"/>
                <w:lang w:val="lv-LV" w:eastAsia="lv-LV" w:bidi="ar-SA"/>
              </w:rPr>
              <w:t>zemessargi</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1B6639"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7C6210"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B42912">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 Nacionālie bruņotie spēki</w:t>
            </w:r>
            <w:r w:rsidRPr="00E65F9E">
              <w:rPr>
                <w:rFonts w:cs="Times New Roman"/>
                <w:sz w:val="24"/>
                <w:szCs w:val="24"/>
                <w:lang w:val="lv-LV" w:eastAsia="lv-LV" w:bidi="ar-SA"/>
              </w:rPr>
              <w:t xml:space="preserve"> </w:t>
            </w:r>
          </w:p>
        </w:tc>
      </w:tr>
      <w:tr w:rsidR="00065F37" w:rsidRPr="007C6210"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B42912" w:rsidRDefault="00B42912" w:rsidP="009213E1">
            <w:pPr>
              <w:jc w:val="both"/>
              <w:rPr>
                <w:rFonts w:cs="Times New Roman"/>
                <w:sz w:val="24"/>
                <w:szCs w:val="24"/>
                <w:lang w:val="lv-LV" w:eastAsia="lv-LV" w:bidi="ar-SA"/>
              </w:rPr>
            </w:pPr>
            <w:proofErr w:type="spellStart"/>
            <w:r w:rsidRPr="00B42912">
              <w:rPr>
                <w:sz w:val="24"/>
                <w:szCs w:val="24"/>
              </w:rPr>
              <w:t>Projekta</w:t>
            </w:r>
            <w:proofErr w:type="spellEnd"/>
            <w:r w:rsidRPr="00B42912">
              <w:rPr>
                <w:sz w:val="24"/>
                <w:szCs w:val="24"/>
              </w:rPr>
              <w:t xml:space="preserve"> </w:t>
            </w:r>
            <w:proofErr w:type="spellStart"/>
            <w:r w:rsidRPr="00B42912">
              <w:rPr>
                <w:sz w:val="24"/>
                <w:szCs w:val="24"/>
              </w:rPr>
              <w:t>izpilde</w:t>
            </w:r>
            <w:proofErr w:type="spellEnd"/>
            <w:r w:rsidRPr="00B42912">
              <w:rPr>
                <w:sz w:val="24"/>
                <w:szCs w:val="24"/>
              </w:rPr>
              <w:t xml:space="preserve"> </w:t>
            </w:r>
            <w:proofErr w:type="spellStart"/>
            <w:r w:rsidRPr="00B42912">
              <w:rPr>
                <w:sz w:val="24"/>
                <w:szCs w:val="24"/>
              </w:rPr>
              <w:t>notiks</w:t>
            </w:r>
            <w:proofErr w:type="spellEnd"/>
            <w:r w:rsidRPr="00B42912">
              <w:rPr>
                <w:sz w:val="24"/>
                <w:szCs w:val="24"/>
              </w:rPr>
              <w:t xml:space="preserve"> </w:t>
            </w:r>
            <w:proofErr w:type="spellStart"/>
            <w:r w:rsidRPr="00B42912">
              <w:rPr>
                <w:sz w:val="24"/>
                <w:szCs w:val="24"/>
              </w:rPr>
              <w:t>esošo</w:t>
            </w:r>
            <w:proofErr w:type="spellEnd"/>
            <w:r w:rsidRPr="00B42912">
              <w:rPr>
                <w:sz w:val="24"/>
                <w:szCs w:val="24"/>
              </w:rPr>
              <w:t xml:space="preserve"> </w:t>
            </w:r>
            <w:proofErr w:type="spellStart"/>
            <w:r w:rsidRPr="00B42912">
              <w:rPr>
                <w:sz w:val="24"/>
                <w:szCs w:val="24"/>
              </w:rPr>
              <w:t>pārvaldes</w:t>
            </w:r>
            <w:proofErr w:type="spellEnd"/>
            <w:r w:rsidRPr="00B42912">
              <w:rPr>
                <w:sz w:val="24"/>
                <w:szCs w:val="24"/>
              </w:rPr>
              <w:t xml:space="preserve"> </w:t>
            </w:r>
            <w:proofErr w:type="spellStart"/>
            <w:r w:rsidRPr="00B42912">
              <w:rPr>
                <w:sz w:val="24"/>
                <w:szCs w:val="24"/>
              </w:rPr>
              <w:t>funkciju</w:t>
            </w:r>
            <w:proofErr w:type="spellEnd"/>
            <w:r w:rsidRPr="00B42912">
              <w:rPr>
                <w:sz w:val="24"/>
                <w:szCs w:val="24"/>
              </w:rPr>
              <w:t xml:space="preserve"> </w:t>
            </w:r>
            <w:proofErr w:type="spellStart"/>
            <w:r w:rsidRPr="00B42912">
              <w:rPr>
                <w:sz w:val="24"/>
                <w:szCs w:val="24"/>
              </w:rPr>
              <w:t>ietvaros</w:t>
            </w:r>
            <w:proofErr w:type="spellEnd"/>
            <w:r w:rsidRPr="00B42912">
              <w:rPr>
                <w:sz w:val="24"/>
                <w:szCs w:val="24"/>
              </w:rPr>
              <w:t>.</w:t>
            </w: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4600D1" w:rsidRDefault="00B42912" w:rsidP="00DD0703">
      <w:pPr>
        <w:tabs>
          <w:tab w:val="right" w:pos="9074"/>
        </w:tabs>
        <w:rPr>
          <w:i/>
          <w:iCs/>
          <w:sz w:val="25"/>
          <w:szCs w:val="25"/>
        </w:rPr>
      </w:pPr>
      <w:proofErr w:type="spellStart"/>
      <w:r>
        <w:rPr>
          <w:i/>
          <w:iCs/>
          <w:sz w:val="25"/>
          <w:szCs w:val="25"/>
        </w:rPr>
        <w:t>Anotācijas</w:t>
      </w:r>
      <w:proofErr w:type="spellEnd"/>
      <w:r>
        <w:rPr>
          <w:i/>
          <w:iCs/>
          <w:sz w:val="25"/>
          <w:szCs w:val="25"/>
        </w:rPr>
        <w:t xml:space="preserve"> II</w:t>
      </w:r>
      <w:r w:rsidR="00085A58">
        <w:rPr>
          <w:i/>
          <w:iCs/>
          <w:sz w:val="25"/>
          <w:szCs w:val="25"/>
        </w:rPr>
        <w:t>I</w:t>
      </w:r>
      <w:r>
        <w:rPr>
          <w:i/>
          <w:iCs/>
          <w:sz w:val="25"/>
          <w:szCs w:val="25"/>
        </w:rPr>
        <w:t xml:space="preserve">, IV, V </w:t>
      </w:r>
      <w:proofErr w:type="gramStart"/>
      <w:r>
        <w:rPr>
          <w:i/>
          <w:iCs/>
          <w:sz w:val="25"/>
          <w:szCs w:val="25"/>
        </w:rPr>
        <w:t>un</w:t>
      </w:r>
      <w:proofErr w:type="gramEnd"/>
      <w:r>
        <w:rPr>
          <w:i/>
          <w:iCs/>
          <w:sz w:val="25"/>
          <w:szCs w:val="25"/>
        </w:rPr>
        <w:t xml:space="preserve"> VI </w:t>
      </w:r>
      <w:proofErr w:type="spellStart"/>
      <w:r>
        <w:rPr>
          <w:i/>
          <w:iCs/>
          <w:sz w:val="25"/>
          <w:szCs w:val="25"/>
        </w:rPr>
        <w:t>sadaļa</w:t>
      </w:r>
      <w:proofErr w:type="spellEnd"/>
      <w:r>
        <w:rPr>
          <w:i/>
          <w:iCs/>
          <w:sz w:val="25"/>
          <w:szCs w:val="25"/>
        </w:rPr>
        <w:t xml:space="preserve"> – </w:t>
      </w:r>
      <w:proofErr w:type="spellStart"/>
      <w:r>
        <w:rPr>
          <w:i/>
          <w:iCs/>
          <w:sz w:val="25"/>
          <w:szCs w:val="25"/>
        </w:rPr>
        <w:t>Noteikumu</w:t>
      </w:r>
      <w:proofErr w:type="spellEnd"/>
      <w:r>
        <w:rPr>
          <w:i/>
          <w:iCs/>
          <w:sz w:val="25"/>
          <w:szCs w:val="25"/>
        </w:rPr>
        <w:t xml:space="preserve"> </w:t>
      </w:r>
      <w:proofErr w:type="spellStart"/>
      <w:r>
        <w:rPr>
          <w:i/>
          <w:iCs/>
          <w:sz w:val="25"/>
          <w:szCs w:val="25"/>
        </w:rPr>
        <w:t>projekts</w:t>
      </w:r>
      <w:proofErr w:type="spellEnd"/>
      <w:r>
        <w:rPr>
          <w:i/>
          <w:iCs/>
          <w:sz w:val="25"/>
          <w:szCs w:val="25"/>
        </w:rPr>
        <w:t xml:space="preserve"> </w:t>
      </w:r>
      <w:proofErr w:type="spellStart"/>
      <w:r>
        <w:rPr>
          <w:i/>
          <w:iCs/>
          <w:sz w:val="25"/>
          <w:szCs w:val="25"/>
        </w:rPr>
        <w:t>šīs</w:t>
      </w:r>
      <w:proofErr w:type="spellEnd"/>
      <w:r>
        <w:rPr>
          <w:i/>
          <w:iCs/>
          <w:sz w:val="25"/>
          <w:szCs w:val="25"/>
        </w:rPr>
        <w:t xml:space="preserve"> </w:t>
      </w:r>
      <w:proofErr w:type="spellStart"/>
      <w:r>
        <w:rPr>
          <w:i/>
          <w:iCs/>
          <w:sz w:val="25"/>
          <w:szCs w:val="25"/>
        </w:rPr>
        <w:t>jomas</w:t>
      </w:r>
      <w:proofErr w:type="spellEnd"/>
      <w:r>
        <w:rPr>
          <w:i/>
          <w:iCs/>
          <w:sz w:val="25"/>
          <w:szCs w:val="25"/>
        </w:rPr>
        <w:t xml:space="preserve"> </w:t>
      </w:r>
      <w:proofErr w:type="spellStart"/>
      <w:r>
        <w:rPr>
          <w:i/>
          <w:iCs/>
          <w:sz w:val="25"/>
          <w:szCs w:val="25"/>
        </w:rPr>
        <w:t>neskar</w:t>
      </w:r>
      <w:proofErr w:type="spellEnd"/>
    </w:p>
    <w:p w:rsidR="00604F67" w:rsidRDefault="00604F67" w:rsidP="00DD0703">
      <w:pPr>
        <w:tabs>
          <w:tab w:val="right" w:pos="9074"/>
        </w:tabs>
        <w:rPr>
          <w:i/>
          <w:iCs/>
          <w:sz w:val="25"/>
          <w:szCs w:val="25"/>
        </w:rPr>
      </w:pPr>
    </w:p>
    <w:p w:rsidR="00604F67" w:rsidRDefault="00604F67" w:rsidP="00DD0703">
      <w:pPr>
        <w:tabs>
          <w:tab w:val="right" w:pos="9074"/>
        </w:tabs>
        <w:rPr>
          <w:i/>
          <w:iCs/>
          <w:sz w:val="25"/>
          <w:szCs w:val="25"/>
        </w:rPr>
      </w:pPr>
    </w:p>
    <w:p w:rsidR="00604F67" w:rsidRPr="00E65F9E" w:rsidRDefault="00604F67" w:rsidP="00DD0703">
      <w:pPr>
        <w:tabs>
          <w:tab w:val="right" w:pos="9074"/>
        </w:tabs>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1B6639" w:rsidRPr="001B6639" w:rsidRDefault="001B6639" w:rsidP="001B6639">
      <w:pPr>
        <w:tabs>
          <w:tab w:val="right" w:pos="8820"/>
        </w:tabs>
        <w:rPr>
          <w:rFonts w:cs="Times New Roman"/>
          <w:bCs/>
          <w:kern w:val="32"/>
          <w:sz w:val="24"/>
          <w:szCs w:val="24"/>
          <w:lang w:val="lv-LV" w:bidi="ar-SA"/>
        </w:rPr>
      </w:pPr>
      <w:r w:rsidRPr="001B6639">
        <w:rPr>
          <w:rFonts w:cs="Times New Roman"/>
          <w:bCs/>
          <w:kern w:val="32"/>
          <w:sz w:val="24"/>
          <w:szCs w:val="24"/>
          <w:lang w:val="lv-LV" w:bidi="ar-SA"/>
        </w:rPr>
        <w:t>Aizsardzības ministra vietā</w:t>
      </w:r>
    </w:p>
    <w:p w:rsidR="001B6639" w:rsidRPr="001B6639" w:rsidRDefault="001B6639" w:rsidP="001B6639">
      <w:pPr>
        <w:tabs>
          <w:tab w:val="right" w:pos="8820"/>
        </w:tabs>
        <w:rPr>
          <w:rFonts w:cs="Times New Roman"/>
          <w:bCs/>
          <w:kern w:val="32"/>
          <w:sz w:val="24"/>
          <w:szCs w:val="24"/>
          <w:lang w:val="lv-LV" w:bidi="ar-SA"/>
        </w:rPr>
      </w:pPr>
      <w:r w:rsidRPr="001B6639">
        <w:rPr>
          <w:rFonts w:cs="Times New Roman"/>
          <w:bCs/>
          <w:kern w:val="32"/>
          <w:sz w:val="24"/>
          <w:szCs w:val="24"/>
          <w:lang w:val="lv-LV" w:bidi="ar-SA"/>
        </w:rPr>
        <w:t xml:space="preserve">Iekšlietu ministrs </w:t>
      </w:r>
      <w:r w:rsidRPr="001B6639">
        <w:rPr>
          <w:rFonts w:cs="Times New Roman"/>
          <w:bCs/>
          <w:kern w:val="32"/>
          <w:sz w:val="24"/>
          <w:szCs w:val="24"/>
          <w:lang w:val="lv-LV" w:bidi="ar-SA"/>
        </w:rPr>
        <w:tab/>
      </w:r>
      <w:proofErr w:type="spellStart"/>
      <w:r w:rsidRPr="001B6639">
        <w:rPr>
          <w:rFonts w:cs="Times New Roman"/>
          <w:bCs/>
          <w:kern w:val="32"/>
          <w:sz w:val="24"/>
          <w:szCs w:val="24"/>
          <w:lang w:val="lv-LV" w:bidi="ar-SA"/>
        </w:rPr>
        <w:t>R.Kozlovskis</w:t>
      </w:r>
      <w:proofErr w:type="spellEnd"/>
    </w:p>
    <w:p w:rsidR="004600D1" w:rsidRDefault="004600D1"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Pr="00E65F9E" w:rsidRDefault="00604F67" w:rsidP="00DD0703">
      <w:pPr>
        <w:tabs>
          <w:tab w:val="right" w:pos="9000"/>
        </w:tabs>
        <w:jc w:val="both"/>
        <w:rPr>
          <w:rFonts w:cs="Times New Roman"/>
          <w:sz w:val="24"/>
          <w:szCs w:val="24"/>
          <w:lang w:val="lv-LV"/>
        </w:rPr>
      </w:pPr>
    </w:p>
    <w:p w:rsidR="004600D1" w:rsidRPr="00E65F9E" w:rsidRDefault="004600D1" w:rsidP="00DD0703">
      <w:pPr>
        <w:tabs>
          <w:tab w:val="right" w:pos="9000"/>
        </w:tabs>
        <w:jc w:val="both"/>
        <w:rPr>
          <w:rFonts w:cs="Times New Roman"/>
          <w:sz w:val="24"/>
          <w:szCs w:val="24"/>
          <w:lang w:val="lv-LV"/>
        </w:rPr>
      </w:pPr>
    </w:p>
    <w:p w:rsidR="00DD0703"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J.Sārts</w:t>
      </w: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Default="00604F67" w:rsidP="00DD0703">
      <w:pPr>
        <w:tabs>
          <w:tab w:val="right" w:pos="9000"/>
        </w:tabs>
        <w:jc w:val="both"/>
        <w:rPr>
          <w:rFonts w:cs="Times New Roman"/>
          <w:sz w:val="24"/>
          <w:szCs w:val="24"/>
          <w:lang w:val="lv-LV"/>
        </w:rPr>
      </w:pPr>
    </w:p>
    <w:p w:rsidR="00604F67" w:rsidRPr="00E65F9E" w:rsidRDefault="00604F67" w:rsidP="00DD0703">
      <w:pPr>
        <w:tabs>
          <w:tab w:val="right" w:pos="9000"/>
        </w:tabs>
        <w:jc w:val="both"/>
        <w:rPr>
          <w:rFonts w:cs="Times New Roman"/>
          <w:sz w:val="24"/>
          <w:szCs w:val="24"/>
          <w:lang w:val="lv-LV"/>
        </w:rPr>
      </w:pPr>
    </w:p>
    <w:p w:rsidR="00085A58" w:rsidRDefault="00085A58" w:rsidP="00085A58">
      <w:pPr>
        <w:rPr>
          <w:rFonts w:cs="Times New Roman"/>
          <w:sz w:val="16"/>
          <w:szCs w:val="16"/>
          <w:lang w:val="lv-LV" w:eastAsia="lv-LV" w:bidi="ar-SA"/>
        </w:rPr>
      </w:pPr>
    </w:p>
    <w:p w:rsidR="00085A58" w:rsidRPr="00085A58" w:rsidRDefault="001B6639" w:rsidP="00085A58">
      <w:pPr>
        <w:rPr>
          <w:rFonts w:cs="Times New Roman"/>
          <w:sz w:val="16"/>
          <w:szCs w:val="16"/>
          <w:lang w:val="lv-LV" w:eastAsia="lv-LV" w:bidi="ar-SA"/>
        </w:rPr>
      </w:pPr>
      <w:r>
        <w:rPr>
          <w:rFonts w:cs="Times New Roman"/>
          <w:sz w:val="16"/>
          <w:szCs w:val="16"/>
          <w:lang w:val="lv-LV" w:eastAsia="lv-LV" w:bidi="ar-SA"/>
        </w:rPr>
        <w:t>1</w:t>
      </w:r>
      <w:r w:rsidR="00604F67">
        <w:rPr>
          <w:rFonts w:cs="Times New Roman"/>
          <w:sz w:val="16"/>
          <w:szCs w:val="16"/>
          <w:lang w:val="lv-LV" w:eastAsia="lv-LV" w:bidi="ar-SA"/>
        </w:rPr>
        <w:t>9</w:t>
      </w:r>
      <w:r w:rsidR="00085A58" w:rsidRPr="00085A58">
        <w:rPr>
          <w:rFonts w:cs="Times New Roman"/>
          <w:sz w:val="16"/>
          <w:szCs w:val="16"/>
          <w:lang w:val="lv-LV" w:eastAsia="lv-LV" w:bidi="ar-SA"/>
        </w:rPr>
        <w:t>.0</w:t>
      </w:r>
      <w:r w:rsidR="00604F67">
        <w:rPr>
          <w:rFonts w:cs="Times New Roman"/>
          <w:sz w:val="16"/>
          <w:szCs w:val="16"/>
          <w:lang w:val="lv-LV" w:eastAsia="lv-LV" w:bidi="ar-SA"/>
        </w:rPr>
        <w:t>6</w:t>
      </w:r>
      <w:r w:rsidR="00085A58" w:rsidRPr="00085A58">
        <w:rPr>
          <w:rFonts w:cs="Times New Roman"/>
          <w:sz w:val="16"/>
          <w:szCs w:val="16"/>
          <w:lang w:val="lv-LV" w:eastAsia="lv-LV" w:bidi="ar-SA"/>
        </w:rPr>
        <w:t>.1</w:t>
      </w:r>
      <w:r w:rsidR="00085A58">
        <w:rPr>
          <w:rFonts w:cs="Times New Roman"/>
          <w:sz w:val="16"/>
          <w:szCs w:val="16"/>
          <w:lang w:val="lv-LV" w:eastAsia="lv-LV" w:bidi="ar-SA"/>
        </w:rPr>
        <w:t>4</w:t>
      </w:r>
      <w:r w:rsidR="00085A58" w:rsidRPr="00085A58">
        <w:rPr>
          <w:rFonts w:cs="Times New Roman"/>
          <w:sz w:val="16"/>
          <w:szCs w:val="16"/>
          <w:lang w:val="lv-LV" w:eastAsia="lv-LV" w:bidi="ar-SA"/>
        </w:rPr>
        <w:t>. 1</w:t>
      </w:r>
      <w:r w:rsidR="00BD3FD9">
        <w:rPr>
          <w:rFonts w:cs="Times New Roman"/>
          <w:sz w:val="16"/>
          <w:szCs w:val="16"/>
          <w:lang w:val="lv-LV" w:eastAsia="lv-LV" w:bidi="ar-SA"/>
        </w:rPr>
        <w:t>3</w:t>
      </w:r>
      <w:r w:rsidR="00085A58" w:rsidRPr="00085A58">
        <w:rPr>
          <w:rFonts w:cs="Times New Roman"/>
          <w:sz w:val="16"/>
          <w:szCs w:val="16"/>
          <w:lang w:val="lv-LV" w:eastAsia="lv-LV" w:bidi="ar-SA"/>
        </w:rPr>
        <w:t>:</w:t>
      </w:r>
      <w:r w:rsidR="008A7FA9">
        <w:rPr>
          <w:rFonts w:cs="Times New Roman"/>
          <w:sz w:val="16"/>
          <w:szCs w:val="16"/>
          <w:lang w:val="lv-LV" w:eastAsia="lv-LV" w:bidi="ar-SA"/>
        </w:rPr>
        <w:t>0</w:t>
      </w:r>
      <w:r w:rsidR="00BD3FD9">
        <w:rPr>
          <w:rFonts w:cs="Times New Roman"/>
          <w:sz w:val="16"/>
          <w:szCs w:val="16"/>
          <w:lang w:val="lv-LV" w:eastAsia="lv-LV" w:bidi="ar-SA"/>
        </w:rPr>
        <w:t>3</w:t>
      </w:r>
      <w:bookmarkStart w:id="0" w:name="_GoBack"/>
      <w:bookmarkEnd w:id="0"/>
    </w:p>
    <w:p w:rsidR="00085A58" w:rsidRPr="00085A58" w:rsidRDefault="008A7FA9" w:rsidP="00085A58">
      <w:pPr>
        <w:rPr>
          <w:rFonts w:cs="Times New Roman"/>
          <w:sz w:val="16"/>
          <w:szCs w:val="16"/>
          <w:lang w:val="lv-LV" w:eastAsia="lv-LV" w:bidi="ar-SA"/>
        </w:rPr>
      </w:pPr>
      <w:r>
        <w:rPr>
          <w:rFonts w:cs="Times New Roman"/>
          <w:sz w:val="16"/>
          <w:szCs w:val="16"/>
          <w:lang w:val="lv-LV" w:eastAsia="lv-LV" w:bidi="ar-SA"/>
        </w:rPr>
        <w:t>55</w:t>
      </w:r>
      <w:r w:rsidR="00BD3FD9">
        <w:rPr>
          <w:rFonts w:cs="Times New Roman"/>
          <w:sz w:val="16"/>
          <w:szCs w:val="16"/>
          <w:lang w:val="lv-LV" w:eastAsia="lv-LV" w:bidi="ar-SA"/>
        </w:rPr>
        <w:t>4</w:t>
      </w:r>
    </w:p>
    <w:p w:rsidR="00085A58" w:rsidRPr="00085A58" w:rsidRDefault="00085A58" w:rsidP="00085A58">
      <w:pPr>
        <w:rPr>
          <w:rFonts w:cs="Times New Roman"/>
          <w:sz w:val="16"/>
          <w:szCs w:val="16"/>
          <w:lang w:val="lv-LV" w:eastAsia="lv-LV" w:bidi="ar-SA"/>
        </w:rPr>
      </w:pPr>
      <w:r w:rsidRPr="00085A58">
        <w:rPr>
          <w:rFonts w:cs="Times New Roman"/>
          <w:sz w:val="16"/>
          <w:szCs w:val="16"/>
          <w:lang w:val="lv-LV" w:eastAsia="lv-LV" w:bidi="ar-SA"/>
        </w:rPr>
        <w:t>Vita Upeniece,</w:t>
      </w:r>
    </w:p>
    <w:p w:rsidR="00085A58" w:rsidRPr="00085A58" w:rsidRDefault="00085A58" w:rsidP="00085A58">
      <w:pPr>
        <w:rPr>
          <w:rFonts w:cs="Times New Roman"/>
          <w:sz w:val="16"/>
          <w:szCs w:val="16"/>
          <w:lang w:val="lv-LV" w:eastAsia="lv-LV" w:bidi="ar-SA"/>
        </w:rPr>
      </w:pPr>
      <w:r w:rsidRPr="00085A58">
        <w:rPr>
          <w:rFonts w:cs="Times New Roman"/>
          <w:sz w:val="16"/>
          <w:szCs w:val="16"/>
          <w:lang w:val="lv-LV" w:eastAsia="lv-LV" w:bidi="ar-SA"/>
        </w:rPr>
        <w:t xml:space="preserve">tālr.: 67335077; </w:t>
      </w:r>
    </w:p>
    <w:p w:rsidR="00085A58" w:rsidRPr="00085A58" w:rsidRDefault="00085A58" w:rsidP="00085A58">
      <w:pPr>
        <w:rPr>
          <w:rFonts w:cs="Times New Roman"/>
          <w:sz w:val="16"/>
          <w:szCs w:val="16"/>
          <w:lang w:val="lv-LV" w:eastAsia="lv-LV" w:bidi="ar-SA"/>
        </w:rPr>
      </w:pPr>
      <w:r w:rsidRPr="00085A58">
        <w:rPr>
          <w:rFonts w:cs="Times New Roman"/>
          <w:sz w:val="16"/>
          <w:szCs w:val="16"/>
          <w:lang w:val="lv-LV" w:eastAsia="lv-LV" w:bidi="ar-SA"/>
        </w:rPr>
        <w:t xml:space="preserve">fakss: </w:t>
      </w:r>
      <w:smartTag w:uri="schemas-tilde-lv/tildestengine" w:element="phone">
        <w:smartTagPr>
          <w:attr w:name="phone_number" w:val="7212307"/>
          <w:attr w:name="phone_prefix" w:val="6"/>
        </w:smartTagPr>
        <w:r w:rsidRPr="00085A58">
          <w:rPr>
            <w:rFonts w:cs="Times New Roman"/>
            <w:sz w:val="16"/>
            <w:szCs w:val="16"/>
            <w:lang w:val="lv-LV" w:eastAsia="lv-LV" w:bidi="ar-SA"/>
          </w:rPr>
          <w:t>67212307</w:t>
        </w:r>
      </w:smartTag>
    </w:p>
    <w:p w:rsidR="00DD0703" w:rsidRPr="00085A58" w:rsidRDefault="00085A58" w:rsidP="00085A58">
      <w:pPr>
        <w:rPr>
          <w:rFonts w:cs="Times New Roman"/>
          <w:sz w:val="16"/>
          <w:szCs w:val="16"/>
          <w:lang w:val="lv-LV"/>
        </w:rPr>
      </w:pPr>
      <w:r w:rsidRPr="00085A58">
        <w:rPr>
          <w:rFonts w:cs="Times New Roman"/>
          <w:sz w:val="16"/>
          <w:szCs w:val="16"/>
          <w:lang w:val="lv-LV" w:eastAsia="lv-LV" w:bidi="ar-SA"/>
        </w:rPr>
        <w:t xml:space="preserve">e-pasta adrese: </w:t>
      </w:r>
      <w:hyperlink r:id="rId9" w:history="1">
        <w:r w:rsidRPr="00085A58">
          <w:rPr>
            <w:rFonts w:cs="Times New Roman"/>
            <w:color w:val="0000FF"/>
            <w:sz w:val="16"/>
            <w:szCs w:val="16"/>
            <w:u w:val="single"/>
            <w:lang w:val="lv-LV" w:eastAsia="lv-LV" w:bidi="ar-SA"/>
          </w:rPr>
          <w:t>Vita.Upeniece@mod.gov.lv</w:t>
        </w:r>
      </w:hyperlink>
    </w:p>
    <w:sectPr w:rsidR="00DD0703" w:rsidRPr="00085A58"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51" w:rsidRDefault="00793251" w:rsidP="00793251">
      <w:r>
        <w:separator/>
      </w:r>
    </w:p>
  </w:endnote>
  <w:endnote w:type="continuationSeparator" w:id="0">
    <w:p w:rsidR="00793251" w:rsidRDefault="00793251"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Pr="00793251" w:rsidRDefault="00793251" w:rsidP="009B4033">
    <w:pPr>
      <w:pStyle w:val="Footer"/>
      <w:jc w:val="both"/>
      <w:rPr>
        <w:lang w:val="lv-LV"/>
      </w:rPr>
    </w:pPr>
    <w:r>
      <w:rPr>
        <w:lang w:val="lv-LV"/>
      </w:rPr>
      <w:t>AIMAnot_</w:t>
    </w:r>
    <w:r w:rsidR="001B6639">
      <w:rPr>
        <w:lang w:val="lv-LV"/>
      </w:rPr>
      <w:t>1</w:t>
    </w:r>
    <w:r w:rsidR="00474997">
      <w:rPr>
        <w:lang w:val="lv-LV"/>
      </w:rPr>
      <w:t>9</w:t>
    </w:r>
    <w:r w:rsidR="002447A7">
      <w:rPr>
        <w:lang w:val="lv-LV"/>
      </w:rPr>
      <w:t>0</w:t>
    </w:r>
    <w:r w:rsidR="00474997">
      <w:rPr>
        <w:lang w:val="lv-LV"/>
      </w:rPr>
      <w:t>6</w:t>
    </w:r>
    <w:r>
      <w:rPr>
        <w:lang w:val="lv-LV"/>
      </w:rPr>
      <w:t>14_</w:t>
    </w:r>
    <w:r w:rsidR="002447A7">
      <w:rPr>
        <w:lang w:val="lv-LV"/>
      </w:rPr>
      <w:t>MK</w:t>
    </w:r>
    <w:r w:rsidR="002447A7">
      <w:rPr>
        <w:noProof/>
      </w:rPr>
      <w:t>947</w:t>
    </w:r>
    <w:r>
      <w:rPr>
        <w:lang w:val="lv-LV"/>
      </w:rPr>
      <w:t xml:space="preserve">; </w:t>
    </w:r>
    <w:proofErr w:type="spellStart"/>
    <w:r w:rsidR="002447A7" w:rsidRPr="004165EC">
      <w:t>Ministru</w:t>
    </w:r>
    <w:proofErr w:type="spellEnd"/>
    <w:r w:rsidR="002447A7" w:rsidRPr="004165EC">
      <w:t xml:space="preserve"> </w:t>
    </w:r>
    <w:proofErr w:type="spellStart"/>
    <w:r w:rsidR="002447A7" w:rsidRPr="004165EC">
      <w:t>kabineta</w:t>
    </w:r>
    <w:proofErr w:type="spellEnd"/>
    <w:r w:rsidR="002447A7" w:rsidRPr="004165EC">
      <w:t xml:space="preserve"> </w:t>
    </w:r>
    <w:proofErr w:type="spellStart"/>
    <w:r w:rsidR="002447A7" w:rsidRPr="004165EC">
      <w:t>noteikumu</w:t>
    </w:r>
    <w:proofErr w:type="spellEnd"/>
    <w:r w:rsidR="002447A7" w:rsidRPr="004165EC">
      <w:t xml:space="preserve"> </w:t>
    </w:r>
    <w:proofErr w:type="spellStart"/>
    <w:r w:rsidR="002447A7" w:rsidRPr="004165EC">
      <w:t>projekta</w:t>
    </w:r>
    <w:proofErr w:type="spellEnd"/>
    <w:r w:rsidR="002447A7" w:rsidRPr="004165EC">
      <w:t xml:space="preserve"> „</w:t>
    </w:r>
    <w:proofErr w:type="spellStart"/>
    <w:r w:rsidR="002447A7" w:rsidRPr="004165EC">
      <w:t>Grozījum</w:t>
    </w:r>
    <w:r w:rsidR="009504AB">
      <w:t>i</w:t>
    </w:r>
    <w:proofErr w:type="spellEnd"/>
    <w:r w:rsidR="002447A7" w:rsidRPr="004165EC">
      <w:t xml:space="preserve"> </w:t>
    </w:r>
    <w:proofErr w:type="spellStart"/>
    <w:r w:rsidR="002447A7" w:rsidRPr="004165EC">
      <w:t>Ministru</w:t>
    </w:r>
    <w:proofErr w:type="spellEnd"/>
    <w:r w:rsidR="002447A7" w:rsidRPr="004165EC">
      <w:t xml:space="preserve"> </w:t>
    </w:r>
    <w:proofErr w:type="spellStart"/>
    <w:r w:rsidR="002447A7" w:rsidRPr="004165EC">
      <w:t>kabineta</w:t>
    </w:r>
    <w:proofErr w:type="spellEnd"/>
    <w:r w:rsidR="002447A7" w:rsidRPr="004165EC">
      <w:t xml:space="preserve"> 2010.gada 5.oktobra </w:t>
    </w:r>
    <w:proofErr w:type="spellStart"/>
    <w:r w:rsidR="002447A7" w:rsidRPr="004165EC">
      <w:t>noteikumos</w:t>
    </w:r>
    <w:proofErr w:type="spellEnd"/>
    <w:r w:rsidR="002447A7" w:rsidRPr="004165EC">
      <w:t xml:space="preserve"> Nr.947 „</w:t>
    </w:r>
    <w:proofErr w:type="spellStart"/>
    <w:r w:rsidR="002447A7" w:rsidRPr="004165EC">
      <w:t>Karavīru</w:t>
    </w:r>
    <w:proofErr w:type="spellEnd"/>
    <w:r w:rsidR="002447A7" w:rsidRPr="004165EC">
      <w:t xml:space="preserve"> un </w:t>
    </w:r>
    <w:proofErr w:type="spellStart"/>
    <w:r w:rsidR="002447A7" w:rsidRPr="004165EC">
      <w:t>zemessargu</w:t>
    </w:r>
    <w:proofErr w:type="spellEnd"/>
    <w:r w:rsidR="002447A7" w:rsidRPr="004165EC">
      <w:t xml:space="preserve"> </w:t>
    </w:r>
    <w:proofErr w:type="spellStart"/>
    <w:r w:rsidR="002447A7" w:rsidRPr="004165EC">
      <w:t>militārās</w:t>
    </w:r>
    <w:proofErr w:type="spellEnd"/>
    <w:r w:rsidR="002447A7" w:rsidRPr="004165EC">
      <w:t xml:space="preserve"> </w:t>
    </w:r>
    <w:proofErr w:type="spellStart"/>
    <w:r w:rsidR="002447A7" w:rsidRPr="004165EC">
      <w:t>disciplīnas</w:t>
    </w:r>
    <w:proofErr w:type="spellEnd"/>
    <w:r w:rsidR="002447A7" w:rsidRPr="004165EC">
      <w:t xml:space="preserve"> </w:t>
    </w:r>
    <w:proofErr w:type="spellStart"/>
    <w:r w:rsidR="002447A7" w:rsidRPr="004165EC">
      <w:t>reglaments</w:t>
    </w:r>
    <w:proofErr w:type="spellEnd"/>
    <w:r w:rsidR="002447A7" w:rsidRPr="004165EC">
      <w:t xml:space="preserve">”” </w:t>
    </w:r>
    <w:proofErr w:type="spellStart"/>
    <w:r w:rsidR="002447A7" w:rsidRPr="004165EC">
      <w:t>sākotnējās</w:t>
    </w:r>
    <w:proofErr w:type="spellEnd"/>
    <w:r w:rsidR="002447A7" w:rsidRPr="004165EC">
      <w:t xml:space="preserve"> </w:t>
    </w:r>
    <w:proofErr w:type="spellStart"/>
    <w:r w:rsidR="002447A7" w:rsidRPr="004165EC">
      <w:t>ietekmes</w:t>
    </w:r>
    <w:proofErr w:type="spellEnd"/>
    <w:r w:rsidR="002447A7" w:rsidRPr="004165EC">
      <w:t xml:space="preserve"> </w:t>
    </w:r>
    <w:proofErr w:type="spellStart"/>
    <w:r w:rsidR="002447A7" w:rsidRPr="004165EC">
      <w:t>izvērtējums</w:t>
    </w:r>
    <w:proofErr w:type="spellEnd"/>
    <w:r w:rsidR="002447A7" w:rsidRPr="004165EC">
      <w:t xml:space="preserve"> (</w:t>
    </w:r>
    <w:proofErr w:type="spellStart"/>
    <w:r w:rsidR="002447A7" w:rsidRPr="004165EC">
      <w:t>anotācija</w:t>
    </w:r>
    <w:proofErr w:type="spellEnd"/>
    <w:r w:rsidR="002447A7" w:rsidRPr="004165E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51" w:rsidRDefault="00793251" w:rsidP="00793251">
      <w:r>
        <w:separator/>
      </w:r>
    </w:p>
  </w:footnote>
  <w:footnote w:type="continuationSeparator" w:id="0">
    <w:p w:rsidR="00793251" w:rsidRDefault="00793251"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793251" w:rsidRDefault="00793251">
        <w:pPr>
          <w:pStyle w:val="Header"/>
          <w:jc w:val="center"/>
        </w:pPr>
        <w:r>
          <w:fldChar w:fldCharType="begin"/>
        </w:r>
        <w:r>
          <w:instrText xml:space="preserve"> PAGE   \* MERGEFORMAT </w:instrText>
        </w:r>
        <w:r>
          <w:fldChar w:fldCharType="separate"/>
        </w:r>
        <w:r w:rsidR="00BD3FD9">
          <w:rPr>
            <w:noProof/>
          </w:rPr>
          <w:t>3</w:t>
        </w:r>
        <w:r>
          <w:rPr>
            <w:noProof/>
          </w:rPr>
          <w:fldChar w:fldCharType="end"/>
        </w:r>
      </w:p>
    </w:sdtContent>
  </w:sdt>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3E7C3B"/>
    <w:multiLevelType w:val="hybridMultilevel"/>
    <w:tmpl w:val="E940E062"/>
    <w:lvl w:ilvl="0" w:tplc="B602FD4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BA5"/>
    <w:rsid w:val="00042947"/>
    <w:rsid w:val="000637B5"/>
    <w:rsid w:val="00065F37"/>
    <w:rsid w:val="00085A58"/>
    <w:rsid w:val="000E4F01"/>
    <w:rsid w:val="000E69BF"/>
    <w:rsid w:val="000F24DA"/>
    <w:rsid w:val="0014533C"/>
    <w:rsid w:val="001919C8"/>
    <w:rsid w:val="0019390A"/>
    <w:rsid w:val="001B6639"/>
    <w:rsid w:val="001C25DB"/>
    <w:rsid w:val="001E4F19"/>
    <w:rsid w:val="001F2472"/>
    <w:rsid w:val="00224D82"/>
    <w:rsid w:val="002447A7"/>
    <w:rsid w:val="0026236D"/>
    <w:rsid w:val="002768AB"/>
    <w:rsid w:val="002B1566"/>
    <w:rsid w:val="00304507"/>
    <w:rsid w:val="003B1EE2"/>
    <w:rsid w:val="003F7185"/>
    <w:rsid w:val="0043361D"/>
    <w:rsid w:val="004600D1"/>
    <w:rsid w:val="004630A0"/>
    <w:rsid w:val="00474997"/>
    <w:rsid w:val="0048766C"/>
    <w:rsid w:val="004917C2"/>
    <w:rsid w:val="004C1DF7"/>
    <w:rsid w:val="00504AE1"/>
    <w:rsid w:val="005371A0"/>
    <w:rsid w:val="0058356D"/>
    <w:rsid w:val="005C38AA"/>
    <w:rsid w:val="005E2B7A"/>
    <w:rsid w:val="005E5934"/>
    <w:rsid w:val="005F1F40"/>
    <w:rsid w:val="00604F67"/>
    <w:rsid w:val="00650AAC"/>
    <w:rsid w:val="0065610B"/>
    <w:rsid w:val="006673C3"/>
    <w:rsid w:val="006D722F"/>
    <w:rsid w:val="007635F3"/>
    <w:rsid w:val="00793251"/>
    <w:rsid w:val="00797A20"/>
    <w:rsid w:val="007C6210"/>
    <w:rsid w:val="007D64EE"/>
    <w:rsid w:val="007F1D73"/>
    <w:rsid w:val="008118E4"/>
    <w:rsid w:val="008804EF"/>
    <w:rsid w:val="008A7FA9"/>
    <w:rsid w:val="008E0711"/>
    <w:rsid w:val="008F1F33"/>
    <w:rsid w:val="009213E1"/>
    <w:rsid w:val="0093126B"/>
    <w:rsid w:val="009504AB"/>
    <w:rsid w:val="00961EAA"/>
    <w:rsid w:val="00963455"/>
    <w:rsid w:val="00972D20"/>
    <w:rsid w:val="00976F2C"/>
    <w:rsid w:val="009A48D6"/>
    <w:rsid w:val="009B0629"/>
    <w:rsid w:val="009B32A9"/>
    <w:rsid w:val="009B4033"/>
    <w:rsid w:val="009D7E83"/>
    <w:rsid w:val="009F1792"/>
    <w:rsid w:val="00A03F07"/>
    <w:rsid w:val="00A26527"/>
    <w:rsid w:val="00A669D6"/>
    <w:rsid w:val="00AE08B7"/>
    <w:rsid w:val="00AE5374"/>
    <w:rsid w:val="00AF3AC3"/>
    <w:rsid w:val="00B3041C"/>
    <w:rsid w:val="00B42912"/>
    <w:rsid w:val="00B47AF6"/>
    <w:rsid w:val="00B56DB1"/>
    <w:rsid w:val="00B80259"/>
    <w:rsid w:val="00B91C5E"/>
    <w:rsid w:val="00BA6DC0"/>
    <w:rsid w:val="00BD3FD9"/>
    <w:rsid w:val="00C15175"/>
    <w:rsid w:val="00C53718"/>
    <w:rsid w:val="00C729FB"/>
    <w:rsid w:val="00C97EAA"/>
    <w:rsid w:val="00CB7EEF"/>
    <w:rsid w:val="00D33345"/>
    <w:rsid w:val="00D50FA7"/>
    <w:rsid w:val="00D71725"/>
    <w:rsid w:val="00D7483A"/>
    <w:rsid w:val="00DA55F2"/>
    <w:rsid w:val="00DD0703"/>
    <w:rsid w:val="00DE7D87"/>
    <w:rsid w:val="00E07C6A"/>
    <w:rsid w:val="00E20B65"/>
    <w:rsid w:val="00E64ADC"/>
    <w:rsid w:val="00E65F9E"/>
    <w:rsid w:val="00EB5489"/>
    <w:rsid w:val="00F22346"/>
    <w:rsid w:val="00F44D94"/>
    <w:rsid w:val="00F64DAF"/>
    <w:rsid w:val="00F74DE5"/>
    <w:rsid w:val="00FD2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4879-EC17-4662-83B9-A340B9B7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571D0FDD.dotm</Template>
  <TotalTime>168</TotalTime>
  <Pages>3</Pages>
  <Words>554</Words>
  <Characters>4331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5.oktobra noteikumos Nr.947 "Karavīru un zemessargu militārās disciplīnas reglaments"" sākotnējās ietekmes novērtējuma ziņojums (anotācija)</vt:lpstr>
    </vt:vector>
  </TitlesOfParts>
  <Manager>Aizsardzības ministrija</Manager>
  <Company>Aizsardzības ministrija</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5.oktobra noteikumos Nr.947 "Karavīru un zemessargu militārās disciplīnas reglaments"" sākotnējās ietekmes novērtējuma ziņojums (anotācija)</dc:title>
  <dc:subject>anotācija</dc:subject>
  <dc:creator>V.Upeniece</dc:creator>
  <dc:description>Vita.Upeniece@mod.gov.lv; 67335077</dc:description>
  <cp:lastModifiedBy>Vita Upeniece</cp:lastModifiedBy>
  <cp:revision>59</cp:revision>
  <cp:lastPrinted>2014-01-24T08:19:00Z</cp:lastPrinted>
  <dcterms:created xsi:type="dcterms:W3CDTF">2014-01-23T14:18:00Z</dcterms:created>
  <dcterms:modified xsi:type="dcterms:W3CDTF">2014-06-19T10:03:00Z</dcterms:modified>
</cp:coreProperties>
</file>