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B0" w:rsidRPr="001E20B2" w:rsidRDefault="00434AB0" w:rsidP="00434AB0">
      <w:pPr>
        <w:jc w:val="center"/>
        <w:rPr>
          <w:b/>
          <w:sz w:val="28"/>
          <w:szCs w:val="28"/>
        </w:rPr>
      </w:pPr>
      <w:r w:rsidRPr="001E20B2">
        <w:rPr>
          <w:b/>
          <w:sz w:val="28"/>
          <w:szCs w:val="28"/>
        </w:rPr>
        <w:t>Ministru kabineta rīkojuma projekta „</w:t>
      </w:r>
      <w:r w:rsidR="00A304D1">
        <w:rPr>
          <w:b/>
          <w:sz w:val="28"/>
          <w:szCs w:val="28"/>
        </w:rPr>
        <w:t>Par nekustamā īpašuma Upes ielā 1A, Rīgā, nodošanu Finanšu ministrijas valdījumā</w:t>
      </w:r>
      <w:r w:rsidRPr="001E20B2">
        <w:rPr>
          <w:b/>
          <w:sz w:val="28"/>
          <w:szCs w:val="28"/>
        </w:rPr>
        <w:t>” sākotnējās ietekmes novērtējuma ziņojums (anotācija)</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18"/>
        <w:gridCol w:w="6263"/>
      </w:tblGrid>
      <w:tr w:rsidR="00434AB0" w:rsidRPr="001E20B2" w:rsidTr="00873A44">
        <w:trPr>
          <w:trHeight w:val="171"/>
        </w:trPr>
        <w:tc>
          <w:tcPr>
            <w:tcW w:w="0" w:type="auto"/>
            <w:gridSpan w:val="2"/>
            <w:tcBorders>
              <w:top w:val="outset" w:sz="6" w:space="0" w:color="auto"/>
              <w:left w:val="outset" w:sz="6" w:space="0" w:color="auto"/>
              <w:bottom w:val="outset" w:sz="6" w:space="0" w:color="auto"/>
              <w:right w:val="outset" w:sz="6" w:space="0" w:color="auto"/>
            </w:tcBorders>
            <w:vAlign w:val="center"/>
          </w:tcPr>
          <w:p w:rsidR="00434AB0" w:rsidRPr="001E20B2" w:rsidRDefault="00434AB0" w:rsidP="00873A44">
            <w:pPr>
              <w:pStyle w:val="naisc"/>
              <w:spacing w:before="0" w:after="0"/>
              <w:rPr>
                <w:sz w:val="28"/>
                <w:szCs w:val="28"/>
              </w:rPr>
            </w:pPr>
            <w:r w:rsidRPr="001E20B2">
              <w:rPr>
                <w:b/>
                <w:bCs/>
                <w:sz w:val="28"/>
                <w:szCs w:val="28"/>
              </w:rPr>
              <w:t>I Tiesību akta projekta izstrādes nepieciešamība</w:t>
            </w:r>
          </w:p>
        </w:tc>
      </w:tr>
      <w:tr w:rsidR="00434AB0" w:rsidRPr="001E20B2" w:rsidTr="00873A44">
        <w:tc>
          <w:tcPr>
            <w:tcW w:w="1626" w:type="pct"/>
            <w:tcBorders>
              <w:top w:val="outset" w:sz="6" w:space="0" w:color="auto"/>
              <w:left w:val="outset" w:sz="6" w:space="0" w:color="auto"/>
              <w:bottom w:val="outset" w:sz="6" w:space="0" w:color="auto"/>
              <w:right w:val="outset" w:sz="6" w:space="0" w:color="auto"/>
            </w:tcBorders>
          </w:tcPr>
          <w:p w:rsidR="00434AB0" w:rsidRPr="001E20B2" w:rsidRDefault="00434AB0" w:rsidP="00873A44">
            <w:pPr>
              <w:pStyle w:val="naisf"/>
              <w:tabs>
                <w:tab w:val="left" w:pos="180"/>
              </w:tabs>
              <w:spacing w:before="0" w:after="0"/>
              <w:ind w:firstLine="0"/>
              <w:rPr>
                <w:sz w:val="28"/>
                <w:szCs w:val="28"/>
              </w:rPr>
            </w:pPr>
            <w:r w:rsidRPr="001E20B2">
              <w:rPr>
                <w:sz w:val="28"/>
                <w:szCs w:val="28"/>
              </w:rPr>
              <w:t>1.Pamatojums</w:t>
            </w:r>
          </w:p>
        </w:tc>
        <w:tc>
          <w:tcPr>
            <w:tcW w:w="3374" w:type="pct"/>
            <w:tcBorders>
              <w:top w:val="outset" w:sz="6" w:space="0" w:color="auto"/>
              <w:left w:val="outset" w:sz="6" w:space="0" w:color="auto"/>
              <w:bottom w:val="outset" w:sz="6" w:space="0" w:color="auto"/>
              <w:right w:val="outset" w:sz="6" w:space="0" w:color="auto"/>
            </w:tcBorders>
          </w:tcPr>
          <w:p w:rsidR="00434AB0" w:rsidRPr="001E20B2" w:rsidRDefault="00A304D1" w:rsidP="00873A44">
            <w:pPr>
              <w:ind w:firstLine="402"/>
              <w:jc w:val="both"/>
              <w:rPr>
                <w:sz w:val="28"/>
                <w:szCs w:val="28"/>
              </w:rPr>
            </w:pPr>
            <w:r w:rsidRPr="00A304D1">
              <w:rPr>
                <w:sz w:val="28"/>
                <w:szCs w:val="28"/>
              </w:rPr>
              <w:t>Pamatojoties uz Valsts nekustamā īpašuma vienotas pārvaldīšanas un apsaimniekošanas koncepcijas 8.1.apakšpunktu (apstiprināta ar Ministru kabineta 2006.gada 9.maija rīkojumu Nr.319 „Par Valsts nekustamā īpašuma vienotas pārvaldīšanas un apsaimniekošanas koncepciju”), sagatavots Ministru kabineta rīkojuma projekts „Par nekustamā īpašuma Upes ielā 1A, Rīgā, nodošanu Finanšu ministrijas valdījumā” (turpmāk – rīkojuma projekts).</w:t>
            </w:r>
          </w:p>
        </w:tc>
      </w:tr>
      <w:tr w:rsidR="00434AB0" w:rsidRPr="001E20B2" w:rsidTr="00873A44">
        <w:tc>
          <w:tcPr>
            <w:tcW w:w="1626" w:type="pct"/>
            <w:tcBorders>
              <w:top w:val="outset" w:sz="6" w:space="0" w:color="auto"/>
              <w:left w:val="outset" w:sz="6" w:space="0" w:color="auto"/>
              <w:bottom w:val="outset" w:sz="6" w:space="0" w:color="auto"/>
              <w:right w:val="outset" w:sz="6" w:space="0" w:color="auto"/>
            </w:tcBorders>
          </w:tcPr>
          <w:p w:rsidR="00434AB0" w:rsidRPr="001E20B2" w:rsidRDefault="00434AB0" w:rsidP="00873A44">
            <w:pPr>
              <w:pStyle w:val="naisf"/>
              <w:tabs>
                <w:tab w:val="left" w:pos="180"/>
              </w:tabs>
              <w:spacing w:before="0" w:after="0"/>
              <w:ind w:firstLine="0"/>
              <w:jc w:val="left"/>
              <w:rPr>
                <w:sz w:val="28"/>
                <w:szCs w:val="28"/>
              </w:rPr>
            </w:pPr>
            <w:r w:rsidRPr="001E20B2">
              <w:rPr>
                <w:sz w:val="28"/>
                <w:szCs w:val="28"/>
              </w:rPr>
              <w:t>2.</w:t>
            </w:r>
            <w:r>
              <w:rPr>
                <w:sz w:val="28"/>
                <w:szCs w:val="28"/>
              </w:rPr>
              <w:t>Pašreizējā situācija un problēmas, kuru risināšanai tiesību akta projekts izstrādāts, tiesiskā regulējuma mērķis un būtība</w:t>
            </w:r>
          </w:p>
          <w:p w:rsidR="00434AB0" w:rsidRPr="001E20B2" w:rsidRDefault="00434AB0" w:rsidP="00873A44">
            <w:pPr>
              <w:pStyle w:val="naisf"/>
              <w:tabs>
                <w:tab w:val="left" w:pos="180"/>
              </w:tabs>
              <w:spacing w:before="0" w:after="0"/>
              <w:ind w:firstLine="0"/>
              <w:jc w:val="left"/>
              <w:rPr>
                <w:sz w:val="28"/>
                <w:szCs w:val="28"/>
              </w:rPr>
            </w:pPr>
          </w:p>
          <w:p w:rsidR="00434AB0" w:rsidRPr="001E20B2" w:rsidRDefault="00434AB0" w:rsidP="00873A44">
            <w:pPr>
              <w:pStyle w:val="naisf"/>
              <w:tabs>
                <w:tab w:val="left" w:pos="180"/>
              </w:tabs>
              <w:spacing w:before="0" w:after="0"/>
              <w:ind w:firstLine="0"/>
              <w:jc w:val="left"/>
              <w:rPr>
                <w:sz w:val="28"/>
                <w:szCs w:val="28"/>
              </w:rPr>
            </w:pPr>
          </w:p>
        </w:tc>
        <w:tc>
          <w:tcPr>
            <w:tcW w:w="3374" w:type="pct"/>
            <w:tcBorders>
              <w:top w:val="outset" w:sz="6" w:space="0" w:color="auto"/>
              <w:left w:val="outset" w:sz="6" w:space="0" w:color="auto"/>
              <w:bottom w:val="outset" w:sz="6" w:space="0" w:color="auto"/>
              <w:right w:val="outset" w:sz="6" w:space="0" w:color="auto"/>
            </w:tcBorders>
          </w:tcPr>
          <w:p w:rsidR="00084A13" w:rsidRPr="00084A13" w:rsidRDefault="00084A13" w:rsidP="00084A13">
            <w:pPr>
              <w:ind w:firstLine="402"/>
              <w:jc w:val="both"/>
              <w:rPr>
                <w:sz w:val="28"/>
                <w:szCs w:val="28"/>
              </w:rPr>
            </w:pPr>
            <w:r w:rsidRPr="00084A13">
              <w:rPr>
                <w:sz w:val="28"/>
                <w:szCs w:val="28"/>
              </w:rPr>
              <w:t>Finanšu ministrijas valdījumā nododamais nekustamais īpašums Upes ielā 1A, Rīgā (nekustamā īpašuma kadastra Nr.01000170067), kurš sastāv no zemes vienības 6,6997 ha platībā (zemes vienības kadastra apzīmējums 01000170052) un 10 būvēm (būvju kadastra apzīmējumi 01000170067001, 01000170067002, 01000170067003, 01000170067004, 01000170067005, 01000170067008, 01000170067010, 01000170067011, 01000170067022, 01000170067023), izveidots, sadalot valsts īpašumā Aizsardzības ministrijas valdījumā esošo nekustamo īpašumu Hospitāļu ielā 55, Rīgā.</w:t>
            </w:r>
          </w:p>
          <w:p w:rsidR="00084A13" w:rsidRPr="00084A13" w:rsidRDefault="00084A13" w:rsidP="00084A13">
            <w:pPr>
              <w:ind w:firstLine="402"/>
              <w:jc w:val="both"/>
              <w:rPr>
                <w:sz w:val="28"/>
                <w:szCs w:val="28"/>
              </w:rPr>
            </w:pPr>
            <w:r w:rsidRPr="00084A13">
              <w:rPr>
                <w:sz w:val="28"/>
                <w:szCs w:val="28"/>
              </w:rPr>
              <w:t xml:space="preserve">Ņemot vērā, ka nekustamais īpašums Hospitāļu ielā 55, Rīgā, valsts aizsardzības funkciju nodrošināšanai turpmāk nav nepieciešams, veikta minētā īpašuma sadalīšana 3 daļās, izveidojot jaunus nekustamos īpašumus – Laktas ielā 8, Rīgā, Laktas ielā 10, Rīgā un Upes ielā 1A, Rīgā (turpmāk – īpašums). Saskaņā ar Rīgas pilsētas būvvaldes 2012.gada 20.novembra lēmumu </w:t>
            </w:r>
            <w:proofErr w:type="spellStart"/>
            <w:r w:rsidRPr="00084A13">
              <w:rPr>
                <w:sz w:val="28"/>
                <w:szCs w:val="28"/>
              </w:rPr>
              <w:t>Nr.BV-12-7544</w:t>
            </w:r>
            <w:proofErr w:type="spellEnd"/>
            <w:r w:rsidRPr="00084A13">
              <w:rPr>
                <w:sz w:val="28"/>
                <w:szCs w:val="28"/>
              </w:rPr>
              <w:t>-</w:t>
            </w:r>
            <w:proofErr w:type="spellStart"/>
            <w:r w:rsidRPr="00084A13">
              <w:rPr>
                <w:sz w:val="28"/>
                <w:szCs w:val="28"/>
              </w:rPr>
              <w:t>nd</w:t>
            </w:r>
            <w:proofErr w:type="spellEnd"/>
            <w:r w:rsidRPr="00084A13">
              <w:rPr>
                <w:sz w:val="28"/>
                <w:szCs w:val="28"/>
              </w:rPr>
              <w:t xml:space="preserve"> jaunizveidotai zemes vienībai ar kadastra apzīmējumu 0100 017 0052 piešķirta adrese Upes iela 1A, Rīga. </w:t>
            </w:r>
          </w:p>
          <w:p w:rsidR="00084A13" w:rsidRPr="00084A13" w:rsidRDefault="00084A13" w:rsidP="00084A13">
            <w:pPr>
              <w:ind w:firstLine="402"/>
              <w:jc w:val="both"/>
              <w:rPr>
                <w:sz w:val="28"/>
                <w:szCs w:val="28"/>
              </w:rPr>
            </w:pPr>
            <w:r w:rsidRPr="00084A13">
              <w:rPr>
                <w:sz w:val="28"/>
                <w:szCs w:val="28"/>
              </w:rPr>
              <w:t>Finanšu ministrija 2013.gada 13.augusta vēstulē Nr.12-38/4996 informējusi Aizsardzības ministriju par piekrišanu pārņemt savā valdījumā īpašumu pēc attiecīgā Ministru kabineta rīkojuma pieņemšanas.</w:t>
            </w:r>
          </w:p>
          <w:p w:rsidR="00084A13" w:rsidRPr="00084A13" w:rsidRDefault="00084A13" w:rsidP="00084A13">
            <w:pPr>
              <w:ind w:firstLine="402"/>
              <w:jc w:val="both"/>
              <w:rPr>
                <w:sz w:val="28"/>
                <w:szCs w:val="28"/>
              </w:rPr>
            </w:pPr>
            <w:r w:rsidRPr="00084A13">
              <w:rPr>
                <w:sz w:val="28"/>
                <w:szCs w:val="28"/>
              </w:rPr>
              <w:t xml:space="preserve">Uz īpašumu Rīgas pilsētas zemesgrāmatu </w:t>
            </w:r>
            <w:r w:rsidRPr="00084A13">
              <w:rPr>
                <w:sz w:val="28"/>
                <w:szCs w:val="28"/>
              </w:rPr>
              <w:lastRenderedPageBreak/>
              <w:t>nodalījumā Nr.25743 nostiprinātas īpašuma tiesības Latvijas valstij Aizsardzības ministrijas personā.</w:t>
            </w:r>
          </w:p>
          <w:p w:rsidR="00084A13" w:rsidRPr="00084A13" w:rsidRDefault="00084A13" w:rsidP="00084A13">
            <w:pPr>
              <w:ind w:firstLine="402"/>
              <w:jc w:val="both"/>
              <w:rPr>
                <w:sz w:val="28"/>
                <w:szCs w:val="28"/>
              </w:rPr>
            </w:pPr>
            <w:r w:rsidRPr="00084A13">
              <w:rPr>
                <w:sz w:val="28"/>
                <w:szCs w:val="28"/>
              </w:rPr>
              <w:t>Par īpašuma iznomāšanu ir noslēgti šādi nomas līgumi:</w:t>
            </w:r>
          </w:p>
          <w:p w:rsidR="00084A13" w:rsidRPr="00084A13" w:rsidRDefault="00084A13" w:rsidP="00084A13">
            <w:pPr>
              <w:ind w:firstLine="402"/>
              <w:jc w:val="both"/>
              <w:rPr>
                <w:sz w:val="28"/>
                <w:szCs w:val="28"/>
              </w:rPr>
            </w:pPr>
            <w:r w:rsidRPr="00084A13">
              <w:rPr>
                <w:sz w:val="28"/>
                <w:szCs w:val="28"/>
              </w:rPr>
              <w:t xml:space="preserve">1.saskaņā ar 2009.gada 23.marta nomas līgumu </w:t>
            </w:r>
            <w:proofErr w:type="spellStart"/>
            <w:r w:rsidRPr="00084A13">
              <w:rPr>
                <w:sz w:val="28"/>
                <w:szCs w:val="28"/>
              </w:rPr>
              <w:t>Nr.N-009</w:t>
            </w:r>
            <w:proofErr w:type="spellEnd"/>
            <w:r w:rsidRPr="00084A13">
              <w:rPr>
                <w:sz w:val="28"/>
                <w:szCs w:val="28"/>
              </w:rPr>
              <w:t>/2009 sabiedrībai ar ierobežotu atbildību „Antra” iznomātas telpas būvē (būves kadastra apzīmējums 0100 017 0067 004) 84,83 m</w:t>
            </w:r>
            <w:r w:rsidRPr="00084A13">
              <w:rPr>
                <w:sz w:val="28"/>
                <w:szCs w:val="28"/>
                <w:vertAlign w:val="superscript"/>
              </w:rPr>
              <w:t>2</w:t>
            </w:r>
            <w:r w:rsidRPr="00084A13">
              <w:rPr>
                <w:sz w:val="28"/>
                <w:szCs w:val="28"/>
              </w:rPr>
              <w:t xml:space="preserve"> platībā līdz 2014.gada 23.martam. </w:t>
            </w:r>
          </w:p>
          <w:p w:rsidR="00084A13" w:rsidRPr="00084A13" w:rsidRDefault="00084A13" w:rsidP="00084A13">
            <w:pPr>
              <w:ind w:firstLine="402"/>
              <w:jc w:val="both"/>
              <w:rPr>
                <w:sz w:val="28"/>
                <w:szCs w:val="28"/>
              </w:rPr>
            </w:pPr>
            <w:r w:rsidRPr="00084A13">
              <w:rPr>
                <w:sz w:val="28"/>
                <w:szCs w:val="28"/>
              </w:rPr>
              <w:t xml:space="preserve">2. saskaņā ar 2003.gada 31.oktobra nomas līgumu </w:t>
            </w:r>
            <w:proofErr w:type="spellStart"/>
            <w:r w:rsidRPr="00084A13">
              <w:rPr>
                <w:sz w:val="28"/>
                <w:szCs w:val="28"/>
              </w:rPr>
              <w:t>Nr.C-075</w:t>
            </w:r>
            <w:proofErr w:type="spellEnd"/>
            <w:r w:rsidRPr="00084A13">
              <w:rPr>
                <w:sz w:val="28"/>
                <w:szCs w:val="28"/>
              </w:rPr>
              <w:t xml:space="preserve">/2003 un 2005.gada 29.novembra nomas līgumu </w:t>
            </w:r>
            <w:proofErr w:type="spellStart"/>
            <w:r w:rsidRPr="00084A13">
              <w:rPr>
                <w:sz w:val="28"/>
                <w:szCs w:val="28"/>
              </w:rPr>
              <w:t>Nr.N-031</w:t>
            </w:r>
            <w:proofErr w:type="spellEnd"/>
            <w:r w:rsidRPr="00084A13">
              <w:rPr>
                <w:sz w:val="28"/>
                <w:szCs w:val="28"/>
              </w:rPr>
              <w:t>/2005 Valsts tiesu ekspertīžu birojam iznomātas telpas būvē (būves kadastra apzīmējums 0100 017 0067 004) 984,10 m</w:t>
            </w:r>
            <w:r w:rsidRPr="00084A13">
              <w:rPr>
                <w:sz w:val="28"/>
                <w:szCs w:val="28"/>
                <w:vertAlign w:val="superscript"/>
              </w:rPr>
              <w:t>2</w:t>
            </w:r>
            <w:r w:rsidRPr="00084A13">
              <w:rPr>
                <w:sz w:val="28"/>
                <w:szCs w:val="28"/>
              </w:rPr>
              <w:t xml:space="preserve"> platībā, telpas būvē (būves kadastra apzīmējums 0100 017 0067 010) 160,70 m</w:t>
            </w:r>
            <w:r w:rsidRPr="00084A13">
              <w:rPr>
                <w:sz w:val="28"/>
                <w:szCs w:val="28"/>
                <w:vertAlign w:val="superscript"/>
              </w:rPr>
              <w:t>2</w:t>
            </w:r>
            <w:r w:rsidRPr="00084A13">
              <w:rPr>
                <w:sz w:val="28"/>
                <w:szCs w:val="28"/>
              </w:rPr>
              <w:t xml:space="preserve"> platībā, telpas būvē (būves kadastra apzīmējums 0100 017 0067 001) 825,52 m</w:t>
            </w:r>
            <w:r w:rsidRPr="00084A13">
              <w:rPr>
                <w:sz w:val="28"/>
                <w:szCs w:val="28"/>
                <w:vertAlign w:val="superscript"/>
              </w:rPr>
              <w:t xml:space="preserve">2 </w:t>
            </w:r>
            <w:r w:rsidRPr="00084A13">
              <w:rPr>
                <w:sz w:val="28"/>
                <w:szCs w:val="28"/>
              </w:rPr>
              <w:t xml:space="preserve">platībā. Pamatojoties uz 2008.gada 7.jūlija Vienošanos Nr.2 pie 2005.gada 29.novembra Nedzīvojamo telpu nomas līguma </w:t>
            </w:r>
            <w:proofErr w:type="spellStart"/>
            <w:r w:rsidRPr="00084A13">
              <w:rPr>
                <w:sz w:val="28"/>
                <w:szCs w:val="28"/>
              </w:rPr>
              <w:t>Nr.N-031</w:t>
            </w:r>
            <w:proofErr w:type="spellEnd"/>
            <w:r w:rsidRPr="00084A13">
              <w:rPr>
                <w:sz w:val="28"/>
                <w:szCs w:val="28"/>
              </w:rPr>
              <w:t>/2005, precizēts būves kadastra apzīmējums vārdus „kadastra Nr.01000170067001” aizstājot vārdiem „kadastra Nr.01000170067004”.</w:t>
            </w:r>
          </w:p>
          <w:p w:rsidR="00084A13" w:rsidRPr="00084A13" w:rsidRDefault="00084A13" w:rsidP="00084A13">
            <w:pPr>
              <w:ind w:firstLine="402"/>
              <w:jc w:val="both"/>
              <w:rPr>
                <w:sz w:val="28"/>
                <w:szCs w:val="28"/>
              </w:rPr>
            </w:pPr>
            <w:r w:rsidRPr="00084A13">
              <w:rPr>
                <w:sz w:val="28"/>
                <w:szCs w:val="28"/>
              </w:rPr>
              <w:t>Starp Aizsardzības ministriju un sabiedrību ar ierobežotu atbildību „Antra” noslēgtā nomas līguma beigu termiņš ir 2014.gada 23.marts. Saskaņā ar 2010.gada 8.jūnija Ministru kabineta noteikumu Nr.515 9.punktu, iznomātājam, ievērojot sabiedrības intereses un lietderības apsvērumus, ir tiesības līdz nomas līguma termiņa beigām izlemt, vai pagarināt attiecīgā nomas līguma termiņu, vai iznomāt nomas objektu citam nomniekam.</w:t>
            </w:r>
          </w:p>
          <w:p w:rsidR="00084A13" w:rsidRPr="00084A13" w:rsidRDefault="00084A13" w:rsidP="00084A13">
            <w:pPr>
              <w:ind w:firstLine="402"/>
              <w:jc w:val="both"/>
              <w:rPr>
                <w:sz w:val="28"/>
                <w:szCs w:val="28"/>
              </w:rPr>
            </w:pPr>
            <w:r w:rsidRPr="00084A13">
              <w:rPr>
                <w:sz w:val="28"/>
                <w:szCs w:val="28"/>
              </w:rPr>
              <w:t xml:space="preserve">Starp Aizsardzības ministriju un Valsts tiesu ekspertīžu biroju noslēgtā nomas līguma beigu termiņš ir 2030.gada 1.janvāris. Ņemot vērā, ka Valsts tiesu ekspertīžu birojs ir Tieslietu ministrijas padotības iestāde, Aizsardzības ministrija ierosināja valsts nekustamā īpašuma pārņemšanu Tieslietu ministrijas valdījumā, taču saņēma atteikumu no Tieslietu ministrijas ar ierosinājumu nodot valsts nekustamo īpašumu Finanšu ministrijas valdījumā valsts akciju sabiedrības „Valsts nekustamie īpašumi” pārvaldīšanā (Tieslietu ministrijas 2012.gada </w:t>
            </w:r>
            <w:r w:rsidRPr="00084A13">
              <w:rPr>
                <w:sz w:val="28"/>
                <w:szCs w:val="28"/>
              </w:rPr>
              <w:lastRenderedPageBreak/>
              <w:t xml:space="preserve">21.decembra vēstule Nr.4604). </w:t>
            </w:r>
          </w:p>
          <w:p w:rsidR="00084A13" w:rsidRPr="00084A13" w:rsidRDefault="00084A13" w:rsidP="00084A13">
            <w:pPr>
              <w:ind w:firstLine="402"/>
              <w:jc w:val="both"/>
              <w:rPr>
                <w:sz w:val="28"/>
                <w:szCs w:val="28"/>
              </w:rPr>
            </w:pPr>
            <w:r w:rsidRPr="00084A13">
              <w:rPr>
                <w:sz w:val="28"/>
                <w:szCs w:val="28"/>
              </w:rPr>
              <w:t xml:space="preserve">Finanšu ministrija un valsts akciju sabiedrība </w:t>
            </w:r>
            <w:r w:rsidRPr="00084A13">
              <w:rPr>
                <w:sz w:val="28"/>
                <w:szCs w:val="28"/>
              </w:rPr>
              <w:br/>
              <w:t>„Valsts nekustamie īpašumi” informēti, ka valsts nekustamais īpašums apgrūtināts ar nomas līgumiem.</w:t>
            </w:r>
          </w:p>
          <w:p w:rsidR="00434AB0" w:rsidRDefault="00084A13" w:rsidP="00084A13">
            <w:pPr>
              <w:ind w:firstLine="402"/>
              <w:jc w:val="both"/>
              <w:rPr>
                <w:sz w:val="28"/>
                <w:szCs w:val="28"/>
              </w:rPr>
            </w:pPr>
            <w:r w:rsidRPr="00084A13">
              <w:rPr>
                <w:sz w:val="28"/>
                <w:szCs w:val="28"/>
              </w:rPr>
              <w:t>Kopā ar īpašumu Finanšu ministrijas valdījumā tiek nodotas īpašumam funkcionāli piederīgās inženierbūves un komunikāciju tīkli.</w:t>
            </w:r>
          </w:p>
          <w:p w:rsidR="00084A13" w:rsidRPr="00084A13" w:rsidRDefault="00084A13" w:rsidP="00084A13">
            <w:pPr>
              <w:ind w:firstLine="402"/>
              <w:jc w:val="both"/>
              <w:rPr>
                <w:sz w:val="28"/>
                <w:szCs w:val="28"/>
              </w:rPr>
            </w:pPr>
            <w:r w:rsidRPr="00084A13">
              <w:rPr>
                <w:sz w:val="28"/>
                <w:szCs w:val="28"/>
              </w:rPr>
              <w:t>Pamatojoties uz Valsts nekustamā īpašuma vienotas pārvaldīšanas un apsaimniekošanas koncepcijas 8.1.apakšpunktu (apstiprināta ar Ministru kabineta 2006.gada 9.maija rīkojumu Nr.319 „Par Valsts nekustamā īpašuma vienotas pārvaldīšanas un apsaimniekošanas koncepciju”), ar tiešo funkciju veikšanu nesaistīti un valsts īpašumā saglabājami nekustamie īpašumi nododami Finanšu ministrijas valdījumā valsts akciju sabiedrības „Valsts nekustamie īpašumi” pārvaldīšanā.</w:t>
            </w:r>
          </w:p>
          <w:p w:rsidR="00084A13" w:rsidRPr="001E20B2" w:rsidRDefault="00084A13" w:rsidP="00084A13">
            <w:pPr>
              <w:ind w:firstLine="402"/>
              <w:jc w:val="both"/>
              <w:rPr>
                <w:sz w:val="28"/>
                <w:szCs w:val="28"/>
              </w:rPr>
            </w:pPr>
            <w:r w:rsidRPr="00084A13">
              <w:rPr>
                <w:sz w:val="28"/>
                <w:szCs w:val="28"/>
              </w:rPr>
              <w:t>Rīkojuma projekta mērķis ir mainīt valsts nekustamā īpašuma valdītāju, jo Aizsardzības ministrija turpmāk neplāno izmantot īpašumu valsts aizsardzības funkciju nodrošināšanai.</w:t>
            </w:r>
          </w:p>
        </w:tc>
      </w:tr>
      <w:tr w:rsidR="00434AB0" w:rsidRPr="001E20B2" w:rsidTr="00873A44">
        <w:tc>
          <w:tcPr>
            <w:tcW w:w="1626" w:type="pct"/>
            <w:tcBorders>
              <w:top w:val="outset" w:sz="6" w:space="0" w:color="auto"/>
              <w:left w:val="outset" w:sz="6" w:space="0" w:color="auto"/>
              <w:bottom w:val="outset" w:sz="6" w:space="0" w:color="auto"/>
              <w:right w:val="outset" w:sz="6" w:space="0" w:color="auto"/>
            </w:tcBorders>
          </w:tcPr>
          <w:p w:rsidR="00434AB0" w:rsidRPr="001E20B2" w:rsidRDefault="00434AB0" w:rsidP="00873A44">
            <w:pPr>
              <w:pStyle w:val="NormalWeb"/>
              <w:tabs>
                <w:tab w:val="left" w:pos="180"/>
              </w:tabs>
              <w:spacing w:before="0" w:beforeAutospacing="0" w:after="0" w:afterAutospacing="0"/>
              <w:jc w:val="both"/>
              <w:rPr>
                <w:sz w:val="28"/>
                <w:szCs w:val="28"/>
              </w:rPr>
            </w:pPr>
            <w:r>
              <w:rPr>
                <w:sz w:val="28"/>
                <w:szCs w:val="28"/>
              </w:rPr>
              <w:lastRenderedPageBreak/>
              <w:t>3</w:t>
            </w:r>
            <w:r w:rsidRPr="001E20B2">
              <w:rPr>
                <w:sz w:val="28"/>
                <w:szCs w:val="28"/>
              </w:rPr>
              <w:t>.Projekta izstrādē iesaistītās institūcijas</w:t>
            </w:r>
          </w:p>
        </w:tc>
        <w:tc>
          <w:tcPr>
            <w:tcW w:w="3374" w:type="pct"/>
            <w:tcBorders>
              <w:top w:val="outset" w:sz="6" w:space="0" w:color="auto"/>
              <w:left w:val="outset" w:sz="6" w:space="0" w:color="auto"/>
              <w:bottom w:val="outset" w:sz="6" w:space="0" w:color="auto"/>
              <w:right w:val="outset" w:sz="6" w:space="0" w:color="auto"/>
            </w:tcBorders>
          </w:tcPr>
          <w:p w:rsidR="00434AB0" w:rsidRPr="001E20B2" w:rsidRDefault="00434AB0" w:rsidP="00084A13">
            <w:pPr>
              <w:autoSpaceDE w:val="0"/>
              <w:autoSpaceDN w:val="0"/>
              <w:adjustRightInd w:val="0"/>
              <w:ind w:firstLine="402"/>
              <w:jc w:val="both"/>
              <w:rPr>
                <w:color w:val="FF0000"/>
                <w:sz w:val="28"/>
                <w:szCs w:val="28"/>
              </w:rPr>
            </w:pPr>
            <w:r w:rsidRPr="001E20B2">
              <w:rPr>
                <w:sz w:val="28"/>
                <w:szCs w:val="28"/>
              </w:rPr>
              <w:t>Aizsardzības ministrija</w:t>
            </w:r>
            <w:r w:rsidR="00084A13">
              <w:rPr>
                <w:sz w:val="28"/>
                <w:szCs w:val="28"/>
              </w:rPr>
              <w:t xml:space="preserve">, Finanšu ministrija, </w:t>
            </w:r>
            <w:r w:rsidRPr="001E20B2">
              <w:rPr>
                <w:sz w:val="28"/>
                <w:szCs w:val="28"/>
              </w:rPr>
              <w:t xml:space="preserve"> Valsts aizsardzības militāro objektu un iepirkumu centrs</w:t>
            </w:r>
            <w:r w:rsidR="00084A13">
              <w:rPr>
                <w:sz w:val="28"/>
                <w:szCs w:val="28"/>
              </w:rPr>
              <w:t xml:space="preserve"> un valsts akciju sabiedrība „Valsts nekustamie īpašumi”</w:t>
            </w:r>
            <w:r w:rsidRPr="001E20B2">
              <w:rPr>
                <w:sz w:val="28"/>
                <w:szCs w:val="28"/>
              </w:rPr>
              <w:t>.</w:t>
            </w:r>
          </w:p>
        </w:tc>
      </w:tr>
      <w:tr w:rsidR="00434AB0" w:rsidRPr="001E20B2" w:rsidTr="00873A44">
        <w:tc>
          <w:tcPr>
            <w:tcW w:w="1626" w:type="pct"/>
            <w:tcBorders>
              <w:top w:val="outset" w:sz="6" w:space="0" w:color="auto"/>
              <w:left w:val="outset" w:sz="6" w:space="0" w:color="auto"/>
              <w:bottom w:val="outset" w:sz="6" w:space="0" w:color="auto"/>
              <w:right w:val="outset" w:sz="6" w:space="0" w:color="auto"/>
            </w:tcBorders>
          </w:tcPr>
          <w:p w:rsidR="00434AB0" w:rsidRPr="001E20B2" w:rsidRDefault="00434AB0" w:rsidP="00873A44">
            <w:pPr>
              <w:pStyle w:val="NormalWeb"/>
              <w:tabs>
                <w:tab w:val="left" w:pos="180"/>
              </w:tabs>
              <w:spacing w:before="0" w:beforeAutospacing="0" w:after="0" w:afterAutospacing="0"/>
              <w:rPr>
                <w:sz w:val="28"/>
                <w:szCs w:val="28"/>
              </w:rPr>
            </w:pPr>
            <w:r>
              <w:rPr>
                <w:sz w:val="28"/>
                <w:szCs w:val="28"/>
              </w:rPr>
              <w:t>4</w:t>
            </w:r>
            <w:r w:rsidRPr="001E20B2">
              <w:rPr>
                <w:sz w:val="28"/>
                <w:szCs w:val="28"/>
              </w:rPr>
              <w:t>.Cita informācija</w:t>
            </w:r>
          </w:p>
        </w:tc>
        <w:tc>
          <w:tcPr>
            <w:tcW w:w="3374" w:type="pct"/>
            <w:tcBorders>
              <w:top w:val="outset" w:sz="6" w:space="0" w:color="auto"/>
              <w:left w:val="outset" w:sz="6" w:space="0" w:color="auto"/>
              <w:bottom w:val="outset" w:sz="6" w:space="0" w:color="auto"/>
              <w:right w:val="outset" w:sz="6" w:space="0" w:color="auto"/>
            </w:tcBorders>
          </w:tcPr>
          <w:p w:rsidR="00434AB0" w:rsidRPr="001E20B2" w:rsidRDefault="00084A13" w:rsidP="00873A44">
            <w:pPr>
              <w:ind w:firstLine="402"/>
              <w:jc w:val="both"/>
              <w:rPr>
                <w:color w:val="FF0000"/>
                <w:sz w:val="28"/>
                <w:szCs w:val="28"/>
              </w:rPr>
            </w:pPr>
            <w:r>
              <w:rPr>
                <w:sz w:val="28"/>
                <w:szCs w:val="28"/>
              </w:rPr>
              <w:t>Saistībā ar Finanšu ministrijas valdījumā nododamo valsts nekustamo īpašumu nav ierosināta tiesvedība.</w:t>
            </w:r>
          </w:p>
        </w:tc>
      </w:tr>
    </w:tbl>
    <w:p w:rsidR="00434AB0" w:rsidRPr="001E20B2" w:rsidRDefault="00434AB0" w:rsidP="00434AB0">
      <w:pPr>
        <w:rPr>
          <w:sz w:val="28"/>
          <w:szCs w:val="28"/>
        </w:rPr>
      </w:pPr>
      <w:r w:rsidRPr="001E20B2">
        <w:rPr>
          <w:sz w:val="28"/>
          <w:szCs w:val="28"/>
        </w:rPr>
        <w:t>Anotācijas II sadaļa – šo jomu neskar.</w:t>
      </w: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434AB0" w:rsidRPr="001E20B2" w:rsidTr="00873A44">
        <w:tc>
          <w:tcPr>
            <w:tcW w:w="5000" w:type="pct"/>
            <w:gridSpan w:val="6"/>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jc w:val="center"/>
              <w:rPr>
                <w:b/>
                <w:bCs/>
                <w:sz w:val="28"/>
                <w:szCs w:val="28"/>
              </w:rPr>
            </w:pPr>
            <w:r w:rsidRPr="001E20B2">
              <w:rPr>
                <w:b/>
                <w:bCs/>
                <w:sz w:val="28"/>
                <w:szCs w:val="28"/>
              </w:rPr>
              <w:t>III. Tiesību akta projekta ietekme uz valsts budžetu un pašvaldību budžetiem</w:t>
            </w:r>
          </w:p>
        </w:tc>
      </w:tr>
      <w:tr w:rsidR="00434AB0" w:rsidRPr="001E20B2" w:rsidTr="00873A44">
        <w:tc>
          <w:tcPr>
            <w:tcW w:w="1512" w:type="pct"/>
            <w:vMerge w:val="restar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b/>
                <w:bCs/>
                <w:sz w:val="28"/>
                <w:szCs w:val="28"/>
              </w:rPr>
            </w:pPr>
            <w:r w:rsidRPr="001E20B2">
              <w:rPr>
                <w:b/>
                <w:bCs/>
                <w:sz w:val="28"/>
                <w:szCs w:val="28"/>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b/>
                <w:bCs/>
                <w:sz w:val="28"/>
                <w:szCs w:val="28"/>
              </w:rPr>
            </w:pPr>
            <w:r w:rsidRPr="001E20B2">
              <w:rPr>
                <w:b/>
                <w:bCs/>
                <w:sz w:val="28"/>
                <w:szCs w:val="28"/>
              </w:rPr>
              <w:t>2014.gads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1E20B2">
                <w:rPr>
                  <w:sz w:val="28"/>
                  <w:szCs w:val="28"/>
                </w:rPr>
                <w:t>. latu</w:t>
              </w:r>
            </w:smartTag>
            <w:r w:rsidRPr="001E20B2">
              <w:rPr>
                <w:sz w:val="28"/>
                <w:szCs w:val="28"/>
              </w:rPr>
              <w:t>)</w:t>
            </w:r>
          </w:p>
        </w:tc>
      </w:tr>
      <w:tr w:rsidR="00434AB0" w:rsidRPr="001E20B2" w:rsidTr="00873A44">
        <w:tc>
          <w:tcPr>
            <w:tcW w:w="1512" w:type="pct"/>
            <w:vMerge/>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rPr>
                <w:b/>
                <w:bCs/>
                <w:sz w:val="28"/>
                <w:szCs w:val="2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rPr>
                <w:b/>
                <w:bCs/>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b/>
                <w:bCs/>
                <w:sz w:val="28"/>
                <w:szCs w:val="28"/>
              </w:rPr>
            </w:pPr>
            <w:r w:rsidRPr="001E20B2">
              <w:rPr>
                <w:b/>
                <w:bCs/>
                <w:sz w:val="28"/>
                <w:szCs w:val="28"/>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b/>
                <w:bCs/>
                <w:sz w:val="28"/>
                <w:szCs w:val="28"/>
              </w:rPr>
            </w:pPr>
            <w:r w:rsidRPr="001E20B2">
              <w:rPr>
                <w:b/>
                <w:bCs/>
                <w:sz w:val="28"/>
                <w:szCs w:val="28"/>
              </w:rPr>
              <w:t>2016</w:t>
            </w:r>
          </w:p>
        </w:tc>
        <w:tc>
          <w:tcPr>
            <w:tcW w:w="676" w:type="pc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b/>
                <w:bCs/>
                <w:sz w:val="28"/>
                <w:szCs w:val="28"/>
              </w:rPr>
            </w:pPr>
            <w:r w:rsidRPr="001E20B2">
              <w:rPr>
                <w:b/>
                <w:bCs/>
                <w:sz w:val="28"/>
                <w:szCs w:val="28"/>
              </w:rPr>
              <w:t>2017</w:t>
            </w:r>
          </w:p>
        </w:tc>
      </w:tr>
      <w:tr w:rsidR="00434AB0" w:rsidRPr="001E20B2" w:rsidTr="00873A44">
        <w:tc>
          <w:tcPr>
            <w:tcW w:w="1512" w:type="pct"/>
            <w:vMerge/>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rPr>
                <w:b/>
                <w:bCs/>
                <w:sz w:val="28"/>
                <w:szCs w:val="28"/>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izmaiņas, salīdzinot ar kārtējo (n) gadu</w:t>
            </w:r>
          </w:p>
        </w:tc>
        <w:tc>
          <w:tcPr>
            <w:tcW w:w="676" w:type="pc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izmaiņas, salīdzinot ar kārtējo (n) gadu</w:t>
            </w: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5</w:t>
            </w:r>
          </w:p>
        </w:tc>
        <w:tc>
          <w:tcPr>
            <w:tcW w:w="676" w:type="pc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6</w:t>
            </w: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1. Budžeta ieņēmumi:</w:t>
            </w:r>
          </w:p>
        </w:tc>
        <w:tc>
          <w:tcPr>
            <w:tcW w:w="3488" w:type="pct"/>
            <w:gridSpan w:val="5"/>
            <w:vMerge w:val="restart"/>
            <w:tcBorders>
              <w:top w:val="outset" w:sz="6" w:space="0" w:color="000000"/>
              <w:left w:val="outset" w:sz="6" w:space="0" w:color="000000"/>
              <w:right w:val="outset" w:sz="6" w:space="0" w:color="000000"/>
            </w:tcBorders>
            <w:vAlign w:val="center"/>
          </w:tcPr>
          <w:p w:rsidR="00434AB0" w:rsidRPr="001E20B2" w:rsidRDefault="00434AB0" w:rsidP="00873A44">
            <w:pPr>
              <w:jc w:val="center"/>
              <w:rPr>
                <w:sz w:val="28"/>
                <w:szCs w:val="28"/>
              </w:rPr>
            </w:pPr>
            <w:r w:rsidRPr="001E20B2">
              <w:rPr>
                <w:sz w:val="28"/>
                <w:szCs w:val="28"/>
              </w:rPr>
              <w:t>Projekts šo jomu neskar.</w:t>
            </w: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lastRenderedPageBreak/>
              <w:t>1.1. valsts pamatbudžets, tai skaitā ieņēmumi no maksas pakalpojumiem un citi pašu ieņēmumi</w:t>
            </w:r>
          </w:p>
        </w:tc>
        <w:tc>
          <w:tcPr>
            <w:tcW w:w="3488" w:type="pct"/>
            <w:gridSpan w:val="5"/>
            <w:vMerge/>
            <w:tcBorders>
              <w:left w:val="outset" w:sz="6" w:space="0" w:color="000000"/>
              <w:right w:val="outset" w:sz="6" w:space="0" w:color="000000"/>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1.2. valsts speciālais budžets</w:t>
            </w:r>
          </w:p>
        </w:tc>
        <w:tc>
          <w:tcPr>
            <w:tcW w:w="3488" w:type="pct"/>
            <w:gridSpan w:val="5"/>
            <w:vMerge/>
            <w:tcBorders>
              <w:left w:val="outset" w:sz="6" w:space="0" w:color="000000"/>
              <w:right w:val="outset" w:sz="6" w:space="0" w:color="000000"/>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outset" w:sz="6" w:space="0" w:color="000000"/>
              <w:left w:val="outset" w:sz="6" w:space="0" w:color="000000"/>
              <w:bottom w:val="single" w:sz="4" w:space="0" w:color="auto"/>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1.3. pašvaldību budžets</w:t>
            </w:r>
          </w:p>
        </w:tc>
        <w:tc>
          <w:tcPr>
            <w:tcW w:w="3488" w:type="pct"/>
            <w:gridSpan w:val="5"/>
            <w:vMerge/>
            <w:tcBorders>
              <w:left w:val="outset" w:sz="6" w:space="0" w:color="000000"/>
              <w:bottom w:val="single" w:sz="4" w:space="0" w:color="auto"/>
              <w:right w:val="outset" w:sz="6" w:space="0" w:color="000000"/>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single" w:sz="4" w:space="0" w:color="auto"/>
              <w:left w:val="single" w:sz="4" w:space="0" w:color="auto"/>
              <w:bottom w:val="single" w:sz="4" w:space="0" w:color="auto"/>
              <w:right w:val="single" w:sz="4" w:space="0" w:color="auto"/>
            </w:tcBorders>
          </w:tcPr>
          <w:p w:rsidR="00434AB0" w:rsidRPr="001E20B2" w:rsidRDefault="00434AB0" w:rsidP="00873A44">
            <w:pPr>
              <w:spacing w:before="100" w:beforeAutospacing="1" w:after="100" w:afterAutospacing="1"/>
              <w:rPr>
                <w:sz w:val="28"/>
                <w:szCs w:val="28"/>
              </w:rPr>
            </w:pPr>
            <w:r w:rsidRPr="001E20B2">
              <w:rPr>
                <w:sz w:val="28"/>
                <w:szCs w:val="28"/>
              </w:rPr>
              <w:t>2. Budžeta izdevumi:</w:t>
            </w:r>
          </w:p>
        </w:tc>
        <w:tc>
          <w:tcPr>
            <w:tcW w:w="3488" w:type="pct"/>
            <w:gridSpan w:val="5"/>
            <w:vMerge w:val="restart"/>
            <w:tcBorders>
              <w:top w:val="single" w:sz="4" w:space="0" w:color="auto"/>
              <w:left w:val="single" w:sz="4" w:space="0" w:color="auto"/>
              <w:right w:val="single" w:sz="4" w:space="0" w:color="auto"/>
            </w:tcBorders>
            <w:vAlign w:val="center"/>
          </w:tcPr>
          <w:p w:rsidR="00434AB0" w:rsidRPr="001E20B2" w:rsidRDefault="00434AB0" w:rsidP="00873A44">
            <w:pPr>
              <w:jc w:val="center"/>
              <w:rPr>
                <w:sz w:val="28"/>
                <w:szCs w:val="28"/>
              </w:rPr>
            </w:pPr>
            <w:r w:rsidRPr="001E20B2">
              <w:rPr>
                <w:sz w:val="28"/>
                <w:szCs w:val="28"/>
              </w:rPr>
              <w:t>Projekts šo jomu neskar.</w:t>
            </w:r>
          </w:p>
        </w:tc>
      </w:tr>
      <w:tr w:rsidR="00434AB0" w:rsidRPr="001E20B2" w:rsidTr="00873A44">
        <w:tc>
          <w:tcPr>
            <w:tcW w:w="1512" w:type="pct"/>
            <w:tcBorders>
              <w:top w:val="single" w:sz="4" w:space="0" w:color="auto"/>
              <w:left w:val="single" w:sz="4" w:space="0" w:color="auto"/>
              <w:bottom w:val="single" w:sz="4" w:space="0" w:color="auto"/>
              <w:right w:val="single" w:sz="4" w:space="0" w:color="auto"/>
            </w:tcBorders>
          </w:tcPr>
          <w:p w:rsidR="00434AB0" w:rsidRPr="001E20B2" w:rsidRDefault="00434AB0" w:rsidP="00873A44">
            <w:pPr>
              <w:spacing w:before="100" w:beforeAutospacing="1" w:after="100" w:afterAutospacing="1"/>
              <w:rPr>
                <w:sz w:val="28"/>
                <w:szCs w:val="28"/>
              </w:rPr>
            </w:pPr>
            <w:r w:rsidRPr="001E20B2">
              <w:rPr>
                <w:sz w:val="28"/>
                <w:szCs w:val="28"/>
              </w:rPr>
              <w:t>2.1. valsts pamatbudžets</w:t>
            </w:r>
          </w:p>
        </w:tc>
        <w:tc>
          <w:tcPr>
            <w:tcW w:w="3488" w:type="pct"/>
            <w:gridSpan w:val="5"/>
            <w:vMerge/>
            <w:tcBorders>
              <w:left w:val="single" w:sz="4" w:space="0" w:color="auto"/>
              <w:right w:val="single" w:sz="4" w:space="0" w:color="auto"/>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single" w:sz="4" w:space="0" w:color="auto"/>
              <w:left w:val="single" w:sz="4" w:space="0" w:color="auto"/>
              <w:bottom w:val="single" w:sz="4" w:space="0" w:color="auto"/>
              <w:right w:val="single" w:sz="4" w:space="0" w:color="auto"/>
            </w:tcBorders>
          </w:tcPr>
          <w:p w:rsidR="00434AB0" w:rsidRPr="001E20B2" w:rsidRDefault="00434AB0" w:rsidP="00873A44">
            <w:pPr>
              <w:spacing w:before="100" w:beforeAutospacing="1" w:after="100" w:afterAutospacing="1"/>
              <w:rPr>
                <w:sz w:val="28"/>
                <w:szCs w:val="28"/>
              </w:rPr>
            </w:pPr>
            <w:r w:rsidRPr="001E20B2">
              <w:rPr>
                <w:sz w:val="28"/>
                <w:szCs w:val="28"/>
              </w:rPr>
              <w:t>2.2. valsts speciālais budžets</w:t>
            </w:r>
          </w:p>
        </w:tc>
        <w:tc>
          <w:tcPr>
            <w:tcW w:w="3488" w:type="pct"/>
            <w:gridSpan w:val="5"/>
            <w:vMerge/>
            <w:tcBorders>
              <w:left w:val="single" w:sz="4" w:space="0" w:color="auto"/>
              <w:right w:val="single" w:sz="4" w:space="0" w:color="auto"/>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single" w:sz="4" w:space="0" w:color="auto"/>
              <w:left w:val="single" w:sz="4" w:space="0" w:color="auto"/>
              <w:bottom w:val="single" w:sz="4" w:space="0" w:color="auto"/>
              <w:right w:val="single" w:sz="4" w:space="0" w:color="auto"/>
            </w:tcBorders>
          </w:tcPr>
          <w:p w:rsidR="00434AB0" w:rsidRPr="001E20B2" w:rsidRDefault="00434AB0" w:rsidP="00873A44">
            <w:pPr>
              <w:spacing w:before="100" w:beforeAutospacing="1" w:after="100" w:afterAutospacing="1"/>
              <w:rPr>
                <w:sz w:val="28"/>
                <w:szCs w:val="28"/>
              </w:rPr>
            </w:pPr>
            <w:r w:rsidRPr="001E20B2">
              <w:rPr>
                <w:sz w:val="28"/>
                <w:szCs w:val="28"/>
              </w:rPr>
              <w:t>2.3. pašvaldību budžets</w:t>
            </w:r>
          </w:p>
        </w:tc>
        <w:tc>
          <w:tcPr>
            <w:tcW w:w="3488" w:type="pct"/>
            <w:gridSpan w:val="5"/>
            <w:vMerge/>
            <w:tcBorders>
              <w:left w:val="single" w:sz="4" w:space="0" w:color="auto"/>
              <w:bottom w:val="single" w:sz="4" w:space="0" w:color="auto"/>
              <w:right w:val="single" w:sz="4" w:space="0" w:color="auto"/>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single" w:sz="4" w:space="0" w:color="auto"/>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3. Finansiālā ietekme:</w:t>
            </w:r>
          </w:p>
        </w:tc>
        <w:tc>
          <w:tcPr>
            <w:tcW w:w="3488" w:type="pct"/>
            <w:gridSpan w:val="5"/>
            <w:vMerge w:val="restart"/>
            <w:tcBorders>
              <w:top w:val="single" w:sz="4" w:space="0" w:color="auto"/>
              <w:left w:val="outset" w:sz="6" w:space="0" w:color="000000"/>
              <w:right w:val="outset" w:sz="6" w:space="0" w:color="000000"/>
            </w:tcBorders>
            <w:vAlign w:val="center"/>
          </w:tcPr>
          <w:p w:rsidR="00434AB0" w:rsidRPr="001E20B2" w:rsidRDefault="00434AB0" w:rsidP="00873A44">
            <w:pPr>
              <w:jc w:val="center"/>
              <w:rPr>
                <w:sz w:val="28"/>
                <w:szCs w:val="28"/>
              </w:rPr>
            </w:pPr>
            <w:r w:rsidRPr="001E20B2">
              <w:rPr>
                <w:sz w:val="28"/>
                <w:szCs w:val="28"/>
              </w:rPr>
              <w:t>Projekts šo jomu neskar.</w:t>
            </w: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3.1. valsts pamatbudžets</w:t>
            </w:r>
          </w:p>
        </w:tc>
        <w:tc>
          <w:tcPr>
            <w:tcW w:w="3488" w:type="pct"/>
            <w:gridSpan w:val="5"/>
            <w:vMerge/>
            <w:tcBorders>
              <w:left w:val="outset" w:sz="6" w:space="0" w:color="000000"/>
              <w:right w:val="outset" w:sz="6" w:space="0" w:color="000000"/>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3.2. speciālais budžets</w:t>
            </w:r>
          </w:p>
        </w:tc>
        <w:tc>
          <w:tcPr>
            <w:tcW w:w="3488" w:type="pct"/>
            <w:gridSpan w:val="5"/>
            <w:vMerge/>
            <w:tcBorders>
              <w:left w:val="outset" w:sz="6" w:space="0" w:color="000000"/>
              <w:right w:val="outset" w:sz="6" w:space="0" w:color="000000"/>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3.3. pašvaldību budžets</w:t>
            </w:r>
          </w:p>
        </w:tc>
        <w:tc>
          <w:tcPr>
            <w:tcW w:w="3488" w:type="pct"/>
            <w:gridSpan w:val="5"/>
            <w:vMerge/>
            <w:tcBorders>
              <w:left w:val="outset" w:sz="6" w:space="0" w:color="000000"/>
              <w:bottom w:val="outset" w:sz="6" w:space="0" w:color="000000"/>
              <w:right w:val="outset" w:sz="6" w:space="0" w:color="000000"/>
            </w:tcBorders>
            <w:vAlign w:val="center"/>
          </w:tcPr>
          <w:p w:rsidR="00434AB0" w:rsidRPr="001E20B2" w:rsidRDefault="00434AB0" w:rsidP="00873A44">
            <w:pPr>
              <w:jc w:val="center"/>
              <w:rPr>
                <w:sz w:val="28"/>
                <w:szCs w:val="28"/>
              </w:rPr>
            </w:pPr>
          </w:p>
        </w:tc>
      </w:tr>
      <w:tr w:rsidR="00434AB0" w:rsidRPr="001E20B2" w:rsidTr="00873A44">
        <w:trPr>
          <w:trHeight w:val="1400"/>
        </w:trPr>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4. Finanšu līdzekļi papildu izde</w:t>
            </w:r>
            <w:r w:rsidRPr="001E20B2">
              <w:rPr>
                <w:sz w:val="28"/>
                <w:szCs w:val="28"/>
              </w:rP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X</w:t>
            </w:r>
          </w:p>
        </w:tc>
        <w:tc>
          <w:tcPr>
            <w:tcW w:w="2801" w:type="pct"/>
            <w:gridSpan w:val="4"/>
            <w:tcBorders>
              <w:top w:val="outset" w:sz="6" w:space="0" w:color="000000"/>
              <w:left w:val="outset" w:sz="6" w:space="0" w:color="000000"/>
              <w:right w:val="outset" w:sz="6" w:space="0" w:color="000000"/>
            </w:tcBorders>
            <w:vAlign w:val="center"/>
          </w:tcPr>
          <w:p w:rsidR="00434AB0" w:rsidRPr="001E20B2" w:rsidRDefault="00434AB0" w:rsidP="00873A44">
            <w:pPr>
              <w:jc w:val="center"/>
              <w:rPr>
                <w:sz w:val="28"/>
                <w:szCs w:val="28"/>
              </w:rPr>
            </w:pPr>
            <w:r w:rsidRPr="001E20B2">
              <w:rPr>
                <w:sz w:val="28"/>
                <w:szCs w:val="28"/>
              </w:rPr>
              <w:t>Precīzi nav aprēķināms.</w:t>
            </w: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spacing w:before="100" w:beforeAutospacing="1" w:after="100" w:afterAutospacing="1"/>
              <w:jc w:val="center"/>
              <w:rPr>
                <w:sz w:val="28"/>
                <w:szCs w:val="28"/>
              </w:rPr>
            </w:pPr>
            <w:r w:rsidRPr="001E20B2">
              <w:rPr>
                <w:sz w:val="28"/>
                <w:szCs w:val="28"/>
              </w:rPr>
              <w:t>X</w:t>
            </w:r>
          </w:p>
        </w:tc>
        <w:tc>
          <w:tcPr>
            <w:tcW w:w="2801" w:type="pct"/>
            <w:gridSpan w:val="4"/>
            <w:vMerge w:val="restart"/>
            <w:tcBorders>
              <w:top w:val="outset" w:sz="6" w:space="0" w:color="000000"/>
              <w:left w:val="outset" w:sz="6" w:space="0" w:color="000000"/>
              <w:right w:val="outset" w:sz="6" w:space="0" w:color="000000"/>
            </w:tcBorders>
            <w:vAlign w:val="center"/>
          </w:tcPr>
          <w:p w:rsidR="00434AB0" w:rsidRPr="001E20B2" w:rsidRDefault="00434AB0" w:rsidP="00873A44">
            <w:pPr>
              <w:jc w:val="center"/>
              <w:rPr>
                <w:sz w:val="28"/>
                <w:szCs w:val="28"/>
              </w:rPr>
            </w:pPr>
            <w:r w:rsidRPr="001E20B2">
              <w:rPr>
                <w:sz w:val="28"/>
                <w:szCs w:val="28"/>
              </w:rPr>
              <w:t>Precīzi nav aprēķināms.</w:t>
            </w: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jc w:val="center"/>
              <w:rPr>
                <w:sz w:val="28"/>
                <w:szCs w:val="28"/>
              </w:rPr>
            </w:pPr>
          </w:p>
        </w:tc>
        <w:tc>
          <w:tcPr>
            <w:tcW w:w="2801" w:type="pct"/>
            <w:gridSpan w:val="4"/>
            <w:vMerge/>
            <w:tcBorders>
              <w:left w:val="outset" w:sz="6" w:space="0" w:color="000000"/>
              <w:right w:val="outset" w:sz="6" w:space="0" w:color="000000"/>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jc w:val="center"/>
              <w:rPr>
                <w:sz w:val="28"/>
                <w:szCs w:val="28"/>
              </w:rPr>
            </w:pPr>
          </w:p>
        </w:tc>
        <w:tc>
          <w:tcPr>
            <w:tcW w:w="2801" w:type="pct"/>
            <w:gridSpan w:val="4"/>
            <w:vMerge/>
            <w:tcBorders>
              <w:left w:val="outset" w:sz="6" w:space="0" w:color="000000"/>
              <w:right w:val="outset" w:sz="6" w:space="0" w:color="000000"/>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jc w:val="center"/>
              <w:rPr>
                <w:sz w:val="28"/>
                <w:szCs w:val="28"/>
              </w:rPr>
            </w:pPr>
          </w:p>
        </w:tc>
        <w:tc>
          <w:tcPr>
            <w:tcW w:w="2801" w:type="pct"/>
            <w:gridSpan w:val="4"/>
            <w:vMerge/>
            <w:tcBorders>
              <w:left w:val="outset" w:sz="6" w:space="0" w:color="000000"/>
              <w:bottom w:val="outset" w:sz="6" w:space="0" w:color="000000"/>
              <w:right w:val="outset" w:sz="6" w:space="0" w:color="000000"/>
            </w:tcBorders>
            <w:vAlign w:val="center"/>
          </w:tcPr>
          <w:p w:rsidR="00434AB0" w:rsidRPr="001E20B2" w:rsidRDefault="00434AB0" w:rsidP="00873A44">
            <w:pPr>
              <w:jc w:val="center"/>
              <w:rPr>
                <w:sz w:val="28"/>
                <w:szCs w:val="28"/>
              </w:rPr>
            </w:pP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6. Detalizēts ieņēmumu un izdevu</w:t>
            </w:r>
            <w:r w:rsidRPr="001E20B2">
              <w:rPr>
                <w:sz w:val="28"/>
                <w:szCs w:val="28"/>
              </w:rP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jc w:val="both"/>
              <w:rPr>
                <w:sz w:val="28"/>
                <w:szCs w:val="28"/>
              </w:rPr>
            </w:pPr>
            <w:r w:rsidRPr="001E20B2">
              <w:rPr>
                <w:sz w:val="28"/>
                <w:szCs w:val="28"/>
              </w:rPr>
              <w:t> Precīzi nav aprēķināms.</w:t>
            </w:r>
          </w:p>
          <w:p w:rsidR="00434AB0" w:rsidRPr="001E20B2" w:rsidRDefault="00434AB0" w:rsidP="00873A44">
            <w:pPr>
              <w:jc w:val="both"/>
              <w:rPr>
                <w:sz w:val="28"/>
                <w:szCs w:val="28"/>
              </w:rPr>
            </w:pPr>
          </w:p>
          <w:p w:rsidR="00434AB0" w:rsidRPr="001E20B2" w:rsidRDefault="00434AB0" w:rsidP="00873A44">
            <w:pPr>
              <w:rPr>
                <w:sz w:val="28"/>
                <w:szCs w:val="28"/>
              </w:rPr>
            </w:pPr>
          </w:p>
          <w:p w:rsidR="00434AB0" w:rsidRPr="001E20B2" w:rsidRDefault="00434AB0" w:rsidP="00873A44">
            <w:pPr>
              <w:rPr>
                <w:sz w:val="28"/>
                <w:szCs w:val="28"/>
              </w:rPr>
            </w:pPr>
          </w:p>
          <w:p w:rsidR="00434AB0" w:rsidRPr="001E20B2" w:rsidRDefault="00434AB0" w:rsidP="00873A44">
            <w:pPr>
              <w:rPr>
                <w:sz w:val="28"/>
                <w:szCs w:val="28"/>
              </w:rPr>
            </w:pPr>
          </w:p>
          <w:p w:rsidR="00434AB0" w:rsidRPr="001E20B2" w:rsidRDefault="00434AB0" w:rsidP="00873A44">
            <w:pPr>
              <w:rPr>
                <w:sz w:val="28"/>
                <w:szCs w:val="28"/>
              </w:rPr>
            </w:pPr>
          </w:p>
          <w:p w:rsidR="00434AB0" w:rsidRPr="001E20B2" w:rsidRDefault="00434AB0" w:rsidP="00873A44">
            <w:pPr>
              <w:ind w:firstLine="720"/>
              <w:jc w:val="both"/>
              <w:rPr>
                <w:sz w:val="28"/>
                <w:szCs w:val="28"/>
              </w:rPr>
            </w:pP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rPr>
                <w:sz w:val="28"/>
                <w:szCs w:val="28"/>
              </w:rPr>
            </w:pP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434AB0" w:rsidRPr="001E20B2" w:rsidRDefault="00434AB0" w:rsidP="00873A44">
            <w:pPr>
              <w:rPr>
                <w:sz w:val="28"/>
                <w:szCs w:val="28"/>
              </w:rPr>
            </w:pPr>
          </w:p>
        </w:tc>
      </w:tr>
      <w:tr w:rsidR="00434AB0" w:rsidRPr="001E20B2" w:rsidTr="00873A44">
        <w:tc>
          <w:tcPr>
            <w:tcW w:w="1512" w:type="pct"/>
            <w:tcBorders>
              <w:top w:val="outset" w:sz="6" w:space="0" w:color="000000"/>
              <w:left w:val="outset" w:sz="6" w:space="0" w:color="000000"/>
              <w:bottom w:val="outset" w:sz="6" w:space="0" w:color="000000"/>
              <w:right w:val="outset" w:sz="6" w:space="0" w:color="000000"/>
            </w:tcBorders>
          </w:tcPr>
          <w:p w:rsidR="00434AB0" w:rsidRPr="001E20B2" w:rsidRDefault="00434AB0" w:rsidP="00873A44">
            <w:pPr>
              <w:spacing w:before="100" w:beforeAutospacing="1" w:after="100" w:afterAutospacing="1"/>
              <w:rPr>
                <w:sz w:val="28"/>
                <w:szCs w:val="28"/>
              </w:rPr>
            </w:pPr>
            <w:r w:rsidRPr="001E20B2">
              <w:rPr>
                <w:sz w:val="28"/>
                <w:szCs w:val="28"/>
              </w:rPr>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rsidR="00084A13" w:rsidRPr="00084A13" w:rsidRDefault="00012920" w:rsidP="00012920">
            <w:pPr>
              <w:jc w:val="both"/>
              <w:rPr>
                <w:sz w:val="28"/>
                <w:szCs w:val="28"/>
              </w:rPr>
            </w:pPr>
            <w:r>
              <w:rPr>
                <w:sz w:val="28"/>
                <w:szCs w:val="28"/>
              </w:rPr>
              <w:t xml:space="preserve">         </w:t>
            </w:r>
            <w:r w:rsidR="00084A13" w:rsidRPr="00084A13">
              <w:rPr>
                <w:sz w:val="28"/>
                <w:szCs w:val="28"/>
              </w:rPr>
              <w:t xml:space="preserve">Izdevumi, kas saistīti ar valsts nekustamā īpašuma </w:t>
            </w:r>
            <w:r w:rsidR="00084A13" w:rsidRPr="00084A13">
              <w:rPr>
                <w:sz w:val="28"/>
                <w:szCs w:val="28"/>
              </w:rPr>
              <w:lastRenderedPageBreak/>
              <w:t xml:space="preserve">pārņemšanu, tajā skaitā, ierakstīšanu zemesgrāmatā uz valsts vārda Finanšu ministrijas personā un turpmāku pārvaldīšanu, tiks segti no valsts akciju sabiedrības „Valsts nekustamie īpašumi” </w:t>
            </w:r>
            <w:r w:rsidR="00D11AA9">
              <w:rPr>
                <w:sz w:val="28"/>
                <w:szCs w:val="28"/>
              </w:rPr>
              <w:t>finanšu līdzekļiem. Prognozētais nepieciešamā finansējuma apmērs v</w:t>
            </w:r>
            <w:r w:rsidR="00084A13" w:rsidRPr="00084A13">
              <w:rPr>
                <w:sz w:val="28"/>
                <w:szCs w:val="28"/>
              </w:rPr>
              <w:t>alsts nekustamā īpašuma sastāvā esošo būvju atjaunošanai un valsts nekustamā īpašuma uzturēšanai:</w:t>
            </w:r>
          </w:p>
          <w:p w:rsidR="00084A13" w:rsidRPr="00084A13" w:rsidRDefault="00084A13" w:rsidP="00084A13">
            <w:pPr>
              <w:numPr>
                <w:ilvl w:val="0"/>
                <w:numId w:val="1"/>
              </w:numPr>
              <w:jc w:val="both"/>
              <w:rPr>
                <w:sz w:val="28"/>
                <w:szCs w:val="28"/>
              </w:rPr>
            </w:pPr>
            <w:r w:rsidRPr="00084A13">
              <w:rPr>
                <w:sz w:val="28"/>
                <w:szCs w:val="28"/>
              </w:rPr>
              <w:t xml:space="preserve">kopējie jumtu un lietusūdens </w:t>
            </w:r>
            <w:proofErr w:type="spellStart"/>
            <w:r w:rsidRPr="00084A13">
              <w:rPr>
                <w:sz w:val="28"/>
                <w:szCs w:val="28"/>
              </w:rPr>
              <w:t>noteksistēmu</w:t>
            </w:r>
            <w:proofErr w:type="spellEnd"/>
            <w:r w:rsidRPr="00084A13">
              <w:rPr>
                <w:sz w:val="28"/>
                <w:szCs w:val="28"/>
              </w:rPr>
              <w:t xml:space="preserve"> remontdarbi (tīrīšana) – 120438</w:t>
            </w:r>
            <w:r w:rsidR="00D11AA9">
              <w:rPr>
                <w:sz w:val="28"/>
                <w:szCs w:val="28"/>
              </w:rPr>
              <w:t xml:space="preserve"> </w:t>
            </w:r>
            <w:proofErr w:type="spellStart"/>
            <w:r w:rsidR="00D11AA9" w:rsidRPr="00D11AA9">
              <w:rPr>
                <w:i/>
                <w:sz w:val="28"/>
                <w:szCs w:val="28"/>
              </w:rPr>
              <w:t>euro</w:t>
            </w:r>
            <w:proofErr w:type="spellEnd"/>
            <w:r w:rsidRPr="00084A13">
              <w:rPr>
                <w:sz w:val="28"/>
                <w:szCs w:val="28"/>
              </w:rPr>
              <w:t xml:space="preserve"> bez PVN;</w:t>
            </w:r>
          </w:p>
          <w:p w:rsidR="00084A13" w:rsidRDefault="00084A13" w:rsidP="00084A13">
            <w:pPr>
              <w:numPr>
                <w:ilvl w:val="0"/>
                <w:numId w:val="1"/>
              </w:numPr>
              <w:jc w:val="both"/>
              <w:rPr>
                <w:sz w:val="28"/>
                <w:szCs w:val="28"/>
              </w:rPr>
            </w:pPr>
            <w:r w:rsidRPr="00084A13">
              <w:rPr>
                <w:sz w:val="28"/>
                <w:szCs w:val="28"/>
              </w:rPr>
              <w:t>ietvju tīrīšana</w:t>
            </w:r>
            <w:r w:rsidR="00912B04">
              <w:rPr>
                <w:sz w:val="28"/>
                <w:szCs w:val="28"/>
              </w:rPr>
              <w:t>s</w:t>
            </w:r>
            <w:r w:rsidRPr="00084A13">
              <w:rPr>
                <w:sz w:val="28"/>
                <w:szCs w:val="28"/>
              </w:rPr>
              <w:t>, zāles pļaušana</w:t>
            </w:r>
            <w:r w:rsidR="00912B04">
              <w:rPr>
                <w:sz w:val="28"/>
                <w:szCs w:val="28"/>
              </w:rPr>
              <w:t>s</w:t>
            </w:r>
            <w:r w:rsidRPr="00084A13">
              <w:rPr>
                <w:sz w:val="28"/>
                <w:szCs w:val="28"/>
              </w:rPr>
              <w:t xml:space="preserve"> un sniega izvešana</w:t>
            </w:r>
            <w:r w:rsidR="00912B04">
              <w:rPr>
                <w:sz w:val="28"/>
                <w:szCs w:val="28"/>
              </w:rPr>
              <w:t>s darbi</w:t>
            </w:r>
            <w:r w:rsidRPr="00084A13">
              <w:rPr>
                <w:sz w:val="28"/>
                <w:szCs w:val="28"/>
              </w:rPr>
              <w:t xml:space="preserve"> – </w:t>
            </w:r>
            <w:r w:rsidR="00912B04">
              <w:rPr>
                <w:sz w:val="28"/>
                <w:szCs w:val="28"/>
              </w:rPr>
              <w:t xml:space="preserve">11952,12 </w:t>
            </w:r>
            <w:proofErr w:type="spellStart"/>
            <w:r w:rsidR="00912B04" w:rsidRPr="00912B04">
              <w:rPr>
                <w:i/>
                <w:sz w:val="28"/>
                <w:szCs w:val="28"/>
              </w:rPr>
              <w:t>euro</w:t>
            </w:r>
            <w:proofErr w:type="spellEnd"/>
            <w:r w:rsidRPr="00084A13">
              <w:rPr>
                <w:sz w:val="28"/>
                <w:szCs w:val="28"/>
              </w:rPr>
              <w:t xml:space="preserve"> bez PVN;</w:t>
            </w:r>
          </w:p>
          <w:p w:rsidR="00434AB0" w:rsidRPr="001E20B2" w:rsidRDefault="00912B04" w:rsidP="00912B04">
            <w:pPr>
              <w:numPr>
                <w:ilvl w:val="0"/>
                <w:numId w:val="1"/>
              </w:numPr>
              <w:jc w:val="both"/>
              <w:rPr>
                <w:sz w:val="28"/>
                <w:szCs w:val="28"/>
              </w:rPr>
            </w:pPr>
            <w:r w:rsidRPr="00084A13">
              <w:rPr>
                <w:sz w:val="28"/>
                <w:szCs w:val="28"/>
              </w:rPr>
              <w:t xml:space="preserve">fiziskās apsardzes nodrošināšana – 25611 </w:t>
            </w:r>
            <w:proofErr w:type="spellStart"/>
            <w:r w:rsidRPr="00912B04">
              <w:rPr>
                <w:i/>
                <w:sz w:val="28"/>
                <w:szCs w:val="28"/>
              </w:rPr>
              <w:t>euro</w:t>
            </w:r>
            <w:proofErr w:type="spellEnd"/>
            <w:r>
              <w:rPr>
                <w:sz w:val="28"/>
                <w:szCs w:val="28"/>
              </w:rPr>
              <w:t xml:space="preserve"> </w:t>
            </w:r>
            <w:r w:rsidRPr="00084A13">
              <w:rPr>
                <w:sz w:val="28"/>
                <w:szCs w:val="28"/>
              </w:rPr>
              <w:t>bez PVN.</w:t>
            </w:r>
          </w:p>
        </w:tc>
      </w:tr>
      <w:tr w:rsidR="00012920" w:rsidRPr="001E20B2" w:rsidTr="00873A44">
        <w:tc>
          <w:tcPr>
            <w:tcW w:w="1512" w:type="pct"/>
            <w:tcBorders>
              <w:top w:val="outset" w:sz="6" w:space="0" w:color="000000"/>
              <w:left w:val="outset" w:sz="6" w:space="0" w:color="000000"/>
              <w:bottom w:val="outset" w:sz="6" w:space="0" w:color="000000"/>
              <w:right w:val="outset" w:sz="6" w:space="0" w:color="000000"/>
            </w:tcBorders>
          </w:tcPr>
          <w:p w:rsidR="00012920" w:rsidRPr="001E20B2" w:rsidRDefault="00012920" w:rsidP="00873A44">
            <w:pPr>
              <w:spacing w:before="100" w:beforeAutospacing="1" w:after="100" w:afterAutospacing="1"/>
              <w:rPr>
                <w:sz w:val="28"/>
                <w:szCs w:val="28"/>
              </w:rPr>
            </w:pPr>
          </w:p>
        </w:tc>
        <w:tc>
          <w:tcPr>
            <w:tcW w:w="3488" w:type="pct"/>
            <w:gridSpan w:val="5"/>
            <w:tcBorders>
              <w:top w:val="outset" w:sz="6" w:space="0" w:color="000000"/>
              <w:left w:val="outset" w:sz="6" w:space="0" w:color="000000"/>
              <w:bottom w:val="outset" w:sz="6" w:space="0" w:color="000000"/>
              <w:right w:val="outset" w:sz="6" w:space="0" w:color="000000"/>
            </w:tcBorders>
          </w:tcPr>
          <w:p w:rsidR="00012920" w:rsidRPr="00084A13" w:rsidRDefault="00012920" w:rsidP="00012920">
            <w:pPr>
              <w:jc w:val="both"/>
              <w:rPr>
                <w:sz w:val="28"/>
                <w:szCs w:val="28"/>
              </w:rPr>
            </w:pPr>
          </w:p>
        </w:tc>
      </w:tr>
    </w:tbl>
    <w:p w:rsidR="00434AB0" w:rsidRPr="001E20B2" w:rsidRDefault="00434AB0" w:rsidP="00434AB0">
      <w:pPr>
        <w:rPr>
          <w:sz w:val="28"/>
          <w:szCs w:val="28"/>
        </w:rPr>
      </w:pPr>
      <w:r w:rsidRPr="001E20B2">
        <w:rPr>
          <w:sz w:val="28"/>
          <w:szCs w:val="28"/>
        </w:rPr>
        <w:t>Anotācijas IV – VI sadaļa – projekts šīs jomas neskar.</w:t>
      </w: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434AB0" w:rsidRPr="001E20B2" w:rsidTr="00873A44">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434AB0" w:rsidRPr="001E20B2" w:rsidRDefault="00434AB0" w:rsidP="00873A44">
            <w:pPr>
              <w:jc w:val="center"/>
              <w:rPr>
                <w:b/>
                <w:color w:val="000000"/>
                <w:sz w:val="28"/>
                <w:szCs w:val="28"/>
              </w:rPr>
            </w:pPr>
            <w:r w:rsidRPr="001E20B2">
              <w:rPr>
                <w:b/>
                <w:color w:val="000000"/>
                <w:sz w:val="28"/>
                <w:szCs w:val="28"/>
              </w:rPr>
              <w:t>VII. Tiesību akta projekta izpildes nodrošināšana un tās ietekme uz institūcijām</w:t>
            </w:r>
          </w:p>
        </w:tc>
      </w:tr>
      <w:tr w:rsidR="00434AB0" w:rsidRPr="001E20B2" w:rsidTr="00873A44">
        <w:tc>
          <w:tcPr>
            <w:tcW w:w="516" w:type="dxa"/>
            <w:tcBorders>
              <w:top w:val="single" w:sz="6" w:space="0" w:color="auto"/>
              <w:left w:val="single" w:sz="6" w:space="0" w:color="auto"/>
              <w:bottom w:val="single" w:sz="6" w:space="0" w:color="auto"/>
              <w:right w:val="single" w:sz="6" w:space="0" w:color="auto"/>
            </w:tcBorders>
          </w:tcPr>
          <w:p w:rsidR="00434AB0" w:rsidRPr="001E20B2" w:rsidRDefault="00434AB0" w:rsidP="00873A44">
            <w:pPr>
              <w:spacing w:before="100" w:beforeAutospacing="1" w:after="100" w:afterAutospacing="1"/>
              <w:jc w:val="both"/>
              <w:rPr>
                <w:color w:val="000000"/>
                <w:sz w:val="28"/>
                <w:szCs w:val="28"/>
              </w:rPr>
            </w:pPr>
            <w:r w:rsidRPr="001E20B2">
              <w:rPr>
                <w:color w:val="000000"/>
                <w:sz w:val="28"/>
                <w:szCs w:val="28"/>
              </w:rPr>
              <w:t>1.</w:t>
            </w:r>
          </w:p>
        </w:tc>
        <w:tc>
          <w:tcPr>
            <w:tcW w:w="3405" w:type="dxa"/>
            <w:tcBorders>
              <w:top w:val="single" w:sz="6" w:space="0" w:color="auto"/>
              <w:left w:val="single" w:sz="6" w:space="0" w:color="auto"/>
              <w:bottom w:val="single" w:sz="6" w:space="0" w:color="auto"/>
              <w:right w:val="single" w:sz="6" w:space="0" w:color="auto"/>
            </w:tcBorders>
          </w:tcPr>
          <w:p w:rsidR="00434AB0" w:rsidRPr="001E20B2" w:rsidRDefault="00434AB0" w:rsidP="00873A44">
            <w:pPr>
              <w:spacing w:before="100" w:beforeAutospacing="1" w:after="100" w:afterAutospacing="1"/>
              <w:jc w:val="both"/>
              <w:rPr>
                <w:color w:val="000000"/>
                <w:sz w:val="28"/>
                <w:szCs w:val="28"/>
              </w:rPr>
            </w:pPr>
            <w:r w:rsidRPr="001E20B2">
              <w:rPr>
                <w:color w:val="000000"/>
                <w:sz w:val="28"/>
                <w:szCs w:val="28"/>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434AB0" w:rsidRPr="001E20B2" w:rsidRDefault="00434AB0" w:rsidP="00084A13">
            <w:pPr>
              <w:spacing w:before="120"/>
              <w:jc w:val="both"/>
              <w:rPr>
                <w:color w:val="000000"/>
                <w:sz w:val="28"/>
                <w:szCs w:val="28"/>
              </w:rPr>
            </w:pPr>
            <w:r w:rsidRPr="001E20B2">
              <w:rPr>
                <w:color w:val="000000"/>
                <w:sz w:val="28"/>
                <w:szCs w:val="28"/>
              </w:rPr>
              <w:t>Aizsardzības ministrija</w:t>
            </w:r>
            <w:r w:rsidR="00084A13">
              <w:rPr>
                <w:color w:val="000000"/>
                <w:sz w:val="28"/>
                <w:szCs w:val="28"/>
              </w:rPr>
              <w:t>,</w:t>
            </w:r>
            <w:r w:rsidRPr="001E20B2">
              <w:rPr>
                <w:color w:val="000000"/>
                <w:sz w:val="28"/>
                <w:szCs w:val="28"/>
              </w:rPr>
              <w:t xml:space="preserve"> </w:t>
            </w:r>
            <w:r w:rsidR="00084A13">
              <w:rPr>
                <w:color w:val="000000"/>
                <w:sz w:val="28"/>
                <w:szCs w:val="28"/>
              </w:rPr>
              <w:t xml:space="preserve">Finanšu ministrija, </w:t>
            </w:r>
            <w:r w:rsidRPr="001E20B2">
              <w:rPr>
                <w:color w:val="000000"/>
                <w:sz w:val="28"/>
                <w:szCs w:val="28"/>
              </w:rPr>
              <w:t>Valsts aizsardzības militāro objektu un iepirkumu centrs</w:t>
            </w:r>
            <w:r w:rsidR="00084A13">
              <w:rPr>
                <w:color w:val="000000"/>
                <w:sz w:val="28"/>
                <w:szCs w:val="28"/>
              </w:rPr>
              <w:t xml:space="preserve"> un valsts akciju sabiedrība „Valsts nekustamie īpašumi”</w:t>
            </w:r>
            <w:r w:rsidRPr="001E20B2">
              <w:rPr>
                <w:color w:val="000000"/>
                <w:sz w:val="28"/>
                <w:szCs w:val="28"/>
              </w:rPr>
              <w:t>.</w:t>
            </w:r>
          </w:p>
        </w:tc>
      </w:tr>
      <w:tr w:rsidR="00434AB0" w:rsidRPr="001E20B2" w:rsidTr="00873A44">
        <w:tc>
          <w:tcPr>
            <w:tcW w:w="516" w:type="dxa"/>
            <w:tcBorders>
              <w:top w:val="single" w:sz="6" w:space="0" w:color="auto"/>
              <w:left w:val="single" w:sz="6" w:space="0" w:color="auto"/>
              <w:bottom w:val="single" w:sz="6" w:space="0" w:color="auto"/>
              <w:right w:val="single" w:sz="6" w:space="0" w:color="auto"/>
            </w:tcBorders>
          </w:tcPr>
          <w:p w:rsidR="00434AB0" w:rsidRPr="001E20B2" w:rsidRDefault="00434AB0" w:rsidP="00873A44">
            <w:pPr>
              <w:spacing w:before="100" w:beforeAutospacing="1" w:after="100" w:afterAutospacing="1"/>
              <w:jc w:val="both"/>
              <w:rPr>
                <w:sz w:val="28"/>
                <w:szCs w:val="28"/>
              </w:rPr>
            </w:pPr>
            <w:r w:rsidRPr="001E20B2">
              <w:rPr>
                <w:sz w:val="28"/>
                <w:szCs w:val="28"/>
              </w:rPr>
              <w:t>2.</w:t>
            </w:r>
          </w:p>
        </w:tc>
        <w:tc>
          <w:tcPr>
            <w:tcW w:w="3405" w:type="dxa"/>
            <w:tcBorders>
              <w:top w:val="single" w:sz="6" w:space="0" w:color="auto"/>
              <w:left w:val="single" w:sz="6" w:space="0" w:color="auto"/>
              <w:bottom w:val="single" w:sz="6" w:space="0" w:color="auto"/>
              <w:right w:val="single" w:sz="6" w:space="0" w:color="auto"/>
            </w:tcBorders>
          </w:tcPr>
          <w:p w:rsidR="00434AB0" w:rsidRPr="001E20B2" w:rsidRDefault="00434AB0" w:rsidP="00873A44">
            <w:pPr>
              <w:spacing w:before="100" w:beforeAutospacing="1" w:after="100" w:afterAutospacing="1"/>
              <w:jc w:val="both"/>
              <w:rPr>
                <w:sz w:val="28"/>
                <w:szCs w:val="28"/>
              </w:rPr>
            </w:pPr>
            <w:r w:rsidRPr="001E20B2">
              <w:rPr>
                <w:sz w:val="28"/>
                <w:szCs w:val="28"/>
              </w:rPr>
              <w:t>Projekta izpildes ietekme uz pārvaldes funkcijām un institucionālo struktūru.</w:t>
            </w:r>
          </w:p>
          <w:p w:rsidR="00434AB0" w:rsidRPr="001E20B2" w:rsidRDefault="00434AB0" w:rsidP="00873A44">
            <w:pPr>
              <w:spacing w:before="100" w:beforeAutospacing="1" w:after="100" w:afterAutospacing="1"/>
              <w:jc w:val="both"/>
              <w:rPr>
                <w:sz w:val="28"/>
                <w:szCs w:val="28"/>
              </w:rPr>
            </w:pPr>
            <w:r w:rsidRPr="001E20B2">
              <w:rPr>
                <w:sz w:val="28"/>
                <w:szCs w:val="28"/>
              </w:rP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434AB0" w:rsidRPr="001E20B2" w:rsidRDefault="00434AB0" w:rsidP="00873A44">
            <w:pPr>
              <w:jc w:val="both"/>
              <w:rPr>
                <w:sz w:val="28"/>
                <w:szCs w:val="28"/>
              </w:rPr>
            </w:pPr>
            <w:r w:rsidRPr="001E20B2">
              <w:rPr>
                <w:sz w:val="28"/>
                <w:szCs w:val="28"/>
              </w:rPr>
              <w:t> Projekts šo jomu neskar.</w:t>
            </w:r>
          </w:p>
        </w:tc>
      </w:tr>
      <w:tr w:rsidR="00434AB0" w:rsidRPr="001E20B2" w:rsidTr="00873A44">
        <w:tc>
          <w:tcPr>
            <w:tcW w:w="516" w:type="dxa"/>
            <w:tcBorders>
              <w:top w:val="single" w:sz="6" w:space="0" w:color="auto"/>
              <w:left w:val="single" w:sz="6" w:space="0" w:color="auto"/>
              <w:bottom w:val="single" w:sz="6" w:space="0" w:color="auto"/>
              <w:right w:val="single" w:sz="6" w:space="0" w:color="auto"/>
            </w:tcBorders>
          </w:tcPr>
          <w:p w:rsidR="00434AB0" w:rsidRPr="001E20B2" w:rsidRDefault="00434AB0" w:rsidP="00873A44">
            <w:pPr>
              <w:spacing w:before="100" w:beforeAutospacing="1" w:after="100" w:afterAutospacing="1"/>
              <w:jc w:val="both"/>
              <w:rPr>
                <w:color w:val="000000"/>
                <w:sz w:val="28"/>
                <w:szCs w:val="28"/>
              </w:rPr>
            </w:pPr>
            <w:r w:rsidRPr="001E20B2">
              <w:rPr>
                <w:color w:val="000000"/>
                <w:sz w:val="28"/>
                <w:szCs w:val="28"/>
              </w:rPr>
              <w:t>3.</w:t>
            </w:r>
          </w:p>
        </w:tc>
        <w:tc>
          <w:tcPr>
            <w:tcW w:w="3405" w:type="dxa"/>
            <w:tcBorders>
              <w:top w:val="single" w:sz="6" w:space="0" w:color="auto"/>
              <w:left w:val="single" w:sz="6" w:space="0" w:color="auto"/>
              <w:bottom w:val="single" w:sz="6" w:space="0" w:color="auto"/>
              <w:right w:val="single" w:sz="6" w:space="0" w:color="auto"/>
            </w:tcBorders>
          </w:tcPr>
          <w:p w:rsidR="00434AB0" w:rsidRPr="001E20B2" w:rsidRDefault="00434AB0" w:rsidP="00873A44">
            <w:pPr>
              <w:spacing w:before="100" w:beforeAutospacing="1" w:after="100" w:afterAutospacing="1"/>
              <w:jc w:val="both"/>
              <w:rPr>
                <w:color w:val="000000"/>
                <w:sz w:val="28"/>
                <w:szCs w:val="28"/>
              </w:rPr>
            </w:pPr>
            <w:r w:rsidRPr="001E20B2">
              <w:rPr>
                <w:color w:val="000000"/>
                <w:sz w:val="28"/>
                <w:szCs w:val="28"/>
              </w:rPr>
              <w:t>Cita informācija</w:t>
            </w:r>
          </w:p>
        </w:tc>
        <w:tc>
          <w:tcPr>
            <w:tcW w:w="5523" w:type="dxa"/>
            <w:tcBorders>
              <w:top w:val="single" w:sz="6" w:space="0" w:color="auto"/>
              <w:left w:val="single" w:sz="6" w:space="0" w:color="auto"/>
              <w:bottom w:val="single" w:sz="6" w:space="0" w:color="auto"/>
              <w:right w:val="single" w:sz="6" w:space="0" w:color="auto"/>
            </w:tcBorders>
          </w:tcPr>
          <w:p w:rsidR="00434AB0" w:rsidRPr="001E20B2" w:rsidRDefault="00434AB0" w:rsidP="00873A44">
            <w:pPr>
              <w:spacing w:before="100" w:beforeAutospacing="1" w:after="100" w:afterAutospacing="1"/>
              <w:jc w:val="both"/>
              <w:rPr>
                <w:color w:val="000000"/>
                <w:sz w:val="28"/>
                <w:szCs w:val="28"/>
              </w:rPr>
            </w:pPr>
            <w:r w:rsidRPr="001E20B2">
              <w:rPr>
                <w:color w:val="000000"/>
                <w:sz w:val="28"/>
                <w:szCs w:val="28"/>
              </w:rPr>
              <w:t>Nav.</w:t>
            </w:r>
          </w:p>
        </w:tc>
      </w:tr>
    </w:tbl>
    <w:p w:rsidR="00434AB0" w:rsidRDefault="00434AB0" w:rsidP="00434AB0">
      <w:pPr>
        <w:rPr>
          <w:sz w:val="28"/>
          <w:szCs w:val="28"/>
        </w:rPr>
      </w:pPr>
    </w:p>
    <w:p w:rsidR="00012920" w:rsidRPr="001E20B2" w:rsidRDefault="00012920" w:rsidP="00434AB0">
      <w:pPr>
        <w:rPr>
          <w:sz w:val="28"/>
          <w:szCs w:val="28"/>
        </w:rPr>
      </w:pPr>
    </w:p>
    <w:p w:rsidR="00434AB0" w:rsidRPr="001E20B2" w:rsidRDefault="00434AB0" w:rsidP="00434AB0">
      <w:pPr>
        <w:rPr>
          <w:color w:val="000000"/>
          <w:sz w:val="28"/>
          <w:szCs w:val="28"/>
        </w:rPr>
      </w:pPr>
      <w:r w:rsidRPr="001E20B2">
        <w:rPr>
          <w:sz w:val="28"/>
          <w:szCs w:val="28"/>
        </w:rPr>
        <w:t>Aizsardzības ministrs</w:t>
      </w:r>
      <w:r w:rsidRPr="001E20B2">
        <w:rPr>
          <w:color w:val="000000"/>
          <w:sz w:val="28"/>
          <w:szCs w:val="28"/>
        </w:rPr>
        <w:tab/>
      </w:r>
      <w:r w:rsidRPr="001E20B2">
        <w:rPr>
          <w:color w:val="000000"/>
          <w:sz w:val="28"/>
          <w:szCs w:val="28"/>
        </w:rPr>
        <w:tab/>
      </w:r>
      <w:r w:rsidRPr="001E20B2">
        <w:rPr>
          <w:color w:val="000000"/>
          <w:sz w:val="28"/>
          <w:szCs w:val="28"/>
        </w:rPr>
        <w:tab/>
      </w:r>
      <w:r w:rsidRPr="001E20B2">
        <w:rPr>
          <w:color w:val="000000"/>
          <w:sz w:val="28"/>
          <w:szCs w:val="28"/>
        </w:rPr>
        <w:tab/>
      </w:r>
      <w:r w:rsidRPr="001E20B2">
        <w:rPr>
          <w:color w:val="000000"/>
          <w:sz w:val="28"/>
          <w:szCs w:val="28"/>
        </w:rPr>
        <w:tab/>
      </w:r>
      <w:r w:rsidRPr="001E20B2">
        <w:rPr>
          <w:color w:val="000000"/>
          <w:sz w:val="28"/>
          <w:szCs w:val="28"/>
        </w:rPr>
        <w:tab/>
      </w:r>
      <w:r w:rsidRPr="001E20B2">
        <w:rPr>
          <w:color w:val="000000"/>
          <w:sz w:val="28"/>
          <w:szCs w:val="28"/>
        </w:rPr>
        <w:tab/>
      </w:r>
      <w:r w:rsidRPr="001E20B2">
        <w:rPr>
          <w:color w:val="000000"/>
          <w:sz w:val="28"/>
          <w:szCs w:val="28"/>
        </w:rPr>
        <w:tab/>
      </w:r>
      <w:r w:rsidR="00084A13">
        <w:rPr>
          <w:color w:val="000000"/>
          <w:sz w:val="28"/>
          <w:szCs w:val="28"/>
        </w:rPr>
        <w:t>R.Vējonis</w:t>
      </w:r>
    </w:p>
    <w:p w:rsidR="00434AB0" w:rsidRPr="001E20B2" w:rsidRDefault="00434AB0" w:rsidP="00434AB0">
      <w:pPr>
        <w:rPr>
          <w:sz w:val="28"/>
          <w:szCs w:val="28"/>
        </w:rPr>
      </w:pPr>
    </w:p>
    <w:p w:rsidR="00434AB0" w:rsidRDefault="00434AB0" w:rsidP="00434AB0">
      <w:pPr>
        <w:rPr>
          <w:sz w:val="28"/>
          <w:szCs w:val="28"/>
        </w:rPr>
      </w:pPr>
    </w:p>
    <w:p w:rsidR="00012920" w:rsidRPr="001E20B2" w:rsidRDefault="00012920" w:rsidP="00434AB0">
      <w:pPr>
        <w:rPr>
          <w:sz w:val="28"/>
          <w:szCs w:val="28"/>
        </w:rPr>
      </w:pPr>
    </w:p>
    <w:p w:rsidR="00434AB0" w:rsidRPr="001E20B2" w:rsidRDefault="00434AB0" w:rsidP="00434AB0">
      <w:pPr>
        <w:rPr>
          <w:sz w:val="28"/>
          <w:szCs w:val="28"/>
        </w:rPr>
      </w:pPr>
      <w:r w:rsidRPr="001E20B2">
        <w:rPr>
          <w:sz w:val="28"/>
          <w:szCs w:val="28"/>
        </w:rPr>
        <w:t>Vīza: Aizsardzības ministrijas valsts sekretārs</w:t>
      </w:r>
      <w:r w:rsidRPr="001E20B2">
        <w:rPr>
          <w:sz w:val="28"/>
          <w:szCs w:val="28"/>
        </w:rPr>
        <w:tab/>
      </w:r>
      <w:r w:rsidRPr="001E20B2">
        <w:rPr>
          <w:sz w:val="28"/>
          <w:szCs w:val="28"/>
        </w:rPr>
        <w:tab/>
      </w:r>
      <w:r w:rsidRPr="001E20B2">
        <w:rPr>
          <w:sz w:val="28"/>
          <w:szCs w:val="28"/>
        </w:rPr>
        <w:tab/>
      </w:r>
      <w:r w:rsidRPr="001E20B2">
        <w:rPr>
          <w:sz w:val="28"/>
          <w:szCs w:val="28"/>
        </w:rPr>
        <w:tab/>
        <w:t>J.Sārts</w:t>
      </w:r>
    </w:p>
    <w:p w:rsidR="00012920" w:rsidRDefault="00012920" w:rsidP="00434AB0"/>
    <w:p w:rsidR="00012920" w:rsidRDefault="00012920" w:rsidP="00434AB0"/>
    <w:p w:rsidR="00012920" w:rsidRDefault="00012920" w:rsidP="00434AB0">
      <w:pPr>
        <w:rPr>
          <w:sz w:val="20"/>
          <w:szCs w:val="20"/>
        </w:rPr>
      </w:pPr>
    </w:p>
    <w:p w:rsidR="00434AB0" w:rsidRPr="00012920" w:rsidRDefault="00012920" w:rsidP="00434AB0">
      <w:pPr>
        <w:rPr>
          <w:i/>
          <w:sz w:val="20"/>
          <w:szCs w:val="20"/>
        </w:rPr>
      </w:pPr>
      <w:r w:rsidRPr="00012920">
        <w:rPr>
          <w:i/>
          <w:sz w:val="20"/>
          <w:szCs w:val="20"/>
        </w:rPr>
        <w:t>2014.03.03. 14:47</w:t>
      </w:r>
    </w:p>
    <w:p w:rsidR="00434AB0" w:rsidRPr="00012920" w:rsidRDefault="00012920" w:rsidP="00434AB0">
      <w:pPr>
        <w:rPr>
          <w:i/>
          <w:sz w:val="20"/>
          <w:szCs w:val="20"/>
        </w:rPr>
      </w:pPr>
      <w:r w:rsidRPr="00012920">
        <w:rPr>
          <w:i/>
          <w:sz w:val="20"/>
          <w:szCs w:val="20"/>
        </w:rPr>
        <w:fldChar w:fldCharType="begin"/>
      </w:r>
      <w:r w:rsidRPr="00012920">
        <w:rPr>
          <w:i/>
          <w:sz w:val="20"/>
          <w:szCs w:val="20"/>
        </w:rPr>
        <w:instrText xml:space="preserve"> NUMWORDS   \* MERGEFORMAT </w:instrText>
      </w:r>
      <w:r w:rsidRPr="00012920">
        <w:rPr>
          <w:i/>
          <w:sz w:val="20"/>
          <w:szCs w:val="20"/>
        </w:rPr>
        <w:fldChar w:fldCharType="separate"/>
      </w:r>
      <w:r w:rsidRPr="00012920">
        <w:rPr>
          <w:i/>
          <w:noProof/>
          <w:sz w:val="20"/>
          <w:szCs w:val="20"/>
        </w:rPr>
        <w:t>981</w:t>
      </w:r>
      <w:r w:rsidRPr="00012920">
        <w:rPr>
          <w:i/>
          <w:sz w:val="20"/>
          <w:szCs w:val="20"/>
        </w:rPr>
        <w:fldChar w:fldCharType="end"/>
      </w:r>
    </w:p>
    <w:p w:rsidR="00434AB0" w:rsidRPr="00012920" w:rsidRDefault="00012920" w:rsidP="00434AB0">
      <w:pPr>
        <w:tabs>
          <w:tab w:val="left" w:pos="7020"/>
        </w:tabs>
        <w:jc w:val="both"/>
        <w:rPr>
          <w:i/>
          <w:sz w:val="20"/>
          <w:szCs w:val="20"/>
        </w:rPr>
      </w:pPr>
      <w:r w:rsidRPr="00012920">
        <w:rPr>
          <w:i/>
          <w:sz w:val="20"/>
          <w:szCs w:val="20"/>
        </w:rPr>
        <w:t xml:space="preserve">Dace </w:t>
      </w:r>
      <w:proofErr w:type="spellStart"/>
      <w:r w:rsidRPr="00012920">
        <w:rPr>
          <w:i/>
          <w:sz w:val="20"/>
          <w:szCs w:val="20"/>
        </w:rPr>
        <w:t>Madžule</w:t>
      </w:r>
      <w:proofErr w:type="spellEnd"/>
      <w:r w:rsidR="00434AB0" w:rsidRPr="00012920">
        <w:rPr>
          <w:i/>
          <w:sz w:val="20"/>
          <w:szCs w:val="20"/>
        </w:rPr>
        <w:t>, 6730</w:t>
      </w:r>
      <w:bookmarkStart w:id="0" w:name="_GoBack"/>
      <w:bookmarkEnd w:id="0"/>
      <w:r w:rsidR="00434AB0" w:rsidRPr="00012920">
        <w:rPr>
          <w:i/>
          <w:sz w:val="20"/>
          <w:szCs w:val="20"/>
        </w:rPr>
        <w:t>02</w:t>
      </w:r>
      <w:r w:rsidRPr="00012920">
        <w:rPr>
          <w:i/>
          <w:sz w:val="20"/>
          <w:szCs w:val="20"/>
        </w:rPr>
        <w:t>79</w:t>
      </w:r>
    </w:p>
    <w:p w:rsidR="00434AB0" w:rsidRPr="00012920" w:rsidRDefault="00012920" w:rsidP="00434AB0">
      <w:pPr>
        <w:tabs>
          <w:tab w:val="left" w:pos="7020"/>
        </w:tabs>
        <w:jc w:val="both"/>
        <w:rPr>
          <w:i/>
          <w:sz w:val="20"/>
          <w:szCs w:val="20"/>
        </w:rPr>
      </w:pPr>
      <w:r w:rsidRPr="00012920">
        <w:rPr>
          <w:i/>
          <w:sz w:val="20"/>
          <w:szCs w:val="20"/>
        </w:rPr>
        <w:t>Dace.Madzule</w:t>
      </w:r>
      <w:r w:rsidR="00434AB0" w:rsidRPr="00012920">
        <w:rPr>
          <w:i/>
          <w:sz w:val="20"/>
          <w:szCs w:val="20"/>
        </w:rPr>
        <w:t>@vamoic.gov.lv</w:t>
      </w:r>
    </w:p>
    <w:sectPr w:rsidR="00434AB0" w:rsidRPr="00012920" w:rsidSect="00012920">
      <w:headerReference w:type="even" r:id="rId8"/>
      <w:headerReference w:type="default" r:id="rId9"/>
      <w:footerReference w:type="default" r:id="rId10"/>
      <w:footerReference w:type="first" r:id="rId11"/>
      <w:pgSz w:w="11906" w:h="16838" w:code="9"/>
      <w:pgMar w:top="1418" w:right="1134" w:bottom="284" w:left="1701" w:header="70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95" w:rsidRDefault="00F47695">
      <w:r>
        <w:separator/>
      </w:r>
    </w:p>
  </w:endnote>
  <w:endnote w:type="continuationSeparator" w:id="0">
    <w:p w:rsidR="00F47695" w:rsidRDefault="00F4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29613B" w:rsidRDefault="00434AB0" w:rsidP="00752351">
    <w:pPr>
      <w:pStyle w:val="Footer"/>
      <w:jc w:val="both"/>
    </w:pPr>
    <w:r>
      <w:rPr>
        <w:sz w:val="20"/>
        <w:szCs w:val="20"/>
      </w:rPr>
      <w:t>AIManot_</w:t>
    </w:r>
    <w:r w:rsidR="00912B04">
      <w:rPr>
        <w:sz w:val="20"/>
        <w:szCs w:val="20"/>
      </w:rPr>
      <w:t>030314</w:t>
    </w:r>
    <w:r>
      <w:rPr>
        <w:sz w:val="20"/>
        <w:szCs w:val="20"/>
      </w:rPr>
      <w:t>_</w:t>
    </w:r>
    <w:r w:rsidR="00912B04">
      <w:rPr>
        <w:sz w:val="20"/>
        <w:szCs w:val="20"/>
      </w:rPr>
      <w:t xml:space="preserve">VSS1727; </w:t>
    </w:r>
    <w:r>
      <w:rPr>
        <w:sz w:val="20"/>
        <w:szCs w:val="20"/>
      </w:rPr>
      <w:t>Ministru kabineta rīkojuma projekta „</w:t>
    </w:r>
    <w:r w:rsidR="00912B04">
      <w:rPr>
        <w:sz w:val="20"/>
        <w:szCs w:val="20"/>
      </w:rPr>
      <w:t>Par nekustamā īpašuma Upes ielā 1A, Rīgā, nodošanu Finanšu ministrijas valdījumā</w:t>
    </w:r>
    <w:r>
      <w:rPr>
        <w:sz w:val="20"/>
        <w:szCs w:val="20"/>
      </w:rPr>
      <w:t>” sākotnējās ietekmes novērtējuma ziņojums (anotācija)</w:t>
    </w:r>
    <w:r w:rsidR="00012920">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1E20B2" w:rsidRDefault="00434AB0" w:rsidP="001E20B2">
    <w:pPr>
      <w:pStyle w:val="Footer"/>
      <w:jc w:val="both"/>
    </w:pPr>
    <w:r>
      <w:rPr>
        <w:sz w:val="20"/>
        <w:szCs w:val="20"/>
      </w:rPr>
      <w:t>AIManot_</w:t>
    </w:r>
    <w:r w:rsidR="00912B04">
      <w:rPr>
        <w:sz w:val="20"/>
        <w:szCs w:val="20"/>
      </w:rPr>
      <w:t>030314</w:t>
    </w:r>
    <w:r>
      <w:rPr>
        <w:sz w:val="20"/>
        <w:szCs w:val="20"/>
      </w:rPr>
      <w:t>_</w:t>
    </w:r>
    <w:r w:rsidR="00912B04">
      <w:rPr>
        <w:sz w:val="20"/>
        <w:szCs w:val="20"/>
      </w:rPr>
      <w:t xml:space="preserve">VSS1727; </w:t>
    </w:r>
    <w:r>
      <w:rPr>
        <w:sz w:val="20"/>
        <w:szCs w:val="20"/>
      </w:rPr>
      <w:t>Ministru kabineta rīkojuma projekta „</w:t>
    </w:r>
    <w:r w:rsidR="00912B04">
      <w:rPr>
        <w:sz w:val="20"/>
        <w:szCs w:val="20"/>
      </w:rPr>
      <w:t>Par nekustamā īpašuma Upes ielā 1A, Rīgā, nodošanu Finanšu ministrijas valdījumā</w:t>
    </w:r>
    <w:r>
      <w:rPr>
        <w:sz w:val="20"/>
        <w:szCs w:val="20"/>
      </w:rPr>
      <w:t>” sākotnējās ietekmes novērtējuma ziņojums (anotācija)</w:t>
    </w:r>
    <w:r w:rsidR="00912B0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95" w:rsidRDefault="00F47695">
      <w:r>
        <w:separator/>
      </w:r>
    </w:p>
  </w:footnote>
  <w:footnote w:type="continuationSeparator" w:id="0">
    <w:p w:rsidR="00F47695" w:rsidRDefault="00F4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434AB0"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F9E" w:rsidRDefault="00F47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434AB0"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830">
      <w:rPr>
        <w:rStyle w:val="PageNumber"/>
        <w:noProof/>
      </w:rPr>
      <w:t>5</w:t>
    </w:r>
    <w:r>
      <w:rPr>
        <w:rStyle w:val="PageNumber"/>
      </w:rPr>
      <w:fldChar w:fldCharType="end"/>
    </w:r>
  </w:p>
  <w:p w:rsidR="00921F9E" w:rsidRDefault="00F47695" w:rsidP="00752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175"/>
    <w:multiLevelType w:val="hybridMultilevel"/>
    <w:tmpl w:val="C298C0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B0"/>
    <w:rsid w:val="00012920"/>
    <w:rsid w:val="00084A13"/>
    <w:rsid w:val="000D1EEA"/>
    <w:rsid w:val="003D7830"/>
    <w:rsid w:val="00434AB0"/>
    <w:rsid w:val="00912B04"/>
    <w:rsid w:val="00A304D1"/>
    <w:rsid w:val="00D11AA9"/>
    <w:rsid w:val="00F47695"/>
    <w:rsid w:val="00FC726B"/>
    <w:rsid w:val="00FD4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B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AB0"/>
    <w:pPr>
      <w:spacing w:after="0" w:line="240" w:lineRule="auto"/>
    </w:pPr>
  </w:style>
  <w:style w:type="paragraph" w:styleId="NormalWeb">
    <w:name w:val="Normal (Web)"/>
    <w:basedOn w:val="Normal"/>
    <w:rsid w:val="00434AB0"/>
    <w:pPr>
      <w:spacing w:before="100" w:beforeAutospacing="1" w:after="100" w:afterAutospacing="1"/>
    </w:pPr>
  </w:style>
  <w:style w:type="paragraph" w:customStyle="1" w:styleId="naisf">
    <w:name w:val="naisf"/>
    <w:basedOn w:val="Normal"/>
    <w:rsid w:val="00434AB0"/>
    <w:pPr>
      <w:spacing w:before="75" w:after="75"/>
      <w:ind w:firstLine="375"/>
      <w:jc w:val="both"/>
    </w:pPr>
  </w:style>
  <w:style w:type="paragraph" w:customStyle="1" w:styleId="naisc">
    <w:name w:val="naisc"/>
    <w:basedOn w:val="Normal"/>
    <w:rsid w:val="00434AB0"/>
    <w:pPr>
      <w:spacing w:before="450" w:after="300"/>
      <w:jc w:val="center"/>
    </w:pPr>
    <w:rPr>
      <w:sz w:val="26"/>
      <w:szCs w:val="26"/>
    </w:rPr>
  </w:style>
  <w:style w:type="paragraph" w:styleId="Footer">
    <w:name w:val="footer"/>
    <w:basedOn w:val="Normal"/>
    <w:link w:val="FooterChar"/>
    <w:rsid w:val="00434AB0"/>
    <w:pPr>
      <w:tabs>
        <w:tab w:val="center" w:pos="4153"/>
        <w:tab w:val="right" w:pos="8306"/>
      </w:tabs>
    </w:pPr>
  </w:style>
  <w:style w:type="character" w:customStyle="1" w:styleId="FooterChar">
    <w:name w:val="Footer Char"/>
    <w:basedOn w:val="DefaultParagraphFont"/>
    <w:link w:val="Footer"/>
    <w:rsid w:val="00434AB0"/>
    <w:rPr>
      <w:rFonts w:ascii="Times New Roman" w:eastAsia="Times New Roman" w:hAnsi="Times New Roman" w:cs="Times New Roman"/>
      <w:sz w:val="24"/>
      <w:szCs w:val="24"/>
      <w:lang w:eastAsia="lv-LV"/>
    </w:rPr>
  </w:style>
  <w:style w:type="paragraph" w:styleId="Header">
    <w:name w:val="header"/>
    <w:basedOn w:val="Normal"/>
    <w:link w:val="HeaderChar"/>
    <w:rsid w:val="00434AB0"/>
    <w:pPr>
      <w:tabs>
        <w:tab w:val="center" w:pos="4153"/>
        <w:tab w:val="right" w:pos="8306"/>
      </w:tabs>
    </w:pPr>
  </w:style>
  <w:style w:type="character" w:customStyle="1" w:styleId="HeaderChar">
    <w:name w:val="Header Char"/>
    <w:basedOn w:val="DefaultParagraphFont"/>
    <w:link w:val="Header"/>
    <w:rsid w:val="00434AB0"/>
    <w:rPr>
      <w:rFonts w:ascii="Times New Roman" w:eastAsia="Times New Roman" w:hAnsi="Times New Roman" w:cs="Times New Roman"/>
      <w:sz w:val="24"/>
      <w:szCs w:val="24"/>
      <w:lang w:eastAsia="lv-LV"/>
    </w:rPr>
  </w:style>
  <w:style w:type="character" w:styleId="PageNumber">
    <w:name w:val="page number"/>
    <w:basedOn w:val="DefaultParagraphFont"/>
    <w:rsid w:val="00434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B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AB0"/>
    <w:pPr>
      <w:spacing w:after="0" w:line="240" w:lineRule="auto"/>
    </w:pPr>
  </w:style>
  <w:style w:type="paragraph" w:styleId="NormalWeb">
    <w:name w:val="Normal (Web)"/>
    <w:basedOn w:val="Normal"/>
    <w:rsid w:val="00434AB0"/>
    <w:pPr>
      <w:spacing w:before="100" w:beforeAutospacing="1" w:after="100" w:afterAutospacing="1"/>
    </w:pPr>
  </w:style>
  <w:style w:type="paragraph" w:customStyle="1" w:styleId="naisf">
    <w:name w:val="naisf"/>
    <w:basedOn w:val="Normal"/>
    <w:rsid w:val="00434AB0"/>
    <w:pPr>
      <w:spacing w:before="75" w:after="75"/>
      <w:ind w:firstLine="375"/>
      <w:jc w:val="both"/>
    </w:pPr>
  </w:style>
  <w:style w:type="paragraph" w:customStyle="1" w:styleId="naisc">
    <w:name w:val="naisc"/>
    <w:basedOn w:val="Normal"/>
    <w:rsid w:val="00434AB0"/>
    <w:pPr>
      <w:spacing w:before="450" w:after="300"/>
      <w:jc w:val="center"/>
    </w:pPr>
    <w:rPr>
      <w:sz w:val="26"/>
      <w:szCs w:val="26"/>
    </w:rPr>
  </w:style>
  <w:style w:type="paragraph" w:styleId="Footer">
    <w:name w:val="footer"/>
    <w:basedOn w:val="Normal"/>
    <w:link w:val="FooterChar"/>
    <w:rsid w:val="00434AB0"/>
    <w:pPr>
      <w:tabs>
        <w:tab w:val="center" w:pos="4153"/>
        <w:tab w:val="right" w:pos="8306"/>
      </w:tabs>
    </w:pPr>
  </w:style>
  <w:style w:type="character" w:customStyle="1" w:styleId="FooterChar">
    <w:name w:val="Footer Char"/>
    <w:basedOn w:val="DefaultParagraphFont"/>
    <w:link w:val="Footer"/>
    <w:rsid w:val="00434AB0"/>
    <w:rPr>
      <w:rFonts w:ascii="Times New Roman" w:eastAsia="Times New Roman" w:hAnsi="Times New Roman" w:cs="Times New Roman"/>
      <w:sz w:val="24"/>
      <w:szCs w:val="24"/>
      <w:lang w:eastAsia="lv-LV"/>
    </w:rPr>
  </w:style>
  <w:style w:type="paragraph" w:styleId="Header">
    <w:name w:val="header"/>
    <w:basedOn w:val="Normal"/>
    <w:link w:val="HeaderChar"/>
    <w:rsid w:val="00434AB0"/>
    <w:pPr>
      <w:tabs>
        <w:tab w:val="center" w:pos="4153"/>
        <w:tab w:val="right" w:pos="8306"/>
      </w:tabs>
    </w:pPr>
  </w:style>
  <w:style w:type="character" w:customStyle="1" w:styleId="HeaderChar">
    <w:name w:val="Header Char"/>
    <w:basedOn w:val="DefaultParagraphFont"/>
    <w:link w:val="Header"/>
    <w:rsid w:val="00434AB0"/>
    <w:rPr>
      <w:rFonts w:ascii="Times New Roman" w:eastAsia="Times New Roman" w:hAnsi="Times New Roman" w:cs="Times New Roman"/>
      <w:sz w:val="24"/>
      <w:szCs w:val="24"/>
      <w:lang w:eastAsia="lv-LV"/>
    </w:rPr>
  </w:style>
  <w:style w:type="character" w:styleId="PageNumber">
    <w:name w:val="page number"/>
    <w:basedOn w:val="DefaultParagraphFont"/>
    <w:rsid w:val="0043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998</Words>
  <Characters>7177</Characters>
  <Application>Microsoft Office Word</Application>
  <DocSecurity>0</DocSecurity>
  <Lines>299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 VSS-1727</dc:title>
  <dc:subject>"Par nekustamā īpašuma Upes ielā 1A, Rīgā, nodošanu Finanšu ministrijas valdījumā"</dc:subject>
  <dc:creator>Dace Madžule</dc:creator>
  <dc:description>67300279
Dace.Madzule@vamoic.gov.lv</dc:description>
  <cp:lastModifiedBy>Dace Madzule</cp:lastModifiedBy>
  <cp:revision>4</cp:revision>
  <cp:lastPrinted>2014-03-03T12:51:00Z</cp:lastPrinted>
  <dcterms:created xsi:type="dcterms:W3CDTF">2014-02-26T14:24:00Z</dcterms:created>
  <dcterms:modified xsi:type="dcterms:W3CDTF">2014-03-03T12:52:00Z</dcterms:modified>
</cp:coreProperties>
</file>