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42" w:rsidRPr="005A3DED" w:rsidRDefault="003C03AD" w:rsidP="005A3DE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DED">
        <w:rPr>
          <w:rFonts w:ascii="Times New Roman" w:hAnsi="Times New Roman" w:cs="Times New Roman"/>
          <w:b/>
          <w:sz w:val="24"/>
        </w:rPr>
        <w:t>Ministru kabineta noteikumu projekta „</w:t>
      </w:r>
      <w:r w:rsidR="005A3DED" w:rsidRPr="005A3DED">
        <w:rPr>
          <w:rFonts w:ascii="Times New Roman" w:hAnsi="Times New Roman" w:cs="Times New Roman"/>
          <w:b/>
          <w:bCs/>
          <w:sz w:val="24"/>
          <w:szCs w:val="24"/>
        </w:rPr>
        <w:t>Grozījum</w:t>
      </w:r>
      <w:r w:rsidR="00E9644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A3DED" w:rsidRPr="005A3DED">
        <w:rPr>
          <w:rFonts w:ascii="Times New Roman" w:hAnsi="Times New Roman" w:cs="Times New Roman"/>
          <w:b/>
          <w:bCs/>
          <w:sz w:val="24"/>
          <w:szCs w:val="24"/>
        </w:rPr>
        <w:t xml:space="preserve"> Ministru kabineta 2010.gada 5.oktobra noteikumos Nr.948 „Noteikumi par zemessargiem izmaksājamo dienesta uzdevumu izpildes un apmācību kompensāciju, Zemessardzes veterānu priekšnieka algu, kā arī zemessarga mantai nodarīto zaudējumu atlīdzību”</w:t>
      </w:r>
      <w:r w:rsidRPr="00E22CCB">
        <w:rPr>
          <w:rFonts w:ascii="Times New Roman" w:hAnsi="Times New Roman" w:cs="Times New Roman"/>
          <w:b/>
          <w:sz w:val="24"/>
        </w:rPr>
        <w:t>” sākotnējās ietekmes novērtējuma ziņojums (anotācija)</w:t>
      </w:r>
    </w:p>
    <w:p w:rsidR="00CD6FA2" w:rsidRPr="00E22CCB" w:rsidRDefault="00CD6FA2" w:rsidP="00E22CCB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91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2464"/>
        <w:gridCol w:w="6129"/>
      </w:tblGrid>
      <w:tr w:rsidR="003C03AD" w:rsidRPr="00A3056B" w:rsidTr="00A83297">
        <w:trPr>
          <w:tblCellSpacing w:w="0" w:type="dxa"/>
        </w:trPr>
        <w:tc>
          <w:tcPr>
            <w:tcW w:w="9121" w:type="dxa"/>
            <w:gridSpan w:val="3"/>
            <w:vAlign w:val="center"/>
          </w:tcPr>
          <w:p w:rsidR="003C03AD" w:rsidRPr="00CD6FA2" w:rsidRDefault="003C03AD" w:rsidP="00F52BEB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6"/>
                <w:lang w:eastAsia="lv-LV"/>
              </w:rPr>
            </w:pPr>
            <w:r w:rsidRPr="00CD6FA2">
              <w:rPr>
                <w:b/>
                <w:bCs/>
                <w:sz w:val="24"/>
                <w:szCs w:val="26"/>
                <w:lang w:eastAsia="lv-LV"/>
              </w:rPr>
              <w:t>Tiesību akta projekta izstrādes nepieciešamība</w:t>
            </w:r>
          </w:p>
          <w:p w:rsidR="003C03AD" w:rsidRPr="00A71129" w:rsidRDefault="003C03AD" w:rsidP="00F52BEB">
            <w:pPr>
              <w:pStyle w:val="ListParagraph"/>
              <w:ind w:left="840"/>
              <w:rPr>
                <w:sz w:val="26"/>
                <w:szCs w:val="26"/>
                <w:lang w:eastAsia="lv-LV"/>
              </w:rPr>
            </w:pPr>
          </w:p>
        </w:tc>
      </w:tr>
      <w:tr w:rsidR="003C03AD" w:rsidRPr="00A3056B" w:rsidTr="00A83297">
        <w:trPr>
          <w:trHeight w:val="630"/>
          <w:tblCellSpacing w:w="0" w:type="dxa"/>
        </w:trPr>
        <w:tc>
          <w:tcPr>
            <w:tcW w:w="528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1.</w:t>
            </w:r>
          </w:p>
        </w:tc>
        <w:tc>
          <w:tcPr>
            <w:tcW w:w="2464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Pamatojums</w:t>
            </w:r>
          </w:p>
        </w:tc>
        <w:tc>
          <w:tcPr>
            <w:tcW w:w="6129" w:type="dxa"/>
          </w:tcPr>
          <w:p w:rsidR="003C03AD" w:rsidRDefault="003C03AD" w:rsidP="00C002F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25F6">
              <w:rPr>
                <w:rFonts w:ascii="Times New Roman" w:hAnsi="Times New Roman" w:cs="Times New Roman"/>
                <w:i/>
                <w:sz w:val="24"/>
              </w:rPr>
              <w:t>Euro</w:t>
            </w:r>
            <w:proofErr w:type="spellEnd"/>
            <w:r w:rsidRPr="00E22CCB">
              <w:rPr>
                <w:rFonts w:ascii="Times New Roman" w:hAnsi="Times New Roman" w:cs="Times New Roman"/>
                <w:sz w:val="24"/>
              </w:rPr>
              <w:t xml:space="preserve"> ieviešanas kārtības likuma 30.panta</w:t>
            </w:r>
            <w:r w:rsidR="00A83297">
              <w:rPr>
                <w:rFonts w:ascii="Times New Roman" w:hAnsi="Times New Roman" w:cs="Times New Roman"/>
                <w:sz w:val="24"/>
              </w:rPr>
              <w:t xml:space="preserve"> pirmā 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daļa, </w:t>
            </w: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Ministru kabineta 2012.gada 27.jūnija rīkojuma Nr.282 „</w:t>
            </w:r>
            <w:r w:rsidR="00A15C9D" w:rsidRPr="00C817C3">
              <w:rPr>
                <w:rFonts w:ascii="Times New Roman" w:hAnsi="Times New Roman" w:cs="Times New Roman"/>
                <w:sz w:val="24"/>
                <w:lang w:eastAsia="lv-LV"/>
              </w:rPr>
              <w:t>Par „</w:t>
            </w:r>
            <w:r w:rsidRPr="00C817C3">
              <w:rPr>
                <w:rFonts w:ascii="Times New Roman" w:hAnsi="Times New Roman" w:cs="Times New Roman"/>
                <w:sz w:val="24"/>
                <w:lang w:eastAsia="lv-LV"/>
              </w:rPr>
              <w:t>Koncepciju par normatīvo aktu sakārtošanu saistībā ar eiro iev</w:t>
            </w:r>
            <w:r w:rsidRPr="00C817C3">
              <w:rPr>
                <w:rFonts w:ascii="Times New Roman" w:hAnsi="Times New Roman" w:cs="Times New Roman"/>
                <w:sz w:val="24"/>
              </w:rPr>
              <w:t>iešanu Latvijā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”” </w:t>
            </w:r>
            <w:r w:rsidR="00A83297">
              <w:rPr>
                <w:rFonts w:ascii="Times New Roman" w:hAnsi="Times New Roman" w:cs="Times New Roman"/>
                <w:sz w:val="24"/>
              </w:rPr>
              <w:t>7.2.</w:t>
            </w:r>
            <w:r w:rsidRPr="00E22CCB">
              <w:rPr>
                <w:rFonts w:ascii="Times New Roman" w:hAnsi="Times New Roman" w:cs="Times New Roman"/>
                <w:sz w:val="24"/>
              </w:rPr>
              <w:t>apakšpunkts un Latvijas Nacionālā</w:t>
            </w:r>
            <w:r w:rsidRPr="00E22CCB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 w:rsidRPr="00E22CCB">
              <w:rPr>
                <w:rFonts w:ascii="Times New Roman" w:hAnsi="Times New Roman" w:cs="Times New Roman"/>
                <w:i/>
                <w:sz w:val="24"/>
              </w:rPr>
              <w:t>euro</w:t>
            </w:r>
            <w:proofErr w:type="spellEnd"/>
            <w:r w:rsidRPr="00E22CCB">
              <w:rPr>
                <w:rFonts w:ascii="Times New Roman" w:hAnsi="Times New Roman" w:cs="Times New Roman"/>
                <w:sz w:val="24"/>
              </w:rPr>
              <w:t xml:space="preserve"> ieviešanas plāna (apstiprināts ar Ministru kabineta 2013</w:t>
            </w:r>
            <w:r w:rsidR="00A15C9D">
              <w:rPr>
                <w:rFonts w:ascii="Times New Roman" w:hAnsi="Times New Roman" w:cs="Times New Roman"/>
                <w:sz w:val="24"/>
              </w:rPr>
              <w:t xml:space="preserve">.gada 4.aprīļa rīkojumu Nr.136) 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1.pielikuma J2.2.3 apakšpunkts. </w:t>
            </w:r>
          </w:p>
          <w:p w:rsidR="00395C30" w:rsidRPr="00E22CCB" w:rsidRDefault="00395C30" w:rsidP="00C002F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3AD" w:rsidRPr="00A3056B" w:rsidTr="00A83297">
        <w:trPr>
          <w:trHeight w:val="472"/>
          <w:tblCellSpacing w:w="0" w:type="dxa"/>
        </w:trPr>
        <w:tc>
          <w:tcPr>
            <w:tcW w:w="528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2.</w:t>
            </w:r>
          </w:p>
        </w:tc>
        <w:tc>
          <w:tcPr>
            <w:tcW w:w="2464" w:type="dxa"/>
          </w:tcPr>
          <w:p w:rsidR="003C03AD" w:rsidRPr="00E22CCB" w:rsidRDefault="003C03AD" w:rsidP="000125F6">
            <w:pPr>
              <w:pStyle w:val="NoSpacing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Pašreizējā situācija un problēmas</w:t>
            </w:r>
            <w:r w:rsidR="00A83297">
              <w:rPr>
                <w:rFonts w:ascii="Times New Roman" w:hAnsi="Times New Roman" w:cs="Times New Roman"/>
                <w:sz w:val="24"/>
                <w:lang w:eastAsia="lv-LV"/>
              </w:rPr>
              <w:t>, kuru risināšanai tiesību akta projekts izstrādāts, tiesiskā regulējuma mērķis un būtība</w:t>
            </w:r>
          </w:p>
        </w:tc>
        <w:tc>
          <w:tcPr>
            <w:tcW w:w="6129" w:type="dxa"/>
          </w:tcPr>
          <w:p w:rsidR="00065379" w:rsidRDefault="003810E5" w:rsidP="00A83297">
            <w:pPr>
              <w:pStyle w:val="NoSpacing"/>
              <w:jc w:val="both"/>
              <w:rPr>
                <w:rFonts w:ascii="Arial" w:hAnsi="Arial" w:cs="Arial"/>
              </w:rPr>
            </w:pP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Pr="002A57F1">
              <w:rPr>
                <w:rFonts w:ascii="Times New Roman" w:hAnsi="Times New Roman" w:cs="Times New Roman"/>
                <w:bCs/>
                <w:sz w:val="24"/>
                <w:szCs w:val="24"/>
              </w:rPr>
              <w:t>2010.gada 5.oktobra noteikum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Pr="002A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Nr.948 „Noteikumi par zemessargiem izmaksājamo dienesta uzdevumu izpildes un apmācību kompensāciju, Zemessardzes veterānu priekšnieka algu, kā arī zemessarga mantai nodarīto zaudējumu atlīdzību”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(turpmāk – MK noteikumi Nr.948) </w:t>
            </w:r>
            <w:r w:rsidRPr="002A57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9.punkts paredz, ka </w:t>
            </w:r>
            <w:r w:rsidR="006D2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Latvijas Republikas </w:t>
            </w: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>Zemessardzes</w:t>
            </w:r>
            <w:r w:rsidR="006D291B">
              <w:rPr>
                <w:rFonts w:ascii="Times New Roman" w:hAnsi="Times New Roman" w:cs="Times New Roman"/>
                <w:sz w:val="24"/>
                <w:szCs w:val="24"/>
              </w:rPr>
              <w:t xml:space="preserve"> (turpmāk – Zemessardzes)</w:t>
            </w: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 veterān</w:t>
            </w:r>
            <w:r w:rsidR="00065379">
              <w:rPr>
                <w:rFonts w:ascii="Times New Roman" w:hAnsi="Times New Roman" w:cs="Times New Roman"/>
                <w:sz w:val="24"/>
                <w:szCs w:val="24"/>
              </w:rPr>
              <w:t xml:space="preserve">u priekšnieka mēnešalgu nosaka </w:t>
            </w:r>
            <w:r w:rsidR="00065379" w:rsidRPr="00065379">
              <w:rPr>
                <w:rFonts w:ascii="Times New Roman" w:hAnsi="Times New Roman" w:cs="Times New Roman"/>
                <w:sz w:val="24"/>
                <w:szCs w:val="24"/>
              </w:rPr>
              <w:t xml:space="preserve">atbilstoši valsts tiešās pārvaldes iestāžu amatpersonu (darbinieku) amatu 9.mēnešalgu grupai ministrijas padotības iestādēs, ņemot vērā </w:t>
            </w:r>
            <w:r w:rsidR="00065379" w:rsidRPr="00065379">
              <w:rPr>
                <w:rFonts w:ascii="Times New Roman" w:hAnsi="Times New Roman" w:cs="Times New Roman"/>
                <w:i/>
                <w:sz w:val="24"/>
                <w:szCs w:val="24"/>
              </w:rPr>
              <w:t>kvalifikācijas pakāpi</w:t>
            </w:r>
            <w:r w:rsidR="00065379" w:rsidRPr="00065379">
              <w:rPr>
                <w:rFonts w:ascii="Times New Roman" w:hAnsi="Times New Roman" w:cs="Times New Roman"/>
                <w:sz w:val="24"/>
                <w:szCs w:val="24"/>
              </w:rPr>
              <w:t xml:space="preserve"> atbilstoši Nacionālajos bruņotajos spēkos, Zemessardzē un Aizsardzības ministrijas padotības iestādēs nodienētajam (nostrādātajam) laikam un Zemessardzes veterānu priekšnieka </w:t>
            </w:r>
            <w:r w:rsidR="00065379" w:rsidRPr="00065379">
              <w:rPr>
                <w:rFonts w:ascii="Times New Roman" w:hAnsi="Times New Roman" w:cs="Times New Roman"/>
                <w:i/>
                <w:sz w:val="24"/>
                <w:szCs w:val="24"/>
              </w:rPr>
              <w:t>darbības un tās rezultātu novērtējumam</w:t>
            </w:r>
            <w:r w:rsidR="00065379" w:rsidRPr="00065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379">
              <w:rPr>
                <w:rFonts w:ascii="Arial" w:hAnsi="Arial" w:cs="Arial"/>
              </w:rPr>
              <w:t xml:space="preserve"> </w:t>
            </w:r>
          </w:p>
          <w:p w:rsidR="00A86373" w:rsidRDefault="006D291B" w:rsidP="00A832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B">
              <w:rPr>
                <w:rFonts w:ascii="Times New Roman" w:hAnsi="Times New Roman" w:cs="Times New Roman"/>
                <w:sz w:val="24"/>
                <w:szCs w:val="24"/>
              </w:rPr>
              <w:t>Zemessardzes veterānu priekšnieka amats ir civilā darbinieka amats Latvijas Republikas Zemessardzes štābā, līdz ar to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F3">
              <w:rPr>
                <w:rFonts w:ascii="Times New Roman" w:hAnsi="Times New Roman" w:cs="Times New Roman"/>
                <w:sz w:val="24"/>
                <w:szCs w:val="24"/>
              </w:rPr>
              <w:t>viņa mēnešalga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F3">
              <w:rPr>
                <w:rFonts w:ascii="Times New Roman" w:hAnsi="Times New Roman" w:cs="Times New Roman"/>
                <w:sz w:val="24"/>
                <w:szCs w:val="24"/>
              </w:rPr>
              <w:t>tika noteikta atbilstoši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t xml:space="preserve"> MK noteikumu Nr.948 </w:t>
            </w:r>
            <w:r w:rsidR="00A86373">
              <w:rPr>
                <w:rFonts w:ascii="Times New Roman" w:hAnsi="Times New Roman" w:cs="Times New Roman"/>
                <w:sz w:val="24"/>
                <w:szCs w:val="24"/>
              </w:rPr>
              <w:t xml:space="preserve">pieņemšanas brīdi 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t>spēkā esoš</w:t>
            </w:r>
            <w:r w:rsidR="007B5FF3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7B5F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EA" w:rsidRPr="006D291B">
              <w:rPr>
                <w:rFonts w:ascii="Times New Roman" w:hAnsi="Times New Roman" w:cs="Times New Roman"/>
                <w:sz w:val="24"/>
                <w:szCs w:val="24"/>
              </w:rPr>
              <w:t>Ministru kabineta 2009.gada 22.decembra noteikumi</w:t>
            </w:r>
            <w:r w:rsidR="007B5FF3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AD44EA" w:rsidRPr="006D291B">
              <w:rPr>
                <w:rFonts w:ascii="Times New Roman" w:hAnsi="Times New Roman" w:cs="Times New Roman"/>
                <w:sz w:val="24"/>
                <w:szCs w:val="24"/>
              </w:rPr>
              <w:t xml:space="preserve"> Nr.1651 „Noteikumi par valsts un pašvaldību institūciju amatpersonu un darbinieku darba samaksu, kvalifikācijas pakāpēm un to noteikšanas kārtību”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noteikumi Nr.1651)</w:t>
            </w:r>
            <w:r w:rsidR="00A86373">
              <w:rPr>
                <w:rFonts w:ascii="Times New Roman" w:hAnsi="Times New Roman" w:cs="Times New Roman"/>
                <w:sz w:val="24"/>
                <w:szCs w:val="24"/>
              </w:rPr>
              <w:t xml:space="preserve">, kas zaudēja spēku ar </w:t>
            </w:r>
            <w:r w:rsidR="00A86373" w:rsidRPr="006D291B">
              <w:rPr>
                <w:rFonts w:ascii="Times New Roman" w:hAnsi="Times New Roman" w:cs="Times New Roman"/>
                <w:sz w:val="24"/>
                <w:szCs w:val="24"/>
              </w:rPr>
              <w:t>Ministru kabineta 2013.gada 29.janvāra noteikumu Nr.66 „Noteikumi par valsts un pašvaldību institūciju amatpersonu un darbinieku darba samaksu un tās noteikšanas kārtību” (turpmāk – MK noteikumi Nr.66) spēkā stāšanos</w:t>
            </w:r>
            <w:r w:rsidR="00A86373">
              <w:rPr>
                <w:rFonts w:ascii="Times New Roman" w:hAnsi="Times New Roman" w:cs="Times New Roman"/>
                <w:sz w:val="24"/>
                <w:szCs w:val="24"/>
              </w:rPr>
              <w:t xml:space="preserve">. MK noteikumi Nr.66 paredz no MK noteikumiem Nr.1651 atšķirīgus kritērijus amatpersonu mēnešalgas noteikšanai. </w:t>
            </w:r>
          </w:p>
          <w:p w:rsidR="00395C30" w:rsidRDefault="00395C30" w:rsidP="00A832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91B">
              <w:rPr>
                <w:rFonts w:ascii="Times New Roman" w:hAnsi="Times New Roman" w:cs="Times New Roman"/>
                <w:sz w:val="24"/>
                <w:szCs w:val="24"/>
              </w:rPr>
              <w:t xml:space="preserve">MK 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t xml:space="preserve">noteikumu Nr.66 7.2.apakšpunkts, pretēji MK noteikumos Nr.1651 noteiktajam, </w:t>
            </w:r>
            <w:r w:rsidRPr="006D291B">
              <w:rPr>
                <w:rFonts w:ascii="Times New Roman" w:hAnsi="Times New Roman" w:cs="Times New Roman"/>
                <w:sz w:val="24"/>
                <w:szCs w:val="24"/>
              </w:rPr>
              <w:t>paredz, ka amatpersonas (darbinieka) mēnešalgu attiecīgajai amata mēnešalgu grupai paredzētā mēnešalgas diapazona ietvaros nosaka, ņemot vērā</w:t>
            </w: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 amatpersonas (darbinieka) </w:t>
            </w:r>
            <w:r w:rsidRPr="00395C30">
              <w:rPr>
                <w:rFonts w:ascii="Times New Roman" w:hAnsi="Times New Roman" w:cs="Times New Roman"/>
                <w:i/>
                <w:sz w:val="24"/>
                <w:szCs w:val="24"/>
              </w:rPr>
              <w:t>darba izpildes</w:t>
            </w:r>
            <w:r w:rsidR="006D291B">
              <w:rPr>
                <w:rFonts w:ascii="Times New Roman" w:hAnsi="Times New Roman" w:cs="Times New Roman"/>
                <w:sz w:val="24"/>
                <w:szCs w:val="24"/>
              </w:rPr>
              <w:t xml:space="preserve"> novērtējumu</w:t>
            </w:r>
            <w:r w:rsidR="00B77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t xml:space="preserve"> nevis </w:t>
            </w:r>
            <w:r w:rsidR="00AD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darbības un tās rezultātu novērtējumu</w:t>
            </w:r>
            <w:r w:rsidR="006D291B">
              <w:rPr>
                <w:rFonts w:ascii="Times New Roman" w:hAnsi="Times New Roman" w:cs="Times New Roman"/>
                <w:sz w:val="24"/>
                <w:szCs w:val="24"/>
              </w:rPr>
              <w:t xml:space="preserve">, bet </w:t>
            </w:r>
            <w:r w:rsidR="00B779C1">
              <w:rPr>
                <w:rFonts w:ascii="Times New Roman" w:hAnsi="Times New Roman" w:cs="Times New Roman"/>
                <w:sz w:val="24"/>
                <w:szCs w:val="24"/>
              </w:rPr>
              <w:t xml:space="preserve">MK noteikumu Nr.66 </w:t>
            </w:r>
            <w:r w:rsidR="006D291B">
              <w:rPr>
                <w:rFonts w:ascii="Times New Roman" w:hAnsi="Times New Roman" w:cs="Times New Roman"/>
                <w:sz w:val="24"/>
                <w:szCs w:val="24"/>
              </w:rPr>
              <w:t xml:space="preserve">9.punkts paredz, ka amatpersonas (darbinieka) mēnešalgu nosaka atbilstoši </w:t>
            </w:r>
            <w:r w:rsidR="006D291B" w:rsidRPr="00B779C1">
              <w:rPr>
                <w:rFonts w:ascii="Times New Roman" w:hAnsi="Times New Roman" w:cs="Times New Roman"/>
                <w:i/>
                <w:sz w:val="24"/>
                <w:szCs w:val="24"/>
              </w:rPr>
              <w:t>piešķirtajai kategorijai</w:t>
            </w:r>
            <w:r w:rsidR="006D291B">
              <w:rPr>
                <w:rFonts w:ascii="Times New Roman" w:hAnsi="Times New Roman" w:cs="Times New Roman"/>
                <w:sz w:val="24"/>
                <w:szCs w:val="24"/>
              </w:rPr>
              <w:t>, nevis kvalifikācijas pakāpei.</w:t>
            </w:r>
            <w:r w:rsidRPr="002A5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 xml:space="preserve">Līdz ar to </w:t>
            </w:r>
            <w:r w:rsidR="000D3E5F">
              <w:rPr>
                <w:rFonts w:ascii="Times New Roman" w:hAnsi="Times New Roman" w:cs="Times New Roman"/>
                <w:sz w:val="24"/>
                <w:szCs w:val="24"/>
              </w:rPr>
              <w:t>MK noteikum</w:t>
            </w:r>
            <w:r w:rsidR="00B779C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D3E5F">
              <w:rPr>
                <w:rFonts w:ascii="Times New Roman" w:hAnsi="Times New Roman" w:cs="Times New Roman"/>
                <w:sz w:val="24"/>
                <w:szCs w:val="24"/>
              </w:rPr>
              <w:t xml:space="preserve"> Nr.948 </w:t>
            </w:r>
            <w:r w:rsidR="00B779C1">
              <w:rPr>
                <w:rFonts w:ascii="Times New Roman" w:hAnsi="Times New Roman" w:cs="Times New Roman"/>
                <w:sz w:val="24"/>
                <w:szCs w:val="24"/>
              </w:rPr>
              <w:t xml:space="preserve">9.punktā 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>lietotā terminoloģija precizējama atbilstoši</w:t>
            </w:r>
            <w:r w:rsidR="000D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MK noteikum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Nr.66 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>lietotai terminoloģijai.</w:t>
            </w:r>
          </w:p>
          <w:p w:rsidR="00652F9F" w:rsidRDefault="00C002F7" w:rsidP="00A83297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Tā kā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ar 2014.gada 1.janvāri Latvijā tik</w:t>
            </w:r>
            <w:r w:rsidR="00A15C9D">
              <w:rPr>
                <w:rFonts w:ascii="Times New Roman" w:hAnsi="Times New Roman" w:cs="Times New Roman"/>
                <w:sz w:val="24"/>
              </w:rPr>
              <w:t>a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 ieviesta </w:t>
            </w:r>
            <w:r w:rsidR="00A83297">
              <w:rPr>
                <w:rFonts w:ascii="Times New Roman" w:hAnsi="Times New Roman" w:cs="Times New Roman"/>
                <w:sz w:val="24"/>
              </w:rPr>
              <w:t xml:space="preserve">Eiropas Savienības vienotā valūta </w:t>
            </w:r>
            <w:proofErr w:type="spellStart"/>
            <w:r w:rsidR="003C03AD" w:rsidRPr="00E22CCB">
              <w:rPr>
                <w:rFonts w:ascii="Times New Roman" w:hAnsi="Times New Roman" w:cs="Times New Roman"/>
                <w:i/>
                <w:sz w:val="24"/>
              </w:rPr>
              <w:t>euro</w:t>
            </w:r>
            <w:proofErr w:type="spellEnd"/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, nepieciešams </w:t>
            </w:r>
            <w:r w:rsidR="00395C30">
              <w:rPr>
                <w:rFonts w:ascii="Times New Roman" w:hAnsi="Times New Roman" w:cs="Times New Roman"/>
                <w:sz w:val="24"/>
              </w:rPr>
              <w:t>veikt</w:t>
            </w:r>
            <w:r w:rsidRPr="00E22CC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03AD" w:rsidRPr="00E22CCB">
              <w:rPr>
                <w:rFonts w:ascii="Times New Roman" w:hAnsi="Times New Roman" w:cs="Times New Roman"/>
                <w:sz w:val="24"/>
              </w:rPr>
              <w:t xml:space="preserve">grozījumu </w:t>
            </w:r>
            <w:r w:rsidR="00395C30">
              <w:rPr>
                <w:rFonts w:ascii="Times New Roman" w:hAnsi="Times New Roman" w:cs="Times New Roman"/>
                <w:bCs/>
                <w:sz w:val="24"/>
                <w:szCs w:val="24"/>
              </w:rPr>
              <w:t>MK noteikumos Nr.948</w:t>
            </w:r>
            <w:r w:rsidR="003C03AD" w:rsidRPr="005A3DED">
              <w:rPr>
                <w:rFonts w:ascii="Times New Roman" w:hAnsi="Times New Roman" w:cs="Times New Roman"/>
                <w:sz w:val="24"/>
              </w:rPr>
              <w:t>, aizstājo</w:t>
            </w:r>
            <w:r w:rsidR="00A15C9D" w:rsidRPr="005A3DED">
              <w:rPr>
                <w:rFonts w:ascii="Times New Roman" w:hAnsi="Times New Roman" w:cs="Times New Roman"/>
                <w:sz w:val="24"/>
              </w:rPr>
              <w:t xml:space="preserve">t tajos </w:t>
            </w:r>
            <w:r w:rsidR="00A83297" w:rsidRPr="005A3DED">
              <w:rPr>
                <w:rFonts w:ascii="Times New Roman" w:hAnsi="Times New Roman" w:cs="Times New Roman"/>
                <w:sz w:val="24"/>
              </w:rPr>
              <w:t xml:space="preserve">atsauci uz latiem ar atsauci uz </w:t>
            </w:r>
            <w:proofErr w:type="spellStart"/>
            <w:r w:rsidR="00A83297" w:rsidRPr="005A3DED">
              <w:rPr>
                <w:rFonts w:ascii="Times New Roman" w:hAnsi="Times New Roman" w:cs="Times New Roman"/>
                <w:i/>
                <w:sz w:val="24"/>
              </w:rPr>
              <w:t>euro</w:t>
            </w:r>
            <w:proofErr w:type="spellEnd"/>
            <w:r w:rsidR="00A83297" w:rsidRPr="005A3DED">
              <w:rPr>
                <w:rFonts w:ascii="Times New Roman" w:hAnsi="Times New Roman" w:cs="Times New Roman"/>
                <w:sz w:val="24"/>
              </w:rPr>
              <w:t>.</w:t>
            </w:r>
            <w:r w:rsidR="00395C30">
              <w:rPr>
                <w:rFonts w:ascii="Times New Roman" w:hAnsi="Times New Roman" w:cs="Times New Roman"/>
                <w:sz w:val="24"/>
              </w:rPr>
              <w:t xml:space="preserve"> Grozītā</w:t>
            </w:r>
            <w:r w:rsidR="004633F3">
              <w:rPr>
                <w:rFonts w:ascii="Times New Roman" w:hAnsi="Times New Roman" w:cs="Times New Roman"/>
                <w:sz w:val="24"/>
              </w:rPr>
              <w:t>s</w:t>
            </w:r>
            <w:r w:rsidR="00652F9F">
              <w:rPr>
                <w:rFonts w:ascii="Times New Roman" w:hAnsi="Times New Roman" w:cs="Times New Roman"/>
                <w:sz w:val="24"/>
              </w:rPr>
              <w:t xml:space="preserve"> tiesību normas nerada ietekmi uz valsts budžetu.</w:t>
            </w:r>
          </w:p>
          <w:p w:rsidR="00096AE6" w:rsidRPr="00E22CCB" w:rsidRDefault="00096AE6" w:rsidP="00395C30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C03AD" w:rsidRPr="00A3056B" w:rsidTr="00A83297">
        <w:trPr>
          <w:trHeight w:val="476"/>
          <w:tblCellSpacing w:w="0" w:type="dxa"/>
        </w:trPr>
        <w:tc>
          <w:tcPr>
            <w:tcW w:w="528" w:type="dxa"/>
          </w:tcPr>
          <w:p w:rsidR="003C03AD" w:rsidRPr="00E22CCB" w:rsidRDefault="003C03AD" w:rsidP="00A8329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lastRenderedPageBreak/>
              <w:t> </w:t>
            </w:r>
            <w:r w:rsidR="00A83297">
              <w:rPr>
                <w:rFonts w:ascii="Times New Roman" w:hAnsi="Times New Roman" w:cs="Times New Roman"/>
                <w:sz w:val="24"/>
                <w:lang w:eastAsia="lv-LV"/>
              </w:rPr>
              <w:t>3.</w:t>
            </w:r>
          </w:p>
        </w:tc>
        <w:tc>
          <w:tcPr>
            <w:tcW w:w="2464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Projekta izstrādē iesaistītās institūcijas</w:t>
            </w:r>
          </w:p>
        </w:tc>
        <w:tc>
          <w:tcPr>
            <w:tcW w:w="6129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</w:t>
            </w:r>
            <w:r w:rsidRPr="00E22CCB">
              <w:rPr>
                <w:rFonts w:ascii="Times New Roman" w:hAnsi="Times New Roman" w:cs="Times New Roman"/>
                <w:sz w:val="24"/>
              </w:rPr>
              <w:t>Aizsardzības ministrija</w:t>
            </w:r>
          </w:p>
        </w:tc>
      </w:tr>
      <w:tr w:rsidR="003C03AD" w:rsidRPr="00A3056B" w:rsidTr="00A83297">
        <w:trPr>
          <w:trHeight w:val="466"/>
          <w:tblCellSpacing w:w="0" w:type="dxa"/>
        </w:trPr>
        <w:tc>
          <w:tcPr>
            <w:tcW w:w="528" w:type="dxa"/>
          </w:tcPr>
          <w:p w:rsidR="003C03AD" w:rsidRPr="00E22CCB" w:rsidRDefault="00A83297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lang w:eastAsia="lv-LV"/>
              </w:rPr>
              <w:t>4.</w:t>
            </w:r>
          </w:p>
        </w:tc>
        <w:tc>
          <w:tcPr>
            <w:tcW w:w="2464" w:type="dxa"/>
          </w:tcPr>
          <w:p w:rsidR="003C03AD" w:rsidRPr="00E22CCB" w:rsidRDefault="003C03AD" w:rsidP="00E22C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lang w:eastAsia="lv-LV"/>
              </w:rPr>
            </w:pPr>
            <w:r w:rsidRPr="00E22CCB">
              <w:rPr>
                <w:rFonts w:ascii="Times New Roman" w:hAnsi="Times New Roman" w:cs="Times New Roman"/>
                <w:sz w:val="24"/>
                <w:lang w:eastAsia="lv-LV"/>
              </w:rPr>
              <w:t> Cita informācija</w:t>
            </w:r>
          </w:p>
        </w:tc>
        <w:tc>
          <w:tcPr>
            <w:tcW w:w="6129" w:type="dxa"/>
          </w:tcPr>
          <w:p w:rsidR="00A83297" w:rsidRPr="00671777" w:rsidRDefault="00A83297" w:rsidP="00C817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Saskaņā ar Ministru kabineta 2013.gada 29.maija rīkojuma Nr.212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„Par tiesību aktu grozīju</w:t>
            </w:r>
            <w:r w:rsidR="00652F9F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u virzību saistībā ar </w:t>
            </w:r>
            <w:proofErr w:type="spellStart"/>
            <w:r w:rsidRPr="0048749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ieviešanu Latvijā”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1.8.apakšpunktu tiesību aktu projekti par grozījumiem Ministru kabineta noteikumos, </w:t>
            </w:r>
            <w:r w:rsidR="000822F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kuri</w:t>
            </w:r>
            <w:r w:rsidR="000822F2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ir saistīti ar </w:t>
            </w:r>
            <w:proofErr w:type="spellStart"/>
            <w:r w:rsidRPr="0048749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ieviešanu un kuriem nav jāstājas spēkā </w:t>
            </w:r>
            <w:proofErr w:type="spellStart"/>
            <w:r w:rsidRPr="00487498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ieviešanas dienā, izstrādājami un iesniedzami izsludināšanai Valsts sekretāru sanāksmē ne vēlāk kā 36 mēnešu laikā pēc dienas, 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</w:t>
            </w:r>
            <w:r w:rsidR="00C817C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Eiropas Savienības Padome 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noteiku</w:t>
            </w:r>
            <w:r w:rsidR="00C817C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si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valūt</w:t>
            </w:r>
            <w:r w:rsidR="00C817C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="00C817C3"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874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maiņas kursu.</w:t>
            </w:r>
          </w:p>
        </w:tc>
      </w:tr>
    </w:tbl>
    <w:p w:rsidR="00CD6FA2" w:rsidRDefault="00CD6FA2" w:rsidP="00CD6FA2">
      <w:pPr>
        <w:pStyle w:val="NoSpacing"/>
        <w:jc w:val="both"/>
        <w:rPr>
          <w:rFonts w:ascii="Times New Roman" w:hAnsi="Times New Roman" w:cs="Times New Roman"/>
          <w:sz w:val="24"/>
          <w:lang w:eastAsia="lv-LV"/>
        </w:rPr>
      </w:pP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  <w:lang w:eastAsia="lv-LV"/>
        </w:rPr>
      </w:pPr>
      <w:r w:rsidRPr="00CD6FA2">
        <w:rPr>
          <w:rFonts w:ascii="Times New Roman" w:hAnsi="Times New Roman" w:cs="Times New Roman"/>
          <w:sz w:val="24"/>
          <w:lang w:eastAsia="lv-LV"/>
        </w:rPr>
        <w:t xml:space="preserve">Anotācijas </w:t>
      </w:r>
      <w:r w:rsidR="001536C0" w:rsidRPr="00CD6FA2">
        <w:rPr>
          <w:rFonts w:ascii="Times New Roman" w:hAnsi="Times New Roman" w:cs="Times New Roman"/>
          <w:sz w:val="24"/>
          <w:lang w:eastAsia="lv-LV"/>
        </w:rPr>
        <w:t xml:space="preserve">II, </w:t>
      </w:r>
      <w:r w:rsidRPr="00CD6FA2">
        <w:rPr>
          <w:rFonts w:ascii="Times New Roman" w:hAnsi="Times New Roman" w:cs="Times New Roman"/>
          <w:sz w:val="24"/>
          <w:lang w:eastAsia="lv-LV"/>
        </w:rPr>
        <w:t xml:space="preserve">III, IV, V, VI, VII sadaļa </w:t>
      </w:r>
      <w:r w:rsidR="009024B5">
        <w:rPr>
          <w:rFonts w:ascii="Times New Roman" w:hAnsi="Times New Roman" w:cs="Times New Roman"/>
          <w:sz w:val="24"/>
          <w:lang w:eastAsia="lv-LV"/>
        </w:rPr>
        <w:t>–</w:t>
      </w:r>
      <w:r w:rsidRPr="00CD6FA2">
        <w:rPr>
          <w:rFonts w:ascii="Times New Roman" w:hAnsi="Times New Roman" w:cs="Times New Roman"/>
          <w:sz w:val="24"/>
          <w:lang w:eastAsia="lv-LV"/>
        </w:rPr>
        <w:t xml:space="preserve"> projekts šo jomu neskar.</w:t>
      </w:r>
    </w:p>
    <w:p w:rsidR="00CD6FA2" w:rsidRPr="00CD6FA2" w:rsidRDefault="00CD6FA2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D6FA2">
        <w:rPr>
          <w:rFonts w:ascii="Times New Roman" w:hAnsi="Times New Roman" w:cs="Times New Roman"/>
          <w:sz w:val="24"/>
        </w:rPr>
        <w:t>Aizsardzības ministrs</w:t>
      </w:r>
      <w:proofErr w:type="gramStart"/>
      <w:r w:rsidRPr="00CD6FA2">
        <w:rPr>
          <w:rFonts w:ascii="Times New Roman" w:hAnsi="Times New Roman" w:cs="Times New Roman"/>
          <w:sz w:val="24"/>
        </w:rPr>
        <w:t xml:space="preserve">                                                      </w:t>
      </w:r>
      <w:proofErr w:type="gramEnd"/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proofErr w:type="spellStart"/>
      <w:r w:rsidR="00A83297">
        <w:rPr>
          <w:rFonts w:ascii="Times New Roman" w:hAnsi="Times New Roman" w:cs="Times New Roman"/>
          <w:sz w:val="24"/>
        </w:rPr>
        <w:t>R.Vējonis</w:t>
      </w:r>
      <w:proofErr w:type="spellEnd"/>
    </w:p>
    <w:p w:rsidR="00576D9E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A3DED" w:rsidRPr="00CD6FA2" w:rsidRDefault="005A3DED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76D9E" w:rsidRPr="00CD6FA2" w:rsidRDefault="00576D9E" w:rsidP="00CD6FA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CD6FA2">
        <w:rPr>
          <w:rFonts w:ascii="Times New Roman" w:hAnsi="Times New Roman" w:cs="Times New Roman"/>
          <w:sz w:val="24"/>
        </w:rPr>
        <w:t>Vīza: valsts sekretār</w:t>
      </w:r>
      <w:r w:rsidR="00B5225E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B5225E">
        <w:rPr>
          <w:rFonts w:ascii="Times New Roman" w:hAnsi="Times New Roman" w:cs="Times New Roman"/>
          <w:sz w:val="24"/>
        </w:rPr>
        <w:t>p.i</w:t>
      </w:r>
      <w:proofErr w:type="spellEnd"/>
      <w:r w:rsidR="00B5225E">
        <w:rPr>
          <w:rFonts w:ascii="Times New Roman" w:hAnsi="Times New Roman" w:cs="Times New Roman"/>
          <w:sz w:val="24"/>
        </w:rPr>
        <w:t>.</w:t>
      </w:r>
      <w:proofErr w:type="gramStart"/>
      <w:r w:rsidRPr="00CD6FA2">
        <w:rPr>
          <w:rFonts w:ascii="Times New Roman" w:hAnsi="Times New Roman" w:cs="Times New Roman"/>
          <w:sz w:val="24"/>
        </w:rPr>
        <w:t xml:space="preserve">                                                     </w:t>
      </w:r>
      <w:proofErr w:type="gramEnd"/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r w:rsidR="00CD6FA2">
        <w:rPr>
          <w:rFonts w:ascii="Times New Roman" w:hAnsi="Times New Roman" w:cs="Times New Roman"/>
          <w:sz w:val="24"/>
        </w:rPr>
        <w:tab/>
      </w:r>
      <w:proofErr w:type="spellStart"/>
      <w:r w:rsidR="00B5225E">
        <w:rPr>
          <w:rFonts w:ascii="Times New Roman" w:hAnsi="Times New Roman" w:cs="Times New Roman"/>
          <w:sz w:val="24"/>
        </w:rPr>
        <w:t>I.Dreģe</w:t>
      </w:r>
      <w:proofErr w:type="spellEnd"/>
    </w:p>
    <w:p w:rsidR="00A50132" w:rsidRDefault="00A50132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95F1F" w:rsidRDefault="00A95F1F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95F1F" w:rsidRDefault="00A95F1F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D6FA2" w:rsidRPr="00A95F1F" w:rsidRDefault="007C0772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95F1F">
        <w:rPr>
          <w:rFonts w:ascii="Times New Roman" w:hAnsi="Times New Roman" w:cs="Times New Roman"/>
          <w:sz w:val="16"/>
          <w:szCs w:val="16"/>
        </w:rPr>
        <w:fldChar w:fldCharType="begin"/>
      </w:r>
      <w:r w:rsidRPr="00A95F1F">
        <w:rPr>
          <w:rFonts w:ascii="Times New Roman" w:hAnsi="Times New Roman" w:cs="Times New Roman"/>
          <w:sz w:val="16"/>
          <w:szCs w:val="16"/>
        </w:rPr>
        <w:instrText xml:space="preserve"> TIME \@ "dd.MM.yyyy" </w:instrText>
      </w:r>
      <w:r w:rsidRPr="00A95F1F">
        <w:rPr>
          <w:rFonts w:ascii="Times New Roman" w:hAnsi="Times New Roman" w:cs="Times New Roman"/>
          <w:sz w:val="16"/>
          <w:szCs w:val="16"/>
        </w:rPr>
        <w:fldChar w:fldCharType="separate"/>
      </w:r>
      <w:r w:rsidR="00B5225E">
        <w:rPr>
          <w:rFonts w:ascii="Times New Roman" w:hAnsi="Times New Roman" w:cs="Times New Roman"/>
          <w:noProof/>
          <w:sz w:val="16"/>
          <w:szCs w:val="16"/>
        </w:rPr>
        <w:t>06.08.2014</w:t>
      </w:r>
      <w:r w:rsidRPr="00A95F1F">
        <w:rPr>
          <w:rFonts w:ascii="Times New Roman" w:hAnsi="Times New Roman" w:cs="Times New Roman"/>
          <w:sz w:val="16"/>
          <w:szCs w:val="16"/>
        </w:rPr>
        <w:fldChar w:fldCharType="end"/>
      </w:r>
      <w:r w:rsidRPr="00A95F1F">
        <w:rPr>
          <w:rFonts w:ascii="Times New Roman" w:hAnsi="Times New Roman" w:cs="Times New Roman"/>
          <w:sz w:val="16"/>
          <w:szCs w:val="16"/>
        </w:rPr>
        <w:t xml:space="preserve"> </w:t>
      </w:r>
      <w:r w:rsidRPr="00A95F1F">
        <w:rPr>
          <w:rFonts w:ascii="Times New Roman" w:hAnsi="Times New Roman" w:cs="Times New Roman"/>
          <w:sz w:val="16"/>
          <w:szCs w:val="16"/>
        </w:rPr>
        <w:fldChar w:fldCharType="begin"/>
      </w:r>
      <w:r w:rsidRPr="00A95F1F">
        <w:rPr>
          <w:rFonts w:ascii="Times New Roman" w:hAnsi="Times New Roman" w:cs="Times New Roman"/>
          <w:sz w:val="16"/>
          <w:szCs w:val="16"/>
        </w:rPr>
        <w:instrText xml:space="preserve"> TIME \@ "h:mm am/pm" </w:instrText>
      </w:r>
      <w:r w:rsidRPr="00A95F1F">
        <w:rPr>
          <w:rFonts w:ascii="Times New Roman" w:hAnsi="Times New Roman" w:cs="Times New Roman"/>
          <w:sz w:val="16"/>
          <w:szCs w:val="16"/>
        </w:rPr>
        <w:fldChar w:fldCharType="separate"/>
      </w:r>
      <w:r w:rsidR="00B5225E">
        <w:rPr>
          <w:rFonts w:ascii="Times New Roman" w:hAnsi="Times New Roman" w:cs="Times New Roman"/>
          <w:noProof/>
          <w:sz w:val="16"/>
          <w:szCs w:val="16"/>
        </w:rPr>
        <w:t xml:space="preserve">3:38 </w:t>
      </w:r>
      <w:r w:rsidRPr="00A95F1F">
        <w:rPr>
          <w:rFonts w:ascii="Times New Roman" w:hAnsi="Times New Roman" w:cs="Times New Roman"/>
          <w:sz w:val="16"/>
          <w:szCs w:val="16"/>
        </w:rPr>
        <w:fldChar w:fldCharType="end"/>
      </w:r>
    </w:p>
    <w:p w:rsidR="00CD6FA2" w:rsidRPr="00A95F1F" w:rsidRDefault="00B779C1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49</w:t>
      </w:r>
      <w:r w:rsidR="00B5225E">
        <w:rPr>
          <w:rFonts w:ascii="Times New Roman" w:hAnsi="Times New Roman" w:cs="Times New Roman"/>
          <w:sz w:val="16"/>
          <w:szCs w:val="16"/>
        </w:rPr>
        <w:t>2</w:t>
      </w:r>
      <w:bookmarkStart w:id="0" w:name="_GoBack"/>
      <w:bookmarkEnd w:id="0"/>
    </w:p>
    <w:p w:rsidR="00CD6FA2" w:rsidRPr="00A95F1F" w:rsidRDefault="005A3DED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95F1F">
        <w:rPr>
          <w:rFonts w:ascii="Times New Roman" w:hAnsi="Times New Roman" w:cs="Times New Roman"/>
          <w:sz w:val="16"/>
          <w:szCs w:val="16"/>
        </w:rPr>
        <w:t>Marina Balta</w:t>
      </w:r>
    </w:p>
    <w:p w:rsidR="00CD6FA2" w:rsidRPr="00A95F1F" w:rsidRDefault="00CD6FA2" w:rsidP="00CD6FA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95F1F">
        <w:rPr>
          <w:rFonts w:ascii="Times New Roman" w:hAnsi="Times New Roman" w:cs="Times New Roman"/>
          <w:sz w:val="16"/>
          <w:szCs w:val="16"/>
        </w:rPr>
        <w:t>e-pasts:</w:t>
      </w:r>
      <w:r w:rsidR="005A3DED" w:rsidRPr="00A95F1F">
        <w:rPr>
          <w:rFonts w:ascii="Times New Roman" w:hAnsi="Times New Roman" w:cs="Times New Roman"/>
          <w:sz w:val="16"/>
          <w:szCs w:val="16"/>
        </w:rPr>
        <w:t xml:space="preserve"> Marina.Balta</w:t>
      </w:r>
      <w:r w:rsidRPr="00A95F1F">
        <w:rPr>
          <w:rFonts w:ascii="Times New Roman" w:hAnsi="Times New Roman" w:cs="Times New Roman"/>
          <w:sz w:val="16"/>
          <w:szCs w:val="16"/>
        </w:rPr>
        <w:t>@mod.gov.lv</w:t>
      </w:r>
    </w:p>
    <w:p w:rsidR="00CD6FA2" w:rsidRPr="00A95F1F" w:rsidRDefault="00CD6FA2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95F1F">
        <w:rPr>
          <w:rFonts w:ascii="Times New Roman" w:hAnsi="Times New Roman" w:cs="Times New Roman"/>
          <w:sz w:val="16"/>
          <w:szCs w:val="16"/>
        </w:rPr>
        <w:t>tālr.:67335153</w:t>
      </w:r>
      <w:r w:rsidR="005A3DED" w:rsidRPr="00A95F1F">
        <w:rPr>
          <w:rFonts w:ascii="Times New Roman" w:hAnsi="Times New Roman" w:cs="Times New Roman"/>
          <w:sz w:val="16"/>
          <w:szCs w:val="16"/>
        </w:rPr>
        <w:t xml:space="preserve">, </w:t>
      </w:r>
      <w:r w:rsidRPr="00A95F1F">
        <w:rPr>
          <w:rFonts w:ascii="Times New Roman" w:hAnsi="Times New Roman" w:cs="Times New Roman"/>
          <w:sz w:val="16"/>
          <w:szCs w:val="16"/>
        </w:rPr>
        <w:t xml:space="preserve">fakss: </w:t>
      </w:r>
      <w:smartTag w:uri="schemas-tilde-lv/tildestengine" w:element="phone">
        <w:smartTagPr>
          <w:attr w:name="phone_prefix" w:val="6"/>
          <w:attr w:name="phone_number" w:val="7212307"/>
        </w:smartTagPr>
        <w:r w:rsidR="00A95F1F" w:rsidRPr="00A95F1F">
          <w:rPr>
            <w:rFonts w:ascii="Times New Roman" w:hAnsi="Times New Roman" w:cs="Times New Roman"/>
            <w:sz w:val="16"/>
            <w:szCs w:val="16"/>
          </w:rPr>
          <w:t>67212307</w:t>
        </w:r>
      </w:smartTag>
    </w:p>
    <w:sectPr w:rsidR="00CD6FA2" w:rsidRPr="00A95F1F" w:rsidSect="005A3DED">
      <w:footerReference w:type="default" r:id="rId8"/>
      <w:pgSz w:w="11906" w:h="16838"/>
      <w:pgMar w:top="1276" w:right="1274" w:bottom="851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2E" w:rsidRDefault="00CA452E" w:rsidP="00CA452E">
      <w:pPr>
        <w:spacing w:after="0" w:line="240" w:lineRule="auto"/>
      </w:pPr>
      <w:r>
        <w:separator/>
      </w:r>
    </w:p>
  </w:endnote>
  <w:endnote w:type="continuationSeparator" w:id="0">
    <w:p w:rsidR="00CA452E" w:rsidRDefault="00CA452E" w:rsidP="00CA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ED" w:rsidRPr="005A3DED" w:rsidRDefault="00CA452E" w:rsidP="005A3DED">
    <w:pPr>
      <w:jc w:val="both"/>
      <w:rPr>
        <w:rFonts w:ascii="Times New Roman" w:hAnsi="Times New Roman" w:cs="Times New Roman"/>
        <w:sz w:val="20"/>
        <w:szCs w:val="20"/>
      </w:rPr>
    </w:pPr>
    <w:r w:rsidRPr="005A3DED">
      <w:rPr>
        <w:rFonts w:ascii="Times New Roman" w:hAnsi="Times New Roman" w:cs="Times New Roman"/>
        <w:sz w:val="20"/>
        <w:szCs w:val="20"/>
      </w:rPr>
      <w:t>AIManot_</w:t>
    </w:r>
    <w:r w:rsidR="00D30C1E">
      <w:rPr>
        <w:rFonts w:ascii="Times New Roman" w:hAnsi="Times New Roman" w:cs="Times New Roman"/>
        <w:sz w:val="20"/>
        <w:szCs w:val="20"/>
      </w:rPr>
      <w:t>0</w:t>
    </w:r>
    <w:r w:rsidR="00B779C1">
      <w:rPr>
        <w:rFonts w:ascii="Times New Roman" w:hAnsi="Times New Roman" w:cs="Times New Roman"/>
        <w:sz w:val="20"/>
        <w:szCs w:val="20"/>
      </w:rPr>
      <w:t>6</w:t>
    </w:r>
    <w:r w:rsidR="00D30C1E">
      <w:rPr>
        <w:rFonts w:ascii="Times New Roman" w:hAnsi="Times New Roman" w:cs="Times New Roman"/>
        <w:sz w:val="20"/>
        <w:szCs w:val="20"/>
      </w:rPr>
      <w:t>0</w:t>
    </w:r>
    <w:r w:rsidR="00B779C1">
      <w:rPr>
        <w:rFonts w:ascii="Times New Roman" w:hAnsi="Times New Roman" w:cs="Times New Roman"/>
        <w:sz w:val="20"/>
        <w:szCs w:val="20"/>
      </w:rPr>
      <w:t>8</w:t>
    </w:r>
    <w:r w:rsidR="00A83297" w:rsidRPr="005A3DED">
      <w:rPr>
        <w:rFonts w:ascii="Times New Roman" w:hAnsi="Times New Roman" w:cs="Times New Roman"/>
        <w:sz w:val="20"/>
        <w:szCs w:val="20"/>
      </w:rPr>
      <w:t>14</w:t>
    </w:r>
    <w:r w:rsidRPr="005A3DED">
      <w:rPr>
        <w:rFonts w:ascii="Times New Roman" w:hAnsi="Times New Roman" w:cs="Times New Roman"/>
        <w:sz w:val="20"/>
        <w:szCs w:val="20"/>
      </w:rPr>
      <w:t>_MK</w:t>
    </w:r>
    <w:r w:rsidR="00373BB1">
      <w:rPr>
        <w:rFonts w:ascii="Times New Roman" w:hAnsi="Times New Roman" w:cs="Times New Roman"/>
        <w:sz w:val="20"/>
        <w:szCs w:val="20"/>
      </w:rPr>
      <w:t>948</w:t>
    </w:r>
    <w:r w:rsidRPr="005A3DED">
      <w:rPr>
        <w:rFonts w:ascii="Times New Roman" w:hAnsi="Times New Roman" w:cs="Times New Roman"/>
        <w:sz w:val="20"/>
        <w:szCs w:val="20"/>
      </w:rPr>
      <w:t xml:space="preserve">; Anotācija Ministru kabineta noteikumu projektam </w:t>
    </w:r>
    <w:r w:rsidR="005A3DED" w:rsidRPr="005A3DED">
      <w:rPr>
        <w:rFonts w:ascii="Times New Roman" w:hAnsi="Times New Roman" w:cs="Times New Roman"/>
        <w:sz w:val="20"/>
        <w:szCs w:val="20"/>
      </w:rPr>
      <w:t>„</w:t>
    </w:r>
    <w:r w:rsidR="005A3DED" w:rsidRPr="005A3DED">
      <w:rPr>
        <w:rFonts w:ascii="Times New Roman" w:hAnsi="Times New Roman" w:cs="Times New Roman"/>
        <w:bCs/>
        <w:sz w:val="20"/>
        <w:szCs w:val="20"/>
      </w:rPr>
      <w:t>Grozījum</w:t>
    </w:r>
    <w:r w:rsidR="00E96443">
      <w:rPr>
        <w:rFonts w:ascii="Times New Roman" w:hAnsi="Times New Roman" w:cs="Times New Roman"/>
        <w:bCs/>
        <w:sz w:val="20"/>
        <w:szCs w:val="20"/>
      </w:rPr>
      <w:t>i</w:t>
    </w:r>
    <w:r w:rsidR="005A3DED" w:rsidRPr="005A3DED">
      <w:rPr>
        <w:rFonts w:ascii="Times New Roman" w:hAnsi="Times New Roman" w:cs="Times New Roman"/>
        <w:bCs/>
        <w:sz w:val="20"/>
        <w:szCs w:val="20"/>
      </w:rPr>
      <w:t xml:space="preserve"> Ministru kabineta 2010.gada 5.oktobra noteikumos Nr.948 „Noteikumi par zemessargiem izmaksājamo dienesta uzdevumu izpildes un apmācību kompensāciju, Zemessardzes veterānu priekšnieka algu, kā arī zemessarga mantai nodarīto zaudējumu atlīdzību”</w:t>
    </w:r>
    <w:r w:rsidR="005A3DED" w:rsidRPr="005A3DED">
      <w:rPr>
        <w:rFonts w:ascii="Times New Roman" w:hAnsi="Times New Roman" w:cs="Times New Roman"/>
        <w:sz w:val="20"/>
        <w:szCs w:val="20"/>
      </w:rPr>
      <w:t xml:space="preserve">” </w:t>
    </w:r>
  </w:p>
  <w:p w:rsidR="00CA452E" w:rsidRPr="005A3DED" w:rsidRDefault="00CA452E" w:rsidP="005A3DED">
    <w:pPr>
      <w:pStyle w:val="NoSpacing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2E" w:rsidRDefault="00CA452E" w:rsidP="00CA452E">
      <w:pPr>
        <w:spacing w:after="0" w:line="240" w:lineRule="auto"/>
      </w:pPr>
      <w:r>
        <w:separator/>
      </w:r>
    </w:p>
  </w:footnote>
  <w:footnote w:type="continuationSeparator" w:id="0">
    <w:p w:rsidR="00CA452E" w:rsidRDefault="00CA452E" w:rsidP="00CA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AD"/>
    <w:rsid w:val="00000ADA"/>
    <w:rsid w:val="000125F6"/>
    <w:rsid w:val="00043B9A"/>
    <w:rsid w:val="00065379"/>
    <w:rsid w:val="00076B46"/>
    <w:rsid w:val="000822F2"/>
    <w:rsid w:val="00096AE6"/>
    <w:rsid w:val="000D3E5F"/>
    <w:rsid w:val="001536C0"/>
    <w:rsid w:val="001E36C5"/>
    <w:rsid w:val="002A57F1"/>
    <w:rsid w:val="00373BB1"/>
    <w:rsid w:val="003810E5"/>
    <w:rsid w:val="00395C30"/>
    <w:rsid w:val="003C03AD"/>
    <w:rsid w:val="003E056F"/>
    <w:rsid w:val="003E1973"/>
    <w:rsid w:val="004633F3"/>
    <w:rsid w:val="004A270E"/>
    <w:rsid w:val="004D2A09"/>
    <w:rsid w:val="00534F41"/>
    <w:rsid w:val="005464C7"/>
    <w:rsid w:val="00576D9E"/>
    <w:rsid w:val="005834AB"/>
    <w:rsid w:val="005A3DED"/>
    <w:rsid w:val="005C7A73"/>
    <w:rsid w:val="00652F9F"/>
    <w:rsid w:val="00671777"/>
    <w:rsid w:val="006D291B"/>
    <w:rsid w:val="007042B8"/>
    <w:rsid w:val="007B410A"/>
    <w:rsid w:val="007B5FF3"/>
    <w:rsid w:val="007C0772"/>
    <w:rsid w:val="008A35FF"/>
    <w:rsid w:val="008E6716"/>
    <w:rsid w:val="009024B5"/>
    <w:rsid w:val="009056D7"/>
    <w:rsid w:val="009722C7"/>
    <w:rsid w:val="00980FF1"/>
    <w:rsid w:val="009A5392"/>
    <w:rsid w:val="009E22D3"/>
    <w:rsid w:val="00A15C9D"/>
    <w:rsid w:val="00A50132"/>
    <w:rsid w:val="00A83297"/>
    <w:rsid w:val="00A86373"/>
    <w:rsid w:val="00A95F1F"/>
    <w:rsid w:val="00AD44EA"/>
    <w:rsid w:val="00B16BD8"/>
    <w:rsid w:val="00B44576"/>
    <w:rsid w:val="00B5225E"/>
    <w:rsid w:val="00B779C1"/>
    <w:rsid w:val="00B86CA9"/>
    <w:rsid w:val="00BE5253"/>
    <w:rsid w:val="00C002F7"/>
    <w:rsid w:val="00C35012"/>
    <w:rsid w:val="00C817C3"/>
    <w:rsid w:val="00CA452E"/>
    <w:rsid w:val="00CD6FA2"/>
    <w:rsid w:val="00D00571"/>
    <w:rsid w:val="00D13C36"/>
    <w:rsid w:val="00D30C1E"/>
    <w:rsid w:val="00E22CCB"/>
    <w:rsid w:val="00E96443"/>
    <w:rsid w:val="00F4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C03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3C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naisc">
    <w:name w:val="naisc"/>
    <w:basedOn w:val="Normal"/>
    <w:rsid w:val="00576D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2E"/>
  </w:style>
  <w:style w:type="paragraph" w:styleId="Footer">
    <w:name w:val="footer"/>
    <w:basedOn w:val="Normal"/>
    <w:link w:val="Foot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2E"/>
  </w:style>
  <w:style w:type="paragraph" w:styleId="BalloonText">
    <w:name w:val="Balloon Text"/>
    <w:basedOn w:val="Normal"/>
    <w:link w:val="BalloonTextChar"/>
    <w:uiPriority w:val="99"/>
    <w:semiHidden/>
    <w:unhideWhenUsed/>
    <w:rsid w:val="00CA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C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2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2F2"/>
    <w:pPr>
      <w:spacing w:after="0" w:line="240" w:lineRule="auto"/>
    </w:pPr>
  </w:style>
  <w:style w:type="paragraph" w:customStyle="1" w:styleId="tv2131">
    <w:name w:val="tv2131"/>
    <w:basedOn w:val="Normal"/>
    <w:rsid w:val="00096AE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C03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qFormat/>
    <w:rsid w:val="003C03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naisc">
    <w:name w:val="naisc"/>
    <w:basedOn w:val="Normal"/>
    <w:rsid w:val="00576D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2E"/>
  </w:style>
  <w:style w:type="paragraph" w:styleId="Footer">
    <w:name w:val="footer"/>
    <w:basedOn w:val="Normal"/>
    <w:link w:val="FooterChar"/>
    <w:uiPriority w:val="99"/>
    <w:unhideWhenUsed/>
    <w:rsid w:val="00CA4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2E"/>
  </w:style>
  <w:style w:type="paragraph" w:styleId="BalloonText">
    <w:name w:val="Balloon Text"/>
    <w:basedOn w:val="Normal"/>
    <w:link w:val="BalloonTextChar"/>
    <w:uiPriority w:val="99"/>
    <w:semiHidden/>
    <w:unhideWhenUsed/>
    <w:rsid w:val="00CA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CC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2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2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2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822F2"/>
    <w:pPr>
      <w:spacing w:after="0" w:line="240" w:lineRule="auto"/>
    </w:pPr>
  </w:style>
  <w:style w:type="paragraph" w:customStyle="1" w:styleId="tv2131">
    <w:name w:val="tv2131"/>
    <w:basedOn w:val="Normal"/>
    <w:rsid w:val="00096AE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D2D67B0F.dotm</Template>
  <TotalTime>6</TotalTime>
  <Pages>2</Pages>
  <Words>2735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AIManot_030614_MK_Nr.948</vt:lpstr>
    </vt:vector>
  </TitlesOfParts>
  <Manager>Juridiskais departaments</Manager>
  <Company>Aizsardzības ministrija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AIManot_030614_MK_Nr.948</dc:title>
  <dc:subject>Ministru kabineta noteikumu projekta „ Grozījumi ministru kabineta 2005.gada 20.septmbra noteikumos Nr.714 „ Noteikumi par mobilizācijas plāniem”” sākotnējās ietekmes novērtējuma ziņojums</dc:subject>
  <dc:creator>Marina.Balta@mod.gov.lv</dc:creator>
  <dc:description>Marina.Balta@mod.gov.lv
Tālr: 67335270; fakss 67212307</dc:description>
  <cp:lastModifiedBy>Marina Baltā</cp:lastModifiedBy>
  <cp:revision>4</cp:revision>
  <cp:lastPrinted>2014-08-06T12:38:00Z</cp:lastPrinted>
  <dcterms:created xsi:type="dcterms:W3CDTF">2014-08-06T09:13:00Z</dcterms:created>
  <dcterms:modified xsi:type="dcterms:W3CDTF">2014-08-06T12:38:00Z</dcterms:modified>
</cp:coreProperties>
</file>