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52" w:rsidRPr="0067439E" w:rsidRDefault="00801B52" w:rsidP="000433E3">
      <w:pPr>
        <w:pStyle w:val="BodyText"/>
        <w:spacing w:after="0"/>
        <w:rPr>
          <w:b/>
        </w:rPr>
      </w:pPr>
      <w:bookmarkStart w:id="0" w:name="OLE_LINK2"/>
      <w:bookmarkStart w:id="1" w:name="OLE_LINK1"/>
      <w:bookmarkEnd w:id="0"/>
    </w:p>
    <w:bookmarkEnd w:id="1"/>
    <w:p w:rsidR="00801B52" w:rsidRPr="004844B1" w:rsidRDefault="003F2BE8" w:rsidP="003F2BE8">
      <w:pPr>
        <w:pStyle w:val="BodyText"/>
        <w:spacing w:after="0"/>
        <w:jc w:val="center"/>
        <w:rPr>
          <w:b/>
          <w:bCs/>
        </w:rPr>
      </w:pPr>
      <w:r w:rsidRPr="004844B1">
        <w:rPr>
          <w:b/>
        </w:rPr>
        <w:t xml:space="preserve">Ministru kabineta </w:t>
      </w:r>
      <w:r w:rsidRPr="004844B1">
        <w:rPr>
          <w:b/>
          <w:color w:val="000000"/>
        </w:rPr>
        <w:t>rīkojuma projekta</w:t>
      </w:r>
      <w:r w:rsidRPr="004844B1">
        <w:rPr>
          <w:b/>
          <w:bCs/>
          <w:color w:val="000000"/>
        </w:rPr>
        <w:t xml:space="preserve"> </w:t>
      </w:r>
      <w:r w:rsidRPr="004844B1">
        <w:rPr>
          <w:b/>
          <w:color w:val="000000"/>
        </w:rPr>
        <w:t>„</w:t>
      </w:r>
      <w:r w:rsidR="004F0912" w:rsidRPr="004844B1">
        <w:rPr>
          <w:b/>
          <w:color w:val="000000"/>
        </w:rPr>
        <w:t>Grozījum</w:t>
      </w:r>
      <w:r w:rsidR="00E82614">
        <w:rPr>
          <w:b/>
          <w:color w:val="000000"/>
        </w:rPr>
        <w:t>s</w:t>
      </w:r>
      <w:r w:rsidR="004F0912" w:rsidRPr="004844B1">
        <w:rPr>
          <w:b/>
          <w:color w:val="000000"/>
        </w:rPr>
        <w:t xml:space="preserve"> Ministru kabineta 2014.</w:t>
      </w:r>
      <w:r w:rsidR="002A0AB1" w:rsidRPr="004844B1">
        <w:rPr>
          <w:b/>
          <w:color w:val="000000"/>
        </w:rPr>
        <w:t> </w:t>
      </w:r>
      <w:r w:rsidR="004F0912" w:rsidRPr="004844B1">
        <w:rPr>
          <w:b/>
          <w:color w:val="000000"/>
        </w:rPr>
        <w:t>gada 21.</w:t>
      </w:r>
      <w:r w:rsidR="002A0AB1" w:rsidRPr="004844B1">
        <w:rPr>
          <w:b/>
          <w:color w:val="000000"/>
        </w:rPr>
        <w:t> </w:t>
      </w:r>
      <w:r w:rsidR="004F0912" w:rsidRPr="004844B1">
        <w:rPr>
          <w:b/>
          <w:color w:val="000000"/>
        </w:rPr>
        <w:t>maija rīkojumā Nr.</w:t>
      </w:r>
      <w:r w:rsidR="002A0AB1" w:rsidRPr="004844B1">
        <w:rPr>
          <w:b/>
          <w:color w:val="000000"/>
        </w:rPr>
        <w:t> </w:t>
      </w:r>
      <w:r w:rsidR="004F0912" w:rsidRPr="004844B1">
        <w:rPr>
          <w:b/>
          <w:color w:val="000000"/>
        </w:rPr>
        <w:t>230 „</w:t>
      </w:r>
      <w:r w:rsidRPr="004844B1">
        <w:rPr>
          <w:b/>
        </w:rPr>
        <w:t>Par iemaks</w:t>
      </w:r>
      <w:r w:rsidR="00A628C1" w:rsidRPr="004844B1">
        <w:rPr>
          <w:b/>
        </w:rPr>
        <w:t>u</w:t>
      </w:r>
      <w:r w:rsidRPr="004844B1">
        <w:rPr>
          <w:b/>
        </w:rPr>
        <w:t xml:space="preserve"> </w:t>
      </w:r>
      <w:r w:rsidR="004E746E" w:rsidRPr="004844B1">
        <w:rPr>
          <w:b/>
        </w:rPr>
        <w:t>Eiropas Drošības un sadarbības organizācijas</w:t>
      </w:r>
      <w:r w:rsidR="004E746E" w:rsidRPr="004844B1" w:rsidDel="004E746E">
        <w:rPr>
          <w:b/>
        </w:rPr>
        <w:t xml:space="preserve"> </w:t>
      </w:r>
      <w:r w:rsidR="00253DD0" w:rsidRPr="004844B1">
        <w:rPr>
          <w:b/>
        </w:rPr>
        <w:t xml:space="preserve">speciālajai </w:t>
      </w:r>
      <w:r w:rsidR="00A628C1" w:rsidRPr="004844B1">
        <w:rPr>
          <w:b/>
        </w:rPr>
        <w:t>novērošanas misijai Ukrainā</w:t>
      </w:r>
      <w:r w:rsidRPr="004844B1">
        <w:rPr>
          <w:b/>
        </w:rPr>
        <w:t>”</w:t>
      </w:r>
      <w:r w:rsidR="004F0912" w:rsidRPr="004844B1">
        <w:rPr>
          <w:b/>
        </w:rPr>
        <w:t>”</w:t>
      </w:r>
      <w:r w:rsidR="00801B52" w:rsidRPr="004844B1">
        <w:rPr>
          <w:b/>
        </w:rPr>
        <w:t xml:space="preserve"> sākotnējās ietekmes novērtējuma ziņojums</w:t>
      </w:r>
      <w:r w:rsidR="00801B52" w:rsidRPr="004844B1">
        <w:rPr>
          <w:b/>
          <w:bCs/>
        </w:rPr>
        <w:t xml:space="preserve"> (anotācija)</w:t>
      </w:r>
    </w:p>
    <w:p w:rsidR="00801B52" w:rsidRPr="0067439E" w:rsidRDefault="00801B52" w:rsidP="000433E3">
      <w:pPr>
        <w:pStyle w:val="BodyText"/>
        <w:spacing w:after="0"/>
        <w:rPr>
          <w:b/>
          <w:bCs/>
          <w:sz w:val="22"/>
          <w:szCs w:val="22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6420"/>
      </w:tblGrid>
      <w:tr w:rsidR="00801B52" w:rsidRPr="001A565F" w:rsidTr="00F11802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01B52" w:rsidRPr="001A565F" w:rsidRDefault="00801B52" w:rsidP="00F1180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1A565F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1A3C83" w:rsidRPr="006B752F" w:rsidTr="00763D2C">
        <w:trPr>
          <w:trHeight w:val="774"/>
        </w:trPr>
        <w:tc>
          <w:tcPr>
            <w:tcW w:w="1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3C83" w:rsidRPr="001A565F" w:rsidRDefault="001A3C83" w:rsidP="001A3C83">
            <w:pPr>
              <w:pStyle w:val="NormalWeb"/>
              <w:spacing w:before="0" w:beforeAutospacing="0" w:after="0" w:afterAutospacing="0"/>
            </w:pPr>
            <w:r w:rsidRPr="001A565F">
              <w:t>1. Pamatojums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74E" w:rsidRDefault="001A565F" w:rsidP="004A5599">
            <w:pPr>
              <w:jc w:val="both"/>
              <w:rPr>
                <w:lang w:val="lv-LV"/>
              </w:rPr>
            </w:pPr>
            <w:r w:rsidRPr="001A565F">
              <w:rPr>
                <w:lang w:val="lv-LV"/>
              </w:rPr>
              <w:t xml:space="preserve">Saskaņā ar </w:t>
            </w:r>
            <w:r w:rsidR="004E746E">
              <w:rPr>
                <w:lang w:val="lv-LV"/>
              </w:rPr>
              <w:t>M</w:t>
            </w:r>
            <w:r w:rsidRPr="001A565F">
              <w:rPr>
                <w:lang w:val="lv-LV"/>
              </w:rPr>
              <w:t>inistru kabineta 2014.</w:t>
            </w:r>
            <w:r w:rsidR="004E746E">
              <w:rPr>
                <w:lang w:val="lv-LV"/>
              </w:rPr>
              <w:t> </w:t>
            </w:r>
            <w:r w:rsidRPr="001A565F">
              <w:rPr>
                <w:lang w:val="lv-LV"/>
              </w:rPr>
              <w:t>gada 21.</w:t>
            </w:r>
            <w:r w:rsidR="004E746E">
              <w:rPr>
                <w:lang w:val="lv-LV"/>
              </w:rPr>
              <w:t> </w:t>
            </w:r>
            <w:r w:rsidRPr="001A565F">
              <w:rPr>
                <w:lang w:val="lv-LV"/>
              </w:rPr>
              <w:t>maija rīkojumu Nr.</w:t>
            </w:r>
            <w:r w:rsidR="004E746E">
              <w:rPr>
                <w:lang w:val="lv-LV"/>
              </w:rPr>
              <w:t> </w:t>
            </w:r>
            <w:r w:rsidRPr="001A565F">
              <w:rPr>
                <w:lang w:val="lv-LV"/>
              </w:rPr>
              <w:t xml:space="preserve">230 </w:t>
            </w:r>
            <w:r w:rsidR="003D578C" w:rsidRPr="003D578C">
              <w:rPr>
                <w:lang w:val="lv-LV"/>
              </w:rPr>
              <w:t xml:space="preserve">„Par iemaksu </w:t>
            </w:r>
            <w:r w:rsidR="004E746E" w:rsidRPr="004E746E">
              <w:rPr>
                <w:lang w:val="lv-LV"/>
              </w:rPr>
              <w:t>Eiropas Drošības un sadarbības organizācijas</w:t>
            </w:r>
            <w:r w:rsidR="004E746E" w:rsidRPr="004E746E" w:rsidDel="004E746E">
              <w:rPr>
                <w:lang w:val="lv-LV"/>
              </w:rPr>
              <w:t xml:space="preserve"> </w:t>
            </w:r>
            <w:r w:rsidR="003D578C" w:rsidRPr="003D578C">
              <w:rPr>
                <w:lang w:val="lv-LV"/>
              </w:rPr>
              <w:t>speciālajai novērošanas misijai Ukrainā”</w:t>
            </w:r>
            <w:r w:rsidR="003D578C">
              <w:rPr>
                <w:lang w:val="lv-LV"/>
              </w:rPr>
              <w:t xml:space="preserve"> </w:t>
            </w:r>
            <w:r w:rsidRPr="001A565F">
              <w:rPr>
                <w:lang w:val="lv-LV"/>
              </w:rPr>
              <w:t xml:space="preserve">Ārlietu ministrija veica </w:t>
            </w:r>
            <w:r w:rsidR="003D578C">
              <w:rPr>
                <w:lang w:val="lv-LV"/>
              </w:rPr>
              <w:t xml:space="preserve">iemaksu </w:t>
            </w:r>
            <w:r w:rsidR="00065250" w:rsidRPr="00065250">
              <w:rPr>
                <w:lang w:val="lv-LV"/>
              </w:rPr>
              <w:t xml:space="preserve">Eiropas Drošības un sadarbības organizācijas </w:t>
            </w:r>
            <w:r w:rsidR="00065250">
              <w:rPr>
                <w:lang w:val="lv-LV"/>
              </w:rPr>
              <w:t>(turpmāk – EDSO</w:t>
            </w:r>
            <w:r w:rsidR="00065250" w:rsidRPr="00065250">
              <w:rPr>
                <w:lang w:val="lv-LV"/>
              </w:rPr>
              <w:t xml:space="preserve">) </w:t>
            </w:r>
            <w:r w:rsidR="003D578C">
              <w:rPr>
                <w:lang w:val="lv-LV"/>
              </w:rPr>
              <w:t xml:space="preserve">speciālās novērošanas misijas (turpmāk – misija) atbalstam </w:t>
            </w:r>
            <w:r w:rsidR="003D578C" w:rsidRPr="00E375E3">
              <w:rPr>
                <w:lang w:val="lv-LV"/>
              </w:rPr>
              <w:t xml:space="preserve">20 000 </w:t>
            </w:r>
            <w:r w:rsidR="003D578C" w:rsidRPr="004844B1">
              <w:rPr>
                <w:i/>
                <w:lang w:val="lv-LV"/>
              </w:rPr>
              <w:t>euro</w:t>
            </w:r>
            <w:r w:rsidR="003D578C" w:rsidRPr="00E375E3">
              <w:rPr>
                <w:lang w:val="lv-LV"/>
              </w:rPr>
              <w:t xml:space="preserve"> apmērā</w:t>
            </w:r>
            <w:r w:rsidR="003D578C">
              <w:rPr>
                <w:lang w:val="lv-LV"/>
              </w:rPr>
              <w:t>.</w:t>
            </w:r>
          </w:p>
          <w:p w:rsidR="003D578C" w:rsidRDefault="003D578C" w:rsidP="004A5599">
            <w:pPr>
              <w:jc w:val="both"/>
              <w:rPr>
                <w:lang w:val="lv-LV"/>
              </w:rPr>
            </w:pPr>
          </w:p>
          <w:p w:rsidR="003D578C" w:rsidRDefault="003D578C" w:rsidP="006C68B5">
            <w:pPr>
              <w:jc w:val="both"/>
              <w:rPr>
                <w:lang w:val="lv-LV"/>
              </w:rPr>
            </w:pPr>
            <w:r w:rsidRPr="003D578C">
              <w:rPr>
                <w:lang w:val="lv-LV"/>
              </w:rPr>
              <w:t>Saskaņā ar EDSO Pastāvīgās padomes 2014.</w:t>
            </w:r>
            <w:r w:rsidR="004E746E">
              <w:rPr>
                <w:lang w:val="lv-LV"/>
              </w:rPr>
              <w:t> </w:t>
            </w:r>
            <w:r w:rsidRPr="003D578C">
              <w:rPr>
                <w:lang w:val="lv-LV"/>
              </w:rPr>
              <w:t>gada 22.</w:t>
            </w:r>
            <w:r w:rsidR="004E746E">
              <w:rPr>
                <w:lang w:val="lv-LV"/>
              </w:rPr>
              <w:t> </w:t>
            </w:r>
            <w:r w:rsidRPr="003D578C">
              <w:rPr>
                <w:lang w:val="lv-LV"/>
              </w:rPr>
              <w:t>jūlija lēmumu Nr.</w:t>
            </w:r>
            <w:r w:rsidR="004E746E">
              <w:rPr>
                <w:lang w:val="lv-LV"/>
              </w:rPr>
              <w:t> </w:t>
            </w:r>
            <w:r w:rsidRPr="003D578C">
              <w:rPr>
                <w:lang w:val="lv-LV"/>
              </w:rPr>
              <w:t xml:space="preserve">1129 </w:t>
            </w:r>
            <w:r w:rsidR="00E14FB1">
              <w:rPr>
                <w:lang w:val="lv-LV"/>
              </w:rPr>
              <w:t xml:space="preserve">misijas mandāts </w:t>
            </w:r>
            <w:r w:rsidRPr="003D578C">
              <w:rPr>
                <w:lang w:val="lv-LV"/>
              </w:rPr>
              <w:t>pagarinā</w:t>
            </w:r>
            <w:r w:rsidR="006C68B5">
              <w:rPr>
                <w:lang w:val="lv-LV"/>
              </w:rPr>
              <w:t>ts</w:t>
            </w:r>
            <w:r w:rsidRPr="003D578C">
              <w:rPr>
                <w:lang w:val="lv-LV"/>
              </w:rPr>
              <w:t xml:space="preserve"> </w:t>
            </w:r>
            <w:r w:rsidR="006C68B5">
              <w:rPr>
                <w:lang w:val="lv-LV"/>
              </w:rPr>
              <w:t>līdz 2015.</w:t>
            </w:r>
            <w:r w:rsidR="002838ED">
              <w:rPr>
                <w:lang w:val="lv-LV"/>
              </w:rPr>
              <w:t> </w:t>
            </w:r>
            <w:r w:rsidR="006C68B5">
              <w:rPr>
                <w:lang w:val="lv-LV"/>
              </w:rPr>
              <w:t>gada 20.</w:t>
            </w:r>
            <w:r w:rsidR="002838ED">
              <w:rPr>
                <w:lang w:val="lv-LV"/>
              </w:rPr>
              <w:t> </w:t>
            </w:r>
            <w:r w:rsidR="006C68B5">
              <w:rPr>
                <w:lang w:val="lv-LV"/>
              </w:rPr>
              <w:t>martam.</w:t>
            </w:r>
            <w:r w:rsidR="00065250">
              <w:rPr>
                <w:lang w:val="lv-LV"/>
              </w:rPr>
              <w:t xml:space="preserve"> Tā kā misijas paplašināšanai un darbības turpināš</w:t>
            </w:r>
            <w:r w:rsidR="006D1C94">
              <w:rPr>
                <w:lang w:val="lv-LV"/>
              </w:rPr>
              <w:t>anai nepieciešami papildu</w:t>
            </w:r>
            <w:r w:rsidR="00065250">
              <w:rPr>
                <w:lang w:val="lv-LV"/>
              </w:rPr>
              <w:t xml:space="preserve"> līdzekļi, EDSO aicina valstis veikt brīvprātīgas iemaksas misijas īstenošanas atbalstam. Aizsardzības ministrija ir nolēmusi veikt brīvprātīgu iemaksu 25 000 </w:t>
            </w:r>
            <w:r w:rsidR="00065250" w:rsidRPr="004844B1">
              <w:rPr>
                <w:i/>
                <w:lang w:val="lv-LV"/>
              </w:rPr>
              <w:t>euro</w:t>
            </w:r>
            <w:r w:rsidR="00065250">
              <w:rPr>
                <w:lang w:val="lv-LV"/>
              </w:rPr>
              <w:t xml:space="preserve"> apmērā, tādējādi turpinot Latvijas finansiālo atbalstu misijas uzdevumu īstenošanai un lēmuma Nr.</w:t>
            </w:r>
            <w:r w:rsidR="002838ED">
              <w:rPr>
                <w:lang w:val="lv-LV"/>
              </w:rPr>
              <w:t> </w:t>
            </w:r>
            <w:r w:rsidR="00065250">
              <w:rPr>
                <w:lang w:val="lv-LV"/>
              </w:rPr>
              <w:t>1129 izpildei.</w:t>
            </w:r>
          </w:p>
          <w:p w:rsidR="006C68B5" w:rsidRPr="001A565F" w:rsidRDefault="006C68B5" w:rsidP="006C68B5">
            <w:pPr>
              <w:jc w:val="both"/>
              <w:rPr>
                <w:lang w:val="lv-LV"/>
              </w:rPr>
            </w:pPr>
          </w:p>
        </w:tc>
      </w:tr>
      <w:tr w:rsidR="00801B52" w:rsidRPr="006B752F" w:rsidTr="00F11802">
        <w:tc>
          <w:tcPr>
            <w:tcW w:w="1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B52" w:rsidRPr="001A565F" w:rsidRDefault="00801B52" w:rsidP="00F11802">
            <w:pPr>
              <w:pStyle w:val="naisf"/>
              <w:spacing w:before="0" w:after="0"/>
              <w:ind w:firstLine="0"/>
            </w:pPr>
            <w:r w:rsidRPr="001A565F">
              <w:rPr>
                <w:color w:val="000000"/>
              </w:rPr>
              <w:t>2.</w:t>
            </w:r>
            <w:r w:rsidRPr="001A565F">
              <w:t> Pašreizējā situācija un problēmas</w:t>
            </w:r>
            <w:r w:rsidR="00B207DC" w:rsidRPr="001A565F">
              <w:t>, kuru risināšanai tiesību akta projekts izstrādāts, tiesiskā regulējuma mērķis un būtība</w:t>
            </w:r>
          </w:p>
          <w:p w:rsidR="00801B52" w:rsidRPr="001A565F" w:rsidRDefault="00801B52" w:rsidP="00F11802">
            <w:pPr>
              <w:pStyle w:val="naisf"/>
              <w:spacing w:before="0" w:after="0"/>
              <w:ind w:firstLine="0"/>
              <w:jc w:val="left"/>
            </w:pP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250" w:rsidRPr="00065250" w:rsidRDefault="00065250" w:rsidP="00065250">
            <w:pPr>
              <w:jc w:val="both"/>
              <w:rPr>
                <w:lang w:val="lv-LV"/>
              </w:rPr>
            </w:pPr>
            <w:r w:rsidRPr="00065250">
              <w:rPr>
                <w:lang w:val="lv-LV"/>
              </w:rPr>
              <w:t xml:space="preserve">Pamatojoties uz </w:t>
            </w:r>
            <w:r w:rsidR="00AD0C9E">
              <w:rPr>
                <w:lang w:val="lv-LV"/>
              </w:rPr>
              <w:t>EDSO</w:t>
            </w:r>
            <w:r w:rsidRPr="00065250">
              <w:rPr>
                <w:lang w:val="lv-LV"/>
              </w:rPr>
              <w:t xml:space="preserve"> Pastāvīgās padomes 2014.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gada 21.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marta lēmumu Nr.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 xml:space="preserve">1117, Ukrainā tika uzsākta EDSO misija. </w:t>
            </w:r>
            <w:r w:rsidR="00647066">
              <w:rPr>
                <w:lang w:val="lv-LV"/>
              </w:rPr>
              <w:t>T</w:t>
            </w:r>
            <w:r w:rsidR="00647066" w:rsidRPr="00065250">
              <w:rPr>
                <w:lang w:val="lv-LV"/>
              </w:rPr>
              <w:t>ika noteikts</w:t>
            </w:r>
            <w:r w:rsidR="00647066">
              <w:rPr>
                <w:lang w:val="lv-LV"/>
              </w:rPr>
              <w:t>, ka</w:t>
            </w:r>
            <w:r w:rsidR="00647066" w:rsidRPr="00065250">
              <w:rPr>
                <w:lang w:val="lv-LV"/>
              </w:rPr>
              <w:t xml:space="preserve"> </w:t>
            </w:r>
            <w:r w:rsidR="00647066">
              <w:rPr>
                <w:lang w:val="lv-LV"/>
              </w:rPr>
              <w:t>m</w:t>
            </w:r>
            <w:r w:rsidRPr="00065250">
              <w:rPr>
                <w:lang w:val="lv-LV"/>
              </w:rPr>
              <w:t xml:space="preserve">isijas termiņš </w:t>
            </w:r>
            <w:r w:rsidR="00647066">
              <w:rPr>
                <w:lang w:val="lv-LV"/>
              </w:rPr>
              <w:t xml:space="preserve">ir </w:t>
            </w:r>
            <w:r w:rsidRPr="00065250">
              <w:rPr>
                <w:lang w:val="lv-LV"/>
              </w:rPr>
              <w:t>seši mēneši (līdz 2014.</w:t>
            </w:r>
            <w:r w:rsidR="00647066">
              <w:rPr>
                <w:lang w:val="lv-LV"/>
              </w:rPr>
              <w:t> </w:t>
            </w:r>
            <w:r w:rsidRPr="00065250">
              <w:rPr>
                <w:lang w:val="lv-LV"/>
              </w:rPr>
              <w:t>gada 20.</w:t>
            </w:r>
            <w:r w:rsidR="00647066">
              <w:rPr>
                <w:lang w:val="lv-LV"/>
              </w:rPr>
              <w:t> </w:t>
            </w:r>
            <w:r w:rsidRPr="00065250">
              <w:rPr>
                <w:lang w:val="lv-LV"/>
              </w:rPr>
              <w:t xml:space="preserve">septembrim) ar iespēju to pagarināt, ja par to vienojas EDSO Pastāvīgā padome. </w:t>
            </w:r>
          </w:p>
          <w:p w:rsidR="00065250" w:rsidRPr="00065250" w:rsidRDefault="00065250" w:rsidP="00065250">
            <w:pPr>
              <w:jc w:val="both"/>
              <w:rPr>
                <w:lang w:val="lv-LV"/>
              </w:rPr>
            </w:pPr>
            <w:r w:rsidRPr="00065250">
              <w:rPr>
                <w:lang w:val="lv-LV"/>
              </w:rPr>
              <w:t>Saskaņā ar EDSO Pastāvīgās padomes 2014.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gada 22.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jūlija lēmumu Nr.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 xml:space="preserve">1129 EDSO dalībvalstis </w:t>
            </w:r>
            <w:r w:rsidR="002838ED">
              <w:rPr>
                <w:lang w:val="lv-LV"/>
              </w:rPr>
              <w:t xml:space="preserve">ir </w:t>
            </w:r>
            <w:r w:rsidRPr="00065250">
              <w:rPr>
                <w:lang w:val="lv-LV"/>
              </w:rPr>
              <w:t>vienoj</w:t>
            </w:r>
            <w:r w:rsidR="002838ED">
              <w:rPr>
                <w:lang w:val="lv-LV"/>
              </w:rPr>
              <w:t>uš</w:t>
            </w:r>
            <w:r w:rsidRPr="00065250">
              <w:rPr>
                <w:lang w:val="lv-LV"/>
              </w:rPr>
              <w:t>ās par misijas darbības termiņa pagarināšanu par sešiem mēnešiem (līdz 2015.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gada 20.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martam). Pamatā misija turpinās veikt uzdevum</w:t>
            </w:r>
            <w:r w:rsidR="00647066">
              <w:rPr>
                <w:lang w:val="lv-LV"/>
              </w:rPr>
              <w:t>u</w:t>
            </w:r>
            <w:r w:rsidRPr="00065250">
              <w:rPr>
                <w:lang w:val="lv-LV"/>
              </w:rPr>
              <w:t>s, kas noteikti EDSO Pastāvīgās padomes 2014.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gada 21.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marta lēmumā Nr.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 xml:space="preserve">1117 ar galveno mērķi mazināt spriedzi reģionā, veicināt mieru, stabilitāti un drošību visā Ukrainas teritorijā. Taču saskaņā </w:t>
            </w:r>
            <w:r w:rsidR="00AF2412">
              <w:rPr>
                <w:lang w:val="lv-LV"/>
              </w:rPr>
              <w:t xml:space="preserve">ar </w:t>
            </w:r>
            <w:r w:rsidRPr="00065250">
              <w:rPr>
                <w:lang w:val="lv-LV"/>
              </w:rPr>
              <w:t>2014.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gada 5.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septembrī parakstīto Minskas protokolu un 2014.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gada 19.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septembrī parakstīto Minskas memorandu misijai noteikti papildu uzdevumi, lai nodrošinātu minēto dokumentu ieviešanu un īstenošanu. Svarīgākie no tiem – jānovēro un jāziņo par ugunspārtraukšanas nosacījumu ievērošanu, kā arī jānodrošina pastāvīga Ukrainas</w:t>
            </w:r>
            <w:r w:rsidR="00647066">
              <w:rPr>
                <w:lang w:val="lv-LV"/>
              </w:rPr>
              <w:t xml:space="preserve"> un </w:t>
            </w:r>
            <w:r w:rsidRPr="00065250">
              <w:rPr>
                <w:lang w:val="lv-LV"/>
              </w:rPr>
              <w:t xml:space="preserve">Krievijas robežas novērošana. </w:t>
            </w:r>
          </w:p>
          <w:p w:rsidR="00065250" w:rsidRPr="00065250" w:rsidRDefault="00065250" w:rsidP="00AD0C9E">
            <w:pPr>
              <w:jc w:val="both"/>
              <w:rPr>
                <w:lang w:val="lv-LV"/>
              </w:rPr>
            </w:pPr>
            <w:r w:rsidRPr="00065250">
              <w:rPr>
                <w:lang w:val="lv-LV"/>
              </w:rPr>
              <w:t>Ņemot vērā misijai noteiktos papildu uzdevumus, plānots mainīt arī tās operacionālo ietvaru un stiprināt materiāltehnisko nodrošinājumu. Pamatojoties uz EDSO misijas 2014.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gada 19.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septembra paplašināšanas koncepciju Nr.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SEC.FR/578/1</w:t>
            </w:r>
            <w:r w:rsidR="00AD0C9E">
              <w:rPr>
                <w:lang w:val="lv-LV"/>
              </w:rPr>
              <w:t>4, kā arī misijas vadības 2014.</w:t>
            </w:r>
            <w:r w:rsidR="002838ED">
              <w:rPr>
                <w:vertAlign w:val="superscript"/>
                <w:lang w:val="lv-LV"/>
              </w:rPr>
              <w:t> </w:t>
            </w:r>
            <w:r w:rsidR="00AD0C9E">
              <w:rPr>
                <w:lang w:val="lv-LV"/>
              </w:rPr>
              <w:t>gada 3.</w:t>
            </w:r>
            <w:r w:rsidR="002838ED">
              <w:rPr>
                <w:vertAlign w:val="superscript"/>
                <w:lang w:val="lv-LV"/>
              </w:rPr>
              <w:t> </w:t>
            </w:r>
            <w:r w:rsidRPr="00065250">
              <w:rPr>
                <w:lang w:val="lv-LV"/>
              </w:rPr>
              <w:t>novembra ziņojumu Nr.</w:t>
            </w:r>
            <w:r w:rsidR="002838ED">
              <w:rPr>
                <w:lang w:val="lv-LV"/>
              </w:rPr>
              <w:t> </w:t>
            </w:r>
            <w:r w:rsidRPr="00065250">
              <w:rPr>
                <w:lang w:val="lv-LV"/>
              </w:rPr>
              <w:t>PC.FR/31/14 EDSO Pastāvīgajai padomei, papildu finansējums jānovirza šādiem misijas mērķiem:</w:t>
            </w:r>
          </w:p>
          <w:p w:rsidR="00065250" w:rsidRPr="00AD0C9E" w:rsidRDefault="00065250" w:rsidP="00AD0C9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9E">
              <w:rPr>
                <w:rFonts w:ascii="Times New Roman" w:hAnsi="Times New Roman"/>
                <w:sz w:val="24"/>
                <w:szCs w:val="24"/>
              </w:rPr>
              <w:lastRenderedPageBreak/>
              <w:t>novērotāju skaita palielināšana līdz 500 (pašreiz ir nedaudz vairāk kā 200), lai pastiprinātu misijas klātbūtni Doņeckas un Luhanskas apgabalos, kā arī pie Ukrainas</w:t>
            </w:r>
            <w:r w:rsidR="00647066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AD0C9E">
              <w:rPr>
                <w:rFonts w:ascii="Times New Roman" w:hAnsi="Times New Roman"/>
                <w:sz w:val="24"/>
                <w:szCs w:val="24"/>
              </w:rPr>
              <w:t>Krievijas robežas;</w:t>
            </w:r>
          </w:p>
          <w:p w:rsidR="00065250" w:rsidRPr="00AD0C9E" w:rsidRDefault="00065250" w:rsidP="00AD0C9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9E">
              <w:rPr>
                <w:rFonts w:ascii="Times New Roman" w:hAnsi="Times New Roman"/>
                <w:sz w:val="24"/>
                <w:szCs w:val="24"/>
              </w:rPr>
              <w:t>sakaru un informācijas tehnoloģiju nodrošinājums;</w:t>
            </w:r>
          </w:p>
          <w:p w:rsidR="00065250" w:rsidRPr="00AD0C9E" w:rsidRDefault="00065250" w:rsidP="00AD0C9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9E">
              <w:rPr>
                <w:rFonts w:ascii="Times New Roman" w:hAnsi="Times New Roman"/>
                <w:sz w:val="24"/>
                <w:szCs w:val="24"/>
              </w:rPr>
              <w:t xml:space="preserve">loģistikas nodrošinājums (bruņu tehnika, autobusi, </w:t>
            </w:r>
            <w:r w:rsidR="00AF2412">
              <w:rPr>
                <w:rFonts w:ascii="Times New Roman" w:hAnsi="Times New Roman"/>
                <w:sz w:val="24"/>
                <w:szCs w:val="24"/>
              </w:rPr>
              <w:t>medicīniskās evakuācijas</w:t>
            </w:r>
            <w:r w:rsidRPr="00AD0C9E">
              <w:rPr>
                <w:rFonts w:ascii="Times New Roman" w:hAnsi="Times New Roman"/>
                <w:sz w:val="24"/>
                <w:szCs w:val="24"/>
              </w:rPr>
              <w:t xml:space="preserve"> helikopters, lidmašīna personāla pārvadāšanai);</w:t>
            </w:r>
          </w:p>
          <w:p w:rsidR="00065250" w:rsidRPr="00AD0C9E" w:rsidRDefault="00065250" w:rsidP="00AD0C9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9E">
              <w:rPr>
                <w:rFonts w:ascii="Times New Roman" w:hAnsi="Times New Roman"/>
                <w:sz w:val="24"/>
                <w:szCs w:val="24"/>
              </w:rPr>
              <w:t>bezpilota lidaparātu operāciju izvēršana;</w:t>
            </w:r>
          </w:p>
          <w:p w:rsidR="00065250" w:rsidRPr="00AD0C9E" w:rsidRDefault="00065250" w:rsidP="00AD0C9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AD0C9E">
              <w:rPr>
                <w:rFonts w:ascii="Times New Roman" w:hAnsi="Times New Roman"/>
                <w:sz w:val="24"/>
                <w:szCs w:val="24"/>
              </w:rPr>
              <w:t>personāla aizsargekipējuma nodrošinājums</w:t>
            </w:r>
            <w:r w:rsidRPr="00AD0C9E">
              <w:t>.</w:t>
            </w:r>
          </w:p>
          <w:p w:rsidR="00065250" w:rsidRDefault="00065250" w:rsidP="00AD0C9E">
            <w:pPr>
              <w:jc w:val="both"/>
              <w:rPr>
                <w:lang w:val="lv-LV"/>
              </w:rPr>
            </w:pPr>
            <w:r w:rsidRPr="00065250">
              <w:rPr>
                <w:lang w:val="lv-LV"/>
              </w:rPr>
              <w:t>Misija tiek finansēta no EDSO dalībvalstu brīvprātīgi veiktajām iemaksām. Plānotais misijas paplašināšanas budžets ir 72,6</w:t>
            </w:r>
            <w:r w:rsidR="00A35D04">
              <w:rPr>
                <w:lang w:val="lv-LV"/>
              </w:rPr>
              <w:t> </w:t>
            </w:r>
            <w:r w:rsidRPr="00065250">
              <w:rPr>
                <w:lang w:val="lv-LV"/>
              </w:rPr>
              <w:t xml:space="preserve">miljoni </w:t>
            </w:r>
            <w:r w:rsidRPr="004844B1">
              <w:rPr>
                <w:i/>
                <w:lang w:val="lv-LV"/>
              </w:rPr>
              <w:t>euro</w:t>
            </w:r>
            <w:r w:rsidRPr="00065250">
              <w:rPr>
                <w:lang w:val="lv-LV"/>
              </w:rPr>
              <w:t>. Pašreiz trūks</w:t>
            </w:r>
            <w:r w:rsidR="00223BC0">
              <w:rPr>
                <w:lang w:val="lv-LV"/>
              </w:rPr>
              <w:t>t</w:t>
            </w:r>
            <w:r w:rsidRPr="00065250">
              <w:rPr>
                <w:lang w:val="lv-LV"/>
              </w:rPr>
              <w:t xml:space="preserve"> 38,1 miljon</w:t>
            </w:r>
            <w:r w:rsidR="002838ED">
              <w:rPr>
                <w:lang w:val="lv-LV"/>
              </w:rPr>
              <w:t>s</w:t>
            </w:r>
            <w:r w:rsidRPr="00065250">
              <w:rPr>
                <w:lang w:val="lv-LV"/>
              </w:rPr>
              <w:t xml:space="preserve"> </w:t>
            </w:r>
            <w:proofErr w:type="spellStart"/>
            <w:r w:rsidRPr="004844B1">
              <w:rPr>
                <w:i/>
                <w:lang w:val="lv-LV"/>
              </w:rPr>
              <w:t>euro</w:t>
            </w:r>
            <w:proofErr w:type="spellEnd"/>
            <w:r w:rsidRPr="00065250">
              <w:rPr>
                <w:lang w:val="lv-LV"/>
              </w:rPr>
              <w:t xml:space="preserve">. Līdz šim Latvija nodrošinājusi misijas līdzfinansēšanu 20 000 </w:t>
            </w:r>
            <w:r w:rsidRPr="004844B1">
              <w:rPr>
                <w:i/>
                <w:lang w:val="lv-LV"/>
              </w:rPr>
              <w:t>euro</w:t>
            </w:r>
            <w:r w:rsidRPr="00065250">
              <w:rPr>
                <w:lang w:val="lv-LV"/>
              </w:rPr>
              <w:t xml:space="preserve"> apmērā. </w:t>
            </w:r>
          </w:p>
          <w:p w:rsidR="00812295" w:rsidRPr="00555D76" w:rsidRDefault="00812295" w:rsidP="00AD0C9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2014.</w:t>
            </w:r>
            <w:r w:rsidR="002838ED">
              <w:rPr>
                <w:lang w:val="lv-LV"/>
              </w:rPr>
              <w:t> </w:t>
            </w:r>
            <w:r>
              <w:rPr>
                <w:lang w:val="lv-LV"/>
              </w:rPr>
              <w:t>gada 3.</w:t>
            </w:r>
            <w:r w:rsidR="002838ED">
              <w:rPr>
                <w:lang w:val="lv-LV"/>
              </w:rPr>
              <w:t> </w:t>
            </w:r>
            <w:r>
              <w:rPr>
                <w:lang w:val="lv-LV"/>
              </w:rPr>
              <w:t xml:space="preserve">novembrī </w:t>
            </w:r>
            <w:r w:rsidRPr="00812295">
              <w:rPr>
                <w:lang w:val="lv-LV"/>
              </w:rPr>
              <w:t>EDSO Pastāvīgās padomes</w:t>
            </w:r>
            <w:r>
              <w:rPr>
                <w:lang w:val="lv-LV"/>
              </w:rPr>
              <w:t xml:space="preserve"> sanāksmē viens no darba kārības jautājumiem bija valstu plāni saistībā ar turpmāku atbalstu misijas finansēšanai. </w:t>
            </w:r>
            <w:r w:rsidRPr="00A35D04">
              <w:rPr>
                <w:lang w:val="lv-LV"/>
              </w:rPr>
              <w:t xml:space="preserve">Lielākās dalībvalstu paziņotās iemaksas misijas paplašināšanai ir šādas: Vācija </w:t>
            </w:r>
            <w:r w:rsidR="00A35D04">
              <w:rPr>
                <w:lang w:val="lv-LV"/>
              </w:rPr>
              <w:t xml:space="preserve">– </w:t>
            </w:r>
            <w:r w:rsidRPr="004844B1">
              <w:rPr>
                <w:lang w:val="lv-LV"/>
              </w:rPr>
              <w:t>3,</w:t>
            </w:r>
            <w:r w:rsidRPr="00A35D04">
              <w:rPr>
                <w:lang w:val="lv-LV"/>
              </w:rPr>
              <w:t>5</w:t>
            </w:r>
            <w:r w:rsidR="00A35D04">
              <w:rPr>
                <w:lang w:val="lv-LV"/>
              </w:rPr>
              <w:t> </w:t>
            </w:r>
            <w:r w:rsidRPr="00A35D04">
              <w:rPr>
                <w:lang w:val="lv-LV"/>
              </w:rPr>
              <w:t>m</w:t>
            </w:r>
            <w:r w:rsidRPr="004844B1">
              <w:rPr>
                <w:lang w:val="lv-LV"/>
              </w:rPr>
              <w:t>iljoni</w:t>
            </w:r>
            <w:r w:rsidRPr="00A35D04">
              <w:rPr>
                <w:i/>
                <w:lang w:val="lv-LV"/>
              </w:rPr>
              <w:t xml:space="preserve"> </w:t>
            </w:r>
            <w:proofErr w:type="spellStart"/>
            <w:r w:rsidRPr="00A35D04">
              <w:rPr>
                <w:i/>
                <w:lang w:val="lv-LV"/>
              </w:rPr>
              <w:t>euro</w:t>
            </w:r>
            <w:proofErr w:type="spellEnd"/>
            <w:r w:rsidRPr="00A35D04">
              <w:rPr>
                <w:lang w:val="lv-LV"/>
              </w:rPr>
              <w:t>, Norvēģija</w:t>
            </w:r>
            <w:r w:rsidR="00A35D04">
              <w:rPr>
                <w:lang w:val="lv-LV"/>
              </w:rPr>
              <w:t xml:space="preserve"> –</w:t>
            </w:r>
            <w:r w:rsidRPr="00A35D04">
              <w:rPr>
                <w:lang w:val="lv-LV"/>
              </w:rPr>
              <w:t xml:space="preserve"> </w:t>
            </w:r>
            <w:r w:rsidRPr="004844B1">
              <w:rPr>
                <w:lang w:val="lv-LV"/>
              </w:rPr>
              <w:t>1 miljons</w:t>
            </w:r>
            <w:r w:rsidR="00223BC0">
              <w:rPr>
                <w:i/>
                <w:lang w:val="lv-LV"/>
              </w:rPr>
              <w:t xml:space="preserve"> </w:t>
            </w:r>
            <w:proofErr w:type="spellStart"/>
            <w:r w:rsidR="00223BC0">
              <w:rPr>
                <w:i/>
                <w:lang w:val="lv-LV"/>
              </w:rPr>
              <w:t>euro</w:t>
            </w:r>
            <w:proofErr w:type="spellEnd"/>
            <w:r w:rsidR="00555D76" w:rsidRPr="00A35D04">
              <w:rPr>
                <w:lang w:val="lv-LV"/>
              </w:rPr>
              <w:t>, I</w:t>
            </w:r>
            <w:r w:rsidR="00AF2412" w:rsidRPr="00A35D04">
              <w:rPr>
                <w:lang w:val="lv-LV"/>
              </w:rPr>
              <w:t>t</w:t>
            </w:r>
            <w:r w:rsidR="00555D76" w:rsidRPr="00A35D04">
              <w:rPr>
                <w:lang w:val="lv-LV"/>
              </w:rPr>
              <w:t>ālija</w:t>
            </w:r>
            <w:r w:rsidR="00A35D04">
              <w:rPr>
                <w:lang w:val="lv-LV"/>
              </w:rPr>
              <w:t xml:space="preserve"> –</w:t>
            </w:r>
            <w:r w:rsidR="00555D76" w:rsidRPr="00A35D04">
              <w:rPr>
                <w:lang w:val="lv-LV"/>
              </w:rPr>
              <w:t xml:space="preserve"> </w:t>
            </w:r>
            <w:r w:rsidR="00555D76" w:rsidRPr="004844B1">
              <w:rPr>
                <w:lang w:val="lv-LV"/>
              </w:rPr>
              <w:t>0</w:t>
            </w:r>
            <w:r w:rsidR="00555D76" w:rsidRPr="00A35D04">
              <w:rPr>
                <w:lang w:val="lv-LV"/>
              </w:rPr>
              <w:t>,5</w:t>
            </w:r>
            <w:r w:rsidR="00A35D04">
              <w:rPr>
                <w:lang w:val="lv-LV"/>
              </w:rPr>
              <w:t> </w:t>
            </w:r>
            <w:r w:rsidR="00555D76" w:rsidRPr="00A35D04">
              <w:rPr>
                <w:lang w:val="lv-LV"/>
              </w:rPr>
              <w:t>miljoni</w:t>
            </w:r>
            <w:r w:rsidR="00555D76" w:rsidRPr="00A35D04">
              <w:rPr>
                <w:i/>
                <w:lang w:val="lv-LV"/>
              </w:rPr>
              <w:t xml:space="preserve"> </w:t>
            </w:r>
            <w:proofErr w:type="spellStart"/>
            <w:r w:rsidR="00555D76" w:rsidRPr="00A35D04">
              <w:rPr>
                <w:i/>
                <w:lang w:val="lv-LV"/>
              </w:rPr>
              <w:t>euro</w:t>
            </w:r>
            <w:proofErr w:type="spellEnd"/>
            <w:r w:rsidR="00555D76" w:rsidRPr="004844B1">
              <w:rPr>
                <w:lang w:val="lv-LV"/>
              </w:rPr>
              <w:t>,</w:t>
            </w:r>
            <w:r w:rsidR="00555D76" w:rsidRPr="00A35D04">
              <w:rPr>
                <w:i/>
                <w:lang w:val="lv-LV"/>
              </w:rPr>
              <w:t xml:space="preserve"> </w:t>
            </w:r>
            <w:r w:rsidR="00555D76" w:rsidRPr="00A35D04">
              <w:rPr>
                <w:lang w:val="lv-LV"/>
              </w:rPr>
              <w:t xml:space="preserve">Somija </w:t>
            </w:r>
            <w:r w:rsidR="00A35D04">
              <w:rPr>
                <w:lang w:val="lv-LV"/>
              </w:rPr>
              <w:t xml:space="preserve">– </w:t>
            </w:r>
            <w:r w:rsidR="00555D76" w:rsidRPr="004844B1">
              <w:rPr>
                <w:lang w:val="lv-LV"/>
              </w:rPr>
              <w:t>0,6 miljoni</w:t>
            </w:r>
            <w:r w:rsidR="00555D76" w:rsidRPr="00A35D04">
              <w:rPr>
                <w:i/>
                <w:lang w:val="lv-LV"/>
              </w:rPr>
              <w:t xml:space="preserve"> </w:t>
            </w:r>
            <w:proofErr w:type="spellStart"/>
            <w:r w:rsidR="00555D76" w:rsidRPr="00A35D04">
              <w:rPr>
                <w:i/>
                <w:lang w:val="lv-LV"/>
              </w:rPr>
              <w:t>euro</w:t>
            </w:r>
            <w:proofErr w:type="spellEnd"/>
            <w:r w:rsidR="00555D76" w:rsidRPr="00A35D04">
              <w:rPr>
                <w:lang w:val="lv-LV"/>
              </w:rPr>
              <w:t xml:space="preserve">, </w:t>
            </w:r>
            <w:r w:rsidRPr="00A35D04">
              <w:rPr>
                <w:lang w:val="lv-LV"/>
              </w:rPr>
              <w:t>Zviedrija</w:t>
            </w:r>
            <w:r w:rsidR="00A35D04">
              <w:rPr>
                <w:lang w:val="lv-LV"/>
              </w:rPr>
              <w:t xml:space="preserve"> –</w:t>
            </w:r>
            <w:r w:rsidRPr="00A35D04">
              <w:rPr>
                <w:lang w:val="lv-LV"/>
              </w:rPr>
              <w:t xml:space="preserve"> </w:t>
            </w:r>
            <w:r w:rsidRPr="004844B1">
              <w:rPr>
                <w:lang w:val="lv-LV"/>
              </w:rPr>
              <w:t>0,54</w:t>
            </w:r>
            <w:r w:rsidR="00A35D04" w:rsidRPr="004844B1">
              <w:rPr>
                <w:lang w:val="lv-LV"/>
              </w:rPr>
              <w:t> </w:t>
            </w:r>
            <w:r w:rsidRPr="004844B1">
              <w:rPr>
                <w:lang w:val="lv-LV"/>
              </w:rPr>
              <w:t xml:space="preserve">miljoni </w:t>
            </w:r>
            <w:proofErr w:type="spellStart"/>
            <w:r w:rsidRPr="00A35D04">
              <w:rPr>
                <w:i/>
                <w:lang w:val="lv-LV"/>
              </w:rPr>
              <w:t>euro</w:t>
            </w:r>
            <w:proofErr w:type="spellEnd"/>
            <w:r w:rsidRPr="00A35D04">
              <w:rPr>
                <w:lang w:val="lv-LV"/>
              </w:rPr>
              <w:t xml:space="preserve">, Dānija </w:t>
            </w:r>
            <w:r w:rsidR="00A35D04">
              <w:rPr>
                <w:lang w:val="lv-LV"/>
              </w:rPr>
              <w:t xml:space="preserve">– </w:t>
            </w:r>
            <w:r w:rsidRPr="004844B1">
              <w:rPr>
                <w:lang w:val="lv-LV"/>
              </w:rPr>
              <w:t>0,26 miljon</w:t>
            </w:r>
            <w:r w:rsidR="00555D76" w:rsidRPr="004844B1">
              <w:rPr>
                <w:lang w:val="lv-LV"/>
              </w:rPr>
              <w:t>i</w:t>
            </w:r>
            <w:r w:rsidRPr="00A35D04">
              <w:rPr>
                <w:i/>
                <w:lang w:val="lv-LV"/>
              </w:rPr>
              <w:t xml:space="preserve"> </w:t>
            </w:r>
            <w:proofErr w:type="spellStart"/>
            <w:r w:rsidRPr="00A35D04">
              <w:rPr>
                <w:i/>
                <w:lang w:val="lv-LV"/>
              </w:rPr>
              <w:t>euro</w:t>
            </w:r>
            <w:proofErr w:type="spellEnd"/>
            <w:r w:rsidR="00555D76" w:rsidRPr="00A35D04">
              <w:rPr>
                <w:i/>
                <w:lang w:val="lv-LV"/>
              </w:rPr>
              <w:t>.</w:t>
            </w:r>
            <w:r w:rsidR="00FC229B" w:rsidRPr="00A35D04">
              <w:rPr>
                <w:lang w:val="lv-LV"/>
              </w:rPr>
              <w:t xml:space="preserve"> Igaunija paziņoj</w:t>
            </w:r>
            <w:r w:rsidR="00910860">
              <w:rPr>
                <w:lang w:val="lv-LV"/>
              </w:rPr>
              <w:t>usi</w:t>
            </w:r>
            <w:r w:rsidR="00FC229B" w:rsidRPr="00A35D04">
              <w:rPr>
                <w:lang w:val="lv-LV"/>
              </w:rPr>
              <w:t xml:space="preserve"> par papildu 40 000 </w:t>
            </w:r>
            <w:proofErr w:type="spellStart"/>
            <w:r w:rsidR="00FC229B" w:rsidRPr="004844B1">
              <w:rPr>
                <w:i/>
                <w:lang w:val="lv-LV"/>
              </w:rPr>
              <w:t>euro</w:t>
            </w:r>
            <w:proofErr w:type="spellEnd"/>
            <w:r w:rsidR="00FC229B" w:rsidRPr="00A35D04">
              <w:rPr>
                <w:lang w:val="lv-LV"/>
              </w:rPr>
              <w:t xml:space="preserve"> iemaksu (kopumā būs iemaksājusi 80 000 </w:t>
            </w:r>
            <w:proofErr w:type="spellStart"/>
            <w:r w:rsidR="00F837B2" w:rsidRPr="004844B1">
              <w:rPr>
                <w:i/>
                <w:lang w:val="lv-LV"/>
              </w:rPr>
              <w:t>euro</w:t>
            </w:r>
            <w:proofErr w:type="spellEnd"/>
            <w:r w:rsidR="00601965" w:rsidRPr="00A35D04">
              <w:rPr>
                <w:lang w:val="lv-LV"/>
              </w:rPr>
              <w:t>)</w:t>
            </w:r>
            <w:r w:rsidR="00FC229B" w:rsidRPr="00A35D04">
              <w:rPr>
                <w:lang w:val="lv-LV"/>
              </w:rPr>
              <w:t xml:space="preserve">, Lietuva </w:t>
            </w:r>
            <w:r w:rsidR="00910860">
              <w:rPr>
                <w:lang w:val="lv-LV"/>
              </w:rPr>
              <w:t>kopš</w:t>
            </w:r>
            <w:r w:rsidR="00FC229B" w:rsidRPr="00A35D04">
              <w:rPr>
                <w:lang w:val="lv-LV"/>
              </w:rPr>
              <w:t xml:space="preserve"> misijas izvēršan</w:t>
            </w:r>
            <w:r w:rsidR="00910860">
              <w:rPr>
                <w:lang w:val="lv-LV"/>
              </w:rPr>
              <w:t>as</w:t>
            </w:r>
            <w:r w:rsidR="00FC229B" w:rsidRPr="00A35D04">
              <w:rPr>
                <w:lang w:val="lv-LV"/>
              </w:rPr>
              <w:t xml:space="preserve"> iemaksājusi 50 000 </w:t>
            </w:r>
            <w:r w:rsidR="00FC229B" w:rsidRPr="004844B1">
              <w:rPr>
                <w:i/>
                <w:lang w:val="lv-LV"/>
              </w:rPr>
              <w:t>euro</w:t>
            </w:r>
            <w:r w:rsidR="00FC229B" w:rsidRPr="00A35D04">
              <w:rPr>
                <w:lang w:val="lv-LV"/>
              </w:rPr>
              <w:t>, taču paziņoja, ka meklēs iespējas veikt papildu iemaksas.</w:t>
            </w:r>
            <w:r w:rsidR="00FC229B">
              <w:rPr>
                <w:lang w:val="lv-LV"/>
              </w:rPr>
              <w:t xml:space="preserve"> </w:t>
            </w:r>
          </w:p>
          <w:p w:rsidR="00065250" w:rsidRPr="00065250" w:rsidRDefault="00065250" w:rsidP="00AD0C9E">
            <w:pPr>
              <w:jc w:val="both"/>
              <w:rPr>
                <w:lang w:val="lv-LV"/>
              </w:rPr>
            </w:pPr>
            <w:r w:rsidRPr="00065250">
              <w:rPr>
                <w:lang w:val="lv-LV"/>
              </w:rPr>
              <w:t>Aizsardzības ministrija uzskata, ka</w:t>
            </w:r>
            <w:r w:rsidR="00AD0C9E">
              <w:rPr>
                <w:lang w:val="lv-LV"/>
              </w:rPr>
              <w:t xml:space="preserve"> finansiālais</w:t>
            </w:r>
            <w:r w:rsidRPr="00065250">
              <w:rPr>
                <w:lang w:val="lv-LV"/>
              </w:rPr>
              <w:t xml:space="preserve"> atbalst</w:t>
            </w:r>
            <w:r w:rsidR="00AD0C9E">
              <w:rPr>
                <w:lang w:val="lv-LV"/>
              </w:rPr>
              <w:t xml:space="preserve">s </w:t>
            </w:r>
            <w:r w:rsidRPr="00065250">
              <w:rPr>
                <w:lang w:val="lv-LV"/>
              </w:rPr>
              <w:t>misij</w:t>
            </w:r>
            <w:r w:rsidR="00AD0C9E">
              <w:rPr>
                <w:lang w:val="lv-LV"/>
              </w:rPr>
              <w:t>ai jāturpina</w:t>
            </w:r>
            <w:r w:rsidRPr="00065250">
              <w:rPr>
                <w:lang w:val="lv-LV"/>
              </w:rPr>
              <w:t xml:space="preserve">, </w:t>
            </w:r>
            <w:r w:rsidR="00AD0C9E">
              <w:rPr>
                <w:lang w:val="lv-LV"/>
              </w:rPr>
              <w:t>jo tas ir veids, kā Latvija demo</w:t>
            </w:r>
            <w:r w:rsidR="00DC7CE6">
              <w:rPr>
                <w:lang w:val="lv-LV"/>
              </w:rPr>
              <w:t>n</w:t>
            </w:r>
            <w:r w:rsidR="00AD0C9E">
              <w:rPr>
                <w:lang w:val="lv-LV"/>
              </w:rPr>
              <w:t>strē</w:t>
            </w:r>
            <w:r w:rsidRPr="00065250">
              <w:rPr>
                <w:lang w:val="lv-LV"/>
              </w:rPr>
              <w:t xml:space="preserve"> solidaritāti un atbalstu Ukrainas suverenitātei un teritoriālajai integritātei tās starptautiski atzītajās robežās.  Līdzdalība misijā ar finansiālu atbalstu do</w:t>
            </w:r>
            <w:r w:rsidR="00AD0C9E">
              <w:rPr>
                <w:lang w:val="lv-LV"/>
              </w:rPr>
              <w:t>d</w:t>
            </w:r>
            <w:r w:rsidRPr="00065250">
              <w:rPr>
                <w:lang w:val="lv-LV"/>
              </w:rPr>
              <w:t xml:space="preserve"> lielākas iespējas ietekmēt misijas attīstību kopumā, </w:t>
            </w:r>
            <w:r w:rsidR="001D2F11">
              <w:rPr>
                <w:lang w:val="lv-LV"/>
              </w:rPr>
              <w:t>un t</w:t>
            </w:r>
            <w:r w:rsidRPr="00065250">
              <w:rPr>
                <w:lang w:val="lv-LV"/>
              </w:rPr>
              <w:t xml:space="preserve">as </w:t>
            </w:r>
            <w:r w:rsidR="00910860">
              <w:rPr>
                <w:lang w:val="lv-LV"/>
              </w:rPr>
              <w:t xml:space="preserve">ir </w:t>
            </w:r>
            <w:r w:rsidRPr="00065250">
              <w:rPr>
                <w:lang w:val="lv-LV"/>
              </w:rPr>
              <w:t>īpaši svarīgi</w:t>
            </w:r>
            <w:r w:rsidR="001D2F11">
              <w:rPr>
                <w:lang w:val="lv-LV"/>
              </w:rPr>
              <w:t>,</w:t>
            </w:r>
            <w:r w:rsidRPr="00065250">
              <w:rPr>
                <w:lang w:val="lv-LV"/>
              </w:rPr>
              <w:t xml:space="preserve"> </w:t>
            </w:r>
            <w:r w:rsidR="001D2F11">
              <w:rPr>
                <w:lang w:val="lv-LV"/>
              </w:rPr>
              <w:t>jo</w:t>
            </w:r>
            <w:r w:rsidRPr="00065250">
              <w:rPr>
                <w:lang w:val="lv-LV"/>
              </w:rPr>
              <w:t xml:space="preserve"> misijā piedalās arī pieci civilie eksperti no Latvijas. Plānots, ka līdz ar misijas p</w:t>
            </w:r>
            <w:r w:rsidR="0075315E">
              <w:rPr>
                <w:lang w:val="lv-LV"/>
              </w:rPr>
              <w:t>ap</w:t>
            </w:r>
            <w:r w:rsidRPr="00065250">
              <w:rPr>
                <w:lang w:val="lv-LV"/>
              </w:rPr>
              <w:t>lašināšanu Latvijas ekspertu skaits misijā varētu palielināties. Misija līdz šim veikusi svarīgu ieguldījumu Ukrainā, īpaši</w:t>
            </w:r>
            <w:r w:rsidR="00910860">
              <w:rPr>
                <w:lang w:val="lv-LV"/>
              </w:rPr>
              <w:t>,</w:t>
            </w:r>
            <w:r w:rsidRPr="00065250">
              <w:rPr>
                <w:lang w:val="lv-LV"/>
              </w:rPr>
              <w:t xml:space="preserve"> novērojot pamiera noteikumu ievērošanu un palīdzot mazināt saspīlējumu valstī, kas ietekmē Eiropas drošību. </w:t>
            </w:r>
            <w:r w:rsidR="00910860">
              <w:rPr>
                <w:lang w:val="lv-LV"/>
              </w:rPr>
              <w:t>Tāpēc</w:t>
            </w:r>
            <w:r w:rsidRPr="00065250">
              <w:rPr>
                <w:lang w:val="lv-LV"/>
              </w:rPr>
              <w:t xml:space="preserve"> Latvijas interesēs ir sekmīga misijas attīstība un rezultāti arī turpmāk.</w:t>
            </w:r>
          </w:p>
          <w:p w:rsidR="00065250" w:rsidRPr="00065250" w:rsidRDefault="00065250" w:rsidP="00AD0C9E">
            <w:pPr>
              <w:jc w:val="both"/>
              <w:rPr>
                <w:lang w:val="lv-LV"/>
              </w:rPr>
            </w:pPr>
            <w:r w:rsidRPr="00065250">
              <w:rPr>
                <w:lang w:val="lv-LV"/>
              </w:rPr>
              <w:t>Ņemot vērā minēto, Ministru kabineta rīkojuma projekts paredz Aizsardzības ministrijai 2014.</w:t>
            </w:r>
            <w:r w:rsidR="001D2F11">
              <w:rPr>
                <w:lang w:val="lv-LV"/>
              </w:rPr>
              <w:t> </w:t>
            </w:r>
            <w:r w:rsidRPr="00065250">
              <w:rPr>
                <w:lang w:val="lv-LV"/>
              </w:rPr>
              <w:t xml:space="preserve">gadā veikt iemaksu misijas atbalstam 25 000 </w:t>
            </w:r>
            <w:r w:rsidRPr="004844B1">
              <w:rPr>
                <w:i/>
                <w:lang w:val="lv-LV"/>
              </w:rPr>
              <w:t>euro</w:t>
            </w:r>
            <w:r w:rsidRPr="00065250">
              <w:rPr>
                <w:lang w:val="lv-LV"/>
              </w:rPr>
              <w:t xml:space="preserve"> apmērā. </w:t>
            </w:r>
          </w:p>
          <w:p w:rsidR="004243D1" w:rsidRPr="001A565F" w:rsidRDefault="004243D1" w:rsidP="00E404A4">
            <w:pPr>
              <w:jc w:val="both"/>
              <w:rPr>
                <w:lang w:val="lv-LV"/>
              </w:rPr>
            </w:pPr>
          </w:p>
        </w:tc>
      </w:tr>
      <w:tr w:rsidR="00801B52" w:rsidRPr="001A565F" w:rsidTr="000433E3">
        <w:trPr>
          <w:trHeight w:val="503"/>
        </w:trPr>
        <w:tc>
          <w:tcPr>
            <w:tcW w:w="1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B52" w:rsidRPr="001A565F" w:rsidRDefault="00B84E23" w:rsidP="00F11802">
            <w:pPr>
              <w:pStyle w:val="NormalWeb"/>
              <w:spacing w:before="0" w:beforeAutospacing="0" w:after="0" w:afterAutospacing="0"/>
            </w:pPr>
            <w:r w:rsidRPr="001A565F">
              <w:lastRenderedPageBreak/>
              <w:t>3</w:t>
            </w:r>
            <w:r w:rsidR="00801B52" w:rsidRPr="001A565F">
              <w:t xml:space="preserve">. Projekta izstrādē iesaistītās institūcijas 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B52" w:rsidRPr="001A565F" w:rsidRDefault="003868EC" w:rsidP="00F11802">
            <w:pPr>
              <w:pStyle w:val="NormalWeb"/>
              <w:spacing w:before="0" w:beforeAutospacing="0" w:after="0" w:afterAutospacing="0"/>
              <w:ind w:right="70"/>
              <w:jc w:val="both"/>
            </w:pPr>
            <w:r w:rsidRPr="001A565F">
              <w:t>Aizsardzības</w:t>
            </w:r>
            <w:r w:rsidR="00B84E23" w:rsidRPr="001A565F">
              <w:t xml:space="preserve"> ministrija.</w:t>
            </w:r>
          </w:p>
        </w:tc>
      </w:tr>
      <w:tr w:rsidR="00801B52" w:rsidRPr="006B752F" w:rsidTr="00F11802">
        <w:tc>
          <w:tcPr>
            <w:tcW w:w="1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B52" w:rsidRPr="001A565F" w:rsidRDefault="00B84E23" w:rsidP="00F11802">
            <w:pPr>
              <w:pStyle w:val="NormalWeb"/>
              <w:spacing w:before="0" w:beforeAutospacing="0" w:after="0" w:afterAutospacing="0"/>
            </w:pPr>
            <w:r w:rsidRPr="001A565F">
              <w:t>4</w:t>
            </w:r>
            <w:r w:rsidR="00801B52" w:rsidRPr="001A565F">
              <w:t>. Cita informācija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B52" w:rsidRPr="001A565F" w:rsidRDefault="003868EC" w:rsidP="00DE55F9">
            <w:pPr>
              <w:pStyle w:val="naisc"/>
              <w:spacing w:before="0" w:after="0"/>
              <w:ind w:firstLine="12"/>
              <w:jc w:val="both"/>
              <w:rPr>
                <w:sz w:val="24"/>
                <w:szCs w:val="24"/>
              </w:rPr>
            </w:pPr>
            <w:r w:rsidRPr="001A565F">
              <w:rPr>
                <w:color w:val="000000"/>
                <w:sz w:val="24"/>
                <w:szCs w:val="24"/>
              </w:rPr>
              <w:t>Projekts tiks realizēts no Aizsardzības ministrijai piešķirtajiem valsts budžeta līdzekļiem</w:t>
            </w:r>
            <w:r w:rsidR="001D2F11">
              <w:rPr>
                <w:color w:val="000000"/>
                <w:sz w:val="24"/>
                <w:szCs w:val="24"/>
              </w:rPr>
              <w:t>,</w:t>
            </w:r>
            <w:r w:rsidRPr="001A565F">
              <w:rPr>
                <w:color w:val="000000"/>
                <w:sz w:val="24"/>
                <w:szCs w:val="24"/>
              </w:rPr>
              <w:t xml:space="preserve"> pārdalot finansējumu 25 000 </w:t>
            </w:r>
            <w:proofErr w:type="spellStart"/>
            <w:r w:rsidRPr="004844B1">
              <w:rPr>
                <w:i/>
                <w:color w:val="000000"/>
                <w:sz w:val="24"/>
                <w:szCs w:val="24"/>
              </w:rPr>
              <w:t>e</w:t>
            </w:r>
            <w:r w:rsidR="001D2F11" w:rsidRPr="004844B1">
              <w:rPr>
                <w:i/>
                <w:color w:val="000000"/>
                <w:sz w:val="24"/>
                <w:szCs w:val="24"/>
              </w:rPr>
              <w:t>u</w:t>
            </w:r>
            <w:r w:rsidRPr="004844B1">
              <w:rPr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1A565F">
              <w:rPr>
                <w:color w:val="000000"/>
                <w:sz w:val="24"/>
                <w:szCs w:val="24"/>
              </w:rPr>
              <w:t xml:space="preserve"> apmērā no budžeta programmas 30.00.00 „Valsts aizsardzības politikas realizācija” iemaksām starptautiskajās organizācijās ANO misiju nodrošināšanai, jo faktiski saņemtie rēķini ir mazāki, </w:t>
            </w:r>
            <w:r w:rsidR="001D2F11">
              <w:rPr>
                <w:color w:val="000000"/>
                <w:sz w:val="24"/>
                <w:szCs w:val="24"/>
              </w:rPr>
              <w:t>ne</w:t>
            </w:r>
            <w:r w:rsidRPr="001A565F">
              <w:rPr>
                <w:color w:val="000000"/>
                <w:sz w:val="24"/>
                <w:szCs w:val="24"/>
              </w:rPr>
              <w:t>kā plānots</w:t>
            </w:r>
            <w:r w:rsidRPr="001A565F">
              <w:rPr>
                <w:sz w:val="24"/>
                <w:szCs w:val="24"/>
              </w:rPr>
              <w:t>.</w:t>
            </w:r>
          </w:p>
        </w:tc>
      </w:tr>
    </w:tbl>
    <w:p w:rsidR="00B83C0B" w:rsidRDefault="00B83C0B" w:rsidP="00A76DFA">
      <w:pPr>
        <w:rPr>
          <w:sz w:val="22"/>
          <w:szCs w:val="22"/>
          <w:lang w:val="lv-LV"/>
        </w:rPr>
      </w:pPr>
    </w:p>
    <w:p w:rsidR="00BD3092" w:rsidRPr="002E6605" w:rsidRDefault="00BD3092" w:rsidP="00BD3092">
      <w:pPr>
        <w:rPr>
          <w:lang w:val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BD3092" w:rsidRPr="00AA0BD5" w:rsidTr="005258D4">
        <w:tc>
          <w:tcPr>
            <w:tcW w:w="9322" w:type="dxa"/>
            <w:gridSpan w:val="2"/>
          </w:tcPr>
          <w:p w:rsidR="003430A2" w:rsidRDefault="003430A2" w:rsidP="003430A2">
            <w:pPr>
              <w:jc w:val="center"/>
              <w:rPr>
                <w:b/>
                <w:lang w:val="lv-LV"/>
              </w:rPr>
            </w:pPr>
          </w:p>
          <w:p w:rsidR="00BD3092" w:rsidRPr="00AA0BD5" w:rsidRDefault="00BD3092" w:rsidP="003430A2">
            <w:pPr>
              <w:jc w:val="center"/>
              <w:rPr>
                <w:b/>
                <w:lang w:val="lv-LV"/>
              </w:rPr>
            </w:pPr>
            <w:r w:rsidRPr="00AA0BD5">
              <w:rPr>
                <w:b/>
                <w:lang w:val="lv-LV"/>
              </w:rPr>
              <w:t>V. Tiesību akta projekta atbilstība Latvijas Republikas starptautiskajām saistībām</w:t>
            </w:r>
          </w:p>
          <w:p w:rsidR="00AA0BD5" w:rsidRPr="00AA0BD5" w:rsidRDefault="00AA0BD5" w:rsidP="00BD3092">
            <w:pPr>
              <w:jc w:val="center"/>
              <w:rPr>
                <w:lang w:val="lv-LV"/>
              </w:rPr>
            </w:pPr>
          </w:p>
        </w:tc>
      </w:tr>
      <w:tr w:rsidR="00BD3092" w:rsidRPr="00AA0BD5" w:rsidTr="005258D4">
        <w:tc>
          <w:tcPr>
            <w:tcW w:w="3369" w:type="dxa"/>
          </w:tcPr>
          <w:p w:rsidR="00BD3092" w:rsidRPr="00AA0BD5" w:rsidRDefault="00BD3092" w:rsidP="00BD3092">
            <w:pPr>
              <w:ind w:left="360"/>
              <w:rPr>
                <w:lang w:val="lv-LV"/>
              </w:rPr>
            </w:pPr>
          </w:p>
          <w:p w:rsidR="00BD3092" w:rsidRPr="00AA0BD5" w:rsidRDefault="00BD3092" w:rsidP="00BD3092">
            <w:pPr>
              <w:numPr>
                <w:ilvl w:val="0"/>
                <w:numId w:val="24"/>
              </w:numPr>
              <w:rPr>
                <w:lang w:val="lv-LV"/>
              </w:rPr>
            </w:pPr>
            <w:r w:rsidRPr="00AA0BD5">
              <w:rPr>
                <w:lang w:val="lv-LV"/>
              </w:rPr>
              <w:t>Saistības pret Eiropas Savienību</w:t>
            </w:r>
          </w:p>
          <w:p w:rsidR="00BD3092" w:rsidRPr="00AA0BD5" w:rsidRDefault="00BD3092" w:rsidP="00BD3092">
            <w:pPr>
              <w:ind w:left="360"/>
              <w:rPr>
                <w:lang w:val="lv-LV"/>
              </w:rPr>
            </w:pPr>
          </w:p>
        </w:tc>
        <w:tc>
          <w:tcPr>
            <w:tcW w:w="5953" w:type="dxa"/>
          </w:tcPr>
          <w:p w:rsidR="003430A2" w:rsidRDefault="003430A2" w:rsidP="00BD3092">
            <w:pPr>
              <w:rPr>
                <w:lang w:val="lv-LV"/>
              </w:rPr>
            </w:pPr>
          </w:p>
          <w:p w:rsidR="00BD3092" w:rsidRPr="00AA0BD5" w:rsidRDefault="00BD3092" w:rsidP="00BD3092">
            <w:pPr>
              <w:rPr>
                <w:lang w:val="lv-LV"/>
              </w:rPr>
            </w:pPr>
            <w:r w:rsidRPr="00AA0BD5">
              <w:rPr>
                <w:lang w:val="lv-LV"/>
              </w:rPr>
              <w:t xml:space="preserve">Nav </w:t>
            </w:r>
            <w:r w:rsidR="00574153" w:rsidRPr="00AA0BD5">
              <w:rPr>
                <w:lang w:val="lv-LV"/>
              </w:rPr>
              <w:t>attiecināms</w:t>
            </w:r>
            <w:r w:rsidRPr="00AA0BD5">
              <w:rPr>
                <w:lang w:val="lv-LV"/>
              </w:rPr>
              <w:t>.</w:t>
            </w:r>
          </w:p>
        </w:tc>
      </w:tr>
      <w:tr w:rsidR="00BD3092" w:rsidRPr="00AA0BD5" w:rsidTr="005258D4">
        <w:tc>
          <w:tcPr>
            <w:tcW w:w="3369" w:type="dxa"/>
          </w:tcPr>
          <w:p w:rsidR="00BD3092" w:rsidRPr="00AA0BD5" w:rsidRDefault="00BD3092" w:rsidP="00BD3092">
            <w:pPr>
              <w:ind w:left="360"/>
              <w:rPr>
                <w:lang w:val="lv-LV"/>
              </w:rPr>
            </w:pPr>
          </w:p>
          <w:p w:rsidR="00BD3092" w:rsidRPr="00AA0BD5" w:rsidRDefault="00BD3092" w:rsidP="00BD3092">
            <w:pPr>
              <w:numPr>
                <w:ilvl w:val="0"/>
                <w:numId w:val="24"/>
              </w:numPr>
              <w:rPr>
                <w:lang w:val="lv-LV"/>
              </w:rPr>
            </w:pPr>
            <w:r w:rsidRPr="00AA0BD5">
              <w:rPr>
                <w:lang w:val="lv-LV"/>
              </w:rPr>
              <w:t>Citas starptautiskās saistības</w:t>
            </w:r>
          </w:p>
          <w:p w:rsidR="00BD3092" w:rsidRPr="00AA0BD5" w:rsidRDefault="00BD3092" w:rsidP="00BD3092">
            <w:pPr>
              <w:ind w:left="360"/>
              <w:rPr>
                <w:lang w:val="lv-LV"/>
              </w:rPr>
            </w:pPr>
          </w:p>
        </w:tc>
        <w:tc>
          <w:tcPr>
            <w:tcW w:w="5953" w:type="dxa"/>
          </w:tcPr>
          <w:p w:rsidR="00BD3092" w:rsidRPr="00AA0BD5" w:rsidRDefault="00BD3092" w:rsidP="0047333A">
            <w:pPr>
              <w:jc w:val="both"/>
              <w:rPr>
                <w:lang w:val="lv-LV"/>
              </w:rPr>
            </w:pPr>
          </w:p>
          <w:p w:rsidR="00C15BE9" w:rsidRPr="003F5DE9" w:rsidRDefault="00574153" w:rsidP="0047333A">
            <w:pPr>
              <w:jc w:val="both"/>
              <w:rPr>
                <w:lang w:val="lv-LV"/>
              </w:rPr>
            </w:pPr>
            <w:r w:rsidRPr="00AA0BD5">
              <w:rPr>
                <w:lang w:val="lv-LV"/>
              </w:rPr>
              <w:t>Nav attiecināms.</w:t>
            </w:r>
          </w:p>
        </w:tc>
      </w:tr>
      <w:tr w:rsidR="00BD3092" w:rsidRPr="006B752F" w:rsidTr="005258D4">
        <w:tc>
          <w:tcPr>
            <w:tcW w:w="3369" w:type="dxa"/>
          </w:tcPr>
          <w:p w:rsidR="00BD3092" w:rsidRPr="00AA0BD5" w:rsidRDefault="00BD3092" w:rsidP="00BD3092">
            <w:pPr>
              <w:ind w:left="360"/>
              <w:rPr>
                <w:lang w:val="lv-LV"/>
              </w:rPr>
            </w:pPr>
          </w:p>
          <w:p w:rsidR="00BD3092" w:rsidRPr="00AA0BD5" w:rsidRDefault="00BD3092" w:rsidP="00BD3092">
            <w:pPr>
              <w:numPr>
                <w:ilvl w:val="0"/>
                <w:numId w:val="24"/>
              </w:numPr>
              <w:rPr>
                <w:lang w:val="lv-LV"/>
              </w:rPr>
            </w:pPr>
            <w:r w:rsidRPr="00AA0BD5">
              <w:rPr>
                <w:lang w:val="lv-LV"/>
              </w:rPr>
              <w:t>Cita informācija</w:t>
            </w:r>
          </w:p>
          <w:p w:rsidR="00BD3092" w:rsidRPr="00AA0BD5" w:rsidRDefault="00BD3092" w:rsidP="00BD3092">
            <w:pPr>
              <w:ind w:left="360"/>
              <w:rPr>
                <w:lang w:val="lv-LV"/>
              </w:rPr>
            </w:pPr>
          </w:p>
        </w:tc>
        <w:tc>
          <w:tcPr>
            <w:tcW w:w="5953" w:type="dxa"/>
          </w:tcPr>
          <w:p w:rsidR="00B04A58" w:rsidRPr="00472BA2" w:rsidRDefault="00472BA2" w:rsidP="00DE55F9">
            <w:pPr>
              <w:jc w:val="both"/>
              <w:rPr>
                <w:lang w:val="lv-LV" w:eastAsia="en-US"/>
              </w:rPr>
            </w:pPr>
            <w:r w:rsidRPr="00570C5B">
              <w:rPr>
                <w:lang w:val="lv-LV"/>
              </w:rPr>
              <w:t xml:space="preserve">Latvija iestājās </w:t>
            </w:r>
            <w:r w:rsidR="00B04A58" w:rsidRPr="00570C5B">
              <w:rPr>
                <w:lang w:val="lv-LV"/>
              </w:rPr>
              <w:t>EDSO</w:t>
            </w:r>
            <w:r w:rsidRPr="00570C5B">
              <w:rPr>
                <w:lang w:val="lv-LV"/>
              </w:rPr>
              <w:t xml:space="preserve"> 1991.</w:t>
            </w:r>
            <w:r w:rsidR="001D2F11">
              <w:rPr>
                <w:lang w:val="lv-LV"/>
              </w:rPr>
              <w:t> </w:t>
            </w:r>
            <w:r w:rsidRPr="00570C5B">
              <w:rPr>
                <w:lang w:val="lv-LV"/>
              </w:rPr>
              <w:t>gada 10.</w:t>
            </w:r>
            <w:r w:rsidR="001D2F11">
              <w:rPr>
                <w:lang w:val="lv-LV"/>
              </w:rPr>
              <w:t> </w:t>
            </w:r>
            <w:r w:rsidRPr="00570C5B">
              <w:rPr>
                <w:lang w:val="lv-LV"/>
              </w:rPr>
              <w:t xml:space="preserve">septembrī. </w:t>
            </w:r>
            <w:r w:rsidRPr="00B75BA4">
              <w:rPr>
                <w:lang w:val="lv-LV" w:eastAsia="en-US"/>
              </w:rPr>
              <w:t xml:space="preserve">EDSO speciālās novērošanas misijas Ukrainā </w:t>
            </w:r>
            <w:r w:rsidR="00E87207">
              <w:rPr>
                <w:lang w:val="lv-LV" w:eastAsia="en-US"/>
              </w:rPr>
              <w:t>mandāts</w:t>
            </w:r>
            <w:r w:rsidRPr="00B75BA4">
              <w:rPr>
                <w:lang w:val="lv-LV" w:eastAsia="en-US"/>
              </w:rPr>
              <w:t xml:space="preserve"> tika </w:t>
            </w:r>
            <w:r w:rsidR="00E87207">
              <w:rPr>
                <w:lang w:val="lv-LV" w:eastAsia="en-US"/>
              </w:rPr>
              <w:t>apstiprināts</w:t>
            </w:r>
            <w:r w:rsidRPr="00B75BA4">
              <w:rPr>
                <w:lang w:val="lv-LV" w:eastAsia="en-US"/>
              </w:rPr>
              <w:t xml:space="preserve"> </w:t>
            </w:r>
            <w:r w:rsidR="006E3265">
              <w:rPr>
                <w:lang w:val="lv-LV" w:eastAsia="en-US"/>
              </w:rPr>
              <w:t xml:space="preserve">ar </w:t>
            </w:r>
            <w:r w:rsidR="00E87207">
              <w:rPr>
                <w:lang w:val="lv-LV" w:eastAsia="en-US"/>
              </w:rPr>
              <w:t xml:space="preserve">EDSO Pastāvīgās padomes </w:t>
            </w:r>
            <w:r w:rsidR="0056556E" w:rsidRPr="007F2233">
              <w:rPr>
                <w:lang w:val="lv-LV"/>
              </w:rPr>
              <w:t>2014.</w:t>
            </w:r>
            <w:r w:rsidR="001D2F11">
              <w:rPr>
                <w:lang w:val="lv-LV"/>
              </w:rPr>
              <w:t> </w:t>
            </w:r>
            <w:r w:rsidR="0056556E" w:rsidRPr="007F2233">
              <w:rPr>
                <w:lang w:val="lv-LV"/>
              </w:rPr>
              <w:t>gada 21.</w:t>
            </w:r>
            <w:r w:rsidR="001D2F11">
              <w:rPr>
                <w:lang w:val="lv-LV"/>
              </w:rPr>
              <w:t> </w:t>
            </w:r>
            <w:r w:rsidR="0056556E" w:rsidRPr="007F2233">
              <w:rPr>
                <w:lang w:val="lv-LV"/>
              </w:rPr>
              <w:t>marta lēmum</w:t>
            </w:r>
            <w:r w:rsidR="006E3265">
              <w:rPr>
                <w:lang w:val="lv-LV"/>
              </w:rPr>
              <w:t>u</w:t>
            </w:r>
            <w:r w:rsidR="0056556E" w:rsidRPr="007F2233">
              <w:rPr>
                <w:lang w:val="lv-LV"/>
              </w:rPr>
              <w:t xml:space="preserve"> Nr.</w:t>
            </w:r>
            <w:r w:rsidR="001D2F11">
              <w:rPr>
                <w:lang w:val="lv-LV"/>
              </w:rPr>
              <w:t> </w:t>
            </w:r>
            <w:r w:rsidR="0056556E" w:rsidRPr="007F2233">
              <w:rPr>
                <w:lang w:val="lv-LV"/>
              </w:rPr>
              <w:t>1117</w:t>
            </w:r>
            <w:r w:rsidR="006E3265">
              <w:rPr>
                <w:lang w:val="lv-LV"/>
              </w:rPr>
              <w:t>.</w:t>
            </w:r>
            <w:r w:rsidR="0056556E" w:rsidRPr="007F2233">
              <w:rPr>
                <w:lang w:val="lv-LV"/>
              </w:rPr>
              <w:t xml:space="preserve"> </w:t>
            </w:r>
          </w:p>
        </w:tc>
      </w:tr>
    </w:tbl>
    <w:p w:rsidR="00BD3092" w:rsidRPr="003F5DE9" w:rsidRDefault="00BD3092" w:rsidP="00BD3092">
      <w:pPr>
        <w:rPr>
          <w:lang w:val="lv-LV"/>
        </w:rPr>
      </w:pPr>
    </w:p>
    <w:p w:rsidR="00393285" w:rsidRPr="003F5DE9" w:rsidRDefault="00393285" w:rsidP="00393285">
      <w:pPr>
        <w:jc w:val="both"/>
        <w:rPr>
          <w:sz w:val="22"/>
          <w:szCs w:val="22"/>
          <w:lang w:val="lv-LV"/>
        </w:rPr>
      </w:pPr>
    </w:p>
    <w:tbl>
      <w:tblPr>
        <w:tblW w:w="502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5955"/>
      </w:tblGrid>
      <w:tr w:rsidR="00801B52" w:rsidRPr="006B752F" w:rsidTr="00E07347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0823" w:rsidRPr="00F837B2" w:rsidRDefault="00801B52" w:rsidP="003430A2">
            <w:pPr>
              <w:pStyle w:val="naisc"/>
              <w:spacing w:before="0" w:after="0"/>
              <w:rPr>
                <w:b/>
                <w:sz w:val="24"/>
                <w:szCs w:val="24"/>
              </w:rPr>
            </w:pPr>
            <w:r w:rsidRPr="00F837B2">
              <w:rPr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801B52" w:rsidRPr="00F837B2" w:rsidTr="00E07347">
        <w:tc>
          <w:tcPr>
            <w:tcW w:w="18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B52" w:rsidRPr="00F837B2" w:rsidRDefault="00801B52" w:rsidP="00F11802">
            <w:pPr>
              <w:pStyle w:val="naisf"/>
              <w:spacing w:before="0" w:after="0"/>
              <w:ind w:firstLine="0"/>
            </w:pPr>
            <w:r w:rsidRPr="00F837B2">
              <w:t>1. Projekta izpildē iesaistītās institūcijas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B52" w:rsidRPr="00F837B2" w:rsidRDefault="00AF2412" w:rsidP="00F11802">
            <w:pPr>
              <w:pStyle w:val="NormalWeb"/>
              <w:spacing w:before="0" w:after="0"/>
            </w:pPr>
            <w:r>
              <w:t>Aizsardzības</w:t>
            </w:r>
            <w:r w:rsidR="00801B52" w:rsidRPr="00F837B2">
              <w:t xml:space="preserve"> ministrija.</w:t>
            </w:r>
          </w:p>
        </w:tc>
      </w:tr>
      <w:tr w:rsidR="00801B52" w:rsidRPr="00F837B2" w:rsidTr="00E07347">
        <w:tc>
          <w:tcPr>
            <w:tcW w:w="18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1B0C" w:rsidRPr="00F837B2" w:rsidRDefault="00801B52" w:rsidP="00F11802">
            <w:pPr>
              <w:pStyle w:val="naisf"/>
              <w:spacing w:before="0" w:after="0"/>
              <w:ind w:firstLine="0"/>
            </w:pPr>
            <w:r w:rsidRPr="00F837B2">
              <w:t> 2. Projekta izpildes ietekme uz pārvaldes funkcijām</w:t>
            </w:r>
            <w:r w:rsidR="00E71B0C" w:rsidRPr="00F837B2">
              <w:t xml:space="preserve"> un institucionālo struktūru. Jaunu institūciju izveide, esošu institūciju likvidācija vai reorganizācija, to ietekme uz institūcijas cilvēkresursiem.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B52" w:rsidRPr="00F837B2" w:rsidRDefault="00E71B0C" w:rsidP="00F11802">
            <w:pPr>
              <w:pStyle w:val="NormalWeb"/>
              <w:spacing w:before="0" w:after="0"/>
            </w:pPr>
            <w:r w:rsidRPr="00F837B2">
              <w:t>Projekta izpilde notiks esošo pārvaldes funkciju ietvaros</w:t>
            </w:r>
            <w:r w:rsidR="00801B52" w:rsidRPr="00F837B2">
              <w:t>.</w:t>
            </w:r>
          </w:p>
        </w:tc>
      </w:tr>
      <w:tr w:rsidR="00801B52" w:rsidRPr="00F837B2" w:rsidTr="00E07347">
        <w:tc>
          <w:tcPr>
            <w:tcW w:w="18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B52" w:rsidRPr="00F837B2" w:rsidRDefault="00E71B0C" w:rsidP="00F11802">
            <w:pPr>
              <w:pStyle w:val="naisf"/>
              <w:spacing w:before="0" w:after="0"/>
              <w:ind w:firstLine="0"/>
            </w:pPr>
            <w:r w:rsidRPr="00F837B2">
              <w:t>3</w:t>
            </w:r>
            <w:r w:rsidR="00801B52" w:rsidRPr="00F837B2">
              <w:t>. Cita informācija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B52" w:rsidRPr="00F837B2" w:rsidRDefault="00801B52" w:rsidP="00F11802">
            <w:pPr>
              <w:pStyle w:val="NormalWeb"/>
              <w:spacing w:before="0" w:after="0"/>
            </w:pPr>
            <w:r w:rsidRPr="00F837B2">
              <w:t>Nav.</w:t>
            </w:r>
          </w:p>
        </w:tc>
      </w:tr>
    </w:tbl>
    <w:p w:rsidR="00801B52" w:rsidRDefault="00801B52" w:rsidP="000B0C40">
      <w:pPr>
        <w:jc w:val="both"/>
        <w:rPr>
          <w:sz w:val="22"/>
          <w:szCs w:val="22"/>
          <w:lang w:val="lv-LV"/>
        </w:rPr>
      </w:pPr>
    </w:p>
    <w:p w:rsidR="00A76DFA" w:rsidRPr="00F837B2" w:rsidRDefault="00A76DFA" w:rsidP="00A76DFA">
      <w:pPr>
        <w:jc w:val="center"/>
        <w:rPr>
          <w:lang w:val="lv-LV"/>
        </w:rPr>
      </w:pPr>
      <w:r w:rsidRPr="00F837B2">
        <w:rPr>
          <w:lang w:val="lv-LV"/>
        </w:rPr>
        <w:t>Anotācijas  II,</w:t>
      </w:r>
      <w:r w:rsidR="001D2F11">
        <w:rPr>
          <w:lang w:val="lv-LV"/>
        </w:rPr>
        <w:t xml:space="preserve"> </w:t>
      </w:r>
      <w:r w:rsidR="00570C5B" w:rsidRPr="00F837B2">
        <w:rPr>
          <w:lang w:val="lv-LV"/>
        </w:rPr>
        <w:t>III,</w:t>
      </w:r>
      <w:r w:rsidRPr="00F837B2">
        <w:rPr>
          <w:lang w:val="lv-LV"/>
        </w:rPr>
        <w:t xml:space="preserve"> IV</w:t>
      </w:r>
      <w:r w:rsidR="00862827" w:rsidRPr="00F837B2">
        <w:rPr>
          <w:lang w:val="lv-LV"/>
        </w:rPr>
        <w:t xml:space="preserve"> un VI</w:t>
      </w:r>
      <w:r w:rsidRPr="00F837B2">
        <w:rPr>
          <w:lang w:val="lv-LV"/>
        </w:rPr>
        <w:t xml:space="preserve"> sadaļa – projekts šīs jomas neskar.</w:t>
      </w:r>
    </w:p>
    <w:p w:rsidR="006D5D87" w:rsidRPr="00F837B2" w:rsidRDefault="006D5D87" w:rsidP="00A76DFA">
      <w:pPr>
        <w:jc w:val="center"/>
        <w:rPr>
          <w:lang w:val="lv-LV"/>
        </w:rPr>
      </w:pPr>
    </w:p>
    <w:p w:rsidR="00EF0823" w:rsidRPr="00F837B2" w:rsidRDefault="00EF0823" w:rsidP="000B0C40">
      <w:pPr>
        <w:jc w:val="both"/>
        <w:rPr>
          <w:lang w:val="lv-LV"/>
        </w:rPr>
      </w:pPr>
    </w:p>
    <w:p w:rsidR="00801B52" w:rsidRPr="00F837B2" w:rsidRDefault="00570C5B" w:rsidP="001955B1">
      <w:pPr>
        <w:tabs>
          <w:tab w:val="left" w:pos="7020"/>
        </w:tabs>
        <w:jc w:val="both"/>
        <w:rPr>
          <w:lang w:val="lv-LV"/>
        </w:rPr>
      </w:pPr>
      <w:r w:rsidRPr="00F837B2">
        <w:rPr>
          <w:lang w:val="lv-LV"/>
        </w:rPr>
        <w:t>Aizsardzības</w:t>
      </w:r>
      <w:r w:rsidR="00AF2412" w:rsidRPr="00F837B2">
        <w:rPr>
          <w:lang w:val="lv-LV"/>
        </w:rPr>
        <w:t xml:space="preserve"> </w:t>
      </w:r>
      <w:r w:rsidR="00420FB2" w:rsidRPr="00F837B2">
        <w:rPr>
          <w:lang w:val="lv-LV"/>
        </w:rPr>
        <w:t>ministrs</w:t>
      </w:r>
      <w:r w:rsidR="00393285" w:rsidRPr="00F837B2">
        <w:rPr>
          <w:lang w:val="lv-LV"/>
        </w:rPr>
        <w:tab/>
      </w:r>
      <w:r w:rsidRPr="00F837B2">
        <w:rPr>
          <w:lang w:val="lv-LV"/>
        </w:rPr>
        <w:t>R.</w:t>
      </w:r>
      <w:r w:rsidR="001D2F11">
        <w:rPr>
          <w:lang w:val="lv-LV"/>
        </w:rPr>
        <w:t> </w:t>
      </w:r>
      <w:r w:rsidRPr="00F837B2">
        <w:rPr>
          <w:lang w:val="lv-LV"/>
        </w:rPr>
        <w:t>Vējonis</w:t>
      </w:r>
    </w:p>
    <w:p w:rsidR="00801B52" w:rsidRPr="00F837B2" w:rsidRDefault="00801B52" w:rsidP="000B0C40">
      <w:pPr>
        <w:jc w:val="both"/>
        <w:rPr>
          <w:lang w:val="lv-LV"/>
        </w:rPr>
      </w:pPr>
    </w:p>
    <w:p w:rsidR="00801B52" w:rsidRPr="00F837B2" w:rsidRDefault="00801B52" w:rsidP="000B0C40">
      <w:pPr>
        <w:jc w:val="both"/>
        <w:rPr>
          <w:lang w:val="lv-LV"/>
        </w:rPr>
      </w:pPr>
    </w:p>
    <w:p w:rsidR="00801B52" w:rsidRPr="00F837B2" w:rsidRDefault="00801B52" w:rsidP="000B0C40">
      <w:pPr>
        <w:jc w:val="both"/>
        <w:rPr>
          <w:lang w:val="lv-LV"/>
        </w:rPr>
      </w:pPr>
    </w:p>
    <w:p w:rsidR="00801B52" w:rsidRPr="00F837B2" w:rsidRDefault="00283939" w:rsidP="00393285">
      <w:pPr>
        <w:tabs>
          <w:tab w:val="left" w:pos="7020"/>
        </w:tabs>
        <w:jc w:val="both"/>
        <w:rPr>
          <w:lang w:val="lv-LV"/>
        </w:rPr>
      </w:pPr>
      <w:r w:rsidRPr="00F837B2">
        <w:rPr>
          <w:lang w:val="lv-LV"/>
        </w:rPr>
        <w:t xml:space="preserve">Vīza: </w:t>
      </w:r>
      <w:r w:rsidR="00742E4B" w:rsidRPr="00F837B2">
        <w:rPr>
          <w:lang w:val="lv-LV"/>
        </w:rPr>
        <w:t>v</w:t>
      </w:r>
      <w:r w:rsidR="00FB60FF" w:rsidRPr="00F837B2">
        <w:rPr>
          <w:lang w:val="lv-LV"/>
        </w:rPr>
        <w:t>alsts sekretā</w:t>
      </w:r>
      <w:r w:rsidR="008C2C7B" w:rsidRPr="00F837B2">
        <w:rPr>
          <w:lang w:val="lv-LV"/>
        </w:rPr>
        <w:t>rs</w:t>
      </w:r>
      <w:r w:rsidR="001955B1" w:rsidRPr="00F837B2">
        <w:rPr>
          <w:lang w:val="lv-LV"/>
        </w:rPr>
        <w:tab/>
      </w:r>
      <w:r w:rsidR="00570C5B" w:rsidRPr="00F837B2">
        <w:rPr>
          <w:lang w:val="lv-LV"/>
        </w:rPr>
        <w:t>J.</w:t>
      </w:r>
      <w:r w:rsidR="001D2F11">
        <w:rPr>
          <w:lang w:val="lv-LV"/>
        </w:rPr>
        <w:t> </w:t>
      </w:r>
      <w:r w:rsidR="00570C5B" w:rsidRPr="00F837B2">
        <w:rPr>
          <w:lang w:val="lv-LV"/>
        </w:rPr>
        <w:t>Sārts</w:t>
      </w:r>
    </w:p>
    <w:p w:rsidR="00801B52" w:rsidRPr="0067439E" w:rsidRDefault="00801B52" w:rsidP="000433E3">
      <w:pPr>
        <w:rPr>
          <w:sz w:val="16"/>
          <w:szCs w:val="16"/>
          <w:lang w:val="lv-LV"/>
        </w:rPr>
      </w:pPr>
    </w:p>
    <w:p w:rsidR="00801B52" w:rsidRPr="0067439E" w:rsidRDefault="00801B52" w:rsidP="000433E3">
      <w:pPr>
        <w:rPr>
          <w:sz w:val="16"/>
          <w:szCs w:val="16"/>
          <w:lang w:val="lv-LV"/>
        </w:rPr>
      </w:pPr>
    </w:p>
    <w:p w:rsidR="00801B52" w:rsidRPr="0067439E" w:rsidRDefault="00801B52" w:rsidP="000433E3">
      <w:pPr>
        <w:rPr>
          <w:sz w:val="16"/>
          <w:szCs w:val="16"/>
          <w:lang w:val="lv-LV"/>
        </w:rPr>
      </w:pPr>
    </w:p>
    <w:p w:rsidR="00570C5B" w:rsidRPr="00F837B2" w:rsidRDefault="00570C5B" w:rsidP="00570C5B">
      <w:pPr>
        <w:rPr>
          <w:sz w:val="20"/>
          <w:szCs w:val="20"/>
          <w:lang w:val="lv-LV" w:eastAsia="zh-TW"/>
        </w:rPr>
      </w:pPr>
      <w:r w:rsidRPr="00F837B2">
        <w:rPr>
          <w:sz w:val="20"/>
          <w:szCs w:val="20"/>
          <w:lang w:eastAsia="zh-TW"/>
        </w:rPr>
        <w:fldChar w:fldCharType="begin"/>
      </w:r>
      <w:r w:rsidRPr="00F837B2">
        <w:rPr>
          <w:sz w:val="20"/>
          <w:szCs w:val="20"/>
          <w:lang w:eastAsia="zh-TW"/>
        </w:rPr>
        <w:instrText xml:space="preserve"> DATE  \@ "dd.MM.yyyy H:mm"  \* MERGEFORMAT </w:instrText>
      </w:r>
      <w:r w:rsidRPr="00F837B2">
        <w:rPr>
          <w:sz w:val="20"/>
          <w:szCs w:val="20"/>
          <w:lang w:eastAsia="zh-TW"/>
        </w:rPr>
        <w:fldChar w:fldCharType="separate"/>
      </w:r>
      <w:r w:rsidR="00410912">
        <w:rPr>
          <w:noProof/>
          <w:sz w:val="20"/>
          <w:szCs w:val="20"/>
          <w:lang w:eastAsia="zh-TW"/>
        </w:rPr>
        <w:t>24.11.2014 9:28</w:t>
      </w:r>
      <w:r w:rsidRPr="00F837B2">
        <w:rPr>
          <w:sz w:val="20"/>
          <w:szCs w:val="20"/>
          <w:lang w:eastAsia="zh-TW"/>
        </w:rPr>
        <w:fldChar w:fldCharType="end"/>
      </w:r>
    </w:p>
    <w:p w:rsidR="00570C5B" w:rsidRPr="00F837B2" w:rsidRDefault="00570C5B" w:rsidP="00570C5B">
      <w:pPr>
        <w:rPr>
          <w:sz w:val="20"/>
          <w:szCs w:val="20"/>
          <w:lang w:val="lv-LV" w:eastAsia="zh-TW"/>
        </w:rPr>
      </w:pPr>
      <w:r w:rsidRPr="00F837B2">
        <w:rPr>
          <w:sz w:val="20"/>
          <w:szCs w:val="20"/>
          <w:lang w:eastAsia="zh-TW"/>
        </w:rPr>
        <w:fldChar w:fldCharType="begin"/>
      </w:r>
      <w:r w:rsidRPr="00F837B2">
        <w:rPr>
          <w:sz w:val="20"/>
          <w:szCs w:val="20"/>
          <w:lang w:val="lv-LV" w:eastAsia="zh-TW"/>
        </w:rPr>
        <w:instrText xml:space="preserve"> NUMWORDS   \* MERGEFORMAT </w:instrText>
      </w:r>
      <w:r w:rsidRPr="00F837B2">
        <w:rPr>
          <w:sz w:val="20"/>
          <w:szCs w:val="20"/>
          <w:lang w:eastAsia="zh-TW"/>
        </w:rPr>
        <w:fldChar w:fldCharType="separate"/>
      </w:r>
      <w:r w:rsidR="00410912">
        <w:rPr>
          <w:noProof/>
          <w:sz w:val="20"/>
          <w:szCs w:val="20"/>
          <w:lang w:val="lv-LV" w:eastAsia="zh-TW"/>
        </w:rPr>
        <w:t>821</w:t>
      </w:r>
      <w:r w:rsidRPr="00F837B2">
        <w:rPr>
          <w:sz w:val="20"/>
          <w:szCs w:val="20"/>
          <w:lang w:eastAsia="zh-TW"/>
        </w:rPr>
        <w:fldChar w:fldCharType="end"/>
      </w:r>
    </w:p>
    <w:p w:rsidR="00570C5B" w:rsidRPr="00F837B2" w:rsidRDefault="00570C5B">
      <w:pPr>
        <w:rPr>
          <w:sz w:val="20"/>
          <w:szCs w:val="20"/>
          <w:lang w:val="lv-LV" w:eastAsia="zh-TW"/>
        </w:rPr>
      </w:pPr>
      <w:r w:rsidRPr="00F837B2">
        <w:rPr>
          <w:sz w:val="20"/>
          <w:szCs w:val="20"/>
          <w:lang w:val="lv-LV" w:eastAsia="zh-TW"/>
        </w:rPr>
        <w:t>V.Mileiko</w:t>
      </w:r>
    </w:p>
    <w:p w:rsidR="00570C5B" w:rsidRPr="00F837B2" w:rsidRDefault="00570C5B" w:rsidP="00570C5B">
      <w:pPr>
        <w:rPr>
          <w:sz w:val="20"/>
          <w:szCs w:val="20"/>
          <w:lang w:val="lv-LV"/>
        </w:rPr>
      </w:pPr>
      <w:r w:rsidRPr="00F837B2">
        <w:rPr>
          <w:sz w:val="20"/>
          <w:szCs w:val="20"/>
          <w:lang w:val="lv-LV"/>
        </w:rPr>
        <w:t xml:space="preserve">tālr.: 67335291, fakss: 67335250, </w:t>
      </w:r>
    </w:p>
    <w:p w:rsidR="00570C5B" w:rsidRPr="00F837B2" w:rsidRDefault="00570C5B" w:rsidP="00570C5B">
      <w:pPr>
        <w:rPr>
          <w:sz w:val="20"/>
          <w:szCs w:val="20"/>
          <w:lang w:val="lv-LV"/>
        </w:rPr>
      </w:pPr>
      <w:r w:rsidRPr="00F837B2">
        <w:rPr>
          <w:sz w:val="20"/>
          <w:szCs w:val="20"/>
          <w:lang w:val="lv-LV"/>
        </w:rPr>
        <w:t>e-pasta ad</w:t>
      </w:r>
      <w:bookmarkStart w:id="2" w:name="_GoBack"/>
      <w:bookmarkEnd w:id="2"/>
      <w:r w:rsidRPr="00F837B2">
        <w:rPr>
          <w:sz w:val="20"/>
          <w:szCs w:val="20"/>
          <w:lang w:val="lv-LV"/>
        </w:rPr>
        <w:t>rese: Vineta.Mileiko@mod.gov.lv</w:t>
      </w:r>
    </w:p>
    <w:sectPr w:rsidR="00570C5B" w:rsidRPr="00F837B2" w:rsidSect="00393285">
      <w:footerReference w:type="even" r:id="rId9"/>
      <w:footerReference w:type="default" r:id="rId10"/>
      <w:pgSz w:w="11906" w:h="16838" w:code="9"/>
      <w:pgMar w:top="89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69" w:rsidRDefault="008D3B69" w:rsidP="000B0C40">
      <w:r>
        <w:separator/>
      </w:r>
    </w:p>
  </w:endnote>
  <w:endnote w:type="continuationSeparator" w:id="0">
    <w:p w:rsidR="008D3B69" w:rsidRDefault="008D3B69" w:rsidP="000B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52" w:rsidRDefault="00801B52" w:rsidP="00F118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B52" w:rsidRDefault="00801B52" w:rsidP="00F118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52" w:rsidRDefault="00801B52" w:rsidP="00F118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912">
      <w:rPr>
        <w:rStyle w:val="PageNumber"/>
        <w:noProof/>
      </w:rPr>
      <w:t>3</w:t>
    </w:r>
    <w:r>
      <w:rPr>
        <w:rStyle w:val="PageNumber"/>
      </w:rPr>
      <w:fldChar w:fldCharType="end"/>
    </w:r>
  </w:p>
  <w:p w:rsidR="00801B52" w:rsidRPr="00120B83" w:rsidRDefault="00E35849" w:rsidP="00F11802">
    <w:pPr>
      <w:pStyle w:val="Footer"/>
      <w:ind w:right="360"/>
      <w:jc w:val="both"/>
      <w:rPr>
        <w:sz w:val="18"/>
        <w:szCs w:val="18"/>
        <w:lang w:val="lv-LV"/>
      </w:rPr>
    </w:pPr>
    <w:r>
      <w:rPr>
        <w:sz w:val="18"/>
        <w:szCs w:val="18"/>
      </w:rPr>
      <w:t>A</w:t>
    </w:r>
    <w:r w:rsidR="00514FFD">
      <w:rPr>
        <w:sz w:val="18"/>
        <w:szCs w:val="18"/>
      </w:rPr>
      <w:t>I</w:t>
    </w:r>
    <w:r w:rsidR="00AF2412">
      <w:rPr>
        <w:sz w:val="18"/>
        <w:szCs w:val="18"/>
      </w:rPr>
      <w:t>Ma</w:t>
    </w:r>
    <w:r>
      <w:rPr>
        <w:sz w:val="18"/>
        <w:szCs w:val="18"/>
      </w:rPr>
      <w:t>not_</w:t>
    </w:r>
    <w:r w:rsidR="000B7F7D">
      <w:rPr>
        <w:sz w:val="18"/>
        <w:szCs w:val="18"/>
      </w:rPr>
      <w:t>24</w:t>
    </w:r>
    <w:r w:rsidR="00514FFD">
      <w:rPr>
        <w:sz w:val="18"/>
        <w:szCs w:val="18"/>
      </w:rPr>
      <w:t>11</w:t>
    </w:r>
    <w:r w:rsidR="00120B83">
      <w:rPr>
        <w:sz w:val="18"/>
        <w:szCs w:val="18"/>
      </w:rPr>
      <w:t>14</w:t>
    </w:r>
    <w:r w:rsidR="00801B52" w:rsidRPr="0067439E">
      <w:rPr>
        <w:sz w:val="18"/>
        <w:szCs w:val="18"/>
      </w:rPr>
      <w:t>_</w:t>
    </w:r>
    <w:r w:rsidR="00514FFD">
      <w:rPr>
        <w:sz w:val="18"/>
        <w:szCs w:val="18"/>
      </w:rPr>
      <w:t>iemaksa2</w:t>
    </w:r>
    <w:r w:rsidR="00801B52" w:rsidRPr="0067439E">
      <w:rPr>
        <w:sz w:val="18"/>
        <w:szCs w:val="18"/>
      </w:rPr>
      <w:t xml:space="preserve">; </w:t>
    </w:r>
    <w:r w:rsidR="00514FFD" w:rsidRPr="00514FFD">
      <w:rPr>
        <w:sz w:val="18"/>
        <w:szCs w:val="18"/>
        <w:lang w:val="lv-LV"/>
      </w:rPr>
      <w:t>Ministru kabineta rīkojuma projekta „Grozījum</w:t>
    </w:r>
    <w:r w:rsidR="002459B4">
      <w:rPr>
        <w:sz w:val="18"/>
        <w:szCs w:val="18"/>
        <w:lang w:val="lv-LV"/>
      </w:rPr>
      <w:t>s</w:t>
    </w:r>
    <w:r w:rsidR="00514FFD" w:rsidRPr="00514FFD">
      <w:rPr>
        <w:sz w:val="18"/>
        <w:szCs w:val="18"/>
        <w:lang w:val="lv-LV"/>
      </w:rPr>
      <w:t xml:space="preserve"> Ministru kabineta 2014.gada 21.maija rīkojumā Nr. 230 „Par iemaksu EDSO speciālajai novērošanas misijai Ukrainā””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69" w:rsidRDefault="008D3B69" w:rsidP="000B0C40">
      <w:r>
        <w:separator/>
      </w:r>
    </w:p>
  </w:footnote>
  <w:footnote w:type="continuationSeparator" w:id="0">
    <w:p w:rsidR="008D3B69" w:rsidRDefault="008D3B69" w:rsidP="000B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D21"/>
    <w:multiLevelType w:val="hybridMultilevel"/>
    <w:tmpl w:val="2410EDB0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6F0C69"/>
    <w:multiLevelType w:val="hybridMultilevel"/>
    <w:tmpl w:val="C764BCAC"/>
    <w:lvl w:ilvl="0" w:tplc="0426000F">
      <w:start w:val="3"/>
      <w:numFmt w:val="decimal"/>
      <w:lvlText w:val="%1."/>
      <w:lvlJc w:val="left"/>
      <w:pPr>
        <w:ind w:left="38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45" w:hanging="180"/>
      </w:pPr>
      <w:rPr>
        <w:rFonts w:cs="Times New Roman"/>
      </w:rPr>
    </w:lvl>
  </w:abstractNum>
  <w:abstractNum w:abstractNumId="2">
    <w:nsid w:val="0DB05D83"/>
    <w:multiLevelType w:val="hybridMultilevel"/>
    <w:tmpl w:val="91145874"/>
    <w:lvl w:ilvl="0" w:tplc="AE7675E6">
      <w:start w:val="7"/>
      <w:numFmt w:val="decimal"/>
      <w:lvlText w:val="%1."/>
      <w:lvlJc w:val="left"/>
      <w:pPr>
        <w:ind w:left="38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45" w:hanging="180"/>
      </w:pPr>
      <w:rPr>
        <w:rFonts w:cs="Times New Roman"/>
      </w:rPr>
    </w:lvl>
  </w:abstractNum>
  <w:abstractNum w:abstractNumId="3">
    <w:nsid w:val="108E3E74"/>
    <w:multiLevelType w:val="hybridMultilevel"/>
    <w:tmpl w:val="B756CC88"/>
    <w:lvl w:ilvl="0" w:tplc="CC78C9F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6A5CBE"/>
    <w:multiLevelType w:val="hybridMultilevel"/>
    <w:tmpl w:val="25127E2A"/>
    <w:lvl w:ilvl="0" w:tplc="510C9C50">
      <w:start w:val="5"/>
      <w:numFmt w:val="decimal"/>
      <w:lvlText w:val="%1."/>
      <w:lvlJc w:val="left"/>
      <w:pPr>
        <w:ind w:left="38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45" w:hanging="180"/>
      </w:pPr>
      <w:rPr>
        <w:rFonts w:cs="Times New Roman"/>
      </w:rPr>
    </w:lvl>
  </w:abstractNum>
  <w:abstractNum w:abstractNumId="5">
    <w:nsid w:val="2BC732C9"/>
    <w:multiLevelType w:val="hybridMultilevel"/>
    <w:tmpl w:val="9EF6D45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CA776F"/>
    <w:multiLevelType w:val="hybridMultilevel"/>
    <w:tmpl w:val="9ABCA574"/>
    <w:lvl w:ilvl="0" w:tplc="5344CC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0007B7"/>
    <w:multiLevelType w:val="hybridMultilevel"/>
    <w:tmpl w:val="E1925E3C"/>
    <w:lvl w:ilvl="0" w:tplc="0426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45E31"/>
    <w:multiLevelType w:val="hybridMultilevel"/>
    <w:tmpl w:val="9EF6D45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52BD7"/>
    <w:multiLevelType w:val="hybridMultilevel"/>
    <w:tmpl w:val="1D9A0C60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2C55D55"/>
    <w:multiLevelType w:val="hybridMultilevel"/>
    <w:tmpl w:val="5596E87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631B81"/>
    <w:multiLevelType w:val="hybridMultilevel"/>
    <w:tmpl w:val="DBEA1CB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6BA0864"/>
    <w:multiLevelType w:val="hybridMultilevel"/>
    <w:tmpl w:val="4270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31D15"/>
    <w:multiLevelType w:val="multilevel"/>
    <w:tmpl w:val="5596E8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6013D9"/>
    <w:multiLevelType w:val="hybridMultilevel"/>
    <w:tmpl w:val="55D2CD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A83F7F"/>
    <w:multiLevelType w:val="hybridMultilevel"/>
    <w:tmpl w:val="ACDAB4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B6EED"/>
    <w:multiLevelType w:val="hybridMultilevel"/>
    <w:tmpl w:val="A69C2078"/>
    <w:lvl w:ilvl="0" w:tplc="0426000F">
      <w:start w:val="1"/>
      <w:numFmt w:val="decimal"/>
      <w:lvlText w:val="%1."/>
      <w:lvlJc w:val="left"/>
      <w:pPr>
        <w:ind w:left="38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45" w:hanging="180"/>
      </w:pPr>
      <w:rPr>
        <w:rFonts w:cs="Times New Roman"/>
      </w:rPr>
    </w:lvl>
  </w:abstractNum>
  <w:abstractNum w:abstractNumId="17">
    <w:nsid w:val="50A05BD0"/>
    <w:multiLevelType w:val="hybridMultilevel"/>
    <w:tmpl w:val="23E8DF2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4A48B0"/>
    <w:multiLevelType w:val="hybridMultilevel"/>
    <w:tmpl w:val="A3C674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70F12"/>
    <w:multiLevelType w:val="hybridMultilevel"/>
    <w:tmpl w:val="23E8DF2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C3B4F"/>
    <w:multiLevelType w:val="hybridMultilevel"/>
    <w:tmpl w:val="2BD86CD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680C25"/>
    <w:multiLevelType w:val="hybridMultilevel"/>
    <w:tmpl w:val="C4684EC2"/>
    <w:lvl w:ilvl="0" w:tplc="0426000F">
      <w:start w:val="1"/>
      <w:numFmt w:val="decimal"/>
      <w:lvlText w:val="%1."/>
      <w:lvlJc w:val="left"/>
      <w:pPr>
        <w:ind w:left="38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45" w:hanging="180"/>
      </w:pPr>
      <w:rPr>
        <w:rFonts w:cs="Times New Roman"/>
      </w:rPr>
    </w:lvl>
  </w:abstractNum>
  <w:abstractNum w:abstractNumId="22">
    <w:nsid w:val="62FB0720"/>
    <w:multiLevelType w:val="hybridMultilevel"/>
    <w:tmpl w:val="0B0C189A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1CF6EC8"/>
    <w:multiLevelType w:val="hybridMultilevel"/>
    <w:tmpl w:val="B1300F68"/>
    <w:lvl w:ilvl="0" w:tplc="36CCB7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7A6678"/>
    <w:multiLevelType w:val="hybridMultilevel"/>
    <w:tmpl w:val="23E8DF2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57220E"/>
    <w:multiLevelType w:val="hybridMultilevel"/>
    <w:tmpl w:val="38D80BBA"/>
    <w:lvl w:ilvl="0" w:tplc="A50058FC">
      <w:start w:val="3"/>
      <w:numFmt w:val="decimal"/>
      <w:lvlText w:val="%1."/>
      <w:lvlJc w:val="left"/>
      <w:pPr>
        <w:ind w:left="38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45" w:hanging="180"/>
      </w:pPr>
      <w:rPr>
        <w:rFonts w:cs="Times New Roman"/>
      </w:rPr>
    </w:lvl>
  </w:abstractNum>
  <w:abstractNum w:abstractNumId="26">
    <w:nsid w:val="7FF40339"/>
    <w:multiLevelType w:val="hybridMultilevel"/>
    <w:tmpl w:val="9EF6D45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4"/>
  </w:num>
  <w:num w:numId="5">
    <w:abstractNumId w:val="9"/>
  </w:num>
  <w:num w:numId="6">
    <w:abstractNumId w:val="18"/>
  </w:num>
  <w:num w:numId="7">
    <w:abstractNumId w:val="16"/>
  </w:num>
  <w:num w:numId="8">
    <w:abstractNumId w:val="22"/>
  </w:num>
  <w:num w:numId="9">
    <w:abstractNumId w:val="19"/>
  </w:num>
  <w:num w:numId="10">
    <w:abstractNumId w:val="5"/>
  </w:num>
  <w:num w:numId="11">
    <w:abstractNumId w:val="7"/>
  </w:num>
  <w:num w:numId="12">
    <w:abstractNumId w:val="23"/>
  </w:num>
  <w:num w:numId="13">
    <w:abstractNumId w:val="3"/>
  </w:num>
  <w:num w:numId="14">
    <w:abstractNumId w:val="24"/>
  </w:num>
  <w:num w:numId="15">
    <w:abstractNumId w:val="2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1"/>
  </w:num>
  <w:num w:numId="20">
    <w:abstractNumId w:val="11"/>
  </w:num>
  <w:num w:numId="21">
    <w:abstractNumId w:val="25"/>
  </w:num>
  <w:num w:numId="22">
    <w:abstractNumId w:val="6"/>
  </w:num>
  <w:num w:numId="23">
    <w:abstractNumId w:val="21"/>
  </w:num>
  <w:num w:numId="24">
    <w:abstractNumId w:val="0"/>
  </w:num>
  <w:num w:numId="25">
    <w:abstractNumId w:val="4"/>
  </w:num>
  <w:num w:numId="26">
    <w:abstractNumId w:val="2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40"/>
    <w:rsid w:val="000066D9"/>
    <w:rsid w:val="00011683"/>
    <w:rsid w:val="000159DA"/>
    <w:rsid w:val="000209DD"/>
    <w:rsid w:val="00022354"/>
    <w:rsid w:val="00023507"/>
    <w:rsid w:val="00023B80"/>
    <w:rsid w:val="000364F2"/>
    <w:rsid w:val="00042386"/>
    <w:rsid w:val="00042CBA"/>
    <w:rsid w:val="000433E3"/>
    <w:rsid w:val="00043486"/>
    <w:rsid w:val="00045B4A"/>
    <w:rsid w:val="0004618C"/>
    <w:rsid w:val="000469B6"/>
    <w:rsid w:val="00055FE9"/>
    <w:rsid w:val="0005731B"/>
    <w:rsid w:val="00061B57"/>
    <w:rsid w:val="00065250"/>
    <w:rsid w:val="00066568"/>
    <w:rsid w:val="00073709"/>
    <w:rsid w:val="00077AFD"/>
    <w:rsid w:val="000810B7"/>
    <w:rsid w:val="0008115C"/>
    <w:rsid w:val="000862F5"/>
    <w:rsid w:val="00087078"/>
    <w:rsid w:val="00092A77"/>
    <w:rsid w:val="000A547B"/>
    <w:rsid w:val="000B0C40"/>
    <w:rsid w:val="000B4FEE"/>
    <w:rsid w:val="000B7F7D"/>
    <w:rsid w:val="000C0350"/>
    <w:rsid w:val="000C2775"/>
    <w:rsid w:val="000C5BEA"/>
    <w:rsid w:val="000C760A"/>
    <w:rsid w:val="000E21C4"/>
    <w:rsid w:val="000E3E6C"/>
    <w:rsid w:val="000E55B1"/>
    <w:rsid w:val="000E6BFF"/>
    <w:rsid w:val="000F25D7"/>
    <w:rsid w:val="000F519C"/>
    <w:rsid w:val="00100BF3"/>
    <w:rsid w:val="00101126"/>
    <w:rsid w:val="0011201C"/>
    <w:rsid w:val="00115C2A"/>
    <w:rsid w:val="00120B83"/>
    <w:rsid w:val="00122833"/>
    <w:rsid w:val="0012442E"/>
    <w:rsid w:val="0013562F"/>
    <w:rsid w:val="00135713"/>
    <w:rsid w:val="00136762"/>
    <w:rsid w:val="00137542"/>
    <w:rsid w:val="00141D3D"/>
    <w:rsid w:val="00142C17"/>
    <w:rsid w:val="001434BC"/>
    <w:rsid w:val="00146D9A"/>
    <w:rsid w:val="00146DB7"/>
    <w:rsid w:val="001478B3"/>
    <w:rsid w:val="00151109"/>
    <w:rsid w:val="001935D1"/>
    <w:rsid w:val="001955B1"/>
    <w:rsid w:val="00197508"/>
    <w:rsid w:val="001A2632"/>
    <w:rsid w:val="001A3C83"/>
    <w:rsid w:val="001A565F"/>
    <w:rsid w:val="001B56A8"/>
    <w:rsid w:val="001B72D6"/>
    <w:rsid w:val="001C04F1"/>
    <w:rsid w:val="001C6290"/>
    <w:rsid w:val="001C7487"/>
    <w:rsid w:val="001C7B78"/>
    <w:rsid w:val="001D2F11"/>
    <w:rsid w:val="001D6952"/>
    <w:rsid w:val="001D76F3"/>
    <w:rsid w:val="001E488B"/>
    <w:rsid w:val="001E756E"/>
    <w:rsid w:val="001E7DEE"/>
    <w:rsid w:val="001F21EE"/>
    <w:rsid w:val="001F5830"/>
    <w:rsid w:val="00215DAD"/>
    <w:rsid w:val="002212BC"/>
    <w:rsid w:val="00223BC0"/>
    <w:rsid w:val="00244BC3"/>
    <w:rsid w:val="002459B4"/>
    <w:rsid w:val="00245C23"/>
    <w:rsid w:val="00253DD0"/>
    <w:rsid w:val="002549A0"/>
    <w:rsid w:val="00257780"/>
    <w:rsid w:val="0026353A"/>
    <w:rsid w:val="0026410E"/>
    <w:rsid w:val="0027306E"/>
    <w:rsid w:val="00275D3B"/>
    <w:rsid w:val="002766CD"/>
    <w:rsid w:val="002838ED"/>
    <w:rsid w:val="00283939"/>
    <w:rsid w:val="00283C2E"/>
    <w:rsid w:val="00283D6C"/>
    <w:rsid w:val="00284526"/>
    <w:rsid w:val="00284D60"/>
    <w:rsid w:val="00284F69"/>
    <w:rsid w:val="002858F3"/>
    <w:rsid w:val="00285FFC"/>
    <w:rsid w:val="002905F1"/>
    <w:rsid w:val="00291CFD"/>
    <w:rsid w:val="002A0AB1"/>
    <w:rsid w:val="002A0BD3"/>
    <w:rsid w:val="002A1C4C"/>
    <w:rsid w:val="002A3C47"/>
    <w:rsid w:val="002A3EBA"/>
    <w:rsid w:val="002A5A8A"/>
    <w:rsid w:val="002A7B4B"/>
    <w:rsid w:val="002B1CC3"/>
    <w:rsid w:val="002B5FCC"/>
    <w:rsid w:val="002C20F5"/>
    <w:rsid w:val="002C4DF2"/>
    <w:rsid w:val="002C54EA"/>
    <w:rsid w:val="002C7886"/>
    <w:rsid w:val="002D77D5"/>
    <w:rsid w:val="002E463C"/>
    <w:rsid w:val="002E6605"/>
    <w:rsid w:val="002F3418"/>
    <w:rsid w:val="002F6481"/>
    <w:rsid w:val="00316A9D"/>
    <w:rsid w:val="003260D5"/>
    <w:rsid w:val="00330D2C"/>
    <w:rsid w:val="00331A17"/>
    <w:rsid w:val="00334D7B"/>
    <w:rsid w:val="00336919"/>
    <w:rsid w:val="00337948"/>
    <w:rsid w:val="003430A2"/>
    <w:rsid w:val="0035113C"/>
    <w:rsid w:val="003540B9"/>
    <w:rsid w:val="003642E0"/>
    <w:rsid w:val="00370578"/>
    <w:rsid w:val="00380A60"/>
    <w:rsid w:val="00385715"/>
    <w:rsid w:val="003868EC"/>
    <w:rsid w:val="00386CCC"/>
    <w:rsid w:val="00387424"/>
    <w:rsid w:val="003919C7"/>
    <w:rsid w:val="00393285"/>
    <w:rsid w:val="0039440C"/>
    <w:rsid w:val="0039562F"/>
    <w:rsid w:val="003961BC"/>
    <w:rsid w:val="003A176F"/>
    <w:rsid w:val="003A6FD0"/>
    <w:rsid w:val="003C2D1C"/>
    <w:rsid w:val="003C7E47"/>
    <w:rsid w:val="003D0B5C"/>
    <w:rsid w:val="003D578C"/>
    <w:rsid w:val="003F114D"/>
    <w:rsid w:val="003F19BC"/>
    <w:rsid w:val="003F2BE8"/>
    <w:rsid w:val="003F5DE9"/>
    <w:rsid w:val="004005B7"/>
    <w:rsid w:val="00400BFA"/>
    <w:rsid w:val="00405927"/>
    <w:rsid w:val="00410912"/>
    <w:rsid w:val="0041208C"/>
    <w:rsid w:val="004140D0"/>
    <w:rsid w:val="00420FB2"/>
    <w:rsid w:val="004243D1"/>
    <w:rsid w:val="00426185"/>
    <w:rsid w:val="004264A3"/>
    <w:rsid w:val="00433270"/>
    <w:rsid w:val="00435792"/>
    <w:rsid w:val="00441F69"/>
    <w:rsid w:val="00460B61"/>
    <w:rsid w:val="004629D9"/>
    <w:rsid w:val="00472BA2"/>
    <w:rsid w:val="0047333A"/>
    <w:rsid w:val="00477F68"/>
    <w:rsid w:val="004844B1"/>
    <w:rsid w:val="00484F57"/>
    <w:rsid w:val="00490136"/>
    <w:rsid w:val="00491968"/>
    <w:rsid w:val="0049448E"/>
    <w:rsid w:val="00496516"/>
    <w:rsid w:val="004A5599"/>
    <w:rsid w:val="004A7C22"/>
    <w:rsid w:val="004B6617"/>
    <w:rsid w:val="004B7F06"/>
    <w:rsid w:val="004C47B7"/>
    <w:rsid w:val="004E2760"/>
    <w:rsid w:val="004E295B"/>
    <w:rsid w:val="004E2EB0"/>
    <w:rsid w:val="004E746E"/>
    <w:rsid w:val="004F0912"/>
    <w:rsid w:val="004F2069"/>
    <w:rsid w:val="004F4D44"/>
    <w:rsid w:val="005001B2"/>
    <w:rsid w:val="005037FE"/>
    <w:rsid w:val="00506AEE"/>
    <w:rsid w:val="00511F43"/>
    <w:rsid w:val="00514FFD"/>
    <w:rsid w:val="00521EA9"/>
    <w:rsid w:val="005258D4"/>
    <w:rsid w:val="005264CE"/>
    <w:rsid w:val="00527B23"/>
    <w:rsid w:val="005370AA"/>
    <w:rsid w:val="005451B1"/>
    <w:rsid w:val="00554FFF"/>
    <w:rsid w:val="005554A5"/>
    <w:rsid w:val="00555A83"/>
    <w:rsid w:val="00555D76"/>
    <w:rsid w:val="00560481"/>
    <w:rsid w:val="0056556E"/>
    <w:rsid w:val="00570C5B"/>
    <w:rsid w:val="00574153"/>
    <w:rsid w:val="005749AB"/>
    <w:rsid w:val="005765AB"/>
    <w:rsid w:val="0057730D"/>
    <w:rsid w:val="00581324"/>
    <w:rsid w:val="00581A99"/>
    <w:rsid w:val="005847E9"/>
    <w:rsid w:val="005913E9"/>
    <w:rsid w:val="00593D72"/>
    <w:rsid w:val="005979DB"/>
    <w:rsid w:val="00597F9B"/>
    <w:rsid w:val="005A699B"/>
    <w:rsid w:val="005D0BA7"/>
    <w:rsid w:val="005D7F4E"/>
    <w:rsid w:val="005E36B5"/>
    <w:rsid w:val="005F1732"/>
    <w:rsid w:val="005F2EE1"/>
    <w:rsid w:val="00601965"/>
    <w:rsid w:val="00614368"/>
    <w:rsid w:val="00621D37"/>
    <w:rsid w:val="00624133"/>
    <w:rsid w:val="00625192"/>
    <w:rsid w:val="00627A48"/>
    <w:rsid w:val="0063410D"/>
    <w:rsid w:val="00643001"/>
    <w:rsid w:val="00646415"/>
    <w:rsid w:val="00647066"/>
    <w:rsid w:val="006605C8"/>
    <w:rsid w:val="006623F0"/>
    <w:rsid w:val="00663A08"/>
    <w:rsid w:val="00664CB6"/>
    <w:rsid w:val="0067439E"/>
    <w:rsid w:val="00674CFE"/>
    <w:rsid w:val="0068018F"/>
    <w:rsid w:val="0069078F"/>
    <w:rsid w:val="006B2336"/>
    <w:rsid w:val="006B63DE"/>
    <w:rsid w:val="006B752F"/>
    <w:rsid w:val="006C07BE"/>
    <w:rsid w:val="006C121A"/>
    <w:rsid w:val="006C1C07"/>
    <w:rsid w:val="006C68B5"/>
    <w:rsid w:val="006D1C94"/>
    <w:rsid w:val="006D36D5"/>
    <w:rsid w:val="006D5D87"/>
    <w:rsid w:val="006E3265"/>
    <w:rsid w:val="006E3D5D"/>
    <w:rsid w:val="006E7704"/>
    <w:rsid w:val="006F5477"/>
    <w:rsid w:val="006F7B3A"/>
    <w:rsid w:val="007078DA"/>
    <w:rsid w:val="00707EFE"/>
    <w:rsid w:val="00713A30"/>
    <w:rsid w:val="00714436"/>
    <w:rsid w:val="0072143F"/>
    <w:rsid w:val="00730975"/>
    <w:rsid w:val="00731860"/>
    <w:rsid w:val="007411C7"/>
    <w:rsid w:val="00742E4B"/>
    <w:rsid w:val="0075315E"/>
    <w:rsid w:val="00760471"/>
    <w:rsid w:val="00760CDD"/>
    <w:rsid w:val="00763D2C"/>
    <w:rsid w:val="00765B0A"/>
    <w:rsid w:val="00767AB3"/>
    <w:rsid w:val="00774D38"/>
    <w:rsid w:val="00775F4C"/>
    <w:rsid w:val="00777C35"/>
    <w:rsid w:val="0078368A"/>
    <w:rsid w:val="00794101"/>
    <w:rsid w:val="007B0A1E"/>
    <w:rsid w:val="007B2D2F"/>
    <w:rsid w:val="007B302C"/>
    <w:rsid w:val="007B4633"/>
    <w:rsid w:val="007C2401"/>
    <w:rsid w:val="007C6202"/>
    <w:rsid w:val="007E0025"/>
    <w:rsid w:val="007E295F"/>
    <w:rsid w:val="007E3140"/>
    <w:rsid w:val="007E3DC2"/>
    <w:rsid w:val="007E5AB6"/>
    <w:rsid w:val="007F0B12"/>
    <w:rsid w:val="007F210B"/>
    <w:rsid w:val="007F2233"/>
    <w:rsid w:val="007F42E3"/>
    <w:rsid w:val="00801B52"/>
    <w:rsid w:val="0080458D"/>
    <w:rsid w:val="008051F3"/>
    <w:rsid w:val="00806BFA"/>
    <w:rsid w:val="00811232"/>
    <w:rsid w:val="00812295"/>
    <w:rsid w:val="00813A43"/>
    <w:rsid w:val="008165A4"/>
    <w:rsid w:val="0081751B"/>
    <w:rsid w:val="0083485E"/>
    <w:rsid w:val="0083602C"/>
    <w:rsid w:val="008472AB"/>
    <w:rsid w:val="0085077E"/>
    <w:rsid w:val="008620EA"/>
    <w:rsid w:val="00862827"/>
    <w:rsid w:val="00863164"/>
    <w:rsid w:val="00866D16"/>
    <w:rsid w:val="00874198"/>
    <w:rsid w:val="00876E63"/>
    <w:rsid w:val="00881D4B"/>
    <w:rsid w:val="00885668"/>
    <w:rsid w:val="00895FC3"/>
    <w:rsid w:val="008A12ED"/>
    <w:rsid w:val="008A7476"/>
    <w:rsid w:val="008B43D8"/>
    <w:rsid w:val="008B4E34"/>
    <w:rsid w:val="008B6D72"/>
    <w:rsid w:val="008C2C7B"/>
    <w:rsid w:val="008C611C"/>
    <w:rsid w:val="008D3B69"/>
    <w:rsid w:val="008E2E46"/>
    <w:rsid w:val="008E55DB"/>
    <w:rsid w:val="008E7347"/>
    <w:rsid w:val="008F2F38"/>
    <w:rsid w:val="008F4DB2"/>
    <w:rsid w:val="008F5D6D"/>
    <w:rsid w:val="00910860"/>
    <w:rsid w:val="009146F4"/>
    <w:rsid w:val="00914B85"/>
    <w:rsid w:val="00917404"/>
    <w:rsid w:val="00917C42"/>
    <w:rsid w:val="0093368C"/>
    <w:rsid w:val="009444F5"/>
    <w:rsid w:val="0095173B"/>
    <w:rsid w:val="0095208A"/>
    <w:rsid w:val="009574B1"/>
    <w:rsid w:val="00965E11"/>
    <w:rsid w:val="00977CC7"/>
    <w:rsid w:val="00985918"/>
    <w:rsid w:val="009868F8"/>
    <w:rsid w:val="009921BF"/>
    <w:rsid w:val="009922E0"/>
    <w:rsid w:val="00992D88"/>
    <w:rsid w:val="009A6BB7"/>
    <w:rsid w:val="009A739C"/>
    <w:rsid w:val="009B1269"/>
    <w:rsid w:val="009B3758"/>
    <w:rsid w:val="009C2497"/>
    <w:rsid w:val="009C3DAF"/>
    <w:rsid w:val="009D19F7"/>
    <w:rsid w:val="009E0337"/>
    <w:rsid w:val="009E3495"/>
    <w:rsid w:val="009F3104"/>
    <w:rsid w:val="009F78A5"/>
    <w:rsid w:val="00A022C9"/>
    <w:rsid w:val="00A05481"/>
    <w:rsid w:val="00A06391"/>
    <w:rsid w:val="00A06955"/>
    <w:rsid w:val="00A1544F"/>
    <w:rsid w:val="00A2339D"/>
    <w:rsid w:val="00A30E69"/>
    <w:rsid w:val="00A35D04"/>
    <w:rsid w:val="00A35D37"/>
    <w:rsid w:val="00A35ED4"/>
    <w:rsid w:val="00A3785B"/>
    <w:rsid w:val="00A37DA0"/>
    <w:rsid w:val="00A4054B"/>
    <w:rsid w:val="00A42E75"/>
    <w:rsid w:val="00A4319D"/>
    <w:rsid w:val="00A4453E"/>
    <w:rsid w:val="00A628C1"/>
    <w:rsid w:val="00A64CBE"/>
    <w:rsid w:val="00A65798"/>
    <w:rsid w:val="00A66AB6"/>
    <w:rsid w:val="00A71390"/>
    <w:rsid w:val="00A71B55"/>
    <w:rsid w:val="00A72C4B"/>
    <w:rsid w:val="00A76DFA"/>
    <w:rsid w:val="00A8206E"/>
    <w:rsid w:val="00A85DE8"/>
    <w:rsid w:val="00A96FA8"/>
    <w:rsid w:val="00A975E2"/>
    <w:rsid w:val="00A97A6C"/>
    <w:rsid w:val="00AA0BD5"/>
    <w:rsid w:val="00AA21ED"/>
    <w:rsid w:val="00AA4A6B"/>
    <w:rsid w:val="00AA76B9"/>
    <w:rsid w:val="00AB3DB7"/>
    <w:rsid w:val="00AB7B38"/>
    <w:rsid w:val="00AC2A34"/>
    <w:rsid w:val="00AD0C9E"/>
    <w:rsid w:val="00AF2412"/>
    <w:rsid w:val="00AF7EAF"/>
    <w:rsid w:val="00B00BEF"/>
    <w:rsid w:val="00B04A58"/>
    <w:rsid w:val="00B04F8D"/>
    <w:rsid w:val="00B07F80"/>
    <w:rsid w:val="00B10D93"/>
    <w:rsid w:val="00B207DC"/>
    <w:rsid w:val="00B22586"/>
    <w:rsid w:val="00B31F5D"/>
    <w:rsid w:val="00B342DF"/>
    <w:rsid w:val="00B374B2"/>
    <w:rsid w:val="00B47FA5"/>
    <w:rsid w:val="00B64972"/>
    <w:rsid w:val="00B75BA4"/>
    <w:rsid w:val="00B80682"/>
    <w:rsid w:val="00B826D0"/>
    <w:rsid w:val="00B83C0B"/>
    <w:rsid w:val="00B84E23"/>
    <w:rsid w:val="00B947EB"/>
    <w:rsid w:val="00BA24E5"/>
    <w:rsid w:val="00BB0779"/>
    <w:rsid w:val="00BB4703"/>
    <w:rsid w:val="00BB7F62"/>
    <w:rsid w:val="00BC067C"/>
    <w:rsid w:val="00BC39B2"/>
    <w:rsid w:val="00BD013C"/>
    <w:rsid w:val="00BD3092"/>
    <w:rsid w:val="00BD5B7E"/>
    <w:rsid w:val="00BE00D7"/>
    <w:rsid w:val="00BE2400"/>
    <w:rsid w:val="00BE673C"/>
    <w:rsid w:val="00BF574E"/>
    <w:rsid w:val="00C017E6"/>
    <w:rsid w:val="00C03291"/>
    <w:rsid w:val="00C10DCB"/>
    <w:rsid w:val="00C15BE9"/>
    <w:rsid w:val="00C2333B"/>
    <w:rsid w:val="00C27686"/>
    <w:rsid w:val="00C3365A"/>
    <w:rsid w:val="00C33BF5"/>
    <w:rsid w:val="00C340B0"/>
    <w:rsid w:val="00C34C61"/>
    <w:rsid w:val="00C36A7D"/>
    <w:rsid w:val="00C40B95"/>
    <w:rsid w:val="00C533B9"/>
    <w:rsid w:val="00C60300"/>
    <w:rsid w:val="00C65134"/>
    <w:rsid w:val="00C677FB"/>
    <w:rsid w:val="00C70F26"/>
    <w:rsid w:val="00C730DB"/>
    <w:rsid w:val="00C81614"/>
    <w:rsid w:val="00C820A7"/>
    <w:rsid w:val="00C85059"/>
    <w:rsid w:val="00CA59D5"/>
    <w:rsid w:val="00CA6969"/>
    <w:rsid w:val="00CB1F2F"/>
    <w:rsid w:val="00CB53B5"/>
    <w:rsid w:val="00CD276C"/>
    <w:rsid w:val="00CD439F"/>
    <w:rsid w:val="00CE49AA"/>
    <w:rsid w:val="00CE4AB2"/>
    <w:rsid w:val="00CE786E"/>
    <w:rsid w:val="00CF182F"/>
    <w:rsid w:val="00CF2981"/>
    <w:rsid w:val="00CF57E0"/>
    <w:rsid w:val="00CF61F2"/>
    <w:rsid w:val="00CF6954"/>
    <w:rsid w:val="00D01FAE"/>
    <w:rsid w:val="00D02457"/>
    <w:rsid w:val="00D07289"/>
    <w:rsid w:val="00D0776C"/>
    <w:rsid w:val="00D11FC4"/>
    <w:rsid w:val="00D25849"/>
    <w:rsid w:val="00D32887"/>
    <w:rsid w:val="00D4032A"/>
    <w:rsid w:val="00D412CE"/>
    <w:rsid w:val="00D60A17"/>
    <w:rsid w:val="00D61192"/>
    <w:rsid w:val="00D77BC3"/>
    <w:rsid w:val="00D93F07"/>
    <w:rsid w:val="00DA6D2F"/>
    <w:rsid w:val="00DB1992"/>
    <w:rsid w:val="00DB7DB7"/>
    <w:rsid w:val="00DC3584"/>
    <w:rsid w:val="00DC3D8F"/>
    <w:rsid w:val="00DC7CE6"/>
    <w:rsid w:val="00DD56D8"/>
    <w:rsid w:val="00DE55F9"/>
    <w:rsid w:val="00DF49EC"/>
    <w:rsid w:val="00DF79D2"/>
    <w:rsid w:val="00E031B9"/>
    <w:rsid w:val="00E07347"/>
    <w:rsid w:val="00E110A5"/>
    <w:rsid w:val="00E14FB1"/>
    <w:rsid w:val="00E17FA1"/>
    <w:rsid w:val="00E256C1"/>
    <w:rsid w:val="00E25FA8"/>
    <w:rsid w:val="00E35849"/>
    <w:rsid w:val="00E37B7B"/>
    <w:rsid w:val="00E404A4"/>
    <w:rsid w:val="00E407BB"/>
    <w:rsid w:val="00E5119D"/>
    <w:rsid w:val="00E66FA1"/>
    <w:rsid w:val="00E67305"/>
    <w:rsid w:val="00E71B0C"/>
    <w:rsid w:val="00E72A1B"/>
    <w:rsid w:val="00E815BE"/>
    <w:rsid w:val="00E82614"/>
    <w:rsid w:val="00E87207"/>
    <w:rsid w:val="00E8729F"/>
    <w:rsid w:val="00E90549"/>
    <w:rsid w:val="00EA5D13"/>
    <w:rsid w:val="00EA788C"/>
    <w:rsid w:val="00EB02D3"/>
    <w:rsid w:val="00EB0ECA"/>
    <w:rsid w:val="00EB15A2"/>
    <w:rsid w:val="00EB1F2E"/>
    <w:rsid w:val="00EB496A"/>
    <w:rsid w:val="00EB687E"/>
    <w:rsid w:val="00EC5B69"/>
    <w:rsid w:val="00EC5EE3"/>
    <w:rsid w:val="00EE39E4"/>
    <w:rsid w:val="00EF0823"/>
    <w:rsid w:val="00EF0E63"/>
    <w:rsid w:val="00EF2644"/>
    <w:rsid w:val="00EF6610"/>
    <w:rsid w:val="00EF6AE0"/>
    <w:rsid w:val="00EF6EB7"/>
    <w:rsid w:val="00F11802"/>
    <w:rsid w:val="00F12C20"/>
    <w:rsid w:val="00F31A5C"/>
    <w:rsid w:val="00F46C04"/>
    <w:rsid w:val="00F52A01"/>
    <w:rsid w:val="00F751B7"/>
    <w:rsid w:val="00F81FDB"/>
    <w:rsid w:val="00F836DF"/>
    <w:rsid w:val="00F837B2"/>
    <w:rsid w:val="00F84572"/>
    <w:rsid w:val="00F87CD1"/>
    <w:rsid w:val="00F90CAD"/>
    <w:rsid w:val="00F91C8F"/>
    <w:rsid w:val="00F93718"/>
    <w:rsid w:val="00F96D38"/>
    <w:rsid w:val="00FA42DD"/>
    <w:rsid w:val="00FA5511"/>
    <w:rsid w:val="00FB5E6A"/>
    <w:rsid w:val="00FB60FF"/>
    <w:rsid w:val="00FC11D8"/>
    <w:rsid w:val="00FC1CB5"/>
    <w:rsid w:val="00FC229B"/>
    <w:rsid w:val="00FD299A"/>
    <w:rsid w:val="00FD3EE4"/>
    <w:rsid w:val="00FD6C82"/>
    <w:rsid w:val="00FE79C8"/>
    <w:rsid w:val="00FE7FB8"/>
    <w:rsid w:val="00FF1D83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4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lv-LV"/>
    </w:rPr>
  </w:style>
  <w:style w:type="paragraph" w:styleId="Heading3">
    <w:name w:val="heading 3"/>
    <w:basedOn w:val="Normal"/>
    <w:link w:val="Heading3Char"/>
    <w:uiPriority w:val="99"/>
    <w:qFormat/>
    <w:rsid w:val="000B0C40"/>
    <w:pPr>
      <w:keepNext/>
      <w:spacing w:after="120"/>
      <w:jc w:val="both"/>
      <w:outlineLvl w:val="2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B0C40"/>
    <w:rPr>
      <w:rFonts w:ascii="Times New Roman" w:hAnsi="Times New Roman" w:cs="Times New Roman"/>
      <w:sz w:val="28"/>
      <w:szCs w:val="28"/>
      <w:lang w:val="x-none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E03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1B9"/>
    <w:rPr>
      <w:rFonts w:ascii="Tahoma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rsid w:val="000B0C4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B0C40"/>
    <w:pPr>
      <w:spacing w:before="100" w:beforeAutospacing="1" w:after="100" w:afterAutospacing="1"/>
    </w:pPr>
    <w:rPr>
      <w:lang w:val="lv-LV"/>
    </w:rPr>
  </w:style>
  <w:style w:type="paragraph" w:styleId="BodyText">
    <w:name w:val="Body Text"/>
    <w:basedOn w:val="Normal"/>
    <w:link w:val="BodyTextChar"/>
    <w:uiPriority w:val="99"/>
    <w:rsid w:val="000B0C40"/>
    <w:pPr>
      <w:spacing w:after="120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0C40"/>
    <w:rPr>
      <w:rFonts w:ascii="Times New Roman" w:hAnsi="Times New Roman" w:cs="Times New Roman"/>
      <w:sz w:val="24"/>
      <w:szCs w:val="24"/>
      <w:lang w:val="x-none" w:eastAsia="lv-LV"/>
    </w:rPr>
  </w:style>
  <w:style w:type="paragraph" w:customStyle="1" w:styleId="naisf">
    <w:name w:val="naisf"/>
    <w:basedOn w:val="Normal"/>
    <w:uiPriority w:val="99"/>
    <w:rsid w:val="000B0C40"/>
    <w:pPr>
      <w:spacing w:before="75" w:after="75"/>
      <w:ind w:firstLine="375"/>
      <w:jc w:val="both"/>
    </w:pPr>
    <w:rPr>
      <w:lang w:val="lv-LV"/>
    </w:rPr>
  </w:style>
  <w:style w:type="paragraph" w:customStyle="1" w:styleId="naisc">
    <w:name w:val="naisc"/>
    <w:basedOn w:val="Normal"/>
    <w:uiPriority w:val="99"/>
    <w:rsid w:val="000B0C40"/>
    <w:pPr>
      <w:spacing w:before="450" w:after="300"/>
      <w:jc w:val="center"/>
    </w:pPr>
    <w:rPr>
      <w:sz w:val="26"/>
      <w:szCs w:val="26"/>
      <w:lang w:val="lv-LV"/>
    </w:rPr>
  </w:style>
  <w:style w:type="paragraph" w:styleId="BodyTextIndent">
    <w:name w:val="Body Text Indent"/>
    <w:basedOn w:val="Normal"/>
    <w:link w:val="BodyTextIndentChar"/>
    <w:uiPriority w:val="99"/>
    <w:rsid w:val="000B0C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0C40"/>
    <w:rPr>
      <w:rFonts w:ascii="Times New Roman" w:hAnsi="Times New Roman" w:cs="Times New Roman"/>
      <w:sz w:val="24"/>
      <w:szCs w:val="24"/>
      <w:lang w:val="en-GB" w:eastAsia="lv-LV"/>
    </w:rPr>
  </w:style>
  <w:style w:type="character" w:styleId="PageNumber">
    <w:name w:val="page number"/>
    <w:basedOn w:val="DefaultParagraphFont"/>
    <w:uiPriority w:val="99"/>
    <w:rsid w:val="000B0C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0C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C40"/>
    <w:rPr>
      <w:rFonts w:ascii="Times New Roman" w:hAnsi="Times New Roman" w:cs="Times New Roman"/>
      <w:sz w:val="24"/>
      <w:szCs w:val="24"/>
      <w:lang w:val="en-GB" w:eastAsia="lv-LV"/>
    </w:rPr>
  </w:style>
  <w:style w:type="paragraph" w:styleId="Header">
    <w:name w:val="header"/>
    <w:basedOn w:val="Normal"/>
    <w:link w:val="HeaderChar"/>
    <w:uiPriority w:val="99"/>
    <w:rsid w:val="000B0C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C40"/>
    <w:rPr>
      <w:rFonts w:ascii="Times New Roman" w:hAnsi="Times New Roman" w:cs="Times New Roman"/>
      <w:sz w:val="24"/>
      <w:szCs w:val="24"/>
      <w:lang w:val="en-GB" w:eastAsia="lv-LV"/>
    </w:rPr>
  </w:style>
  <w:style w:type="character" w:customStyle="1" w:styleId="st">
    <w:name w:val="st"/>
    <w:uiPriority w:val="99"/>
    <w:rsid w:val="00731860"/>
    <w:rPr>
      <w:rFonts w:ascii="Times New Roman" w:hAnsi="Times New Roman"/>
    </w:rPr>
  </w:style>
  <w:style w:type="character" w:customStyle="1" w:styleId="spelle">
    <w:name w:val="spelle"/>
    <w:basedOn w:val="DefaultParagraphFont"/>
    <w:uiPriority w:val="99"/>
    <w:rsid w:val="0067439E"/>
    <w:rPr>
      <w:rFonts w:cs="Times New Roman"/>
    </w:rPr>
  </w:style>
  <w:style w:type="paragraph" w:customStyle="1" w:styleId="naisnod">
    <w:name w:val="naisnod"/>
    <w:basedOn w:val="Normal"/>
    <w:uiPriority w:val="99"/>
    <w:rsid w:val="00393285"/>
    <w:pPr>
      <w:spacing w:before="150" w:after="150"/>
      <w:jc w:val="center"/>
    </w:pPr>
    <w:rPr>
      <w:b/>
      <w:bCs/>
      <w:lang w:val="lv-LV"/>
    </w:rPr>
  </w:style>
  <w:style w:type="paragraph" w:customStyle="1" w:styleId="naiskr">
    <w:name w:val="naiskr"/>
    <w:basedOn w:val="Normal"/>
    <w:rsid w:val="00393285"/>
    <w:pPr>
      <w:spacing w:before="75" w:after="75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0F51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C6202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6202"/>
    <w:rPr>
      <w:rFonts w:ascii="Times New Roman" w:hAnsi="Times New Roman" w:cs="Times New Roman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202"/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620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202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locked/>
    <w:rsid w:val="007C6202"/>
    <w:rPr>
      <w:rFonts w:cs="Times New Roman"/>
      <w:b/>
    </w:rPr>
  </w:style>
  <w:style w:type="table" w:styleId="TableGrid">
    <w:name w:val="Table Grid"/>
    <w:basedOn w:val="TableNormal"/>
    <w:uiPriority w:val="59"/>
    <w:locked/>
    <w:rsid w:val="00BD3092"/>
    <w:pPr>
      <w:spacing w:after="0" w:line="240" w:lineRule="auto"/>
    </w:pPr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979DB"/>
    <w:rPr>
      <w:rFonts w:ascii="Calibri" w:hAnsi="Calibri"/>
      <w:sz w:val="22"/>
      <w:szCs w:val="21"/>
      <w:lang w:val="lv-LV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79DB"/>
    <w:rPr>
      <w:rFonts w:eastAsia="Times New Roman" w:cs="Times New Roman"/>
      <w:sz w:val="21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4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lv-LV"/>
    </w:rPr>
  </w:style>
  <w:style w:type="paragraph" w:styleId="Heading3">
    <w:name w:val="heading 3"/>
    <w:basedOn w:val="Normal"/>
    <w:link w:val="Heading3Char"/>
    <w:uiPriority w:val="99"/>
    <w:qFormat/>
    <w:rsid w:val="000B0C40"/>
    <w:pPr>
      <w:keepNext/>
      <w:spacing w:after="120"/>
      <w:jc w:val="both"/>
      <w:outlineLvl w:val="2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B0C40"/>
    <w:rPr>
      <w:rFonts w:ascii="Times New Roman" w:hAnsi="Times New Roman" w:cs="Times New Roman"/>
      <w:sz w:val="28"/>
      <w:szCs w:val="28"/>
      <w:lang w:val="x-none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E03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1B9"/>
    <w:rPr>
      <w:rFonts w:ascii="Tahoma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rsid w:val="000B0C4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B0C40"/>
    <w:pPr>
      <w:spacing w:before="100" w:beforeAutospacing="1" w:after="100" w:afterAutospacing="1"/>
    </w:pPr>
    <w:rPr>
      <w:lang w:val="lv-LV"/>
    </w:rPr>
  </w:style>
  <w:style w:type="paragraph" w:styleId="BodyText">
    <w:name w:val="Body Text"/>
    <w:basedOn w:val="Normal"/>
    <w:link w:val="BodyTextChar"/>
    <w:uiPriority w:val="99"/>
    <w:rsid w:val="000B0C40"/>
    <w:pPr>
      <w:spacing w:after="120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0C40"/>
    <w:rPr>
      <w:rFonts w:ascii="Times New Roman" w:hAnsi="Times New Roman" w:cs="Times New Roman"/>
      <w:sz w:val="24"/>
      <w:szCs w:val="24"/>
      <w:lang w:val="x-none" w:eastAsia="lv-LV"/>
    </w:rPr>
  </w:style>
  <w:style w:type="paragraph" w:customStyle="1" w:styleId="naisf">
    <w:name w:val="naisf"/>
    <w:basedOn w:val="Normal"/>
    <w:uiPriority w:val="99"/>
    <w:rsid w:val="000B0C40"/>
    <w:pPr>
      <w:spacing w:before="75" w:after="75"/>
      <w:ind w:firstLine="375"/>
      <w:jc w:val="both"/>
    </w:pPr>
    <w:rPr>
      <w:lang w:val="lv-LV"/>
    </w:rPr>
  </w:style>
  <w:style w:type="paragraph" w:customStyle="1" w:styleId="naisc">
    <w:name w:val="naisc"/>
    <w:basedOn w:val="Normal"/>
    <w:uiPriority w:val="99"/>
    <w:rsid w:val="000B0C40"/>
    <w:pPr>
      <w:spacing w:before="450" w:after="300"/>
      <w:jc w:val="center"/>
    </w:pPr>
    <w:rPr>
      <w:sz w:val="26"/>
      <w:szCs w:val="26"/>
      <w:lang w:val="lv-LV"/>
    </w:rPr>
  </w:style>
  <w:style w:type="paragraph" w:styleId="BodyTextIndent">
    <w:name w:val="Body Text Indent"/>
    <w:basedOn w:val="Normal"/>
    <w:link w:val="BodyTextIndentChar"/>
    <w:uiPriority w:val="99"/>
    <w:rsid w:val="000B0C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0C40"/>
    <w:rPr>
      <w:rFonts w:ascii="Times New Roman" w:hAnsi="Times New Roman" w:cs="Times New Roman"/>
      <w:sz w:val="24"/>
      <w:szCs w:val="24"/>
      <w:lang w:val="en-GB" w:eastAsia="lv-LV"/>
    </w:rPr>
  </w:style>
  <w:style w:type="character" w:styleId="PageNumber">
    <w:name w:val="page number"/>
    <w:basedOn w:val="DefaultParagraphFont"/>
    <w:uiPriority w:val="99"/>
    <w:rsid w:val="000B0C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0C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C40"/>
    <w:rPr>
      <w:rFonts w:ascii="Times New Roman" w:hAnsi="Times New Roman" w:cs="Times New Roman"/>
      <w:sz w:val="24"/>
      <w:szCs w:val="24"/>
      <w:lang w:val="en-GB" w:eastAsia="lv-LV"/>
    </w:rPr>
  </w:style>
  <w:style w:type="paragraph" w:styleId="Header">
    <w:name w:val="header"/>
    <w:basedOn w:val="Normal"/>
    <w:link w:val="HeaderChar"/>
    <w:uiPriority w:val="99"/>
    <w:rsid w:val="000B0C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C40"/>
    <w:rPr>
      <w:rFonts w:ascii="Times New Roman" w:hAnsi="Times New Roman" w:cs="Times New Roman"/>
      <w:sz w:val="24"/>
      <w:szCs w:val="24"/>
      <w:lang w:val="en-GB" w:eastAsia="lv-LV"/>
    </w:rPr>
  </w:style>
  <w:style w:type="character" w:customStyle="1" w:styleId="st">
    <w:name w:val="st"/>
    <w:uiPriority w:val="99"/>
    <w:rsid w:val="00731860"/>
    <w:rPr>
      <w:rFonts w:ascii="Times New Roman" w:hAnsi="Times New Roman"/>
    </w:rPr>
  </w:style>
  <w:style w:type="character" w:customStyle="1" w:styleId="spelle">
    <w:name w:val="spelle"/>
    <w:basedOn w:val="DefaultParagraphFont"/>
    <w:uiPriority w:val="99"/>
    <w:rsid w:val="0067439E"/>
    <w:rPr>
      <w:rFonts w:cs="Times New Roman"/>
    </w:rPr>
  </w:style>
  <w:style w:type="paragraph" w:customStyle="1" w:styleId="naisnod">
    <w:name w:val="naisnod"/>
    <w:basedOn w:val="Normal"/>
    <w:uiPriority w:val="99"/>
    <w:rsid w:val="00393285"/>
    <w:pPr>
      <w:spacing w:before="150" w:after="150"/>
      <w:jc w:val="center"/>
    </w:pPr>
    <w:rPr>
      <w:b/>
      <w:bCs/>
      <w:lang w:val="lv-LV"/>
    </w:rPr>
  </w:style>
  <w:style w:type="paragraph" w:customStyle="1" w:styleId="naiskr">
    <w:name w:val="naiskr"/>
    <w:basedOn w:val="Normal"/>
    <w:rsid w:val="00393285"/>
    <w:pPr>
      <w:spacing w:before="75" w:after="75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0F51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C6202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6202"/>
    <w:rPr>
      <w:rFonts w:ascii="Times New Roman" w:hAnsi="Times New Roman" w:cs="Times New Roman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202"/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620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202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locked/>
    <w:rsid w:val="007C6202"/>
    <w:rPr>
      <w:rFonts w:cs="Times New Roman"/>
      <w:b/>
    </w:rPr>
  </w:style>
  <w:style w:type="table" w:styleId="TableGrid">
    <w:name w:val="Table Grid"/>
    <w:basedOn w:val="TableNormal"/>
    <w:uiPriority w:val="59"/>
    <w:locked/>
    <w:rsid w:val="00BD3092"/>
    <w:pPr>
      <w:spacing w:after="0" w:line="240" w:lineRule="auto"/>
    </w:pPr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979DB"/>
    <w:rPr>
      <w:rFonts w:ascii="Calibri" w:hAnsi="Calibri"/>
      <w:sz w:val="22"/>
      <w:szCs w:val="21"/>
      <w:lang w:val="lv-LV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79DB"/>
    <w:rPr>
      <w:rFonts w:eastAsia="Times New Roman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7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712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71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71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71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E4FB-7629-4D52-BD40-4DCD8463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821</Words>
  <Characters>5696</Characters>
  <Application>Microsoft Office Word</Application>
  <DocSecurity>0</DocSecurity>
  <Lines>172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„Grozījums Ministru kabineta 2014.gada 21.maija rīkojumā Nr. 230 „Par iemaksu EDSO speciālajai novērošanas misijai Ukrainā””</vt:lpstr>
    </vt:vector>
  </TitlesOfParts>
  <Manager>Aizsardzības politikas departaments</Manager>
  <Company>AIzsardzības ministrija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„Grozījums Ministru kabineta 2014.gada 21.maija rīkojumā Nr. 230 „Par iemaksu EDSO speciālajai novērošanas misijai Ukrainā””</dc:title>
  <dc:subject>Sākotnējās ietekmes novērtējuma ziņojums (anotācija)</dc:subject>
  <dc:creator>Vineta Mileiko</dc:creator>
  <dc:description>Tel.:67335291_x000d_
e-pasts: vineta.mileiko@mod.gov.lv_x000d_
fakss:67335256</dc:description>
  <cp:lastModifiedBy>Vineta Mileiko</cp:lastModifiedBy>
  <cp:revision>18</cp:revision>
  <cp:lastPrinted>2014-11-07T09:34:00Z</cp:lastPrinted>
  <dcterms:created xsi:type="dcterms:W3CDTF">2014-11-11T06:32:00Z</dcterms:created>
  <dcterms:modified xsi:type="dcterms:W3CDTF">2014-11-24T07:28:00Z</dcterms:modified>
  <cp:category/>
</cp:coreProperties>
</file>