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9DB" w:rsidRPr="00714C27" w:rsidRDefault="004259DB" w:rsidP="004259DB">
      <w:pPr>
        <w:jc w:val="center"/>
        <w:rPr>
          <w:b/>
          <w:caps/>
          <w:szCs w:val="24"/>
          <w:lang w:val="lv-LV"/>
        </w:rPr>
      </w:pPr>
      <w:r w:rsidRPr="00714C27">
        <w:rPr>
          <w:b/>
          <w:caps/>
          <w:szCs w:val="24"/>
          <w:lang w:val="lv-LV"/>
        </w:rPr>
        <w:t>Informatīvais ziņojums</w:t>
      </w:r>
    </w:p>
    <w:p w:rsidR="004259DB" w:rsidRPr="00714C27" w:rsidRDefault="004259DB" w:rsidP="004259DB">
      <w:pPr>
        <w:jc w:val="center"/>
        <w:rPr>
          <w:b/>
          <w:szCs w:val="24"/>
          <w:lang w:val="lv-LV"/>
        </w:rPr>
      </w:pPr>
      <w:r w:rsidRPr="00714C27">
        <w:rPr>
          <w:b/>
          <w:szCs w:val="24"/>
          <w:lang w:val="lv-LV"/>
        </w:rPr>
        <w:t>Par Ārlietu ministrijas valsts pamatbudžeta programmas 96.00.00 „Latvijas prezidentūras Eiropas Savienības Padomē nodrošināšana 2015.gadā” apropriācijas pārdali starp apakšprogrammām un budžeta izdevumu kodiem atbilstoši ekonomiskajām kategorijām</w:t>
      </w:r>
    </w:p>
    <w:p w:rsidR="004259DB" w:rsidRPr="00714C27" w:rsidRDefault="004259DB" w:rsidP="004259DB">
      <w:pPr>
        <w:rPr>
          <w:szCs w:val="24"/>
          <w:lang w:val="lv-LV"/>
        </w:rPr>
      </w:pPr>
    </w:p>
    <w:p w:rsidR="004259DB" w:rsidRPr="00714C27" w:rsidRDefault="004259DB" w:rsidP="004259DB">
      <w:pPr>
        <w:rPr>
          <w:b/>
          <w:szCs w:val="24"/>
          <w:lang w:val="lv-LV"/>
        </w:rPr>
      </w:pPr>
    </w:p>
    <w:p w:rsidR="004259DB" w:rsidRPr="00714C27" w:rsidRDefault="004259DB" w:rsidP="004259DB">
      <w:pPr>
        <w:jc w:val="center"/>
        <w:rPr>
          <w:b/>
          <w:szCs w:val="24"/>
          <w:lang w:val="lv-LV"/>
        </w:rPr>
      </w:pPr>
      <w:r w:rsidRPr="00714C27">
        <w:rPr>
          <w:b/>
          <w:szCs w:val="24"/>
          <w:lang w:val="lv-LV"/>
        </w:rPr>
        <w:t>Ievads</w:t>
      </w:r>
    </w:p>
    <w:p w:rsidR="004259DB" w:rsidRPr="00714C27" w:rsidRDefault="004259DB" w:rsidP="004259DB">
      <w:pPr>
        <w:jc w:val="center"/>
        <w:rPr>
          <w:b/>
          <w:szCs w:val="24"/>
          <w:lang w:val="lv-LV"/>
        </w:rPr>
      </w:pPr>
    </w:p>
    <w:p w:rsidR="004259DB" w:rsidRPr="00714C27" w:rsidRDefault="004259DB" w:rsidP="004259DB">
      <w:pPr>
        <w:ind w:firstLine="709"/>
        <w:jc w:val="both"/>
        <w:rPr>
          <w:szCs w:val="24"/>
          <w:lang w:val="lv-LV"/>
        </w:rPr>
      </w:pPr>
      <w:r w:rsidRPr="00714C27">
        <w:rPr>
          <w:szCs w:val="24"/>
          <w:lang w:val="lv-LV"/>
        </w:rPr>
        <w:t xml:space="preserve">Saskaņā ar likuma „Par valsts budžetu 2014.gadam” 35.panta </w:t>
      </w:r>
      <w:r w:rsidR="00940574">
        <w:rPr>
          <w:szCs w:val="24"/>
          <w:lang w:val="lv-LV"/>
        </w:rPr>
        <w:t xml:space="preserve">pirmajā </w:t>
      </w:r>
      <w:r w:rsidR="0074202E">
        <w:rPr>
          <w:szCs w:val="24"/>
          <w:lang w:val="lv-LV"/>
        </w:rPr>
        <w:t>punktā</w:t>
      </w:r>
      <w:r w:rsidR="00A44F79" w:rsidRPr="00714C27">
        <w:rPr>
          <w:szCs w:val="24"/>
          <w:lang w:val="lv-LV"/>
        </w:rPr>
        <w:t xml:space="preserve"> </w:t>
      </w:r>
      <w:r w:rsidRPr="00714C27">
        <w:rPr>
          <w:szCs w:val="24"/>
          <w:lang w:val="lv-LV"/>
        </w:rPr>
        <w:t>noteikto – ja ir pieņemts attiecīgs Ministru kabineta lēmums, finanšu ministram ir tiesības veikt apropriācijas pārdali ministrijas vai citas centrālās valsts iestādes budžeta programmas 96.00.00 „Latvijas prezidentūras Eiropas Savienības Padomē nodrošināšana 2015.gadā” ietvaros</w:t>
      </w:r>
      <w:r w:rsidR="00B03F9D">
        <w:rPr>
          <w:szCs w:val="24"/>
          <w:lang w:val="lv-LV"/>
        </w:rPr>
        <w:t>,</w:t>
      </w:r>
      <w:r w:rsidRPr="00714C27">
        <w:rPr>
          <w:szCs w:val="24"/>
          <w:lang w:val="lv-LV"/>
        </w:rPr>
        <w:t xml:space="preserve"> Ārlietu ministrija (Latvijas prezidentūras Eiropas savienības Padomē sekretariāts) </w:t>
      </w:r>
      <w:r w:rsidR="00A44F79" w:rsidRPr="00714C27">
        <w:rPr>
          <w:szCs w:val="24"/>
          <w:lang w:val="lv-LV"/>
        </w:rPr>
        <w:t xml:space="preserve">ir sagatavojusi </w:t>
      </w:r>
      <w:r w:rsidRPr="00714C27">
        <w:rPr>
          <w:szCs w:val="24"/>
          <w:lang w:val="lv-LV"/>
        </w:rPr>
        <w:t xml:space="preserve">informatīvo ziņojumu „Par Ārlietu ministrijas valsts pamatbudžeta programmas 96.00.00 „Latvijas prezidentūras Eiropas Savienības Padomē nodrošināšana 2015.gadā” apropriācijas pārdali starp apakšprogrammām un budžeta izdevumu kodiem atbilstoši ekonomiskajām kategorijām”. </w:t>
      </w:r>
    </w:p>
    <w:p w:rsidR="00C52A1C" w:rsidRPr="00714C27" w:rsidRDefault="00C52A1C" w:rsidP="004259DB">
      <w:pPr>
        <w:jc w:val="center"/>
        <w:rPr>
          <w:b/>
          <w:szCs w:val="24"/>
          <w:lang w:val="lv-LV"/>
        </w:rPr>
      </w:pPr>
    </w:p>
    <w:p w:rsidR="004259DB" w:rsidRPr="00714C27" w:rsidRDefault="004259DB" w:rsidP="004259DB">
      <w:pPr>
        <w:jc w:val="center"/>
        <w:rPr>
          <w:b/>
          <w:szCs w:val="24"/>
          <w:lang w:val="lv-LV"/>
        </w:rPr>
      </w:pPr>
      <w:r w:rsidRPr="00714C27">
        <w:rPr>
          <w:b/>
          <w:szCs w:val="24"/>
          <w:lang w:val="lv-LV"/>
        </w:rPr>
        <w:t xml:space="preserve">Pašreizējās situācijas raksturojums </w:t>
      </w:r>
    </w:p>
    <w:p w:rsidR="004259DB" w:rsidRPr="00714C27" w:rsidRDefault="004259DB" w:rsidP="004259DB">
      <w:pPr>
        <w:jc w:val="center"/>
        <w:rPr>
          <w:b/>
          <w:szCs w:val="24"/>
          <w:lang w:val="lv-LV"/>
        </w:rPr>
      </w:pPr>
    </w:p>
    <w:p w:rsidR="003C2748" w:rsidRPr="00714C27" w:rsidRDefault="004259DB" w:rsidP="002E4A2B">
      <w:pPr>
        <w:ind w:firstLine="709"/>
        <w:jc w:val="both"/>
        <w:rPr>
          <w:szCs w:val="24"/>
          <w:lang w:val="lv-LV"/>
        </w:rPr>
      </w:pPr>
      <w:r w:rsidRPr="00714C27">
        <w:rPr>
          <w:szCs w:val="24"/>
          <w:lang w:val="lv-LV"/>
        </w:rPr>
        <w:t>2014.gadā, pamatojoties uz Ministru kabineta 2013.gada 28.augusta rīkojumu Nr.401 „Par nepieciešamo finansējumu 2014.gadam, lai sagatavotu un nodrošinātu Latvijas prezidentūru Eiropas Savienības Padomē 2015.gadā”, likumā „Par valsts budžetu 2014.gadam”,</w:t>
      </w:r>
      <w:r w:rsidR="002E4A2B">
        <w:rPr>
          <w:szCs w:val="24"/>
          <w:lang w:val="lv-LV"/>
        </w:rPr>
        <w:t xml:space="preserve"> </w:t>
      </w:r>
      <w:r w:rsidR="00714C27" w:rsidRPr="00714C27">
        <w:rPr>
          <w:szCs w:val="24"/>
          <w:lang w:val="lv-LV"/>
        </w:rPr>
        <w:t xml:space="preserve">un ievērojot Ministru </w:t>
      </w:r>
      <w:r w:rsidR="00B03F9D">
        <w:rPr>
          <w:szCs w:val="24"/>
          <w:lang w:val="lv-LV"/>
        </w:rPr>
        <w:t>k</w:t>
      </w:r>
      <w:r w:rsidR="00714C27" w:rsidRPr="00714C27">
        <w:rPr>
          <w:szCs w:val="24"/>
          <w:lang w:val="lv-LV"/>
        </w:rPr>
        <w:t>abineta 2014.gada 17.jūnija sēd</w:t>
      </w:r>
      <w:r w:rsidR="002E4A2B">
        <w:rPr>
          <w:szCs w:val="24"/>
          <w:lang w:val="lv-LV"/>
        </w:rPr>
        <w:t>ē</w:t>
      </w:r>
      <w:r w:rsidR="00714C27" w:rsidRPr="00714C27">
        <w:rPr>
          <w:szCs w:val="24"/>
          <w:lang w:val="lv-LV"/>
        </w:rPr>
        <w:t xml:space="preserve"> </w:t>
      </w:r>
      <w:r w:rsidR="002E4A2B" w:rsidRPr="00714C27">
        <w:rPr>
          <w:szCs w:val="24"/>
          <w:lang w:val="lv-LV"/>
        </w:rPr>
        <w:t xml:space="preserve">atbalstītās izmaiņas </w:t>
      </w:r>
      <w:r w:rsidR="002E4A2B">
        <w:rPr>
          <w:szCs w:val="24"/>
          <w:lang w:val="lv-LV"/>
        </w:rPr>
        <w:t>(</w:t>
      </w:r>
      <w:r w:rsidR="00714C27" w:rsidRPr="00714C27">
        <w:rPr>
          <w:szCs w:val="24"/>
          <w:lang w:val="lv-LV"/>
        </w:rPr>
        <w:t>protokol</w:t>
      </w:r>
      <w:r w:rsidR="002E4A2B">
        <w:rPr>
          <w:szCs w:val="24"/>
          <w:lang w:val="lv-LV"/>
        </w:rPr>
        <w:t>s</w:t>
      </w:r>
      <w:r w:rsidR="00714C27" w:rsidRPr="00714C27">
        <w:rPr>
          <w:szCs w:val="24"/>
          <w:lang w:val="lv-LV"/>
        </w:rPr>
        <w:t xml:space="preserve"> Nr.33</w:t>
      </w:r>
      <w:r w:rsidR="00863058">
        <w:rPr>
          <w:szCs w:val="24"/>
          <w:lang w:val="lv-LV"/>
        </w:rPr>
        <w:t xml:space="preserve"> </w:t>
      </w:r>
      <w:r w:rsidR="00714C27" w:rsidRPr="00714C27">
        <w:rPr>
          <w:szCs w:val="24"/>
          <w:lang w:val="lv-LV"/>
        </w:rPr>
        <w:t>88</w:t>
      </w:r>
      <w:r w:rsidR="002E4A2B">
        <w:rPr>
          <w:szCs w:val="24"/>
          <w:lang w:val="lv-LV"/>
        </w:rPr>
        <w:t>.§)</w:t>
      </w:r>
      <w:r w:rsidR="00714C27" w:rsidRPr="00714C27">
        <w:rPr>
          <w:szCs w:val="24"/>
          <w:lang w:val="lv-LV"/>
        </w:rPr>
        <w:t xml:space="preserve">, </w:t>
      </w:r>
      <w:r w:rsidRPr="00714C27">
        <w:rPr>
          <w:szCs w:val="24"/>
          <w:lang w:val="lv-LV"/>
        </w:rPr>
        <w:t xml:space="preserve">tika apstiprināts finansējums resora „Ārlietu  ministrija” budžeta programmā 96.00.00 „Latvijas prezidentūras Eiropas Savienības Padomē nodrošināšana 2015.gadā” Ārlietu ministrijai – 24 357 493 </w:t>
      </w:r>
      <w:r w:rsidRPr="00714C27">
        <w:rPr>
          <w:i/>
          <w:szCs w:val="24"/>
          <w:lang w:val="lv-LV"/>
        </w:rPr>
        <w:t>euro</w:t>
      </w:r>
      <w:r w:rsidRPr="00714C27">
        <w:rPr>
          <w:szCs w:val="24"/>
          <w:lang w:val="lv-LV"/>
        </w:rPr>
        <w:t xml:space="preserve"> apmērā, tai skaitā </w:t>
      </w:r>
      <w:r w:rsidR="00125529" w:rsidRPr="00860FA4">
        <w:rPr>
          <w:szCs w:val="24"/>
          <w:lang w:val="lv-LV"/>
        </w:rPr>
        <w:t xml:space="preserve">apakšprogrammā 96.03.00. „Latvijas prezidentūras Eiropas Savienības Padomē nodrošināšana </w:t>
      </w:r>
      <w:r w:rsidR="0017298B" w:rsidRPr="00860FA4">
        <w:rPr>
          <w:szCs w:val="24"/>
          <w:lang w:val="lv-LV"/>
        </w:rPr>
        <w:t xml:space="preserve">2015.gadā </w:t>
      </w:r>
      <w:r w:rsidR="00125529" w:rsidRPr="00860FA4">
        <w:rPr>
          <w:szCs w:val="24"/>
          <w:lang w:val="lv-LV"/>
        </w:rPr>
        <w:t xml:space="preserve">(ministrijas pasākumi) </w:t>
      </w:r>
      <w:r w:rsidR="00714C27" w:rsidRPr="00860FA4">
        <w:rPr>
          <w:szCs w:val="24"/>
          <w:lang w:val="lv-LV"/>
        </w:rPr>
        <w:t>15</w:t>
      </w:r>
      <w:r w:rsidR="003E23F1" w:rsidRPr="00860FA4">
        <w:rPr>
          <w:szCs w:val="24"/>
          <w:lang w:val="lv-LV"/>
        </w:rPr>
        <w:t> </w:t>
      </w:r>
      <w:r w:rsidR="00714C27" w:rsidRPr="00860FA4">
        <w:rPr>
          <w:szCs w:val="24"/>
          <w:lang w:val="lv-LV"/>
        </w:rPr>
        <w:t>002</w:t>
      </w:r>
      <w:r w:rsidR="003E23F1" w:rsidRPr="00860FA4">
        <w:rPr>
          <w:szCs w:val="24"/>
          <w:lang w:val="lv-LV"/>
        </w:rPr>
        <w:t> </w:t>
      </w:r>
      <w:r w:rsidR="00714C27" w:rsidRPr="00860FA4">
        <w:rPr>
          <w:szCs w:val="24"/>
          <w:lang w:val="lv-LV"/>
        </w:rPr>
        <w:t>987</w:t>
      </w:r>
      <w:r w:rsidR="003E23F1" w:rsidRPr="00860FA4">
        <w:rPr>
          <w:szCs w:val="24"/>
          <w:lang w:val="lv-LV"/>
        </w:rPr>
        <w:t xml:space="preserve"> </w:t>
      </w:r>
      <w:r w:rsidR="003E23F1" w:rsidRPr="00860FA4">
        <w:rPr>
          <w:i/>
          <w:szCs w:val="24"/>
          <w:lang w:val="lv-LV"/>
        </w:rPr>
        <w:t>euro</w:t>
      </w:r>
      <w:r w:rsidR="003E23F1" w:rsidRPr="00860FA4">
        <w:rPr>
          <w:szCs w:val="24"/>
          <w:lang w:val="lv-LV"/>
        </w:rPr>
        <w:t xml:space="preserve"> </w:t>
      </w:r>
      <w:r w:rsidR="00125529" w:rsidRPr="00860FA4">
        <w:rPr>
          <w:szCs w:val="24"/>
          <w:lang w:val="lv-LV"/>
        </w:rPr>
        <w:t xml:space="preserve">un </w:t>
      </w:r>
      <w:r w:rsidRPr="00860FA4">
        <w:rPr>
          <w:szCs w:val="24"/>
          <w:lang w:val="lv-LV"/>
        </w:rPr>
        <w:t xml:space="preserve">apakšprogrammā 96.02.00. „Latvijas prezidentūras Eiropas Savienības Padomē nodrošināšana </w:t>
      </w:r>
      <w:r w:rsidR="0017298B" w:rsidRPr="00860FA4">
        <w:rPr>
          <w:szCs w:val="24"/>
          <w:lang w:val="lv-LV"/>
        </w:rPr>
        <w:t xml:space="preserve">2015.gadā </w:t>
      </w:r>
      <w:r w:rsidRPr="00860FA4">
        <w:rPr>
          <w:szCs w:val="24"/>
          <w:lang w:val="lv-LV"/>
        </w:rPr>
        <w:t>(centralizētie pasākumi</w:t>
      </w:r>
      <w:r w:rsidRPr="00714C27">
        <w:rPr>
          <w:szCs w:val="24"/>
          <w:lang w:val="lv-LV"/>
        </w:rPr>
        <w:t>)” 7 2</w:t>
      </w:r>
      <w:r w:rsidR="00714C27" w:rsidRPr="00714C27">
        <w:rPr>
          <w:szCs w:val="24"/>
          <w:lang w:val="lv-LV"/>
        </w:rPr>
        <w:t>3</w:t>
      </w:r>
      <w:r w:rsidRPr="00714C27">
        <w:rPr>
          <w:szCs w:val="24"/>
          <w:lang w:val="lv-LV"/>
        </w:rPr>
        <w:t>5 </w:t>
      </w:r>
      <w:r w:rsidR="00714C27" w:rsidRPr="00714C27">
        <w:rPr>
          <w:szCs w:val="24"/>
          <w:lang w:val="lv-LV"/>
        </w:rPr>
        <w:t>127</w:t>
      </w:r>
      <w:r w:rsidRPr="00714C27">
        <w:rPr>
          <w:szCs w:val="24"/>
          <w:lang w:val="lv-LV"/>
        </w:rPr>
        <w:t xml:space="preserve"> </w:t>
      </w:r>
      <w:r w:rsidRPr="00714C27">
        <w:rPr>
          <w:i/>
          <w:szCs w:val="24"/>
          <w:lang w:val="lv-LV"/>
        </w:rPr>
        <w:t>euro</w:t>
      </w:r>
      <w:r w:rsidRPr="00714C27">
        <w:rPr>
          <w:szCs w:val="24"/>
          <w:lang w:val="lv-LV"/>
        </w:rPr>
        <w:t>.</w:t>
      </w:r>
    </w:p>
    <w:p w:rsidR="00815B5D" w:rsidRPr="00860FA4" w:rsidRDefault="0074202E" w:rsidP="003C2748">
      <w:pPr>
        <w:ind w:firstLine="720"/>
        <w:jc w:val="both"/>
        <w:rPr>
          <w:szCs w:val="24"/>
          <w:lang w:val="lv-LV"/>
        </w:rPr>
      </w:pPr>
      <w:r w:rsidRPr="00860FA4">
        <w:rPr>
          <w:szCs w:val="24"/>
          <w:lang w:val="lv-LV"/>
        </w:rPr>
        <w:t>Apakšprogrammas</w:t>
      </w:r>
      <w:r w:rsidR="00125529" w:rsidRPr="00860FA4">
        <w:rPr>
          <w:szCs w:val="24"/>
          <w:lang w:val="lv-LV"/>
        </w:rPr>
        <w:t xml:space="preserve"> 96.03.00 ietvaros</w:t>
      </w:r>
      <w:r w:rsidR="00815B5D" w:rsidRPr="00860FA4">
        <w:rPr>
          <w:szCs w:val="24"/>
          <w:lang w:val="lv-LV"/>
        </w:rPr>
        <w:t xml:space="preserve">, bez </w:t>
      </w:r>
      <w:r w:rsidR="00EB3826" w:rsidRPr="00860FA4">
        <w:rPr>
          <w:szCs w:val="24"/>
          <w:lang w:val="lv-LV"/>
        </w:rPr>
        <w:t xml:space="preserve">papildus </w:t>
      </w:r>
      <w:r w:rsidR="00815B5D" w:rsidRPr="00860FA4">
        <w:rPr>
          <w:szCs w:val="24"/>
          <w:lang w:val="lv-LV"/>
        </w:rPr>
        <w:t xml:space="preserve">līdzekļu budžetā </w:t>
      </w:r>
      <w:r w:rsidR="0017298B" w:rsidRPr="00860FA4">
        <w:rPr>
          <w:szCs w:val="24"/>
          <w:lang w:val="lv-LV"/>
        </w:rPr>
        <w:t xml:space="preserve">piesaistes un </w:t>
      </w:r>
      <w:r w:rsidR="00815B5D" w:rsidRPr="00860FA4">
        <w:rPr>
          <w:szCs w:val="24"/>
          <w:lang w:val="lv-LV"/>
        </w:rPr>
        <w:t>pārdales</w:t>
      </w:r>
      <w:r w:rsidR="0017298B" w:rsidRPr="00860FA4">
        <w:rPr>
          <w:szCs w:val="24"/>
          <w:lang w:val="lv-LV"/>
        </w:rPr>
        <w:t xml:space="preserve"> starp ekonomiskās klasifikācijas kodiem</w:t>
      </w:r>
      <w:r w:rsidR="00815B5D" w:rsidRPr="00860FA4">
        <w:rPr>
          <w:szCs w:val="24"/>
          <w:lang w:val="lv-LV"/>
        </w:rPr>
        <w:t xml:space="preserve">, izstrādājot detalizētu </w:t>
      </w:r>
      <w:r w:rsidR="00B03F9D" w:rsidRPr="00860FA4">
        <w:rPr>
          <w:szCs w:val="24"/>
          <w:lang w:val="lv-LV"/>
        </w:rPr>
        <w:t xml:space="preserve">Ārlietu </w:t>
      </w:r>
      <w:r w:rsidR="00815B5D" w:rsidRPr="00860FA4">
        <w:rPr>
          <w:szCs w:val="24"/>
          <w:lang w:val="lv-LV"/>
        </w:rPr>
        <w:t xml:space="preserve">ministrijas diplomātisko pārstāvniecību ārvalstīs izmantošanas iespējas </w:t>
      </w:r>
      <w:r w:rsidR="008C722C" w:rsidRPr="00860FA4">
        <w:rPr>
          <w:szCs w:val="24"/>
          <w:lang w:val="lv-LV"/>
        </w:rPr>
        <w:t xml:space="preserve">Latvijas </w:t>
      </w:r>
      <w:r w:rsidR="00815B5D" w:rsidRPr="00860FA4">
        <w:rPr>
          <w:szCs w:val="24"/>
          <w:lang w:val="lv-LV"/>
        </w:rPr>
        <w:t>prezidentūras</w:t>
      </w:r>
      <w:r w:rsidR="008C722C" w:rsidRPr="00860FA4">
        <w:rPr>
          <w:szCs w:val="24"/>
          <w:lang w:val="lv-LV"/>
        </w:rPr>
        <w:t xml:space="preserve"> Eiropas Savienības Padomē (turpmāk – prezidentūra)</w:t>
      </w:r>
      <w:r w:rsidR="00815B5D" w:rsidRPr="00860FA4">
        <w:rPr>
          <w:szCs w:val="24"/>
          <w:lang w:val="lv-LV"/>
        </w:rPr>
        <w:t xml:space="preserve"> laikā plānu un izvērtējot efektīvāko risinājumu, ir secināts, ka </w:t>
      </w:r>
      <w:r w:rsidR="00EB3826" w:rsidRPr="00860FA4">
        <w:rPr>
          <w:szCs w:val="24"/>
          <w:lang w:val="lv-LV"/>
        </w:rPr>
        <w:t xml:space="preserve">vēstniecībai </w:t>
      </w:r>
      <w:r w:rsidR="00815B5D" w:rsidRPr="00860FA4">
        <w:rPr>
          <w:szCs w:val="24"/>
          <w:lang w:val="lv-LV"/>
        </w:rPr>
        <w:t xml:space="preserve">Ungārijas Republikā, piešķirtais finansējums drošības sistēmu izbūvei 177 859 </w:t>
      </w:r>
      <w:r w:rsidR="0077246F" w:rsidRPr="00860FA4">
        <w:rPr>
          <w:i/>
          <w:szCs w:val="24"/>
          <w:lang w:val="lv-LV"/>
        </w:rPr>
        <w:t>euro</w:t>
      </w:r>
      <w:r w:rsidR="00815B5D" w:rsidRPr="00860FA4">
        <w:rPr>
          <w:szCs w:val="24"/>
          <w:lang w:val="lv-LV"/>
        </w:rPr>
        <w:t xml:space="preserve"> apmērā, tiks izmantots daļēji, atlikusī daļa ir novirzāma telpu remontdarbiem un pielāgošanas darbiem </w:t>
      </w:r>
      <w:r w:rsidR="00EB3826" w:rsidRPr="00860FA4">
        <w:rPr>
          <w:szCs w:val="24"/>
          <w:lang w:val="lv-LV"/>
        </w:rPr>
        <w:t xml:space="preserve">prezidentūras nodrošināšanai </w:t>
      </w:r>
      <w:r w:rsidR="00815B5D" w:rsidRPr="00860FA4">
        <w:rPr>
          <w:szCs w:val="24"/>
          <w:lang w:val="lv-LV"/>
        </w:rPr>
        <w:t>citās pārstāvniecībās, piemēram, vēstniecībās Lietuvas Republikā, Somijas Republikā, pārstāvniecībā ANO Ženēvā un citās diplomātiskajās un konsulārajās pārstāvniecībās. Vienlaicīgi, gatavojoties</w:t>
      </w:r>
      <w:r w:rsidR="002E4A2B" w:rsidRPr="00860FA4">
        <w:rPr>
          <w:szCs w:val="24"/>
          <w:lang w:val="lv-LV"/>
        </w:rPr>
        <w:t xml:space="preserve"> prezidentūrai</w:t>
      </w:r>
      <w:r w:rsidR="00815B5D" w:rsidRPr="00860FA4">
        <w:rPr>
          <w:szCs w:val="24"/>
          <w:lang w:val="lv-LV"/>
        </w:rPr>
        <w:t>, ir papildu nepieciešams iegādāties materiāltehnisko nodrošinājumu reprezentācijas vajadzībām prezidentūras laikā – servīzes vai trauku komplekt</w:t>
      </w:r>
      <w:r w:rsidR="002E4A2B" w:rsidRPr="00860FA4">
        <w:rPr>
          <w:szCs w:val="24"/>
          <w:lang w:val="lv-LV"/>
        </w:rPr>
        <w:t>i</w:t>
      </w:r>
      <w:r w:rsidR="00815B5D" w:rsidRPr="00860FA4">
        <w:rPr>
          <w:szCs w:val="24"/>
          <w:lang w:val="lv-LV"/>
        </w:rPr>
        <w:t xml:space="preserve">, </w:t>
      </w:r>
      <w:r w:rsidR="00046EF2" w:rsidRPr="00860FA4">
        <w:rPr>
          <w:szCs w:val="24"/>
          <w:lang w:val="lv-LV"/>
        </w:rPr>
        <w:t xml:space="preserve">galda piederumi, </w:t>
      </w:r>
      <w:r w:rsidR="00815B5D" w:rsidRPr="00860FA4">
        <w:rPr>
          <w:szCs w:val="24"/>
          <w:lang w:val="lv-LV"/>
        </w:rPr>
        <w:t>galdaut</w:t>
      </w:r>
      <w:r w:rsidR="002E4A2B" w:rsidRPr="00860FA4">
        <w:rPr>
          <w:szCs w:val="24"/>
          <w:lang w:val="lv-LV"/>
        </w:rPr>
        <w:t>i</w:t>
      </w:r>
      <w:r w:rsidR="00815B5D" w:rsidRPr="00860FA4">
        <w:rPr>
          <w:szCs w:val="24"/>
          <w:lang w:val="lv-LV"/>
        </w:rPr>
        <w:t>, salvetes un tamlīdzīgi</w:t>
      </w:r>
      <w:r w:rsidR="00592797" w:rsidRPr="00860FA4">
        <w:rPr>
          <w:szCs w:val="24"/>
          <w:lang w:val="lv-LV"/>
        </w:rPr>
        <w:t xml:space="preserve"> </w:t>
      </w:r>
      <w:r w:rsidR="001B2EF3" w:rsidRPr="00860FA4">
        <w:rPr>
          <w:szCs w:val="24"/>
          <w:lang w:val="lv-LV"/>
        </w:rPr>
        <w:t>– Latvijas Republikas</w:t>
      </w:r>
      <w:r w:rsidR="00815B5D" w:rsidRPr="00860FA4">
        <w:rPr>
          <w:szCs w:val="24"/>
          <w:lang w:val="lv-LV"/>
        </w:rPr>
        <w:t xml:space="preserve"> Pastāvīgās pārstāvniecības Eiropas Savienībā vajadzībām, kā arī citām diplomātiskajām un konsulārajām pārstāvniecībām.</w:t>
      </w:r>
    </w:p>
    <w:p w:rsidR="00837F91" w:rsidRPr="00860FA4" w:rsidRDefault="0074202E" w:rsidP="003C2748">
      <w:pPr>
        <w:ind w:firstLine="720"/>
        <w:jc w:val="both"/>
        <w:rPr>
          <w:szCs w:val="24"/>
          <w:lang w:val="lv-LV"/>
        </w:rPr>
      </w:pPr>
      <w:r w:rsidRPr="00860FA4">
        <w:rPr>
          <w:szCs w:val="24"/>
          <w:lang w:val="lv-LV"/>
        </w:rPr>
        <w:t>Apakšprogrammas</w:t>
      </w:r>
      <w:r w:rsidR="009D6A86" w:rsidRPr="00860FA4">
        <w:rPr>
          <w:szCs w:val="24"/>
          <w:lang w:val="lv-LV"/>
        </w:rPr>
        <w:t xml:space="preserve"> 96.02.00 ietvaros no </w:t>
      </w:r>
      <w:r w:rsidR="00DC1792" w:rsidRPr="00860FA4">
        <w:rPr>
          <w:szCs w:val="24"/>
          <w:lang w:val="lv-LV"/>
        </w:rPr>
        <w:t xml:space="preserve">prezidentūras pasākumiem telpu tehniskā aprīkojuma un biroja tehnikas īrei un iegādei </w:t>
      </w:r>
      <w:r w:rsidR="0017298B" w:rsidRPr="00860FA4">
        <w:rPr>
          <w:szCs w:val="24"/>
          <w:lang w:val="lv-LV"/>
        </w:rPr>
        <w:t xml:space="preserve">paredzētā finansējuma </w:t>
      </w:r>
      <w:r w:rsidR="00912074" w:rsidRPr="00860FA4">
        <w:rPr>
          <w:szCs w:val="24"/>
          <w:lang w:val="lv-LV"/>
        </w:rPr>
        <w:t xml:space="preserve">kopsumma </w:t>
      </w:r>
      <w:r w:rsidR="00DC1792" w:rsidRPr="00860FA4">
        <w:rPr>
          <w:szCs w:val="24"/>
          <w:lang w:val="lv-LV"/>
        </w:rPr>
        <w:t>1</w:t>
      </w:r>
      <w:r w:rsidR="009D6A86" w:rsidRPr="00860FA4">
        <w:rPr>
          <w:szCs w:val="24"/>
          <w:lang w:val="lv-LV"/>
        </w:rPr>
        <w:t> </w:t>
      </w:r>
      <w:r w:rsidR="00DC1792" w:rsidRPr="00860FA4">
        <w:rPr>
          <w:szCs w:val="24"/>
          <w:lang w:val="lv-LV"/>
        </w:rPr>
        <w:t>427</w:t>
      </w:r>
      <w:r w:rsidR="009D6A86" w:rsidRPr="00860FA4">
        <w:rPr>
          <w:szCs w:val="24"/>
          <w:lang w:val="lv-LV"/>
        </w:rPr>
        <w:t> </w:t>
      </w:r>
      <w:r w:rsidR="00DC1792" w:rsidRPr="00860FA4">
        <w:rPr>
          <w:szCs w:val="24"/>
          <w:lang w:val="lv-LV"/>
        </w:rPr>
        <w:t>432</w:t>
      </w:r>
      <w:r w:rsidR="009D6A86" w:rsidRPr="00860FA4">
        <w:rPr>
          <w:szCs w:val="24"/>
          <w:lang w:val="lv-LV"/>
        </w:rPr>
        <w:t xml:space="preserve"> </w:t>
      </w:r>
      <w:r w:rsidR="009D6A86" w:rsidRPr="00860FA4">
        <w:rPr>
          <w:i/>
          <w:szCs w:val="24"/>
          <w:lang w:val="lv-LV"/>
        </w:rPr>
        <w:t>euro</w:t>
      </w:r>
      <w:r w:rsidR="0017298B" w:rsidRPr="00860FA4">
        <w:rPr>
          <w:i/>
          <w:szCs w:val="24"/>
          <w:lang w:val="lv-LV"/>
        </w:rPr>
        <w:t>,</w:t>
      </w:r>
      <w:r w:rsidR="00DC1792" w:rsidRPr="00860FA4">
        <w:rPr>
          <w:szCs w:val="24"/>
          <w:lang w:val="lv-LV"/>
        </w:rPr>
        <w:t xml:space="preserve"> </w:t>
      </w:r>
      <w:r w:rsidR="009D6A86" w:rsidRPr="00860FA4">
        <w:rPr>
          <w:szCs w:val="24"/>
          <w:lang w:val="lv-LV"/>
        </w:rPr>
        <w:t>izvērtējot tehnisko risinājumu datoru un telefonu tīklu infrastruktūras pielāgošana</w:t>
      </w:r>
      <w:r w:rsidR="00815B5D" w:rsidRPr="00860FA4">
        <w:rPr>
          <w:szCs w:val="24"/>
          <w:lang w:val="lv-LV"/>
        </w:rPr>
        <w:t>s iespējas</w:t>
      </w:r>
      <w:r w:rsidR="009D6A86" w:rsidRPr="00860FA4">
        <w:rPr>
          <w:szCs w:val="24"/>
          <w:lang w:val="lv-LV"/>
        </w:rPr>
        <w:t xml:space="preserve"> Latvijas Nacionālajā bibliotēkā</w:t>
      </w:r>
      <w:r w:rsidR="00815B5D" w:rsidRPr="00860FA4">
        <w:rPr>
          <w:szCs w:val="24"/>
          <w:lang w:val="lv-LV"/>
        </w:rPr>
        <w:t xml:space="preserve">, </w:t>
      </w:r>
      <w:r w:rsidR="00AD759C" w:rsidRPr="00860FA4">
        <w:rPr>
          <w:szCs w:val="24"/>
          <w:lang w:val="lv-LV"/>
        </w:rPr>
        <w:t xml:space="preserve">rasts risinājums, ka </w:t>
      </w:r>
      <w:r w:rsidR="00AE62A0" w:rsidRPr="00860FA4">
        <w:rPr>
          <w:szCs w:val="24"/>
          <w:lang w:val="lv-LV"/>
        </w:rPr>
        <w:t xml:space="preserve">daļu </w:t>
      </w:r>
      <w:r w:rsidR="00AD759C" w:rsidRPr="00860FA4">
        <w:rPr>
          <w:szCs w:val="24"/>
          <w:lang w:val="lv-LV"/>
        </w:rPr>
        <w:t>šo darbu</w:t>
      </w:r>
      <w:r w:rsidR="00AE62A0" w:rsidRPr="00860FA4">
        <w:rPr>
          <w:szCs w:val="24"/>
          <w:lang w:val="lv-LV"/>
        </w:rPr>
        <w:t>,</w:t>
      </w:r>
      <w:r w:rsidR="00AD759C" w:rsidRPr="00860FA4">
        <w:rPr>
          <w:szCs w:val="24"/>
          <w:lang w:val="lv-LV"/>
        </w:rPr>
        <w:t xml:space="preserve"> </w:t>
      </w:r>
      <w:r w:rsidR="00AE62A0" w:rsidRPr="00860FA4">
        <w:rPr>
          <w:szCs w:val="24"/>
          <w:lang w:val="lv-LV"/>
        </w:rPr>
        <w:t xml:space="preserve">finansējuma 63 154 </w:t>
      </w:r>
      <w:r w:rsidR="00AE62A0" w:rsidRPr="00860FA4">
        <w:rPr>
          <w:i/>
          <w:szCs w:val="24"/>
          <w:lang w:val="lv-LV"/>
        </w:rPr>
        <w:t>euro</w:t>
      </w:r>
      <w:r w:rsidR="00B074FF" w:rsidRPr="00860FA4">
        <w:rPr>
          <w:szCs w:val="24"/>
          <w:lang w:val="lv-LV"/>
        </w:rPr>
        <w:t xml:space="preserve"> apmērā</w:t>
      </w:r>
      <w:r w:rsidR="00AE62A0" w:rsidRPr="00860FA4">
        <w:rPr>
          <w:szCs w:val="24"/>
          <w:lang w:val="lv-LV"/>
        </w:rPr>
        <w:t xml:space="preserve">, </w:t>
      </w:r>
      <w:r w:rsidR="00AD759C" w:rsidRPr="00860FA4">
        <w:rPr>
          <w:szCs w:val="24"/>
          <w:lang w:val="lv-LV"/>
        </w:rPr>
        <w:t>var veikt „Nacionālā būvkompāniju apvienība”</w:t>
      </w:r>
      <w:r w:rsidR="00EB3826" w:rsidRPr="00860FA4">
        <w:rPr>
          <w:szCs w:val="24"/>
          <w:lang w:val="lv-LV"/>
        </w:rPr>
        <w:t>.</w:t>
      </w:r>
      <w:r w:rsidR="00AD759C" w:rsidRPr="00860FA4">
        <w:rPr>
          <w:szCs w:val="24"/>
          <w:lang w:val="lv-LV"/>
        </w:rPr>
        <w:t xml:space="preserve"> </w:t>
      </w:r>
      <w:r w:rsidR="00EB3826" w:rsidRPr="00860FA4">
        <w:rPr>
          <w:szCs w:val="24"/>
          <w:lang w:val="lv-LV"/>
        </w:rPr>
        <w:t>P</w:t>
      </w:r>
      <w:r w:rsidR="004A1E25" w:rsidRPr="00860FA4">
        <w:rPr>
          <w:szCs w:val="24"/>
          <w:lang w:val="lv-LV" w:eastAsia="ar-SA"/>
        </w:rPr>
        <w:t>rezidentūras publis</w:t>
      </w:r>
      <w:r w:rsidR="004A1E25" w:rsidRPr="00714C27">
        <w:rPr>
          <w:szCs w:val="24"/>
          <w:lang w:val="lv-LV" w:eastAsia="ar-SA"/>
        </w:rPr>
        <w:t>kās dip</w:t>
      </w:r>
      <w:r w:rsidR="003C5642">
        <w:rPr>
          <w:szCs w:val="24"/>
          <w:lang w:val="lv-LV" w:eastAsia="ar-SA"/>
        </w:rPr>
        <w:t xml:space="preserve">lomātijas un kultūras programmai </w:t>
      </w:r>
      <w:r w:rsidR="00EB3826">
        <w:rPr>
          <w:szCs w:val="24"/>
          <w:lang w:val="lv-LV" w:eastAsia="ar-SA"/>
        </w:rPr>
        <w:t>atvēlētajā finansējum</w:t>
      </w:r>
      <w:r w:rsidR="00EB3826" w:rsidRPr="00860FA4">
        <w:rPr>
          <w:szCs w:val="24"/>
          <w:lang w:val="lv-LV" w:eastAsia="ar-SA"/>
        </w:rPr>
        <w:t>ā</w:t>
      </w:r>
      <w:r w:rsidR="00912074" w:rsidRPr="00860FA4">
        <w:rPr>
          <w:szCs w:val="24"/>
          <w:lang w:val="lv-LV" w:eastAsia="ar-SA"/>
        </w:rPr>
        <w:t xml:space="preserve"> kopsumma</w:t>
      </w:r>
      <w:r w:rsidR="00EB3826" w:rsidRPr="00860FA4">
        <w:rPr>
          <w:szCs w:val="24"/>
          <w:lang w:val="lv-LV" w:eastAsia="ar-SA"/>
        </w:rPr>
        <w:t xml:space="preserve"> </w:t>
      </w:r>
      <w:r w:rsidR="00470DEB" w:rsidRPr="00860FA4">
        <w:rPr>
          <w:szCs w:val="24"/>
          <w:lang w:val="lv-LV" w:eastAsia="ar-SA"/>
        </w:rPr>
        <w:t xml:space="preserve">1 357 309 </w:t>
      </w:r>
      <w:r w:rsidR="00470DEB" w:rsidRPr="00860FA4">
        <w:rPr>
          <w:i/>
          <w:szCs w:val="24"/>
          <w:lang w:val="lv-LV" w:eastAsia="ar-SA"/>
        </w:rPr>
        <w:t>euro</w:t>
      </w:r>
      <w:r w:rsidR="004259DB" w:rsidRPr="00860FA4">
        <w:rPr>
          <w:szCs w:val="24"/>
          <w:lang w:val="lv-LV"/>
        </w:rPr>
        <w:t>, tai skaitā kultūras projektu satura izstrādāšanai, loģistikas nodrošināšanai un tehniskai sagatav</w:t>
      </w:r>
      <w:r w:rsidR="009D6A86" w:rsidRPr="00860FA4">
        <w:rPr>
          <w:szCs w:val="24"/>
          <w:lang w:val="lv-LV"/>
        </w:rPr>
        <w:t>ošanai</w:t>
      </w:r>
      <w:r w:rsidR="003E23F1" w:rsidRPr="00860FA4">
        <w:rPr>
          <w:szCs w:val="24"/>
          <w:lang w:val="lv-LV"/>
        </w:rPr>
        <w:t>,</w:t>
      </w:r>
      <w:r w:rsidR="009D6A86" w:rsidRPr="00860FA4">
        <w:rPr>
          <w:szCs w:val="24"/>
          <w:lang w:val="lv-LV"/>
        </w:rPr>
        <w:t xml:space="preserve"> </w:t>
      </w:r>
      <w:r w:rsidR="00AD759C" w:rsidRPr="00860FA4">
        <w:rPr>
          <w:szCs w:val="24"/>
          <w:lang w:val="lv-LV"/>
        </w:rPr>
        <w:t xml:space="preserve">efektīvākais </w:t>
      </w:r>
      <w:r w:rsidR="00AD759C" w:rsidRPr="00860FA4">
        <w:rPr>
          <w:szCs w:val="24"/>
          <w:lang w:val="lv-LV"/>
        </w:rPr>
        <w:lastRenderedPageBreak/>
        <w:t>un racionālākais risinājums ir finansējumu dotācijas veidā nodot piecām Kultūras ministrijas pārziņā esošajām valsts kapitālsabiedrībām, kā konkrēto prezidentūras kultūras projektu īstenotājām</w:t>
      </w:r>
      <w:r w:rsidR="00837F91" w:rsidRPr="00860FA4">
        <w:rPr>
          <w:szCs w:val="24"/>
          <w:lang w:val="lv-LV"/>
        </w:rPr>
        <w:t xml:space="preserve">: </w:t>
      </w:r>
    </w:p>
    <w:p w:rsidR="00A745FF" w:rsidRPr="00860FA4" w:rsidRDefault="00AD759C" w:rsidP="002B0196">
      <w:pPr>
        <w:ind w:firstLine="720"/>
        <w:jc w:val="both"/>
        <w:rPr>
          <w:szCs w:val="24"/>
          <w:lang w:val="lv-LV"/>
        </w:rPr>
      </w:pPr>
      <w:r w:rsidRPr="00860FA4">
        <w:rPr>
          <w:szCs w:val="24"/>
          <w:lang w:val="lv-LV"/>
        </w:rPr>
        <w:t>VSIA “Latvijas Koncerti”</w:t>
      </w:r>
      <w:r w:rsidR="00837F91" w:rsidRPr="00860FA4">
        <w:rPr>
          <w:szCs w:val="24"/>
          <w:lang w:val="lv-LV"/>
        </w:rPr>
        <w:t xml:space="preserve"> </w:t>
      </w:r>
      <w:r w:rsidR="005A21EC" w:rsidRPr="00860FA4">
        <w:rPr>
          <w:szCs w:val="24"/>
          <w:lang w:val="lv-LV"/>
        </w:rPr>
        <w:t xml:space="preserve">pārstāvētā </w:t>
      </w:r>
      <w:r w:rsidR="00837F91" w:rsidRPr="00860FA4">
        <w:rPr>
          <w:lang w:val="lv-LV"/>
        </w:rPr>
        <w:t xml:space="preserve">valsts kamerorķestra “Sinfonietta Rīga” </w:t>
      </w:r>
      <w:r w:rsidR="005A21EC" w:rsidRPr="00860FA4">
        <w:rPr>
          <w:lang w:val="lv-LV"/>
        </w:rPr>
        <w:t xml:space="preserve">koncertu nodrošināšanai Frankfurtē, Hamburgā, Minhenē un Sanktpēterburgā, </w:t>
      </w:r>
      <w:r w:rsidR="00837F91" w:rsidRPr="00860FA4">
        <w:rPr>
          <w:lang w:val="lv-LV"/>
        </w:rPr>
        <w:t>Latvijas Radio Teodora Kalniņa kora koncertu</w:t>
      </w:r>
      <w:r w:rsidR="005A21EC" w:rsidRPr="00860FA4">
        <w:rPr>
          <w:lang w:val="lv-LV"/>
        </w:rPr>
        <w:t xml:space="preserve"> nodrošināšanai Londonā, Neapolē un Briselē</w:t>
      </w:r>
      <w:r w:rsidR="00837F91" w:rsidRPr="00860FA4">
        <w:rPr>
          <w:lang w:val="lv-LV"/>
        </w:rPr>
        <w:t xml:space="preserve">, kā arī </w:t>
      </w:r>
      <w:r w:rsidR="005A21EC" w:rsidRPr="00860FA4">
        <w:rPr>
          <w:lang w:val="lv-LV"/>
        </w:rPr>
        <w:t xml:space="preserve">abu kolektīvu </w:t>
      </w:r>
      <w:r w:rsidR="00837F91" w:rsidRPr="00860FA4">
        <w:rPr>
          <w:lang w:val="lv-LV"/>
        </w:rPr>
        <w:t>kopprojekta</w:t>
      </w:r>
      <w:r w:rsidR="00E27E58" w:rsidRPr="00860FA4">
        <w:rPr>
          <w:lang w:val="lv-LV"/>
        </w:rPr>
        <w:t xml:space="preserve"> koncertu</w:t>
      </w:r>
      <w:r w:rsidR="00837F91" w:rsidRPr="00860FA4">
        <w:rPr>
          <w:lang w:val="lv-LV"/>
        </w:rPr>
        <w:t xml:space="preserve"> nodrošināšanai</w:t>
      </w:r>
      <w:r w:rsidR="00CD37D0" w:rsidRPr="00860FA4">
        <w:rPr>
          <w:lang w:val="lv-LV"/>
        </w:rPr>
        <w:t xml:space="preserve"> </w:t>
      </w:r>
      <w:r w:rsidR="005A21EC" w:rsidRPr="00860FA4">
        <w:rPr>
          <w:bCs/>
          <w:lang w:val="lv-LV"/>
        </w:rPr>
        <w:t>Minskā un Kijevā</w:t>
      </w:r>
      <w:r w:rsidR="00837F91" w:rsidRPr="00860FA4">
        <w:rPr>
          <w:bCs/>
          <w:lang w:val="lv-LV"/>
        </w:rPr>
        <w:t xml:space="preserve"> </w:t>
      </w:r>
      <w:r w:rsidR="00A745FF" w:rsidRPr="00860FA4">
        <w:rPr>
          <w:lang w:val="lv-LV"/>
        </w:rPr>
        <w:t>plānots</w:t>
      </w:r>
      <w:r w:rsidR="00837F91" w:rsidRPr="00860FA4">
        <w:rPr>
          <w:lang w:val="lv-LV"/>
        </w:rPr>
        <w:t xml:space="preserve"> 268 923 </w:t>
      </w:r>
      <w:r w:rsidR="00837F91" w:rsidRPr="00860FA4">
        <w:rPr>
          <w:i/>
          <w:lang w:val="lv-LV"/>
        </w:rPr>
        <w:t>euro</w:t>
      </w:r>
      <w:r w:rsidR="00837F91" w:rsidRPr="00860FA4">
        <w:rPr>
          <w:lang w:val="lv-LV"/>
        </w:rPr>
        <w:t xml:space="preserve"> apmērā</w:t>
      </w:r>
      <w:r w:rsidR="00A745FF" w:rsidRPr="00860FA4">
        <w:rPr>
          <w:szCs w:val="24"/>
          <w:lang w:val="lv-LV"/>
        </w:rPr>
        <w:t>;</w:t>
      </w:r>
    </w:p>
    <w:p w:rsidR="00837F91" w:rsidRPr="00860FA4" w:rsidRDefault="003E23F1" w:rsidP="002B0196">
      <w:pPr>
        <w:ind w:firstLine="720"/>
        <w:jc w:val="both"/>
        <w:rPr>
          <w:szCs w:val="24"/>
          <w:lang w:val="lv-LV"/>
        </w:rPr>
      </w:pPr>
      <w:r w:rsidRPr="00860FA4">
        <w:rPr>
          <w:szCs w:val="24"/>
          <w:lang w:val="lv-LV"/>
        </w:rPr>
        <w:t>VSIA  „</w:t>
      </w:r>
      <w:r w:rsidR="00AD759C" w:rsidRPr="00860FA4">
        <w:rPr>
          <w:szCs w:val="24"/>
          <w:lang w:val="lv-LV"/>
        </w:rPr>
        <w:t>Latvijas Nacionālā Opera</w:t>
      </w:r>
      <w:r w:rsidRPr="00860FA4">
        <w:rPr>
          <w:szCs w:val="24"/>
          <w:lang w:val="lv-LV"/>
        </w:rPr>
        <w:t xml:space="preserve">” </w:t>
      </w:r>
      <w:r w:rsidR="00837F91" w:rsidRPr="00860FA4">
        <w:rPr>
          <w:szCs w:val="24"/>
          <w:lang w:val="lv-LV"/>
        </w:rPr>
        <w:t>latviešu oriģināloperas „Valentīna” viesizrādes nodrošināšanai Berlīnē,</w:t>
      </w:r>
      <w:r w:rsidR="00CD37D0" w:rsidRPr="00860FA4">
        <w:rPr>
          <w:szCs w:val="24"/>
          <w:lang w:val="lv-LV"/>
        </w:rPr>
        <w:t xml:space="preserve"> kā arī</w:t>
      </w:r>
      <w:r w:rsidR="00837F91" w:rsidRPr="00860FA4">
        <w:rPr>
          <w:szCs w:val="24"/>
          <w:lang w:val="lv-LV"/>
        </w:rPr>
        <w:t xml:space="preserve"> </w:t>
      </w:r>
      <w:r w:rsidR="00A745FF" w:rsidRPr="00860FA4">
        <w:rPr>
          <w:szCs w:val="24"/>
          <w:lang w:val="lv-LV"/>
        </w:rPr>
        <w:t xml:space="preserve">Latvijas Nacionālās Operas </w:t>
      </w:r>
      <w:r w:rsidR="00485E83" w:rsidRPr="00860FA4">
        <w:rPr>
          <w:szCs w:val="24"/>
          <w:lang w:val="lv-LV"/>
        </w:rPr>
        <w:t>pakalpojumu</w:t>
      </w:r>
      <w:r w:rsidR="00CD37D0" w:rsidRPr="00860FA4">
        <w:rPr>
          <w:szCs w:val="24"/>
          <w:lang w:val="lv-LV"/>
        </w:rPr>
        <w:t xml:space="preserve"> apmaksai</w:t>
      </w:r>
      <w:r w:rsidR="00A745FF" w:rsidRPr="00860FA4">
        <w:rPr>
          <w:szCs w:val="24"/>
          <w:lang w:val="lv-LV"/>
        </w:rPr>
        <w:t xml:space="preserve"> </w:t>
      </w:r>
      <w:r w:rsidR="005A21EC" w:rsidRPr="00860FA4">
        <w:rPr>
          <w:szCs w:val="24"/>
          <w:lang w:val="lv-LV"/>
        </w:rPr>
        <w:t xml:space="preserve">prezidentūras </w:t>
      </w:r>
      <w:r w:rsidR="00CD37D0" w:rsidRPr="00860FA4">
        <w:rPr>
          <w:szCs w:val="24"/>
          <w:lang w:val="lv-LV"/>
        </w:rPr>
        <w:t>atklāšanas koncertam Rīgā</w:t>
      </w:r>
      <w:r w:rsidR="00A745FF" w:rsidRPr="00860FA4">
        <w:rPr>
          <w:szCs w:val="24"/>
          <w:lang w:val="lv-LV"/>
        </w:rPr>
        <w:t xml:space="preserve"> kopā 71 896 </w:t>
      </w:r>
      <w:r w:rsidR="00A745FF" w:rsidRPr="00860FA4">
        <w:rPr>
          <w:i/>
          <w:szCs w:val="24"/>
          <w:lang w:val="lv-LV"/>
        </w:rPr>
        <w:t>euro</w:t>
      </w:r>
      <w:r w:rsidR="00A745FF" w:rsidRPr="00860FA4">
        <w:rPr>
          <w:szCs w:val="24"/>
          <w:lang w:val="lv-LV"/>
        </w:rPr>
        <w:t xml:space="preserve"> apmērā;</w:t>
      </w:r>
    </w:p>
    <w:p w:rsidR="00837F91" w:rsidRPr="00860FA4" w:rsidRDefault="003E23F1" w:rsidP="00837F91">
      <w:pPr>
        <w:ind w:firstLine="720"/>
        <w:jc w:val="both"/>
        <w:rPr>
          <w:szCs w:val="24"/>
          <w:lang w:val="lv-LV"/>
        </w:rPr>
      </w:pPr>
      <w:r w:rsidRPr="00860FA4">
        <w:rPr>
          <w:szCs w:val="24"/>
          <w:lang w:val="lv-LV"/>
        </w:rPr>
        <w:t>VSIA „</w:t>
      </w:r>
      <w:r w:rsidR="00AD759C" w:rsidRPr="00860FA4">
        <w:rPr>
          <w:szCs w:val="24"/>
          <w:lang w:val="lv-LV"/>
        </w:rPr>
        <w:t>Latvijas Nacionālais Simfoniskais orķestris</w:t>
      </w:r>
      <w:r w:rsidRPr="00860FA4">
        <w:rPr>
          <w:szCs w:val="24"/>
          <w:lang w:val="lv-LV"/>
        </w:rPr>
        <w:t>”</w:t>
      </w:r>
      <w:r w:rsidR="00837F91" w:rsidRPr="00860FA4">
        <w:rPr>
          <w:szCs w:val="24"/>
          <w:lang w:val="lv-LV"/>
        </w:rPr>
        <w:t xml:space="preserve"> prezidentūras atklāšanas </w:t>
      </w:r>
      <w:r w:rsidR="00423237" w:rsidRPr="00860FA4">
        <w:rPr>
          <w:szCs w:val="24"/>
          <w:lang w:val="lv-LV"/>
        </w:rPr>
        <w:t>koncerta</w:t>
      </w:r>
      <w:r w:rsidR="00837F91" w:rsidRPr="00860FA4">
        <w:rPr>
          <w:szCs w:val="24"/>
          <w:lang w:val="lv-LV"/>
        </w:rPr>
        <w:t xml:space="preserve"> Latvijas Nacionālajā operā </w:t>
      </w:r>
      <w:r w:rsidR="00CD37D0" w:rsidRPr="00860FA4">
        <w:rPr>
          <w:szCs w:val="24"/>
          <w:lang w:val="lv-LV"/>
        </w:rPr>
        <w:t>īstenošanai</w:t>
      </w:r>
      <w:r w:rsidR="00837F91" w:rsidRPr="00860FA4">
        <w:rPr>
          <w:szCs w:val="24"/>
          <w:lang w:val="lv-LV"/>
        </w:rPr>
        <w:t xml:space="preserve"> </w:t>
      </w:r>
      <w:r w:rsidR="004A6F38" w:rsidRPr="00860FA4">
        <w:rPr>
          <w:szCs w:val="24"/>
          <w:lang w:val="lv-LV"/>
        </w:rPr>
        <w:t xml:space="preserve">Rīgā </w:t>
      </w:r>
      <w:r w:rsidR="00423237" w:rsidRPr="00860FA4">
        <w:rPr>
          <w:szCs w:val="24"/>
          <w:lang w:val="lv-LV"/>
        </w:rPr>
        <w:t xml:space="preserve">un </w:t>
      </w:r>
      <w:r w:rsidR="00A745FF" w:rsidRPr="00860FA4">
        <w:rPr>
          <w:szCs w:val="24"/>
          <w:lang w:val="lv-LV"/>
        </w:rPr>
        <w:t>koncert</w:t>
      </w:r>
      <w:r w:rsidR="00CD37D0" w:rsidRPr="00860FA4">
        <w:rPr>
          <w:szCs w:val="24"/>
          <w:lang w:val="lv-LV"/>
        </w:rPr>
        <w:t>a nodrošināšanai</w:t>
      </w:r>
      <w:r w:rsidR="00A745FF" w:rsidRPr="00860FA4">
        <w:rPr>
          <w:szCs w:val="24"/>
          <w:lang w:val="lv-LV"/>
        </w:rPr>
        <w:t xml:space="preserve"> </w:t>
      </w:r>
      <w:r w:rsidR="00837F91" w:rsidRPr="00860FA4">
        <w:rPr>
          <w:szCs w:val="24"/>
          <w:lang w:val="lv-LV"/>
        </w:rPr>
        <w:t>Parīzē</w:t>
      </w:r>
      <w:r w:rsidR="005A21EC" w:rsidRPr="00860FA4">
        <w:rPr>
          <w:szCs w:val="24"/>
          <w:lang w:val="lv-LV"/>
        </w:rPr>
        <w:t xml:space="preserve"> </w:t>
      </w:r>
      <w:r w:rsidR="00A745FF" w:rsidRPr="00860FA4">
        <w:rPr>
          <w:szCs w:val="24"/>
          <w:lang w:val="lv-LV"/>
        </w:rPr>
        <w:t xml:space="preserve">kopā 70 818 </w:t>
      </w:r>
      <w:r w:rsidR="00A745FF" w:rsidRPr="00860FA4">
        <w:rPr>
          <w:i/>
          <w:szCs w:val="24"/>
          <w:lang w:val="lv-LV"/>
        </w:rPr>
        <w:t>euro</w:t>
      </w:r>
      <w:r w:rsidR="00A745FF" w:rsidRPr="00860FA4">
        <w:rPr>
          <w:szCs w:val="24"/>
          <w:lang w:val="lv-LV"/>
        </w:rPr>
        <w:t>;</w:t>
      </w:r>
    </w:p>
    <w:p w:rsidR="00837F91" w:rsidRPr="00860FA4" w:rsidRDefault="00087D97" w:rsidP="002B0196">
      <w:pPr>
        <w:ind w:firstLine="567"/>
        <w:jc w:val="both"/>
        <w:rPr>
          <w:szCs w:val="24"/>
          <w:lang w:val="lv-LV"/>
        </w:rPr>
      </w:pPr>
      <w:r w:rsidRPr="00860FA4">
        <w:rPr>
          <w:szCs w:val="24"/>
          <w:lang w:val="lv-LV"/>
        </w:rPr>
        <w:t>VSIA ”</w:t>
      </w:r>
      <w:r w:rsidR="00AD759C" w:rsidRPr="00860FA4">
        <w:rPr>
          <w:szCs w:val="24"/>
          <w:lang w:val="lv-LV"/>
        </w:rPr>
        <w:t>Valsts Akadēmiskais koris Latvija</w:t>
      </w:r>
      <w:r w:rsidRPr="00860FA4">
        <w:rPr>
          <w:szCs w:val="24"/>
          <w:lang w:val="lv-LV"/>
        </w:rPr>
        <w:t xml:space="preserve">” </w:t>
      </w:r>
      <w:r w:rsidR="00A745FF" w:rsidRPr="00860FA4">
        <w:rPr>
          <w:szCs w:val="24"/>
          <w:lang w:val="lv-LV"/>
        </w:rPr>
        <w:t xml:space="preserve">dalības nodrošināšanai </w:t>
      </w:r>
      <w:r w:rsidR="00837F91" w:rsidRPr="00860FA4">
        <w:rPr>
          <w:szCs w:val="24"/>
          <w:lang w:val="lv-LV"/>
        </w:rPr>
        <w:t xml:space="preserve">prezidentūras atklāšanas </w:t>
      </w:r>
      <w:r w:rsidR="00A745FF" w:rsidRPr="00860FA4">
        <w:rPr>
          <w:szCs w:val="24"/>
          <w:lang w:val="lv-LV"/>
        </w:rPr>
        <w:t>koncertos</w:t>
      </w:r>
      <w:r w:rsidR="00837F91" w:rsidRPr="00860FA4">
        <w:rPr>
          <w:szCs w:val="24"/>
          <w:lang w:val="lv-LV"/>
        </w:rPr>
        <w:t xml:space="preserve"> </w:t>
      </w:r>
      <w:r w:rsidR="00A745FF" w:rsidRPr="00860FA4">
        <w:rPr>
          <w:szCs w:val="24"/>
          <w:lang w:val="lv-LV"/>
        </w:rPr>
        <w:t>Rīgā</w:t>
      </w:r>
      <w:r w:rsidR="00CD37D0" w:rsidRPr="00860FA4">
        <w:rPr>
          <w:szCs w:val="24"/>
          <w:lang w:val="lv-LV"/>
        </w:rPr>
        <w:t xml:space="preserve">, </w:t>
      </w:r>
      <w:r w:rsidR="00A745FF" w:rsidRPr="00860FA4">
        <w:rPr>
          <w:szCs w:val="24"/>
          <w:lang w:val="lv-LV"/>
        </w:rPr>
        <w:t>Berlīnē</w:t>
      </w:r>
      <w:r w:rsidR="00CD37D0" w:rsidRPr="00860FA4">
        <w:rPr>
          <w:szCs w:val="24"/>
          <w:lang w:val="lv-LV"/>
        </w:rPr>
        <w:t xml:space="preserve"> un Parīzē, </w:t>
      </w:r>
      <w:r w:rsidR="00A745FF" w:rsidRPr="00860FA4">
        <w:rPr>
          <w:szCs w:val="24"/>
          <w:lang w:val="lv-LV"/>
        </w:rPr>
        <w:t>Eiropas un Āzijas izglītības ministru sanāksmei</w:t>
      </w:r>
      <w:r w:rsidR="002E1273" w:rsidRPr="00860FA4">
        <w:rPr>
          <w:szCs w:val="24"/>
          <w:lang w:val="lv-LV"/>
        </w:rPr>
        <w:t xml:space="preserve"> pieskaņota koncerta nodrošināšanai Rīgā</w:t>
      </w:r>
      <w:r w:rsidR="00A745FF" w:rsidRPr="00860FA4">
        <w:rPr>
          <w:szCs w:val="24"/>
          <w:lang w:val="lv-LV"/>
        </w:rPr>
        <w:t>, kā arī koncert</w:t>
      </w:r>
      <w:r w:rsidR="00CD37D0" w:rsidRPr="00860FA4">
        <w:rPr>
          <w:szCs w:val="24"/>
          <w:lang w:val="lv-LV"/>
        </w:rPr>
        <w:t>u īstenošanai</w:t>
      </w:r>
      <w:r w:rsidR="00A745FF" w:rsidRPr="00860FA4">
        <w:rPr>
          <w:szCs w:val="24"/>
          <w:lang w:val="lv-LV"/>
        </w:rPr>
        <w:t xml:space="preserve"> </w:t>
      </w:r>
      <w:r w:rsidR="00837F91" w:rsidRPr="00860FA4">
        <w:rPr>
          <w:szCs w:val="24"/>
          <w:lang w:val="lv-LV"/>
        </w:rPr>
        <w:t>Ņujork</w:t>
      </w:r>
      <w:r w:rsidR="00A745FF" w:rsidRPr="00860FA4">
        <w:rPr>
          <w:szCs w:val="24"/>
          <w:lang w:val="lv-LV"/>
        </w:rPr>
        <w:t>ā un Bostonā</w:t>
      </w:r>
      <w:r w:rsidR="00837F91" w:rsidRPr="00860FA4">
        <w:rPr>
          <w:szCs w:val="24"/>
          <w:lang w:val="lv-LV"/>
        </w:rPr>
        <w:t xml:space="preserve"> </w:t>
      </w:r>
      <w:r w:rsidR="00A745FF" w:rsidRPr="00860FA4">
        <w:rPr>
          <w:szCs w:val="24"/>
          <w:lang w:val="lv-LV"/>
        </w:rPr>
        <w:t xml:space="preserve">kopsummā </w:t>
      </w:r>
      <w:r w:rsidR="00CD37D0" w:rsidRPr="00860FA4">
        <w:rPr>
          <w:szCs w:val="24"/>
          <w:lang w:val="lv-LV"/>
        </w:rPr>
        <w:t xml:space="preserve">2014.gadā </w:t>
      </w:r>
      <w:r w:rsidR="00A745FF" w:rsidRPr="00860FA4">
        <w:rPr>
          <w:szCs w:val="24"/>
          <w:lang w:val="lv-LV"/>
        </w:rPr>
        <w:t xml:space="preserve">150 959 </w:t>
      </w:r>
      <w:r w:rsidR="00A745FF" w:rsidRPr="00860FA4">
        <w:rPr>
          <w:i/>
          <w:szCs w:val="24"/>
          <w:lang w:val="lv-LV"/>
        </w:rPr>
        <w:t>euro</w:t>
      </w:r>
      <w:r w:rsidR="00A745FF" w:rsidRPr="00860FA4">
        <w:rPr>
          <w:szCs w:val="24"/>
          <w:lang w:val="lv-LV"/>
        </w:rPr>
        <w:t xml:space="preserve"> apmērā;</w:t>
      </w:r>
    </w:p>
    <w:p w:rsidR="00837F91" w:rsidRPr="002B0196" w:rsidRDefault="00AD759C" w:rsidP="00837F91">
      <w:pPr>
        <w:ind w:firstLine="720"/>
        <w:jc w:val="both"/>
        <w:rPr>
          <w:szCs w:val="24"/>
          <w:lang w:val="lv-LV"/>
        </w:rPr>
      </w:pPr>
      <w:r w:rsidRPr="00860FA4">
        <w:rPr>
          <w:szCs w:val="24"/>
          <w:lang w:val="lv-LV"/>
        </w:rPr>
        <w:t>VSIA “Kremerata Baltica”</w:t>
      </w:r>
      <w:r w:rsidR="00837F91" w:rsidRPr="00860FA4">
        <w:rPr>
          <w:szCs w:val="24"/>
          <w:lang w:val="lv-LV"/>
        </w:rPr>
        <w:t xml:space="preserve"> prezidentūras starptautiskajā kultūras programmā iekļauti </w:t>
      </w:r>
      <w:r w:rsidR="005A21EC" w:rsidRPr="00860FA4">
        <w:rPr>
          <w:szCs w:val="24"/>
          <w:lang w:val="lv-LV"/>
        </w:rPr>
        <w:t xml:space="preserve">Gidona Krēmera un </w:t>
      </w:r>
      <w:r w:rsidR="00837F91" w:rsidRPr="00860FA4">
        <w:rPr>
          <w:szCs w:val="24"/>
          <w:lang w:val="lv-LV"/>
        </w:rPr>
        <w:t>“Kremerata Baltica” koncerti Briselē,</w:t>
      </w:r>
      <w:r w:rsidR="00CD37D0" w:rsidRPr="00860FA4">
        <w:rPr>
          <w:szCs w:val="24"/>
          <w:lang w:val="lv-LV"/>
        </w:rPr>
        <w:t xml:space="preserve"> </w:t>
      </w:r>
      <w:r w:rsidR="00837F91" w:rsidRPr="00860FA4">
        <w:rPr>
          <w:szCs w:val="24"/>
          <w:lang w:val="lv-LV"/>
        </w:rPr>
        <w:t>Milān</w:t>
      </w:r>
      <w:r w:rsidR="00CD37D0" w:rsidRPr="00860FA4">
        <w:rPr>
          <w:szCs w:val="24"/>
          <w:lang w:val="lv-LV"/>
        </w:rPr>
        <w:t xml:space="preserve">ā, Odesā un Luksemburgā </w:t>
      </w:r>
      <w:r w:rsidR="00F53D7A" w:rsidRPr="00860FA4">
        <w:rPr>
          <w:szCs w:val="24"/>
          <w:lang w:val="lv-LV"/>
        </w:rPr>
        <w:t xml:space="preserve">kopā 41 150 </w:t>
      </w:r>
      <w:r w:rsidR="00F53D7A" w:rsidRPr="00860FA4">
        <w:rPr>
          <w:i/>
          <w:szCs w:val="24"/>
          <w:lang w:val="lv-LV"/>
        </w:rPr>
        <w:t>euro</w:t>
      </w:r>
      <w:r w:rsidR="00F53D7A" w:rsidRPr="00860FA4">
        <w:rPr>
          <w:szCs w:val="24"/>
          <w:lang w:val="lv-LV"/>
        </w:rPr>
        <w:t xml:space="preserve"> apmērā.</w:t>
      </w:r>
    </w:p>
    <w:p w:rsidR="00AD759C" w:rsidRPr="00714C27" w:rsidRDefault="00AD759C" w:rsidP="0017116F">
      <w:pPr>
        <w:jc w:val="both"/>
        <w:rPr>
          <w:szCs w:val="24"/>
          <w:lang w:val="lv-LV"/>
        </w:rPr>
      </w:pPr>
    </w:p>
    <w:p w:rsidR="00C52A1C" w:rsidRPr="00714C27" w:rsidRDefault="00C52A1C" w:rsidP="003C2748">
      <w:pPr>
        <w:suppressAutoHyphens/>
        <w:ind w:firstLine="720"/>
        <w:jc w:val="both"/>
        <w:rPr>
          <w:b/>
          <w:color w:val="000000" w:themeColor="text1"/>
          <w:szCs w:val="24"/>
          <w:lang w:val="lv-LV" w:eastAsia="ar-SA"/>
        </w:rPr>
      </w:pPr>
    </w:p>
    <w:p w:rsidR="004259DB" w:rsidRPr="00714C27" w:rsidRDefault="004259DB" w:rsidP="003C2748">
      <w:pPr>
        <w:suppressAutoHyphens/>
        <w:ind w:firstLine="720"/>
        <w:jc w:val="center"/>
        <w:rPr>
          <w:b/>
          <w:color w:val="000000" w:themeColor="text1"/>
          <w:szCs w:val="24"/>
          <w:lang w:val="lv-LV" w:eastAsia="ar-SA"/>
        </w:rPr>
      </w:pPr>
      <w:r w:rsidRPr="00714C27">
        <w:rPr>
          <w:b/>
          <w:color w:val="000000" w:themeColor="text1"/>
          <w:szCs w:val="24"/>
          <w:lang w:val="lv-LV" w:eastAsia="ar-SA"/>
        </w:rPr>
        <w:t>Priekšlikumi turpmākai rīcībai</w:t>
      </w:r>
    </w:p>
    <w:p w:rsidR="004259DB" w:rsidRPr="00714C27" w:rsidRDefault="004259DB" w:rsidP="003C2748">
      <w:pPr>
        <w:suppressAutoHyphens/>
        <w:ind w:firstLine="720"/>
        <w:jc w:val="both"/>
        <w:rPr>
          <w:b/>
          <w:color w:val="000000" w:themeColor="text1"/>
          <w:szCs w:val="24"/>
          <w:lang w:val="lv-LV" w:eastAsia="ar-SA"/>
        </w:rPr>
      </w:pPr>
    </w:p>
    <w:p w:rsidR="004259DB" w:rsidRPr="00714C27" w:rsidRDefault="004259DB" w:rsidP="003C2748">
      <w:pPr>
        <w:tabs>
          <w:tab w:val="left" w:pos="851"/>
        </w:tabs>
        <w:suppressAutoHyphens/>
        <w:ind w:firstLine="709"/>
        <w:jc w:val="both"/>
        <w:rPr>
          <w:szCs w:val="24"/>
          <w:lang w:val="lv-LV"/>
        </w:rPr>
      </w:pPr>
      <w:r w:rsidRPr="00714C27">
        <w:rPr>
          <w:szCs w:val="24"/>
          <w:lang w:val="lv-LV"/>
        </w:rPr>
        <w:t xml:space="preserve">Ārlietu ministrija (Latvijas prezidentūras Eiropas savienības Padomē sekretariāts) ir izanalizējis 2014.gada valsts pamatbudžeta programmas 96.00.00 </w:t>
      </w:r>
      <w:r w:rsidR="001E12F4" w:rsidRPr="00714C27">
        <w:rPr>
          <w:szCs w:val="24"/>
          <w:lang w:val="lv-LV"/>
        </w:rPr>
        <w:t>„</w:t>
      </w:r>
      <w:r w:rsidRPr="00714C27">
        <w:rPr>
          <w:szCs w:val="24"/>
          <w:lang w:val="lv-LV"/>
        </w:rPr>
        <w:t>Latvijas</w:t>
      </w:r>
      <w:r w:rsidRPr="00714C27">
        <w:rPr>
          <w:szCs w:val="24"/>
          <w:lang w:val="lv-LV" w:eastAsia="ar-SA"/>
        </w:rPr>
        <w:t xml:space="preserve"> prezidentūras Eiropas Savienības Padomē nodrošināšana 2015.</w:t>
      </w:r>
      <w:r w:rsidR="001E12F4" w:rsidRPr="00714C27">
        <w:rPr>
          <w:szCs w:val="24"/>
          <w:lang w:val="lv-LV" w:eastAsia="ar-SA"/>
        </w:rPr>
        <w:t>g</w:t>
      </w:r>
      <w:r w:rsidRPr="00714C27">
        <w:rPr>
          <w:szCs w:val="24"/>
          <w:lang w:val="lv-LV" w:eastAsia="ar-SA"/>
        </w:rPr>
        <w:t>adā</w:t>
      </w:r>
      <w:r w:rsidR="001E12F4" w:rsidRPr="00714C27">
        <w:rPr>
          <w:bCs/>
          <w:szCs w:val="24"/>
          <w:lang w:val="lv-LV"/>
        </w:rPr>
        <w:t>”</w:t>
      </w:r>
      <w:r w:rsidRPr="00714C27">
        <w:rPr>
          <w:szCs w:val="24"/>
          <w:lang w:val="lv-LV"/>
        </w:rPr>
        <w:t xml:space="preserve"> izdevumus, finanšu nepieciešamību, pieejamo apropriāciju un secina, ka </w:t>
      </w:r>
      <w:r w:rsidRPr="00714C27">
        <w:rPr>
          <w:szCs w:val="24"/>
          <w:lang w:val="lv-LV" w:eastAsia="ar-SA"/>
        </w:rPr>
        <w:t>nepieciešams pārdalīt finansējumu</w:t>
      </w:r>
      <w:r w:rsidRPr="00714C27">
        <w:rPr>
          <w:szCs w:val="24"/>
          <w:lang w:val="lv-LV"/>
        </w:rPr>
        <w:t xml:space="preserve"> starp budžeta izdevumu kodiem atbilstoši ekonomiskajām kategorijām</w:t>
      </w:r>
      <w:r w:rsidRPr="00714C27">
        <w:rPr>
          <w:szCs w:val="24"/>
          <w:lang w:val="lv-LV" w:eastAsia="ar-SA"/>
        </w:rPr>
        <w:t xml:space="preserve"> un veikt šādas budžeta izmaiņas </w:t>
      </w:r>
      <w:r w:rsidRPr="00714C27">
        <w:rPr>
          <w:szCs w:val="24"/>
          <w:lang w:val="lv-LV"/>
        </w:rPr>
        <w:t xml:space="preserve">apakšprogrammā „96.02.00 Latvijas prezidentūras Eiropas Savienības Padomē nodrošināšana </w:t>
      </w:r>
      <w:r w:rsidR="00470DEB">
        <w:rPr>
          <w:szCs w:val="24"/>
          <w:lang w:val="lv-LV"/>
        </w:rPr>
        <w:t xml:space="preserve">2015.gadā </w:t>
      </w:r>
      <w:r w:rsidRPr="00714C27">
        <w:rPr>
          <w:szCs w:val="24"/>
          <w:lang w:val="lv-LV"/>
        </w:rPr>
        <w:t>(centralizētie pasākumi)”:</w:t>
      </w:r>
    </w:p>
    <w:p w:rsidR="004259DB" w:rsidRPr="00D473AE" w:rsidRDefault="004259DB" w:rsidP="003C2748">
      <w:pPr>
        <w:pStyle w:val="ListParagraph"/>
        <w:numPr>
          <w:ilvl w:val="0"/>
          <w:numId w:val="1"/>
        </w:numPr>
        <w:tabs>
          <w:tab w:val="left" w:pos="851"/>
        </w:tabs>
        <w:suppressAutoHyphens/>
        <w:ind w:left="1134" w:hanging="425"/>
        <w:jc w:val="both"/>
        <w:rPr>
          <w:rFonts w:ascii="Times New Roman" w:hAnsi="Times New Roman"/>
          <w:sz w:val="24"/>
          <w:szCs w:val="24"/>
          <w:lang w:eastAsia="ar-SA"/>
        </w:rPr>
      </w:pPr>
      <w:r w:rsidRPr="00D473AE">
        <w:rPr>
          <w:rFonts w:ascii="Times New Roman" w:hAnsi="Times New Roman"/>
          <w:sz w:val="24"/>
          <w:szCs w:val="24"/>
        </w:rPr>
        <w:t xml:space="preserve">samazināt izdevumus preču un pakalpojumu apmaksai </w:t>
      </w:r>
      <w:r w:rsidR="00B03F9D">
        <w:rPr>
          <w:rFonts w:ascii="Times New Roman" w:hAnsi="Times New Roman"/>
          <w:sz w:val="24"/>
          <w:szCs w:val="24"/>
        </w:rPr>
        <w:t xml:space="preserve">par </w:t>
      </w:r>
      <w:r w:rsidR="00ED0754" w:rsidRPr="00D473AE">
        <w:rPr>
          <w:rFonts w:ascii="Times New Roman" w:hAnsi="Times New Roman"/>
          <w:sz w:val="24"/>
          <w:szCs w:val="24"/>
        </w:rPr>
        <w:t xml:space="preserve">666 900 </w:t>
      </w:r>
      <w:r w:rsidRPr="00D473AE">
        <w:rPr>
          <w:rFonts w:ascii="Times New Roman" w:hAnsi="Times New Roman"/>
          <w:i/>
          <w:sz w:val="24"/>
          <w:szCs w:val="24"/>
        </w:rPr>
        <w:t>euro</w:t>
      </w:r>
      <w:r w:rsidRPr="00D473AE">
        <w:rPr>
          <w:rFonts w:ascii="Times New Roman" w:hAnsi="Times New Roman"/>
          <w:sz w:val="24"/>
          <w:szCs w:val="24"/>
        </w:rPr>
        <w:t>;</w:t>
      </w:r>
    </w:p>
    <w:p w:rsidR="004259DB" w:rsidRPr="00D473AE" w:rsidRDefault="004259DB" w:rsidP="003C2748">
      <w:pPr>
        <w:pStyle w:val="ListParagraph"/>
        <w:numPr>
          <w:ilvl w:val="0"/>
          <w:numId w:val="1"/>
        </w:numPr>
        <w:tabs>
          <w:tab w:val="left" w:pos="851"/>
        </w:tabs>
        <w:suppressAutoHyphens/>
        <w:ind w:left="1134" w:hanging="425"/>
        <w:jc w:val="both"/>
        <w:rPr>
          <w:rFonts w:ascii="Times New Roman" w:hAnsi="Times New Roman"/>
          <w:sz w:val="24"/>
          <w:szCs w:val="24"/>
          <w:lang w:eastAsia="ar-SA"/>
        </w:rPr>
      </w:pPr>
      <w:r w:rsidRPr="00D473AE">
        <w:rPr>
          <w:rFonts w:ascii="Times New Roman" w:hAnsi="Times New Roman"/>
          <w:sz w:val="24"/>
          <w:szCs w:val="24"/>
          <w:lang w:eastAsia="ar-SA"/>
        </w:rPr>
        <w:t xml:space="preserve">palielināt izdevumus </w:t>
      </w:r>
      <w:r w:rsidR="00AD759C" w:rsidRPr="00D473AE">
        <w:rPr>
          <w:rFonts w:ascii="Times New Roman" w:hAnsi="Times New Roman"/>
          <w:sz w:val="24"/>
          <w:szCs w:val="24"/>
          <w:lang w:eastAsia="ar-SA"/>
        </w:rPr>
        <w:t>valsts budžeta kapitālo izdevumu transfertiem no valsts pamatbud</w:t>
      </w:r>
      <w:r w:rsidR="004A1E25" w:rsidRPr="00D473AE">
        <w:rPr>
          <w:rFonts w:ascii="Times New Roman" w:hAnsi="Times New Roman"/>
          <w:sz w:val="24"/>
          <w:szCs w:val="24"/>
          <w:lang w:eastAsia="ar-SA"/>
        </w:rPr>
        <w:t>že</w:t>
      </w:r>
      <w:r w:rsidR="00AD759C" w:rsidRPr="00D473AE">
        <w:rPr>
          <w:rFonts w:ascii="Times New Roman" w:hAnsi="Times New Roman"/>
          <w:sz w:val="24"/>
          <w:szCs w:val="24"/>
          <w:lang w:eastAsia="ar-SA"/>
        </w:rPr>
        <w:t xml:space="preserve">ta dotācijas no vispārējiem ieņēmumiem </w:t>
      </w:r>
      <w:r w:rsidR="004A1E25" w:rsidRPr="00D473AE">
        <w:rPr>
          <w:rFonts w:ascii="Times New Roman" w:hAnsi="Times New Roman"/>
          <w:sz w:val="24"/>
          <w:szCs w:val="24"/>
          <w:lang w:eastAsia="ar-SA"/>
        </w:rPr>
        <w:t>uz valsts pamatbudžetu</w:t>
      </w:r>
      <w:r w:rsidR="00612E3C" w:rsidRPr="00D473AE">
        <w:rPr>
          <w:rFonts w:ascii="Times New Roman" w:hAnsi="Times New Roman"/>
          <w:sz w:val="24"/>
          <w:szCs w:val="24"/>
          <w:lang w:eastAsia="ar-SA"/>
        </w:rPr>
        <w:t xml:space="preserve"> Kultūras ministrijai</w:t>
      </w:r>
      <w:r w:rsidR="004A1E25" w:rsidRPr="00D473AE">
        <w:rPr>
          <w:rFonts w:ascii="Times New Roman" w:hAnsi="Times New Roman"/>
          <w:sz w:val="24"/>
          <w:szCs w:val="24"/>
          <w:lang w:eastAsia="ar-SA"/>
        </w:rPr>
        <w:t xml:space="preserve"> </w:t>
      </w:r>
      <w:r w:rsidRPr="00D473AE">
        <w:rPr>
          <w:rFonts w:ascii="Times New Roman" w:hAnsi="Times New Roman"/>
          <w:sz w:val="24"/>
          <w:szCs w:val="24"/>
          <w:lang w:eastAsia="ar-SA"/>
        </w:rPr>
        <w:t xml:space="preserve">par </w:t>
      </w:r>
      <w:r w:rsidR="004A1E25" w:rsidRPr="00D473AE">
        <w:rPr>
          <w:rFonts w:ascii="Times New Roman" w:hAnsi="Times New Roman"/>
          <w:sz w:val="24"/>
          <w:szCs w:val="24"/>
          <w:lang w:eastAsia="ar-SA"/>
        </w:rPr>
        <w:t xml:space="preserve">63 154 </w:t>
      </w:r>
      <w:r w:rsidRPr="00D473AE">
        <w:rPr>
          <w:rFonts w:ascii="Times New Roman" w:hAnsi="Times New Roman"/>
          <w:sz w:val="24"/>
          <w:szCs w:val="24"/>
          <w:lang w:eastAsia="ar-SA"/>
        </w:rPr>
        <w:t> </w:t>
      </w:r>
      <w:r w:rsidRPr="00D473AE">
        <w:rPr>
          <w:rFonts w:ascii="Times New Roman" w:hAnsi="Times New Roman"/>
          <w:i/>
          <w:sz w:val="24"/>
          <w:szCs w:val="24"/>
          <w:lang w:eastAsia="ar-SA"/>
        </w:rPr>
        <w:t>euro</w:t>
      </w:r>
      <w:r w:rsidRPr="00D473AE">
        <w:rPr>
          <w:rFonts w:ascii="Times New Roman" w:hAnsi="Times New Roman"/>
          <w:sz w:val="24"/>
          <w:szCs w:val="24"/>
          <w:lang w:eastAsia="ar-SA"/>
        </w:rPr>
        <w:t xml:space="preserve"> samaksai </w:t>
      </w:r>
      <w:r w:rsidR="003E23F1" w:rsidRPr="00D473AE">
        <w:rPr>
          <w:rFonts w:ascii="Times New Roman" w:hAnsi="Times New Roman"/>
          <w:sz w:val="24"/>
          <w:szCs w:val="24"/>
          <w:lang w:eastAsia="ar-SA"/>
        </w:rPr>
        <w:t>d</w:t>
      </w:r>
      <w:r w:rsidR="004A1E25" w:rsidRPr="00D473AE">
        <w:rPr>
          <w:rFonts w:ascii="Times New Roman" w:hAnsi="Times New Roman"/>
          <w:sz w:val="24"/>
          <w:szCs w:val="24"/>
          <w:lang w:eastAsia="ar-SA"/>
        </w:rPr>
        <w:t>atoru un telefona tīklu infrastruktūras izmaiņām prezidentūras vajadzībām</w:t>
      </w:r>
      <w:r w:rsidR="00B03F9D">
        <w:rPr>
          <w:rFonts w:ascii="Times New Roman" w:hAnsi="Times New Roman"/>
          <w:sz w:val="24"/>
          <w:szCs w:val="24"/>
          <w:lang w:eastAsia="ar-SA"/>
        </w:rPr>
        <w:t xml:space="preserve"> Latvijas Nacionālajā bibliotēkā</w:t>
      </w:r>
      <w:r w:rsidR="004A1E25" w:rsidRPr="00D473AE">
        <w:rPr>
          <w:rFonts w:ascii="Times New Roman" w:hAnsi="Times New Roman"/>
          <w:sz w:val="24"/>
          <w:szCs w:val="24"/>
          <w:lang w:eastAsia="ar-SA"/>
        </w:rPr>
        <w:t>;</w:t>
      </w:r>
    </w:p>
    <w:p w:rsidR="004A1E25" w:rsidRPr="00D473AE" w:rsidRDefault="004259DB" w:rsidP="003C2748">
      <w:pPr>
        <w:pStyle w:val="ListParagraph"/>
        <w:numPr>
          <w:ilvl w:val="0"/>
          <w:numId w:val="1"/>
        </w:numPr>
        <w:tabs>
          <w:tab w:val="left" w:pos="851"/>
        </w:tabs>
        <w:suppressAutoHyphens/>
        <w:ind w:left="1134" w:hanging="425"/>
        <w:jc w:val="both"/>
        <w:rPr>
          <w:rFonts w:ascii="Times New Roman" w:hAnsi="Times New Roman"/>
          <w:sz w:val="24"/>
          <w:szCs w:val="24"/>
          <w:lang w:eastAsia="ar-SA"/>
        </w:rPr>
      </w:pPr>
      <w:r w:rsidRPr="00D473AE">
        <w:rPr>
          <w:rFonts w:ascii="Times New Roman" w:hAnsi="Times New Roman"/>
          <w:sz w:val="24"/>
          <w:szCs w:val="24"/>
          <w:lang w:eastAsia="ar-SA"/>
        </w:rPr>
        <w:t xml:space="preserve">palielināt izdevumus </w:t>
      </w:r>
      <w:r w:rsidR="004A1E25" w:rsidRPr="00D473AE">
        <w:rPr>
          <w:rFonts w:ascii="Times New Roman" w:hAnsi="Times New Roman"/>
          <w:sz w:val="24"/>
          <w:szCs w:val="24"/>
          <w:lang w:eastAsia="ar-SA"/>
        </w:rPr>
        <w:t xml:space="preserve">valsts un pašvaldību budžeta dotāciju komersantiem  par </w:t>
      </w:r>
      <w:r w:rsidR="00ED0754" w:rsidRPr="00D473AE">
        <w:rPr>
          <w:rFonts w:ascii="Times New Roman" w:hAnsi="Times New Roman"/>
          <w:sz w:val="24"/>
          <w:szCs w:val="24"/>
          <w14:textOutline w14:w="0" w14:cap="flat" w14:cmpd="sng" w14:algn="ctr">
            <w14:noFill/>
            <w14:prstDash w14:val="solid"/>
            <w14:round/>
          </w14:textOutline>
        </w:rPr>
        <w:t>603 746</w:t>
      </w:r>
      <w:r w:rsidR="00ED0754" w:rsidRPr="00D473AE">
        <w:rPr>
          <w14:textOutline w14:w="0" w14:cap="flat" w14:cmpd="sng" w14:algn="ctr">
            <w14:noFill/>
            <w14:prstDash w14:val="solid"/>
            <w14:round/>
          </w14:textOutline>
        </w:rPr>
        <w:t xml:space="preserve"> </w:t>
      </w:r>
      <w:r w:rsidR="004A1E25" w:rsidRPr="00D473AE">
        <w:rPr>
          <w:rFonts w:ascii="Times New Roman" w:hAnsi="Times New Roman"/>
          <w:sz w:val="24"/>
          <w:szCs w:val="24"/>
          <w:lang w:eastAsia="ar-SA"/>
        </w:rPr>
        <w:t xml:space="preserve">euro, (VSIA “Latvijas Koncerti” </w:t>
      </w:r>
      <w:r w:rsidR="003C2748" w:rsidRPr="00D473AE">
        <w:rPr>
          <w:rFonts w:ascii="Times New Roman" w:hAnsi="Times New Roman"/>
          <w:sz w:val="24"/>
          <w:szCs w:val="24"/>
          <w:lang w:eastAsia="ar-SA"/>
        </w:rPr>
        <w:t>–</w:t>
      </w:r>
      <w:r w:rsidR="004A1E25" w:rsidRPr="00D473AE">
        <w:rPr>
          <w:rFonts w:ascii="Times New Roman" w:hAnsi="Times New Roman"/>
          <w:sz w:val="24"/>
          <w:szCs w:val="24"/>
          <w:lang w:eastAsia="ar-SA"/>
        </w:rPr>
        <w:t xml:space="preserve"> </w:t>
      </w:r>
      <w:r w:rsidR="00ED0754" w:rsidRPr="00D473AE">
        <w:rPr>
          <w:rFonts w:ascii="Times New Roman" w:hAnsi="Times New Roman"/>
          <w:sz w:val="24"/>
          <w:szCs w:val="24"/>
          <w:lang w:eastAsia="ar-SA"/>
        </w:rPr>
        <w:t> 268 923</w:t>
      </w:r>
      <w:r w:rsidR="00271923" w:rsidRPr="00D473AE">
        <w:rPr>
          <w:rFonts w:ascii="Times New Roman" w:hAnsi="Times New Roman"/>
          <w:sz w:val="24"/>
          <w:szCs w:val="24"/>
          <w:lang w:eastAsia="ar-SA"/>
        </w:rPr>
        <w:t xml:space="preserve"> </w:t>
      </w:r>
      <w:r w:rsidR="003C2748" w:rsidRPr="00D473AE">
        <w:rPr>
          <w:rFonts w:ascii="Times New Roman" w:hAnsi="Times New Roman"/>
          <w:i/>
          <w:sz w:val="24"/>
          <w:szCs w:val="24"/>
          <w:lang w:eastAsia="ar-SA"/>
        </w:rPr>
        <w:t>euro</w:t>
      </w:r>
      <w:r w:rsidR="003C2748" w:rsidRPr="00D473AE">
        <w:rPr>
          <w:rFonts w:ascii="Times New Roman" w:hAnsi="Times New Roman"/>
          <w:sz w:val="24"/>
          <w:szCs w:val="24"/>
          <w:lang w:eastAsia="ar-SA"/>
        </w:rPr>
        <w:t xml:space="preserve">; </w:t>
      </w:r>
      <w:r w:rsidR="00087D97" w:rsidRPr="00D473AE">
        <w:rPr>
          <w:rFonts w:ascii="Times New Roman" w:hAnsi="Times New Roman"/>
          <w:sz w:val="24"/>
          <w:szCs w:val="24"/>
          <w:lang w:eastAsia="ar-SA"/>
        </w:rPr>
        <w:t>VSIA „</w:t>
      </w:r>
      <w:r w:rsidR="004A1E25" w:rsidRPr="00D473AE">
        <w:rPr>
          <w:rFonts w:ascii="Times New Roman" w:hAnsi="Times New Roman"/>
          <w:sz w:val="24"/>
          <w:szCs w:val="24"/>
          <w:lang w:eastAsia="ar-SA"/>
        </w:rPr>
        <w:t>Latvijas Nacionālā Opera</w:t>
      </w:r>
      <w:r w:rsidR="00087D97" w:rsidRPr="00D473AE">
        <w:rPr>
          <w:rFonts w:ascii="Times New Roman" w:hAnsi="Times New Roman"/>
          <w:sz w:val="24"/>
          <w:szCs w:val="24"/>
          <w:lang w:eastAsia="ar-SA"/>
        </w:rPr>
        <w:t>”</w:t>
      </w:r>
      <w:r w:rsidR="003C2748" w:rsidRPr="00D473AE">
        <w:rPr>
          <w:rFonts w:ascii="Times New Roman" w:hAnsi="Times New Roman"/>
          <w:sz w:val="24"/>
          <w:szCs w:val="24"/>
          <w:lang w:eastAsia="ar-SA"/>
        </w:rPr>
        <w:t xml:space="preserve"> – 71 896 </w:t>
      </w:r>
      <w:r w:rsidR="003C2748" w:rsidRPr="00D473AE">
        <w:rPr>
          <w:rFonts w:ascii="Times New Roman" w:hAnsi="Times New Roman"/>
          <w:i/>
          <w:sz w:val="24"/>
          <w:szCs w:val="24"/>
          <w:lang w:eastAsia="ar-SA"/>
        </w:rPr>
        <w:t>euro</w:t>
      </w:r>
      <w:r w:rsidR="003C2748" w:rsidRPr="00D473AE">
        <w:rPr>
          <w:rFonts w:ascii="Times New Roman" w:hAnsi="Times New Roman"/>
          <w:sz w:val="24"/>
          <w:szCs w:val="24"/>
          <w:lang w:eastAsia="ar-SA"/>
        </w:rPr>
        <w:t xml:space="preserve">; </w:t>
      </w:r>
      <w:r w:rsidR="00087D97" w:rsidRPr="00D473AE">
        <w:rPr>
          <w:rFonts w:ascii="Times New Roman" w:hAnsi="Times New Roman"/>
          <w:sz w:val="24"/>
          <w:szCs w:val="24"/>
          <w:lang w:eastAsia="ar-SA"/>
        </w:rPr>
        <w:t>VSIA „</w:t>
      </w:r>
      <w:r w:rsidR="004A1E25" w:rsidRPr="00D473AE">
        <w:rPr>
          <w:rFonts w:ascii="Times New Roman" w:hAnsi="Times New Roman"/>
          <w:sz w:val="24"/>
          <w:szCs w:val="24"/>
          <w:lang w:eastAsia="ar-SA"/>
        </w:rPr>
        <w:t>Latvijas Nacionālais Simfoniskais orķestris</w:t>
      </w:r>
      <w:r w:rsidR="00087D97" w:rsidRPr="00D473AE">
        <w:rPr>
          <w:rFonts w:ascii="Times New Roman" w:hAnsi="Times New Roman"/>
          <w:sz w:val="24"/>
          <w:szCs w:val="24"/>
          <w:lang w:eastAsia="ar-SA"/>
        </w:rPr>
        <w:t xml:space="preserve">” </w:t>
      </w:r>
      <w:r w:rsidR="003C2748" w:rsidRPr="00D473AE">
        <w:rPr>
          <w:rFonts w:ascii="Times New Roman" w:hAnsi="Times New Roman"/>
          <w:sz w:val="24"/>
          <w:szCs w:val="24"/>
          <w:lang w:eastAsia="ar-SA"/>
        </w:rPr>
        <w:t xml:space="preserve">– 70 818 </w:t>
      </w:r>
      <w:r w:rsidR="003C2748" w:rsidRPr="00D473AE">
        <w:rPr>
          <w:rFonts w:ascii="Times New Roman" w:hAnsi="Times New Roman"/>
          <w:i/>
          <w:sz w:val="24"/>
          <w:szCs w:val="24"/>
          <w:lang w:eastAsia="ar-SA"/>
        </w:rPr>
        <w:t>euro</w:t>
      </w:r>
      <w:r w:rsidR="003C2748" w:rsidRPr="00D473AE">
        <w:rPr>
          <w:rFonts w:ascii="Times New Roman" w:hAnsi="Times New Roman"/>
          <w:sz w:val="24"/>
          <w:szCs w:val="24"/>
          <w:lang w:eastAsia="ar-SA"/>
        </w:rPr>
        <w:t xml:space="preserve">; </w:t>
      </w:r>
      <w:r w:rsidR="00087D97" w:rsidRPr="00D473AE">
        <w:rPr>
          <w:rFonts w:ascii="Times New Roman" w:hAnsi="Times New Roman"/>
          <w:sz w:val="24"/>
          <w:szCs w:val="24"/>
          <w:lang w:eastAsia="ar-SA"/>
        </w:rPr>
        <w:t>VSIA „</w:t>
      </w:r>
      <w:r w:rsidR="004A1E25" w:rsidRPr="00D473AE">
        <w:rPr>
          <w:rFonts w:ascii="Times New Roman" w:hAnsi="Times New Roman"/>
          <w:sz w:val="24"/>
          <w:szCs w:val="24"/>
          <w:lang w:eastAsia="ar-SA"/>
        </w:rPr>
        <w:t>Valsts Akadēmiskais koris Latvija</w:t>
      </w:r>
      <w:r w:rsidR="00087D97" w:rsidRPr="00D473AE">
        <w:rPr>
          <w:rFonts w:ascii="Times New Roman" w:hAnsi="Times New Roman"/>
          <w:sz w:val="24"/>
          <w:szCs w:val="24"/>
          <w:lang w:eastAsia="ar-SA"/>
        </w:rPr>
        <w:t xml:space="preserve">” </w:t>
      </w:r>
      <w:r w:rsidR="003C2748" w:rsidRPr="00D473AE">
        <w:rPr>
          <w:rFonts w:ascii="Times New Roman" w:hAnsi="Times New Roman"/>
          <w:sz w:val="24"/>
          <w:szCs w:val="24"/>
          <w:lang w:eastAsia="ar-SA"/>
        </w:rPr>
        <w:t xml:space="preserve">- 150 959 </w:t>
      </w:r>
      <w:r w:rsidR="003C2748" w:rsidRPr="00D473AE">
        <w:rPr>
          <w:rFonts w:ascii="Times New Roman" w:hAnsi="Times New Roman"/>
          <w:i/>
          <w:sz w:val="24"/>
          <w:szCs w:val="24"/>
          <w:lang w:eastAsia="ar-SA"/>
        </w:rPr>
        <w:t>euro</w:t>
      </w:r>
      <w:r w:rsidR="003C2748" w:rsidRPr="00D473AE">
        <w:rPr>
          <w:rFonts w:ascii="Times New Roman" w:hAnsi="Times New Roman"/>
          <w:sz w:val="24"/>
          <w:szCs w:val="24"/>
          <w:lang w:eastAsia="ar-SA"/>
        </w:rPr>
        <w:t xml:space="preserve">; </w:t>
      </w:r>
      <w:r w:rsidR="004A1E25" w:rsidRPr="00D473AE">
        <w:rPr>
          <w:rFonts w:ascii="Times New Roman" w:hAnsi="Times New Roman"/>
          <w:sz w:val="24"/>
          <w:szCs w:val="24"/>
          <w:lang w:eastAsia="ar-SA"/>
        </w:rPr>
        <w:t>VSIA “Kremerata Baltica”</w:t>
      </w:r>
      <w:r w:rsidR="003C2748" w:rsidRPr="00D473AE">
        <w:rPr>
          <w:rFonts w:ascii="Times New Roman" w:hAnsi="Times New Roman"/>
          <w:sz w:val="24"/>
          <w:szCs w:val="24"/>
          <w:lang w:eastAsia="ar-SA"/>
        </w:rPr>
        <w:t xml:space="preserve">- 41 150 </w:t>
      </w:r>
      <w:r w:rsidR="003C2748" w:rsidRPr="00D473AE">
        <w:rPr>
          <w:rFonts w:ascii="Times New Roman" w:hAnsi="Times New Roman"/>
          <w:i/>
          <w:sz w:val="24"/>
          <w:szCs w:val="24"/>
          <w:lang w:eastAsia="ar-SA"/>
        </w:rPr>
        <w:t>euro</w:t>
      </w:r>
      <w:r w:rsidR="003C2748" w:rsidRPr="00D473AE">
        <w:rPr>
          <w:rFonts w:ascii="Times New Roman" w:hAnsi="Times New Roman"/>
          <w:sz w:val="24"/>
          <w:szCs w:val="24"/>
          <w:lang w:eastAsia="ar-SA"/>
        </w:rPr>
        <w:t>)</w:t>
      </w:r>
      <w:r w:rsidR="00B03F9D">
        <w:rPr>
          <w:rFonts w:ascii="Times New Roman" w:hAnsi="Times New Roman"/>
          <w:sz w:val="24"/>
          <w:szCs w:val="24"/>
          <w:lang w:eastAsia="ar-SA"/>
        </w:rPr>
        <w:t>.</w:t>
      </w:r>
    </w:p>
    <w:p w:rsidR="004259DB" w:rsidRPr="00714C27" w:rsidRDefault="004259DB" w:rsidP="00C52A1C">
      <w:pPr>
        <w:tabs>
          <w:tab w:val="left" w:pos="709"/>
        </w:tabs>
        <w:suppressAutoHyphens/>
        <w:jc w:val="both"/>
        <w:rPr>
          <w:szCs w:val="24"/>
          <w:lang w:val="lv-LV" w:eastAsia="ar-SA"/>
        </w:rPr>
      </w:pPr>
      <w:r w:rsidRPr="00714C27">
        <w:rPr>
          <w:szCs w:val="24"/>
          <w:lang w:val="lv-LV"/>
        </w:rPr>
        <w:tab/>
      </w:r>
      <w:r w:rsidR="00EB3826">
        <w:rPr>
          <w:szCs w:val="24"/>
          <w:lang w:val="lv-LV"/>
        </w:rPr>
        <w:t xml:space="preserve">Apropriācijas pārdale </w:t>
      </w:r>
      <w:r w:rsidRPr="00714C27">
        <w:rPr>
          <w:szCs w:val="24"/>
          <w:lang w:val="lv-LV"/>
        </w:rPr>
        <w:t xml:space="preserve">paredz veikt attiecīgas izmaiņas budžeta apakšprogrammā 96.02.00 </w:t>
      </w:r>
      <w:r w:rsidR="001E12F4" w:rsidRPr="00714C27">
        <w:rPr>
          <w:szCs w:val="24"/>
          <w:lang w:val="lv-LV"/>
        </w:rPr>
        <w:t>„</w:t>
      </w:r>
      <w:r w:rsidRPr="00714C27">
        <w:rPr>
          <w:szCs w:val="24"/>
          <w:lang w:val="lv-LV"/>
        </w:rPr>
        <w:t>Latvijas</w:t>
      </w:r>
      <w:r w:rsidRPr="00714C27">
        <w:rPr>
          <w:szCs w:val="24"/>
          <w:lang w:val="lv-LV" w:eastAsia="ar-SA"/>
        </w:rPr>
        <w:t xml:space="preserve"> prezidentūras Eiropas Savienības Padomē nodrošināšana</w:t>
      </w:r>
      <w:r w:rsidR="00470DEB">
        <w:rPr>
          <w:szCs w:val="24"/>
          <w:lang w:val="lv-LV" w:eastAsia="ar-SA"/>
        </w:rPr>
        <w:t xml:space="preserve"> 2015.gadā</w:t>
      </w:r>
      <w:r w:rsidRPr="00714C27">
        <w:rPr>
          <w:szCs w:val="24"/>
          <w:lang w:val="lv-LV" w:eastAsia="ar-SA"/>
        </w:rPr>
        <w:t xml:space="preserve"> (centralizētie pasākumi)</w:t>
      </w:r>
      <w:r w:rsidR="001E12F4" w:rsidRPr="00714C27">
        <w:rPr>
          <w:szCs w:val="24"/>
          <w:lang w:val="lv-LV" w:eastAsia="ar-SA"/>
        </w:rPr>
        <w:t>”</w:t>
      </w:r>
      <w:r w:rsidRPr="00714C27">
        <w:rPr>
          <w:bCs/>
          <w:szCs w:val="24"/>
          <w:lang w:val="lv-LV"/>
        </w:rPr>
        <w:t xml:space="preserve"> </w:t>
      </w:r>
      <w:r w:rsidR="00A65506" w:rsidRPr="00714C27">
        <w:rPr>
          <w:bCs/>
          <w:szCs w:val="24"/>
          <w:lang w:val="lv-LV"/>
        </w:rPr>
        <w:t xml:space="preserve">un Kultūras ministrijas programmā </w:t>
      </w:r>
      <w:r w:rsidRPr="00714C27">
        <w:rPr>
          <w:bCs/>
          <w:szCs w:val="24"/>
          <w:lang w:val="lv-LV"/>
        </w:rPr>
        <w:t>96.0</w:t>
      </w:r>
      <w:r w:rsidR="00A65506" w:rsidRPr="00714C27">
        <w:rPr>
          <w:bCs/>
          <w:szCs w:val="24"/>
          <w:lang w:val="lv-LV"/>
        </w:rPr>
        <w:t>0</w:t>
      </w:r>
      <w:r w:rsidRPr="00714C27">
        <w:rPr>
          <w:bCs/>
          <w:szCs w:val="24"/>
          <w:lang w:val="lv-LV"/>
        </w:rPr>
        <w:t>.00 „</w:t>
      </w:r>
      <w:r w:rsidRPr="00714C27">
        <w:rPr>
          <w:bCs/>
          <w:szCs w:val="24"/>
          <w:lang w:val="lv-LV" w:eastAsia="lv-LV"/>
        </w:rPr>
        <w:t>Latvijas prezidentūras Eiropas Savienības Padomē nodrošināšana</w:t>
      </w:r>
      <w:r w:rsidR="00470DEB">
        <w:rPr>
          <w:bCs/>
          <w:szCs w:val="24"/>
          <w:lang w:val="lv-LV" w:eastAsia="lv-LV"/>
        </w:rPr>
        <w:t xml:space="preserve"> 2015.gadā</w:t>
      </w:r>
      <w:r w:rsidRPr="00714C27">
        <w:rPr>
          <w:bCs/>
          <w:szCs w:val="24"/>
          <w:lang w:val="lv-LV" w:eastAsia="lv-LV"/>
        </w:rPr>
        <w:t xml:space="preserve">”, </w:t>
      </w:r>
      <w:r w:rsidRPr="00714C27">
        <w:rPr>
          <w:bCs/>
          <w:szCs w:val="24"/>
          <w:lang w:val="lv-LV"/>
        </w:rPr>
        <w:t>nepalielinot gada kopējo izdevumu un ieņēmumu apjomu</w:t>
      </w:r>
      <w:r w:rsidR="00EB3826">
        <w:rPr>
          <w:bCs/>
          <w:szCs w:val="24"/>
          <w:lang w:val="lv-LV"/>
        </w:rPr>
        <w:t xml:space="preserve">, kas </w:t>
      </w:r>
      <w:r w:rsidR="00EB3826" w:rsidRPr="00714C27">
        <w:rPr>
          <w:bCs/>
          <w:szCs w:val="24"/>
          <w:lang w:val="lv-LV"/>
        </w:rPr>
        <w:t>atspoguļot</w:t>
      </w:r>
      <w:r w:rsidR="00EB3826">
        <w:rPr>
          <w:bCs/>
          <w:szCs w:val="24"/>
          <w:lang w:val="lv-LV"/>
        </w:rPr>
        <w:t>as</w:t>
      </w:r>
      <w:r w:rsidR="00EB3826" w:rsidRPr="00714C27">
        <w:rPr>
          <w:bCs/>
          <w:szCs w:val="24"/>
          <w:lang w:val="lv-LV"/>
        </w:rPr>
        <w:t xml:space="preserve"> </w:t>
      </w:r>
      <w:r w:rsidRPr="00714C27">
        <w:rPr>
          <w:bCs/>
          <w:szCs w:val="24"/>
          <w:lang w:val="lv-LV"/>
        </w:rPr>
        <w:t>tabulā</w:t>
      </w:r>
      <w:r w:rsidRPr="00714C27">
        <w:rPr>
          <w:szCs w:val="24"/>
          <w:lang w:val="lv-LV"/>
        </w:rPr>
        <w:t xml:space="preserve">. </w:t>
      </w:r>
    </w:p>
    <w:p w:rsidR="004259DB" w:rsidRDefault="004259DB" w:rsidP="004259DB">
      <w:pPr>
        <w:jc w:val="right"/>
        <w:rPr>
          <w:i/>
          <w:szCs w:val="24"/>
          <w:lang w:val="lv-LV" w:eastAsia="lv-LV"/>
        </w:rPr>
      </w:pPr>
    </w:p>
    <w:p w:rsidR="00026BC3" w:rsidRDefault="00026BC3" w:rsidP="004259DB">
      <w:pPr>
        <w:jc w:val="right"/>
        <w:rPr>
          <w:i/>
          <w:szCs w:val="24"/>
          <w:lang w:val="lv-LV" w:eastAsia="lv-LV"/>
        </w:rPr>
      </w:pPr>
    </w:p>
    <w:p w:rsidR="007B5958" w:rsidRDefault="007B5958" w:rsidP="004259DB">
      <w:pPr>
        <w:jc w:val="right"/>
        <w:rPr>
          <w:i/>
          <w:szCs w:val="24"/>
          <w:lang w:val="lv-LV" w:eastAsia="lv-LV"/>
        </w:rPr>
      </w:pPr>
    </w:p>
    <w:p w:rsidR="007B5958" w:rsidRPr="00714C27" w:rsidRDefault="007B5958" w:rsidP="004259DB">
      <w:pPr>
        <w:jc w:val="right"/>
        <w:rPr>
          <w:i/>
          <w:szCs w:val="24"/>
          <w:lang w:val="lv-LV" w:eastAsia="lv-LV"/>
        </w:rPr>
      </w:pPr>
    </w:p>
    <w:p w:rsidR="004259DB" w:rsidRPr="00714C27" w:rsidRDefault="004259DB" w:rsidP="004259DB">
      <w:pPr>
        <w:jc w:val="right"/>
        <w:rPr>
          <w:i/>
          <w:szCs w:val="24"/>
          <w:lang w:val="lv-LV"/>
        </w:rPr>
      </w:pPr>
      <w:r w:rsidRPr="00714C27">
        <w:rPr>
          <w:i/>
          <w:szCs w:val="24"/>
          <w:lang w:val="lv-LV"/>
        </w:rPr>
        <w:t xml:space="preserve"> tabula</w:t>
      </w:r>
    </w:p>
    <w:p w:rsidR="004259DB" w:rsidRPr="00714C27" w:rsidRDefault="004259DB" w:rsidP="00940574">
      <w:pPr>
        <w:jc w:val="right"/>
        <w:rPr>
          <w:i/>
          <w:szCs w:val="24"/>
          <w:lang w:val="lv-LV"/>
        </w:rPr>
      </w:pPr>
      <w:r w:rsidRPr="00714C27">
        <w:rPr>
          <w:i/>
          <w:szCs w:val="24"/>
          <w:lang w:val="lv-LV"/>
        </w:rPr>
        <w:t>Euro</w:t>
      </w:r>
    </w:p>
    <w:tbl>
      <w:tblPr>
        <w:tblStyle w:val="TableGrid"/>
        <w:tblW w:w="0" w:type="auto"/>
        <w:tblLook w:val="04A0" w:firstRow="1" w:lastRow="0" w:firstColumn="1" w:lastColumn="0" w:noHBand="0" w:noVBand="1"/>
      </w:tblPr>
      <w:tblGrid>
        <w:gridCol w:w="4090"/>
        <w:gridCol w:w="1559"/>
        <w:gridCol w:w="1709"/>
        <w:gridCol w:w="1693"/>
      </w:tblGrid>
      <w:tr w:rsidR="004259DB" w:rsidRPr="00714C27" w:rsidTr="007B5958">
        <w:trPr>
          <w:trHeight w:val="1248"/>
        </w:trPr>
        <w:tc>
          <w:tcPr>
            <w:tcW w:w="4090" w:type="dxa"/>
            <w:tcBorders>
              <w:top w:val="single" w:sz="4" w:space="0" w:color="auto"/>
              <w:left w:val="single" w:sz="4" w:space="0" w:color="auto"/>
              <w:bottom w:val="single" w:sz="4" w:space="0" w:color="auto"/>
              <w:right w:val="single" w:sz="4" w:space="0" w:color="auto"/>
            </w:tcBorders>
            <w:hideMark/>
          </w:tcPr>
          <w:p w:rsidR="004259DB" w:rsidRPr="00714C27" w:rsidRDefault="004259DB" w:rsidP="00212065">
            <w:pPr>
              <w:tabs>
                <w:tab w:val="left" w:pos="4854"/>
              </w:tabs>
              <w:ind w:right="-249"/>
              <w:jc w:val="center"/>
              <w:rPr>
                <w:szCs w:val="24"/>
                <w:lang w:val="lv-LV"/>
              </w:rPr>
            </w:pPr>
            <w:bookmarkStart w:id="0" w:name="_GoBack"/>
            <w:bookmarkEnd w:id="0"/>
            <w:r w:rsidRPr="00714C27">
              <w:rPr>
                <w:bCs/>
                <w:szCs w:val="24"/>
                <w:lang w:val="lv-LV"/>
              </w:rPr>
              <w:lastRenderedPageBreak/>
              <w:t>Apakšprogramma</w:t>
            </w:r>
          </w:p>
        </w:tc>
        <w:tc>
          <w:tcPr>
            <w:tcW w:w="1559" w:type="dxa"/>
            <w:tcBorders>
              <w:top w:val="single" w:sz="4" w:space="0" w:color="auto"/>
              <w:left w:val="single" w:sz="4" w:space="0" w:color="auto"/>
              <w:bottom w:val="single" w:sz="4" w:space="0" w:color="auto"/>
              <w:right w:val="single" w:sz="4" w:space="0" w:color="auto"/>
            </w:tcBorders>
            <w:hideMark/>
          </w:tcPr>
          <w:p w:rsidR="004259DB" w:rsidRPr="00714C27" w:rsidRDefault="004259DB" w:rsidP="00714C27">
            <w:pPr>
              <w:jc w:val="center"/>
              <w:rPr>
                <w:szCs w:val="24"/>
                <w:lang w:val="lv-LV"/>
              </w:rPr>
            </w:pPr>
            <w:r w:rsidRPr="00714C27">
              <w:rPr>
                <w:szCs w:val="24"/>
                <w:lang w:val="lv-LV"/>
              </w:rPr>
              <w:t>Apstiprināts 2014.gada budžets</w:t>
            </w:r>
            <w:r w:rsidR="00714C27" w:rsidRPr="00714C27">
              <w:rPr>
                <w:szCs w:val="24"/>
                <w:lang w:val="lv-LV"/>
              </w:rPr>
              <w:t xml:space="preserve"> (ar veiktajām izmaiņām)</w:t>
            </w:r>
          </w:p>
        </w:tc>
        <w:tc>
          <w:tcPr>
            <w:tcW w:w="1709" w:type="dxa"/>
            <w:tcBorders>
              <w:top w:val="single" w:sz="4" w:space="0" w:color="auto"/>
              <w:left w:val="single" w:sz="4" w:space="0" w:color="auto"/>
              <w:bottom w:val="single" w:sz="4" w:space="0" w:color="auto"/>
              <w:right w:val="single" w:sz="4" w:space="0" w:color="auto"/>
            </w:tcBorders>
          </w:tcPr>
          <w:p w:rsidR="004259DB" w:rsidRPr="00D473AE" w:rsidRDefault="004259DB" w:rsidP="00212065">
            <w:pPr>
              <w:jc w:val="center"/>
              <w:rPr>
                <w:szCs w:val="24"/>
                <w:lang w:val="lv-LV"/>
              </w:rPr>
            </w:pPr>
          </w:p>
          <w:p w:rsidR="004259DB" w:rsidRPr="00D473AE" w:rsidRDefault="004259DB" w:rsidP="00212065">
            <w:pPr>
              <w:jc w:val="center"/>
              <w:rPr>
                <w:szCs w:val="24"/>
                <w:lang w:val="lv-LV"/>
              </w:rPr>
            </w:pPr>
            <w:r w:rsidRPr="00D473AE">
              <w:rPr>
                <w:szCs w:val="24"/>
                <w:lang w:val="lv-LV"/>
              </w:rPr>
              <w:t>Priekšlikumi izmaiņām</w:t>
            </w:r>
          </w:p>
        </w:tc>
        <w:tc>
          <w:tcPr>
            <w:tcW w:w="1693" w:type="dxa"/>
            <w:tcBorders>
              <w:top w:val="single" w:sz="4" w:space="0" w:color="auto"/>
              <w:left w:val="single" w:sz="4" w:space="0" w:color="auto"/>
              <w:bottom w:val="single" w:sz="4" w:space="0" w:color="auto"/>
              <w:right w:val="single" w:sz="4" w:space="0" w:color="auto"/>
            </w:tcBorders>
            <w:hideMark/>
          </w:tcPr>
          <w:p w:rsidR="004259DB" w:rsidRPr="00D473AE" w:rsidRDefault="004259DB" w:rsidP="00212065">
            <w:pPr>
              <w:jc w:val="center"/>
              <w:rPr>
                <w:szCs w:val="24"/>
                <w:lang w:val="lv-LV"/>
              </w:rPr>
            </w:pPr>
            <w:r w:rsidRPr="00D473AE">
              <w:rPr>
                <w:szCs w:val="24"/>
                <w:lang w:val="lv-LV"/>
              </w:rPr>
              <w:t>2014.gada budžets ar izmaiņām</w:t>
            </w:r>
          </w:p>
        </w:tc>
      </w:tr>
      <w:tr w:rsidR="00714C27" w:rsidRPr="00714C27" w:rsidTr="007B5958">
        <w:trPr>
          <w:trHeight w:val="300"/>
        </w:trPr>
        <w:tc>
          <w:tcPr>
            <w:tcW w:w="4090" w:type="dxa"/>
            <w:vAlign w:val="center"/>
          </w:tcPr>
          <w:p w:rsidR="00714C27" w:rsidRPr="00714C27" w:rsidRDefault="00714C27">
            <w:pPr>
              <w:rPr>
                <w:szCs w:val="24"/>
                <w:lang w:val="lv-LV"/>
              </w:rPr>
            </w:pPr>
            <w:r w:rsidRPr="00714C27">
              <w:rPr>
                <w:szCs w:val="24"/>
                <w:lang w:val="lv-LV"/>
              </w:rPr>
              <w:t>Resursi izdevumu segšanai</w:t>
            </w:r>
          </w:p>
        </w:tc>
        <w:tc>
          <w:tcPr>
            <w:tcW w:w="1559" w:type="dxa"/>
            <w:noWrap/>
            <w:vAlign w:val="center"/>
          </w:tcPr>
          <w:p w:rsidR="00714C27" w:rsidRPr="00714C27" w:rsidRDefault="00714C27">
            <w:pPr>
              <w:jc w:val="right"/>
              <w:rPr>
                <w:szCs w:val="24"/>
                <w:lang w:val="lv-LV"/>
              </w:rPr>
            </w:pPr>
            <w:r w:rsidRPr="00714C27">
              <w:rPr>
                <w:szCs w:val="24"/>
                <w:lang w:val="lv-LV"/>
              </w:rPr>
              <w:t>7 235 127</w:t>
            </w:r>
          </w:p>
        </w:tc>
        <w:tc>
          <w:tcPr>
            <w:tcW w:w="1709" w:type="dxa"/>
            <w:noWrap/>
            <w:vAlign w:val="center"/>
          </w:tcPr>
          <w:p w:rsidR="00714C27" w:rsidRPr="00D473AE" w:rsidRDefault="00714C27">
            <w:pPr>
              <w:jc w:val="right"/>
              <w:rPr>
                <w:szCs w:val="24"/>
                <w:lang w:val="lv-LV"/>
              </w:rPr>
            </w:pPr>
            <w:r w:rsidRPr="00D473AE">
              <w:rPr>
                <w:szCs w:val="24"/>
                <w:lang w:val="lv-LV"/>
              </w:rPr>
              <w:t>0</w:t>
            </w:r>
          </w:p>
        </w:tc>
        <w:tc>
          <w:tcPr>
            <w:tcW w:w="1693" w:type="dxa"/>
            <w:noWrap/>
            <w:vAlign w:val="center"/>
          </w:tcPr>
          <w:p w:rsidR="00714C27" w:rsidRPr="00D473AE" w:rsidRDefault="00714C27">
            <w:pPr>
              <w:jc w:val="right"/>
              <w:rPr>
                <w:szCs w:val="24"/>
                <w:lang w:val="lv-LV"/>
              </w:rPr>
            </w:pPr>
            <w:r w:rsidRPr="00D473AE">
              <w:rPr>
                <w:szCs w:val="24"/>
                <w:lang w:val="lv-LV"/>
              </w:rPr>
              <w:t>7 235 127</w:t>
            </w:r>
          </w:p>
        </w:tc>
      </w:tr>
      <w:tr w:rsidR="00714C27" w:rsidRPr="00714C27" w:rsidTr="007B5958">
        <w:trPr>
          <w:trHeight w:val="300"/>
        </w:trPr>
        <w:tc>
          <w:tcPr>
            <w:tcW w:w="4090" w:type="dxa"/>
            <w:vAlign w:val="center"/>
            <w:hideMark/>
          </w:tcPr>
          <w:p w:rsidR="00714C27" w:rsidRPr="00714C27" w:rsidRDefault="00714C27">
            <w:pPr>
              <w:rPr>
                <w:szCs w:val="24"/>
                <w:lang w:val="lv-LV"/>
              </w:rPr>
            </w:pPr>
            <w:r w:rsidRPr="00714C27">
              <w:rPr>
                <w:szCs w:val="24"/>
                <w:lang w:val="lv-LV"/>
              </w:rPr>
              <w:t>Dotācija no vispārējiem ieņēmumiem</w:t>
            </w:r>
          </w:p>
        </w:tc>
        <w:tc>
          <w:tcPr>
            <w:tcW w:w="1559" w:type="dxa"/>
            <w:noWrap/>
            <w:vAlign w:val="center"/>
            <w:hideMark/>
          </w:tcPr>
          <w:p w:rsidR="00714C27" w:rsidRPr="00714C27" w:rsidRDefault="00714C27">
            <w:pPr>
              <w:jc w:val="right"/>
              <w:rPr>
                <w:szCs w:val="24"/>
                <w:lang w:val="lv-LV"/>
              </w:rPr>
            </w:pPr>
            <w:r w:rsidRPr="00714C27">
              <w:rPr>
                <w:szCs w:val="24"/>
                <w:lang w:val="lv-LV"/>
              </w:rPr>
              <w:t>7 235 127</w:t>
            </w:r>
          </w:p>
        </w:tc>
        <w:tc>
          <w:tcPr>
            <w:tcW w:w="1709" w:type="dxa"/>
            <w:noWrap/>
            <w:vAlign w:val="center"/>
            <w:hideMark/>
          </w:tcPr>
          <w:p w:rsidR="00714C27" w:rsidRPr="00D473AE" w:rsidRDefault="00714C27">
            <w:pPr>
              <w:jc w:val="right"/>
              <w:rPr>
                <w:szCs w:val="24"/>
                <w:lang w:val="lv-LV"/>
              </w:rPr>
            </w:pPr>
            <w:r w:rsidRPr="00D473AE">
              <w:rPr>
                <w:szCs w:val="24"/>
                <w:lang w:val="lv-LV"/>
              </w:rPr>
              <w:t>0</w:t>
            </w:r>
          </w:p>
        </w:tc>
        <w:tc>
          <w:tcPr>
            <w:tcW w:w="1693" w:type="dxa"/>
            <w:noWrap/>
            <w:vAlign w:val="center"/>
            <w:hideMark/>
          </w:tcPr>
          <w:p w:rsidR="00714C27" w:rsidRPr="00D473AE" w:rsidRDefault="00714C27">
            <w:pPr>
              <w:jc w:val="right"/>
              <w:rPr>
                <w:szCs w:val="24"/>
                <w:lang w:val="lv-LV"/>
              </w:rPr>
            </w:pPr>
            <w:r w:rsidRPr="00D473AE">
              <w:rPr>
                <w:szCs w:val="24"/>
                <w:lang w:val="lv-LV"/>
              </w:rPr>
              <w:t>7 235 127</w:t>
            </w:r>
          </w:p>
        </w:tc>
      </w:tr>
      <w:tr w:rsidR="00714C27" w:rsidRPr="00714C27" w:rsidTr="007B5958">
        <w:trPr>
          <w:trHeight w:val="300"/>
        </w:trPr>
        <w:tc>
          <w:tcPr>
            <w:tcW w:w="4090" w:type="dxa"/>
            <w:vAlign w:val="center"/>
            <w:hideMark/>
          </w:tcPr>
          <w:p w:rsidR="00714C27" w:rsidRPr="00714C27" w:rsidRDefault="00714C27">
            <w:pPr>
              <w:rPr>
                <w:szCs w:val="24"/>
                <w:lang w:val="lv-LV"/>
              </w:rPr>
            </w:pPr>
            <w:r w:rsidRPr="00714C27">
              <w:rPr>
                <w:szCs w:val="24"/>
                <w:lang w:val="lv-LV"/>
              </w:rPr>
              <w:t>Vispārējā kārtībā sadalāmā dotācija no vispārējiem ieņēmumiem</w:t>
            </w:r>
          </w:p>
        </w:tc>
        <w:tc>
          <w:tcPr>
            <w:tcW w:w="1559" w:type="dxa"/>
            <w:noWrap/>
            <w:vAlign w:val="center"/>
            <w:hideMark/>
          </w:tcPr>
          <w:p w:rsidR="00714C27" w:rsidRPr="00714C27" w:rsidRDefault="00714C27">
            <w:pPr>
              <w:jc w:val="right"/>
              <w:rPr>
                <w:szCs w:val="24"/>
                <w:lang w:val="lv-LV"/>
              </w:rPr>
            </w:pPr>
            <w:r w:rsidRPr="00714C27">
              <w:rPr>
                <w:szCs w:val="24"/>
                <w:lang w:val="lv-LV"/>
              </w:rPr>
              <w:t>7 235 127</w:t>
            </w:r>
          </w:p>
        </w:tc>
        <w:tc>
          <w:tcPr>
            <w:tcW w:w="1709" w:type="dxa"/>
            <w:noWrap/>
            <w:vAlign w:val="center"/>
            <w:hideMark/>
          </w:tcPr>
          <w:p w:rsidR="00714C27" w:rsidRPr="00D473AE" w:rsidRDefault="00714C27">
            <w:pPr>
              <w:jc w:val="right"/>
              <w:rPr>
                <w:szCs w:val="24"/>
                <w:lang w:val="lv-LV"/>
              </w:rPr>
            </w:pPr>
            <w:r w:rsidRPr="00D473AE">
              <w:rPr>
                <w:szCs w:val="24"/>
                <w:lang w:val="lv-LV"/>
              </w:rPr>
              <w:t>0</w:t>
            </w:r>
          </w:p>
        </w:tc>
        <w:tc>
          <w:tcPr>
            <w:tcW w:w="1693" w:type="dxa"/>
            <w:noWrap/>
            <w:vAlign w:val="center"/>
            <w:hideMark/>
          </w:tcPr>
          <w:p w:rsidR="00714C27" w:rsidRPr="00D473AE" w:rsidRDefault="00714C27">
            <w:pPr>
              <w:jc w:val="right"/>
              <w:rPr>
                <w:szCs w:val="24"/>
                <w:lang w:val="lv-LV"/>
              </w:rPr>
            </w:pPr>
            <w:r w:rsidRPr="00D473AE">
              <w:rPr>
                <w:szCs w:val="24"/>
                <w:lang w:val="lv-LV"/>
              </w:rPr>
              <w:t>7 235 127</w:t>
            </w:r>
          </w:p>
        </w:tc>
      </w:tr>
      <w:tr w:rsidR="00714C27" w:rsidRPr="00714C27" w:rsidTr="007B5958">
        <w:trPr>
          <w:trHeight w:val="510"/>
        </w:trPr>
        <w:tc>
          <w:tcPr>
            <w:tcW w:w="4090" w:type="dxa"/>
            <w:vAlign w:val="center"/>
            <w:hideMark/>
          </w:tcPr>
          <w:p w:rsidR="00714C27" w:rsidRPr="00714C27" w:rsidRDefault="00714C27">
            <w:pPr>
              <w:rPr>
                <w:szCs w:val="24"/>
                <w:lang w:val="lv-LV"/>
              </w:rPr>
            </w:pPr>
            <w:r w:rsidRPr="00714C27">
              <w:rPr>
                <w:szCs w:val="24"/>
                <w:lang w:val="lv-LV"/>
              </w:rPr>
              <w:t>Izdevumi – kopā</w:t>
            </w:r>
          </w:p>
        </w:tc>
        <w:tc>
          <w:tcPr>
            <w:tcW w:w="1559" w:type="dxa"/>
            <w:noWrap/>
            <w:vAlign w:val="center"/>
            <w:hideMark/>
          </w:tcPr>
          <w:p w:rsidR="00714C27" w:rsidRPr="00714C27" w:rsidRDefault="00714C27">
            <w:pPr>
              <w:jc w:val="right"/>
              <w:rPr>
                <w:szCs w:val="24"/>
                <w:lang w:val="lv-LV"/>
              </w:rPr>
            </w:pPr>
            <w:r w:rsidRPr="00714C27">
              <w:rPr>
                <w:szCs w:val="24"/>
                <w:lang w:val="lv-LV"/>
              </w:rPr>
              <w:t>7 235 127</w:t>
            </w:r>
          </w:p>
        </w:tc>
        <w:tc>
          <w:tcPr>
            <w:tcW w:w="1709" w:type="dxa"/>
            <w:noWrap/>
            <w:vAlign w:val="center"/>
            <w:hideMark/>
          </w:tcPr>
          <w:p w:rsidR="00714C27" w:rsidRPr="00D473AE" w:rsidRDefault="00714C27">
            <w:pPr>
              <w:jc w:val="right"/>
              <w:rPr>
                <w:szCs w:val="24"/>
                <w:lang w:val="lv-LV"/>
              </w:rPr>
            </w:pPr>
            <w:r w:rsidRPr="00D473AE">
              <w:rPr>
                <w:szCs w:val="24"/>
                <w:lang w:val="lv-LV"/>
              </w:rPr>
              <w:t>0</w:t>
            </w:r>
          </w:p>
        </w:tc>
        <w:tc>
          <w:tcPr>
            <w:tcW w:w="1693" w:type="dxa"/>
            <w:noWrap/>
            <w:vAlign w:val="center"/>
            <w:hideMark/>
          </w:tcPr>
          <w:p w:rsidR="00714C27" w:rsidRPr="00D473AE" w:rsidRDefault="00714C27">
            <w:pPr>
              <w:jc w:val="right"/>
              <w:rPr>
                <w:szCs w:val="24"/>
                <w:lang w:val="lv-LV"/>
              </w:rPr>
            </w:pPr>
            <w:r w:rsidRPr="00D473AE">
              <w:rPr>
                <w:szCs w:val="24"/>
                <w:lang w:val="lv-LV"/>
              </w:rPr>
              <w:t>7 235 127</w:t>
            </w:r>
          </w:p>
        </w:tc>
      </w:tr>
      <w:tr w:rsidR="00714C27" w:rsidRPr="00714C27" w:rsidTr="007B5958">
        <w:trPr>
          <w:trHeight w:val="300"/>
        </w:trPr>
        <w:tc>
          <w:tcPr>
            <w:tcW w:w="4090" w:type="dxa"/>
            <w:vAlign w:val="center"/>
            <w:hideMark/>
          </w:tcPr>
          <w:p w:rsidR="00714C27" w:rsidRPr="00714C27" w:rsidRDefault="00714C27">
            <w:pPr>
              <w:rPr>
                <w:szCs w:val="24"/>
                <w:lang w:val="lv-LV"/>
              </w:rPr>
            </w:pPr>
            <w:r w:rsidRPr="00714C27">
              <w:rPr>
                <w:szCs w:val="24"/>
                <w:lang w:val="lv-LV"/>
              </w:rPr>
              <w:t>Uzturēšanas izdevumi</w:t>
            </w:r>
          </w:p>
        </w:tc>
        <w:tc>
          <w:tcPr>
            <w:tcW w:w="1559" w:type="dxa"/>
            <w:noWrap/>
            <w:vAlign w:val="center"/>
            <w:hideMark/>
          </w:tcPr>
          <w:p w:rsidR="00714C27" w:rsidRPr="00714C27" w:rsidRDefault="00714C27">
            <w:pPr>
              <w:jc w:val="right"/>
              <w:rPr>
                <w:szCs w:val="24"/>
                <w:lang w:val="lv-LV"/>
              </w:rPr>
            </w:pPr>
            <w:r w:rsidRPr="00714C27">
              <w:rPr>
                <w:szCs w:val="24"/>
                <w:lang w:val="lv-LV"/>
              </w:rPr>
              <w:t>5 113 016</w:t>
            </w:r>
          </w:p>
        </w:tc>
        <w:tc>
          <w:tcPr>
            <w:tcW w:w="1709" w:type="dxa"/>
            <w:noWrap/>
            <w:vAlign w:val="center"/>
            <w:hideMark/>
          </w:tcPr>
          <w:p w:rsidR="00714C27" w:rsidRPr="00D473AE" w:rsidRDefault="00714C27">
            <w:pPr>
              <w:jc w:val="right"/>
              <w:rPr>
                <w:szCs w:val="24"/>
                <w:lang w:val="lv-LV"/>
              </w:rPr>
            </w:pPr>
            <w:r w:rsidRPr="00D473AE">
              <w:rPr>
                <w:szCs w:val="24"/>
                <w:lang w:val="lv-LV"/>
              </w:rPr>
              <w:t>-63 154</w:t>
            </w:r>
          </w:p>
        </w:tc>
        <w:tc>
          <w:tcPr>
            <w:tcW w:w="1693" w:type="dxa"/>
            <w:noWrap/>
            <w:vAlign w:val="center"/>
            <w:hideMark/>
          </w:tcPr>
          <w:p w:rsidR="00714C27" w:rsidRPr="00D473AE" w:rsidRDefault="00714C27">
            <w:pPr>
              <w:jc w:val="right"/>
              <w:rPr>
                <w:szCs w:val="24"/>
                <w:lang w:val="lv-LV"/>
              </w:rPr>
            </w:pPr>
            <w:r w:rsidRPr="00D473AE">
              <w:rPr>
                <w:szCs w:val="24"/>
                <w:lang w:val="lv-LV"/>
              </w:rPr>
              <w:t>5 049 862</w:t>
            </w:r>
          </w:p>
        </w:tc>
      </w:tr>
      <w:tr w:rsidR="00714C27" w:rsidRPr="00714C27" w:rsidTr="007B5958">
        <w:trPr>
          <w:trHeight w:val="300"/>
        </w:trPr>
        <w:tc>
          <w:tcPr>
            <w:tcW w:w="4090" w:type="dxa"/>
            <w:vAlign w:val="center"/>
            <w:hideMark/>
          </w:tcPr>
          <w:p w:rsidR="00714C27" w:rsidRPr="00714C27" w:rsidRDefault="00714C27">
            <w:pPr>
              <w:rPr>
                <w:szCs w:val="24"/>
                <w:lang w:val="lv-LV"/>
              </w:rPr>
            </w:pPr>
            <w:r w:rsidRPr="00714C27">
              <w:rPr>
                <w:szCs w:val="24"/>
                <w:lang w:val="lv-LV"/>
              </w:rPr>
              <w:t>Kārtējie izdevumi</w:t>
            </w:r>
          </w:p>
        </w:tc>
        <w:tc>
          <w:tcPr>
            <w:tcW w:w="1559" w:type="dxa"/>
            <w:noWrap/>
            <w:vAlign w:val="center"/>
            <w:hideMark/>
          </w:tcPr>
          <w:p w:rsidR="00714C27" w:rsidRPr="00714C27" w:rsidRDefault="00714C27">
            <w:pPr>
              <w:jc w:val="right"/>
              <w:rPr>
                <w:szCs w:val="24"/>
                <w:lang w:val="lv-LV"/>
              </w:rPr>
            </w:pPr>
            <w:r w:rsidRPr="00714C27">
              <w:rPr>
                <w:szCs w:val="24"/>
                <w:lang w:val="lv-LV"/>
              </w:rPr>
              <w:t>4 818 596</w:t>
            </w:r>
          </w:p>
        </w:tc>
        <w:tc>
          <w:tcPr>
            <w:tcW w:w="1709" w:type="dxa"/>
            <w:noWrap/>
            <w:vAlign w:val="center"/>
            <w:hideMark/>
          </w:tcPr>
          <w:p w:rsidR="00714C27" w:rsidRPr="00D473AE" w:rsidRDefault="00ED0754">
            <w:pPr>
              <w:jc w:val="right"/>
              <w:rPr>
                <w:szCs w:val="24"/>
                <w:lang w:val="lv-LV"/>
              </w:rPr>
            </w:pPr>
            <w:r w:rsidRPr="00D473AE">
              <w:rPr>
                <w:szCs w:val="24"/>
                <w:lang w:val="lv-LV"/>
              </w:rPr>
              <w:t>-</w:t>
            </w:r>
            <w:r w:rsidRPr="00D473AE">
              <w:rPr>
                <w:szCs w:val="24"/>
              </w:rPr>
              <w:t>666 900</w:t>
            </w:r>
          </w:p>
        </w:tc>
        <w:tc>
          <w:tcPr>
            <w:tcW w:w="1693" w:type="dxa"/>
            <w:noWrap/>
            <w:vAlign w:val="center"/>
            <w:hideMark/>
          </w:tcPr>
          <w:p w:rsidR="00714C27" w:rsidRPr="00D473AE" w:rsidRDefault="00D473AE">
            <w:pPr>
              <w:jc w:val="right"/>
              <w:rPr>
                <w:szCs w:val="24"/>
                <w:lang w:val="lv-LV"/>
              </w:rPr>
            </w:pPr>
            <w:r w:rsidRPr="00D473AE">
              <w:rPr>
                <w:szCs w:val="24"/>
                <w:lang w:val="lv-LV"/>
              </w:rPr>
              <w:t>4 151 696</w:t>
            </w:r>
          </w:p>
        </w:tc>
      </w:tr>
      <w:tr w:rsidR="00714C27" w:rsidRPr="00714C27" w:rsidTr="007B5958">
        <w:trPr>
          <w:trHeight w:val="510"/>
        </w:trPr>
        <w:tc>
          <w:tcPr>
            <w:tcW w:w="4090" w:type="dxa"/>
            <w:vAlign w:val="center"/>
            <w:hideMark/>
          </w:tcPr>
          <w:p w:rsidR="00714C27" w:rsidRPr="00714C27" w:rsidRDefault="00714C27">
            <w:pPr>
              <w:rPr>
                <w:szCs w:val="24"/>
                <w:lang w:val="lv-LV"/>
              </w:rPr>
            </w:pPr>
            <w:r w:rsidRPr="00714C27">
              <w:rPr>
                <w:szCs w:val="24"/>
                <w:lang w:val="lv-LV"/>
              </w:rPr>
              <w:t>Atlīdzība</w:t>
            </w:r>
          </w:p>
        </w:tc>
        <w:tc>
          <w:tcPr>
            <w:tcW w:w="1559" w:type="dxa"/>
            <w:noWrap/>
            <w:vAlign w:val="center"/>
            <w:hideMark/>
          </w:tcPr>
          <w:p w:rsidR="00714C27" w:rsidRPr="00714C27" w:rsidRDefault="00714C27">
            <w:pPr>
              <w:jc w:val="right"/>
              <w:rPr>
                <w:szCs w:val="24"/>
                <w:lang w:val="lv-LV"/>
              </w:rPr>
            </w:pPr>
            <w:r w:rsidRPr="00714C27">
              <w:rPr>
                <w:szCs w:val="24"/>
                <w:lang w:val="lv-LV"/>
              </w:rPr>
              <w:t>41 900</w:t>
            </w:r>
          </w:p>
        </w:tc>
        <w:tc>
          <w:tcPr>
            <w:tcW w:w="1709" w:type="dxa"/>
            <w:noWrap/>
            <w:vAlign w:val="center"/>
            <w:hideMark/>
          </w:tcPr>
          <w:p w:rsidR="00714C27" w:rsidRPr="00D473AE" w:rsidRDefault="00714C27">
            <w:pPr>
              <w:rPr>
                <w:szCs w:val="24"/>
                <w:lang w:val="lv-LV"/>
              </w:rPr>
            </w:pPr>
            <w:r w:rsidRPr="00D473AE">
              <w:rPr>
                <w:szCs w:val="24"/>
                <w:lang w:val="lv-LV"/>
              </w:rPr>
              <w:t> </w:t>
            </w:r>
          </w:p>
        </w:tc>
        <w:tc>
          <w:tcPr>
            <w:tcW w:w="1693" w:type="dxa"/>
            <w:noWrap/>
            <w:vAlign w:val="center"/>
            <w:hideMark/>
          </w:tcPr>
          <w:p w:rsidR="00714C27" w:rsidRPr="00D473AE" w:rsidRDefault="00714C27">
            <w:pPr>
              <w:jc w:val="right"/>
              <w:rPr>
                <w:szCs w:val="24"/>
                <w:lang w:val="lv-LV"/>
              </w:rPr>
            </w:pPr>
            <w:r w:rsidRPr="00D473AE">
              <w:rPr>
                <w:szCs w:val="24"/>
                <w:lang w:val="lv-LV"/>
              </w:rPr>
              <w:t>41 900</w:t>
            </w:r>
          </w:p>
        </w:tc>
      </w:tr>
      <w:tr w:rsidR="00714C27" w:rsidRPr="00714C27" w:rsidTr="007B5958">
        <w:trPr>
          <w:trHeight w:val="300"/>
        </w:trPr>
        <w:tc>
          <w:tcPr>
            <w:tcW w:w="4090" w:type="dxa"/>
            <w:vAlign w:val="center"/>
            <w:hideMark/>
          </w:tcPr>
          <w:p w:rsidR="00714C27" w:rsidRPr="00714C27" w:rsidRDefault="00714C27">
            <w:pPr>
              <w:rPr>
                <w:szCs w:val="24"/>
                <w:lang w:val="lv-LV"/>
              </w:rPr>
            </w:pPr>
            <w:r w:rsidRPr="00714C27">
              <w:rPr>
                <w:szCs w:val="24"/>
                <w:lang w:val="lv-LV"/>
              </w:rPr>
              <w:t>Atalgojums</w:t>
            </w:r>
          </w:p>
        </w:tc>
        <w:tc>
          <w:tcPr>
            <w:tcW w:w="1559" w:type="dxa"/>
            <w:noWrap/>
            <w:vAlign w:val="center"/>
            <w:hideMark/>
          </w:tcPr>
          <w:p w:rsidR="00714C27" w:rsidRPr="00714C27" w:rsidRDefault="00714C27">
            <w:pPr>
              <w:jc w:val="right"/>
              <w:rPr>
                <w:szCs w:val="24"/>
                <w:lang w:val="lv-LV"/>
              </w:rPr>
            </w:pPr>
            <w:r w:rsidRPr="00714C27">
              <w:rPr>
                <w:szCs w:val="24"/>
                <w:lang w:val="lv-LV"/>
              </w:rPr>
              <w:t>35 319</w:t>
            </w:r>
          </w:p>
        </w:tc>
        <w:tc>
          <w:tcPr>
            <w:tcW w:w="1709" w:type="dxa"/>
            <w:noWrap/>
            <w:vAlign w:val="center"/>
            <w:hideMark/>
          </w:tcPr>
          <w:p w:rsidR="00714C27" w:rsidRPr="00D473AE" w:rsidRDefault="00714C27">
            <w:pPr>
              <w:rPr>
                <w:szCs w:val="24"/>
                <w:lang w:val="lv-LV"/>
              </w:rPr>
            </w:pPr>
            <w:r w:rsidRPr="00D473AE">
              <w:rPr>
                <w:szCs w:val="24"/>
                <w:lang w:val="lv-LV"/>
              </w:rPr>
              <w:t> </w:t>
            </w:r>
          </w:p>
        </w:tc>
        <w:tc>
          <w:tcPr>
            <w:tcW w:w="1693" w:type="dxa"/>
            <w:noWrap/>
            <w:vAlign w:val="center"/>
            <w:hideMark/>
          </w:tcPr>
          <w:p w:rsidR="00714C27" w:rsidRPr="00D473AE" w:rsidRDefault="00714C27">
            <w:pPr>
              <w:jc w:val="right"/>
              <w:rPr>
                <w:szCs w:val="24"/>
                <w:lang w:val="lv-LV"/>
              </w:rPr>
            </w:pPr>
            <w:r w:rsidRPr="00D473AE">
              <w:rPr>
                <w:szCs w:val="24"/>
                <w:lang w:val="lv-LV"/>
              </w:rPr>
              <w:t>35 319</w:t>
            </w:r>
          </w:p>
        </w:tc>
      </w:tr>
      <w:tr w:rsidR="00714C27" w:rsidRPr="00714C27" w:rsidTr="007B5958">
        <w:trPr>
          <w:trHeight w:val="300"/>
        </w:trPr>
        <w:tc>
          <w:tcPr>
            <w:tcW w:w="4090" w:type="dxa"/>
            <w:vAlign w:val="center"/>
            <w:hideMark/>
          </w:tcPr>
          <w:p w:rsidR="00714C27" w:rsidRPr="00714C27" w:rsidRDefault="00714C27">
            <w:pPr>
              <w:rPr>
                <w:szCs w:val="24"/>
                <w:lang w:val="lv-LV"/>
              </w:rPr>
            </w:pPr>
            <w:r w:rsidRPr="00714C27">
              <w:rPr>
                <w:szCs w:val="24"/>
                <w:lang w:val="lv-LV"/>
              </w:rPr>
              <w:t>Preces un pakalpojumi</w:t>
            </w:r>
          </w:p>
        </w:tc>
        <w:tc>
          <w:tcPr>
            <w:tcW w:w="1559" w:type="dxa"/>
            <w:noWrap/>
            <w:vAlign w:val="center"/>
            <w:hideMark/>
          </w:tcPr>
          <w:p w:rsidR="00714C27" w:rsidRPr="00714C27" w:rsidRDefault="00714C27">
            <w:pPr>
              <w:jc w:val="right"/>
              <w:rPr>
                <w:szCs w:val="24"/>
                <w:lang w:val="lv-LV"/>
              </w:rPr>
            </w:pPr>
            <w:r w:rsidRPr="00714C27">
              <w:rPr>
                <w:szCs w:val="24"/>
                <w:lang w:val="lv-LV"/>
              </w:rPr>
              <w:t>4 776 696</w:t>
            </w:r>
          </w:p>
        </w:tc>
        <w:tc>
          <w:tcPr>
            <w:tcW w:w="1709" w:type="dxa"/>
            <w:noWrap/>
            <w:vAlign w:val="center"/>
            <w:hideMark/>
          </w:tcPr>
          <w:p w:rsidR="00714C27" w:rsidRPr="00D473AE" w:rsidRDefault="00D473AE" w:rsidP="00D473AE">
            <w:pPr>
              <w:jc w:val="right"/>
              <w:rPr>
                <w:szCs w:val="24"/>
                <w:lang w:val="lv-LV"/>
              </w:rPr>
            </w:pPr>
            <w:r w:rsidRPr="00D473AE">
              <w:rPr>
                <w:szCs w:val="24"/>
                <w:lang w:val="lv-LV"/>
              </w:rPr>
              <w:t>-</w:t>
            </w:r>
            <w:r w:rsidR="00ED0754" w:rsidRPr="00D473AE">
              <w:rPr>
                <w:szCs w:val="24"/>
              </w:rPr>
              <w:t>666 900</w:t>
            </w:r>
          </w:p>
        </w:tc>
        <w:tc>
          <w:tcPr>
            <w:tcW w:w="1693" w:type="dxa"/>
            <w:noWrap/>
            <w:vAlign w:val="center"/>
            <w:hideMark/>
          </w:tcPr>
          <w:p w:rsidR="00714C27" w:rsidRPr="00D473AE" w:rsidRDefault="00D473AE">
            <w:pPr>
              <w:jc w:val="right"/>
              <w:rPr>
                <w:szCs w:val="24"/>
                <w:lang w:val="lv-LV"/>
              </w:rPr>
            </w:pPr>
            <w:r w:rsidRPr="00860FA4">
              <w:rPr>
                <w:szCs w:val="24"/>
                <w:lang w:val="lv-LV"/>
              </w:rPr>
              <w:t>4 10</w:t>
            </w:r>
            <w:r w:rsidR="00AE62A0" w:rsidRPr="00860FA4">
              <w:rPr>
                <w:szCs w:val="24"/>
                <w:lang w:val="lv-LV"/>
              </w:rPr>
              <w:t>9</w:t>
            </w:r>
            <w:r w:rsidRPr="00860FA4">
              <w:rPr>
                <w:szCs w:val="24"/>
                <w:lang w:val="lv-LV"/>
              </w:rPr>
              <w:t xml:space="preserve"> 796</w:t>
            </w:r>
          </w:p>
        </w:tc>
      </w:tr>
      <w:tr w:rsidR="00714C27" w:rsidRPr="00714C27" w:rsidTr="007B5958">
        <w:trPr>
          <w:trHeight w:val="510"/>
        </w:trPr>
        <w:tc>
          <w:tcPr>
            <w:tcW w:w="4090" w:type="dxa"/>
            <w:vAlign w:val="center"/>
            <w:hideMark/>
          </w:tcPr>
          <w:p w:rsidR="00714C27" w:rsidRPr="00714C27" w:rsidRDefault="00714C27">
            <w:pPr>
              <w:rPr>
                <w:szCs w:val="24"/>
                <w:lang w:val="lv-LV"/>
              </w:rPr>
            </w:pPr>
            <w:r w:rsidRPr="00714C27">
              <w:rPr>
                <w:szCs w:val="24"/>
                <w:lang w:val="lv-LV"/>
              </w:rPr>
              <w:t>Subsīdijas un dotācijas</w:t>
            </w:r>
          </w:p>
        </w:tc>
        <w:tc>
          <w:tcPr>
            <w:tcW w:w="1559" w:type="dxa"/>
            <w:noWrap/>
            <w:vAlign w:val="center"/>
            <w:hideMark/>
          </w:tcPr>
          <w:p w:rsidR="00714C27" w:rsidRPr="00714C27" w:rsidRDefault="00714C27">
            <w:pPr>
              <w:jc w:val="right"/>
              <w:rPr>
                <w:szCs w:val="24"/>
                <w:lang w:val="lv-LV"/>
              </w:rPr>
            </w:pPr>
            <w:r w:rsidRPr="00714C27">
              <w:rPr>
                <w:szCs w:val="24"/>
                <w:lang w:val="lv-LV"/>
              </w:rPr>
              <w:t>0</w:t>
            </w:r>
          </w:p>
        </w:tc>
        <w:tc>
          <w:tcPr>
            <w:tcW w:w="1709" w:type="dxa"/>
            <w:noWrap/>
            <w:vAlign w:val="center"/>
            <w:hideMark/>
          </w:tcPr>
          <w:p w:rsidR="00714C27" w:rsidRPr="00D473AE" w:rsidRDefault="00D473AE">
            <w:pPr>
              <w:jc w:val="right"/>
              <w:rPr>
                <w:szCs w:val="24"/>
                <w:lang w:val="lv-LV"/>
              </w:rPr>
            </w:pPr>
            <w:r w:rsidRPr="00D473AE">
              <w:rPr>
                <w:szCs w:val="24"/>
                <w14:textOutline w14:w="0" w14:cap="flat" w14:cmpd="sng" w14:algn="ctr">
                  <w14:noFill/>
                  <w14:prstDash w14:val="solid"/>
                  <w14:round/>
                </w14:textOutline>
              </w:rPr>
              <w:t>603 746</w:t>
            </w:r>
          </w:p>
        </w:tc>
        <w:tc>
          <w:tcPr>
            <w:tcW w:w="1693" w:type="dxa"/>
            <w:noWrap/>
            <w:vAlign w:val="center"/>
            <w:hideMark/>
          </w:tcPr>
          <w:p w:rsidR="00714C27" w:rsidRPr="00D473AE" w:rsidRDefault="00D473AE">
            <w:pPr>
              <w:jc w:val="right"/>
              <w:rPr>
                <w:szCs w:val="24"/>
                <w:lang w:val="lv-LV"/>
              </w:rPr>
            </w:pPr>
            <w:r w:rsidRPr="00D473AE">
              <w:rPr>
                <w:szCs w:val="24"/>
                <w14:textOutline w14:w="0" w14:cap="flat" w14:cmpd="sng" w14:algn="ctr">
                  <w14:noFill/>
                  <w14:prstDash w14:val="solid"/>
                  <w14:round/>
                </w14:textOutline>
              </w:rPr>
              <w:t>603 746</w:t>
            </w:r>
          </w:p>
        </w:tc>
      </w:tr>
      <w:tr w:rsidR="00D473AE" w:rsidRPr="00714C27" w:rsidTr="007B5958">
        <w:trPr>
          <w:trHeight w:val="510"/>
        </w:trPr>
        <w:tc>
          <w:tcPr>
            <w:tcW w:w="4090" w:type="dxa"/>
            <w:vAlign w:val="center"/>
            <w:hideMark/>
          </w:tcPr>
          <w:p w:rsidR="00D473AE" w:rsidRPr="00714C27" w:rsidRDefault="00D473AE">
            <w:pPr>
              <w:rPr>
                <w:szCs w:val="24"/>
                <w:lang w:val="lv-LV"/>
              </w:rPr>
            </w:pPr>
            <w:r w:rsidRPr="00714C27">
              <w:rPr>
                <w:szCs w:val="24"/>
                <w:lang w:val="lv-LV"/>
              </w:rPr>
              <w:t>Subsīdijas un dotācijas komersantiem, biedrībām un nodibinājumiem, izņemot lauksaimniecības ražošanu</w:t>
            </w:r>
          </w:p>
        </w:tc>
        <w:tc>
          <w:tcPr>
            <w:tcW w:w="1559" w:type="dxa"/>
            <w:noWrap/>
            <w:vAlign w:val="center"/>
            <w:hideMark/>
          </w:tcPr>
          <w:p w:rsidR="00D473AE" w:rsidRPr="00714C27" w:rsidRDefault="00D473AE">
            <w:pPr>
              <w:jc w:val="right"/>
              <w:rPr>
                <w:szCs w:val="24"/>
                <w:lang w:val="lv-LV"/>
              </w:rPr>
            </w:pPr>
            <w:r w:rsidRPr="00714C27">
              <w:rPr>
                <w:szCs w:val="24"/>
                <w:lang w:val="lv-LV"/>
              </w:rPr>
              <w:t>0</w:t>
            </w:r>
          </w:p>
        </w:tc>
        <w:tc>
          <w:tcPr>
            <w:tcW w:w="1709" w:type="dxa"/>
            <w:noWrap/>
            <w:vAlign w:val="center"/>
            <w:hideMark/>
          </w:tcPr>
          <w:p w:rsidR="00D473AE" w:rsidRPr="00D473AE" w:rsidRDefault="00D473AE" w:rsidP="00751C75">
            <w:pPr>
              <w:jc w:val="right"/>
              <w:rPr>
                <w:szCs w:val="24"/>
                <w:lang w:val="lv-LV"/>
              </w:rPr>
            </w:pPr>
            <w:r w:rsidRPr="00D473AE">
              <w:rPr>
                <w:szCs w:val="24"/>
                <w14:textOutline w14:w="0" w14:cap="flat" w14:cmpd="sng" w14:algn="ctr">
                  <w14:noFill/>
                  <w14:prstDash w14:val="solid"/>
                  <w14:round/>
                </w14:textOutline>
              </w:rPr>
              <w:t>603 746</w:t>
            </w:r>
          </w:p>
        </w:tc>
        <w:tc>
          <w:tcPr>
            <w:tcW w:w="1693" w:type="dxa"/>
            <w:noWrap/>
            <w:vAlign w:val="center"/>
            <w:hideMark/>
          </w:tcPr>
          <w:p w:rsidR="00D473AE" w:rsidRPr="00D473AE" w:rsidRDefault="00D473AE" w:rsidP="00751C75">
            <w:pPr>
              <w:jc w:val="right"/>
              <w:rPr>
                <w:szCs w:val="24"/>
                <w:lang w:val="lv-LV"/>
              </w:rPr>
            </w:pPr>
            <w:r w:rsidRPr="00D473AE">
              <w:rPr>
                <w:szCs w:val="24"/>
                <w14:textOutline w14:w="0" w14:cap="flat" w14:cmpd="sng" w14:algn="ctr">
                  <w14:noFill/>
                  <w14:prstDash w14:val="solid"/>
                  <w14:round/>
                </w14:textOutline>
              </w:rPr>
              <w:t>603 746</w:t>
            </w:r>
          </w:p>
        </w:tc>
      </w:tr>
      <w:tr w:rsidR="00D473AE" w:rsidRPr="00714C27" w:rsidTr="007B5958">
        <w:trPr>
          <w:trHeight w:val="765"/>
        </w:trPr>
        <w:tc>
          <w:tcPr>
            <w:tcW w:w="4090" w:type="dxa"/>
            <w:vAlign w:val="center"/>
            <w:hideMark/>
          </w:tcPr>
          <w:p w:rsidR="00D473AE" w:rsidRPr="00714C27" w:rsidRDefault="00D473AE">
            <w:pPr>
              <w:rPr>
                <w:szCs w:val="24"/>
                <w:lang w:val="lv-LV"/>
              </w:rPr>
            </w:pPr>
            <w:r w:rsidRPr="00714C27">
              <w:rPr>
                <w:szCs w:val="24"/>
                <w:lang w:val="lv-LV"/>
              </w:rPr>
              <w:t>Valsts un pašvaldību budžeta dotācija komersantiem, biedrībām, nodibinājumiem un fiziskām personām</w:t>
            </w:r>
          </w:p>
        </w:tc>
        <w:tc>
          <w:tcPr>
            <w:tcW w:w="1559" w:type="dxa"/>
            <w:noWrap/>
            <w:vAlign w:val="center"/>
            <w:hideMark/>
          </w:tcPr>
          <w:p w:rsidR="00D473AE" w:rsidRPr="00714C27" w:rsidRDefault="00D473AE">
            <w:pPr>
              <w:jc w:val="right"/>
              <w:rPr>
                <w:szCs w:val="24"/>
                <w:lang w:val="lv-LV"/>
              </w:rPr>
            </w:pPr>
            <w:r w:rsidRPr="00714C27">
              <w:rPr>
                <w:szCs w:val="24"/>
                <w:lang w:val="lv-LV"/>
              </w:rPr>
              <w:t>0</w:t>
            </w:r>
          </w:p>
        </w:tc>
        <w:tc>
          <w:tcPr>
            <w:tcW w:w="1709" w:type="dxa"/>
            <w:noWrap/>
            <w:vAlign w:val="center"/>
            <w:hideMark/>
          </w:tcPr>
          <w:p w:rsidR="00D473AE" w:rsidRPr="00D473AE" w:rsidRDefault="00D473AE" w:rsidP="00751C75">
            <w:pPr>
              <w:jc w:val="right"/>
              <w:rPr>
                <w:szCs w:val="24"/>
                <w:lang w:val="lv-LV"/>
              </w:rPr>
            </w:pPr>
            <w:r w:rsidRPr="00D473AE">
              <w:rPr>
                <w:szCs w:val="24"/>
                <w14:textOutline w14:w="0" w14:cap="flat" w14:cmpd="sng" w14:algn="ctr">
                  <w14:noFill/>
                  <w14:prstDash w14:val="solid"/>
                  <w14:round/>
                </w14:textOutline>
              </w:rPr>
              <w:t>603 746</w:t>
            </w:r>
          </w:p>
        </w:tc>
        <w:tc>
          <w:tcPr>
            <w:tcW w:w="1693" w:type="dxa"/>
            <w:noWrap/>
            <w:vAlign w:val="center"/>
            <w:hideMark/>
          </w:tcPr>
          <w:p w:rsidR="00D473AE" w:rsidRPr="00D473AE" w:rsidRDefault="00D473AE" w:rsidP="00751C75">
            <w:pPr>
              <w:jc w:val="right"/>
              <w:rPr>
                <w:szCs w:val="24"/>
                <w:lang w:val="lv-LV"/>
              </w:rPr>
            </w:pPr>
            <w:r w:rsidRPr="00D473AE">
              <w:rPr>
                <w:szCs w:val="24"/>
                <w14:textOutline w14:w="0" w14:cap="flat" w14:cmpd="sng" w14:algn="ctr">
                  <w14:noFill/>
                  <w14:prstDash w14:val="solid"/>
                  <w14:round/>
                </w14:textOutline>
              </w:rPr>
              <w:t>603 746</w:t>
            </w:r>
          </w:p>
        </w:tc>
      </w:tr>
      <w:tr w:rsidR="00D473AE" w:rsidRPr="00714C27" w:rsidTr="007B5958">
        <w:trPr>
          <w:trHeight w:val="1020"/>
        </w:trPr>
        <w:tc>
          <w:tcPr>
            <w:tcW w:w="4090" w:type="dxa"/>
            <w:vAlign w:val="center"/>
            <w:hideMark/>
          </w:tcPr>
          <w:p w:rsidR="00D473AE" w:rsidRPr="00714C27" w:rsidRDefault="00D473AE">
            <w:pPr>
              <w:rPr>
                <w:szCs w:val="24"/>
                <w:lang w:val="lv-LV"/>
              </w:rPr>
            </w:pPr>
            <w:r w:rsidRPr="00714C27">
              <w:rPr>
                <w:szCs w:val="24"/>
                <w:lang w:val="lv-LV"/>
              </w:rPr>
              <w:t>Valsts un pašvaldību budžeta dotācija komersantiem</w:t>
            </w:r>
          </w:p>
        </w:tc>
        <w:tc>
          <w:tcPr>
            <w:tcW w:w="1559" w:type="dxa"/>
            <w:noWrap/>
            <w:vAlign w:val="center"/>
            <w:hideMark/>
          </w:tcPr>
          <w:p w:rsidR="00D473AE" w:rsidRPr="00714C27" w:rsidRDefault="00D473AE">
            <w:pPr>
              <w:rPr>
                <w:szCs w:val="24"/>
                <w:lang w:val="lv-LV"/>
              </w:rPr>
            </w:pPr>
            <w:r w:rsidRPr="00714C27">
              <w:rPr>
                <w:szCs w:val="24"/>
                <w:lang w:val="lv-LV"/>
              </w:rPr>
              <w:t> </w:t>
            </w:r>
          </w:p>
        </w:tc>
        <w:tc>
          <w:tcPr>
            <w:tcW w:w="1709" w:type="dxa"/>
            <w:noWrap/>
            <w:vAlign w:val="center"/>
            <w:hideMark/>
          </w:tcPr>
          <w:p w:rsidR="00D473AE" w:rsidRPr="00D473AE" w:rsidRDefault="00D473AE" w:rsidP="00751C75">
            <w:pPr>
              <w:jc w:val="right"/>
              <w:rPr>
                <w:szCs w:val="24"/>
                <w:lang w:val="lv-LV"/>
              </w:rPr>
            </w:pPr>
            <w:r w:rsidRPr="00D473AE">
              <w:rPr>
                <w:szCs w:val="24"/>
                <w14:textOutline w14:w="0" w14:cap="flat" w14:cmpd="sng" w14:algn="ctr">
                  <w14:noFill/>
                  <w14:prstDash w14:val="solid"/>
                  <w14:round/>
                </w14:textOutline>
              </w:rPr>
              <w:t>603 746</w:t>
            </w:r>
          </w:p>
        </w:tc>
        <w:tc>
          <w:tcPr>
            <w:tcW w:w="1693" w:type="dxa"/>
            <w:noWrap/>
            <w:vAlign w:val="center"/>
            <w:hideMark/>
          </w:tcPr>
          <w:p w:rsidR="00D473AE" w:rsidRPr="00D473AE" w:rsidRDefault="00D473AE" w:rsidP="00751C75">
            <w:pPr>
              <w:jc w:val="right"/>
              <w:rPr>
                <w:szCs w:val="24"/>
                <w:lang w:val="lv-LV"/>
              </w:rPr>
            </w:pPr>
            <w:r w:rsidRPr="00D473AE">
              <w:rPr>
                <w:szCs w:val="24"/>
                <w14:textOutline w14:w="0" w14:cap="flat" w14:cmpd="sng" w14:algn="ctr">
                  <w14:noFill/>
                  <w14:prstDash w14:val="solid"/>
                  <w14:round/>
                </w14:textOutline>
              </w:rPr>
              <w:t>603 746</w:t>
            </w:r>
          </w:p>
        </w:tc>
      </w:tr>
      <w:tr w:rsidR="00714C27" w:rsidRPr="00714C27" w:rsidTr="007B5958">
        <w:trPr>
          <w:trHeight w:val="300"/>
        </w:trPr>
        <w:tc>
          <w:tcPr>
            <w:tcW w:w="4090" w:type="dxa"/>
            <w:vAlign w:val="center"/>
            <w:hideMark/>
          </w:tcPr>
          <w:p w:rsidR="00714C27" w:rsidRPr="00714C27" w:rsidRDefault="00714C27">
            <w:pPr>
              <w:rPr>
                <w:szCs w:val="24"/>
                <w:lang w:val="lv-LV"/>
              </w:rPr>
            </w:pPr>
            <w:r w:rsidRPr="00714C27">
              <w:rPr>
                <w:szCs w:val="24"/>
                <w:lang w:val="lv-LV"/>
              </w:rPr>
              <w:t>Uzturēšanas izdevumu transferti</w:t>
            </w:r>
          </w:p>
        </w:tc>
        <w:tc>
          <w:tcPr>
            <w:tcW w:w="1559" w:type="dxa"/>
            <w:noWrap/>
            <w:vAlign w:val="center"/>
            <w:hideMark/>
          </w:tcPr>
          <w:p w:rsidR="00714C27" w:rsidRPr="00714C27" w:rsidRDefault="00714C27">
            <w:pPr>
              <w:jc w:val="right"/>
              <w:rPr>
                <w:szCs w:val="24"/>
                <w:lang w:val="lv-LV"/>
              </w:rPr>
            </w:pPr>
            <w:r w:rsidRPr="00714C27">
              <w:rPr>
                <w:szCs w:val="24"/>
                <w:lang w:val="lv-LV"/>
              </w:rPr>
              <w:t>294 420</w:t>
            </w:r>
          </w:p>
        </w:tc>
        <w:tc>
          <w:tcPr>
            <w:tcW w:w="1709" w:type="dxa"/>
            <w:noWrap/>
            <w:vAlign w:val="center"/>
            <w:hideMark/>
          </w:tcPr>
          <w:p w:rsidR="00714C27" w:rsidRPr="00D473AE" w:rsidRDefault="00714C27">
            <w:pPr>
              <w:jc w:val="right"/>
              <w:rPr>
                <w:szCs w:val="24"/>
                <w:lang w:val="lv-LV"/>
              </w:rPr>
            </w:pPr>
            <w:r w:rsidRPr="00D473AE">
              <w:rPr>
                <w:szCs w:val="24"/>
                <w:lang w:val="lv-LV"/>
              </w:rPr>
              <w:t>0</w:t>
            </w:r>
          </w:p>
        </w:tc>
        <w:tc>
          <w:tcPr>
            <w:tcW w:w="1693" w:type="dxa"/>
            <w:noWrap/>
            <w:vAlign w:val="center"/>
            <w:hideMark/>
          </w:tcPr>
          <w:p w:rsidR="00714C27" w:rsidRPr="00D473AE" w:rsidRDefault="00714C27">
            <w:pPr>
              <w:jc w:val="right"/>
              <w:rPr>
                <w:szCs w:val="24"/>
                <w:lang w:val="lv-LV"/>
              </w:rPr>
            </w:pPr>
            <w:r w:rsidRPr="00D473AE">
              <w:rPr>
                <w:szCs w:val="24"/>
                <w:lang w:val="lv-LV"/>
              </w:rPr>
              <w:t>294 420</w:t>
            </w:r>
          </w:p>
        </w:tc>
      </w:tr>
      <w:tr w:rsidR="00714C27" w:rsidRPr="00714C27" w:rsidTr="007B5958">
        <w:trPr>
          <w:trHeight w:val="300"/>
        </w:trPr>
        <w:tc>
          <w:tcPr>
            <w:tcW w:w="4090" w:type="dxa"/>
            <w:vAlign w:val="center"/>
            <w:hideMark/>
          </w:tcPr>
          <w:p w:rsidR="00714C27" w:rsidRPr="00714C27" w:rsidRDefault="00714C27">
            <w:pPr>
              <w:rPr>
                <w:szCs w:val="24"/>
                <w:lang w:val="lv-LV"/>
              </w:rPr>
            </w:pPr>
            <w:r w:rsidRPr="00714C27">
              <w:rPr>
                <w:szCs w:val="24"/>
                <w:lang w:val="lv-LV"/>
              </w:rPr>
              <w:t>Valsts budžeta uzturēšanas izdevumu transferti</w:t>
            </w:r>
          </w:p>
        </w:tc>
        <w:tc>
          <w:tcPr>
            <w:tcW w:w="1559" w:type="dxa"/>
            <w:noWrap/>
            <w:vAlign w:val="center"/>
            <w:hideMark/>
          </w:tcPr>
          <w:p w:rsidR="00714C27" w:rsidRPr="00714C27" w:rsidRDefault="00714C27">
            <w:pPr>
              <w:jc w:val="right"/>
              <w:rPr>
                <w:szCs w:val="24"/>
                <w:lang w:val="lv-LV"/>
              </w:rPr>
            </w:pPr>
            <w:r w:rsidRPr="00714C27">
              <w:rPr>
                <w:szCs w:val="24"/>
                <w:lang w:val="lv-LV"/>
              </w:rPr>
              <w:t>294 420</w:t>
            </w:r>
          </w:p>
        </w:tc>
        <w:tc>
          <w:tcPr>
            <w:tcW w:w="1709" w:type="dxa"/>
            <w:noWrap/>
            <w:vAlign w:val="center"/>
            <w:hideMark/>
          </w:tcPr>
          <w:p w:rsidR="00714C27" w:rsidRPr="00D473AE" w:rsidRDefault="00714C27">
            <w:pPr>
              <w:jc w:val="right"/>
              <w:rPr>
                <w:szCs w:val="24"/>
                <w:lang w:val="lv-LV"/>
              </w:rPr>
            </w:pPr>
            <w:r w:rsidRPr="00D473AE">
              <w:rPr>
                <w:szCs w:val="24"/>
                <w:lang w:val="lv-LV"/>
              </w:rPr>
              <w:t>0</w:t>
            </w:r>
          </w:p>
        </w:tc>
        <w:tc>
          <w:tcPr>
            <w:tcW w:w="1693" w:type="dxa"/>
            <w:noWrap/>
            <w:vAlign w:val="center"/>
            <w:hideMark/>
          </w:tcPr>
          <w:p w:rsidR="00714C27" w:rsidRPr="00D473AE" w:rsidRDefault="00714C27">
            <w:pPr>
              <w:jc w:val="right"/>
              <w:rPr>
                <w:szCs w:val="24"/>
                <w:lang w:val="lv-LV"/>
              </w:rPr>
            </w:pPr>
            <w:r w:rsidRPr="00D473AE">
              <w:rPr>
                <w:szCs w:val="24"/>
                <w:lang w:val="lv-LV"/>
              </w:rPr>
              <w:t>294 420</w:t>
            </w:r>
          </w:p>
        </w:tc>
      </w:tr>
      <w:tr w:rsidR="00714C27" w:rsidRPr="00714C27" w:rsidTr="007B5958">
        <w:trPr>
          <w:trHeight w:val="300"/>
        </w:trPr>
        <w:tc>
          <w:tcPr>
            <w:tcW w:w="4090" w:type="dxa"/>
            <w:vAlign w:val="center"/>
            <w:hideMark/>
          </w:tcPr>
          <w:p w:rsidR="00714C27" w:rsidRPr="00714C27" w:rsidRDefault="00714C27">
            <w:pPr>
              <w:rPr>
                <w:szCs w:val="24"/>
                <w:lang w:val="lv-LV"/>
              </w:rPr>
            </w:pPr>
            <w:r w:rsidRPr="00714C27">
              <w:rPr>
                <w:szCs w:val="24"/>
                <w:lang w:val="lv-LV"/>
              </w:rPr>
              <w:t>Valsts budžeta uzturēšanas izdevumu transferti no valsts pamatbudžeta uz valsts pamatbudžetu</w:t>
            </w:r>
          </w:p>
        </w:tc>
        <w:tc>
          <w:tcPr>
            <w:tcW w:w="1559" w:type="dxa"/>
            <w:noWrap/>
            <w:vAlign w:val="center"/>
            <w:hideMark/>
          </w:tcPr>
          <w:p w:rsidR="00714C27" w:rsidRPr="00714C27" w:rsidRDefault="00714C27">
            <w:pPr>
              <w:jc w:val="right"/>
              <w:rPr>
                <w:szCs w:val="24"/>
                <w:lang w:val="lv-LV"/>
              </w:rPr>
            </w:pPr>
            <w:r w:rsidRPr="00714C27">
              <w:rPr>
                <w:szCs w:val="24"/>
                <w:lang w:val="lv-LV"/>
              </w:rPr>
              <w:t>294 420</w:t>
            </w:r>
          </w:p>
        </w:tc>
        <w:tc>
          <w:tcPr>
            <w:tcW w:w="1709" w:type="dxa"/>
            <w:noWrap/>
            <w:vAlign w:val="center"/>
            <w:hideMark/>
          </w:tcPr>
          <w:p w:rsidR="00714C27" w:rsidRPr="00D473AE" w:rsidRDefault="00714C27">
            <w:pPr>
              <w:jc w:val="right"/>
              <w:rPr>
                <w:szCs w:val="24"/>
                <w:lang w:val="lv-LV"/>
              </w:rPr>
            </w:pPr>
            <w:r w:rsidRPr="00D473AE">
              <w:rPr>
                <w:szCs w:val="24"/>
                <w:lang w:val="lv-LV"/>
              </w:rPr>
              <w:t>0</w:t>
            </w:r>
          </w:p>
        </w:tc>
        <w:tc>
          <w:tcPr>
            <w:tcW w:w="1693" w:type="dxa"/>
            <w:noWrap/>
            <w:vAlign w:val="center"/>
            <w:hideMark/>
          </w:tcPr>
          <w:p w:rsidR="00714C27" w:rsidRPr="00D473AE" w:rsidRDefault="00714C27">
            <w:pPr>
              <w:jc w:val="right"/>
              <w:rPr>
                <w:szCs w:val="24"/>
                <w:lang w:val="lv-LV"/>
              </w:rPr>
            </w:pPr>
            <w:r w:rsidRPr="00D473AE">
              <w:rPr>
                <w:szCs w:val="24"/>
                <w:lang w:val="lv-LV"/>
              </w:rPr>
              <w:t>294 420</w:t>
            </w:r>
          </w:p>
        </w:tc>
      </w:tr>
      <w:tr w:rsidR="00714C27" w:rsidRPr="00714C27" w:rsidTr="007B5958">
        <w:tc>
          <w:tcPr>
            <w:tcW w:w="4090" w:type="dxa"/>
            <w:tcBorders>
              <w:top w:val="single" w:sz="4" w:space="0" w:color="auto"/>
              <w:left w:val="single" w:sz="4" w:space="0" w:color="auto"/>
              <w:bottom w:val="single" w:sz="4" w:space="0" w:color="auto"/>
              <w:right w:val="single" w:sz="4" w:space="0" w:color="auto"/>
            </w:tcBorders>
            <w:vAlign w:val="center"/>
            <w:hideMark/>
          </w:tcPr>
          <w:p w:rsidR="00714C27" w:rsidRPr="00714C27" w:rsidRDefault="00714C27">
            <w:pPr>
              <w:rPr>
                <w:szCs w:val="24"/>
                <w:lang w:val="lv-LV"/>
              </w:rPr>
            </w:pPr>
            <w:r w:rsidRPr="00714C27">
              <w:rPr>
                <w:szCs w:val="24"/>
                <w:lang w:val="lv-LV"/>
              </w:rPr>
              <w:t>Valsts budžeta uzturēšanas izdevumu transferti no valsts pamatbudžeta dotācijas no vispārējiem ieņēmumiem uz valsts pamatbudžetu</w:t>
            </w:r>
          </w:p>
        </w:tc>
        <w:tc>
          <w:tcPr>
            <w:tcW w:w="1559" w:type="dxa"/>
            <w:tcBorders>
              <w:top w:val="single" w:sz="4" w:space="0" w:color="auto"/>
              <w:left w:val="single" w:sz="4" w:space="0" w:color="auto"/>
              <w:bottom w:val="single" w:sz="4" w:space="0" w:color="auto"/>
              <w:right w:val="single" w:sz="4" w:space="0" w:color="auto"/>
            </w:tcBorders>
            <w:vAlign w:val="center"/>
          </w:tcPr>
          <w:p w:rsidR="00714C27" w:rsidRPr="00714C27" w:rsidRDefault="00714C27">
            <w:pPr>
              <w:jc w:val="right"/>
              <w:rPr>
                <w:szCs w:val="24"/>
                <w:lang w:val="lv-LV"/>
              </w:rPr>
            </w:pPr>
            <w:r w:rsidRPr="00714C27">
              <w:rPr>
                <w:szCs w:val="24"/>
                <w:lang w:val="lv-LV"/>
              </w:rPr>
              <w:t>294 420</w:t>
            </w:r>
          </w:p>
        </w:tc>
        <w:tc>
          <w:tcPr>
            <w:tcW w:w="1709" w:type="dxa"/>
            <w:tcBorders>
              <w:top w:val="single" w:sz="4" w:space="0" w:color="auto"/>
              <w:left w:val="single" w:sz="4" w:space="0" w:color="auto"/>
              <w:bottom w:val="single" w:sz="4" w:space="0" w:color="auto"/>
              <w:right w:val="single" w:sz="4" w:space="0" w:color="auto"/>
            </w:tcBorders>
            <w:vAlign w:val="center"/>
          </w:tcPr>
          <w:p w:rsidR="00714C27" w:rsidRPr="00D473AE" w:rsidRDefault="00714C27">
            <w:pPr>
              <w:rPr>
                <w:szCs w:val="24"/>
                <w:lang w:val="lv-LV"/>
              </w:rPr>
            </w:pPr>
            <w:r w:rsidRPr="00D473AE">
              <w:rPr>
                <w:szCs w:val="24"/>
                <w:lang w:val="lv-LV"/>
              </w:rPr>
              <w:t> </w:t>
            </w:r>
          </w:p>
        </w:tc>
        <w:tc>
          <w:tcPr>
            <w:tcW w:w="1693" w:type="dxa"/>
            <w:tcBorders>
              <w:top w:val="single" w:sz="4" w:space="0" w:color="auto"/>
              <w:left w:val="single" w:sz="4" w:space="0" w:color="auto"/>
              <w:bottom w:val="single" w:sz="4" w:space="0" w:color="auto"/>
              <w:right w:val="single" w:sz="4" w:space="0" w:color="auto"/>
            </w:tcBorders>
            <w:vAlign w:val="center"/>
          </w:tcPr>
          <w:p w:rsidR="00714C27" w:rsidRPr="00D473AE" w:rsidRDefault="00714C27">
            <w:pPr>
              <w:jc w:val="right"/>
              <w:rPr>
                <w:szCs w:val="24"/>
                <w:lang w:val="lv-LV"/>
              </w:rPr>
            </w:pPr>
            <w:r w:rsidRPr="00D473AE">
              <w:rPr>
                <w:szCs w:val="24"/>
                <w:lang w:val="lv-LV"/>
              </w:rPr>
              <w:t>294 420</w:t>
            </w:r>
          </w:p>
        </w:tc>
      </w:tr>
      <w:tr w:rsidR="00714C27" w:rsidRPr="00714C27" w:rsidTr="007B5958">
        <w:trPr>
          <w:trHeight w:val="300"/>
        </w:trPr>
        <w:tc>
          <w:tcPr>
            <w:tcW w:w="4090" w:type="dxa"/>
            <w:vAlign w:val="center"/>
            <w:hideMark/>
          </w:tcPr>
          <w:p w:rsidR="00714C27" w:rsidRPr="00714C27" w:rsidRDefault="00714C27">
            <w:pPr>
              <w:rPr>
                <w:szCs w:val="24"/>
                <w:lang w:val="lv-LV"/>
              </w:rPr>
            </w:pPr>
            <w:r w:rsidRPr="00714C27">
              <w:rPr>
                <w:szCs w:val="24"/>
                <w:lang w:val="lv-LV"/>
              </w:rPr>
              <w:t>Kapitālie izdevumi</w:t>
            </w:r>
          </w:p>
        </w:tc>
        <w:tc>
          <w:tcPr>
            <w:tcW w:w="1559" w:type="dxa"/>
            <w:noWrap/>
            <w:vAlign w:val="center"/>
            <w:hideMark/>
          </w:tcPr>
          <w:p w:rsidR="00714C27" w:rsidRPr="00714C27" w:rsidRDefault="00714C27">
            <w:pPr>
              <w:jc w:val="right"/>
              <w:rPr>
                <w:szCs w:val="24"/>
                <w:lang w:val="lv-LV"/>
              </w:rPr>
            </w:pPr>
            <w:r w:rsidRPr="00714C27">
              <w:rPr>
                <w:szCs w:val="24"/>
                <w:lang w:val="lv-LV"/>
              </w:rPr>
              <w:t>2 122 111</w:t>
            </w:r>
          </w:p>
        </w:tc>
        <w:tc>
          <w:tcPr>
            <w:tcW w:w="1709" w:type="dxa"/>
            <w:noWrap/>
            <w:vAlign w:val="center"/>
            <w:hideMark/>
          </w:tcPr>
          <w:p w:rsidR="00714C27" w:rsidRPr="00D473AE" w:rsidRDefault="00714C27">
            <w:pPr>
              <w:jc w:val="right"/>
              <w:rPr>
                <w:szCs w:val="24"/>
                <w:lang w:val="lv-LV"/>
              </w:rPr>
            </w:pPr>
            <w:r w:rsidRPr="00D473AE">
              <w:rPr>
                <w:szCs w:val="24"/>
                <w:lang w:val="lv-LV"/>
              </w:rPr>
              <w:t>63 154</w:t>
            </w:r>
          </w:p>
        </w:tc>
        <w:tc>
          <w:tcPr>
            <w:tcW w:w="1693" w:type="dxa"/>
            <w:noWrap/>
            <w:vAlign w:val="center"/>
            <w:hideMark/>
          </w:tcPr>
          <w:p w:rsidR="00714C27" w:rsidRPr="00D473AE" w:rsidRDefault="00714C27">
            <w:pPr>
              <w:jc w:val="right"/>
              <w:rPr>
                <w:szCs w:val="24"/>
                <w:lang w:val="lv-LV"/>
              </w:rPr>
            </w:pPr>
            <w:r w:rsidRPr="00D473AE">
              <w:rPr>
                <w:szCs w:val="24"/>
                <w:lang w:val="lv-LV"/>
              </w:rPr>
              <w:t>2 185 265</w:t>
            </w:r>
          </w:p>
        </w:tc>
      </w:tr>
      <w:tr w:rsidR="00714C27" w:rsidRPr="00714C27" w:rsidTr="007B5958">
        <w:trPr>
          <w:trHeight w:val="300"/>
        </w:trPr>
        <w:tc>
          <w:tcPr>
            <w:tcW w:w="4090" w:type="dxa"/>
            <w:vAlign w:val="center"/>
            <w:hideMark/>
          </w:tcPr>
          <w:p w:rsidR="00714C27" w:rsidRPr="00714C27" w:rsidRDefault="00714C27">
            <w:pPr>
              <w:rPr>
                <w:szCs w:val="24"/>
                <w:lang w:val="lv-LV"/>
              </w:rPr>
            </w:pPr>
            <w:r w:rsidRPr="00714C27">
              <w:rPr>
                <w:szCs w:val="24"/>
                <w:lang w:val="lv-LV"/>
              </w:rPr>
              <w:t>Pamatkapitāla veidošana</w:t>
            </w:r>
          </w:p>
        </w:tc>
        <w:tc>
          <w:tcPr>
            <w:tcW w:w="1559" w:type="dxa"/>
            <w:noWrap/>
            <w:vAlign w:val="center"/>
            <w:hideMark/>
          </w:tcPr>
          <w:p w:rsidR="00714C27" w:rsidRPr="00714C27" w:rsidRDefault="00714C27">
            <w:pPr>
              <w:jc w:val="right"/>
              <w:rPr>
                <w:szCs w:val="24"/>
                <w:lang w:val="lv-LV"/>
              </w:rPr>
            </w:pPr>
            <w:r w:rsidRPr="00714C27">
              <w:rPr>
                <w:szCs w:val="24"/>
                <w:lang w:val="lv-LV"/>
              </w:rPr>
              <w:t>2 122 111</w:t>
            </w:r>
          </w:p>
        </w:tc>
        <w:tc>
          <w:tcPr>
            <w:tcW w:w="1709" w:type="dxa"/>
            <w:noWrap/>
            <w:vAlign w:val="center"/>
            <w:hideMark/>
          </w:tcPr>
          <w:p w:rsidR="00714C27" w:rsidRPr="00D473AE" w:rsidRDefault="00714C27">
            <w:pPr>
              <w:jc w:val="right"/>
              <w:rPr>
                <w:szCs w:val="24"/>
                <w:lang w:val="lv-LV"/>
              </w:rPr>
            </w:pPr>
            <w:r w:rsidRPr="00D473AE">
              <w:rPr>
                <w:szCs w:val="24"/>
                <w:lang w:val="lv-LV"/>
              </w:rPr>
              <w:t>0</w:t>
            </w:r>
          </w:p>
        </w:tc>
        <w:tc>
          <w:tcPr>
            <w:tcW w:w="1693" w:type="dxa"/>
            <w:noWrap/>
            <w:vAlign w:val="center"/>
            <w:hideMark/>
          </w:tcPr>
          <w:p w:rsidR="00714C27" w:rsidRPr="00D473AE" w:rsidRDefault="00714C27">
            <w:pPr>
              <w:jc w:val="right"/>
              <w:rPr>
                <w:szCs w:val="24"/>
                <w:lang w:val="lv-LV"/>
              </w:rPr>
            </w:pPr>
            <w:r w:rsidRPr="00D473AE">
              <w:rPr>
                <w:szCs w:val="24"/>
                <w:lang w:val="lv-LV"/>
              </w:rPr>
              <w:t>2 122 111</w:t>
            </w:r>
          </w:p>
        </w:tc>
      </w:tr>
      <w:tr w:rsidR="00714C27" w:rsidRPr="00714C27" w:rsidTr="007B5958">
        <w:trPr>
          <w:trHeight w:val="510"/>
        </w:trPr>
        <w:tc>
          <w:tcPr>
            <w:tcW w:w="4090" w:type="dxa"/>
            <w:vAlign w:val="center"/>
            <w:hideMark/>
          </w:tcPr>
          <w:p w:rsidR="00714C27" w:rsidRPr="00714C27" w:rsidRDefault="00714C27">
            <w:pPr>
              <w:rPr>
                <w:szCs w:val="24"/>
                <w:lang w:val="lv-LV"/>
              </w:rPr>
            </w:pPr>
            <w:r w:rsidRPr="00714C27">
              <w:rPr>
                <w:szCs w:val="24"/>
                <w:lang w:val="lv-LV"/>
              </w:rPr>
              <w:t>Kapitālo izdevumu transferti</w:t>
            </w:r>
          </w:p>
        </w:tc>
        <w:tc>
          <w:tcPr>
            <w:tcW w:w="1559" w:type="dxa"/>
            <w:noWrap/>
            <w:vAlign w:val="center"/>
            <w:hideMark/>
          </w:tcPr>
          <w:p w:rsidR="00714C27" w:rsidRPr="00714C27" w:rsidRDefault="00714C27">
            <w:pPr>
              <w:jc w:val="right"/>
              <w:rPr>
                <w:szCs w:val="24"/>
                <w:lang w:val="lv-LV"/>
              </w:rPr>
            </w:pPr>
            <w:r w:rsidRPr="00714C27">
              <w:rPr>
                <w:szCs w:val="24"/>
                <w:lang w:val="lv-LV"/>
              </w:rPr>
              <w:t>0</w:t>
            </w:r>
          </w:p>
        </w:tc>
        <w:tc>
          <w:tcPr>
            <w:tcW w:w="1709" w:type="dxa"/>
            <w:noWrap/>
            <w:vAlign w:val="center"/>
            <w:hideMark/>
          </w:tcPr>
          <w:p w:rsidR="00714C27" w:rsidRPr="00D473AE" w:rsidRDefault="00714C27">
            <w:pPr>
              <w:jc w:val="right"/>
              <w:rPr>
                <w:szCs w:val="24"/>
                <w:lang w:val="lv-LV"/>
              </w:rPr>
            </w:pPr>
            <w:r w:rsidRPr="00D473AE">
              <w:rPr>
                <w:szCs w:val="24"/>
                <w:lang w:val="lv-LV"/>
              </w:rPr>
              <w:t>63 154</w:t>
            </w:r>
          </w:p>
        </w:tc>
        <w:tc>
          <w:tcPr>
            <w:tcW w:w="1693" w:type="dxa"/>
            <w:noWrap/>
            <w:vAlign w:val="center"/>
            <w:hideMark/>
          </w:tcPr>
          <w:p w:rsidR="00714C27" w:rsidRPr="00D473AE" w:rsidRDefault="00714C27">
            <w:pPr>
              <w:jc w:val="right"/>
              <w:rPr>
                <w:szCs w:val="24"/>
                <w:lang w:val="lv-LV"/>
              </w:rPr>
            </w:pPr>
            <w:r w:rsidRPr="00D473AE">
              <w:rPr>
                <w:szCs w:val="24"/>
                <w:lang w:val="lv-LV"/>
              </w:rPr>
              <w:t>63 154</w:t>
            </w:r>
          </w:p>
        </w:tc>
      </w:tr>
      <w:tr w:rsidR="00714C27" w:rsidRPr="00714C27" w:rsidTr="007B5958">
        <w:trPr>
          <w:trHeight w:val="300"/>
        </w:trPr>
        <w:tc>
          <w:tcPr>
            <w:tcW w:w="4090" w:type="dxa"/>
            <w:vAlign w:val="center"/>
            <w:hideMark/>
          </w:tcPr>
          <w:p w:rsidR="00714C27" w:rsidRPr="00714C27" w:rsidRDefault="00714C27">
            <w:pPr>
              <w:rPr>
                <w:szCs w:val="24"/>
                <w:lang w:val="lv-LV"/>
              </w:rPr>
            </w:pPr>
            <w:r w:rsidRPr="00714C27">
              <w:rPr>
                <w:szCs w:val="24"/>
                <w:lang w:val="lv-LV"/>
              </w:rPr>
              <w:t>Valsts budžeta kapitālo izdevumu transferti</w:t>
            </w:r>
          </w:p>
        </w:tc>
        <w:tc>
          <w:tcPr>
            <w:tcW w:w="1559" w:type="dxa"/>
            <w:noWrap/>
            <w:vAlign w:val="center"/>
            <w:hideMark/>
          </w:tcPr>
          <w:p w:rsidR="00714C27" w:rsidRPr="00714C27" w:rsidRDefault="00714C27">
            <w:pPr>
              <w:jc w:val="right"/>
              <w:rPr>
                <w:szCs w:val="24"/>
                <w:lang w:val="lv-LV"/>
              </w:rPr>
            </w:pPr>
            <w:r w:rsidRPr="00714C27">
              <w:rPr>
                <w:szCs w:val="24"/>
                <w:lang w:val="lv-LV"/>
              </w:rPr>
              <w:t>0</w:t>
            </w:r>
          </w:p>
        </w:tc>
        <w:tc>
          <w:tcPr>
            <w:tcW w:w="1709" w:type="dxa"/>
            <w:noWrap/>
            <w:vAlign w:val="center"/>
            <w:hideMark/>
          </w:tcPr>
          <w:p w:rsidR="00714C27" w:rsidRPr="00D473AE" w:rsidRDefault="00714C27">
            <w:pPr>
              <w:jc w:val="right"/>
              <w:rPr>
                <w:szCs w:val="24"/>
                <w:lang w:val="lv-LV"/>
              </w:rPr>
            </w:pPr>
            <w:r w:rsidRPr="00D473AE">
              <w:rPr>
                <w:szCs w:val="24"/>
                <w:lang w:val="lv-LV"/>
              </w:rPr>
              <w:t>63 154</w:t>
            </w:r>
          </w:p>
        </w:tc>
        <w:tc>
          <w:tcPr>
            <w:tcW w:w="1693" w:type="dxa"/>
            <w:noWrap/>
            <w:vAlign w:val="center"/>
            <w:hideMark/>
          </w:tcPr>
          <w:p w:rsidR="00714C27" w:rsidRPr="00D473AE" w:rsidRDefault="00714C27">
            <w:pPr>
              <w:jc w:val="right"/>
              <w:rPr>
                <w:szCs w:val="24"/>
                <w:lang w:val="lv-LV"/>
              </w:rPr>
            </w:pPr>
            <w:r w:rsidRPr="00D473AE">
              <w:rPr>
                <w:szCs w:val="24"/>
                <w:lang w:val="lv-LV"/>
              </w:rPr>
              <w:t>63 154</w:t>
            </w:r>
          </w:p>
        </w:tc>
      </w:tr>
      <w:tr w:rsidR="00714C27" w:rsidRPr="00714C27" w:rsidTr="007B5958">
        <w:trPr>
          <w:trHeight w:val="300"/>
        </w:trPr>
        <w:tc>
          <w:tcPr>
            <w:tcW w:w="4090" w:type="dxa"/>
            <w:vAlign w:val="center"/>
            <w:hideMark/>
          </w:tcPr>
          <w:p w:rsidR="00714C27" w:rsidRPr="00714C27" w:rsidRDefault="00714C27">
            <w:pPr>
              <w:rPr>
                <w:szCs w:val="24"/>
                <w:lang w:val="lv-LV"/>
              </w:rPr>
            </w:pPr>
            <w:r w:rsidRPr="00714C27">
              <w:rPr>
                <w:szCs w:val="24"/>
                <w:lang w:val="lv-LV"/>
              </w:rPr>
              <w:t>Valsts budžeta kapitālo izdevumu transferti no valsts pamatbudžeta uz valsts pamatbudžetu</w:t>
            </w:r>
          </w:p>
        </w:tc>
        <w:tc>
          <w:tcPr>
            <w:tcW w:w="1559" w:type="dxa"/>
            <w:noWrap/>
            <w:vAlign w:val="center"/>
            <w:hideMark/>
          </w:tcPr>
          <w:p w:rsidR="00714C27" w:rsidRPr="00714C27" w:rsidRDefault="00714C27">
            <w:pPr>
              <w:jc w:val="right"/>
              <w:rPr>
                <w:szCs w:val="24"/>
                <w:lang w:val="lv-LV"/>
              </w:rPr>
            </w:pPr>
            <w:r w:rsidRPr="00714C27">
              <w:rPr>
                <w:szCs w:val="24"/>
                <w:lang w:val="lv-LV"/>
              </w:rPr>
              <w:t>0</w:t>
            </w:r>
          </w:p>
        </w:tc>
        <w:tc>
          <w:tcPr>
            <w:tcW w:w="1709" w:type="dxa"/>
            <w:noWrap/>
            <w:vAlign w:val="center"/>
            <w:hideMark/>
          </w:tcPr>
          <w:p w:rsidR="00714C27" w:rsidRPr="00D473AE" w:rsidRDefault="00714C27">
            <w:pPr>
              <w:jc w:val="right"/>
              <w:rPr>
                <w:szCs w:val="24"/>
                <w:lang w:val="lv-LV"/>
              </w:rPr>
            </w:pPr>
            <w:r w:rsidRPr="00D473AE">
              <w:rPr>
                <w:szCs w:val="24"/>
                <w:lang w:val="lv-LV"/>
              </w:rPr>
              <w:t>63 154</w:t>
            </w:r>
          </w:p>
        </w:tc>
        <w:tc>
          <w:tcPr>
            <w:tcW w:w="1693" w:type="dxa"/>
            <w:noWrap/>
            <w:vAlign w:val="center"/>
            <w:hideMark/>
          </w:tcPr>
          <w:p w:rsidR="00714C27" w:rsidRPr="00D473AE" w:rsidRDefault="00714C27">
            <w:pPr>
              <w:jc w:val="right"/>
              <w:rPr>
                <w:szCs w:val="24"/>
                <w:lang w:val="lv-LV"/>
              </w:rPr>
            </w:pPr>
            <w:r w:rsidRPr="00D473AE">
              <w:rPr>
                <w:szCs w:val="24"/>
                <w:lang w:val="lv-LV"/>
              </w:rPr>
              <w:t>63 154</w:t>
            </w:r>
          </w:p>
        </w:tc>
      </w:tr>
      <w:tr w:rsidR="00714C27" w:rsidRPr="00714C27" w:rsidTr="007B5958">
        <w:trPr>
          <w:trHeight w:val="510"/>
        </w:trPr>
        <w:tc>
          <w:tcPr>
            <w:tcW w:w="4090" w:type="dxa"/>
            <w:vAlign w:val="center"/>
            <w:hideMark/>
          </w:tcPr>
          <w:p w:rsidR="00714C27" w:rsidRPr="00714C27" w:rsidRDefault="00714C27">
            <w:pPr>
              <w:rPr>
                <w:szCs w:val="24"/>
                <w:lang w:val="lv-LV"/>
              </w:rPr>
            </w:pPr>
            <w:r w:rsidRPr="00714C27">
              <w:rPr>
                <w:szCs w:val="24"/>
                <w:lang w:val="lv-LV"/>
              </w:rPr>
              <w:t>Valsts budžeta kapitālo izdevumu transferti no valsts pamatbudžeta dotācijas no vispārējiem ieņēmumiem uz valsts pamatbudžetu</w:t>
            </w:r>
          </w:p>
        </w:tc>
        <w:tc>
          <w:tcPr>
            <w:tcW w:w="1559" w:type="dxa"/>
            <w:noWrap/>
            <w:vAlign w:val="center"/>
            <w:hideMark/>
          </w:tcPr>
          <w:p w:rsidR="00714C27" w:rsidRPr="00714C27" w:rsidRDefault="00714C27">
            <w:pPr>
              <w:rPr>
                <w:szCs w:val="24"/>
                <w:lang w:val="lv-LV"/>
              </w:rPr>
            </w:pPr>
            <w:r w:rsidRPr="00714C27">
              <w:rPr>
                <w:szCs w:val="24"/>
                <w:lang w:val="lv-LV"/>
              </w:rPr>
              <w:t> </w:t>
            </w:r>
          </w:p>
        </w:tc>
        <w:tc>
          <w:tcPr>
            <w:tcW w:w="1709" w:type="dxa"/>
            <w:noWrap/>
            <w:vAlign w:val="center"/>
            <w:hideMark/>
          </w:tcPr>
          <w:p w:rsidR="00714C27" w:rsidRPr="00D473AE" w:rsidRDefault="00714C27">
            <w:pPr>
              <w:jc w:val="right"/>
              <w:rPr>
                <w:szCs w:val="24"/>
                <w:lang w:val="lv-LV"/>
              </w:rPr>
            </w:pPr>
            <w:r w:rsidRPr="00D473AE">
              <w:rPr>
                <w:szCs w:val="24"/>
                <w:lang w:val="lv-LV"/>
              </w:rPr>
              <w:t>63 154</w:t>
            </w:r>
          </w:p>
        </w:tc>
        <w:tc>
          <w:tcPr>
            <w:tcW w:w="1693" w:type="dxa"/>
            <w:noWrap/>
            <w:vAlign w:val="center"/>
            <w:hideMark/>
          </w:tcPr>
          <w:p w:rsidR="00714C27" w:rsidRPr="00D473AE" w:rsidRDefault="00714C27">
            <w:pPr>
              <w:jc w:val="right"/>
              <w:rPr>
                <w:szCs w:val="24"/>
                <w:lang w:val="lv-LV"/>
              </w:rPr>
            </w:pPr>
            <w:r w:rsidRPr="00D473AE">
              <w:rPr>
                <w:szCs w:val="24"/>
                <w:lang w:val="lv-LV"/>
              </w:rPr>
              <w:t>63 154</w:t>
            </w:r>
          </w:p>
        </w:tc>
      </w:tr>
    </w:tbl>
    <w:p w:rsidR="004259DB" w:rsidRPr="00714C27" w:rsidRDefault="004259DB" w:rsidP="004259DB">
      <w:pPr>
        <w:jc w:val="both"/>
        <w:rPr>
          <w:color w:val="000000"/>
          <w:szCs w:val="24"/>
          <w:lang w:val="lv-LV"/>
        </w:rPr>
      </w:pPr>
    </w:p>
    <w:p w:rsidR="004259DB" w:rsidRPr="00714C27" w:rsidRDefault="004259DB" w:rsidP="00C52A1C">
      <w:pPr>
        <w:tabs>
          <w:tab w:val="left" w:pos="709"/>
        </w:tabs>
        <w:suppressAutoHyphens/>
        <w:jc w:val="both"/>
        <w:rPr>
          <w:szCs w:val="24"/>
          <w:lang w:val="lv-LV"/>
        </w:rPr>
      </w:pPr>
      <w:r w:rsidRPr="00714C27">
        <w:rPr>
          <w:szCs w:val="24"/>
          <w:lang w:val="lv-LV"/>
        </w:rPr>
        <w:tab/>
        <w:t>Papildus norādāms, ka apropriācijas pārdale neietekmēs nākamajiem periodiem noteiktos maksimāli pieļaujamos izdevumu apjomus un sekmēs iespēju sasniegt programmas rezultatīvos rādītājus.</w:t>
      </w:r>
    </w:p>
    <w:p w:rsidR="004259DB" w:rsidRDefault="004259DB" w:rsidP="00C52A1C">
      <w:pPr>
        <w:tabs>
          <w:tab w:val="left" w:pos="709"/>
        </w:tabs>
        <w:suppressAutoHyphens/>
        <w:jc w:val="both"/>
        <w:rPr>
          <w:szCs w:val="24"/>
          <w:lang w:val="lv-LV"/>
        </w:rPr>
      </w:pPr>
      <w:r w:rsidRPr="00714C27">
        <w:rPr>
          <w:szCs w:val="24"/>
          <w:lang w:val="lv-LV"/>
        </w:rPr>
        <w:tab/>
        <w:t xml:space="preserve">Saskaņā ar Likuma par budžetu un finanšu vadību 9.panta trīspadsmitās daļas 1.punktu un likuma </w:t>
      </w:r>
      <w:r w:rsidR="003874D7" w:rsidRPr="00714C27">
        <w:rPr>
          <w:szCs w:val="24"/>
          <w:lang w:val="lv-LV"/>
        </w:rPr>
        <w:t>„Par valsts budžetu 2014.g</w:t>
      </w:r>
      <w:r w:rsidR="001E12F4" w:rsidRPr="00714C27">
        <w:rPr>
          <w:szCs w:val="24"/>
          <w:lang w:val="lv-LV"/>
        </w:rPr>
        <w:t>adam”</w:t>
      </w:r>
      <w:r w:rsidRPr="00714C27">
        <w:rPr>
          <w:szCs w:val="24"/>
          <w:lang w:val="lv-LV"/>
        </w:rPr>
        <w:t xml:space="preserve"> 32. un 35.pantu, finanšu ministram ir tiesības budžeta resoram gadskārtējā valsts budžeta likumā noteiktās apropriācijas ietvaros pārdalīt apropriāciju starp programmām, apakšprogrammām un budžeta izdevumu kodiem atbilstoši ekonomiskajām kategorijām, ja ir pieņemts attiecīgs Ministru kabineta lēmums.</w:t>
      </w:r>
    </w:p>
    <w:p w:rsidR="00892A0E" w:rsidRDefault="00464E2B" w:rsidP="00C52A1C">
      <w:pPr>
        <w:tabs>
          <w:tab w:val="left" w:pos="709"/>
        </w:tabs>
        <w:suppressAutoHyphens/>
        <w:jc w:val="both"/>
        <w:rPr>
          <w:szCs w:val="24"/>
          <w:lang w:val="lv-LV"/>
        </w:rPr>
      </w:pPr>
      <w:r>
        <w:rPr>
          <w:szCs w:val="24"/>
          <w:lang w:val="lv-LV"/>
        </w:rPr>
        <w:tab/>
      </w:r>
      <w:r w:rsidR="0038323B">
        <w:rPr>
          <w:szCs w:val="24"/>
          <w:lang w:val="lv-LV"/>
        </w:rPr>
        <w:t>Ņemot vērā šo informatīvo ziņojumu un tam pievienoto protokollēmumu</w:t>
      </w:r>
      <w:r w:rsidR="003A491D">
        <w:rPr>
          <w:szCs w:val="24"/>
          <w:lang w:val="lv-LV"/>
        </w:rPr>
        <w:t>,</w:t>
      </w:r>
      <w:r w:rsidR="0038323B">
        <w:rPr>
          <w:szCs w:val="24"/>
          <w:lang w:val="lv-LV"/>
        </w:rPr>
        <w:t xml:space="preserve"> tiek izpildīti Ministru kabineta 2014.gada 17.jūnija noteikumi Nr.317 “Kārtība, kādā tiešās pārvaldes iestādes slēdz un publisko līdzdarbības līgumus, kā arī piešķir valsts budžeta finansējumu privātpersonām valsts pārvaldes uzdevumu veikšanai un uzrauga piešķirtā finansējuma izlietojumu”,</w:t>
      </w:r>
      <w:r w:rsidR="00892A0E">
        <w:rPr>
          <w:szCs w:val="24"/>
          <w:lang w:val="lv-LV"/>
        </w:rPr>
        <w:t xml:space="preserve"> līdz ar to</w:t>
      </w:r>
      <w:r w:rsidR="0038323B">
        <w:rPr>
          <w:szCs w:val="24"/>
          <w:lang w:val="lv-LV"/>
        </w:rPr>
        <w:t xml:space="preserve"> papildus procedūru piemērošana nav lietderīga. </w:t>
      </w:r>
    </w:p>
    <w:p w:rsidR="004259DB" w:rsidRPr="00714C27" w:rsidRDefault="004259DB" w:rsidP="00C52A1C">
      <w:pPr>
        <w:tabs>
          <w:tab w:val="left" w:pos="709"/>
        </w:tabs>
        <w:suppressAutoHyphens/>
        <w:jc w:val="both"/>
        <w:rPr>
          <w:szCs w:val="24"/>
          <w:lang w:val="lv-LV"/>
        </w:rPr>
      </w:pPr>
      <w:r w:rsidRPr="00714C27">
        <w:rPr>
          <w:szCs w:val="24"/>
          <w:lang w:val="lv-LV"/>
        </w:rPr>
        <w:tab/>
        <w:t>Ņemot vērā minēto, lūdzam Ministru kabinetu atbalstīt iesniegto priekšlikumu par Ārlietu ministrijas valsts pamatbudžeta programmas 96.0</w:t>
      </w:r>
      <w:r w:rsidR="00714C27" w:rsidRPr="00714C27">
        <w:rPr>
          <w:szCs w:val="24"/>
          <w:lang w:val="lv-LV"/>
        </w:rPr>
        <w:t>0</w:t>
      </w:r>
      <w:r w:rsidRPr="00714C27">
        <w:rPr>
          <w:szCs w:val="24"/>
          <w:lang w:val="lv-LV"/>
        </w:rPr>
        <w:t>.00</w:t>
      </w:r>
      <w:r w:rsidR="001E12F4" w:rsidRPr="00714C27">
        <w:rPr>
          <w:szCs w:val="24"/>
          <w:lang w:val="lv-LV"/>
        </w:rPr>
        <w:t>„</w:t>
      </w:r>
      <w:r w:rsidRPr="00714C27">
        <w:rPr>
          <w:szCs w:val="24"/>
          <w:lang w:val="lv-LV"/>
        </w:rPr>
        <w:t>Latvijas prezidentūras Eiropas Savienības Padomē nodrošināšana 2015.gadā” ietvaros apropriācijas pārdali starp apakšprogrammām un budžeta izdevumu kodiem atbilstoši ekonomiskajām kategorijām un apakšprogrammām</w:t>
      </w:r>
      <w:r w:rsidR="00892A0E">
        <w:rPr>
          <w:szCs w:val="24"/>
          <w:lang w:val="lv-LV"/>
        </w:rPr>
        <w:t>.</w:t>
      </w:r>
      <w:r w:rsidR="002B510C">
        <w:rPr>
          <w:szCs w:val="24"/>
          <w:lang w:val="lv-LV"/>
        </w:rPr>
        <w:t xml:space="preserve"> </w:t>
      </w:r>
    </w:p>
    <w:p w:rsidR="004259DB" w:rsidRPr="00714C27" w:rsidRDefault="004259DB" w:rsidP="004259DB">
      <w:pPr>
        <w:suppressAutoHyphens/>
        <w:jc w:val="both"/>
        <w:rPr>
          <w:b/>
          <w:color w:val="000000" w:themeColor="text1"/>
          <w:szCs w:val="24"/>
          <w:lang w:val="lv-LV" w:eastAsia="ar-SA"/>
        </w:rPr>
      </w:pPr>
    </w:p>
    <w:p w:rsidR="004259DB" w:rsidRPr="00714C27" w:rsidRDefault="004259DB" w:rsidP="004259DB">
      <w:pPr>
        <w:tabs>
          <w:tab w:val="left" w:pos="851"/>
        </w:tabs>
        <w:suppressAutoHyphens/>
        <w:jc w:val="both"/>
        <w:rPr>
          <w:szCs w:val="24"/>
          <w:lang w:val="lv-LV" w:eastAsia="lv-LV"/>
        </w:rPr>
      </w:pPr>
    </w:p>
    <w:p w:rsidR="004259DB" w:rsidRPr="00714C27" w:rsidRDefault="004259DB" w:rsidP="003874D7">
      <w:pPr>
        <w:tabs>
          <w:tab w:val="right" w:pos="9072"/>
        </w:tabs>
        <w:jc w:val="both"/>
        <w:rPr>
          <w:szCs w:val="24"/>
          <w:lang w:val="lv-LV"/>
        </w:rPr>
      </w:pPr>
      <w:r w:rsidRPr="00714C27">
        <w:rPr>
          <w:szCs w:val="24"/>
          <w:lang w:val="lv-LV"/>
        </w:rPr>
        <w:t>Ārlietu ministrs</w:t>
      </w:r>
      <w:r w:rsidRPr="00714C27">
        <w:rPr>
          <w:szCs w:val="24"/>
          <w:lang w:val="lv-LV"/>
        </w:rPr>
        <w:tab/>
        <w:t xml:space="preserve"> E. Rink</w:t>
      </w:r>
      <w:r w:rsidRPr="00714C27">
        <w:rPr>
          <w:szCs w:val="24"/>
          <w:lang w:val="lv-LV" w:eastAsia="lv-LV"/>
        </w:rPr>
        <w:t>ēvičs</w:t>
      </w:r>
    </w:p>
    <w:p w:rsidR="004259DB" w:rsidRPr="00714C27" w:rsidRDefault="004259DB" w:rsidP="003874D7">
      <w:pPr>
        <w:tabs>
          <w:tab w:val="right" w:pos="9072"/>
        </w:tabs>
        <w:jc w:val="both"/>
        <w:rPr>
          <w:szCs w:val="24"/>
          <w:lang w:val="lv-LV"/>
        </w:rPr>
      </w:pPr>
    </w:p>
    <w:p w:rsidR="004259DB" w:rsidRPr="00714C27" w:rsidRDefault="004259DB" w:rsidP="003874D7">
      <w:pPr>
        <w:tabs>
          <w:tab w:val="right" w:pos="9072"/>
        </w:tabs>
        <w:jc w:val="both"/>
        <w:rPr>
          <w:szCs w:val="24"/>
          <w:lang w:val="lv-LV"/>
        </w:rPr>
      </w:pPr>
      <w:r w:rsidRPr="00714C27">
        <w:rPr>
          <w:szCs w:val="24"/>
          <w:lang w:val="lv-LV"/>
        </w:rPr>
        <w:t>Vīzas :</w:t>
      </w:r>
    </w:p>
    <w:p w:rsidR="004259DB" w:rsidRDefault="004259DB" w:rsidP="003874D7">
      <w:pPr>
        <w:tabs>
          <w:tab w:val="right" w:pos="9072"/>
        </w:tabs>
        <w:jc w:val="both"/>
        <w:rPr>
          <w:szCs w:val="24"/>
          <w:lang w:val="lv-LV"/>
        </w:rPr>
      </w:pPr>
      <w:r w:rsidRPr="00714C27">
        <w:rPr>
          <w:szCs w:val="24"/>
          <w:lang w:val="lv-LV"/>
        </w:rPr>
        <w:t>Valsts sekretār</w:t>
      </w:r>
      <w:r w:rsidR="00224A2B">
        <w:rPr>
          <w:szCs w:val="24"/>
          <w:lang w:val="lv-LV"/>
        </w:rPr>
        <w:t>s</w:t>
      </w:r>
      <w:r w:rsidR="00860FA4">
        <w:rPr>
          <w:szCs w:val="24"/>
          <w:lang w:val="lv-LV"/>
        </w:rPr>
        <w:t xml:space="preserve"> </w:t>
      </w:r>
      <w:r w:rsidR="00860FA4">
        <w:rPr>
          <w:szCs w:val="24"/>
          <w:lang w:val="lv-LV"/>
        </w:rPr>
        <w:tab/>
      </w:r>
      <w:r w:rsidR="00224A2B">
        <w:rPr>
          <w:szCs w:val="24"/>
          <w:lang w:val="lv-LV"/>
        </w:rPr>
        <w:t>A.Pildegovičs</w:t>
      </w:r>
    </w:p>
    <w:p w:rsidR="00DB7CF1" w:rsidRDefault="00DB7CF1" w:rsidP="003874D7">
      <w:pPr>
        <w:tabs>
          <w:tab w:val="right" w:pos="9072"/>
        </w:tabs>
        <w:jc w:val="both"/>
        <w:rPr>
          <w:szCs w:val="24"/>
          <w:lang w:val="lv-LV"/>
        </w:rPr>
      </w:pPr>
    </w:p>
    <w:p w:rsidR="00DB7CF1" w:rsidRDefault="00DB7CF1" w:rsidP="003874D7">
      <w:pPr>
        <w:tabs>
          <w:tab w:val="right" w:pos="9072"/>
        </w:tabs>
        <w:jc w:val="both"/>
        <w:rPr>
          <w:szCs w:val="24"/>
          <w:lang w:val="lv-LV"/>
        </w:rPr>
      </w:pPr>
      <w:r>
        <w:rPr>
          <w:szCs w:val="24"/>
          <w:lang w:val="lv-LV"/>
        </w:rPr>
        <w:t xml:space="preserve">Latvijas prezidentūras Eiropas Savienības Padomē </w:t>
      </w:r>
    </w:p>
    <w:p w:rsidR="00DB7CF1" w:rsidRPr="00714C27" w:rsidRDefault="00DB7CF1" w:rsidP="003874D7">
      <w:pPr>
        <w:tabs>
          <w:tab w:val="right" w:pos="9072"/>
        </w:tabs>
        <w:jc w:val="both"/>
        <w:rPr>
          <w:szCs w:val="24"/>
          <w:lang w:val="lv-LV"/>
        </w:rPr>
      </w:pPr>
      <w:r>
        <w:rPr>
          <w:szCs w:val="24"/>
          <w:lang w:val="lv-LV"/>
        </w:rPr>
        <w:t>sekretariāta direktore</w:t>
      </w:r>
      <w:r>
        <w:rPr>
          <w:szCs w:val="24"/>
          <w:lang w:val="lv-LV"/>
        </w:rPr>
        <w:tab/>
        <w:t>K.Pommere</w:t>
      </w:r>
    </w:p>
    <w:p w:rsidR="004259DB" w:rsidRPr="00714C27" w:rsidRDefault="004259DB" w:rsidP="003874D7">
      <w:pPr>
        <w:tabs>
          <w:tab w:val="right" w:pos="9072"/>
        </w:tabs>
        <w:jc w:val="both"/>
        <w:rPr>
          <w:szCs w:val="24"/>
          <w:lang w:val="lv-LV"/>
        </w:rPr>
      </w:pPr>
    </w:p>
    <w:p w:rsidR="004259DB" w:rsidRPr="00714C27" w:rsidRDefault="004259DB" w:rsidP="004259DB">
      <w:pPr>
        <w:tabs>
          <w:tab w:val="right" w:pos="8647"/>
        </w:tabs>
        <w:jc w:val="both"/>
        <w:rPr>
          <w:szCs w:val="24"/>
          <w:lang w:val="lv-LV"/>
        </w:rPr>
      </w:pPr>
    </w:p>
    <w:p w:rsidR="004259DB" w:rsidRPr="00714C27" w:rsidRDefault="004A1E0C" w:rsidP="004259DB">
      <w:pPr>
        <w:rPr>
          <w:sz w:val="16"/>
          <w:szCs w:val="16"/>
          <w:lang w:val="lv-LV"/>
        </w:rPr>
      </w:pPr>
      <w:r>
        <w:rPr>
          <w:sz w:val="16"/>
          <w:szCs w:val="16"/>
          <w:lang w:val="lv-LV"/>
        </w:rPr>
        <w:t>08</w:t>
      </w:r>
      <w:r w:rsidR="004259DB" w:rsidRPr="00714C27">
        <w:rPr>
          <w:sz w:val="16"/>
          <w:szCs w:val="16"/>
          <w:lang w:val="lv-LV"/>
        </w:rPr>
        <w:t>.0</w:t>
      </w:r>
      <w:r>
        <w:rPr>
          <w:sz w:val="16"/>
          <w:szCs w:val="16"/>
          <w:lang w:val="lv-LV"/>
        </w:rPr>
        <w:t>8</w:t>
      </w:r>
      <w:r w:rsidR="004259DB" w:rsidRPr="00714C27">
        <w:rPr>
          <w:sz w:val="16"/>
          <w:szCs w:val="16"/>
          <w:lang w:val="lv-LV"/>
        </w:rPr>
        <w:t xml:space="preserve">.2014. </w:t>
      </w:r>
      <w:r>
        <w:rPr>
          <w:sz w:val="16"/>
          <w:szCs w:val="16"/>
          <w:lang w:val="lv-LV"/>
        </w:rPr>
        <w:t>10:22</w:t>
      </w:r>
    </w:p>
    <w:p w:rsidR="004A1E0C" w:rsidRPr="00714C27" w:rsidRDefault="009313DD" w:rsidP="004259DB">
      <w:pPr>
        <w:rPr>
          <w:sz w:val="16"/>
          <w:szCs w:val="16"/>
          <w:lang w:val="lv-LV"/>
        </w:rPr>
      </w:pPr>
      <w:r>
        <w:rPr>
          <w:sz w:val="16"/>
          <w:szCs w:val="16"/>
          <w:lang w:val="lv-LV"/>
        </w:rPr>
        <w:t>1</w:t>
      </w:r>
      <w:r w:rsidR="002B510C">
        <w:rPr>
          <w:sz w:val="16"/>
          <w:szCs w:val="16"/>
          <w:lang w:val="lv-LV"/>
        </w:rPr>
        <w:t>2</w:t>
      </w:r>
      <w:r w:rsidR="00892A0E">
        <w:rPr>
          <w:sz w:val="16"/>
          <w:szCs w:val="16"/>
          <w:lang w:val="lv-LV"/>
        </w:rPr>
        <w:t>2</w:t>
      </w:r>
      <w:r w:rsidR="004A1E0C">
        <w:rPr>
          <w:sz w:val="16"/>
          <w:szCs w:val="16"/>
          <w:lang w:val="lv-LV"/>
        </w:rPr>
        <w:t>4</w:t>
      </w:r>
    </w:p>
    <w:p w:rsidR="004259DB" w:rsidRPr="00714C27" w:rsidRDefault="004259DB" w:rsidP="004259DB">
      <w:pPr>
        <w:rPr>
          <w:sz w:val="16"/>
          <w:szCs w:val="16"/>
          <w:lang w:val="lv-LV"/>
        </w:rPr>
      </w:pPr>
      <w:r w:rsidRPr="00714C27">
        <w:rPr>
          <w:sz w:val="16"/>
          <w:szCs w:val="16"/>
          <w:lang w:val="lv-LV"/>
        </w:rPr>
        <w:t>Dz. Liepiņa, 67011759</w:t>
      </w:r>
    </w:p>
    <w:p w:rsidR="004259DB" w:rsidRPr="00714C27" w:rsidRDefault="004259DB" w:rsidP="004259DB">
      <w:pPr>
        <w:rPr>
          <w:sz w:val="16"/>
          <w:szCs w:val="16"/>
          <w:lang w:val="lv-LV"/>
        </w:rPr>
      </w:pPr>
      <w:r w:rsidRPr="00714C27">
        <w:rPr>
          <w:sz w:val="16"/>
          <w:szCs w:val="16"/>
          <w:lang w:val="lv-LV"/>
        </w:rPr>
        <w:t>dzidra.liepina@es2015.lv</w:t>
      </w:r>
    </w:p>
    <w:p w:rsidR="006B06D2" w:rsidRPr="00714C27" w:rsidRDefault="006B06D2">
      <w:pPr>
        <w:rPr>
          <w:color w:val="414142"/>
          <w:szCs w:val="24"/>
          <w:lang w:val="lv-LV" w:eastAsia="lv-LV"/>
        </w:rPr>
      </w:pPr>
    </w:p>
    <w:sectPr w:rsidR="006B06D2" w:rsidRPr="00714C27" w:rsidSect="0000128E">
      <w:headerReference w:type="default" r:id="rId8"/>
      <w:footerReference w:type="default" r:id="rId9"/>
      <w:footerReference w:type="first" r:id="rId10"/>
      <w:pgSz w:w="11896" w:h="16834"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20C" w:rsidRDefault="002F220C" w:rsidP="004259DB">
      <w:r>
        <w:separator/>
      </w:r>
    </w:p>
  </w:endnote>
  <w:endnote w:type="continuationSeparator" w:id="0">
    <w:p w:rsidR="002F220C" w:rsidRDefault="002F220C" w:rsidP="0042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A5" w:rsidRPr="003D0F8B" w:rsidRDefault="0091297B" w:rsidP="00C52A1C">
    <w:pPr>
      <w:jc w:val="both"/>
      <w:rPr>
        <w:sz w:val="20"/>
        <w:lang w:val="lv-LV"/>
      </w:rPr>
    </w:pPr>
    <w:r w:rsidRPr="006E2A1E">
      <w:rPr>
        <w:sz w:val="20"/>
      </w:rPr>
      <w:t>AM</w:t>
    </w:r>
    <w:r>
      <w:rPr>
        <w:sz w:val="20"/>
      </w:rPr>
      <w:t>Zin</w:t>
    </w:r>
    <w:r w:rsidR="004259DB">
      <w:rPr>
        <w:sz w:val="20"/>
      </w:rPr>
      <w:t>o</w:t>
    </w:r>
    <w:r w:rsidRPr="006E2A1E">
      <w:rPr>
        <w:sz w:val="20"/>
      </w:rPr>
      <w:t>_</w:t>
    </w:r>
    <w:r w:rsidR="004A1E0C">
      <w:rPr>
        <w:sz w:val="20"/>
      </w:rPr>
      <w:t>08</w:t>
    </w:r>
    <w:r w:rsidR="00612E3C">
      <w:rPr>
        <w:sz w:val="20"/>
      </w:rPr>
      <w:t>0</w:t>
    </w:r>
    <w:r w:rsidR="004A1E0C">
      <w:rPr>
        <w:sz w:val="20"/>
      </w:rPr>
      <w:t>8</w:t>
    </w:r>
    <w:r>
      <w:rPr>
        <w:sz w:val="20"/>
      </w:rPr>
      <w:t>14</w:t>
    </w:r>
    <w:r w:rsidRPr="006E2A1E">
      <w:rPr>
        <w:sz w:val="20"/>
      </w:rPr>
      <w:t>_</w:t>
    </w:r>
    <w:r>
      <w:rPr>
        <w:sz w:val="20"/>
      </w:rPr>
      <w:t>pres_aprop</w:t>
    </w:r>
    <w:r w:rsidRPr="006E2A1E">
      <w:rPr>
        <w:sz w:val="20"/>
        <w:lang w:val="lv-LV"/>
      </w:rPr>
      <w:t xml:space="preserve">; </w:t>
    </w:r>
    <w:r w:rsidR="004259DB">
      <w:rPr>
        <w:sz w:val="20"/>
        <w:lang w:val="lv-LV"/>
      </w:rPr>
      <w:t>I</w:t>
    </w:r>
    <w:r>
      <w:rPr>
        <w:sz w:val="20"/>
        <w:lang w:val="lv-LV"/>
      </w:rPr>
      <w:t>nformatīvai ziņojums</w:t>
    </w:r>
    <w:r w:rsidR="00612E3C">
      <w:rPr>
        <w:sz w:val="20"/>
        <w:lang w:val="lv-LV"/>
      </w:rPr>
      <w:t xml:space="preserve"> </w:t>
    </w:r>
    <w:r w:rsidRPr="003804C5">
      <w:rPr>
        <w:sz w:val="20"/>
        <w:lang w:val="lv-LV"/>
      </w:rPr>
      <w:t>„</w:t>
    </w:r>
    <w:r w:rsidRPr="003D0F8B">
      <w:rPr>
        <w:sz w:val="20"/>
        <w:lang w:val="lv-LV"/>
      </w:rPr>
      <w:t xml:space="preserve">Par Ārlietu ministrijas valsts pamatbudžeta programmas 96.00.00 „Latvijas prezidentūras Eiropas Savienības Padomē nodrošināšana 2015.gadā” apropriācijas pārdali starp </w:t>
    </w:r>
    <w:r>
      <w:rPr>
        <w:sz w:val="20"/>
        <w:lang w:val="lv-LV"/>
      </w:rPr>
      <w:t xml:space="preserve">apakšprogrammām un </w:t>
    </w:r>
    <w:r w:rsidRPr="003D0F8B">
      <w:rPr>
        <w:sz w:val="20"/>
        <w:lang w:val="lv-LV"/>
      </w:rPr>
      <w:t>budžeta izdevumu kodiem atbilstoši ekonomiskajām kategorijām”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F8B" w:rsidRPr="008866AE" w:rsidRDefault="008866AE" w:rsidP="008866AE">
    <w:pPr>
      <w:jc w:val="both"/>
      <w:rPr>
        <w:sz w:val="20"/>
        <w:lang w:val="lv-LV"/>
      </w:rPr>
    </w:pPr>
    <w:r w:rsidRPr="006E2A1E">
      <w:rPr>
        <w:sz w:val="20"/>
      </w:rPr>
      <w:t>AM</w:t>
    </w:r>
    <w:r>
      <w:rPr>
        <w:sz w:val="20"/>
      </w:rPr>
      <w:t>Zino</w:t>
    </w:r>
    <w:r w:rsidRPr="006E2A1E">
      <w:rPr>
        <w:sz w:val="20"/>
      </w:rPr>
      <w:t>_</w:t>
    </w:r>
    <w:r w:rsidR="004A1E0C">
      <w:rPr>
        <w:sz w:val="20"/>
      </w:rPr>
      <w:t>08</w:t>
    </w:r>
    <w:r w:rsidR="006E57D0">
      <w:rPr>
        <w:sz w:val="20"/>
      </w:rPr>
      <w:t>0</w:t>
    </w:r>
    <w:r w:rsidR="004A1E0C">
      <w:rPr>
        <w:sz w:val="20"/>
      </w:rPr>
      <w:t>8</w:t>
    </w:r>
    <w:r>
      <w:rPr>
        <w:sz w:val="20"/>
      </w:rPr>
      <w:t>14</w:t>
    </w:r>
    <w:r w:rsidRPr="006E2A1E">
      <w:rPr>
        <w:sz w:val="20"/>
      </w:rPr>
      <w:t>_</w:t>
    </w:r>
    <w:r>
      <w:rPr>
        <w:sz w:val="20"/>
      </w:rPr>
      <w:t>pres_aprop</w:t>
    </w:r>
    <w:r w:rsidRPr="006E2A1E">
      <w:rPr>
        <w:sz w:val="20"/>
        <w:lang w:val="lv-LV"/>
      </w:rPr>
      <w:t xml:space="preserve">; </w:t>
    </w:r>
    <w:r>
      <w:rPr>
        <w:sz w:val="20"/>
        <w:lang w:val="lv-LV"/>
      </w:rPr>
      <w:t>Informatīvai ziņojums</w:t>
    </w:r>
    <w:r w:rsidR="00612E3C">
      <w:rPr>
        <w:sz w:val="20"/>
        <w:lang w:val="lv-LV"/>
      </w:rPr>
      <w:t xml:space="preserve"> </w:t>
    </w:r>
    <w:r w:rsidRPr="003804C5">
      <w:rPr>
        <w:sz w:val="20"/>
        <w:lang w:val="lv-LV"/>
      </w:rPr>
      <w:t>„</w:t>
    </w:r>
    <w:r w:rsidRPr="003D0F8B">
      <w:rPr>
        <w:sz w:val="20"/>
        <w:lang w:val="lv-LV"/>
      </w:rPr>
      <w:t xml:space="preserve">Par Ārlietu ministrijas valsts pamatbudžeta programmas 96.00.00 „Latvijas prezidentūras Eiropas Savienības Padomē nodrošināšana 2015.gadā” apropriācijas pārdali starp </w:t>
    </w:r>
    <w:r>
      <w:rPr>
        <w:sz w:val="20"/>
        <w:lang w:val="lv-LV"/>
      </w:rPr>
      <w:t xml:space="preserve">apakšprogrammām un </w:t>
    </w:r>
    <w:r w:rsidRPr="003D0F8B">
      <w:rPr>
        <w:sz w:val="20"/>
        <w:lang w:val="lv-LV"/>
      </w:rPr>
      <w:t>budžeta izdevumu kodiem atbilstoši ekonomiskajām kategorijām”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20C" w:rsidRDefault="002F220C" w:rsidP="004259DB">
      <w:r>
        <w:separator/>
      </w:r>
    </w:p>
  </w:footnote>
  <w:footnote w:type="continuationSeparator" w:id="0">
    <w:p w:rsidR="002F220C" w:rsidRDefault="002F220C" w:rsidP="00425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397667"/>
      <w:docPartObj>
        <w:docPartGallery w:val="Page Numbers (Top of Page)"/>
        <w:docPartUnique/>
      </w:docPartObj>
    </w:sdtPr>
    <w:sdtEndPr>
      <w:rPr>
        <w:noProof/>
      </w:rPr>
    </w:sdtEndPr>
    <w:sdtContent>
      <w:p w:rsidR="0000128E" w:rsidRDefault="00D12F96">
        <w:pPr>
          <w:pStyle w:val="Header"/>
          <w:jc w:val="center"/>
        </w:pPr>
        <w:r>
          <w:fldChar w:fldCharType="begin"/>
        </w:r>
        <w:r w:rsidR="0000128E">
          <w:instrText xml:space="preserve"> PAGE   \* MERGEFORMAT </w:instrText>
        </w:r>
        <w:r>
          <w:fldChar w:fldCharType="separate"/>
        </w:r>
        <w:r w:rsidR="007B5958">
          <w:rPr>
            <w:noProof/>
          </w:rPr>
          <w:t>4</w:t>
        </w:r>
        <w:r>
          <w:rPr>
            <w:noProof/>
          </w:rPr>
          <w:fldChar w:fldCharType="end"/>
        </w:r>
      </w:p>
    </w:sdtContent>
  </w:sdt>
  <w:p w:rsidR="0000128E" w:rsidRDefault="00001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635EB"/>
    <w:multiLevelType w:val="hybridMultilevel"/>
    <w:tmpl w:val="554A75D6"/>
    <w:lvl w:ilvl="0" w:tplc="00BA61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DB"/>
    <w:rsid w:val="000002ED"/>
    <w:rsid w:val="0000128E"/>
    <w:rsid w:val="00026BC3"/>
    <w:rsid w:val="0004564A"/>
    <w:rsid w:val="00046EF2"/>
    <w:rsid w:val="00084447"/>
    <w:rsid w:val="00087D97"/>
    <w:rsid w:val="000A1B17"/>
    <w:rsid w:val="00106111"/>
    <w:rsid w:val="00125529"/>
    <w:rsid w:val="0017116F"/>
    <w:rsid w:val="0017298B"/>
    <w:rsid w:val="00186B90"/>
    <w:rsid w:val="001B2EF3"/>
    <w:rsid w:val="001E12F4"/>
    <w:rsid w:val="00224A2B"/>
    <w:rsid w:val="00225A70"/>
    <w:rsid w:val="00233CCC"/>
    <w:rsid w:val="00271923"/>
    <w:rsid w:val="002B0196"/>
    <w:rsid w:val="002B510C"/>
    <w:rsid w:val="002E1273"/>
    <w:rsid w:val="002E4A2B"/>
    <w:rsid w:val="002F217C"/>
    <w:rsid w:val="002F220C"/>
    <w:rsid w:val="0038323B"/>
    <w:rsid w:val="003874D7"/>
    <w:rsid w:val="003A491D"/>
    <w:rsid w:val="003C2748"/>
    <w:rsid w:val="003C5642"/>
    <w:rsid w:val="003E23F1"/>
    <w:rsid w:val="00423237"/>
    <w:rsid w:val="00425843"/>
    <w:rsid w:val="004259DB"/>
    <w:rsid w:val="00464E2B"/>
    <w:rsid w:val="00466CA0"/>
    <w:rsid w:val="00470DEB"/>
    <w:rsid w:val="00485E83"/>
    <w:rsid w:val="004A1E0C"/>
    <w:rsid w:val="004A1E25"/>
    <w:rsid w:val="004A6F38"/>
    <w:rsid w:val="004C30D5"/>
    <w:rsid w:val="005331D1"/>
    <w:rsid w:val="00592797"/>
    <w:rsid w:val="0059373E"/>
    <w:rsid w:val="005A21EC"/>
    <w:rsid w:val="00612E3C"/>
    <w:rsid w:val="006B06D2"/>
    <w:rsid w:val="006E15B9"/>
    <w:rsid w:val="006E57D0"/>
    <w:rsid w:val="00714C27"/>
    <w:rsid w:val="00735844"/>
    <w:rsid w:val="0074202E"/>
    <w:rsid w:val="00767CF1"/>
    <w:rsid w:val="0077246F"/>
    <w:rsid w:val="007B5958"/>
    <w:rsid w:val="00815B5D"/>
    <w:rsid w:val="0083288B"/>
    <w:rsid w:val="00835812"/>
    <w:rsid w:val="00837F91"/>
    <w:rsid w:val="00847F17"/>
    <w:rsid w:val="00860FA4"/>
    <w:rsid w:val="00863058"/>
    <w:rsid w:val="008866AE"/>
    <w:rsid w:val="00892A0E"/>
    <w:rsid w:val="008B6BE1"/>
    <w:rsid w:val="008C722C"/>
    <w:rsid w:val="00912074"/>
    <w:rsid w:val="0091297B"/>
    <w:rsid w:val="009313DD"/>
    <w:rsid w:val="00940574"/>
    <w:rsid w:val="00967560"/>
    <w:rsid w:val="009D6A86"/>
    <w:rsid w:val="00A32DE8"/>
    <w:rsid w:val="00A44F79"/>
    <w:rsid w:val="00A65506"/>
    <w:rsid w:val="00A745FF"/>
    <w:rsid w:val="00A976D4"/>
    <w:rsid w:val="00AD759C"/>
    <w:rsid w:val="00AE62A0"/>
    <w:rsid w:val="00B03F9D"/>
    <w:rsid w:val="00B074FF"/>
    <w:rsid w:val="00B300D6"/>
    <w:rsid w:val="00B31707"/>
    <w:rsid w:val="00B867FC"/>
    <w:rsid w:val="00C0023D"/>
    <w:rsid w:val="00C0729C"/>
    <w:rsid w:val="00C52A1C"/>
    <w:rsid w:val="00CA71C9"/>
    <w:rsid w:val="00CD37D0"/>
    <w:rsid w:val="00D12F96"/>
    <w:rsid w:val="00D42627"/>
    <w:rsid w:val="00D473AE"/>
    <w:rsid w:val="00DB7CF1"/>
    <w:rsid w:val="00DC1792"/>
    <w:rsid w:val="00E163F4"/>
    <w:rsid w:val="00E27E58"/>
    <w:rsid w:val="00E574EB"/>
    <w:rsid w:val="00EA7C40"/>
    <w:rsid w:val="00EB3826"/>
    <w:rsid w:val="00EC186E"/>
    <w:rsid w:val="00ED0754"/>
    <w:rsid w:val="00EE0DD9"/>
    <w:rsid w:val="00F12929"/>
    <w:rsid w:val="00F53D7A"/>
    <w:rsid w:val="00F57EBC"/>
    <w:rsid w:val="00F87601"/>
    <w:rsid w:val="00FD324A"/>
    <w:rsid w:val="00FD3A0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E575DFA3-93BA-4A4D-8FFE-0C19F1A1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9DB"/>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9D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59DB"/>
    <w:pPr>
      <w:ind w:left="720"/>
    </w:pPr>
    <w:rPr>
      <w:rFonts w:ascii="Calibri" w:eastAsiaTheme="minorHAnsi" w:hAnsi="Calibri"/>
      <w:sz w:val="22"/>
      <w:szCs w:val="22"/>
      <w:lang w:val="lv-LV"/>
    </w:rPr>
  </w:style>
  <w:style w:type="paragraph" w:styleId="Header">
    <w:name w:val="header"/>
    <w:basedOn w:val="Normal"/>
    <w:link w:val="HeaderChar"/>
    <w:uiPriority w:val="99"/>
    <w:unhideWhenUsed/>
    <w:rsid w:val="004259DB"/>
    <w:pPr>
      <w:tabs>
        <w:tab w:val="center" w:pos="4153"/>
        <w:tab w:val="right" w:pos="8306"/>
      </w:tabs>
    </w:pPr>
  </w:style>
  <w:style w:type="character" w:customStyle="1" w:styleId="HeaderChar">
    <w:name w:val="Header Char"/>
    <w:basedOn w:val="DefaultParagraphFont"/>
    <w:link w:val="Header"/>
    <w:uiPriority w:val="99"/>
    <w:rsid w:val="004259DB"/>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4259DB"/>
    <w:pPr>
      <w:tabs>
        <w:tab w:val="center" w:pos="4153"/>
        <w:tab w:val="right" w:pos="8306"/>
      </w:tabs>
    </w:pPr>
  </w:style>
  <w:style w:type="character" w:customStyle="1" w:styleId="FooterChar">
    <w:name w:val="Footer Char"/>
    <w:basedOn w:val="DefaultParagraphFont"/>
    <w:link w:val="Footer"/>
    <w:uiPriority w:val="99"/>
    <w:rsid w:val="004259D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A44F79"/>
    <w:rPr>
      <w:rFonts w:ascii="Tahoma" w:hAnsi="Tahoma" w:cs="Tahoma"/>
      <w:sz w:val="16"/>
      <w:szCs w:val="16"/>
    </w:rPr>
  </w:style>
  <w:style w:type="character" w:customStyle="1" w:styleId="BalloonTextChar">
    <w:name w:val="Balloon Text Char"/>
    <w:basedOn w:val="DefaultParagraphFont"/>
    <w:link w:val="BalloonText"/>
    <w:uiPriority w:val="99"/>
    <w:semiHidden/>
    <w:rsid w:val="00A44F79"/>
    <w:rPr>
      <w:rFonts w:ascii="Tahoma" w:eastAsia="Times New Roman" w:hAnsi="Tahoma" w:cs="Tahoma"/>
      <w:sz w:val="16"/>
      <w:szCs w:val="16"/>
      <w:lang w:val="en-US"/>
    </w:rPr>
  </w:style>
  <w:style w:type="paragraph" w:styleId="BodyText">
    <w:name w:val="Body Text"/>
    <w:basedOn w:val="Normal"/>
    <w:link w:val="BodyTextChar"/>
    <w:rsid w:val="002F217C"/>
    <w:pPr>
      <w:suppressAutoHyphens/>
      <w:spacing w:after="120"/>
    </w:pPr>
    <w:rPr>
      <w:szCs w:val="24"/>
      <w:lang w:val="lv-LV" w:eastAsia="ar-SA"/>
    </w:rPr>
  </w:style>
  <w:style w:type="character" w:customStyle="1" w:styleId="BodyTextChar">
    <w:name w:val="Body Text Char"/>
    <w:basedOn w:val="DefaultParagraphFont"/>
    <w:link w:val="BodyText"/>
    <w:rsid w:val="002F217C"/>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592797"/>
    <w:rPr>
      <w:sz w:val="16"/>
      <w:szCs w:val="16"/>
    </w:rPr>
  </w:style>
  <w:style w:type="paragraph" w:styleId="CommentText">
    <w:name w:val="annotation text"/>
    <w:basedOn w:val="Normal"/>
    <w:link w:val="CommentTextChar"/>
    <w:uiPriority w:val="99"/>
    <w:semiHidden/>
    <w:unhideWhenUsed/>
    <w:rsid w:val="00592797"/>
    <w:rPr>
      <w:sz w:val="20"/>
    </w:rPr>
  </w:style>
  <w:style w:type="character" w:customStyle="1" w:styleId="CommentTextChar">
    <w:name w:val="Comment Text Char"/>
    <w:basedOn w:val="DefaultParagraphFont"/>
    <w:link w:val="CommentText"/>
    <w:uiPriority w:val="99"/>
    <w:semiHidden/>
    <w:rsid w:val="0059279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92797"/>
    <w:rPr>
      <w:b/>
      <w:bCs/>
    </w:rPr>
  </w:style>
  <w:style w:type="character" w:customStyle="1" w:styleId="CommentSubjectChar">
    <w:name w:val="Comment Subject Char"/>
    <w:basedOn w:val="CommentTextChar"/>
    <w:link w:val="CommentSubject"/>
    <w:uiPriority w:val="99"/>
    <w:semiHidden/>
    <w:rsid w:val="0059279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7572">
      <w:bodyDiv w:val="1"/>
      <w:marLeft w:val="0"/>
      <w:marRight w:val="0"/>
      <w:marTop w:val="0"/>
      <w:marBottom w:val="0"/>
      <w:divBdr>
        <w:top w:val="none" w:sz="0" w:space="0" w:color="auto"/>
        <w:left w:val="none" w:sz="0" w:space="0" w:color="auto"/>
        <w:bottom w:val="none" w:sz="0" w:space="0" w:color="auto"/>
        <w:right w:val="none" w:sz="0" w:space="0" w:color="auto"/>
      </w:divBdr>
    </w:div>
    <w:div w:id="1532955309">
      <w:bodyDiv w:val="1"/>
      <w:marLeft w:val="0"/>
      <w:marRight w:val="0"/>
      <w:marTop w:val="0"/>
      <w:marBottom w:val="0"/>
      <w:divBdr>
        <w:top w:val="none" w:sz="0" w:space="0" w:color="auto"/>
        <w:left w:val="none" w:sz="0" w:space="0" w:color="auto"/>
        <w:bottom w:val="none" w:sz="0" w:space="0" w:color="auto"/>
        <w:right w:val="none" w:sz="0" w:space="0" w:color="auto"/>
      </w:divBdr>
    </w:div>
    <w:div w:id="20870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4B087-7524-4528-8553-754EA2E2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6489</Words>
  <Characters>3699</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LV PRES 2015</vt:lpstr>
      <vt:lpstr>LV PRES 2015</vt:lpstr>
    </vt:vector>
  </TitlesOfParts>
  <Company>Grizli777</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PRES 2015</dc:title>
  <dc:creator>dzidra.liepina@es2015.lv</dc:creator>
  <cp:lastModifiedBy>Eva Orēniša</cp:lastModifiedBy>
  <cp:revision>3</cp:revision>
  <cp:lastPrinted>2014-08-08T07:46:00Z</cp:lastPrinted>
  <dcterms:created xsi:type="dcterms:W3CDTF">2014-08-08T07:23:00Z</dcterms:created>
  <dcterms:modified xsi:type="dcterms:W3CDTF">2014-08-08T07:46:00Z</dcterms:modified>
</cp:coreProperties>
</file>