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DB" w:rsidRPr="00714C27" w:rsidRDefault="004259DB" w:rsidP="004259DB">
      <w:pPr>
        <w:jc w:val="center"/>
        <w:rPr>
          <w:b/>
          <w:caps/>
          <w:szCs w:val="24"/>
          <w:lang w:val="lv-LV"/>
        </w:rPr>
      </w:pPr>
      <w:r w:rsidRPr="00714C27">
        <w:rPr>
          <w:b/>
          <w:caps/>
          <w:szCs w:val="24"/>
          <w:lang w:val="lv-LV"/>
        </w:rPr>
        <w:t>Informatīvais ziņojums</w:t>
      </w:r>
    </w:p>
    <w:p w:rsidR="004259DB" w:rsidRPr="00714C27" w:rsidRDefault="000B150F" w:rsidP="004259DB">
      <w:pPr>
        <w:jc w:val="center"/>
        <w:rPr>
          <w:b/>
          <w:szCs w:val="24"/>
          <w:lang w:val="lv-LV"/>
        </w:rPr>
      </w:pPr>
      <w:r w:rsidRPr="000B150F">
        <w:rPr>
          <w:b/>
          <w:szCs w:val="24"/>
          <w:lang w:val="lv-LV"/>
        </w:rPr>
        <w:t xml:space="preserve">„Par Ārlietu ministrijas valsts pamatbudžeta programmas 96.00.00 „Latvijas prezidentūras Eiropas Savienības Padomē nodrošināšana </w:t>
      </w:r>
      <w:proofErr w:type="gramStart"/>
      <w:r w:rsidRPr="000B150F">
        <w:rPr>
          <w:b/>
          <w:szCs w:val="24"/>
          <w:lang w:val="lv-LV"/>
        </w:rPr>
        <w:t>2015.gadā</w:t>
      </w:r>
      <w:proofErr w:type="gramEnd"/>
      <w:r w:rsidRPr="000B150F">
        <w:rPr>
          <w:b/>
          <w:szCs w:val="24"/>
          <w:lang w:val="lv-LV"/>
        </w:rPr>
        <w:t>” apropriācijas pārdali starp budžeta izdevumu kodiem atbilstoši ekonomiskajām kategorijām”</w:t>
      </w:r>
    </w:p>
    <w:p w:rsidR="004259DB" w:rsidRDefault="004259DB" w:rsidP="004259DB">
      <w:pPr>
        <w:rPr>
          <w:szCs w:val="24"/>
          <w:lang w:val="lv-LV"/>
        </w:rPr>
      </w:pPr>
    </w:p>
    <w:p w:rsidR="00071F06" w:rsidRPr="00714C27" w:rsidRDefault="00071F06" w:rsidP="004259DB">
      <w:pPr>
        <w:rPr>
          <w:szCs w:val="24"/>
          <w:lang w:val="lv-LV"/>
        </w:rPr>
      </w:pPr>
      <w:bookmarkStart w:id="0" w:name="_GoBack"/>
      <w:bookmarkEnd w:id="0"/>
    </w:p>
    <w:p w:rsidR="004259DB" w:rsidRDefault="004259DB" w:rsidP="00FD437B">
      <w:pPr>
        <w:spacing w:after="120"/>
        <w:ind w:firstLine="709"/>
        <w:jc w:val="both"/>
        <w:rPr>
          <w:szCs w:val="24"/>
          <w:lang w:val="lv-LV"/>
        </w:rPr>
      </w:pPr>
      <w:r w:rsidRPr="00714C27">
        <w:rPr>
          <w:szCs w:val="24"/>
          <w:lang w:val="lv-LV"/>
        </w:rPr>
        <w:t xml:space="preserve">Saskaņā ar likuma „Par valsts budžetu </w:t>
      </w:r>
      <w:proofErr w:type="gramStart"/>
      <w:r w:rsidRPr="00714C27">
        <w:rPr>
          <w:szCs w:val="24"/>
          <w:lang w:val="lv-LV"/>
        </w:rPr>
        <w:t>2014.gadam</w:t>
      </w:r>
      <w:proofErr w:type="gramEnd"/>
      <w:r w:rsidRPr="00714C27">
        <w:rPr>
          <w:szCs w:val="24"/>
          <w:lang w:val="lv-LV"/>
        </w:rPr>
        <w:t xml:space="preserve">” 35.panta </w:t>
      </w:r>
      <w:r w:rsidR="00940574">
        <w:rPr>
          <w:szCs w:val="24"/>
          <w:lang w:val="lv-LV"/>
        </w:rPr>
        <w:t xml:space="preserve">pirmajā </w:t>
      </w:r>
      <w:r w:rsidR="0074202E">
        <w:rPr>
          <w:szCs w:val="24"/>
          <w:lang w:val="lv-LV"/>
        </w:rPr>
        <w:t>punktā</w:t>
      </w:r>
      <w:r w:rsidR="00A44F79" w:rsidRPr="00714C27">
        <w:rPr>
          <w:szCs w:val="24"/>
          <w:lang w:val="lv-LV"/>
        </w:rPr>
        <w:t xml:space="preserve"> </w:t>
      </w:r>
      <w:r w:rsidRPr="00714C27">
        <w:rPr>
          <w:szCs w:val="24"/>
          <w:lang w:val="lv-LV"/>
        </w:rPr>
        <w:t>noteikto – ja ir pieņemts attiecīgs Ministru kabineta lēmums, finanšu ministram ir tiesības veikt apropriācijas pārdali ministrijas vai citas centrālās valsts iestādes budžeta programmas 96.00.00 „Latvijas prezidentūras Eiropas Savienības Padomē nodrošināšana 2015.gadā” ietvaros</w:t>
      </w:r>
      <w:r w:rsidR="00EF70C1">
        <w:rPr>
          <w:szCs w:val="24"/>
          <w:lang w:val="lv-LV"/>
        </w:rPr>
        <w:t>.</w:t>
      </w:r>
      <w:r w:rsidRPr="00714C27">
        <w:rPr>
          <w:szCs w:val="24"/>
          <w:lang w:val="lv-LV"/>
        </w:rPr>
        <w:t xml:space="preserve"> Ārlietu ministrija </w:t>
      </w:r>
      <w:r w:rsidR="00A44F79" w:rsidRPr="00714C27">
        <w:rPr>
          <w:szCs w:val="24"/>
          <w:lang w:val="lv-LV"/>
        </w:rPr>
        <w:t xml:space="preserve">ir sagatavojusi </w:t>
      </w:r>
      <w:r w:rsidRPr="00714C27">
        <w:rPr>
          <w:szCs w:val="24"/>
          <w:lang w:val="lv-LV"/>
        </w:rPr>
        <w:t xml:space="preserve">informatīvo ziņojumu </w:t>
      </w:r>
      <w:r w:rsidR="00AC7026" w:rsidRPr="00AC7026">
        <w:rPr>
          <w:szCs w:val="24"/>
          <w:lang w:val="lv-LV"/>
        </w:rPr>
        <w:t>„Par Ārlietu ministrijas valsts pamatbudžeta programmas 96.00.00 „Latvijas prezidentūras Eiropas Savienības Padomē nodrošināšana 2015.gadā” apropriācijas pārdali starp budžeta izdevumu kodiem atbilstoši ekonomiskajām kategorijām”</w:t>
      </w:r>
      <w:r w:rsidR="00EF70C1" w:rsidRPr="00EF70C1">
        <w:rPr>
          <w:szCs w:val="24"/>
          <w:lang w:val="lv-LV"/>
        </w:rPr>
        <w:t>, lai Ministru kabinets pieņemtu lēmumu par izdevumu pārdali starp izdevumu kodiem atbilstoši ekonomiskajām kategorijām</w:t>
      </w:r>
      <w:r w:rsidRPr="00714C27">
        <w:rPr>
          <w:szCs w:val="24"/>
          <w:lang w:val="lv-LV"/>
        </w:rPr>
        <w:t xml:space="preserve">. </w:t>
      </w:r>
    </w:p>
    <w:p w:rsidR="00897647" w:rsidRPr="00714C27" w:rsidRDefault="00897647" w:rsidP="00FD437B">
      <w:pPr>
        <w:spacing w:after="120"/>
        <w:ind w:firstLine="709"/>
        <w:jc w:val="both"/>
        <w:rPr>
          <w:szCs w:val="24"/>
          <w:lang w:val="lv-LV"/>
        </w:rPr>
      </w:pPr>
    </w:p>
    <w:p w:rsidR="004259DB" w:rsidRPr="00714C27" w:rsidRDefault="004259DB" w:rsidP="00FD437B">
      <w:pPr>
        <w:spacing w:after="120"/>
        <w:jc w:val="center"/>
        <w:rPr>
          <w:b/>
          <w:szCs w:val="24"/>
          <w:lang w:val="lv-LV"/>
        </w:rPr>
      </w:pPr>
      <w:r w:rsidRPr="00714C27">
        <w:rPr>
          <w:b/>
          <w:szCs w:val="24"/>
          <w:lang w:val="lv-LV"/>
        </w:rPr>
        <w:t xml:space="preserve">Pašreizējās situācijas raksturojums </w:t>
      </w:r>
    </w:p>
    <w:p w:rsidR="003C2748" w:rsidRPr="00714C27" w:rsidRDefault="00895BC9" w:rsidP="002E4A2B">
      <w:pPr>
        <w:ind w:firstLine="709"/>
        <w:jc w:val="both"/>
        <w:rPr>
          <w:szCs w:val="24"/>
          <w:lang w:val="lv-LV"/>
        </w:rPr>
      </w:pPr>
      <w:r>
        <w:rPr>
          <w:szCs w:val="24"/>
          <w:lang w:val="lv-LV"/>
        </w:rPr>
        <w:t>L</w:t>
      </w:r>
      <w:r w:rsidR="004259DB" w:rsidRPr="00714C27">
        <w:rPr>
          <w:szCs w:val="24"/>
          <w:lang w:val="lv-LV"/>
        </w:rPr>
        <w:t xml:space="preserve">ikumā „Par valsts budžetu </w:t>
      </w:r>
      <w:proofErr w:type="gramStart"/>
      <w:r w:rsidR="004259DB" w:rsidRPr="00714C27">
        <w:rPr>
          <w:szCs w:val="24"/>
          <w:lang w:val="lv-LV"/>
        </w:rPr>
        <w:t>2014.gadam</w:t>
      </w:r>
      <w:proofErr w:type="gramEnd"/>
      <w:r w:rsidR="004259DB" w:rsidRPr="00714C27">
        <w:rPr>
          <w:szCs w:val="24"/>
          <w:lang w:val="lv-LV"/>
        </w:rPr>
        <w:t>”</w:t>
      </w:r>
      <w:r w:rsidR="002E4A2B">
        <w:rPr>
          <w:szCs w:val="24"/>
          <w:lang w:val="lv-LV"/>
        </w:rPr>
        <w:t xml:space="preserve"> </w:t>
      </w:r>
      <w:r w:rsidR="00714C27" w:rsidRPr="00714C27">
        <w:rPr>
          <w:szCs w:val="24"/>
          <w:lang w:val="lv-LV"/>
        </w:rPr>
        <w:t xml:space="preserve">un </w:t>
      </w:r>
      <w:r w:rsidR="00DE36ED">
        <w:rPr>
          <w:szCs w:val="24"/>
          <w:lang w:val="lv-LV"/>
        </w:rPr>
        <w:t>ņemot vērā</w:t>
      </w:r>
      <w:r w:rsidR="00714C27" w:rsidRPr="00714C27">
        <w:rPr>
          <w:szCs w:val="24"/>
          <w:lang w:val="lv-LV"/>
        </w:rPr>
        <w:t xml:space="preserve"> </w:t>
      </w:r>
      <w:r w:rsidR="002E4A2B" w:rsidRPr="00714C27">
        <w:rPr>
          <w:szCs w:val="24"/>
          <w:lang w:val="lv-LV"/>
        </w:rPr>
        <w:t xml:space="preserve">atbalstītās izmaiņas </w:t>
      </w:r>
      <w:r w:rsidR="002E4A2B">
        <w:rPr>
          <w:szCs w:val="24"/>
          <w:lang w:val="lv-LV"/>
        </w:rPr>
        <w:t>(</w:t>
      </w:r>
      <w:r w:rsidR="00897647" w:rsidRPr="00897647">
        <w:rPr>
          <w:lang w:val="lv-LV"/>
        </w:rPr>
        <w:t>Finanšu ministrijas 2014.gada 4 aprīļa rīkojums Nr.165, Ministru kabineta 2014.gada 17.jūnija sēdes protokola Nr.33 88.§, 2014.gada 7.jūlija rīkojumiem Nr.331 un Nr.332, Ministru kabineta 2014.gada 15.jūlija rīkojums Nr.357, Ministru kabineta 2014.gada 15.septembra rīkojums Nr.495</w:t>
      </w:r>
      <w:r w:rsidR="002E4A2B" w:rsidRPr="00560A64">
        <w:rPr>
          <w:szCs w:val="24"/>
          <w:lang w:val="lv-LV"/>
        </w:rPr>
        <w:t>)</w:t>
      </w:r>
      <w:r w:rsidR="00714C27" w:rsidRPr="00560A64">
        <w:rPr>
          <w:szCs w:val="24"/>
          <w:lang w:val="lv-LV"/>
        </w:rPr>
        <w:t>,</w:t>
      </w:r>
      <w:r w:rsidR="00714C27" w:rsidRPr="00714C27">
        <w:rPr>
          <w:szCs w:val="24"/>
          <w:lang w:val="lv-LV"/>
        </w:rPr>
        <w:t xml:space="preserve"> </w:t>
      </w:r>
      <w:r w:rsidR="004259DB" w:rsidRPr="00714C27">
        <w:rPr>
          <w:szCs w:val="24"/>
          <w:lang w:val="lv-LV"/>
        </w:rPr>
        <w:t>apstiprināt</w:t>
      </w:r>
      <w:r w:rsidR="00560A64">
        <w:rPr>
          <w:szCs w:val="24"/>
          <w:lang w:val="lv-LV"/>
        </w:rPr>
        <w:t>ais</w:t>
      </w:r>
      <w:r w:rsidR="004259DB" w:rsidRPr="00714C27">
        <w:rPr>
          <w:szCs w:val="24"/>
          <w:lang w:val="lv-LV"/>
        </w:rPr>
        <w:t xml:space="preserve"> finansējums Ārlietu  ministrija</w:t>
      </w:r>
      <w:r w:rsidR="00606812">
        <w:rPr>
          <w:szCs w:val="24"/>
          <w:lang w:val="lv-LV"/>
        </w:rPr>
        <w:t>s</w:t>
      </w:r>
      <w:r w:rsidR="004259DB" w:rsidRPr="00714C27">
        <w:rPr>
          <w:szCs w:val="24"/>
          <w:lang w:val="lv-LV"/>
        </w:rPr>
        <w:t xml:space="preserve"> budžeta programmā 96.00.00 „Latvijas prezidentūras Eiropas Savienības Padomē nodrošināšana 2015.gadā” – </w:t>
      </w:r>
      <w:r w:rsidR="003003B4" w:rsidRPr="003003B4">
        <w:rPr>
          <w:szCs w:val="24"/>
          <w:lang w:val="lv-LV"/>
        </w:rPr>
        <w:t>24 866 494</w:t>
      </w:r>
      <w:r w:rsidR="004259DB" w:rsidRPr="00714C27">
        <w:rPr>
          <w:szCs w:val="24"/>
          <w:lang w:val="lv-LV"/>
        </w:rPr>
        <w:t xml:space="preserve"> </w:t>
      </w:r>
      <w:proofErr w:type="spellStart"/>
      <w:r w:rsidR="004259DB" w:rsidRPr="00714C27">
        <w:rPr>
          <w:i/>
          <w:szCs w:val="24"/>
          <w:lang w:val="lv-LV"/>
        </w:rPr>
        <w:t>euro</w:t>
      </w:r>
      <w:proofErr w:type="spellEnd"/>
      <w:r w:rsidR="004259DB" w:rsidRPr="00714C27">
        <w:rPr>
          <w:szCs w:val="24"/>
          <w:lang w:val="lv-LV"/>
        </w:rPr>
        <w:t>, tai skaitā</w:t>
      </w:r>
      <w:r w:rsidR="00DE36ED">
        <w:rPr>
          <w:szCs w:val="24"/>
          <w:lang w:val="lv-LV"/>
        </w:rPr>
        <w:t xml:space="preserve"> </w:t>
      </w:r>
      <w:r w:rsidR="00DE36ED" w:rsidRPr="00714C27">
        <w:rPr>
          <w:szCs w:val="24"/>
          <w:lang w:val="lv-LV"/>
        </w:rPr>
        <w:t>budžeta</w:t>
      </w:r>
      <w:r w:rsidR="004259DB" w:rsidRPr="00714C27">
        <w:rPr>
          <w:szCs w:val="24"/>
          <w:lang w:val="lv-LV"/>
        </w:rPr>
        <w:t xml:space="preserve"> </w:t>
      </w:r>
      <w:r w:rsidR="00125529" w:rsidRPr="00860FA4">
        <w:rPr>
          <w:szCs w:val="24"/>
          <w:lang w:val="lv-LV"/>
        </w:rPr>
        <w:t xml:space="preserve">apakšprogrammā 96.03.00 „Latvijas prezidentūras Eiropas Savienības Padomē nodrošināšana </w:t>
      </w:r>
      <w:r w:rsidR="0017298B" w:rsidRPr="00860FA4">
        <w:rPr>
          <w:szCs w:val="24"/>
          <w:lang w:val="lv-LV"/>
        </w:rPr>
        <w:t xml:space="preserve">2015.gadā </w:t>
      </w:r>
      <w:r w:rsidR="00125529" w:rsidRPr="00860FA4">
        <w:rPr>
          <w:szCs w:val="24"/>
          <w:lang w:val="lv-LV"/>
        </w:rPr>
        <w:t>(ministrijas pasākumi)</w:t>
      </w:r>
      <w:r w:rsidR="00CB67A0">
        <w:rPr>
          <w:szCs w:val="24"/>
          <w:lang w:val="lv-LV"/>
        </w:rPr>
        <w:t>”</w:t>
      </w:r>
      <w:r w:rsidR="00125529" w:rsidRPr="00860FA4">
        <w:rPr>
          <w:szCs w:val="24"/>
          <w:lang w:val="lv-LV"/>
        </w:rPr>
        <w:t xml:space="preserve"> </w:t>
      </w:r>
      <w:r w:rsidRPr="00714C27">
        <w:rPr>
          <w:szCs w:val="24"/>
          <w:lang w:val="lv-LV"/>
        </w:rPr>
        <w:t xml:space="preserve">– </w:t>
      </w:r>
      <w:r w:rsidR="00606812" w:rsidRPr="00606812">
        <w:rPr>
          <w:szCs w:val="24"/>
          <w:lang w:val="lv-LV"/>
        </w:rPr>
        <w:t>15 532 376</w:t>
      </w:r>
      <w:r w:rsidR="003E23F1" w:rsidRPr="00860FA4">
        <w:rPr>
          <w:szCs w:val="24"/>
          <w:lang w:val="lv-LV"/>
        </w:rPr>
        <w:t xml:space="preserve"> </w:t>
      </w:r>
      <w:proofErr w:type="spellStart"/>
      <w:r w:rsidR="003E23F1" w:rsidRPr="00860FA4">
        <w:rPr>
          <w:i/>
          <w:szCs w:val="24"/>
          <w:lang w:val="lv-LV"/>
        </w:rPr>
        <w:t>euro</w:t>
      </w:r>
      <w:proofErr w:type="spellEnd"/>
      <w:r w:rsidR="00CB67A0">
        <w:rPr>
          <w:szCs w:val="24"/>
          <w:lang w:val="lv-LV"/>
        </w:rPr>
        <w:t>.</w:t>
      </w:r>
    </w:p>
    <w:p w:rsidR="00897647" w:rsidRDefault="00897647" w:rsidP="00897647">
      <w:pPr>
        <w:spacing w:after="120"/>
        <w:ind w:firstLine="720"/>
        <w:jc w:val="both"/>
        <w:rPr>
          <w:color w:val="000000" w:themeColor="text1"/>
          <w:szCs w:val="24"/>
          <w:lang w:val="lv-LV"/>
        </w:rPr>
      </w:pPr>
      <w:r w:rsidRPr="00897647">
        <w:rPr>
          <w:lang w:val="lv-LV"/>
        </w:rPr>
        <w:t xml:space="preserve">Saskaņā ar Ministru kabineta </w:t>
      </w:r>
      <w:proofErr w:type="gramStart"/>
      <w:r w:rsidRPr="00897647">
        <w:rPr>
          <w:lang w:val="lv-LV"/>
        </w:rPr>
        <w:t>2013.gada</w:t>
      </w:r>
      <w:proofErr w:type="gramEnd"/>
      <w:r w:rsidRPr="00897647">
        <w:rPr>
          <w:lang w:val="lv-LV"/>
        </w:rPr>
        <w:t xml:space="preserve"> 28.augusta rīkojuma Nr.401 1.2.9. punktu Ārlietu ministrijai tika piešķirts finansējums 1 453 262 </w:t>
      </w:r>
      <w:proofErr w:type="spellStart"/>
      <w:r w:rsidRPr="00897647">
        <w:rPr>
          <w:i/>
          <w:iCs/>
          <w:lang w:val="lv-LV"/>
        </w:rPr>
        <w:t>euro</w:t>
      </w:r>
      <w:proofErr w:type="spellEnd"/>
      <w:r w:rsidRPr="00897647">
        <w:rPr>
          <w:lang w:val="lv-LV"/>
        </w:rPr>
        <w:t xml:space="preserve"> apmērā loģistikai un materiāltehniskajam nodrošinājumam prezidentūras vajadzībām diplomātiskajās un konsulārajās pārstāvniecībās, tai skaitā infrastruktūras izveidei drošu sakaru un dokumentu aprites nodrošināšanai prezidentūras ietvaros vēstniecībās Ungārijas Republikā un Nīderlandes Karalistē, tehniskajam nodrošinājumam, papildu telpu īrei vēstniecībā Beļģijas Karalistē un Latvijas Republikas Pastāvīgajā pārstāvniecībā Apvienoto Nāciju Organizācijā Ženēvā. </w:t>
      </w:r>
      <w:r w:rsidR="004B5286" w:rsidRPr="004B5286">
        <w:rPr>
          <w:lang w:val="lv-LV"/>
        </w:rPr>
        <w:t xml:space="preserve">Lai nodrošināto minēto līdzekļu apguvi, </w:t>
      </w:r>
      <w:r w:rsidR="004B5286">
        <w:rPr>
          <w:color w:val="000000" w:themeColor="text1"/>
          <w:szCs w:val="24"/>
          <w:lang w:val="lv-LV"/>
        </w:rPr>
        <w:t>a</w:t>
      </w:r>
      <w:r w:rsidR="0074202E" w:rsidRPr="00CD4285">
        <w:rPr>
          <w:color w:val="000000" w:themeColor="text1"/>
          <w:szCs w:val="24"/>
          <w:lang w:val="lv-LV"/>
        </w:rPr>
        <w:t>pakšprogrammas</w:t>
      </w:r>
      <w:r w:rsidR="00125529" w:rsidRPr="00CD4285">
        <w:rPr>
          <w:color w:val="000000" w:themeColor="text1"/>
          <w:szCs w:val="24"/>
          <w:lang w:val="lv-LV"/>
        </w:rPr>
        <w:t xml:space="preserve"> 96.03.00 </w:t>
      </w:r>
      <w:r w:rsidR="007F6405" w:rsidRPr="00CD4285">
        <w:rPr>
          <w:color w:val="000000" w:themeColor="text1"/>
          <w:szCs w:val="24"/>
          <w:lang w:val="lv-LV"/>
        </w:rPr>
        <w:t xml:space="preserve">„Latvijas prezidentūras Eiropas Savienības Padomē nodrošināšana </w:t>
      </w:r>
      <w:proofErr w:type="gramStart"/>
      <w:r w:rsidR="007F6405" w:rsidRPr="00CD4285">
        <w:rPr>
          <w:color w:val="000000" w:themeColor="text1"/>
          <w:szCs w:val="24"/>
          <w:lang w:val="lv-LV"/>
        </w:rPr>
        <w:t>2015.gadā</w:t>
      </w:r>
      <w:proofErr w:type="gramEnd"/>
      <w:r w:rsidR="007F6405" w:rsidRPr="00CD4285">
        <w:rPr>
          <w:color w:val="000000" w:themeColor="text1"/>
          <w:szCs w:val="24"/>
          <w:lang w:val="lv-LV"/>
        </w:rPr>
        <w:t xml:space="preserve"> (ministrijas pasākumi)” </w:t>
      </w:r>
      <w:r w:rsidR="00125529" w:rsidRPr="00CD4285">
        <w:rPr>
          <w:color w:val="000000" w:themeColor="text1"/>
          <w:szCs w:val="24"/>
          <w:lang w:val="lv-LV"/>
        </w:rPr>
        <w:t>ietvaros</w:t>
      </w:r>
      <w:r w:rsidR="00DE36ED" w:rsidRPr="00CD4285">
        <w:rPr>
          <w:color w:val="000000" w:themeColor="text1"/>
          <w:szCs w:val="24"/>
          <w:lang w:val="lv-LV"/>
        </w:rPr>
        <w:t>, remontdarb</w:t>
      </w:r>
      <w:r w:rsidR="00854D35" w:rsidRPr="00CD4285">
        <w:rPr>
          <w:color w:val="000000" w:themeColor="text1"/>
          <w:szCs w:val="24"/>
          <w:lang w:val="lv-LV"/>
        </w:rPr>
        <w:t>u izdevumi</w:t>
      </w:r>
      <w:r w:rsidR="00151807" w:rsidRPr="00151807">
        <w:rPr>
          <w:b/>
          <w:color w:val="000000" w:themeColor="text1"/>
          <w:szCs w:val="24"/>
          <w:lang w:val="lv-LV"/>
        </w:rPr>
        <w:t>-</w:t>
      </w:r>
      <w:r w:rsidR="00854D35" w:rsidRPr="00CD4285">
        <w:rPr>
          <w:color w:val="000000" w:themeColor="text1"/>
          <w:szCs w:val="24"/>
          <w:lang w:val="lv-LV"/>
        </w:rPr>
        <w:t xml:space="preserve"> vēstniecībā Austrijā ēkas pamatu hidroizolācija, vēstniecībā Beļģijas Karalistē ēkas </w:t>
      </w:r>
      <w:r w:rsidR="00873006" w:rsidRPr="00CD4285">
        <w:rPr>
          <w:color w:val="000000" w:themeColor="text1"/>
          <w:szCs w:val="24"/>
          <w:lang w:val="lv-LV"/>
        </w:rPr>
        <w:t>remontdarbi</w:t>
      </w:r>
      <w:r w:rsidR="00854D35" w:rsidRPr="00CD4285">
        <w:rPr>
          <w:color w:val="000000" w:themeColor="text1"/>
          <w:szCs w:val="24"/>
          <w:lang w:val="lv-LV"/>
        </w:rPr>
        <w:t>, vēstniecībā Čehijā ēkas hidroizolācija, pārstāvniecīb</w:t>
      </w:r>
      <w:r w:rsidR="00ED1FC6" w:rsidRPr="00CD4285">
        <w:rPr>
          <w:color w:val="000000" w:themeColor="text1"/>
          <w:szCs w:val="24"/>
          <w:lang w:val="lv-LV"/>
        </w:rPr>
        <w:t>ā ANO Ņujorkā fasādes remonts</w:t>
      </w:r>
      <w:r w:rsidR="00854D35" w:rsidRPr="00CD4285">
        <w:rPr>
          <w:color w:val="000000" w:themeColor="text1"/>
          <w:szCs w:val="24"/>
          <w:lang w:val="lv-LV"/>
        </w:rPr>
        <w:t xml:space="preserve">, vēstniecībā Vācijā kāpņu telpas jumta nomaiņa, konsulātā Vitebskā ēkas pamatu hidroizolācija un ēkas fasādes siltināšana un vēstniecībā Nīderlandes Karalistē drošības sistēmas uzstādīšana, kopā </w:t>
      </w:r>
      <w:r w:rsidR="00CD4285" w:rsidRPr="00CD4285">
        <w:rPr>
          <w:color w:val="000000" w:themeColor="text1"/>
          <w:szCs w:val="24"/>
          <w:lang w:val="lv-LV"/>
        </w:rPr>
        <w:t>690 704</w:t>
      </w:r>
      <w:r w:rsidR="00854D35" w:rsidRPr="00CD4285">
        <w:rPr>
          <w:color w:val="000000" w:themeColor="text1"/>
          <w:szCs w:val="24"/>
          <w:lang w:val="lv-LV"/>
        </w:rPr>
        <w:t xml:space="preserve"> </w:t>
      </w:r>
      <w:proofErr w:type="spellStart"/>
      <w:r w:rsidR="00854D35" w:rsidRPr="00CD4285">
        <w:rPr>
          <w:i/>
          <w:color w:val="000000" w:themeColor="text1"/>
          <w:szCs w:val="24"/>
          <w:lang w:val="lv-LV"/>
        </w:rPr>
        <w:t>euro</w:t>
      </w:r>
      <w:proofErr w:type="spellEnd"/>
      <w:r w:rsidR="00854D35" w:rsidRPr="00CD4285">
        <w:rPr>
          <w:color w:val="000000" w:themeColor="text1"/>
          <w:szCs w:val="24"/>
          <w:lang w:val="lv-LV"/>
        </w:rPr>
        <w:t xml:space="preserve"> apmērā,</w:t>
      </w:r>
      <w:r w:rsidR="00DE36ED" w:rsidRPr="00CD4285">
        <w:rPr>
          <w:color w:val="000000" w:themeColor="text1"/>
          <w:szCs w:val="24"/>
          <w:lang w:val="lv-LV"/>
        </w:rPr>
        <w:t xml:space="preserve"> tika plānoti </w:t>
      </w:r>
      <w:r w:rsidR="00022D05" w:rsidRPr="00CD4285">
        <w:rPr>
          <w:color w:val="000000" w:themeColor="text1"/>
          <w:szCs w:val="24"/>
          <w:lang w:val="lv-LV"/>
        </w:rPr>
        <w:t xml:space="preserve">ekonomiskās klasifikācija kodā </w:t>
      </w:r>
      <w:r w:rsidR="00022D05" w:rsidRPr="00CD4285">
        <w:rPr>
          <w:i/>
          <w:color w:val="000000" w:themeColor="text1"/>
          <w:szCs w:val="24"/>
          <w:lang w:val="lv-LV"/>
        </w:rPr>
        <w:t>2000 Preces un pakalpojumi</w:t>
      </w:r>
      <w:r w:rsidR="00873006" w:rsidRPr="00CD4285">
        <w:rPr>
          <w:color w:val="000000" w:themeColor="text1"/>
          <w:szCs w:val="24"/>
          <w:lang w:val="lv-LV"/>
        </w:rPr>
        <w:t xml:space="preserve">. Ņemot vērā izstrādātos detalizētos darbu apjomus un veicot iepirkumus tika secināts, ka darbu izdevumi </w:t>
      </w:r>
      <w:r w:rsidR="00022D05" w:rsidRPr="00CD4285">
        <w:rPr>
          <w:color w:val="000000" w:themeColor="text1"/>
          <w:szCs w:val="24"/>
          <w:lang w:val="lv-LV"/>
        </w:rPr>
        <w:t>pēc to pabeigšanas tiks kapitalizēti</w:t>
      </w:r>
      <w:r w:rsidR="00DE36ED" w:rsidRPr="00CD4285">
        <w:rPr>
          <w:color w:val="000000" w:themeColor="text1"/>
          <w:szCs w:val="24"/>
          <w:lang w:val="lv-LV"/>
        </w:rPr>
        <w:t xml:space="preserve">, </w:t>
      </w:r>
      <w:r w:rsidR="00CD4285" w:rsidRPr="00CD4285">
        <w:rPr>
          <w:color w:val="000000" w:themeColor="text1"/>
          <w:szCs w:val="24"/>
          <w:lang w:val="lv-LV"/>
        </w:rPr>
        <w:t xml:space="preserve">līdz ar to </w:t>
      </w:r>
      <w:r w:rsidR="00DE36ED" w:rsidRPr="00CD4285">
        <w:rPr>
          <w:color w:val="000000" w:themeColor="text1"/>
          <w:szCs w:val="24"/>
          <w:lang w:val="lv-LV"/>
        </w:rPr>
        <w:t xml:space="preserve">nepieciešams veikt </w:t>
      </w:r>
      <w:r w:rsidR="00E23FDD" w:rsidRPr="00CD4285">
        <w:rPr>
          <w:color w:val="000000" w:themeColor="text1"/>
          <w:szCs w:val="24"/>
          <w:lang w:val="lv-LV"/>
        </w:rPr>
        <w:t>finanšu līdzekļu</w:t>
      </w:r>
      <w:r w:rsidR="00DE36ED" w:rsidRPr="00CD4285">
        <w:rPr>
          <w:color w:val="000000" w:themeColor="text1"/>
          <w:szCs w:val="24"/>
          <w:lang w:val="lv-LV"/>
        </w:rPr>
        <w:t xml:space="preserve"> pārdali uz ekonomiskās klasifikācija</w:t>
      </w:r>
      <w:r w:rsidR="00854D35" w:rsidRPr="00CD4285">
        <w:rPr>
          <w:color w:val="000000" w:themeColor="text1"/>
          <w:szCs w:val="24"/>
          <w:lang w:val="lv-LV"/>
        </w:rPr>
        <w:t>s</w:t>
      </w:r>
      <w:r w:rsidR="00DE36ED" w:rsidRPr="00CD4285">
        <w:rPr>
          <w:color w:val="000000" w:themeColor="text1"/>
          <w:szCs w:val="24"/>
          <w:lang w:val="lv-LV"/>
        </w:rPr>
        <w:t xml:space="preserve"> kod</w:t>
      </w:r>
      <w:r w:rsidR="00854D35" w:rsidRPr="00CD4285">
        <w:rPr>
          <w:color w:val="000000" w:themeColor="text1"/>
          <w:szCs w:val="24"/>
          <w:lang w:val="lv-LV"/>
        </w:rPr>
        <w:t>u</w:t>
      </w:r>
      <w:r w:rsidR="00DE36ED" w:rsidRPr="00CD4285">
        <w:rPr>
          <w:color w:val="000000" w:themeColor="text1"/>
          <w:szCs w:val="24"/>
          <w:lang w:val="lv-LV"/>
        </w:rPr>
        <w:t xml:space="preserve"> </w:t>
      </w:r>
      <w:r w:rsidR="00DE36ED" w:rsidRPr="00CD4285">
        <w:rPr>
          <w:i/>
          <w:color w:val="000000" w:themeColor="text1"/>
          <w:szCs w:val="24"/>
          <w:lang w:val="lv-LV"/>
        </w:rPr>
        <w:t>5000 Pamatkapitāla veidošana</w:t>
      </w:r>
      <w:r w:rsidR="00022D05" w:rsidRPr="00CD4285">
        <w:rPr>
          <w:color w:val="000000" w:themeColor="text1"/>
          <w:szCs w:val="24"/>
          <w:lang w:val="lv-LV"/>
        </w:rPr>
        <w:t xml:space="preserve">. </w:t>
      </w:r>
    </w:p>
    <w:p w:rsidR="00071F06" w:rsidRPr="00CD4285" w:rsidRDefault="00071F06" w:rsidP="00897647">
      <w:pPr>
        <w:spacing w:after="120"/>
        <w:ind w:firstLine="720"/>
        <w:jc w:val="both"/>
        <w:rPr>
          <w:color w:val="000000" w:themeColor="text1"/>
          <w:szCs w:val="24"/>
          <w:lang w:val="lv-LV"/>
        </w:rPr>
      </w:pPr>
    </w:p>
    <w:p w:rsidR="004259DB" w:rsidRPr="00714C27" w:rsidRDefault="004259DB" w:rsidP="00FD437B">
      <w:pPr>
        <w:suppressAutoHyphens/>
        <w:spacing w:after="120"/>
        <w:ind w:firstLine="720"/>
        <w:jc w:val="center"/>
        <w:rPr>
          <w:b/>
          <w:color w:val="000000" w:themeColor="text1"/>
          <w:szCs w:val="24"/>
          <w:lang w:val="lv-LV" w:eastAsia="ar-SA"/>
        </w:rPr>
      </w:pPr>
      <w:r w:rsidRPr="00714C27">
        <w:rPr>
          <w:b/>
          <w:color w:val="000000" w:themeColor="text1"/>
          <w:szCs w:val="24"/>
          <w:lang w:val="lv-LV" w:eastAsia="ar-SA"/>
        </w:rPr>
        <w:t>Priekšlikumi turpmākai rīcībai</w:t>
      </w:r>
    </w:p>
    <w:p w:rsidR="004259DB" w:rsidRPr="00714C27" w:rsidRDefault="00E23FDD" w:rsidP="003C2748">
      <w:pPr>
        <w:tabs>
          <w:tab w:val="left" w:pos="851"/>
        </w:tabs>
        <w:suppressAutoHyphens/>
        <w:ind w:firstLine="709"/>
        <w:jc w:val="both"/>
        <w:rPr>
          <w:szCs w:val="24"/>
          <w:lang w:val="lv-LV"/>
        </w:rPr>
      </w:pPr>
      <w:r>
        <w:rPr>
          <w:szCs w:val="24"/>
          <w:lang w:val="lv-LV"/>
        </w:rPr>
        <w:t>Ņemot vērā Ārlietu ministrijas</w:t>
      </w:r>
      <w:r w:rsidR="004259DB" w:rsidRPr="00714C27">
        <w:rPr>
          <w:szCs w:val="24"/>
          <w:lang w:val="lv-LV"/>
        </w:rPr>
        <w:t xml:space="preserve"> </w:t>
      </w:r>
      <w:r>
        <w:rPr>
          <w:szCs w:val="24"/>
          <w:lang w:val="lv-LV"/>
        </w:rPr>
        <w:t>a</w:t>
      </w:r>
      <w:r w:rsidRPr="00E23FDD">
        <w:rPr>
          <w:szCs w:val="24"/>
          <w:lang w:val="lv-LV"/>
        </w:rPr>
        <w:t xml:space="preserve">pakšprogrammas 96.03.00 „Latvijas prezidentūras Eiropas Savienības Padomē nodrošināšana </w:t>
      </w:r>
      <w:proofErr w:type="gramStart"/>
      <w:r w:rsidRPr="00E23FDD">
        <w:rPr>
          <w:szCs w:val="24"/>
          <w:lang w:val="lv-LV"/>
        </w:rPr>
        <w:t>2015.gadā</w:t>
      </w:r>
      <w:proofErr w:type="gramEnd"/>
      <w:r w:rsidRPr="00E23FDD">
        <w:rPr>
          <w:szCs w:val="24"/>
          <w:lang w:val="lv-LV"/>
        </w:rPr>
        <w:t xml:space="preserve"> (ministrijas pasākumi)”</w:t>
      </w:r>
      <w:r w:rsidR="004259DB" w:rsidRPr="00714C27">
        <w:rPr>
          <w:szCs w:val="24"/>
          <w:lang w:val="lv-LV"/>
        </w:rPr>
        <w:t xml:space="preserve"> </w:t>
      </w:r>
      <w:r>
        <w:rPr>
          <w:szCs w:val="24"/>
          <w:lang w:val="lv-LV"/>
        </w:rPr>
        <w:t xml:space="preserve">plānotos </w:t>
      </w:r>
      <w:r w:rsidR="004259DB" w:rsidRPr="00714C27">
        <w:rPr>
          <w:szCs w:val="24"/>
          <w:lang w:val="lv-LV"/>
        </w:rPr>
        <w:lastRenderedPageBreak/>
        <w:t>izdevumus</w:t>
      </w:r>
      <w:r>
        <w:rPr>
          <w:szCs w:val="24"/>
          <w:lang w:val="lv-LV"/>
        </w:rPr>
        <w:t xml:space="preserve"> un</w:t>
      </w:r>
      <w:r w:rsidR="004259DB" w:rsidRPr="00714C27">
        <w:rPr>
          <w:szCs w:val="24"/>
          <w:lang w:val="lv-LV"/>
        </w:rPr>
        <w:t xml:space="preserve"> pieejamo apropriāciju</w:t>
      </w:r>
      <w:r>
        <w:rPr>
          <w:szCs w:val="24"/>
          <w:lang w:val="lv-LV"/>
        </w:rPr>
        <w:t>,</w:t>
      </w:r>
      <w:r w:rsidR="004259DB" w:rsidRPr="00714C27">
        <w:rPr>
          <w:szCs w:val="24"/>
          <w:lang w:val="lv-LV"/>
        </w:rPr>
        <w:t xml:space="preserve"> </w:t>
      </w:r>
      <w:r w:rsidR="004259DB" w:rsidRPr="00714C27">
        <w:rPr>
          <w:szCs w:val="24"/>
          <w:lang w:val="lv-LV" w:eastAsia="ar-SA"/>
        </w:rPr>
        <w:t xml:space="preserve">nepieciešams </w:t>
      </w:r>
      <w:r>
        <w:rPr>
          <w:szCs w:val="24"/>
          <w:lang w:val="lv-LV" w:eastAsia="ar-SA"/>
        </w:rPr>
        <w:t xml:space="preserve">veikt </w:t>
      </w:r>
      <w:r w:rsidRPr="00E23FDD">
        <w:rPr>
          <w:szCs w:val="24"/>
          <w:lang w:val="lv-LV" w:eastAsia="ar-SA"/>
        </w:rPr>
        <w:t>apropriācijas pārdal</w:t>
      </w:r>
      <w:r>
        <w:rPr>
          <w:szCs w:val="24"/>
          <w:lang w:val="lv-LV" w:eastAsia="ar-SA"/>
        </w:rPr>
        <w:t>i</w:t>
      </w:r>
      <w:r w:rsidRPr="00E23FDD">
        <w:rPr>
          <w:szCs w:val="24"/>
          <w:lang w:val="lv-LV" w:eastAsia="ar-SA"/>
        </w:rPr>
        <w:t xml:space="preserve"> apakšprogrammas ietvaros starp ekonomiskās klasifikācijas kodiem</w:t>
      </w:r>
      <w:r>
        <w:rPr>
          <w:szCs w:val="24"/>
          <w:lang w:val="lv-LV" w:eastAsia="ar-SA"/>
        </w:rPr>
        <w:t>, veicot</w:t>
      </w:r>
      <w:r w:rsidR="004259DB" w:rsidRPr="00714C27">
        <w:rPr>
          <w:szCs w:val="24"/>
          <w:lang w:val="lv-LV" w:eastAsia="ar-SA"/>
        </w:rPr>
        <w:t xml:space="preserve"> šādas izmaiņas</w:t>
      </w:r>
      <w:r w:rsidR="004259DB" w:rsidRPr="00714C27">
        <w:rPr>
          <w:szCs w:val="24"/>
          <w:lang w:val="lv-LV"/>
        </w:rPr>
        <w:t>:</w:t>
      </w:r>
    </w:p>
    <w:p w:rsidR="004259DB" w:rsidRPr="00D473AE" w:rsidRDefault="004259DB" w:rsidP="00CD4285">
      <w:pPr>
        <w:pStyle w:val="ListParagraph"/>
        <w:numPr>
          <w:ilvl w:val="0"/>
          <w:numId w:val="1"/>
        </w:numPr>
        <w:tabs>
          <w:tab w:val="left" w:pos="851"/>
        </w:tabs>
        <w:suppressAutoHyphens/>
        <w:jc w:val="both"/>
        <w:rPr>
          <w:rFonts w:ascii="Times New Roman" w:hAnsi="Times New Roman"/>
          <w:sz w:val="24"/>
          <w:szCs w:val="24"/>
          <w:lang w:eastAsia="ar-SA"/>
        </w:rPr>
      </w:pPr>
      <w:r w:rsidRPr="00D473AE">
        <w:rPr>
          <w:rFonts w:ascii="Times New Roman" w:hAnsi="Times New Roman"/>
          <w:sz w:val="24"/>
          <w:szCs w:val="24"/>
        </w:rPr>
        <w:t xml:space="preserve">samazināt izdevumus </w:t>
      </w:r>
      <w:r w:rsidR="0034119A" w:rsidRPr="0034119A">
        <w:rPr>
          <w:rFonts w:ascii="Times New Roman" w:hAnsi="Times New Roman"/>
          <w:sz w:val="24"/>
          <w:szCs w:val="24"/>
        </w:rPr>
        <w:t xml:space="preserve">ekonomiskās klasifikācijas kodā </w:t>
      </w:r>
      <w:r w:rsidR="00DE36ED">
        <w:rPr>
          <w:rFonts w:ascii="Times New Roman" w:hAnsi="Times New Roman"/>
          <w:sz w:val="24"/>
          <w:szCs w:val="24"/>
        </w:rPr>
        <w:t>2</w:t>
      </w:r>
      <w:r w:rsidR="0034119A" w:rsidRPr="0034119A">
        <w:rPr>
          <w:rFonts w:ascii="Times New Roman" w:hAnsi="Times New Roman"/>
          <w:i/>
          <w:sz w:val="24"/>
          <w:szCs w:val="24"/>
        </w:rPr>
        <w:t>000 Preces un pakalpojumi</w:t>
      </w:r>
      <w:r w:rsidR="0034119A" w:rsidRPr="0034119A">
        <w:rPr>
          <w:rFonts w:ascii="Times New Roman" w:hAnsi="Times New Roman"/>
          <w:sz w:val="24"/>
          <w:szCs w:val="24"/>
        </w:rPr>
        <w:t xml:space="preserve"> </w:t>
      </w:r>
      <w:r w:rsidR="00B03F9D">
        <w:rPr>
          <w:rFonts w:ascii="Times New Roman" w:hAnsi="Times New Roman"/>
          <w:sz w:val="24"/>
          <w:szCs w:val="24"/>
        </w:rPr>
        <w:t xml:space="preserve">par </w:t>
      </w:r>
      <w:r w:rsidR="00CD4285" w:rsidRPr="00CD4285">
        <w:rPr>
          <w:rFonts w:ascii="Times New Roman" w:hAnsi="Times New Roman"/>
          <w:sz w:val="24"/>
          <w:szCs w:val="24"/>
        </w:rPr>
        <w:t xml:space="preserve">690 704 </w:t>
      </w:r>
      <w:proofErr w:type="spellStart"/>
      <w:r w:rsidR="00CD4285" w:rsidRPr="00CD4285">
        <w:rPr>
          <w:rFonts w:ascii="Times New Roman" w:hAnsi="Times New Roman"/>
          <w:i/>
          <w:sz w:val="24"/>
          <w:szCs w:val="24"/>
        </w:rPr>
        <w:t>euro</w:t>
      </w:r>
      <w:proofErr w:type="spellEnd"/>
      <w:r w:rsidRPr="00D473AE">
        <w:rPr>
          <w:rFonts w:ascii="Times New Roman" w:hAnsi="Times New Roman"/>
          <w:sz w:val="24"/>
          <w:szCs w:val="24"/>
        </w:rPr>
        <w:t>;</w:t>
      </w:r>
    </w:p>
    <w:p w:rsidR="004259DB" w:rsidRPr="00D473AE" w:rsidRDefault="004259DB" w:rsidP="00022D05">
      <w:pPr>
        <w:pStyle w:val="ListParagraph"/>
        <w:numPr>
          <w:ilvl w:val="0"/>
          <w:numId w:val="1"/>
        </w:numPr>
        <w:tabs>
          <w:tab w:val="left" w:pos="851"/>
        </w:tabs>
        <w:suppressAutoHyphens/>
        <w:jc w:val="both"/>
        <w:rPr>
          <w:rFonts w:ascii="Times New Roman" w:hAnsi="Times New Roman"/>
          <w:sz w:val="24"/>
          <w:szCs w:val="24"/>
          <w:lang w:eastAsia="ar-SA"/>
        </w:rPr>
      </w:pPr>
      <w:r w:rsidRPr="00D473AE">
        <w:rPr>
          <w:rFonts w:ascii="Times New Roman" w:hAnsi="Times New Roman"/>
          <w:sz w:val="24"/>
          <w:szCs w:val="24"/>
          <w:lang w:eastAsia="ar-SA"/>
        </w:rPr>
        <w:t xml:space="preserve">palielināt izdevumus </w:t>
      </w:r>
      <w:r w:rsidR="00022D05" w:rsidRPr="00022D05">
        <w:rPr>
          <w:rFonts w:ascii="Times New Roman" w:hAnsi="Times New Roman"/>
          <w:sz w:val="24"/>
          <w:szCs w:val="24"/>
          <w:lang w:eastAsia="ar-SA"/>
        </w:rPr>
        <w:t xml:space="preserve">ekonomiskās klasifikācijas kodā </w:t>
      </w:r>
      <w:r w:rsidR="00022D05" w:rsidRPr="00022D05">
        <w:rPr>
          <w:rFonts w:ascii="Times New Roman" w:hAnsi="Times New Roman"/>
          <w:i/>
          <w:sz w:val="24"/>
          <w:szCs w:val="24"/>
          <w:lang w:eastAsia="ar-SA"/>
        </w:rPr>
        <w:t>5000 Pamatkapitāla veidošana</w:t>
      </w:r>
      <w:r w:rsidR="00022D05" w:rsidRPr="00022D05">
        <w:rPr>
          <w:rFonts w:ascii="Times New Roman" w:hAnsi="Times New Roman"/>
          <w:sz w:val="24"/>
          <w:szCs w:val="24"/>
          <w:lang w:eastAsia="ar-SA"/>
        </w:rPr>
        <w:t xml:space="preserve">, lai korekti pielietotu ekonomiskās klasifikācijas kodus atbilstoši </w:t>
      </w:r>
      <w:proofErr w:type="gramStart"/>
      <w:r w:rsidR="00022D05" w:rsidRPr="00022D05">
        <w:rPr>
          <w:rFonts w:ascii="Times New Roman" w:hAnsi="Times New Roman"/>
          <w:sz w:val="24"/>
          <w:szCs w:val="24"/>
          <w:lang w:eastAsia="ar-SA"/>
        </w:rPr>
        <w:t>2005.gada</w:t>
      </w:r>
      <w:proofErr w:type="gramEnd"/>
      <w:r w:rsidR="00022D05" w:rsidRPr="00022D05">
        <w:rPr>
          <w:rFonts w:ascii="Times New Roman" w:hAnsi="Times New Roman"/>
          <w:sz w:val="24"/>
          <w:szCs w:val="24"/>
          <w:lang w:eastAsia="ar-SA"/>
        </w:rPr>
        <w:t xml:space="preserve"> 27.decembra Ministru kabineta noteikumiem Nr.1031 „Noteikumi par budžetu izdevumu klasifikāciju atbilstoši ekonomiskajām kategorijām” remont</w:t>
      </w:r>
      <w:r w:rsidR="00022D05">
        <w:rPr>
          <w:rFonts w:ascii="Times New Roman" w:hAnsi="Times New Roman"/>
          <w:sz w:val="24"/>
          <w:szCs w:val="24"/>
          <w:lang w:eastAsia="ar-SA"/>
        </w:rPr>
        <w:t>a</w:t>
      </w:r>
      <w:r w:rsidR="00022D05" w:rsidRPr="00022D05">
        <w:rPr>
          <w:rFonts w:ascii="Times New Roman" w:hAnsi="Times New Roman"/>
          <w:sz w:val="24"/>
          <w:szCs w:val="24"/>
          <w:lang w:eastAsia="ar-SA"/>
        </w:rPr>
        <w:t xml:space="preserve"> izdevumiem, kas ir kapitalizējami</w:t>
      </w:r>
      <w:r w:rsidR="0034119A">
        <w:rPr>
          <w:rFonts w:ascii="Times New Roman" w:hAnsi="Times New Roman"/>
          <w:sz w:val="24"/>
          <w:szCs w:val="24"/>
          <w:lang w:eastAsia="ar-SA"/>
        </w:rPr>
        <w:t>.</w:t>
      </w:r>
    </w:p>
    <w:p w:rsidR="007B5958" w:rsidRPr="00714C27" w:rsidRDefault="004259DB" w:rsidP="001E7C9C">
      <w:pPr>
        <w:tabs>
          <w:tab w:val="left" w:pos="709"/>
        </w:tabs>
        <w:suppressAutoHyphens/>
        <w:jc w:val="both"/>
        <w:rPr>
          <w:i/>
          <w:szCs w:val="24"/>
          <w:lang w:val="lv-LV" w:eastAsia="lv-LV"/>
        </w:rPr>
      </w:pPr>
      <w:r w:rsidRPr="00714C27">
        <w:rPr>
          <w:szCs w:val="24"/>
          <w:lang w:val="lv-LV"/>
        </w:rPr>
        <w:tab/>
      </w:r>
      <w:r w:rsidR="00EB3826">
        <w:rPr>
          <w:szCs w:val="24"/>
          <w:lang w:val="lv-LV"/>
        </w:rPr>
        <w:t xml:space="preserve">Apropriācijas pārdale </w:t>
      </w:r>
      <w:r w:rsidRPr="00714C27">
        <w:rPr>
          <w:szCs w:val="24"/>
          <w:lang w:val="lv-LV"/>
        </w:rPr>
        <w:t xml:space="preserve">paredz veikt attiecīgas izmaiņas budžeta </w:t>
      </w:r>
      <w:r w:rsidR="00CB67A0" w:rsidRPr="00CB67A0">
        <w:rPr>
          <w:szCs w:val="24"/>
          <w:lang w:val="lv-LV"/>
        </w:rPr>
        <w:t xml:space="preserve">apakšprogrammā 96.03.00 „Latvijas prezidentūras Eiropas Savienības Padomē nodrošināšana </w:t>
      </w:r>
      <w:proofErr w:type="gramStart"/>
      <w:r w:rsidR="00CB67A0" w:rsidRPr="00CB67A0">
        <w:rPr>
          <w:szCs w:val="24"/>
          <w:lang w:val="lv-LV"/>
        </w:rPr>
        <w:t>2015.gadā</w:t>
      </w:r>
      <w:proofErr w:type="gramEnd"/>
      <w:r w:rsidR="00CB67A0" w:rsidRPr="00CB67A0">
        <w:rPr>
          <w:szCs w:val="24"/>
          <w:lang w:val="lv-LV"/>
        </w:rPr>
        <w:t xml:space="preserve"> (ministrijas pasākumi)”</w:t>
      </w:r>
      <w:r w:rsidRPr="00714C27">
        <w:rPr>
          <w:bCs/>
          <w:szCs w:val="24"/>
          <w:lang w:val="lv-LV" w:eastAsia="lv-LV"/>
        </w:rPr>
        <w:t xml:space="preserve">, </w:t>
      </w:r>
      <w:r w:rsidRPr="00714C27">
        <w:rPr>
          <w:bCs/>
          <w:szCs w:val="24"/>
          <w:lang w:val="lv-LV"/>
        </w:rPr>
        <w:t>nepalielinot kopējo izdevumu un ieņēmumu apjomu</w:t>
      </w:r>
      <w:r w:rsidR="00EF70C1">
        <w:rPr>
          <w:bCs/>
          <w:szCs w:val="24"/>
          <w:lang w:val="lv-LV"/>
        </w:rPr>
        <w:t xml:space="preserve"> </w:t>
      </w:r>
      <w:r w:rsidR="00EF70C1" w:rsidRPr="00EF70C1">
        <w:rPr>
          <w:bCs/>
          <w:szCs w:val="24"/>
          <w:lang w:val="lv-LV"/>
        </w:rPr>
        <w:t>(skatīt tabulu)</w:t>
      </w:r>
      <w:r w:rsidRPr="00714C27">
        <w:rPr>
          <w:szCs w:val="24"/>
          <w:lang w:val="lv-LV"/>
        </w:rPr>
        <w:t xml:space="preserve">. </w:t>
      </w:r>
    </w:p>
    <w:p w:rsidR="00897647" w:rsidRDefault="00897647" w:rsidP="004259DB">
      <w:pPr>
        <w:jc w:val="right"/>
        <w:rPr>
          <w:i/>
          <w:szCs w:val="24"/>
          <w:lang w:val="lv-LV"/>
        </w:rPr>
      </w:pPr>
    </w:p>
    <w:p w:rsidR="004259DB" w:rsidRPr="00714C27" w:rsidRDefault="004124B1" w:rsidP="004259DB">
      <w:pPr>
        <w:jc w:val="right"/>
        <w:rPr>
          <w:i/>
          <w:szCs w:val="24"/>
          <w:lang w:val="lv-LV"/>
        </w:rPr>
      </w:pPr>
      <w:r>
        <w:rPr>
          <w:i/>
          <w:szCs w:val="24"/>
          <w:lang w:val="lv-LV"/>
        </w:rPr>
        <w:t>T</w:t>
      </w:r>
      <w:r w:rsidR="004259DB" w:rsidRPr="00714C27">
        <w:rPr>
          <w:i/>
          <w:szCs w:val="24"/>
          <w:lang w:val="lv-LV"/>
        </w:rPr>
        <w:t>abula</w:t>
      </w:r>
    </w:p>
    <w:p w:rsidR="004124B1" w:rsidRPr="004124B1" w:rsidRDefault="004124B1" w:rsidP="004124B1">
      <w:pPr>
        <w:jc w:val="center"/>
        <w:rPr>
          <w:b/>
          <w:i/>
          <w:szCs w:val="24"/>
          <w:lang w:val="lv-LV"/>
        </w:rPr>
      </w:pPr>
      <w:r w:rsidRPr="004124B1">
        <w:rPr>
          <w:b/>
          <w:szCs w:val="24"/>
          <w:lang w:val="lv-LV"/>
        </w:rPr>
        <w:t>Apropriācijas pārdale Ārlietu ministrijas</w:t>
      </w:r>
      <w:r w:rsidRPr="00714C27">
        <w:rPr>
          <w:szCs w:val="24"/>
          <w:lang w:val="lv-LV"/>
        </w:rPr>
        <w:t xml:space="preserve"> </w:t>
      </w:r>
      <w:r w:rsidRPr="004124B1">
        <w:rPr>
          <w:b/>
          <w:szCs w:val="24"/>
          <w:lang w:val="lv-LV"/>
        </w:rPr>
        <w:t xml:space="preserve">budžeta apakšprogrammā 96.03.00 „Latvijas prezidentūras Eiropas Savienības Padomē nodrošināšana </w:t>
      </w:r>
      <w:proofErr w:type="gramStart"/>
      <w:r w:rsidRPr="004124B1">
        <w:rPr>
          <w:b/>
          <w:szCs w:val="24"/>
          <w:lang w:val="lv-LV"/>
        </w:rPr>
        <w:t>2015.gadā</w:t>
      </w:r>
      <w:proofErr w:type="gramEnd"/>
      <w:r w:rsidRPr="004124B1">
        <w:rPr>
          <w:b/>
          <w:szCs w:val="24"/>
          <w:lang w:val="lv-LV"/>
        </w:rPr>
        <w:t xml:space="preserve"> (ministrijas pasākumi)” </w:t>
      </w:r>
    </w:p>
    <w:p w:rsidR="004259DB" w:rsidRPr="00714C27" w:rsidRDefault="001E7C9C" w:rsidP="004124B1">
      <w:pPr>
        <w:ind w:left="7200" w:firstLine="720"/>
        <w:jc w:val="center"/>
        <w:rPr>
          <w:i/>
          <w:szCs w:val="24"/>
          <w:lang w:val="lv-LV"/>
        </w:rPr>
      </w:pPr>
      <w:proofErr w:type="spellStart"/>
      <w:r>
        <w:rPr>
          <w:i/>
          <w:szCs w:val="24"/>
          <w:lang w:val="lv-LV"/>
        </w:rPr>
        <w:t>e</w:t>
      </w:r>
      <w:r w:rsidR="004259DB" w:rsidRPr="00714C27">
        <w:rPr>
          <w:i/>
          <w:szCs w:val="24"/>
          <w:lang w:val="lv-LV"/>
        </w:rPr>
        <w:t>uro</w:t>
      </w:r>
      <w:proofErr w:type="spellEnd"/>
    </w:p>
    <w:tbl>
      <w:tblPr>
        <w:tblStyle w:val="TableGrid"/>
        <w:tblW w:w="0" w:type="auto"/>
        <w:tblLook w:val="04A0" w:firstRow="1" w:lastRow="0" w:firstColumn="1" w:lastColumn="0" w:noHBand="0" w:noVBand="1"/>
      </w:tblPr>
      <w:tblGrid>
        <w:gridCol w:w="4090"/>
        <w:gridCol w:w="1559"/>
        <w:gridCol w:w="1709"/>
        <w:gridCol w:w="1693"/>
      </w:tblGrid>
      <w:tr w:rsidR="004259DB" w:rsidRPr="00714C27" w:rsidTr="007B5958">
        <w:trPr>
          <w:trHeight w:val="1248"/>
        </w:trPr>
        <w:tc>
          <w:tcPr>
            <w:tcW w:w="4090" w:type="dxa"/>
            <w:tcBorders>
              <w:top w:val="single" w:sz="4" w:space="0" w:color="auto"/>
              <w:left w:val="single" w:sz="4" w:space="0" w:color="auto"/>
              <w:bottom w:val="single" w:sz="4" w:space="0" w:color="auto"/>
              <w:right w:val="single" w:sz="4" w:space="0" w:color="auto"/>
            </w:tcBorders>
            <w:hideMark/>
          </w:tcPr>
          <w:p w:rsidR="001E7C9C" w:rsidRDefault="004259DB" w:rsidP="001E7C9C">
            <w:pPr>
              <w:tabs>
                <w:tab w:val="left" w:pos="4854"/>
              </w:tabs>
              <w:ind w:right="-249"/>
              <w:jc w:val="center"/>
              <w:rPr>
                <w:szCs w:val="24"/>
                <w:lang w:val="lv-LV"/>
              </w:rPr>
            </w:pPr>
            <w:r w:rsidRPr="00714C27">
              <w:rPr>
                <w:bCs/>
                <w:szCs w:val="24"/>
                <w:lang w:val="lv-LV"/>
              </w:rPr>
              <w:t>Apakšprogramma</w:t>
            </w:r>
            <w:r w:rsidR="001E7C9C">
              <w:rPr>
                <w:bCs/>
                <w:szCs w:val="24"/>
                <w:lang w:val="lv-LV"/>
              </w:rPr>
              <w:t xml:space="preserve"> </w:t>
            </w:r>
            <w:r w:rsidR="001E7C9C" w:rsidRPr="00CB67A0">
              <w:rPr>
                <w:szCs w:val="24"/>
                <w:lang w:val="lv-LV"/>
              </w:rPr>
              <w:t>96.03.00 „Latvijas prezidentūras Eiropas Savienības</w:t>
            </w:r>
          </w:p>
          <w:p w:rsidR="004259DB" w:rsidRPr="00714C27" w:rsidRDefault="001E7C9C" w:rsidP="001E7C9C">
            <w:pPr>
              <w:tabs>
                <w:tab w:val="left" w:pos="4854"/>
              </w:tabs>
              <w:ind w:right="-249"/>
              <w:jc w:val="center"/>
              <w:rPr>
                <w:szCs w:val="24"/>
                <w:lang w:val="lv-LV"/>
              </w:rPr>
            </w:pPr>
            <w:r w:rsidRPr="00CB67A0">
              <w:rPr>
                <w:szCs w:val="24"/>
                <w:lang w:val="lv-LV"/>
              </w:rPr>
              <w:t xml:space="preserve">Padomē nodrošināšana </w:t>
            </w:r>
            <w:proofErr w:type="gramStart"/>
            <w:r w:rsidRPr="00CB67A0">
              <w:rPr>
                <w:szCs w:val="24"/>
                <w:lang w:val="lv-LV"/>
              </w:rPr>
              <w:t>2015.gadā</w:t>
            </w:r>
            <w:proofErr w:type="gramEnd"/>
            <w:r w:rsidRPr="00CB67A0">
              <w:rPr>
                <w:szCs w:val="24"/>
                <w:lang w:val="lv-LV"/>
              </w:rPr>
              <w:t xml:space="preserve"> (ministrijas pasākumi)”</w:t>
            </w:r>
          </w:p>
        </w:tc>
        <w:tc>
          <w:tcPr>
            <w:tcW w:w="1559" w:type="dxa"/>
            <w:tcBorders>
              <w:top w:val="single" w:sz="4" w:space="0" w:color="auto"/>
              <w:left w:val="single" w:sz="4" w:space="0" w:color="auto"/>
              <w:bottom w:val="single" w:sz="4" w:space="0" w:color="auto"/>
              <w:right w:val="single" w:sz="4" w:space="0" w:color="auto"/>
            </w:tcBorders>
            <w:hideMark/>
          </w:tcPr>
          <w:p w:rsidR="004259DB" w:rsidRPr="00714C27" w:rsidRDefault="004259DB" w:rsidP="00714C27">
            <w:pPr>
              <w:jc w:val="center"/>
              <w:rPr>
                <w:szCs w:val="24"/>
                <w:lang w:val="lv-LV"/>
              </w:rPr>
            </w:pPr>
            <w:r w:rsidRPr="00714C27">
              <w:rPr>
                <w:szCs w:val="24"/>
                <w:lang w:val="lv-LV"/>
              </w:rPr>
              <w:t xml:space="preserve">Apstiprināts </w:t>
            </w:r>
            <w:proofErr w:type="gramStart"/>
            <w:r w:rsidRPr="00714C27">
              <w:rPr>
                <w:szCs w:val="24"/>
                <w:lang w:val="lv-LV"/>
              </w:rPr>
              <w:t>2014.gada</w:t>
            </w:r>
            <w:proofErr w:type="gramEnd"/>
            <w:r w:rsidRPr="00714C27">
              <w:rPr>
                <w:szCs w:val="24"/>
                <w:lang w:val="lv-LV"/>
              </w:rPr>
              <w:t xml:space="preserve"> budžets</w:t>
            </w:r>
            <w:r w:rsidR="00714C27" w:rsidRPr="00714C27">
              <w:rPr>
                <w:szCs w:val="24"/>
                <w:lang w:val="lv-LV"/>
              </w:rPr>
              <w:t xml:space="preserve"> (ar veiktajām izmaiņām)</w:t>
            </w:r>
          </w:p>
        </w:tc>
        <w:tc>
          <w:tcPr>
            <w:tcW w:w="1709" w:type="dxa"/>
            <w:tcBorders>
              <w:top w:val="single" w:sz="4" w:space="0" w:color="auto"/>
              <w:left w:val="single" w:sz="4" w:space="0" w:color="auto"/>
              <w:bottom w:val="single" w:sz="4" w:space="0" w:color="auto"/>
              <w:right w:val="single" w:sz="4" w:space="0" w:color="auto"/>
            </w:tcBorders>
          </w:tcPr>
          <w:p w:rsidR="004259DB" w:rsidRPr="00D473AE" w:rsidRDefault="004259DB" w:rsidP="00212065">
            <w:pPr>
              <w:jc w:val="center"/>
              <w:rPr>
                <w:szCs w:val="24"/>
                <w:lang w:val="lv-LV"/>
              </w:rPr>
            </w:pPr>
          </w:p>
          <w:p w:rsidR="004259DB" w:rsidRPr="00D473AE" w:rsidRDefault="004259DB" w:rsidP="00212065">
            <w:pPr>
              <w:jc w:val="center"/>
              <w:rPr>
                <w:szCs w:val="24"/>
                <w:lang w:val="lv-LV"/>
              </w:rPr>
            </w:pPr>
            <w:r w:rsidRPr="00D473AE">
              <w:rPr>
                <w:szCs w:val="24"/>
                <w:lang w:val="lv-LV"/>
              </w:rPr>
              <w:t>Priekšlikumi izmaiņām</w:t>
            </w:r>
          </w:p>
        </w:tc>
        <w:tc>
          <w:tcPr>
            <w:tcW w:w="1693" w:type="dxa"/>
            <w:tcBorders>
              <w:top w:val="single" w:sz="4" w:space="0" w:color="auto"/>
              <w:left w:val="single" w:sz="4" w:space="0" w:color="auto"/>
              <w:bottom w:val="single" w:sz="4" w:space="0" w:color="auto"/>
              <w:right w:val="single" w:sz="4" w:space="0" w:color="auto"/>
            </w:tcBorders>
            <w:hideMark/>
          </w:tcPr>
          <w:p w:rsidR="004259DB" w:rsidRPr="00D473AE" w:rsidRDefault="004259DB" w:rsidP="00212065">
            <w:pPr>
              <w:jc w:val="center"/>
              <w:rPr>
                <w:szCs w:val="24"/>
                <w:lang w:val="lv-LV"/>
              </w:rPr>
            </w:pPr>
            <w:proofErr w:type="gramStart"/>
            <w:r w:rsidRPr="00D473AE">
              <w:rPr>
                <w:szCs w:val="24"/>
                <w:lang w:val="lv-LV"/>
              </w:rPr>
              <w:t>2014.gada</w:t>
            </w:r>
            <w:proofErr w:type="gramEnd"/>
            <w:r w:rsidRPr="00D473AE">
              <w:rPr>
                <w:szCs w:val="24"/>
                <w:lang w:val="lv-LV"/>
              </w:rPr>
              <w:t xml:space="preserve"> budžets ar izmaiņām</w:t>
            </w:r>
          </w:p>
        </w:tc>
      </w:tr>
      <w:tr w:rsidR="00B834B6" w:rsidRPr="00714C27" w:rsidTr="007B5958">
        <w:trPr>
          <w:trHeight w:val="300"/>
        </w:trPr>
        <w:tc>
          <w:tcPr>
            <w:tcW w:w="4090" w:type="dxa"/>
            <w:vAlign w:val="center"/>
          </w:tcPr>
          <w:p w:rsidR="00B834B6" w:rsidRPr="00714C27" w:rsidRDefault="00B834B6">
            <w:pPr>
              <w:rPr>
                <w:szCs w:val="24"/>
                <w:lang w:val="lv-LV"/>
              </w:rPr>
            </w:pPr>
            <w:r w:rsidRPr="00714C27">
              <w:rPr>
                <w:szCs w:val="24"/>
                <w:lang w:val="lv-LV"/>
              </w:rPr>
              <w:t>Resursi izdevumu segšanai</w:t>
            </w:r>
          </w:p>
        </w:tc>
        <w:tc>
          <w:tcPr>
            <w:tcW w:w="1559" w:type="dxa"/>
            <w:noWrap/>
            <w:vAlign w:val="center"/>
          </w:tcPr>
          <w:p w:rsidR="00B834B6" w:rsidRPr="00714C27" w:rsidRDefault="00B834B6">
            <w:pPr>
              <w:jc w:val="right"/>
              <w:rPr>
                <w:szCs w:val="24"/>
                <w:lang w:val="lv-LV"/>
              </w:rPr>
            </w:pPr>
            <w:r w:rsidRPr="00B834B6">
              <w:rPr>
                <w:szCs w:val="24"/>
                <w:lang w:val="lv-LV"/>
              </w:rPr>
              <w:t>15 532 376</w:t>
            </w:r>
          </w:p>
        </w:tc>
        <w:tc>
          <w:tcPr>
            <w:tcW w:w="1709" w:type="dxa"/>
            <w:noWrap/>
            <w:vAlign w:val="center"/>
          </w:tcPr>
          <w:p w:rsidR="00B834B6" w:rsidRPr="00D473AE" w:rsidRDefault="00B834B6">
            <w:pPr>
              <w:jc w:val="right"/>
              <w:rPr>
                <w:szCs w:val="24"/>
                <w:lang w:val="lv-LV"/>
              </w:rPr>
            </w:pPr>
            <w:r w:rsidRPr="00D473AE">
              <w:rPr>
                <w:szCs w:val="24"/>
                <w:lang w:val="lv-LV"/>
              </w:rPr>
              <w:t>0</w:t>
            </w:r>
          </w:p>
        </w:tc>
        <w:tc>
          <w:tcPr>
            <w:tcW w:w="1693" w:type="dxa"/>
            <w:noWrap/>
            <w:vAlign w:val="center"/>
          </w:tcPr>
          <w:p w:rsidR="00B834B6" w:rsidRPr="00714C27" w:rsidRDefault="00B834B6" w:rsidP="001440C6">
            <w:pPr>
              <w:jc w:val="right"/>
              <w:rPr>
                <w:szCs w:val="24"/>
                <w:lang w:val="lv-LV"/>
              </w:rPr>
            </w:pPr>
            <w:r w:rsidRPr="00B834B6">
              <w:rPr>
                <w:szCs w:val="24"/>
                <w:lang w:val="lv-LV"/>
              </w:rPr>
              <w:t>15 532 376</w:t>
            </w:r>
          </w:p>
        </w:tc>
      </w:tr>
      <w:tr w:rsidR="00B834B6" w:rsidRPr="00714C27" w:rsidTr="007B5958">
        <w:trPr>
          <w:trHeight w:val="300"/>
        </w:trPr>
        <w:tc>
          <w:tcPr>
            <w:tcW w:w="4090" w:type="dxa"/>
            <w:vAlign w:val="center"/>
            <w:hideMark/>
          </w:tcPr>
          <w:p w:rsidR="00B834B6" w:rsidRPr="00714C27" w:rsidRDefault="00B834B6">
            <w:pPr>
              <w:rPr>
                <w:szCs w:val="24"/>
                <w:lang w:val="lv-LV"/>
              </w:rPr>
            </w:pPr>
            <w:r w:rsidRPr="00714C27">
              <w:rPr>
                <w:szCs w:val="24"/>
                <w:lang w:val="lv-LV"/>
              </w:rPr>
              <w:t>Dotācija no vispārējiem ieņēmumiem</w:t>
            </w:r>
          </w:p>
        </w:tc>
        <w:tc>
          <w:tcPr>
            <w:tcW w:w="1559" w:type="dxa"/>
            <w:noWrap/>
            <w:vAlign w:val="center"/>
            <w:hideMark/>
          </w:tcPr>
          <w:p w:rsidR="00B834B6" w:rsidRPr="00714C27" w:rsidRDefault="00B834B6">
            <w:pPr>
              <w:jc w:val="right"/>
              <w:rPr>
                <w:szCs w:val="24"/>
                <w:lang w:val="lv-LV"/>
              </w:rPr>
            </w:pPr>
            <w:r w:rsidRPr="00B834B6">
              <w:rPr>
                <w:szCs w:val="24"/>
                <w:lang w:val="lv-LV"/>
              </w:rPr>
              <w:t>15 532 376</w:t>
            </w:r>
          </w:p>
        </w:tc>
        <w:tc>
          <w:tcPr>
            <w:tcW w:w="1709" w:type="dxa"/>
            <w:noWrap/>
            <w:vAlign w:val="center"/>
            <w:hideMark/>
          </w:tcPr>
          <w:p w:rsidR="00B834B6" w:rsidRPr="00D473AE" w:rsidRDefault="00B834B6">
            <w:pPr>
              <w:jc w:val="right"/>
              <w:rPr>
                <w:szCs w:val="24"/>
                <w:lang w:val="lv-LV"/>
              </w:rPr>
            </w:pPr>
            <w:r w:rsidRPr="00D473AE">
              <w:rPr>
                <w:szCs w:val="24"/>
                <w:lang w:val="lv-LV"/>
              </w:rPr>
              <w:t>0</w:t>
            </w:r>
          </w:p>
        </w:tc>
        <w:tc>
          <w:tcPr>
            <w:tcW w:w="1693" w:type="dxa"/>
            <w:noWrap/>
            <w:vAlign w:val="center"/>
            <w:hideMark/>
          </w:tcPr>
          <w:p w:rsidR="00B834B6" w:rsidRPr="00714C27" w:rsidRDefault="00B834B6" w:rsidP="001440C6">
            <w:pPr>
              <w:jc w:val="right"/>
              <w:rPr>
                <w:szCs w:val="24"/>
                <w:lang w:val="lv-LV"/>
              </w:rPr>
            </w:pPr>
            <w:r w:rsidRPr="00B834B6">
              <w:rPr>
                <w:szCs w:val="24"/>
                <w:lang w:val="lv-LV"/>
              </w:rPr>
              <w:t>15 532 376</w:t>
            </w:r>
          </w:p>
        </w:tc>
      </w:tr>
      <w:tr w:rsidR="00B834B6" w:rsidRPr="00714C27" w:rsidTr="007B5958">
        <w:trPr>
          <w:trHeight w:val="300"/>
        </w:trPr>
        <w:tc>
          <w:tcPr>
            <w:tcW w:w="4090" w:type="dxa"/>
            <w:vAlign w:val="center"/>
            <w:hideMark/>
          </w:tcPr>
          <w:p w:rsidR="00B834B6" w:rsidRPr="00714C27" w:rsidRDefault="00B834B6">
            <w:pPr>
              <w:rPr>
                <w:szCs w:val="24"/>
                <w:lang w:val="lv-LV"/>
              </w:rPr>
            </w:pPr>
            <w:r w:rsidRPr="00714C27">
              <w:rPr>
                <w:szCs w:val="24"/>
                <w:lang w:val="lv-LV"/>
              </w:rPr>
              <w:t>Vispārējā kārtībā sadalāmā dotācija no vispārējiem ieņēmumiem</w:t>
            </w:r>
          </w:p>
        </w:tc>
        <w:tc>
          <w:tcPr>
            <w:tcW w:w="1559" w:type="dxa"/>
            <w:noWrap/>
            <w:vAlign w:val="center"/>
            <w:hideMark/>
          </w:tcPr>
          <w:p w:rsidR="00B834B6" w:rsidRPr="00714C27" w:rsidRDefault="00B834B6">
            <w:pPr>
              <w:jc w:val="right"/>
              <w:rPr>
                <w:szCs w:val="24"/>
                <w:lang w:val="lv-LV"/>
              </w:rPr>
            </w:pPr>
            <w:r w:rsidRPr="00B834B6">
              <w:rPr>
                <w:szCs w:val="24"/>
                <w:lang w:val="lv-LV"/>
              </w:rPr>
              <w:t>15 532 376</w:t>
            </w:r>
          </w:p>
        </w:tc>
        <w:tc>
          <w:tcPr>
            <w:tcW w:w="1709" w:type="dxa"/>
            <w:noWrap/>
            <w:vAlign w:val="center"/>
            <w:hideMark/>
          </w:tcPr>
          <w:p w:rsidR="00B834B6" w:rsidRPr="00D473AE" w:rsidRDefault="00B834B6">
            <w:pPr>
              <w:jc w:val="right"/>
              <w:rPr>
                <w:szCs w:val="24"/>
                <w:lang w:val="lv-LV"/>
              </w:rPr>
            </w:pPr>
            <w:r w:rsidRPr="00D473AE">
              <w:rPr>
                <w:szCs w:val="24"/>
                <w:lang w:val="lv-LV"/>
              </w:rPr>
              <w:t>0</w:t>
            </w:r>
          </w:p>
        </w:tc>
        <w:tc>
          <w:tcPr>
            <w:tcW w:w="1693" w:type="dxa"/>
            <w:noWrap/>
            <w:vAlign w:val="center"/>
            <w:hideMark/>
          </w:tcPr>
          <w:p w:rsidR="00B834B6" w:rsidRPr="00714C27" w:rsidRDefault="00B834B6" w:rsidP="001440C6">
            <w:pPr>
              <w:jc w:val="right"/>
              <w:rPr>
                <w:szCs w:val="24"/>
                <w:lang w:val="lv-LV"/>
              </w:rPr>
            </w:pPr>
            <w:r w:rsidRPr="00B834B6">
              <w:rPr>
                <w:szCs w:val="24"/>
                <w:lang w:val="lv-LV"/>
              </w:rPr>
              <w:t>15 532 376</w:t>
            </w:r>
          </w:p>
        </w:tc>
      </w:tr>
      <w:tr w:rsidR="00B834B6" w:rsidRPr="00714C27" w:rsidTr="00B834B6">
        <w:trPr>
          <w:trHeight w:val="343"/>
        </w:trPr>
        <w:tc>
          <w:tcPr>
            <w:tcW w:w="4090" w:type="dxa"/>
            <w:vAlign w:val="center"/>
            <w:hideMark/>
          </w:tcPr>
          <w:p w:rsidR="00B834B6" w:rsidRPr="00714C27" w:rsidRDefault="00B834B6">
            <w:pPr>
              <w:rPr>
                <w:szCs w:val="24"/>
                <w:lang w:val="lv-LV"/>
              </w:rPr>
            </w:pPr>
            <w:r w:rsidRPr="00714C27">
              <w:rPr>
                <w:szCs w:val="24"/>
                <w:lang w:val="lv-LV"/>
              </w:rPr>
              <w:t>Izdevumi – kopā</w:t>
            </w:r>
          </w:p>
        </w:tc>
        <w:tc>
          <w:tcPr>
            <w:tcW w:w="1559" w:type="dxa"/>
            <w:noWrap/>
            <w:vAlign w:val="center"/>
            <w:hideMark/>
          </w:tcPr>
          <w:p w:rsidR="00B834B6" w:rsidRPr="00714C27" w:rsidRDefault="00B834B6">
            <w:pPr>
              <w:jc w:val="right"/>
              <w:rPr>
                <w:szCs w:val="24"/>
                <w:lang w:val="lv-LV"/>
              </w:rPr>
            </w:pPr>
            <w:r w:rsidRPr="00B834B6">
              <w:rPr>
                <w:szCs w:val="24"/>
                <w:lang w:val="lv-LV"/>
              </w:rPr>
              <w:t>15 532 376</w:t>
            </w:r>
          </w:p>
        </w:tc>
        <w:tc>
          <w:tcPr>
            <w:tcW w:w="1709" w:type="dxa"/>
            <w:noWrap/>
            <w:vAlign w:val="center"/>
            <w:hideMark/>
          </w:tcPr>
          <w:p w:rsidR="00B834B6" w:rsidRPr="00D473AE" w:rsidRDefault="00B834B6">
            <w:pPr>
              <w:jc w:val="right"/>
              <w:rPr>
                <w:szCs w:val="24"/>
                <w:lang w:val="lv-LV"/>
              </w:rPr>
            </w:pPr>
            <w:r w:rsidRPr="00D473AE">
              <w:rPr>
                <w:szCs w:val="24"/>
                <w:lang w:val="lv-LV"/>
              </w:rPr>
              <w:t>0</w:t>
            </w:r>
          </w:p>
        </w:tc>
        <w:tc>
          <w:tcPr>
            <w:tcW w:w="1693" w:type="dxa"/>
            <w:noWrap/>
            <w:vAlign w:val="center"/>
            <w:hideMark/>
          </w:tcPr>
          <w:p w:rsidR="00B834B6" w:rsidRPr="00714C27" w:rsidRDefault="00B834B6" w:rsidP="001440C6">
            <w:pPr>
              <w:jc w:val="right"/>
              <w:rPr>
                <w:szCs w:val="24"/>
                <w:lang w:val="lv-LV"/>
              </w:rPr>
            </w:pPr>
            <w:r w:rsidRPr="00B834B6">
              <w:rPr>
                <w:szCs w:val="24"/>
                <w:lang w:val="lv-LV"/>
              </w:rPr>
              <w:t>15 532 376</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Uzturēšanas izdevumi</w:t>
            </w:r>
          </w:p>
        </w:tc>
        <w:tc>
          <w:tcPr>
            <w:tcW w:w="1559" w:type="dxa"/>
            <w:noWrap/>
            <w:vAlign w:val="center"/>
            <w:hideMark/>
          </w:tcPr>
          <w:p w:rsidR="00714C27" w:rsidRPr="00714C27" w:rsidRDefault="00B834B6">
            <w:pPr>
              <w:jc w:val="right"/>
              <w:rPr>
                <w:szCs w:val="24"/>
                <w:lang w:val="lv-LV"/>
              </w:rPr>
            </w:pPr>
            <w:r w:rsidRPr="00B834B6">
              <w:rPr>
                <w:szCs w:val="24"/>
                <w:lang w:val="lv-LV"/>
              </w:rPr>
              <w:t>14 969 937</w:t>
            </w:r>
          </w:p>
        </w:tc>
        <w:tc>
          <w:tcPr>
            <w:tcW w:w="1709" w:type="dxa"/>
            <w:noWrap/>
            <w:vAlign w:val="center"/>
            <w:hideMark/>
          </w:tcPr>
          <w:p w:rsidR="00714C27" w:rsidRPr="00D473AE" w:rsidRDefault="00022D05">
            <w:pPr>
              <w:jc w:val="right"/>
              <w:rPr>
                <w:szCs w:val="24"/>
                <w:lang w:val="lv-LV"/>
              </w:rPr>
            </w:pPr>
            <w:r w:rsidRPr="00D473AE">
              <w:rPr>
                <w:szCs w:val="24"/>
                <w:lang w:val="lv-LV"/>
              </w:rPr>
              <w:t>-</w:t>
            </w:r>
            <w:r w:rsidR="00CD4285" w:rsidRPr="00CD4285">
              <w:rPr>
                <w:szCs w:val="24"/>
              </w:rPr>
              <w:t>690 704</w:t>
            </w:r>
          </w:p>
        </w:tc>
        <w:tc>
          <w:tcPr>
            <w:tcW w:w="1693" w:type="dxa"/>
            <w:noWrap/>
            <w:vAlign w:val="center"/>
            <w:hideMark/>
          </w:tcPr>
          <w:p w:rsidR="00714C27" w:rsidRPr="00D473AE" w:rsidRDefault="00022D05" w:rsidP="00CD4285">
            <w:pPr>
              <w:jc w:val="right"/>
              <w:rPr>
                <w:szCs w:val="24"/>
                <w:lang w:val="lv-LV"/>
              </w:rPr>
            </w:pPr>
            <w:r>
              <w:rPr>
                <w:szCs w:val="24"/>
                <w:lang w:val="lv-LV"/>
              </w:rPr>
              <w:t>14 2</w:t>
            </w:r>
            <w:r w:rsidR="00CD4285">
              <w:rPr>
                <w:szCs w:val="24"/>
                <w:lang w:val="lv-LV"/>
              </w:rPr>
              <w:t>7</w:t>
            </w:r>
            <w:r>
              <w:rPr>
                <w:szCs w:val="24"/>
                <w:lang w:val="lv-LV"/>
              </w:rPr>
              <w:t>9 233</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Kārtējie izdevumi</w:t>
            </w:r>
          </w:p>
        </w:tc>
        <w:tc>
          <w:tcPr>
            <w:tcW w:w="1559" w:type="dxa"/>
            <w:noWrap/>
            <w:vAlign w:val="center"/>
            <w:hideMark/>
          </w:tcPr>
          <w:p w:rsidR="00714C27" w:rsidRPr="00714C27" w:rsidRDefault="00B834B6">
            <w:pPr>
              <w:jc w:val="right"/>
              <w:rPr>
                <w:szCs w:val="24"/>
                <w:lang w:val="lv-LV"/>
              </w:rPr>
            </w:pPr>
            <w:r w:rsidRPr="00B834B6">
              <w:rPr>
                <w:szCs w:val="24"/>
                <w:lang w:val="lv-LV"/>
              </w:rPr>
              <w:t>14 969 937</w:t>
            </w:r>
          </w:p>
        </w:tc>
        <w:tc>
          <w:tcPr>
            <w:tcW w:w="1709" w:type="dxa"/>
            <w:noWrap/>
            <w:vAlign w:val="center"/>
            <w:hideMark/>
          </w:tcPr>
          <w:p w:rsidR="00714C27" w:rsidRPr="00D473AE" w:rsidRDefault="00022D05">
            <w:pPr>
              <w:jc w:val="right"/>
              <w:rPr>
                <w:szCs w:val="24"/>
                <w:lang w:val="lv-LV"/>
              </w:rPr>
            </w:pPr>
            <w:r w:rsidRPr="00D473AE">
              <w:rPr>
                <w:szCs w:val="24"/>
                <w:lang w:val="lv-LV"/>
              </w:rPr>
              <w:t>-</w:t>
            </w:r>
            <w:r w:rsidR="00CD4285" w:rsidRPr="00CD4285">
              <w:rPr>
                <w:szCs w:val="24"/>
              </w:rPr>
              <w:t>690 704</w:t>
            </w:r>
          </w:p>
        </w:tc>
        <w:tc>
          <w:tcPr>
            <w:tcW w:w="1693" w:type="dxa"/>
            <w:noWrap/>
            <w:vAlign w:val="center"/>
            <w:hideMark/>
          </w:tcPr>
          <w:p w:rsidR="00714C27" w:rsidRPr="00D473AE" w:rsidRDefault="00022D05" w:rsidP="00CD4285">
            <w:pPr>
              <w:jc w:val="right"/>
              <w:rPr>
                <w:szCs w:val="24"/>
                <w:lang w:val="lv-LV"/>
              </w:rPr>
            </w:pPr>
            <w:r>
              <w:rPr>
                <w:szCs w:val="24"/>
                <w:lang w:val="lv-LV"/>
              </w:rPr>
              <w:t>14 2</w:t>
            </w:r>
            <w:r w:rsidR="00CD4285">
              <w:rPr>
                <w:szCs w:val="24"/>
                <w:lang w:val="lv-LV"/>
              </w:rPr>
              <w:t>7</w:t>
            </w:r>
            <w:r>
              <w:rPr>
                <w:szCs w:val="24"/>
                <w:lang w:val="lv-LV"/>
              </w:rPr>
              <w:t>9 233</w:t>
            </w:r>
          </w:p>
        </w:tc>
      </w:tr>
      <w:tr w:rsidR="007F6405" w:rsidRPr="00714C27" w:rsidTr="00B834B6">
        <w:trPr>
          <w:trHeight w:val="372"/>
        </w:trPr>
        <w:tc>
          <w:tcPr>
            <w:tcW w:w="4090" w:type="dxa"/>
            <w:vAlign w:val="center"/>
            <w:hideMark/>
          </w:tcPr>
          <w:p w:rsidR="007F6405" w:rsidRPr="00714C27" w:rsidRDefault="007F6405">
            <w:pPr>
              <w:rPr>
                <w:szCs w:val="24"/>
                <w:lang w:val="lv-LV"/>
              </w:rPr>
            </w:pPr>
            <w:r w:rsidRPr="00714C27">
              <w:rPr>
                <w:szCs w:val="24"/>
                <w:lang w:val="lv-LV"/>
              </w:rPr>
              <w:t>Atlīdzība</w:t>
            </w:r>
          </w:p>
        </w:tc>
        <w:tc>
          <w:tcPr>
            <w:tcW w:w="1559" w:type="dxa"/>
            <w:noWrap/>
            <w:vAlign w:val="center"/>
            <w:hideMark/>
          </w:tcPr>
          <w:p w:rsidR="007F6405" w:rsidRPr="00714C27" w:rsidRDefault="007F6405">
            <w:pPr>
              <w:jc w:val="right"/>
              <w:rPr>
                <w:szCs w:val="24"/>
                <w:lang w:val="lv-LV"/>
              </w:rPr>
            </w:pPr>
            <w:r w:rsidRPr="00B834B6">
              <w:rPr>
                <w:szCs w:val="24"/>
                <w:lang w:val="lv-LV"/>
              </w:rPr>
              <w:t>8 663 820</w:t>
            </w:r>
          </w:p>
        </w:tc>
        <w:tc>
          <w:tcPr>
            <w:tcW w:w="1709" w:type="dxa"/>
            <w:noWrap/>
            <w:vAlign w:val="center"/>
            <w:hideMark/>
          </w:tcPr>
          <w:p w:rsidR="007F6405" w:rsidRPr="00D473AE" w:rsidRDefault="007F6405">
            <w:pPr>
              <w:rPr>
                <w:szCs w:val="24"/>
                <w:lang w:val="lv-LV"/>
              </w:rPr>
            </w:pPr>
            <w:r w:rsidRPr="00D473AE">
              <w:rPr>
                <w:szCs w:val="24"/>
                <w:lang w:val="lv-LV"/>
              </w:rPr>
              <w:t> </w:t>
            </w:r>
          </w:p>
        </w:tc>
        <w:tc>
          <w:tcPr>
            <w:tcW w:w="1693" w:type="dxa"/>
            <w:noWrap/>
            <w:vAlign w:val="center"/>
            <w:hideMark/>
          </w:tcPr>
          <w:p w:rsidR="007F6405" w:rsidRPr="00714C27" w:rsidRDefault="007F6405" w:rsidP="001440C6">
            <w:pPr>
              <w:jc w:val="right"/>
              <w:rPr>
                <w:szCs w:val="24"/>
                <w:lang w:val="lv-LV"/>
              </w:rPr>
            </w:pPr>
            <w:r w:rsidRPr="00B834B6">
              <w:rPr>
                <w:szCs w:val="24"/>
                <w:lang w:val="lv-LV"/>
              </w:rPr>
              <w:t>8 663 820</w:t>
            </w:r>
          </w:p>
        </w:tc>
      </w:tr>
      <w:tr w:rsidR="007F6405" w:rsidRPr="00714C27" w:rsidTr="007B5958">
        <w:trPr>
          <w:trHeight w:val="300"/>
        </w:trPr>
        <w:tc>
          <w:tcPr>
            <w:tcW w:w="4090" w:type="dxa"/>
            <w:vAlign w:val="center"/>
            <w:hideMark/>
          </w:tcPr>
          <w:p w:rsidR="007F6405" w:rsidRPr="00714C27" w:rsidRDefault="007F6405">
            <w:pPr>
              <w:rPr>
                <w:szCs w:val="24"/>
                <w:lang w:val="lv-LV"/>
              </w:rPr>
            </w:pPr>
            <w:r w:rsidRPr="00714C27">
              <w:rPr>
                <w:szCs w:val="24"/>
                <w:lang w:val="lv-LV"/>
              </w:rPr>
              <w:t>Atalgojums</w:t>
            </w:r>
          </w:p>
        </w:tc>
        <w:tc>
          <w:tcPr>
            <w:tcW w:w="1559" w:type="dxa"/>
            <w:noWrap/>
            <w:vAlign w:val="center"/>
            <w:hideMark/>
          </w:tcPr>
          <w:p w:rsidR="007F6405" w:rsidRPr="00714C27" w:rsidRDefault="007F6405">
            <w:pPr>
              <w:jc w:val="right"/>
              <w:rPr>
                <w:szCs w:val="24"/>
                <w:lang w:val="lv-LV"/>
              </w:rPr>
            </w:pPr>
            <w:r w:rsidRPr="00B834B6">
              <w:rPr>
                <w:szCs w:val="24"/>
                <w:lang w:val="lv-LV"/>
              </w:rPr>
              <w:t>4 898 811</w:t>
            </w:r>
          </w:p>
        </w:tc>
        <w:tc>
          <w:tcPr>
            <w:tcW w:w="1709" w:type="dxa"/>
            <w:noWrap/>
            <w:vAlign w:val="center"/>
            <w:hideMark/>
          </w:tcPr>
          <w:p w:rsidR="007F6405" w:rsidRPr="00D473AE" w:rsidRDefault="007F6405">
            <w:pPr>
              <w:rPr>
                <w:szCs w:val="24"/>
                <w:lang w:val="lv-LV"/>
              </w:rPr>
            </w:pPr>
            <w:r w:rsidRPr="00D473AE">
              <w:rPr>
                <w:szCs w:val="24"/>
                <w:lang w:val="lv-LV"/>
              </w:rPr>
              <w:t> </w:t>
            </w:r>
          </w:p>
        </w:tc>
        <w:tc>
          <w:tcPr>
            <w:tcW w:w="1693" w:type="dxa"/>
            <w:noWrap/>
            <w:vAlign w:val="center"/>
            <w:hideMark/>
          </w:tcPr>
          <w:p w:rsidR="007F6405" w:rsidRPr="00714C27" w:rsidRDefault="007F6405" w:rsidP="001440C6">
            <w:pPr>
              <w:jc w:val="right"/>
              <w:rPr>
                <w:szCs w:val="24"/>
                <w:lang w:val="lv-LV"/>
              </w:rPr>
            </w:pPr>
            <w:r w:rsidRPr="00B834B6">
              <w:rPr>
                <w:szCs w:val="24"/>
                <w:lang w:val="lv-LV"/>
              </w:rPr>
              <w:t>4 898 811</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Preces un pakalpojumi</w:t>
            </w:r>
          </w:p>
        </w:tc>
        <w:tc>
          <w:tcPr>
            <w:tcW w:w="1559" w:type="dxa"/>
            <w:noWrap/>
            <w:vAlign w:val="center"/>
            <w:hideMark/>
          </w:tcPr>
          <w:p w:rsidR="00714C27" w:rsidRPr="00714C27" w:rsidRDefault="00B834B6">
            <w:pPr>
              <w:jc w:val="right"/>
              <w:rPr>
                <w:szCs w:val="24"/>
                <w:lang w:val="lv-LV"/>
              </w:rPr>
            </w:pPr>
            <w:r w:rsidRPr="00B834B6">
              <w:rPr>
                <w:szCs w:val="24"/>
                <w:lang w:val="lv-LV"/>
              </w:rPr>
              <w:t>6 306 117</w:t>
            </w:r>
          </w:p>
        </w:tc>
        <w:tc>
          <w:tcPr>
            <w:tcW w:w="1709" w:type="dxa"/>
            <w:noWrap/>
            <w:vAlign w:val="center"/>
            <w:hideMark/>
          </w:tcPr>
          <w:p w:rsidR="00714C27" w:rsidRPr="00D473AE" w:rsidRDefault="00D473AE" w:rsidP="00D473AE">
            <w:pPr>
              <w:jc w:val="right"/>
              <w:rPr>
                <w:szCs w:val="24"/>
                <w:lang w:val="lv-LV"/>
              </w:rPr>
            </w:pPr>
            <w:r w:rsidRPr="00D473AE">
              <w:rPr>
                <w:szCs w:val="24"/>
                <w:lang w:val="lv-LV"/>
              </w:rPr>
              <w:t>-</w:t>
            </w:r>
            <w:r w:rsidR="00CD4285" w:rsidRPr="00CD4285">
              <w:rPr>
                <w:szCs w:val="24"/>
              </w:rPr>
              <w:t>690 704</w:t>
            </w:r>
          </w:p>
        </w:tc>
        <w:tc>
          <w:tcPr>
            <w:tcW w:w="1693" w:type="dxa"/>
            <w:noWrap/>
            <w:vAlign w:val="center"/>
            <w:hideMark/>
          </w:tcPr>
          <w:p w:rsidR="00714C27" w:rsidRPr="00D473AE" w:rsidRDefault="00895BC9" w:rsidP="00CD4285">
            <w:pPr>
              <w:jc w:val="right"/>
              <w:rPr>
                <w:szCs w:val="24"/>
                <w:lang w:val="lv-LV"/>
              </w:rPr>
            </w:pPr>
            <w:r>
              <w:rPr>
                <w:szCs w:val="24"/>
                <w:lang w:val="lv-LV"/>
              </w:rPr>
              <w:t>5 6</w:t>
            </w:r>
            <w:r w:rsidR="00CD4285">
              <w:rPr>
                <w:szCs w:val="24"/>
                <w:lang w:val="lv-LV"/>
              </w:rPr>
              <w:t>1</w:t>
            </w:r>
            <w:r>
              <w:rPr>
                <w:szCs w:val="24"/>
                <w:lang w:val="lv-LV"/>
              </w:rPr>
              <w:t>5 413</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Kapitālie izdevumi</w:t>
            </w:r>
          </w:p>
        </w:tc>
        <w:tc>
          <w:tcPr>
            <w:tcW w:w="1559" w:type="dxa"/>
            <w:noWrap/>
            <w:vAlign w:val="center"/>
            <w:hideMark/>
          </w:tcPr>
          <w:p w:rsidR="00714C27" w:rsidRPr="00714C27" w:rsidRDefault="00B834B6">
            <w:pPr>
              <w:jc w:val="right"/>
              <w:rPr>
                <w:szCs w:val="24"/>
                <w:lang w:val="lv-LV"/>
              </w:rPr>
            </w:pPr>
            <w:r w:rsidRPr="00B834B6">
              <w:rPr>
                <w:szCs w:val="24"/>
                <w:lang w:val="lv-LV"/>
              </w:rPr>
              <w:t>562 439</w:t>
            </w:r>
          </w:p>
        </w:tc>
        <w:tc>
          <w:tcPr>
            <w:tcW w:w="1709" w:type="dxa"/>
            <w:noWrap/>
            <w:vAlign w:val="center"/>
            <w:hideMark/>
          </w:tcPr>
          <w:p w:rsidR="00714C27" w:rsidRPr="00D473AE" w:rsidRDefault="00CD4285">
            <w:pPr>
              <w:jc w:val="right"/>
              <w:rPr>
                <w:szCs w:val="24"/>
                <w:lang w:val="lv-LV"/>
              </w:rPr>
            </w:pPr>
            <w:r w:rsidRPr="00CD4285">
              <w:rPr>
                <w:szCs w:val="24"/>
                <w:lang w:val="lv-LV"/>
              </w:rPr>
              <w:t>690 704</w:t>
            </w:r>
          </w:p>
        </w:tc>
        <w:tc>
          <w:tcPr>
            <w:tcW w:w="1693" w:type="dxa"/>
            <w:noWrap/>
            <w:vAlign w:val="center"/>
            <w:hideMark/>
          </w:tcPr>
          <w:p w:rsidR="00714C27" w:rsidRPr="00D473AE" w:rsidRDefault="00895BC9" w:rsidP="00CD4285">
            <w:pPr>
              <w:jc w:val="right"/>
              <w:rPr>
                <w:szCs w:val="24"/>
                <w:lang w:val="lv-LV"/>
              </w:rPr>
            </w:pPr>
            <w:r>
              <w:rPr>
                <w:szCs w:val="24"/>
                <w:lang w:val="lv-LV"/>
              </w:rPr>
              <w:t>1 2</w:t>
            </w:r>
            <w:r w:rsidR="00CD4285">
              <w:rPr>
                <w:szCs w:val="24"/>
                <w:lang w:val="lv-LV"/>
              </w:rPr>
              <w:t>5</w:t>
            </w:r>
            <w:r>
              <w:rPr>
                <w:szCs w:val="24"/>
                <w:lang w:val="lv-LV"/>
              </w:rPr>
              <w:t>3 143</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Pamatkapitāla veidošana</w:t>
            </w:r>
          </w:p>
        </w:tc>
        <w:tc>
          <w:tcPr>
            <w:tcW w:w="1559" w:type="dxa"/>
            <w:noWrap/>
            <w:vAlign w:val="center"/>
            <w:hideMark/>
          </w:tcPr>
          <w:p w:rsidR="00714C27" w:rsidRPr="00714C27" w:rsidRDefault="00B834B6">
            <w:pPr>
              <w:jc w:val="right"/>
              <w:rPr>
                <w:szCs w:val="24"/>
                <w:lang w:val="lv-LV"/>
              </w:rPr>
            </w:pPr>
            <w:r w:rsidRPr="00B834B6">
              <w:rPr>
                <w:szCs w:val="24"/>
                <w:lang w:val="lv-LV"/>
              </w:rPr>
              <w:t>562 439</w:t>
            </w:r>
          </w:p>
        </w:tc>
        <w:tc>
          <w:tcPr>
            <w:tcW w:w="1709" w:type="dxa"/>
            <w:noWrap/>
            <w:vAlign w:val="center"/>
            <w:hideMark/>
          </w:tcPr>
          <w:p w:rsidR="00714C27" w:rsidRPr="00D473AE" w:rsidRDefault="00CD4285">
            <w:pPr>
              <w:jc w:val="right"/>
              <w:rPr>
                <w:szCs w:val="24"/>
                <w:lang w:val="lv-LV"/>
              </w:rPr>
            </w:pPr>
            <w:r w:rsidRPr="00CD4285">
              <w:rPr>
                <w:szCs w:val="24"/>
                <w:lang w:val="lv-LV"/>
              </w:rPr>
              <w:t>690 704</w:t>
            </w:r>
          </w:p>
        </w:tc>
        <w:tc>
          <w:tcPr>
            <w:tcW w:w="1693" w:type="dxa"/>
            <w:noWrap/>
            <w:vAlign w:val="center"/>
            <w:hideMark/>
          </w:tcPr>
          <w:p w:rsidR="00714C27" w:rsidRPr="00D473AE" w:rsidRDefault="00895BC9" w:rsidP="00CD4285">
            <w:pPr>
              <w:jc w:val="right"/>
              <w:rPr>
                <w:szCs w:val="24"/>
                <w:lang w:val="lv-LV"/>
              </w:rPr>
            </w:pPr>
            <w:r>
              <w:rPr>
                <w:szCs w:val="24"/>
                <w:lang w:val="lv-LV"/>
              </w:rPr>
              <w:t>1 2</w:t>
            </w:r>
            <w:r w:rsidR="00CD4285">
              <w:rPr>
                <w:szCs w:val="24"/>
                <w:lang w:val="lv-LV"/>
              </w:rPr>
              <w:t>5</w:t>
            </w:r>
            <w:r>
              <w:rPr>
                <w:szCs w:val="24"/>
                <w:lang w:val="lv-LV"/>
              </w:rPr>
              <w:t>3 143</w:t>
            </w:r>
          </w:p>
        </w:tc>
      </w:tr>
    </w:tbl>
    <w:p w:rsidR="004259DB" w:rsidRPr="00714C27" w:rsidRDefault="004259DB" w:rsidP="004259DB">
      <w:pPr>
        <w:jc w:val="both"/>
        <w:rPr>
          <w:color w:val="000000"/>
          <w:szCs w:val="24"/>
          <w:lang w:val="lv-LV"/>
        </w:rPr>
      </w:pPr>
    </w:p>
    <w:p w:rsidR="004259DB" w:rsidRPr="00714C27" w:rsidRDefault="004259DB" w:rsidP="00C52A1C">
      <w:pPr>
        <w:tabs>
          <w:tab w:val="left" w:pos="709"/>
        </w:tabs>
        <w:suppressAutoHyphens/>
        <w:jc w:val="both"/>
        <w:rPr>
          <w:szCs w:val="24"/>
          <w:lang w:val="lv-LV"/>
        </w:rPr>
      </w:pPr>
      <w:r w:rsidRPr="00714C27">
        <w:rPr>
          <w:szCs w:val="24"/>
          <w:lang w:val="lv-LV"/>
        </w:rPr>
        <w:tab/>
        <w:t xml:space="preserve">Papildus norādām, ka apropriācijas pārdale neietekmēs nākamajiem periodiem noteiktos maksimāli pieļaujamos izdevumu apjomus un sekmēs iespēju sasniegt </w:t>
      </w:r>
      <w:r w:rsidR="001E7C9C">
        <w:rPr>
          <w:szCs w:val="24"/>
          <w:lang w:val="lv-LV"/>
        </w:rPr>
        <w:t>apakš</w:t>
      </w:r>
      <w:r w:rsidRPr="00714C27">
        <w:rPr>
          <w:szCs w:val="24"/>
          <w:lang w:val="lv-LV"/>
        </w:rPr>
        <w:t>programmas rezultatīvos rādītājus.</w:t>
      </w:r>
    </w:p>
    <w:p w:rsidR="004259DB" w:rsidRDefault="004259DB" w:rsidP="00C52A1C">
      <w:pPr>
        <w:tabs>
          <w:tab w:val="left" w:pos="709"/>
        </w:tabs>
        <w:suppressAutoHyphens/>
        <w:jc w:val="both"/>
        <w:rPr>
          <w:szCs w:val="24"/>
          <w:lang w:val="lv-LV"/>
        </w:rPr>
      </w:pPr>
      <w:r w:rsidRPr="00714C27">
        <w:rPr>
          <w:szCs w:val="24"/>
          <w:lang w:val="lv-LV"/>
        </w:rPr>
        <w:tab/>
        <w:t xml:space="preserve">Saskaņā ar Likuma par budžetu un finanšu vadību </w:t>
      </w:r>
      <w:proofErr w:type="gramStart"/>
      <w:r w:rsidRPr="00714C27">
        <w:rPr>
          <w:szCs w:val="24"/>
          <w:lang w:val="lv-LV"/>
        </w:rPr>
        <w:t>9.panta</w:t>
      </w:r>
      <w:proofErr w:type="gramEnd"/>
      <w:r w:rsidRPr="00714C27">
        <w:rPr>
          <w:szCs w:val="24"/>
          <w:lang w:val="lv-LV"/>
        </w:rPr>
        <w:t xml:space="preserve"> trīspadsmitās daļas 1.punktu un likuma </w:t>
      </w:r>
      <w:r w:rsidR="003874D7" w:rsidRPr="00714C27">
        <w:rPr>
          <w:szCs w:val="24"/>
          <w:lang w:val="lv-LV"/>
        </w:rPr>
        <w:t>„Par valsts budžetu 2014.g</w:t>
      </w:r>
      <w:r w:rsidR="001E12F4" w:rsidRPr="00714C27">
        <w:rPr>
          <w:szCs w:val="24"/>
          <w:lang w:val="lv-LV"/>
        </w:rPr>
        <w:t>adam”</w:t>
      </w:r>
      <w:r w:rsidRPr="00714C27">
        <w:rPr>
          <w:szCs w:val="24"/>
          <w:lang w:val="lv-LV"/>
        </w:rPr>
        <w:t xml:space="preserve"> 32. un 35.pantu, finanšu ministram ir tiesības budžeta resoram gadskārtējā valsts budžeta likumā noteiktās apropriācijas ietvaros pārdalīt apropriāciju starp programmām, apakšprogrammām un budžeta izdevumu kodiem atbilstoši ekonomiskajām kategorijām, ja ir pieņemts attiecīgs Ministru kabineta lēmums.</w:t>
      </w:r>
    </w:p>
    <w:p w:rsidR="004259DB" w:rsidRPr="00714C27" w:rsidRDefault="00464E2B" w:rsidP="00C52A1C">
      <w:pPr>
        <w:tabs>
          <w:tab w:val="left" w:pos="709"/>
        </w:tabs>
        <w:suppressAutoHyphens/>
        <w:jc w:val="both"/>
        <w:rPr>
          <w:szCs w:val="24"/>
          <w:lang w:val="lv-LV"/>
        </w:rPr>
      </w:pPr>
      <w:r>
        <w:rPr>
          <w:szCs w:val="24"/>
          <w:lang w:val="lv-LV"/>
        </w:rPr>
        <w:tab/>
      </w:r>
      <w:r w:rsidR="004259DB" w:rsidRPr="00714C27">
        <w:rPr>
          <w:szCs w:val="24"/>
          <w:lang w:val="lv-LV"/>
        </w:rPr>
        <w:tab/>
        <w:t xml:space="preserve">Ņemot vērā minēto, lūdzam Ministru kabinetu atbalstīt iesniegto priekšlikumu par </w:t>
      </w:r>
      <w:r w:rsidR="001E7C9C" w:rsidRPr="00714C27">
        <w:rPr>
          <w:szCs w:val="24"/>
          <w:lang w:val="lv-LV"/>
        </w:rPr>
        <w:t xml:space="preserve">apropriācijas pārdali starp budžeta izdevumu kodiem atbilstoši ekonomiskajām kategorijām </w:t>
      </w:r>
      <w:r w:rsidR="004259DB" w:rsidRPr="00714C27">
        <w:rPr>
          <w:szCs w:val="24"/>
          <w:lang w:val="lv-LV"/>
        </w:rPr>
        <w:lastRenderedPageBreak/>
        <w:t xml:space="preserve">Ārlietu ministrijas </w:t>
      </w:r>
      <w:r w:rsidR="00CB67A0" w:rsidRPr="00CB67A0">
        <w:rPr>
          <w:szCs w:val="24"/>
          <w:lang w:val="lv-LV"/>
        </w:rPr>
        <w:t>budžeta apakšprogramm</w:t>
      </w:r>
      <w:r w:rsidR="00CB67A0">
        <w:rPr>
          <w:szCs w:val="24"/>
          <w:lang w:val="lv-LV"/>
        </w:rPr>
        <w:t>as</w:t>
      </w:r>
      <w:r w:rsidR="00CB67A0" w:rsidRPr="00CB67A0">
        <w:rPr>
          <w:szCs w:val="24"/>
          <w:lang w:val="lv-LV"/>
        </w:rPr>
        <w:t xml:space="preserve"> 96.03.00 „Latvijas prezidentūras Eiropas Savienības Padomē nodrošināšana </w:t>
      </w:r>
      <w:proofErr w:type="gramStart"/>
      <w:r w:rsidR="00CB67A0" w:rsidRPr="00CB67A0">
        <w:rPr>
          <w:szCs w:val="24"/>
          <w:lang w:val="lv-LV"/>
        </w:rPr>
        <w:t>2015.gadā</w:t>
      </w:r>
      <w:proofErr w:type="gramEnd"/>
      <w:r w:rsidR="00CB67A0" w:rsidRPr="00CB67A0">
        <w:rPr>
          <w:szCs w:val="24"/>
          <w:lang w:val="lv-LV"/>
        </w:rPr>
        <w:t xml:space="preserve"> (ministrijas pasākumi)”</w:t>
      </w:r>
      <w:r w:rsidR="004259DB" w:rsidRPr="00714C27">
        <w:rPr>
          <w:szCs w:val="24"/>
          <w:lang w:val="lv-LV"/>
        </w:rPr>
        <w:t xml:space="preserve"> ietvaros</w:t>
      </w:r>
      <w:r w:rsidR="00892A0E">
        <w:rPr>
          <w:szCs w:val="24"/>
          <w:lang w:val="lv-LV"/>
        </w:rPr>
        <w:t>.</w:t>
      </w:r>
      <w:r w:rsidR="002B510C">
        <w:rPr>
          <w:szCs w:val="24"/>
          <w:lang w:val="lv-LV"/>
        </w:rPr>
        <w:t xml:space="preserve"> </w:t>
      </w:r>
    </w:p>
    <w:p w:rsidR="004259DB" w:rsidRPr="00714C27" w:rsidRDefault="004259DB" w:rsidP="004259DB">
      <w:pPr>
        <w:suppressAutoHyphens/>
        <w:jc w:val="both"/>
        <w:rPr>
          <w:b/>
          <w:color w:val="000000" w:themeColor="text1"/>
          <w:szCs w:val="24"/>
          <w:lang w:val="lv-LV" w:eastAsia="ar-SA"/>
        </w:rPr>
      </w:pPr>
    </w:p>
    <w:p w:rsidR="004259DB" w:rsidRPr="00714C27" w:rsidRDefault="004259DB" w:rsidP="004259DB">
      <w:pPr>
        <w:tabs>
          <w:tab w:val="left" w:pos="851"/>
        </w:tabs>
        <w:suppressAutoHyphens/>
        <w:jc w:val="both"/>
        <w:rPr>
          <w:szCs w:val="24"/>
          <w:lang w:val="lv-LV" w:eastAsia="lv-LV"/>
        </w:rPr>
      </w:pPr>
    </w:p>
    <w:p w:rsidR="004259DB" w:rsidRPr="00714C27" w:rsidRDefault="004259DB" w:rsidP="003874D7">
      <w:pPr>
        <w:tabs>
          <w:tab w:val="right" w:pos="9072"/>
        </w:tabs>
        <w:jc w:val="both"/>
        <w:rPr>
          <w:szCs w:val="24"/>
          <w:lang w:val="lv-LV"/>
        </w:rPr>
      </w:pPr>
      <w:r w:rsidRPr="00714C27">
        <w:rPr>
          <w:szCs w:val="24"/>
          <w:lang w:val="lv-LV"/>
        </w:rPr>
        <w:t>Ārlietu ministrs</w:t>
      </w:r>
      <w:r w:rsidRPr="00714C27">
        <w:rPr>
          <w:szCs w:val="24"/>
          <w:lang w:val="lv-LV"/>
        </w:rPr>
        <w:tab/>
        <w:t xml:space="preserve"> E. </w:t>
      </w:r>
      <w:proofErr w:type="spellStart"/>
      <w:r w:rsidRPr="00714C27">
        <w:rPr>
          <w:szCs w:val="24"/>
          <w:lang w:val="lv-LV"/>
        </w:rPr>
        <w:t>Rink</w:t>
      </w:r>
      <w:r w:rsidRPr="00714C27">
        <w:rPr>
          <w:szCs w:val="24"/>
          <w:lang w:val="lv-LV" w:eastAsia="lv-LV"/>
        </w:rPr>
        <w:t>ēvičs</w:t>
      </w:r>
      <w:proofErr w:type="spellEnd"/>
    </w:p>
    <w:p w:rsidR="004259DB" w:rsidRPr="00714C27" w:rsidRDefault="004259DB" w:rsidP="003874D7">
      <w:pPr>
        <w:tabs>
          <w:tab w:val="right" w:pos="9072"/>
        </w:tabs>
        <w:jc w:val="both"/>
        <w:rPr>
          <w:szCs w:val="24"/>
          <w:lang w:val="lv-LV"/>
        </w:rPr>
      </w:pPr>
    </w:p>
    <w:p w:rsidR="004259DB" w:rsidRPr="00714C27" w:rsidRDefault="004259DB" w:rsidP="003874D7">
      <w:pPr>
        <w:tabs>
          <w:tab w:val="right" w:pos="9072"/>
        </w:tabs>
        <w:jc w:val="both"/>
        <w:rPr>
          <w:szCs w:val="24"/>
          <w:lang w:val="lv-LV"/>
        </w:rPr>
      </w:pPr>
      <w:r w:rsidRPr="00714C27">
        <w:rPr>
          <w:szCs w:val="24"/>
          <w:lang w:val="lv-LV"/>
        </w:rPr>
        <w:t>Vīzas :</w:t>
      </w:r>
    </w:p>
    <w:p w:rsidR="004259DB" w:rsidRDefault="004259DB" w:rsidP="003874D7">
      <w:pPr>
        <w:tabs>
          <w:tab w:val="right" w:pos="9072"/>
        </w:tabs>
        <w:jc w:val="both"/>
        <w:rPr>
          <w:szCs w:val="24"/>
          <w:lang w:val="lv-LV"/>
        </w:rPr>
      </w:pPr>
      <w:r w:rsidRPr="00714C27">
        <w:rPr>
          <w:szCs w:val="24"/>
          <w:lang w:val="lv-LV"/>
        </w:rPr>
        <w:t>Valsts sekretār</w:t>
      </w:r>
      <w:r w:rsidR="004C04E3">
        <w:rPr>
          <w:szCs w:val="24"/>
          <w:lang w:val="lv-LV"/>
        </w:rPr>
        <w:t xml:space="preserve">a </w:t>
      </w:r>
      <w:proofErr w:type="spellStart"/>
      <w:r w:rsidR="004C04E3">
        <w:rPr>
          <w:szCs w:val="24"/>
          <w:lang w:val="lv-LV"/>
        </w:rPr>
        <w:t>p.i</w:t>
      </w:r>
      <w:proofErr w:type="spellEnd"/>
      <w:r w:rsidR="004C04E3">
        <w:rPr>
          <w:szCs w:val="24"/>
          <w:lang w:val="lv-LV"/>
        </w:rPr>
        <w:t>.</w:t>
      </w:r>
      <w:r w:rsidR="00860FA4">
        <w:rPr>
          <w:szCs w:val="24"/>
          <w:lang w:val="lv-LV"/>
        </w:rPr>
        <w:tab/>
      </w:r>
      <w:r w:rsidR="004C04E3">
        <w:rPr>
          <w:szCs w:val="24"/>
          <w:lang w:val="lv-LV"/>
        </w:rPr>
        <w:t>P.Vaivars</w:t>
      </w:r>
    </w:p>
    <w:p w:rsidR="00DB7CF1" w:rsidRDefault="00DB7CF1" w:rsidP="003874D7">
      <w:pPr>
        <w:tabs>
          <w:tab w:val="right" w:pos="9072"/>
        </w:tabs>
        <w:jc w:val="both"/>
        <w:rPr>
          <w:szCs w:val="24"/>
          <w:lang w:val="lv-LV"/>
        </w:rPr>
      </w:pPr>
    </w:p>
    <w:p w:rsidR="004259DB" w:rsidRPr="00714C27" w:rsidRDefault="004259DB" w:rsidP="003874D7">
      <w:pPr>
        <w:tabs>
          <w:tab w:val="right" w:pos="9072"/>
        </w:tabs>
        <w:jc w:val="both"/>
        <w:rPr>
          <w:szCs w:val="24"/>
          <w:lang w:val="lv-LV"/>
        </w:rPr>
      </w:pPr>
    </w:p>
    <w:p w:rsidR="004259DB" w:rsidRPr="00714C27" w:rsidRDefault="00D95190" w:rsidP="004259DB">
      <w:pPr>
        <w:rPr>
          <w:sz w:val="16"/>
          <w:szCs w:val="16"/>
          <w:lang w:val="lv-LV"/>
        </w:rPr>
      </w:pPr>
      <w:r>
        <w:rPr>
          <w:sz w:val="16"/>
          <w:szCs w:val="16"/>
          <w:lang w:val="lv-LV"/>
        </w:rPr>
        <w:t>0</w:t>
      </w:r>
      <w:r w:rsidR="008E1610">
        <w:rPr>
          <w:sz w:val="16"/>
          <w:szCs w:val="16"/>
          <w:lang w:val="lv-LV"/>
        </w:rPr>
        <w:t>8</w:t>
      </w:r>
      <w:r w:rsidR="00873006">
        <w:rPr>
          <w:sz w:val="16"/>
          <w:szCs w:val="16"/>
          <w:lang w:val="lv-LV"/>
        </w:rPr>
        <w:t>.1</w:t>
      </w:r>
      <w:r>
        <w:rPr>
          <w:sz w:val="16"/>
          <w:szCs w:val="16"/>
          <w:lang w:val="lv-LV"/>
        </w:rPr>
        <w:t>2</w:t>
      </w:r>
      <w:r w:rsidR="00873006">
        <w:rPr>
          <w:sz w:val="16"/>
          <w:szCs w:val="16"/>
          <w:lang w:val="lv-LV"/>
        </w:rPr>
        <w:t>.</w:t>
      </w:r>
      <w:r w:rsidR="004259DB" w:rsidRPr="00714C27">
        <w:rPr>
          <w:sz w:val="16"/>
          <w:szCs w:val="16"/>
          <w:lang w:val="lv-LV"/>
        </w:rPr>
        <w:t xml:space="preserve">2014. </w:t>
      </w:r>
      <w:r>
        <w:rPr>
          <w:sz w:val="16"/>
          <w:szCs w:val="16"/>
          <w:lang w:val="lv-LV"/>
        </w:rPr>
        <w:t>9</w:t>
      </w:r>
      <w:r w:rsidR="00F00697">
        <w:rPr>
          <w:sz w:val="16"/>
          <w:szCs w:val="16"/>
          <w:lang w:val="lv-LV"/>
        </w:rPr>
        <w:t>.</w:t>
      </w:r>
      <w:r w:rsidR="0000534B">
        <w:rPr>
          <w:sz w:val="16"/>
          <w:szCs w:val="16"/>
          <w:lang w:val="lv-LV"/>
        </w:rPr>
        <w:t>50</w:t>
      </w:r>
    </w:p>
    <w:p w:rsidR="004A1E0C" w:rsidRPr="00714C27" w:rsidRDefault="00897647" w:rsidP="004259DB">
      <w:pPr>
        <w:rPr>
          <w:sz w:val="16"/>
          <w:szCs w:val="16"/>
          <w:lang w:val="lv-LV"/>
        </w:rPr>
      </w:pPr>
      <w:r>
        <w:rPr>
          <w:sz w:val="16"/>
          <w:szCs w:val="16"/>
          <w:lang w:val="lv-LV"/>
        </w:rPr>
        <w:t>74</w:t>
      </w:r>
      <w:r w:rsidR="004C04E3">
        <w:rPr>
          <w:sz w:val="16"/>
          <w:szCs w:val="16"/>
          <w:lang w:val="lv-LV"/>
        </w:rPr>
        <w:t>7</w:t>
      </w:r>
    </w:p>
    <w:p w:rsidR="004259DB" w:rsidRPr="00714C27" w:rsidRDefault="00873006" w:rsidP="004259DB">
      <w:pPr>
        <w:rPr>
          <w:sz w:val="16"/>
          <w:szCs w:val="16"/>
          <w:lang w:val="lv-LV"/>
        </w:rPr>
      </w:pPr>
      <w:proofErr w:type="spellStart"/>
      <w:r>
        <w:rPr>
          <w:sz w:val="16"/>
          <w:szCs w:val="16"/>
          <w:lang w:val="lv-LV"/>
        </w:rPr>
        <w:t>I.Skutāne</w:t>
      </w:r>
      <w:proofErr w:type="spellEnd"/>
      <w:r>
        <w:rPr>
          <w:sz w:val="16"/>
          <w:szCs w:val="16"/>
          <w:lang w:val="lv-LV"/>
        </w:rPr>
        <w:t>, 67016130</w:t>
      </w:r>
    </w:p>
    <w:p w:rsidR="004259DB" w:rsidRPr="00714C27" w:rsidRDefault="0000534B" w:rsidP="004259DB">
      <w:pPr>
        <w:rPr>
          <w:sz w:val="16"/>
          <w:szCs w:val="16"/>
          <w:lang w:val="lv-LV"/>
        </w:rPr>
      </w:pPr>
      <w:r>
        <w:rPr>
          <w:sz w:val="16"/>
          <w:szCs w:val="16"/>
          <w:lang w:val="lv-LV"/>
        </w:rPr>
        <w:t>i</w:t>
      </w:r>
      <w:r w:rsidR="00873006">
        <w:rPr>
          <w:sz w:val="16"/>
          <w:szCs w:val="16"/>
          <w:lang w:val="lv-LV"/>
        </w:rPr>
        <w:t>lze.skutane@mfa.gov.lv</w:t>
      </w:r>
    </w:p>
    <w:sectPr w:rsidR="004259DB" w:rsidRPr="00714C27" w:rsidSect="00071F06">
      <w:headerReference w:type="default" r:id="rId9"/>
      <w:footerReference w:type="default" r:id="rId10"/>
      <w:footerReference w:type="first" r:id="rId11"/>
      <w:pgSz w:w="11896"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17" w:rsidRDefault="00A22C17" w:rsidP="004259DB">
      <w:r>
        <w:separator/>
      </w:r>
    </w:p>
  </w:endnote>
  <w:endnote w:type="continuationSeparator" w:id="0">
    <w:p w:rsidR="00A22C17" w:rsidRDefault="00A22C17" w:rsidP="004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7" w:rsidRPr="008866AE" w:rsidRDefault="00335C57" w:rsidP="00335C57">
    <w:pPr>
      <w:jc w:val="both"/>
      <w:rPr>
        <w:sz w:val="20"/>
        <w:lang w:val="lv-LV"/>
      </w:rPr>
    </w:pPr>
    <w:r w:rsidRPr="006E2A1E">
      <w:rPr>
        <w:sz w:val="20"/>
      </w:rPr>
      <w:t>AM</w:t>
    </w:r>
    <w:r>
      <w:rPr>
        <w:sz w:val="20"/>
      </w:rPr>
      <w:t>Zino</w:t>
    </w:r>
    <w:r w:rsidRPr="006E2A1E">
      <w:rPr>
        <w:sz w:val="20"/>
      </w:rPr>
      <w:t>_</w:t>
    </w:r>
    <w:r w:rsidR="00D95190">
      <w:rPr>
        <w:sz w:val="20"/>
      </w:rPr>
      <w:t>0</w:t>
    </w:r>
    <w:r w:rsidR="008E1610">
      <w:rPr>
        <w:sz w:val="20"/>
      </w:rPr>
      <w:t>8</w:t>
    </w:r>
    <w:r>
      <w:rPr>
        <w:sz w:val="20"/>
      </w:rPr>
      <w:t>1</w:t>
    </w:r>
    <w:r w:rsidR="00D95190">
      <w:rPr>
        <w:sz w:val="20"/>
      </w:rPr>
      <w:t>2</w:t>
    </w:r>
    <w:r>
      <w:rPr>
        <w:sz w:val="20"/>
      </w:rPr>
      <w:t>14</w:t>
    </w:r>
    <w:r w:rsidRPr="006E2A1E">
      <w:rPr>
        <w:sz w:val="20"/>
      </w:rPr>
      <w:t>_</w:t>
    </w:r>
    <w:r>
      <w:rPr>
        <w:sz w:val="20"/>
      </w:rPr>
      <w:t>pres_aprop</w:t>
    </w:r>
    <w:r w:rsidRPr="006E2A1E">
      <w:rPr>
        <w:sz w:val="20"/>
        <w:lang w:val="lv-LV"/>
      </w:rPr>
      <w:t xml:space="preserve">; </w:t>
    </w:r>
    <w:r>
      <w:rPr>
        <w:sz w:val="20"/>
        <w:lang w:val="lv-LV"/>
      </w:rPr>
      <w:t xml:space="preserve">Informatīvai ziņojums </w:t>
    </w:r>
    <w:r w:rsidRPr="00CD4285">
      <w:rPr>
        <w:sz w:val="20"/>
        <w:lang w:val="lv-LV"/>
      </w:rPr>
      <w:t>„</w:t>
    </w:r>
    <w:r w:rsidR="000B150F" w:rsidRPr="002C5C68">
      <w:rPr>
        <w:sz w:val="20"/>
        <w:lang w:val="lv-LV"/>
      </w:rPr>
      <w:t>Par Ārlietu ministrijas valsts pamatbudžeta programmas 96.00.00 „Latvijas prezidentūras Eiropas Savienības Padomē nodrošināšana 2015.gadā” apropriācijas pārdali starp budžeta izdevumu kodiem atbilstoši ekonomiskajām kategorijām</w:t>
    </w:r>
    <w:r w:rsidRPr="00CD4285">
      <w:rPr>
        <w:sz w:val="20"/>
        <w:lang w:val="lv-LV"/>
      </w:rPr>
      <w:t>”</w:t>
    </w:r>
  </w:p>
  <w:p w:rsidR="005C07A5" w:rsidRPr="00335C57" w:rsidRDefault="00071F06" w:rsidP="00335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8B" w:rsidRPr="008866AE" w:rsidRDefault="008866AE" w:rsidP="008866AE">
    <w:pPr>
      <w:jc w:val="both"/>
      <w:rPr>
        <w:sz w:val="20"/>
        <w:lang w:val="lv-LV"/>
      </w:rPr>
    </w:pPr>
    <w:r w:rsidRPr="006E2A1E">
      <w:rPr>
        <w:sz w:val="20"/>
      </w:rPr>
      <w:t>AM</w:t>
    </w:r>
    <w:r>
      <w:rPr>
        <w:sz w:val="20"/>
      </w:rPr>
      <w:t>Zino</w:t>
    </w:r>
    <w:r w:rsidRPr="006E2A1E">
      <w:rPr>
        <w:sz w:val="20"/>
      </w:rPr>
      <w:t>_</w:t>
    </w:r>
    <w:r w:rsidR="00D95190">
      <w:rPr>
        <w:sz w:val="20"/>
      </w:rPr>
      <w:t>0</w:t>
    </w:r>
    <w:r w:rsidR="008E1610">
      <w:rPr>
        <w:sz w:val="20"/>
      </w:rPr>
      <w:t>8</w:t>
    </w:r>
    <w:r w:rsidR="00873006">
      <w:rPr>
        <w:sz w:val="20"/>
      </w:rPr>
      <w:t>1</w:t>
    </w:r>
    <w:r w:rsidR="00D95190">
      <w:rPr>
        <w:sz w:val="20"/>
      </w:rPr>
      <w:t>2</w:t>
    </w:r>
    <w:r>
      <w:rPr>
        <w:sz w:val="20"/>
      </w:rPr>
      <w:t>14</w:t>
    </w:r>
    <w:r w:rsidRPr="006E2A1E">
      <w:rPr>
        <w:sz w:val="20"/>
      </w:rPr>
      <w:t>_</w:t>
    </w:r>
    <w:r>
      <w:rPr>
        <w:sz w:val="20"/>
      </w:rPr>
      <w:t>pres_aprop</w:t>
    </w:r>
    <w:r w:rsidRPr="006E2A1E">
      <w:rPr>
        <w:sz w:val="20"/>
        <w:lang w:val="lv-LV"/>
      </w:rPr>
      <w:t xml:space="preserve">; </w:t>
    </w:r>
    <w:r>
      <w:rPr>
        <w:sz w:val="20"/>
        <w:lang w:val="lv-LV"/>
      </w:rPr>
      <w:t>Informatīvai ziņojums</w:t>
    </w:r>
    <w:r w:rsidR="00612E3C">
      <w:rPr>
        <w:sz w:val="20"/>
        <w:lang w:val="lv-LV"/>
      </w:rPr>
      <w:t xml:space="preserve"> </w:t>
    </w:r>
    <w:r w:rsidR="000B150F" w:rsidRPr="000B150F">
      <w:rPr>
        <w:sz w:val="20"/>
        <w:lang w:val="lv-LV"/>
      </w:rPr>
      <w:t>„Par Ārlietu ministrijas valsts pamatbudžeta programmas 96.00.00 „Latvijas prezidentūras Eiropas Savienības Padomē nodrošināšana 2015.gadā” apropriācijas pārdali starp budžeta izdevumu kodiem atbilstoši ekonomiskajām kategorijām”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17" w:rsidRDefault="00A22C17" w:rsidP="004259DB">
      <w:r>
        <w:separator/>
      </w:r>
    </w:p>
  </w:footnote>
  <w:footnote w:type="continuationSeparator" w:id="0">
    <w:p w:rsidR="00A22C17" w:rsidRDefault="00A22C17" w:rsidP="0042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397667"/>
      <w:docPartObj>
        <w:docPartGallery w:val="Page Numbers (Top of Page)"/>
        <w:docPartUnique/>
      </w:docPartObj>
    </w:sdtPr>
    <w:sdtEndPr>
      <w:rPr>
        <w:noProof/>
      </w:rPr>
    </w:sdtEndPr>
    <w:sdtContent>
      <w:p w:rsidR="0000128E" w:rsidRDefault="00D12F96">
        <w:pPr>
          <w:pStyle w:val="Header"/>
          <w:jc w:val="center"/>
        </w:pPr>
        <w:r>
          <w:fldChar w:fldCharType="begin"/>
        </w:r>
        <w:r w:rsidR="0000128E">
          <w:instrText xml:space="preserve"> PAGE   \* MERGEFORMAT </w:instrText>
        </w:r>
        <w:r>
          <w:fldChar w:fldCharType="separate"/>
        </w:r>
        <w:r w:rsidR="00071F06">
          <w:rPr>
            <w:noProof/>
          </w:rPr>
          <w:t>3</w:t>
        </w:r>
        <w:r>
          <w:rPr>
            <w:noProof/>
          </w:rPr>
          <w:fldChar w:fldCharType="end"/>
        </w:r>
      </w:p>
    </w:sdtContent>
  </w:sdt>
  <w:p w:rsidR="0000128E" w:rsidRDefault="00001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635EB"/>
    <w:multiLevelType w:val="hybridMultilevel"/>
    <w:tmpl w:val="554A75D6"/>
    <w:lvl w:ilvl="0" w:tplc="00BA61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DB"/>
    <w:rsid w:val="000002ED"/>
    <w:rsid w:val="0000128E"/>
    <w:rsid w:val="000030A6"/>
    <w:rsid w:val="0000534B"/>
    <w:rsid w:val="00022D05"/>
    <w:rsid w:val="00026BC3"/>
    <w:rsid w:val="0004564A"/>
    <w:rsid w:val="00046EF2"/>
    <w:rsid w:val="00071F06"/>
    <w:rsid w:val="00084447"/>
    <w:rsid w:val="00087D97"/>
    <w:rsid w:val="000A1B17"/>
    <w:rsid w:val="000B150F"/>
    <w:rsid w:val="000C518F"/>
    <w:rsid w:val="00106111"/>
    <w:rsid w:val="00125529"/>
    <w:rsid w:val="00151807"/>
    <w:rsid w:val="0017116F"/>
    <w:rsid w:val="0017298B"/>
    <w:rsid w:val="00186B90"/>
    <w:rsid w:val="001B2EF3"/>
    <w:rsid w:val="001E12F4"/>
    <w:rsid w:val="001E7C9C"/>
    <w:rsid w:val="00224A2B"/>
    <w:rsid w:val="00225A70"/>
    <w:rsid w:val="00233CCC"/>
    <w:rsid w:val="00271923"/>
    <w:rsid w:val="002B0196"/>
    <w:rsid w:val="002B25D6"/>
    <w:rsid w:val="002B510C"/>
    <w:rsid w:val="002E1273"/>
    <w:rsid w:val="002E4A2B"/>
    <w:rsid w:val="002F217C"/>
    <w:rsid w:val="002F220C"/>
    <w:rsid w:val="003003B4"/>
    <w:rsid w:val="00335C57"/>
    <w:rsid w:val="0034032C"/>
    <w:rsid w:val="0034119A"/>
    <w:rsid w:val="0038323B"/>
    <w:rsid w:val="003874D7"/>
    <w:rsid w:val="003A491D"/>
    <w:rsid w:val="003C2748"/>
    <w:rsid w:val="003C5642"/>
    <w:rsid w:val="003E23F1"/>
    <w:rsid w:val="004124B1"/>
    <w:rsid w:val="00423237"/>
    <w:rsid w:val="00425843"/>
    <w:rsid w:val="004259DB"/>
    <w:rsid w:val="00430D32"/>
    <w:rsid w:val="00464E2B"/>
    <w:rsid w:val="00466CA0"/>
    <w:rsid w:val="00470DEB"/>
    <w:rsid w:val="00485E83"/>
    <w:rsid w:val="004A1E0C"/>
    <w:rsid w:val="004A1E25"/>
    <w:rsid w:val="004A6F38"/>
    <w:rsid w:val="004B5286"/>
    <w:rsid w:val="004C04E3"/>
    <w:rsid w:val="004C30D5"/>
    <w:rsid w:val="005331D1"/>
    <w:rsid w:val="00560A64"/>
    <w:rsid w:val="00581530"/>
    <w:rsid w:val="00592797"/>
    <w:rsid w:val="0059373E"/>
    <w:rsid w:val="005A21EC"/>
    <w:rsid w:val="00606812"/>
    <w:rsid w:val="00612E3C"/>
    <w:rsid w:val="006B06D2"/>
    <w:rsid w:val="006C0E4F"/>
    <w:rsid w:val="006E15B9"/>
    <w:rsid w:val="006E57D0"/>
    <w:rsid w:val="00714C27"/>
    <w:rsid w:val="00735844"/>
    <w:rsid w:val="0074202E"/>
    <w:rsid w:val="00767CF1"/>
    <w:rsid w:val="0077246F"/>
    <w:rsid w:val="007B5958"/>
    <w:rsid w:val="007F6405"/>
    <w:rsid w:val="00815B5D"/>
    <w:rsid w:val="0083288B"/>
    <w:rsid w:val="00835812"/>
    <w:rsid w:val="00837F91"/>
    <w:rsid w:val="00847F17"/>
    <w:rsid w:val="00854D35"/>
    <w:rsid w:val="00860FA4"/>
    <w:rsid w:val="00863058"/>
    <w:rsid w:val="00873006"/>
    <w:rsid w:val="008866AE"/>
    <w:rsid w:val="00892A0E"/>
    <w:rsid w:val="00895BC9"/>
    <w:rsid w:val="00897647"/>
    <w:rsid w:val="008B6BE1"/>
    <w:rsid w:val="008C722C"/>
    <w:rsid w:val="008E1610"/>
    <w:rsid w:val="00912074"/>
    <w:rsid w:val="0091297B"/>
    <w:rsid w:val="009313DD"/>
    <w:rsid w:val="00940574"/>
    <w:rsid w:val="00967560"/>
    <w:rsid w:val="009A6A2C"/>
    <w:rsid w:val="009D6A86"/>
    <w:rsid w:val="00A22C17"/>
    <w:rsid w:val="00A26A65"/>
    <w:rsid w:val="00A32DE8"/>
    <w:rsid w:val="00A44F79"/>
    <w:rsid w:val="00A65506"/>
    <w:rsid w:val="00A745FF"/>
    <w:rsid w:val="00A976D4"/>
    <w:rsid w:val="00AC7026"/>
    <w:rsid w:val="00AD759C"/>
    <w:rsid w:val="00AE62A0"/>
    <w:rsid w:val="00B03F9D"/>
    <w:rsid w:val="00B074FF"/>
    <w:rsid w:val="00B300D6"/>
    <w:rsid w:val="00B31707"/>
    <w:rsid w:val="00B73350"/>
    <w:rsid w:val="00B834B6"/>
    <w:rsid w:val="00B867FC"/>
    <w:rsid w:val="00C0023D"/>
    <w:rsid w:val="00C0729C"/>
    <w:rsid w:val="00C350DD"/>
    <w:rsid w:val="00C52A1C"/>
    <w:rsid w:val="00CA71C9"/>
    <w:rsid w:val="00CB67A0"/>
    <w:rsid w:val="00CD37D0"/>
    <w:rsid w:val="00CD4285"/>
    <w:rsid w:val="00D12F96"/>
    <w:rsid w:val="00D42627"/>
    <w:rsid w:val="00D473AE"/>
    <w:rsid w:val="00D95190"/>
    <w:rsid w:val="00DB7CF1"/>
    <w:rsid w:val="00DC1792"/>
    <w:rsid w:val="00DE36ED"/>
    <w:rsid w:val="00E163F4"/>
    <w:rsid w:val="00E23FDD"/>
    <w:rsid w:val="00E27E58"/>
    <w:rsid w:val="00E574EB"/>
    <w:rsid w:val="00EA7C40"/>
    <w:rsid w:val="00EB3826"/>
    <w:rsid w:val="00EC186E"/>
    <w:rsid w:val="00ED0754"/>
    <w:rsid w:val="00ED1FC6"/>
    <w:rsid w:val="00EE0DD9"/>
    <w:rsid w:val="00EF70C1"/>
    <w:rsid w:val="00F00697"/>
    <w:rsid w:val="00F12929"/>
    <w:rsid w:val="00F23CA9"/>
    <w:rsid w:val="00F53D7A"/>
    <w:rsid w:val="00F57EBC"/>
    <w:rsid w:val="00F87426"/>
    <w:rsid w:val="00F87601"/>
    <w:rsid w:val="00FD324A"/>
    <w:rsid w:val="00FD3A0B"/>
    <w:rsid w:val="00FD43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DB"/>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9DB"/>
    <w:pPr>
      <w:ind w:left="720"/>
    </w:pPr>
    <w:rPr>
      <w:rFonts w:ascii="Calibri" w:eastAsiaTheme="minorHAnsi" w:hAnsi="Calibri"/>
      <w:sz w:val="22"/>
      <w:szCs w:val="22"/>
      <w:lang w:val="lv-LV"/>
    </w:rPr>
  </w:style>
  <w:style w:type="paragraph" w:styleId="Header">
    <w:name w:val="header"/>
    <w:basedOn w:val="Normal"/>
    <w:link w:val="HeaderChar"/>
    <w:uiPriority w:val="99"/>
    <w:unhideWhenUsed/>
    <w:rsid w:val="004259DB"/>
    <w:pPr>
      <w:tabs>
        <w:tab w:val="center" w:pos="4153"/>
        <w:tab w:val="right" w:pos="8306"/>
      </w:tabs>
    </w:pPr>
  </w:style>
  <w:style w:type="character" w:customStyle="1" w:styleId="HeaderChar">
    <w:name w:val="Header Char"/>
    <w:basedOn w:val="DefaultParagraphFont"/>
    <w:link w:val="Header"/>
    <w:uiPriority w:val="99"/>
    <w:rsid w:val="004259D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259DB"/>
    <w:pPr>
      <w:tabs>
        <w:tab w:val="center" w:pos="4153"/>
        <w:tab w:val="right" w:pos="8306"/>
      </w:tabs>
    </w:pPr>
  </w:style>
  <w:style w:type="character" w:customStyle="1" w:styleId="FooterChar">
    <w:name w:val="Footer Char"/>
    <w:basedOn w:val="DefaultParagraphFont"/>
    <w:link w:val="Footer"/>
    <w:uiPriority w:val="99"/>
    <w:rsid w:val="004259D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44F79"/>
    <w:rPr>
      <w:rFonts w:ascii="Tahoma" w:hAnsi="Tahoma" w:cs="Tahoma"/>
      <w:sz w:val="16"/>
      <w:szCs w:val="16"/>
    </w:rPr>
  </w:style>
  <w:style w:type="character" w:customStyle="1" w:styleId="BalloonTextChar">
    <w:name w:val="Balloon Text Char"/>
    <w:basedOn w:val="DefaultParagraphFont"/>
    <w:link w:val="BalloonText"/>
    <w:uiPriority w:val="99"/>
    <w:semiHidden/>
    <w:rsid w:val="00A44F79"/>
    <w:rPr>
      <w:rFonts w:ascii="Tahoma" w:eastAsia="Times New Roman" w:hAnsi="Tahoma" w:cs="Tahoma"/>
      <w:sz w:val="16"/>
      <w:szCs w:val="16"/>
      <w:lang w:val="en-US"/>
    </w:rPr>
  </w:style>
  <w:style w:type="paragraph" w:styleId="BodyText">
    <w:name w:val="Body Text"/>
    <w:basedOn w:val="Normal"/>
    <w:link w:val="BodyTextChar"/>
    <w:rsid w:val="002F217C"/>
    <w:pPr>
      <w:suppressAutoHyphens/>
      <w:spacing w:after="120"/>
    </w:pPr>
    <w:rPr>
      <w:szCs w:val="24"/>
      <w:lang w:val="lv-LV" w:eastAsia="ar-SA"/>
    </w:rPr>
  </w:style>
  <w:style w:type="character" w:customStyle="1" w:styleId="BodyTextChar">
    <w:name w:val="Body Text Char"/>
    <w:basedOn w:val="DefaultParagraphFont"/>
    <w:link w:val="BodyText"/>
    <w:rsid w:val="002F217C"/>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2797"/>
    <w:rPr>
      <w:sz w:val="16"/>
      <w:szCs w:val="16"/>
    </w:rPr>
  </w:style>
  <w:style w:type="paragraph" w:styleId="CommentText">
    <w:name w:val="annotation text"/>
    <w:basedOn w:val="Normal"/>
    <w:link w:val="CommentTextChar"/>
    <w:uiPriority w:val="99"/>
    <w:semiHidden/>
    <w:unhideWhenUsed/>
    <w:rsid w:val="00592797"/>
    <w:rPr>
      <w:sz w:val="20"/>
    </w:rPr>
  </w:style>
  <w:style w:type="character" w:customStyle="1" w:styleId="CommentTextChar">
    <w:name w:val="Comment Text Char"/>
    <w:basedOn w:val="DefaultParagraphFont"/>
    <w:link w:val="CommentText"/>
    <w:uiPriority w:val="99"/>
    <w:semiHidden/>
    <w:rsid w:val="005927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2797"/>
    <w:rPr>
      <w:b/>
      <w:bCs/>
    </w:rPr>
  </w:style>
  <w:style w:type="character" w:customStyle="1" w:styleId="CommentSubjectChar">
    <w:name w:val="Comment Subject Char"/>
    <w:basedOn w:val="CommentTextChar"/>
    <w:link w:val="CommentSubject"/>
    <w:uiPriority w:val="99"/>
    <w:semiHidden/>
    <w:rsid w:val="0059279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DB"/>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9DB"/>
    <w:pPr>
      <w:ind w:left="720"/>
    </w:pPr>
    <w:rPr>
      <w:rFonts w:ascii="Calibri" w:eastAsiaTheme="minorHAnsi" w:hAnsi="Calibri"/>
      <w:sz w:val="22"/>
      <w:szCs w:val="22"/>
      <w:lang w:val="lv-LV"/>
    </w:rPr>
  </w:style>
  <w:style w:type="paragraph" w:styleId="Header">
    <w:name w:val="header"/>
    <w:basedOn w:val="Normal"/>
    <w:link w:val="HeaderChar"/>
    <w:uiPriority w:val="99"/>
    <w:unhideWhenUsed/>
    <w:rsid w:val="004259DB"/>
    <w:pPr>
      <w:tabs>
        <w:tab w:val="center" w:pos="4153"/>
        <w:tab w:val="right" w:pos="8306"/>
      </w:tabs>
    </w:pPr>
  </w:style>
  <w:style w:type="character" w:customStyle="1" w:styleId="HeaderChar">
    <w:name w:val="Header Char"/>
    <w:basedOn w:val="DefaultParagraphFont"/>
    <w:link w:val="Header"/>
    <w:uiPriority w:val="99"/>
    <w:rsid w:val="004259D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259DB"/>
    <w:pPr>
      <w:tabs>
        <w:tab w:val="center" w:pos="4153"/>
        <w:tab w:val="right" w:pos="8306"/>
      </w:tabs>
    </w:pPr>
  </w:style>
  <w:style w:type="character" w:customStyle="1" w:styleId="FooterChar">
    <w:name w:val="Footer Char"/>
    <w:basedOn w:val="DefaultParagraphFont"/>
    <w:link w:val="Footer"/>
    <w:uiPriority w:val="99"/>
    <w:rsid w:val="004259D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44F79"/>
    <w:rPr>
      <w:rFonts w:ascii="Tahoma" w:hAnsi="Tahoma" w:cs="Tahoma"/>
      <w:sz w:val="16"/>
      <w:szCs w:val="16"/>
    </w:rPr>
  </w:style>
  <w:style w:type="character" w:customStyle="1" w:styleId="BalloonTextChar">
    <w:name w:val="Balloon Text Char"/>
    <w:basedOn w:val="DefaultParagraphFont"/>
    <w:link w:val="BalloonText"/>
    <w:uiPriority w:val="99"/>
    <w:semiHidden/>
    <w:rsid w:val="00A44F79"/>
    <w:rPr>
      <w:rFonts w:ascii="Tahoma" w:eastAsia="Times New Roman" w:hAnsi="Tahoma" w:cs="Tahoma"/>
      <w:sz w:val="16"/>
      <w:szCs w:val="16"/>
      <w:lang w:val="en-US"/>
    </w:rPr>
  </w:style>
  <w:style w:type="paragraph" w:styleId="BodyText">
    <w:name w:val="Body Text"/>
    <w:basedOn w:val="Normal"/>
    <w:link w:val="BodyTextChar"/>
    <w:rsid w:val="002F217C"/>
    <w:pPr>
      <w:suppressAutoHyphens/>
      <w:spacing w:after="120"/>
    </w:pPr>
    <w:rPr>
      <w:szCs w:val="24"/>
      <w:lang w:val="lv-LV" w:eastAsia="ar-SA"/>
    </w:rPr>
  </w:style>
  <w:style w:type="character" w:customStyle="1" w:styleId="BodyTextChar">
    <w:name w:val="Body Text Char"/>
    <w:basedOn w:val="DefaultParagraphFont"/>
    <w:link w:val="BodyText"/>
    <w:rsid w:val="002F217C"/>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2797"/>
    <w:rPr>
      <w:sz w:val="16"/>
      <w:szCs w:val="16"/>
    </w:rPr>
  </w:style>
  <w:style w:type="paragraph" w:styleId="CommentText">
    <w:name w:val="annotation text"/>
    <w:basedOn w:val="Normal"/>
    <w:link w:val="CommentTextChar"/>
    <w:uiPriority w:val="99"/>
    <w:semiHidden/>
    <w:unhideWhenUsed/>
    <w:rsid w:val="00592797"/>
    <w:rPr>
      <w:sz w:val="20"/>
    </w:rPr>
  </w:style>
  <w:style w:type="character" w:customStyle="1" w:styleId="CommentTextChar">
    <w:name w:val="Comment Text Char"/>
    <w:basedOn w:val="DefaultParagraphFont"/>
    <w:link w:val="CommentText"/>
    <w:uiPriority w:val="99"/>
    <w:semiHidden/>
    <w:rsid w:val="005927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2797"/>
    <w:rPr>
      <w:b/>
      <w:bCs/>
    </w:rPr>
  </w:style>
  <w:style w:type="character" w:customStyle="1" w:styleId="CommentSubjectChar">
    <w:name w:val="Comment Subject Char"/>
    <w:basedOn w:val="CommentTextChar"/>
    <w:link w:val="CommentSubject"/>
    <w:uiPriority w:val="99"/>
    <w:semiHidden/>
    <w:rsid w:val="0059279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7572">
      <w:bodyDiv w:val="1"/>
      <w:marLeft w:val="0"/>
      <w:marRight w:val="0"/>
      <w:marTop w:val="0"/>
      <w:marBottom w:val="0"/>
      <w:divBdr>
        <w:top w:val="none" w:sz="0" w:space="0" w:color="auto"/>
        <w:left w:val="none" w:sz="0" w:space="0" w:color="auto"/>
        <w:bottom w:val="none" w:sz="0" w:space="0" w:color="auto"/>
        <w:right w:val="none" w:sz="0" w:space="0" w:color="auto"/>
      </w:divBdr>
    </w:div>
    <w:div w:id="1532955309">
      <w:bodyDiv w:val="1"/>
      <w:marLeft w:val="0"/>
      <w:marRight w:val="0"/>
      <w:marTop w:val="0"/>
      <w:marBottom w:val="0"/>
      <w:divBdr>
        <w:top w:val="none" w:sz="0" w:space="0" w:color="auto"/>
        <w:left w:val="none" w:sz="0" w:space="0" w:color="auto"/>
        <w:bottom w:val="none" w:sz="0" w:space="0" w:color="auto"/>
        <w:right w:val="none" w:sz="0" w:space="0" w:color="auto"/>
      </w:divBdr>
    </w:div>
    <w:div w:id="20870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C0AC-4790-48B5-B68D-F49EF209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4073</Words>
  <Characters>2322</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 PRES 2015</vt:lpstr>
      <vt:lpstr>LV PRES 2015</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Kikste</dc:creator>
  <cp:lastModifiedBy>Sintija Lace</cp:lastModifiedBy>
  <cp:revision>4</cp:revision>
  <cp:lastPrinted>2014-11-10T12:09:00Z</cp:lastPrinted>
  <dcterms:created xsi:type="dcterms:W3CDTF">2014-12-08T09:39:00Z</dcterms:created>
  <dcterms:modified xsi:type="dcterms:W3CDTF">2014-12-08T09:46:00Z</dcterms:modified>
</cp:coreProperties>
</file>