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5" w:rsidRPr="00BC2D2B" w:rsidRDefault="00E77C85" w:rsidP="00C50D09">
      <w:pPr>
        <w:pStyle w:val="Title"/>
        <w:rPr>
          <w:sz w:val="28"/>
          <w:szCs w:val="28"/>
        </w:rPr>
      </w:pPr>
      <w:r w:rsidRPr="00BC2D2B">
        <w:rPr>
          <w:sz w:val="28"/>
          <w:szCs w:val="28"/>
        </w:rPr>
        <w:t>Likumprojekta</w:t>
      </w:r>
    </w:p>
    <w:p w:rsidR="005C71B5" w:rsidRPr="00BC2D2B" w:rsidRDefault="002922E6" w:rsidP="008F1313">
      <w:pPr>
        <w:jc w:val="center"/>
        <w:rPr>
          <w:b/>
          <w:sz w:val="28"/>
          <w:szCs w:val="28"/>
          <w:lang w:eastAsia="zh-CN"/>
        </w:rPr>
      </w:pPr>
      <w:r w:rsidRPr="00BC2D2B">
        <w:rPr>
          <w:b/>
          <w:sz w:val="28"/>
          <w:szCs w:val="28"/>
        </w:rPr>
        <w:t>„</w:t>
      </w:r>
      <w:r w:rsidR="008F1313" w:rsidRPr="00474FA1">
        <w:rPr>
          <w:b/>
          <w:sz w:val="28"/>
          <w:szCs w:val="28"/>
        </w:rPr>
        <w:t xml:space="preserve">Par Asociācijas nolīgumu starp Eiropas Savienību, Eiropas Atomenerģijas kopienu un to dalībvalstīm, no vienas puses, un </w:t>
      </w:r>
      <w:r w:rsidR="00531C96">
        <w:rPr>
          <w:b/>
          <w:sz w:val="28"/>
          <w:szCs w:val="28"/>
        </w:rPr>
        <w:t>Ukrainu</w:t>
      </w:r>
      <w:r w:rsidR="008F1313" w:rsidRPr="00474FA1">
        <w:rPr>
          <w:b/>
          <w:sz w:val="28"/>
          <w:szCs w:val="28"/>
        </w:rPr>
        <w:t>, no otras puses</w:t>
      </w:r>
      <w:r w:rsidR="003C64B3" w:rsidRPr="00BC2D2B">
        <w:rPr>
          <w:b/>
          <w:sz w:val="28"/>
          <w:szCs w:val="28"/>
        </w:rPr>
        <w:t>”</w:t>
      </w:r>
      <w:r w:rsidR="00321672" w:rsidRPr="00BC2D2B">
        <w:rPr>
          <w:b/>
          <w:sz w:val="28"/>
          <w:szCs w:val="28"/>
        </w:rPr>
        <w:t xml:space="preserve"> sākotnējās ietekmes novērtējuma ziņojums </w:t>
      </w:r>
      <w:r w:rsidR="005C71B5" w:rsidRPr="00BC2D2B">
        <w:rPr>
          <w:b/>
          <w:sz w:val="28"/>
          <w:szCs w:val="28"/>
        </w:rPr>
        <w:t>(anotācija)</w:t>
      </w:r>
    </w:p>
    <w:p w:rsidR="0066148A" w:rsidRPr="00C50D09" w:rsidRDefault="0066148A" w:rsidP="00200870">
      <w:pPr>
        <w:rPr>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27"/>
        <w:gridCol w:w="6104"/>
      </w:tblGrid>
      <w:tr w:rsidR="00F17343" w:rsidRPr="0031204D" w:rsidTr="00F93EFA">
        <w:tc>
          <w:tcPr>
            <w:tcW w:w="0" w:type="auto"/>
            <w:gridSpan w:val="3"/>
            <w:hideMark/>
          </w:tcPr>
          <w:p w:rsidR="00E77C85" w:rsidRPr="0031204D" w:rsidRDefault="00E77C85" w:rsidP="00F93EFA">
            <w:pPr>
              <w:jc w:val="center"/>
              <w:rPr>
                <w:lang w:eastAsia="lv-LV"/>
              </w:rPr>
            </w:pPr>
            <w:r w:rsidRPr="0031204D">
              <w:rPr>
                <w:b/>
                <w:bCs/>
                <w:lang w:eastAsia="lv-LV"/>
              </w:rPr>
              <w:t>I. Tiesību akta projekta izstrādes nepieciešamība</w:t>
            </w:r>
          </w:p>
        </w:tc>
      </w:tr>
      <w:tr w:rsidR="00F17343" w:rsidRPr="0031204D" w:rsidTr="00F93EFA">
        <w:trPr>
          <w:trHeight w:val="630"/>
        </w:trPr>
        <w:tc>
          <w:tcPr>
            <w:tcW w:w="0" w:type="auto"/>
            <w:hideMark/>
          </w:tcPr>
          <w:p w:rsidR="00E77C85" w:rsidRPr="0031204D" w:rsidRDefault="00E77C85" w:rsidP="00C50D09">
            <w:pPr>
              <w:rPr>
                <w:lang w:eastAsia="lv-LV"/>
              </w:rPr>
            </w:pPr>
            <w:r w:rsidRPr="0031204D">
              <w:rPr>
                <w:lang w:eastAsia="lv-LV"/>
              </w:rPr>
              <w:t> 1.</w:t>
            </w:r>
          </w:p>
        </w:tc>
        <w:tc>
          <w:tcPr>
            <w:tcW w:w="0" w:type="auto"/>
            <w:hideMark/>
          </w:tcPr>
          <w:p w:rsidR="00E77C85" w:rsidRPr="0031204D" w:rsidRDefault="00E77C85" w:rsidP="00C50D09">
            <w:pPr>
              <w:rPr>
                <w:lang w:eastAsia="lv-LV"/>
              </w:rPr>
            </w:pPr>
            <w:r w:rsidRPr="0031204D">
              <w:rPr>
                <w:lang w:eastAsia="lv-LV"/>
              </w:rPr>
              <w:t>Pamatojums</w:t>
            </w:r>
          </w:p>
        </w:tc>
        <w:tc>
          <w:tcPr>
            <w:tcW w:w="0" w:type="auto"/>
            <w:hideMark/>
          </w:tcPr>
          <w:p w:rsidR="00200055" w:rsidRDefault="00200055" w:rsidP="00200055">
            <w:pPr>
              <w:spacing w:before="120" w:after="120"/>
              <w:jc w:val="both"/>
            </w:pPr>
            <w:r w:rsidRPr="00DF117F">
              <w:t>Likumprojekts izstrādāts, lai</w:t>
            </w:r>
            <w:r>
              <w:t xml:space="preserve"> saskaņā ar </w:t>
            </w:r>
            <w:r w:rsidRPr="002838C7">
              <w:t>likuma "Par Latvijas Republikas starptautiskajiem līgumiem" 9.pantu</w:t>
            </w:r>
            <w:r>
              <w:t xml:space="preserve"> </w:t>
            </w:r>
            <w:r w:rsidRPr="00DF117F">
              <w:t xml:space="preserve">apstiprinātu </w:t>
            </w:r>
            <w:r>
              <w:t xml:space="preserve"> </w:t>
            </w:r>
            <w:r w:rsidRPr="00DF117F">
              <w:t xml:space="preserve">Asociācijas nolīgumu starp Eiropas Savienību, Eiropas Atomenerģijas kopienu un to dalībvalstīm, no vienas puses, un </w:t>
            </w:r>
            <w:r w:rsidR="00DE360B">
              <w:t>Ukrainu</w:t>
            </w:r>
            <w:r w:rsidRPr="00DF117F">
              <w:t>, no otras puses (turpmāk – Nolīgums</w:t>
            </w:r>
            <w:r>
              <w:t>).</w:t>
            </w:r>
          </w:p>
          <w:p w:rsidR="00580942" w:rsidRPr="00D8287D" w:rsidRDefault="00C63C72" w:rsidP="00492744">
            <w:pPr>
              <w:spacing w:before="120" w:after="120"/>
              <w:jc w:val="both"/>
            </w:pPr>
            <w:r w:rsidRPr="00D8287D">
              <w:t xml:space="preserve">Nolīguma noslēgšana sekmēs </w:t>
            </w:r>
            <w:r w:rsidR="00DE360B">
              <w:t>Ukrainas</w:t>
            </w:r>
            <w:r w:rsidR="000063EE" w:rsidRPr="00D8287D">
              <w:t xml:space="preserve"> tuvināšanos ar Eiropas Savienību</w:t>
            </w:r>
            <w:r w:rsidR="00474E03">
              <w:t xml:space="preserve"> </w:t>
            </w:r>
            <w:r w:rsidR="00474E03" w:rsidRPr="00D8287D">
              <w:t>(turpmāk - ES)</w:t>
            </w:r>
            <w:r w:rsidR="00474E03">
              <w:t xml:space="preserve"> un </w:t>
            </w:r>
            <w:r w:rsidR="00474E03" w:rsidRPr="00402C75">
              <w:rPr>
                <w:noProof/>
              </w:rPr>
              <w:t>pakāpenisku ekonomisko integrāciju ES iekšējā tirgū</w:t>
            </w:r>
            <w:r w:rsidR="000063EE" w:rsidRPr="00D8287D">
              <w:t xml:space="preserve">, </w:t>
            </w:r>
            <w:r w:rsidR="00371724" w:rsidRPr="00D8287D">
              <w:t>ka</w:t>
            </w:r>
            <w:r w:rsidRPr="00D8287D">
              <w:t xml:space="preserve">s atbilst </w:t>
            </w:r>
            <w:r w:rsidR="003442B1" w:rsidRPr="00D8287D">
              <w:t>Deklarācijas</w:t>
            </w:r>
            <w:r w:rsidR="00934D1A" w:rsidRPr="00D8287D">
              <w:t xml:space="preserve"> par </w:t>
            </w:r>
            <w:r w:rsidR="00540D0C" w:rsidRPr="00D8287D">
              <w:t>Laimdotas Straujumas</w:t>
            </w:r>
            <w:r w:rsidR="00934D1A" w:rsidRPr="00D8287D">
              <w:t xml:space="preserve"> vadītā Ministru </w:t>
            </w:r>
            <w:r w:rsidR="008D58E2" w:rsidRPr="00D8287D">
              <w:t>kabineta iecerēto darbību sadaļ</w:t>
            </w:r>
            <w:r w:rsidR="00371724" w:rsidRPr="00D8287D">
              <w:t>ā</w:t>
            </w:r>
            <w:r w:rsidR="00934D1A" w:rsidRPr="00D8287D">
              <w:t xml:space="preserve"> „</w:t>
            </w:r>
            <w:r w:rsidR="00540D0C" w:rsidRPr="00D8287D">
              <w:t>Ārpolitika”</w:t>
            </w:r>
            <w:r w:rsidR="007D4888" w:rsidRPr="00D8287D">
              <w:t xml:space="preserve"> noteiktajiem</w:t>
            </w:r>
            <w:r w:rsidR="00291C6E" w:rsidRPr="00D8287D">
              <w:t xml:space="preserve"> uzdevumiem: atbalstīt vienotu E</w:t>
            </w:r>
            <w:r w:rsidR="00492744">
              <w:t>S</w:t>
            </w:r>
            <w:r w:rsidR="00291C6E" w:rsidRPr="00D8287D">
              <w:t xml:space="preserve"> ārpolitiku, </w:t>
            </w:r>
            <w:r w:rsidR="00DF117F" w:rsidRPr="00D8287D">
              <w:t>sekmēt valsts konkurētspēju un ilgtspējīgu attīstību, īstenojot efektīvu un vienotu ārējo ekonomisko politiku, aizstāvēt ārējās ekonomiskās intereses tradicionālajās partnervalstīs, īstenot ES attīstības sadarbības mērķus, fokusējoties uz Latvijas ārpolitikas prioritāšu reģioniem, t.sk. Austrumu partnerības valstīm.</w:t>
            </w:r>
          </w:p>
        </w:tc>
      </w:tr>
      <w:tr w:rsidR="00F17343" w:rsidRPr="0031204D" w:rsidTr="00F93EFA">
        <w:trPr>
          <w:trHeight w:val="472"/>
        </w:trPr>
        <w:tc>
          <w:tcPr>
            <w:tcW w:w="0" w:type="auto"/>
            <w:hideMark/>
          </w:tcPr>
          <w:p w:rsidR="00E77C85" w:rsidRPr="0031204D" w:rsidRDefault="0041760B" w:rsidP="00C50D09">
            <w:pPr>
              <w:rPr>
                <w:lang w:eastAsia="lv-LV"/>
              </w:rPr>
            </w:pPr>
            <w:r w:rsidRPr="0031204D">
              <w:rPr>
                <w:lang w:eastAsia="lv-LV"/>
              </w:rPr>
              <w:t> 2.</w:t>
            </w:r>
          </w:p>
        </w:tc>
        <w:tc>
          <w:tcPr>
            <w:tcW w:w="0" w:type="auto"/>
            <w:hideMark/>
          </w:tcPr>
          <w:p w:rsidR="00E77C85" w:rsidRPr="0031204D" w:rsidRDefault="00145C48" w:rsidP="00C50D09">
            <w:pPr>
              <w:rPr>
                <w:lang w:eastAsia="lv-LV"/>
              </w:rPr>
            </w:pPr>
            <w:r w:rsidRPr="0031204D">
              <w:rPr>
                <w:lang w:eastAsia="lv-LV"/>
              </w:rPr>
              <w:t>Pašreizējā situācija un problēmas, kuru risināšanai tiesību akta projekts izstrādāts, tiesiskā regulējuma mērķis un būtība</w:t>
            </w:r>
          </w:p>
        </w:tc>
        <w:tc>
          <w:tcPr>
            <w:tcW w:w="0" w:type="auto"/>
            <w:hideMark/>
          </w:tcPr>
          <w:p w:rsidR="00D552A8" w:rsidRPr="00D552A8" w:rsidRDefault="00D552A8" w:rsidP="00103E03">
            <w:pPr>
              <w:spacing w:after="120"/>
              <w:jc w:val="both"/>
              <w:rPr>
                <w:noProof/>
                <w:color w:val="000000"/>
              </w:rPr>
            </w:pPr>
            <w:r w:rsidRPr="00D552A8">
              <w:rPr>
                <w:noProof/>
                <w:color w:val="000000"/>
              </w:rPr>
              <w:t xml:space="preserve">ES un Ukrainas attiecību pamatā šobrīd ir 1994.gadā parakstītais Partnerības un sadarbības nolīgums, kas stājās spēkā 1998.gadā. </w:t>
            </w:r>
          </w:p>
          <w:p w:rsidR="00D552A8" w:rsidRPr="00D552A8" w:rsidRDefault="00D552A8" w:rsidP="00103E03">
            <w:pPr>
              <w:spacing w:after="120"/>
              <w:jc w:val="both"/>
              <w:rPr>
                <w:noProof/>
                <w:color w:val="000000"/>
              </w:rPr>
            </w:pPr>
            <w:r w:rsidRPr="00D552A8">
              <w:rPr>
                <w:noProof/>
                <w:color w:val="000000"/>
              </w:rPr>
              <w:t>2007.gada martā starp ES un Ukrainu tika uzsāktas sarunas par visaptverošu un padziļinātu Asociācijas nolīgumu. 2008.gada februārī pēc lēmuma par Ukrainas pievienošanos Pasaules Tirdzniecības organizācijai (turpmāk - PTO) ES un Ukraina uzsāka sarunas par padziļinātu un visaptverošu brīvās tirdzniecības zonu (turpmāk - DCFTA</w:t>
            </w:r>
            <w:r>
              <w:rPr>
                <w:rStyle w:val="FootnoteReference"/>
                <w:noProof/>
                <w:color w:val="000000"/>
              </w:rPr>
              <w:footnoteReference w:id="1"/>
            </w:r>
            <w:r w:rsidRPr="00D552A8">
              <w:rPr>
                <w:noProof/>
                <w:color w:val="000000"/>
              </w:rPr>
              <w:t>) kā Asociācijas nolīguma pamatelementu.</w:t>
            </w:r>
          </w:p>
          <w:p w:rsidR="00F2282B" w:rsidRDefault="00D552A8" w:rsidP="00103E03">
            <w:pPr>
              <w:spacing w:after="120"/>
              <w:jc w:val="both"/>
              <w:rPr>
                <w:noProof/>
                <w:color w:val="000000"/>
              </w:rPr>
            </w:pPr>
            <w:r w:rsidRPr="00D552A8">
              <w:rPr>
                <w:noProof/>
                <w:color w:val="000000"/>
              </w:rPr>
              <w:t>2012.gada 30.martā ES un Ukrainas sarunu vadītāji parafēja Asociācijas nolīgumu. 2012.gada 19.jūlijā abu pušu tirdzniecības sarunu vadītāji parafēja nolīguma DCFTA daļu.</w:t>
            </w:r>
          </w:p>
          <w:p w:rsidR="00D552A8" w:rsidRPr="00DE6AD7" w:rsidRDefault="00E5195D" w:rsidP="0094387D">
            <w:pPr>
              <w:spacing w:after="120"/>
              <w:jc w:val="both"/>
            </w:pPr>
            <w:r w:rsidRPr="00E5195D">
              <w:rPr>
                <w:color w:val="000000"/>
              </w:rPr>
              <w:t>2014.gada 21. martā tika parakstīta Nolīguma preambula un trīs sadaļas - I (</w:t>
            </w:r>
            <w:r w:rsidR="0094387D">
              <w:rPr>
                <w:color w:val="000000"/>
              </w:rPr>
              <w:t>V</w:t>
            </w:r>
            <w:r w:rsidR="0094387D">
              <w:t>ispārīgi principi</w:t>
            </w:r>
            <w:r w:rsidRPr="00E5195D">
              <w:rPr>
                <w:color w:val="000000"/>
              </w:rPr>
              <w:t>); II (</w:t>
            </w:r>
            <w:r w:rsidR="0094387D">
              <w:rPr>
                <w:color w:val="000000"/>
              </w:rPr>
              <w:t>P</w:t>
            </w:r>
            <w:r w:rsidR="0094387D">
              <w:t>olitiskais dialogs un reformas, politiskā asociācija, sadarbība un konverģence ārējās un drošības politikas jomā</w:t>
            </w:r>
            <w:r w:rsidRPr="00E5195D">
              <w:rPr>
                <w:color w:val="000000"/>
              </w:rPr>
              <w:t>); VII (</w:t>
            </w:r>
            <w:r w:rsidR="0094387D">
              <w:rPr>
                <w:color w:val="000000"/>
              </w:rPr>
              <w:t>I</w:t>
            </w:r>
            <w:r w:rsidR="0094387D">
              <w:t>nstitucionāli, vispārīgi un nobeiguma noteikumi</w:t>
            </w:r>
            <w:r w:rsidRPr="00E5195D">
              <w:rPr>
                <w:color w:val="000000"/>
              </w:rPr>
              <w:t>). 2014.gada 27.jūnijā tika parakstītas pārējās Nolīguma sadaļas: III (</w:t>
            </w:r>
            <w:r w:rsidR="0094387D">
              <w:rPr>
                <w:color w:val="000000"/>
              </w:rPr>
              <w:t>T</w:t>
            </w:r>
            <w:r w:rsidR="0094387D">
              <w:t>ieslietas, brīvība un drošība</w:t>
            </w:r>
            <w:r w:rsidRPr="00E5195D">
              <w:rPr>
                <w:color w:val="000000"/>
              </w:rPr>
              <w:t>); IV (</w:t>
            </w:r>
            <w:r w:rsidR="00026916">
              <w:rPr>
                <w:color w:val="000000"/>
              </w:rPr>
              <w:t>T</w:t>
            </w:r>
            <w:r w:rsidR="00026916">
              <w:t>irdzniecība un ar tirdzniecību saistīti jautājumi</w:t>
            </w:r>
            <w:r w:rsidRPr="00E5195D">
              <w:rPr>
                <w:color w:val="000000"/>
              </w:rPr>
              <w:t>); V (</w:t>
            </w:r>
            <w:r w:rsidR="0094387D">
              <w:rPr>
                <w:color w:val="000000"/>
              </w:rPr>
              <w:t>E</w:t>
            </w:r>
            <w:r w:rsidR="0094387D">
              <w:t>konomiskā un nozaru sadarbība</w:t>
            </w:r>
            <w:r w:rsidRPr="00E5195D">
              <w:rPr>
                <w:color w:val="000000"/>
              </w:rPr>
              <w:t>); VI (</w:t>
            </w:r>
            <w:r w:rsidR="0094387D">
              <w:rPr>
                <w:color w:val="000000"/>
              </w:rPr>
              <w:t>S</w:t>
            </w:r>
            <w:r w:rsidR="0094387D">
              <w:t xml:space="preserve">adarbība finanšu jomā un krāpšanas novēršanas </w:t>
            </w:r>
            <w:r w:rsidR="0094387D">
              <w:lastRenderedPageBreak/>
              <w:t>noteikumi</w:t>
            </w:r>
            <w:r w:rsidRPr="00E5195D">
              <w:rPr>
                <w:color w:val="000000"/>
              </w:rPr>
              <w:t>).</w:t>
            </w:r>
          </w:p>
          <w:p w:rsidR="00103E03" w:rsidRDefault="00103E03" w:rsidP="00836A25">
            <w:pPr>
              <w:autoSpaceDE w:val="0"/>
              <w:autoSpaceDN w:val="0"/>
              <w:adjustRightInd w:val="0"/>
              <w:spacing w:after="120"/>
              <w:ind w:right="148"/>
              <w:jc w:val="both"/>
              <w:rPr>
                <w:rFonts w:ascii="TimesNewRoman" w:hAnsi="TimesNewRoman" w:cs="TimesNewRoman"/>
              </w:rPr>
            </w:pPr>
            <w:r w:rsidRPr="00DE6AD7">
              <w:rPr>
                <w:rFonts w:ascii="TimesNewRoman" w:hAnsi="TimesNewRoman" w:cs="TimesNewRoman"/>
              </w:rPr>
              <w:t xml:space="preserve">Nolīgums paredz izveidot asociāciju starp ES un tās dalībvalstīm, no vienas puses, un Ukrainu, no otras puses. </w:t>
            </w:r>
            <w:r>
              <w:rPr>
                <w:rFonts w:ascii="TimesNewRoman" w:hAnsi="TimesNewRoman" w:cs="TimesNewRoman"/>
              </w:rPr>
              <w:t>Nolīguma</w:t>
            </w:r>
            <w:r w:rsidRPr="00DE6AD7">
              <w:rPr>
                <w:rFonts w:ascii="TimesNewRoman" w:hAnsi="TimesNewRoman" w:cs="TimesNewRoman"/>
              </w:rPr>
              <w:t xml:space="preserve"> mērķis ir ES un Ukrainas politisk</w:t>
            </w:r>
            <w:r>
              <w:rPr>
                <w:rFonts w:ascii="TimesNewRoman" w:hAnsi="TimesNewRoman" w:cs="TimesNewRoman"/>
              </w:rPr>
              <w:t>ā</w:t>
            </w:r>
            <w:r w:rsidRPr="00DE6AD7">
              <w:rPr>
                <w:rFonts w:ascii="TimesNewRoman" w:hAnsi="TimesNewRoman" w:cs="TimesNewRoman"/>
              </w:rPr>
              <w:t xml:space="preserve"> asociācija un ekonomikas integrācija, </w:t>
            </w:r>
            <w:r>
              <w:rPr>
                <w:rFonts w:ascii="TimesNewRoman" w:hAnsi="TimesNewRoman" w:cs="TimesNewRoman"/>
              </w:rPr>
              <w:t>vienlaikus pieļaujot, ka nākotnē attiecības var</w:t>
            </w:r>
            <w:r w:rsidRPr="00DE6AD7">
              <w:rPr>
                <w:rFonts w:ascii="TimesNewRoman" w:hAnsi="TimesNewRoman" w:cs="TimesNewRoman"/>
              </w:rPr>
              <w:t xml:space="preserve"> progres</w:t>
            </w:r>
            <w:r>
              <w:rPr>
                <w:rFonts w:ascii="TimesNewRoman" w:hAnsi="TimesNewRoman" w:cs="TimesNewRoman"/>
              </w:rPr>
              <w:t xml:space="preserve">ēt un padziļināties. </w:t>
            </w:r>
          </w:p>
          <w:p w:rsidR="00103E03" w:rsidRDefault="00103E03" w:rsidP="00836A25">
            <w:pPr>
              <w:autoSpaceDE w:val="0"/>
              <w:autoSpaceDN w:val="0"/>
              <w:adjustRightInd w:val="0"/>
              <w:spacing w:after="120"/>
              <w:ind w:right="148"/>
              <w:jc w:val="both"/>
              <w:rPr>
                <w:rFonts w:ascii="TimesNewRoman" w:hAnsi="TimesNewRoman" w:cs="TimesNewRoman"/>
              </w:rPr>
            </w:pPr>
            <w:r w:rsidRPr="00DE6AD7">
              <w:rPr>
                <w:rFonts w:ascii="TimesNewRoman" w:hAnsi="TimesNewRoman" w:cs="TimesNewRoman"/>
              </w:rPr>
              <w:t xml:space="preserve">Asociācijas vispārējie mērķi ir vērsti uz pakāpeniskas tuvināšanās veicināšanu starp pusēm, pamatojoties uz kopīgām vērtībām; pastiprinātu politiskā dialoga īstenošanu; miera un stabilitātes veicināšanu, saglabāšanu un stiprināšanu reģionālā un starptautiskā līmenī; apstākļu </w:t>
            </w:r>
            <w:r>
              <w:rPr>
                <w:rFonts w:ascii="TimesNewRoman" w:hAnsi="TimesNewRoman" w:cs="TimesNewRoman"/>
              </w:rPr>
              <w:t>nodrošinā</w:t>
            </w:r>
            <w:r w:rsidRPr="00DE6AD7">
              <w:rPr>
                <w:rFonts w:ascii="TimesNewRoman" w:hAnsi="TimesNewRoman" w:cs="TimesNewRoman"/>
              </w:rPr>
              <w:t>šanu uzlabotām attiecībām ekonomikā un tirdzniecībā, k</w:t>
            </w:r>
            <w:r>
              <w:rPr>
                <w:rFonts w:ascii="TimesNewRoman" w:hAnsi="TimesNewRoman" w:cs="TimesNewRoman"/>
              </w:rPr>
              <w:t>ā</w:t>
            </w:r>
            <w:r w:rsidRPr="00DE6AD7">
              <w:rPr>
                <w:rFonts w:ascii="TimesNewRoman" w:hAnsi="TimesNewRoman" w:cs="TimesNewRoman"/>
              </w:rPr>
              <w:t xml:space="preserve"> rezultātā </w:t>
            </w:r>
            <w:r w:rsidR="00E10551">
              <w:rPr>
                <w:rFonts w:ascii="TimesNewRoman" w:hAnsi="TimesNewRoman" w:cs="TimesNewRoman"/>
              </w:rPr>
              <w:t>noteiktos sektoros Ukrainai pakāpeniski tiks piešķirts ES iekšēja tirgus režīms</w:t>
            </w:r>
            <w:r w:rsidRPr="00DE6AD7">
              <w:rPr>
                <w:rFonts w:ascii="TimesNewRoman" w:hAnsi="TimesNewRoman" w:cs="TimesNewRoman"/>
              </w:rPr>
              <w:t xml:space="preserve">; uzlabotu sadarbību tiesiskuma, brīvības un drošības jomā ar mērķi pastiprināt tiesiskumu un cilvēktiesību un pamatbrīvību ievērošanu, un apstākļu </w:t>
            </w:r>
            <w:r>
              <w:rPr>
                <w:rFonts w:ascii="TimesNewRoman" w:hAnsi="TimesNewRoman" w:cs="TimesNewRoman"/>
              </w:rPr>
              <w:t>radīšanai</w:t>
            </w:r>
            <w:r w:rsidRPr="00DE6AD7">
              <w:rPr>
                <w:rFonts w:ascii="TimesNewRoman" w:hAnsi="TimesNewRoman" w:cs="TimesNewRoman"/>
              </w:rPr>
              <w:t xml:space="preserve"> ciešāka</w:t>
            </w:r>
            <w:r>
              <w:rPr>
                <w:rFonts w:ascii="TimesNewRoman" w:hAnsi="TimesNewRoman" w:cs="TimesNewRoman"/>
              </w:rPr>
              <w:t>s</w:t>
            </w:r>
            <w:r w:rsidRPr="00DE6AD7">
              <w:rPr>
                <w:rFonts w:ascii="TimesNewRoman" w:hAnsi="TimesNewRoman" w:cs="TimesNewRoman"/>
              </w:rPr>
              <w:t xml:space="preserve"> sadarbība</w:t>
            </w:r>
            <w:r>
              <w:rPr>
                <w:rFonts w:ascii="TimesNewRoman" w:hAnsi="TimesNewRoman" w:cs="TimesNewRoman"/>
              </w:rPr>
              <w:t>s veidošanai</w:t>
            </w:r>
            <w:r w:rsidRPr="00DE6AD7">
              <w:rPr>
                <w:rFonts w:ascii="TimesNewRoman" w:hAnsi="TimesNewRoman" w:cs="TimesNewRoman"/>
              </w:rPr>
              <w:t xml:space="preserve"> abpus</w:t>
            </w:r>
            <w:r>
              <w:rPr>
                <w:rFonts w:ascii="TimesNewRoman" w:hAnsi="TimesNewRoman" w:cs="TimesNewRoman"/>
              </w:rPr>
              <w:t>ēji</w:t>
            </w:r>
            <w:r w:rsidRPr="00DE6AD7">
              <w:rPr>
                <w:rFonts w:ascii="TimesNewRoman" w:hAnsi="TimesNewRoman" w:cs="TimesNewRoman"/>
              </w:rPr>
              <w:t xml:space="preserve"> interesējošās jomās. </w:t>
            </w:r>
          </w:p>
          <w:p w:rsidR="00103E03" w:rsidRDefault="00103E03" w:rsidP="00836A25">
            <w:pPr>
              <w:autoSpaceDE w:val="0"/>
              <w:autoSpaceDN w:val="0"/>
              <w:adjustRightInd w:val="0"/>
              <w:spacing w:after="120"/>
              <w:ind w:right="148"/>
              <w:jc w:val="both"/>
              <w:rPr>
                <w:rFonts w:ascii="TimesNewRoman" w:hAnsi="TimesNewRoman" w:cs="TimesNewRoman"/>
              </w:rPr>
            </w:pPr>
            <w:r w:rsidRPr="00DE6AD7">
              <w:rPr>
                <w:rFonts w:ascii="TimesNewRoman" w:hAnsi="TimesNewRoman" w:cs="TimesNewRoman"/>
              </w:rPr>
              <w:t>Nolīgu</w:t>
            </w:r>
            <w:r>
              <w:rPr>
                <w:rFonts w:ascii="TimesNewRoman" w:hAnsi="TimesNewRoman" w:cs="TimesNewRoman"/>
              </w:rPr>
              <w:t>ma vispārējais princips ietver „būtisko elementu”</w:t>
            </w:r>
            <w:r w:rsidRPr="00DE6AD7">
              <w:rPr>
                <w:rFonts w:ascii="TimesNewRoman" w:hAnsi="TimesNewRoman" w:cs="TimesNewRoman"/>
              </w:rPr>
              <w:t xml:space="preserve"> kopumu, kuru pārkāpšana</w:t>
            </w:r>
            <w:r>
              <w:rPr>
                <w:rFonts w:ascii="TimesNewRoman" w:hAnsi="TimesNewRoman" w:cs="TimesNewRoman"/>
              </w:rPr>
              <w:t xml:space="preserve"> no </w:t>
            </w:r>
            <w:r w:rsidRPr="00DE6AD7">
              <w:rPr>
                <w:rFonts w:ascii="TimesNewRoman" w:hAnsi="TimesNewRoman" w:cs="TimesNewRoman"/>
              </w:rPr>
              <w:t>viena</w:t>
            </w:r>
            <w:r>
              <w:rPr>
                <w:rFonts w:ascii="TimesNewRoman" w:hAnsi="TimesNewRoman" w:cs="TimesNewRoman"/>
              </w:rPr>
              <w:t>s</w:t>
            </w:r>
            <w:r w:rsidRPr="00DE6AD7">
              <w:rPr>
                <w:rFonts w:ascii="TimesNewRoman" w:hAnsi="TimesNewRoman" w:cs="TimesNewRoman"/>
              </w:rPr>
              <w:t xml:space="preserve"> no pusēm, var </w:t>
            </w:r>
            <w:r>
              <w:rPr>
                <w:rFonts w:ascii="TimesNewRoman" w:hAnsi="TimesNewRoman" w:cs="TimesNewRoman"/>
              </w:rPr>
              <w:t xml:space="preserve">būt pamats, lai īstenotu </w:t>
            </w:r>
            <w:r w:rsidRPr="00DE6AD7">
              <w:rPr>
                <w:rFonts w:ascii="TimesNewRoman" w:hAnsi="TimesNewRoman" w:cs="TimesNewRoman"/>
              </w:rPr>
              <w:t>īpaš</w:t>
            </w:r>
            <w:r>
              <w:rPr>
                <w:rFonts w:ascii="TimesNewRoman" w:hAnsi="TimesNewRoman" w:cs="TimesNewRoman"/>
              </w:rPr>
              <w:t>us</w:t>
            </w:r>
            <w:r w:rsidRPr="00DE6AD7">
              <w:rPr>
                <w:rFonts w:ascii="TimesNewRoman" w:hAnsi="TimesNewRoman" w:cs="TimesNewRoman"/>
              </w:rPr>
              <w:t xml:space="preserve"> pasākum</w:t>
            </w:r>
            <w:r>
              <w:rPr>
                <w:rFonts w:ascii="TimesNewRoman" w:hAnsi="TimesNewRoman" w:cs="TimesNewRoman"/>
              </w:rPr>
              <w:t>us</w:t>
            </w:r>
            <w:r w:rsidRPr="00DE6AD7">
              <w:rPr>
                <w:rFonts w:ascii="TimesNewRoman" w:hAnsi="TimesNewRoman" w:cs="TimesNewRoman"/>
              </w:rPr>
              <w:t xml:space="preserve">, tostarp tiesību un pienākumu </w:t>
            </w:r>
            <w:r>
              <w:rPr>
                <w:rFonts w:ascii="TimesNewRoman" w:hAnsi="TimesNewRoman" w:cs="TimesNewRoman"/>
              </w:rPr>
              <w:t xml:space="preserve">ierobežošanu un </w:t>
            </w:r>
            <w:r w:rsidRPr="00DE6AD7">
              <w:rPr>
                <w:rFonts w:ascii="TimesNewRoman" w:hAnsi="TimesNewRoman" w:cs="TimesNewRoman"/>
              </w:rPr>
              <w:t>atcelšanu. Šie elementi ir demokrātijas principu, cilvēktiesību un pamatbrīvību ievērošana; tiesiskuma ievērošana; suverenitātes un teritoriālās integritātes, neaizskaramības un neatkarības ievērošanas veicināšana un masu iznīcināšanas ieroču, ar tiem saistītu materiālu un to piegādes līdzekļu izplatīšanas apkarošana.</w:t>
            </w:r>
          </w:p>
          <w:p w:rsidR="00103E03" w:rsidRPr="00DE6AD7" w:rsidRDefault="00103E03" w:rsidP="00836A25">
            <w:pPr>
              <w:autoSpaceDE w:val="0"/>
              <w:autoSpaceDN w:val="0"/>
              <w:adjustRightInd w:val="0"/>
              <w:spacing w:after="120"/>
              <w:ind w:right="148"/>
              <w:jc w:val="both"/>
              <w:rPr>
                <w:rFonts w:ascii="TimesNewRoman" w:hAnsi="TimesNewRoman" w:cs="TimesNewRoman"/>
              </w:rPr>
            </w:pPr>
            <w:r w:rsidRPr="00DE6AD7">
              <w:rPr>
                <w:rFonts w:ascii="TimesNewRoman" w:hAnsi="TimesNewRoman" w:cs="TimesNewRoman"/>
              </w:rPr>
              <w:t>Pārējie nolīguma vispārējie principi ir saistīti ar brīvas tirgus ekonomikas principiem, labu pārvaldību, korupcijas apkarošanu, cīņu pret starpvalstu organizēto noziedzību un terorismu, ilgtspējīgas attīstības veicināšanu un efektīvām daudzpusējām attiecībām.</w:t>
            </w:r>
          </w:p>
          <w:p w:rsidR="00103E03" w:rsidRDefault="00103E03" w:rsidP="00836A25">
            <w:pPr>
              <w:autoSpaceDE w:val="0"/>
              <w:autoSpaceDN w:val="0"/>
              <w:adjustRightInd w:val="0"/>
              <w:spacing w:after="120"/>
              <w:ind w:right="148"/>
              <w:jc w:val="both"/>
              <w:rPr>
                <w:rFonts w:ascii="TimesNewRoman" w:hAnsi="TimesNewRoman" w:cs="TimesNewRoman"/>
              </w:rPr>
            </w:pPr>
            <w:r w:rsidRPr="00DE6AD7">
              <w:rPr>
                <w:rFonts w:ascii="TimesNewRoman" w:hAnsi="TimesNewRoman" w:cs="TimesNewRoman"/>
              </w:rPr>
              <w:t>Ekonomi</w:t>
            </w:r>
            <w:r>
              <w:rPr>
                <w:rFonts w:ascii="TimesNewRoman" w:hAnsi="TimesNewRoman" w:cs="TimesNewRoman"/>
              </w:rPr>
              <w:t>skās sadarbības</w:t>
            </w:r>
            <w:r w:rsidRPr="00DE6AD7">
              <w:rPr>
                <w:rFonts w:ascii="TimesNewRoman" w:hAnsi="TimesNewRoman" w:cs="TimesNewRoman"/>
              </w:rPr>
              <w:t xml:space="preserve"> ciešāka integrācija, </w:t>
            </w:r>
            <w:r>
              <w:rPr>
                <w:rFonts w:ascii="TimesNewRoman" w:hAnsi="TimesNewRoman" w:cs="TimesNewRoman"/>
              </w:rPr>
              <w:t xml:space="preserve">to īstenojot ar </w:t>
            </w:r>
            <w:r w:rsidRPr="00DE6AD7">
              <w:rPr>
                <w:rFonts w:ascii="TimesNewRoman,Italic" w:hAnsi="TimesNewRoman,Italic" w:cs="TimesNewRoman,Italic"/>
                <w:i/>
                <w:iCs/>
              </w:rPr>
              <w:t>DCFTA</w:t>
            </w:r>
            <w:r>
              <w:rPr>
                <w:rFonts w:ascii="TimesNewRoman,Italic" w:hAnsi="TimesNewRoman,Italic" w:cs="TimesNewRoman,Italic"/>
                <w:i/>
                <w:iCs/>
              </w:rPr>
              <w:t xml:space="preserve"> </w:t>
            </w:r>
            <w:r>
              <w:rPr>
                <w:rFonts w:ascii="TimesNewRoman,Italic" w:hAnsi="TimesNewRoman,Italic" w:cs="TimesNewRoman,Italic"/>
                <w:iCs/>
              </w:rPr>
              <w:t>palīdzību</w:t>
            </w:r>
            <w:r w:rsidRPr="00DE6AD7">
              <w:rPr>
                <w:rFonts w:ascii="TimesNewRoman" w:hAnsi="TimesNewRoman" w:cs="TimesNewRoman"/>
              </w:rPr>
              <w:t>, būs spēcīgs stimul</w:t>
            </w:r>
            <w:r>
              <w:rPr>
                <w:rFonts w:ascii="TimesNewRoman" w:hAnsi="TimesNewRoman" w:cs="TimesNewRoman"/>
              </w:rPr>
              <w:t>s Ukrainas ekonomikas izaugsmei</w:t>
            </w:r>
            <w:r w:rsidRPr="00DE6AD7">
              <w:rPr>
                <w:rFonts w:ascii="TimesNewRoman" w:hAnsi="TimesNewRoman" w:cs="TimesNewRoman"/>
              </w:rPr>
              <w:t xml:space="preserve">. </w:t>
            </w:r>
            <w:r w:rsidRPr="00DE6AD7">
              <w:rPr>
                <w:rFonts w:ascii="TimesNewRoman,Italic" w:hAnsi="TimesNewRoman,Italic" w:cs="TimesNewRoman,Italic"/>
                <w:i/>
                <w:iCs/>
              </w:rPr>
              <w:t xml:space="preserve">DCFTA </w:t>
            </w:r>
            <w:r w:rsidRPr="00DE6AD7">
              <w:rPr>
                <w:rFonts w:ascii="TimesNewRoman" w:hAnsi="TimesNewRoman" w:cs="TimesNewRoman"/>
              </w:rPr>
              <w:t xml:space="preserve">kā Asociācijas nolīguma pamatelements radīs uzņēmējdarbības iespējas gan ES, gan Ukrainā, un veicinās </w:t>
            </w:r>
            <w:r>
              <w:rPr>
                <w:rFonts w:ascii="TimesNewRoman" w:hAnsi="TimesNewRoman" w:cs="TimesNewRoman"/>
              </w:rPr>
              <w:t>reālu</w:t>
            </w:r>
            <w:r w:rsidRPr="00DE6AD7">
              <w:rPr>
                <w:rFonts w:ascii="TimesNewRoman" w:hAnsi="TimesNewRoman" w:cs="TimesNewRoman"/>
              </w:rPr>
              <w:t xml:space="preserve"> Ukrainas ekonomikas modernizāciju un integrāciju </w:t>
            </w:r>
            <w:r>
              <w:rPr>
                <w:rFonts w:ascii="TimesNewRoman" w:hAnsi="TimesNewRoman" w:cs="TimesNewRoman"/>
              </w:rPr>
              <w:t xml:space="preserve">ar </w:t>
            </w:r>
            <w:r w:rsidRPr="00DE6AD7">
              <w:rPr>
                <w:rFonts w:ascii="TimesNewRoman" w:hAnsi="TimesNewRoman" w:cs="TimesNewRoman"/>
              </w:rPr>
              <w:t>ES. Šā procesa rezultāt</w:t>
            </w:r>
            <w:r>
              <w:rPr>
                <w:rFonts w:ascii="TimesNewRoman" w:hAnsi="TimesNewRoman" w:cs="TimesNewRoman"/>
              </w:rPr>
              <w:t>ā</w:t>
            </w:r>
            <w:r w:rsidRPr="00DE6AD7">
              <w:rPr>
                <w:rFonts w:ascii="TimesNewRoman" w:hAnsi="TimesNewRoman" w:cs="TimesNewRoman"/>
              </w:rPr>
              <w:t xml:space="preserve"> </w:t>
            </w:r>
            <w:r>
              <w:rPr>
                <w:rFonts w:ascii="TimesNewRoman" w:hAnsi="TimesNewRoman" w:cs="TimesNewRoman"/>
              </w:rPr>
              <w:t>pa</w:t>
            </w:r>
            <w:r w:rsidRPr="00DE6AD7">
              <w:rPr>
                <w:rFonts w:ascii="TimesNewRoman" w:hAnsi="TimesNewRoman" w:cs="TimesNewRoman"/>
              </w:rPr>
              <w:t>augst</w:t>
            </w:r>
            <w:r>
              <w:rPr>
                <w:rFonts w:ascii="TimesNewRoman" w:hAnsi="TimesNewRoman" w:cs="TimesNewRoman"/>
              </w:rPr>
              <w:t>ināsies</w:t>
            </w:r>
            <w:r w:rsidRPr="00DE6AD7">
              <w:rPr>
                <w:rFonts w:ascii="TimesNewRoman" w:hAnsi="TimesNewRoman" w:cs="TimesNewRoman"/>
              </w:rPr>
              <w:t xml:space="preserve"> </w:t>
            </w:r>
            <w:r>
              <w:rPr>
                <w:rFonts w:ascii="TimesNewRoman" w:hAnsi="TimesNewRoman" w:cs="TimesNewRoman"/>
              </w:rPr>
              <w:t>ražošanas</w:t>
            </w:r>
            <w:r w:rsidRPr="00DE6AD7">
              <w:rPr>
                <w:rFonts w:ascii="TimesNewRoman" w:hAnsi="TimesNewRoman" w:cs="TimesNewRoman"/>
              </w:rPr>
              <w:t xml:space="preserve"> </w:t>
            </w:r>
            <w:r>
              <w:rPr>
                <w:rFonts w:ascii="TimesNewRoman" w:hAnsi="TimesNewRoman" w:cs="TimesNewRoman"/>
              </w:rPr>
              <w:t xml:space="preserve">un pakalpojumu jomas </w:t>
            </w:r>
            <w:r w:rsidRPr="00DE6AD7">
              <w:rPr>
                <w:rFonts w:ascii="TimesNewRoman" w:hAnsi="TimesNewRoman" w:cs="TimesNewRoman"/>
              </w:rPr>
              <w:t xml:space="preserve">standarti, </w:t>
            </w:r>
            <w:r>
              <w:rPr>
                <w:rFonts w:ascii="TimesNewRoman" w:hAnsi="TimesNewRoman" w:cs="TimesNewRoman"/>
              </w:rPr>
              <w:t>iedzīvotāji saņems kvalitatīvāku atbalstu</w:t>
            </w:r>
            <w:r w:rsidRPr="00DE6AD7">
              <w:rPr>
                <w:rFonts w:ascii="TimesNewRoman" w:hAnsi="TimesNewRoman" w:cs="TimesNewRoman"/>
              </w:rPr>
              <w:t xml:space="preserve"> un </w:t>
            </w:r>
            <w:r>
              <w:rPr>
                <w:rFonts w:ascii="TimesNewRoman" w:hAnsi="TimesNewRoman" w:cs="TimesNewRoman"/>
              </w:rPr>
              <w:t xml:space="preserve">celsies </w:t>
            </w:r>
            <w:r w:rsidRPr="00DE6AD7">
              <w:rPr>
                <w:rFonts w:ascii="TimesNewRoman" w:hAnsi="TimesNewRoman" w:cs="TimesNewRoman"/>
              </w:rPr>
              <w:t>Ukrainas konkur</w:t>
            </w:r>
            <w:r w:rsidR="006C0EAB">
              <w:rPr>
                <w:rFonts w:ascii="TimesNewRoman" w:hAnsi="TimesNewRoman" w:cs="TimesNewRoman"/>
              </w:rPr>
              <w:t>ēt</w:t>
            </w:r>
            <w:r>
              <w:rPr>
                <w:rFonts w:ascii="TimesNewRoman" w:hAnsi="TimesNewRoman" w:cs="TimesNewRoman"/>
              </w:rPr>
              <w:t>spēja</w:t>
            </w:r>
            <w:r w:rsidRPr="00DE6AD7">
              <w:rPr>
                <w:rFonts w:ascii="TimesNewRoman" w:hAnsi="TimesNewRoman" w:cs="TimesNewRoman"/>
              </w:rPr>
              <w:t xml:space="preserve"> starptautiskajos tirgos.</w:t>
            </w:r>
          </w:p>
          <w:p w:rsidR="00836A25" w:rsidRDefault="00836A25" w:rsidP="00836A25">
            <w:pPr>
              <w:spacing w:after="120"/>
              <w:jc w:val="both"/>
              <w:rPr>
                <w:noProof/>
                <w:color w:val="000000"/>
              </w:rPr>
            </w:pPr>
            <w:r>
              <w:rPr>
                <w:noProof/>
              </w:rPr>
              <w:t xml:space="preserve">Eiropas Savienības un Ukrainas tirdzniecības attiecības ir balstītas uz Pasaules Tirdzniecības organizācijas (turpmāk-PTO) ietvaros izveidoto daudzpusējās tirdzniecības sistēmas līgumtiesisko bāzi. Līdz ar DCFTA apstiprināšanu, Eiropas Komisija  ir sasniegusi sarunu norādēs noteiktos mērķus: </w:t>
            </w:r>
            <w:r w:rsidRPr="007A565A">
              <w:rPr>
                <w:noProof/>
              </w:rPr>
              <w:t xml:space="preserve">atcelt </w:t>
            </w:r>
            <w:r>
              <w:rPr>
                <w:noProof/>
              </w:rPr>
              <w:t xml:space="preserve">preču </w:t>
            </w:r>
            <w:r w:rsidRPr="007A565A">
              <w:rPr>
                <w:noProof/>
              </w:rPr>
              <w:t xml:space="preserve">importa nodokļus faktiski visai tirdzniecībai, </w:t>
            </w:r>
            <w:r w:rsidRPr="007A565A">
              <w:rPr>
                <w:noProof/>
              </w:rPr>
              <w:lastRenderedPageBreak/>
              <w:t>vienlaikus nosakot stingru saistošu satvaru, lai nepieļautu nekādus patvaļīgus pasākumus tirdzniecības ierobežošanai, tostarp eksporta nodokļus un kvantitatīvus eksporta ierobežojumus.</w:t>
            </w:r>
            <w:r w:rsidRPr="007A565A">
              <w:rPr>
                <w:noProof/>
                <w:color w:val="000000"/>
              </w:rPr>
              <w:t xml:space="preserve"> </w:t>
            </w:r>
          </w:p>
          <w:p w:rsidR="00836A25" w:rsidRDefault="00836A25" w:rsidP="00836A25">
            <w:pPr>
              <w:spacing w:after="120"/>
              <w:jc w:val="both"/>
              <w:rPr>
                <w:noProof/>
              </w:rPr>
            </w:pPr>
            <w:r>
              <w:rPr>
                <w:noProof/>
              </w:rPr>
              <w:t>A</w:t>
            </w:r>
            <w:r w:rsidRPr="007A565A">
              <w:rPr>
                <w:noProof/>
              </w:rPr>
              <w:t xml:space="preserve">ttiecībā uz tehniskajiem šķēršļiem tirdzniecībā Ukraina pakāpeniski pielāgos savus tehniskos noteikumus un standartus </w:t>
            </w:r>
            <w:r>
              <w:rPr>
                <w:noProof/>
              </w:rPr>
              <w:t>ES.</w:t>
            </w:r>
            <w:r w:rsidR="00C77901">
              <w:rPr>
                <w:noProof/>
              </w:rPr>
              <w:t xml:space="preserve"> </w:t>
            </w:r>
            <w:r w:rsidRPr="007A565A">
              <w:rPr>
                <w:noProof/>
              </w:rPr>
              <w:t xml:space="preserve">Attiecībā uz uzņēmējdarbību </w:t>
            </w:r>
            <w:r w:rsidRPr="007A565A">
              <w:rPr>
                <w:i/>
                <w:noProof/>
              </w:rPr>
              <w:t>DCFTA</w:t>
            </w:r>
            <w:r>
              <w:rPr>
                <w:i/>
                <w:noProof/>
              </w:rPr>
              <w:t xml:space="preserve">, </w:t>
            </w:r>
            <w:r w:rsidRPr="00060372">
              <w:rPr>
                <w:noProof/>
              </w:rPr>
              <w:t>ar nelielām atrunām</w:t>
            </w:r>
            <w:r>
              <w:rPr>
                <w:i/>
                <w:noProof/>
              </w:rPr>
              <w:t>,</w:t>
            </w:r>
            <w:r w:rsidRPr="007A565A">
              <w:rPr>
                <w:noProof/>
              </w:rPr>
              <w:t xml:space="preserve"> nodrošina </w:t>
            </w:r>
            <w:r>
              <w:rPr>
                <w:noProof/>
              </w:rPr>
              <w:t xml:space="preserve">nacionālo </w:t>
            </w:r>
            <w:r w:rsidRPr="007A565A">
              <w:rPr>
                <w:noProof/>
              </w:rPr>
              <w:t xml:space="preserve">režīmu un </w:t>
            </w:r>
            <w:r>
              <w:rPr>
                <w:noProof/>
              </w:rPr>
              <w:t xml:space="preserve">vislielākās labvēlības režīmu uzņēmumiem </w:t>
            </w:r>
            <w:r w:rsidRPr="007A565A">
              <w:rPr>
                <w:noProof/>
              </w:rPr>
              <w:t>un iespēju piekļūt iekšējam tirgum tādās jomās kā finanses, telekomunikācijas, pasta un kurjeru darbība, starpta</w:t>
            </w:r>
            <w:r>
              <w:rPr>
                <w:noProof/>
              </w:rPr>
              <w:t xml:space="preserve">utiskie jūrniecības pakalpojumi. </w:t>
            </w:r>
          </w:p>
          <w:p w:rsidR="00836A25" w:rsidRDefault="00836A25" w:rsidP="00836A25">
            <w:pPr>
              <w:spacing w:after="120"/>
              <w:jc w:val="both"/>
              <w:rPr>
                <w:noProof/>
              </w:rPr>
            </w:pPr>
            <w:r w:rsidRPr="007A565A">
              <w:rPr>
                <w:i/>
                <w:noProof/>
              </w:rPr>
              <w:t>DCFTA</w:t>
            </w:r>
            <w:r w:rsidRPr="007A565A">
              <w:rPr>
                <w:noProof/>
              </w:rPr>
              <w:t xml:space="preserve"> nodrošinās augsta līmeņa aizsardzību visām ES lauksaimniecības produktu ģeogrāfiskās izcelsmes norādēm </w:t>
            </w:r>
            <w:r>
              <w:rPr>
                <w:noProof/>
              </w:rPr>
              <w:t xml:space="preserve">un visiem jaunajiem produktiem. </w:t>
            </w:r>
            <w:r w:rsidRPr="007A565A">
              <w:rPr>
                <w:noProof/>
              </w:rPr>
              <w:t xml:space="preserve">Turklāt </w:t>
            </w:r>
            <w:r w:rsidRPr="007A565A">
              <w:rPr>
                <w:i/>
                <w:noProof/>
              </w:rPr>
              <w:t>DCFTA</w:t>
            </w:r>
            <w:r w:rsidRPr="007A565A">
              <w:rPr>
                <w:noProof/>
              </w:rPr>
              <w:t xml:space="preserve"> ir paredzēti noteikumi par autortiesībām, dizainparaugiem (tostarp </w:t>
            </w:r>
            <w:r>
              <w:rPr>
                <w:noProof/>
              </w:rPr>
              <w:t xml:space="preserve">nereģistrētajiem) un patentiem. </w:t>
            </w:r>
          </w:p>
          <w:p w:rsidR="00836A25" w:rsidRDefault="00836A25" w:rsidP="00836A25">
            <w:pPr>
              <w:spacing w:after="120"/>
              <w:jc w:val="both"/>
              <w:rPr>
                <w:noProof/>
                <w:color w:val="000000"/>
              </w:rPr>
            </w:pPr>
            <w:r w:rsidRPr="007A565A">
              <w:rPr>
                <w:noProof/>
              </w:rPr>
              <w:t>Attiecībā uz publiskā iepirkuma tirgu integrāciju</w:t>
            </w:r>
            <w:r>
              <w:rPr>
                <w:noProof/>
              </w:rPr>
              <w:t>,</w:t>
            </w:r>
            <w:r w:rsidRPr="007A565A">
              <w:rPr>
                <w:noProof/>
              </w:rPr>
              <w:t xml:space="preserve"> piegādātājiem un pakalpojumu sniedzējiem būs abpusēja piek</w:t>
            </w:r>
            <w:r>
              <w:rPr>
                <w:noProof/>
              </w:rPr>
              <w:t>ļuve publiskā iepirkuma tirgiem (izņēmums -</w:t>
            </w:r>
            <w:r w:rsidRPr="007A565A">
              <w:rPr>
                <w:noProof/>
              </w:rPr>
              <w:t xml:space="preserve"> aizsardzības nozare</w:t>
            </w:r>
            <w:r>
              <w:rPr>
                <w:noProof/>
              </w:rPr>
              <w:t>)</w:t>
            </w:r>
            <w:r w:rsidRPr="007A565A">
              <w:rPr>
                <w:noProof/>
              </w:rPr>
              <w:t>.</w:t>
            </w:r>
            <w:r w:rsidRPr="007A565A">
              <w:rPr>
                <w:noProof/>
                <w:color w:val="000000"/>
              </w:rPr>
              <w:t xml:space="preserve"> </w:t>
            </w:r>
          </w:p>
          <w:p w:rsidR="00836A25" w:rsidRPr="0041640C" w:rsidRDefault="00836A25" w:rsidP="0041640C">
            <w:pPr>
              <w:spacing w:after="120"/>
              <w:jc w:val="both"/>
              <w:rPr>
                <w:noProof/>
              </w:rPr>
            </w:pPr>
            <w:r w:rsidRPr="007A565A">
              <w:rPr>
                <w:noProof/>
              </w:rPr>
              <w:t>Īstenojot</w:t>
            </w:r>
            <w:r w:rsidRPr="0041640C">
              <w:rPr>
                <w:noProof/>
              </w:rPr>
              <w:t xml:space="preserve"> DCFTA</w:t>
            </w:r>
            <w:r w:rsidRPr="007A565A">
              <w:rPr>
                <w:noProof/>
              </w:rPr>
              <w:t xml:space="preserve">, Ukraina vairākās jomās saskaņos savus konkurences tiesību aktus un izpildes praksi ar ES </w:t>
            </w:r>
            <w:r w:rsidRPr="0041640C">
              <w:rPr>
                <w:i/>
                <w:noProof/>
              </w:rPr>
              <w:t>acquis</w:t>
            </w:r>
            <w:r w:rsidRPr="007A565A">
              <w:rPr>
                <w:noProof/>
              </w:rPr>
              <w:t>.</w:t>
            </w:r>
            <w:r w:rsidRPr="0041640C">
              <w:rPr>
                <w:noProof/>
              </w:rPr>
              <w:t xml:space="preserve"> </w:t>
            </w:r>
            <w:r>
              <w:rPr>
                <w:noProof/>
              </w:rPr>
              <w:t>Sadaļā</w:t>
            </w:r>
            <w:r w:rsidRPr="007A565A">
              <w:rPr>
                <w:noProof/>
              </w:rPr>
              <w:t xml:space="preserve"> par subsīdijām ietvertas saistības Ukrainas vārdā pieņemt savu valsts atbalsta kontroles sistē</w:t>
            </w:r>
            <w:r>
              <w:rPr>
                <w:noProof/>
              </w:rPr>
              <w:t xml:space="preserve">mu, kas ir līdzīga ES sistēmai. </w:t>
            </w:r>
            <w:r w:rsidRPr="007A565A">
              <w:rPr>
                <w:noProof/>
              </w:rPr>
              <w:t xml:space="preserve">Jautājumos saistībā ar elektroenerģijas tirdzniecību </w:t>
            </w:r>
            <w:r w:rsidRPr="0041640C">
              <w:rPr>
                <w:noProof/>
              </w:rPr>
              <w:t>DCFTA</w:t>
            </w:r>
            <w:r w:rsidRPr="007A565A">
              <w:rPr>
                <w:noProof/>
              </w:rPr>
              <w:t xml:space="preserve"> paredz saistošus noteikumus attiecībā uz cenu noteikšanu, tostarp aizliedzot dubultās cenas uz energoproduktu tranzītu ar mērķi garantēt piegādes drošību, kā arī nediskriminējošu attieksmi pret ieguldījumiem saistībā ar enerģētikas nozari.</w:t>
            </w:r>
          </w:p>
          <w:p w:rsidR="00FF33A0" w:rsidRDefault="00FF33A0" w:rsidP="00836A25">
            <w:pPr>
              <w:spacing w:after="120"/>
              <w:jc w:val="both"/>
            </w:pPr>
            <w:r>
              <w:t>Saskaņā ar nolīguma 486. pantu līdz tā spēkā stāšanās dienai starp Savienību un Ukrainu provizoriski (pagaidu kārtībā), bet tikai tiktāl, ciktāl tas attiecas uz jautājumiem, kas ir Savienības kompetencē, tiek piemērotas</w:t>
            </w:r>
            <w:r>
              <w:rPr>
                <w:rStyle w:val="FootnoteReference"/>
              </w:rPr>
              <w:footnoteReference w:id="2"/>
            </w:r>
            <w:r>
              <w:t xml:space="preserve"> šādas nolīguma daļas:</w:t>
            </w:r>
          </w:p>
          <w:p w:rsidR="00C72383" w:rsidRDefault="00C72383" w:rsidP="00C72383">
            <w:pPr>
              <w:pStyle w:val="ListParagraph"/>
              <w:numPr>
                <w:ilvl w:val="0"/>
                <w:numId w:val="9"/>
              </w:numPr>
              <w:spacing w:after="120"/>
              <w:jc w:val="both"/>
            </w:pPr>
            <w:r>
              <w:t>I sadaļa;</w:t>
            </w:r>
          </w:p>
          <w:p w:rsidR="00C72383" w:rsidRDefault="00C72383" w:rsidP="00C72383">
            <w:pPr>
              <w:pStyle w:val="ListParagraph"/>
              <w:numPr>
                <w:ilvl w:val="0"/>
                <w:numId w:val="9"/>
              </w:numPr>
              <w:spacing w:after="120"/>
              <w:jc w:val="both"/>
            </w:pPr>
            <w:r>
              <w:t>II sadaļas 4., 5. un 6. pants;</w:t>
            </w:r>
          </w:p>
          <w:p w:rsidR="00C72383" w:rsidRDefault="00C72383" w:rsidP="00C72383">
            <w:pPr>
              <w:pStyle w:val="ListParagraph"/>
              <w:numPr>
                <w:ilvl w:val="0"/>
                <w:numId w:val="9"/>
              </w:numPr>
              <w:spacing w:after="120"/>
              <w:jc w:val="both"/>
            </w:pPr>
            <w:r>
              <w:t>III sadaļa: 14. un 19. pants;</w:t>
            </w:r>
          </w:p>
          <w:p w:rsidR="00C72383" w:rsidRDefault="00C72383" w:rsidP="00C72383">
            <w:pPr>
              <w:pStyle w:val="ListParagraph"/>
              <w:numPr>
                <w:ilvl w:val="0"/>
                <w:numId w:val="9"/>
              </w:numPr>
              <w:spacing w:after="120"/>
              <w:jc w:val="both"/>
            </w:pPr>
            <w:r>
              <w:t xml:space="preserve">IV sadaļa (izņemot 158. pantu, ciktāl minētais pants attiecas uz intelektuālā īpašuma tiesību krimināltiesisko aizsardzību, un izņemot 285. un 286. pantu, ciktāl minētie panti attiecas uz administratīvo tiesvedību, pārskatīšanu un pārsūdzību dalībvalsts līmenī). 279. panta provizoriska piemērošana neietekmē dalībvalstu suverēnās tiesības attiecībā uz to ogļūdeņraža resursiem saskaņā ar starptautiskajām </w:t>
            </w:r>
            <w:r>
              <w:lastRenderedPageBreak/>
              <w:t>tiesībām, tostarp to Apvienoto Nāciju Organizācijas 1982. gada Jūras tiesību konvencijas pušu tiesības un pienākumus. 280. panta 3. punkta provizoriska piemērošana, ko veic Savienība, neietekmē pastāvošo kompetenču sadalījumu starp Savienību un tās dalībvalstīm attiecībā uz atļaujas piešķiršanu ogļūdeņraža atrašanai, izpētei un ražošanai;</w:t>
            </w:r>
          </w:p>
          <w:p w:rsidR="00C72383" w:rsidRDefault="00C72383" w:rsidP="00C72383">
            <w:pPr>
              <w:pStyle w:val="ListParagraph"/>
              <w:numPr>
                <w:ilvl w:val="0"/>
                <w:numId w:val="9"/>
              </w:numPr>
              <w:spacing w:after="120"/>
              <w:jc w:val="both"/>
            </w:pPr>
            <w:r>
              <w:t>V sadaļa: 1. nodaļa (izņemot 338.panta k punktu, 339. un 342. pantu), 6. nodaļa (izņemot 361. pantu, 362. panta 1. punkta c apakšpunktu, 364. pantu un 365. panta a un c punktu), 7. nodaļa (izņemot 368. panta 3. punktu un 369. panta a un d punktu), 12. un 17. nodaļa (izņemot 404. panta h punktu), 18. nodaļa (izņemot 410. panta b punktu un 411. pantu), 20., 26. un 28. nodaļa, kā arī 353. un 428. pants;</w:t>
            </w:r>
          </w:p>
          <w:p w:rsidR="00C72383" w:rsidRDefault="00C72383" w:rsidP="00C72383">
            <w:pPr>
              <w:pStyle w:val="ListParagraph"/>
              <w:numPr>
                <w:ilvl w:val="0"/>
                <w:numId w:val="9"/>
              </w:numPr>
              <w:spacing w:after="120"/>
              <w:jc w:val="both"/>
            </w:pPr>
            <w:r>
              <w:t>VI sadaļa;</w:t>
            </w:r>
          </w:p>
          <w:p w:rsidR="00C72383" w:rsidRDefault="00C72383" w:rsidP="00C72383">
            <w:pPr>
              <w:pStyle w:val="ListParagraph"/>
              <w:numPr>
                <w:ilvl w:val="0"/>
                <w:numId w:val="9"/>
              </w:numPr>
              <w:spacing w:after="120"/>
              <w:jc w:val="both"/>
            </w:pPr>
            <w:r>
              <w:t xml:space="preserve">VII sadaļa (izņemot 479. panta 1. punktu), ciktāl minētās sadaļas noteikumi aprobežojas ar nolūku nodrošināt šā nolīguma provizorisku piemērošanu; </w:t>
            </w:r>
          </w:p>
          <w:p w:rsidR="00C72383" w:rsidRDefault="00C72383" w:rsidP="00C72383">
            <w:pPr>
              <w:pStyle w:val="ListParagraph"/>
              <w:numPr>
                <w:ilvl w:val="0"/>
                <w:numId w:val="9"/>
              </w:numPr>
              <w:spacing w:after="120"/>
              <w:jc w:val="both"/>
            </w:pPr>
            <w:r>
              <w:t>I līdz XXVI pielikums, XXVII pielikums (izņemot kodoljautājumus), XXVIII līdz XXXVI pielikums (izņemot XXXII pielikuma 3. punktu), XXXVIII līdz XLI pielikums, XLIII un XLIV pielikums, kā arī I līdz III protokols.</w:t>
            </w:r>
          </w:p>
          <w:p w:rsidR="00103E03" w:rsidRPr="00C01495" w:rsidRDefault="00103E03" w:rsidP="00103E03">
            <w:pPr>
              <w:spacing w:after="120"/>
              <w:ind w:right="142"/>
              <w:jc w:val="both"/>
              <w:rPr>
                <w:u w:val="single"/>
                <w:lang w:eastAsia="lv-LV"/>
              </w:rPr>
            </w:pPr>
            <w:r w:rsidRPr="00C01495">
              <w:rPr>
                <w:u w:val="single"/>
                <w:lang w:eastAsia="lv-LV"/>
              </w:rPr>
              <w:t>Latvijas – Ukrainas attiecības</w:t>
            </w:r>
          </w:p>
          <w:p w:rsidR="00103E03" w:rsidRPr="00103E03" w:rsidRDefault="00103E03" w:rsidP="00103E03">
            <w:pPr>
              <w:autoSpaceDE w:val="0"/>
              <w:autoSpaceDN w:val="0"/>
              <w:adjustRightInd w:val="0"/>
              <w:spacing w:after="120"/>
              <w:ind w:right="148"/>
              <w:jc w:val="both"/>
              <w:rPr>
                <w:rFonts w:ascii="TimesNewRoman" w:hAnsi="TimesNewRoman" w:cs="TimesNewRoman"/>
              </w:rPr>
            </w:pPr>
            <w:r w:rsidRPr="00103E03">
              <w:rPr>
                <w:rFonts w:ascii="TimesNewRoman" w:hAnsi="TimesNewRoman" w:cs="TimesNewRoman"/>
              </w:rPr>
              <w:t xml:space="preserve">Latvija attiecības ar Ukrainu veido, pamatojoties uz abpusēji ieinteresētas divpusējās sadarbības principiem, kā arī ņemot vērā Latvijas kā ES un NATO dalībvalsts statusu. Ukraina ir viena no Latvijas nozīmīgākajiem Austrumu Partnerības partneriem. Starp abām valstīm pastāv konstruktīvs politiskais dialogs, attīstīta līgumtiesiskā bāze, kas aptver praktiski visas sadarbības </w:t>
            </w:r>
            <w:r w:rsidR="0040672F">
              <w:rPr>
                <w:rFonts w:ascii="TimesNewRoman" w:hAnsi="TimesNewRoman" w:cs="TimesNewRoman"/>
              </w:rPr>
              <w:t>jomas</w:t>
            </w:r>
            <w:r w:rsidRPr="00103E03">
              <w:rPr>
                <w:rFonts w:ascii="TimesNewRoman" w:hAnsi="TimesNewRoman" w:cs="TimesNewRoman"/>
              </w:rPr>
              <w:t xml:space="preserve">. </w:t>
            </w:r>
          </w:p>
          <w:p w:rsidR="00AB7C40" w:rsidRPr="00D63933" w:rsidRDefault="00103E03" w:rsidP="002F14D1">
            <w:pPr>
              <w:autoSpaceDE w:val="0"/>
              <w:autoSpaceDN w:val="0"/>
              <w:adjustRightInd w:val="0"/>
              <w:spacing w:after="120"/>
              <w:ind w:right="148"/>
              <w:jc w:val="both"/>
              <w:rPr>
                <w:u w:val="single"/>
              </w:rPr>
            </w:pPr>
            <w:r w:rsidRPr="00103E03">
              <w:rPr>
                <w:rFonts w:ascii="TimesNewRoman" w:hAnsi="TimesNewRoman" w:cs="TimesNewRoman"/>
              </w:rPr>
              <w:t>Ekonomiskā sadarbība ir viena no nozīmīgākajām jomām Latvijas un Ukrainas divpusējās attiecībās. Pēc kopējā preču tirdzniecības apgrozījuma 201</w:t>
            </w:r>
            <w:r w:rsidR="00811B99">
              <w:rPr>
                <w:rFonts w:ascii="TimesNewRoman" w:hAnsi="TimesNewRoman" w:cs="TimesNewRoman"/>
              </w:rPr>
              <w:t>3</w:t>
            </w:r>
            <w:r w:rsidRPr="00103E03">
              <w:rPr>
                <w:rFonts w:ascii="TimesNewRoman" w:hAnsi="TimesNewRoman" w:cs="TimesNewRoman"/>
              </w:rPr>
              <w:t xml:space="preserve">.gadā Ukraina ar </w:t>
            </w:r>
            <w:r w:rsidR="00F56D9B" w:rsidRPr="00F56D9B">
              <w:t>221,1</w:t>
            </w:r>
            <w:r w:rsidRPr="00103E03">
              <w:rPr>
                <w:rFonts w:ascii="TimesNewRoman" w:hAnsi="TimesNewRoman" w:cs="TimesNewRoman"/>
              </w:rPr>
              <w:t xml:space="preserve"> milj</w:t>
            </w:r>
            <w:smartTag w:uri="schemas-tilde-lv/tildestengine" w:element="currency2">
              <w:smartTagPr>
                <w:attr w:name="currency_text" w:val="EUR"/>
                <w:attr w:name="currency_value" w:val="."/>
                <w:attr w:name="currency_key" w:val="EUR"/>
                <w:attr w:name="currency_id" w:val="16"/>
              </w:smartTagPr>
              <w:r w:rsidRPr="00103E03">
                <w:rPr>
                  <w:rFonts w:ascii="TimesNewRoman" w:hAnsi="TimesNewRoman" w:cs="TimesNewRoman"/>
                </w:rPr>
                <w:t>. EUR</w:t>
              </w:r>
            </w:smartTag>
            <w:r w:rsidRPr="00103E03">
              <w:rPr>
                <w:rFonts w:ascii="TimesNewRoman" w:hAnsi="TimesNewRoman" w:cs="TimesNewRoman"/>
              </w:rPr>
              <w:t xml:space="preserve"> kopējo tirdzniecības apjomu ieņem 5.vietu Latvijas ārējās tirdzniecības partneru vidū, kas atrodas ārpus ES (1</w:t>
            </w:r>
            <w:r w:rsidR="00F56D9B">
              <w:rPr>
                <w:rFonts w:ascii="TimesNewRoman" w:hAnsi="TimesNewRoman" w:cs="TimesNewRoman"/>
              </w:rPr>
              <w:t>9</w:t>
            </w:r>
            <w:r w:rsidRPr="00103E03">
              <w:rPr>
                <w:rFonts w:ascii="TimesNewRoman" w:hAnsi="TimesNewRoman" w:cs="TimesNewRoman"/>
              </w:rPr>
              <w:t>.vietā Latvijas ārējās tirdzniecības partneru vidū kopumā). Salīdzinājumā ar 201</w:t>
            </w:r>
            <w:r w:rsidR="00F56D9B">
              <w:rPr>
                <w:rFonts w:ascii="TimesNewRoman" w:hAnsi="TimesNewRoman" w:cs="TimesNewRoman"/>
              </w:rPr>
              <w:t>2</w:t>
            </w:r>
            <w:r w:rsidRPr="00103E03">
              <w:rPr>
                <w:rFonts w:ascii="TimesNewRoman" w:hAnsi="TimesNewRoman" w:cs="TimesNewRoman"/>
              </w:rPr>
              <w:t>.gadu Latvijas</w:t>
            </w:r>
            <w:r w:rsidR="00BA4AC8">
              <w:rPr>
                <w:rFonts w:ascii="TimesNewRoman" w:hAnsi="TimesNewRoman" w:cs="TimesNewRoman"/>
              </w:rPr>
              <w:t>-</w:t>
            </w:r>
            <w:r w:rsidRPr="00103E03">
              <w:rPr>
                <w:rFonts w:ascii="TimesNewRoman" w:hAnsi="TimesNewRoman" w:cs="TimesNewRoman"/>
              </w:rPr>
              <w:t xml:space="preserve">Ukrainas kopējais preču tirdzniecības apgrozījums ir </w:t>
            </w:r>
            <w:r w:rsidR="008E0921">
              <w:rPr>
                <w:rFonts w:ascii="TimesNewRoman" w:hAnsi="TimesNewRoman" w:cs="TimesNewRoman"/>
              </w:rPr>
              <w:t>samazinājies</w:t>
            </w:r>
            <w:r w:rsidRPr="00103E03">
              <w:rPr>
                <w:rFonts w:ascii="TimesNewRoman" w:hAnsi="TimesNewRoman" w:cs="TimesNewRoman"/>
              </w:rPr>
              <w:t xml:space="preserve"> par </w:t>
            </w:r>
            <w:r w:rsidR="00F56D9B">
              <w:rPr>
                <w:rFonts w:ascii="TimesNewRoman" w:hAnsi="TimesNewRoman" w:cs="TimesNewRoman"/>
              </w:rPr>
              <w:t>18</w:t>
            </w:r>
            <w:r w:rsidRPr="00103E03">
              <w:rPr>
                <w:rFonts w:ascii="TimesNewRoman" w:hAnsi="TimesNewRoman" w:cs="TimesNewRoman"/>
              </w:rPr>
              <w:t>,</w:t>
            </w:r>
            <w:r w:rsidR="00F56D9B">
              <w:rPr>
                <w:rFonts w:ascii="TimesNewRoman" w:hAnsi="TimesNewRoman" w:cs="TimesNewRoman"/>
              </w:rPr>
              <w:t>8</w:t>
            </w:r>
            <w:r w:rsidRPr="00103E03">
              <w:rPr>
                <w:rFonts w:ascii="TimesNewRoman" w:hAnsi="TimesNewRoman" w:cs="TimesNewRoman"/>
              </w:rPr>
              <w:t>% jeb 5</w:t>
            </w:r>
            <w:r w:rsidR="00F56D9B">
              <w:rPr>
                <w:rFonts w:ascii="TimesNewRoman" w:hAnsi="TimesNewRoman" w:cs="TimesNewRoman"/>
              </w:rPr>
              <w:t>1</w:t>
            </w:r>
            <w:r w:rsidRPr="00103E03">
              <w:rPr>
                <w:rFonts w:ascii="TimesNewRoman" w:hAnsi="TimesNewRoman" w:cs="TimesNewRoman"/>
              </w:rPr>
              <w:t>,</w:t>
            </w:r>
            <w:r w:rsidR="00F56D9B">
              <w:rPr>
                <w:rFonts w:ascii="TimesNewRoman" w:hAnsi="TimesNewRoman" w:cs="TimesNewRoman"/>
              </w:rPr>
              <w:t>1</w:t>
            </w:r>
            <w:r w:rsidRPr="00103E03">
              <w:rPr>
                <w:rFonts w:ascii="TimesNewRoman" w:hAnsi="TimesNewRoman" w:cs="TimesNewRoman"/>
              </w:rPr>
              <w:t xml:space="preserve"> milj</w:t>
            </w:r>
            <w:smartTag w:uri="schemas-tilde-lv/tildestengine" w:element="currency2">
              <w:smartTagPr>
                <w:attr w:name="currency_text" w:val="EUR"/>
                <w:attr w:name="currency_value" w:val="."/>
                <w:attr w:name="currency_key" w:val="EUR"/>
                <w:attr w:name="currency_id" w:val="16"/>
              </w:smartTagPr>
              <w:r w:rsidRPr="00103E03">
                <w:rPr>
                  <w:rFonts w:ascii="TimesNewRoman" w:hAnsi="TimesNewRoman" w:cs="TimesNewRoman"/>
                </w:rPr>
                <w:t>. EUR</w:t>
              </w:r>
            </w:smartTag>
            <w:r w:rsidRPr="00103E03">
              <w:rPr>
                <w:rFonts w:ascii="TimesNewRoman" w:hAnsi="TimesNewRoman" w:cs="TimesNewRoman"/>
              </w:rPr>
              <w:t xml:space="preserve">. </w:t>
            </w:r>
          </w:p>
        </w:tc>
      </w:tr>
      <w:tr w:rsidR="00F17343" w:rsidRPr="0031204D" w:rsidTr="00934D1A">
        <w:trPr>
          <w:trHeight w:val="289"/>
        </w:trPr>
        <w:tc>
          <w:tcPr>
            <w:tcW w:w="0" w:type="auto"/>
            <w:hideMark/>
          </w:tcPr>
          <w:p w:rsidR="00E77C85" w:rsidRPr="0031204D" w:rsidRDefault="0041760B" w:rsidP="00145C48">
            <w:pPr>
              <w:rPr>
                <w:lang w:eastAsia="lv-LV"/>
              </w:rPr>
            </w:pPr>
            <w:r w:rsidRPr="0031204D">
              <w:rPr>
                <w:lang w:eastAsia="lv-LV"/>
              </w:rPr>
              <w:lastRenderedPageBreak/>
              <w:t> </w:t>
            </w:r>
            <w:r w:rsidR="00145C48" w:rsidRPr="0031204D">
              <w:rPr>
                <w:lang w:eastAsia="lv-LV"/>
              </w:rPr>
              <w:t>3</w:t>
            </w:r>
            <w:r w:rsidRPr="0031204D">
              <w:rPr>
                <w:lang w:eastAsia="lv-LV"/>
              </w:rPr>
              <w:t>.</w:t>
            </w:r>
          </w:p>
        </w:tc>
        <w:tc>
          <w:tcPr>
            <w:tcW w:w="0" w:type="auto"/>
            <w:hideMark/>
          </w:tcPr>
          <w:p w:rsidR="00D82F66" w:rsidRPr="0031204D" w:rsidRDefault="0041760B" w:rsidP="00934D1A">
            <w:pPr>
              <w:rPr>
                <w:lang w:eastAsia="lv-LV"/>
              </w:rPr>
            </w:pPr>
            <w:r w:rsidRPr="0031204D">
              <w:rPr>
                <w:lang w:eastAsia="lv-LV"/>
              </w:rPr>
              <w:t>Projekta izstrādē iesaistītās institūcijas</w:t>
            </w:r>
          </w:p>
        </w:tc>
        <w:tc>
          <w:tcPr>
            <w:tcW w:w="0" w:type="auto"/>
            <w:hideMark/>
          </w:tcPr>
          <w:p w:rsidR="00E77C85" w:rsidRPr="00A75B17" w:rsidRDefault="006C0EAB" w:rsidP="007B79E1">
            <w:pPr>
              <w:spacing w:before="120" w:after="120"/>
              <w:jc w:val="both"/>
              <w:rPr>
                <w:highlight w:val="yellow"/>
                <w:lang w:eastAsia="lv-LV"/>
              </w:rPr>
            </w:pPr>
            <w:r>
              <w:rPr>
                <w:color w:val="000000"/>
                <w:lang w:eastAsia="lv-LV"/>
              </w:rPr>
              <w:t xml:space="preserve">Likumprojektu ir izstrādājusi </w:t>
            </w:r>
            <w:r w:rsidRPr="00C01495">
              <w:rPr>
                <w:color w:val="000000"/>
                <w:lang w:eastAsia="lv-LV"/>
              </w:rPr>
              <w:t xml:space="preserve">Ārlietu </w:t>
            </w:r>
            <w:r w:rsidRPr="00C01495">
              <w:rPr>
                <w:iCs/>
                <w:color w:val="000000"/>
                <w:lang w:eastAsia="lv-LV"/>
              </w:rPr>
              <w:t>ministrija.</w:t>
            </w:r>
          </w:p>
        </w:tc>
      </w:tr>
      <w:tr w:rsidR="00D92292" w:rsidRPr="0031204D" w:rsidTr="00F93EFA">
        <w:tc>
          <w:tcPr>
            <w:tcW w:w="0" w:type="auto"/>
            <w:hideMark/>
          </w:tcPr>
          <w:p w:rsidR="00D92292" w:rsidRPr="0031204D" w:rsidRDefault="00D92292" w:rsidP="00145C48">
            <w:pPr>
              <w:rPr>
                <w:lang w:eastAsia="lv-LV"/>
              </w:rPr>
            </w:pPr>
            <w:r w:rsidRPr="0031204D">
              <w:rPr>
                <w:lang w:eastAsia="lv-LV"/>
              </w:rPr>
              <w:t> </w:t>
            </w:r>
            <w:r w:rsidR="00145C48" w:rsidRPr="0031204D">
              <w:rPr>
                <w:lang w:eastAsia="lv-LV"/>
              </w:rPr>
              <w:t>4</w:t>
            </w:r>
            <w:r w:rsidRPr="0031204D">
              <w:rPr>
                <w:lang w:eastAsia="lv-LV"/>
              </w:rPr>
              <w:t>.</w:t>
            </w:r>
          </w:p>
        </w:tc>
        <w:tc>
          <w:tcPr>
            <w:tcW w:w="0" w:type="auto"/>
            <w:hideMark/>
          </w:tcPr>
          <w:p w:rsidR="00D92292" w:rsidRPr="007B79E1" w:rsidRDefault="00D92292" w:rsidP="00C50D09">
            <w:pPr>
              <w:rPr>
                <w:lang w:eastAsia="lv-LV"/>
              </w:rPr>
            </w:pPr>
            <w:r w:rsidRPr="007B79E1">
              <w:rPr>
                <w:lang w:eastAsia="lv-LV"/>
              </w:rPr>
              <w:t>Cita informācija</w:t>
            </w:r>
          </w:p>
        </w:tc>
        <w:tc>
          <w:tcPr>
            <w:tcW w:w="0" w:type="auto"/>
            <w:hideMark/>
          </w:tcPr>
          <w:p w:rsidR="00D92292" w:rsidRPr="007B79E1" w:rsidRDefault="00FF33A0" w:rsidP="009240F5">
            <w:pPr>
              <w:jc w:val="both"/>
              <w:rPr>
                <w:lang w:eastAsia="lv-LV"/>
              </w:rPr>
            </w:pPr>
            <w:r>
              <w:rPr>
                <w:lang w:eastAsia="lv-LV"/>
              </w:rPr>
              <w:t>Nav</w:t>
            </w:r>
          </w:p>
        </w:tc>
      </w:tr>
    </w:tbl>
    <w:p w:rsidR="002A5942" w:rsidRPr="0031204D" w:rsidRDefault="002A5942" w:rsidP="002A59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6"/>
        <w:gridCol w:w="6215"/>
      </w:tblGrid>
      <w:tr w:rsidR="002A5942" w:rsidRPr="0031204D" w:rsidTr="00966893">
        <w:tc>
          <w:tcPr>
            <w:tcW w:w="0" w:type="auto"/>
            <w:gridSpan w:val="3"/>
            <w:hideMark/>
          </w:tcPr>
          <w:p w:rsidR="002A5942" w:rsidRPr="0031204D" w:rsidRDefault="002A5942" w:rsidP="00966893">
            <w:pPr>
              <w:jc w:val="center"/>
              <w:rPr>
                <w:b/>
                <w:lang w:eastAsia="lv-LV"/>
              </w:rPr>
            </w:pPr>
            <w:r w:rsidRPr="0031204D">
              <w:rPr>
                <w:lang w:eastAsia="lv-LV"/>
              </w:rPr>
              <w:t> </w:t>
            </w:r>
            <w:r w:rsidRPr="0031204D">
              <w:rPr>
                <w:b/>
                <w:lang w:eastAsia="lv-LV"/>
              </w:rPr>
              <w:t xml:space="preserve">II. Tiesību akta projekta ietekme uz sabiedrību, </w:t>
            </w:r>
            <w:r w:rsidRPr="0031204D">
              <w:rPr>
                <w:b/>
                <w:bCs/>
                <w:lang w:eastAsia="lv-LV"/>
              </w:rPr>
              <w:t>tautsaimniecības attīstību un administratīvo slogu</w:t>
            </w:r>
          </w:p>
        </w:tc>
      </w:tr>
      <w:tr w:rsidR="007D4888" w:rsidRPr="0031204D" w:rsidTr="00966893">
        <w:trPr>
          <w:trHeight w:val="467"/>
        </w:trPr>
        <w:tc>
          <w:tcPr>
            <w:tcW w:w="0" w:type="auto"/>
            <w:hideMark/>
          </w:tcPr>
          <w:p w:rsidR="002A5942" w:rsidRPr="0031204D" w:rsidRDefault="002A5942" w:rsidP="00966893">
            <w:pPr>
              <w:rPr>
                <w:lang w:eastAsia="lv-LV"/>
              </w:rPr>
            </w:pPr>
            <w:r w:rsidRPr="0031204D">
              <w:rPr>
                <w:lang w:eastAsia="lv-LV"/>
              </w:rPr>
              <w:lastRenderedPageBreak/>
              <w:t> 1.</w:t>
            </w:r>
          </w:p>
        </w:tc>
        <w:tc>
          <w:tcPr>
            <w:tcW w:w="0" w:type="auto"/>
            <w:hideMark/>
          </w:tcPr>
          <w:p w:rsidR="002A5942" w:rsidRPr="0031204D" w:rsidRDefault="002A5942" w:rsidP="00966893">
            <w:pPr>
              <w:rPr>
                <w:lang w:eastAsia="lv-LV"/>
              </w:rPr>
            </w:pPr>
            <w:r w:rsidRPr="0031204D">
              <w:t>Sabiedrības mērķgrupas, kuras tiesiskais regulējums ietekmē vai varētu ietekmēt</w:t>
            </w:r>
          </w:p>
        </w:tc>
        <w:tc>
          <w:tcPr>
            <w:tcW w:w="0" w:type="auto"/>
            <w:hideMark/>
          </w:tcPr>
          <w:p w:rsidR="002A5942" w:rsidRPr="00F370C1" w:rsidRDefault="00EC6E04" w:rsidP="006C65D6">
            <w:pPr>
              <w:spacing w:before="120" w:after="120"/>
              <w:jc w:val="both"/>
              <w:rPr>
                <w:highlight w:val="yellow"/>
                <w:lang w:eastAsia="lv-LV"/>
              </w:rPr>
            </w:pPr>
            <w:r>
              <w:rPr>
                <w:color w:val="000000"/>
              </w:rPr>
              <w:t>Nolīgum</w:t>
            </w:r>
            <w:r w:rsidR="006C65D6">
              <w:rPr>
                <w:color w:val="000000"/>
              </w:rPr>
              <w:t>s</w:t>
            </w:r>
            <w:r>
              <w:rPr>
                <w:color w:val="000000"/>
              </w:rPr>
              <w:t xml:space="preserve"> dos iespēju valsts pārvaldes darbiniekiem, uzņēmējiem, NVO un citiem sabiedrības pārstāvjiem aktīvāk nodot Latvijas pieredzi valsts pārvaldības, biznesa, demokrātijas, likuma varas, cilvēktiesību un citās jomās, lai stiprinātu Eiropas vērtības </w:t>
            </w:r>
            <w:r w:rsidR="00857513">
              <w:rPr>
                <w:color w:val="000000"/>
              </w:rPr>
              <w:t>Ukrainā</w:t>
            </w:r>
            <w:r>
              <w:rPr>
                <w:color w:val="000000"/>
              </w:rPr>
              <w:t xml:space="preserve">.  </w:t>
            </w:r>
            <w:r>
              <w:rPr>
                <w:i/>
                <w:iCs/>
              </w:rPr>
              <w:t>DCFTA</w:t>
            </w:r>
            <w:r>
              <w:rPr>
                <w:rStyle w:val="st"/>
                <w:color w:val="222222"/>
              </w:rPr>
              <w:t xml:space="preserve"> radīs labvēlīgākus apstākļus Latvijas-</w:t>
            </w:r>
            <w:r w:rsidR="00857513">
              <w:rPr>
                <w:rStyle w:val="st"/>
                <w:color w:val="222222"/>
              </w:rPr>
              <w:t>Ukrainas</w:t>
            </w:r>
            <w:r>
              <w:rPr>
                <w:rStyle w:val="st"/>
                <w:color w:val="222222"/>
              </w:rPr>
              <w:t xml:space="preserve"> sadarbībai tirdzniecības un investīciju jomās, tai skaitā Latvijas eksporta pieaugumam un </w:t>
            </w:r>
            <w:r w:rsidR="00857513">
              <w:rPr>
                <w:rStyle w:val="st"/>
                <w:color w:val="222222"/>
              </w:rPr>
              <w:t>Ukrainas</w:t>
            </w:r>
            <w:r>
              <w:rPr>
                <w:rStyle w:val="st"/>
                <w:color w:val="222222"/>
              </w:rPr>
              <w:t xml:space="preserve"> preču ienākšanai Latvijas tirgū.</w:t>
            </w:r>
          </w:p>
        </w:tc>
      </w:tr>
      <w:tr w:rsidR="007D4888" w:rsidRPr="0031204D" w:rsidTr="00966893">
        <w:trPr>
          <w:trHeight w:val="467"/>
        </w:trPr>
        <w:tc>
          <w:tcPr>
            <w:tcW w:w="0" w:type="auto"/>
          </w:tcPr>
          <w:p w:rsidR="002A5942" w:rsidRPr="0031204D" w:rsidRDefault="002A5942" w:rsidP="00966893">
            <w:pPr>
              <w:rPr>
                <w:lang w:eastAsia="lv-LV"/>
              </w:rPr>
            </w:pPr>
            <w:r w:rsidRPr="0031204D">
              <w:rPr>
                <w:lang w:eastAsia="lv-LV"/>
              </w:rPr>
              <w:t>2.</w:t>
            </w:r>
          </w:p>
        </w:tc>
        <w:tc>
          <w:tcPr>
            <w:tcW w:w="0" w:type="auto"/>
          </w:tcPr>
          <w:p w:rsidR="002A5942" w:rsidRPr="0031204D" w:rsidRDefault="002A5942" w:rsidP="00966893">
            <w:r w:rsidRPr="0031204D">
              <w:t>Tiesiskā regulējuma ietekme uz tautsaimniecību un administratīvo slogu</w:t>
            </w:r>
          </w:p>
        </w:tc>
        <w:tc>
          <w:tcPr>
            <w:tcW w:w="0" w:type="auto"/>
          </w:tcPr>
          <w:p w:rsidR="002A5942" w:rsidRPr="007B79E1" w:rsidRDefault="002A5942" w:rsidP="002F14D1">
            <w:pPr>
              <w:spacing w:after="120"/>
              <w:jc w:val="both"/>
              <w:rPr>
                <w:lang w:eastAsia="lv-LV"/>
              </w:rPr>
            </w:pPr>
            <w:r w:rsidRPr="0093373C">
              <w:rPr>
                <w:lang w:eastAsia="lv-LV"/>
              </w:rPr>
              <w:t>N</w:t>
            </w:r>
            <w:r w:rsidRPr="00B4557D">
              <w:rPr>
                <w:color w:val="000000"/>
              </w:rPr>
              <w:t xml:space="preserve">olīgums neradīs papildus administratīvo slogu un tiks īstenots no esošajiem administratīvajiem resursiem. </w:t>
            </w:r>
            <w:bookmarkStart w:id="0" w:name="OLE_LINK1"/>
            <w:bookmarkStart w:id="1" w:name="OLE_LINK2"/>
            <w:r w:rsidR="00B4557D" w:rsidRPr="00B4557D">
              <w:rPr>
                <w:color w:val="000000"/>
              </w:rPr>
              <w:t xml:space="preserve">Sagaidāmā Nolīguma ietekme uz tautsaimniecību un uzņēmējdarbības vidi būs pozitīva, jo Nolīgums paredz </w:t>
            </w:r>
            <w:r w:rsidR="00861FE3">
              <w:rPr>
                <w:color w:val="000000"/>
              </w:rPr>
              <w:t>Ukrainas</w:t>
            </w:r>
            <w:r w:rsidR="00B4557D" w:rsidRPr="00B4557D">
              <w:rPr>
                <w:color w:val="000000"/>
              </w:rPr>
              <w:t xml:space="preserve"> pusei pielāgot </w:t>
            </w:r>
            <w:r w:rsidR="00B4557D">
              <w:rPr>
                <w:color w:val="000000"/>
              </w:rPr>
              <w:t xml:space="preserve">noteikumus un standartus atbilstoši ES iekšējā tirgus prasībām. Līdz ar to Latvijas uzņēmumi darbosies pārredzamas </w:t>
            </w:r>
            <w:r w:rsidR="00B4557D" w:rsidRPr="00B4557D">
              <w:rPr>
                <w:color w:val="000000"/>
              </w:rPr>
              <w:t>uzņēmējdarbības vides apstākļos.</w:t>
            </w:r>
            <w:bookmarkEnd w:id="0"/>
            <w:bookmarkEnd w:id="1"/>
          </w:p>
        </w:tc>
      </w:tr>
      <w:tr w:rsidR="007D4888" w:rsidRPr="0031204D" w:rsidTr="00966893">
        <w:trPr>
          <w:trHeight w:val="531"/>
        </w:trPr>
        <w:tc>
          <w:tcPr>
            <w:tcW w:w="0" w:type="auto"/>
            <w:hideMark/>
          </w:tcPr>
          <w:p w:rsidR="002A5942" w:rsidRPr="0031204D" w:rsidRDefault="002A5942" w:rsidP="00966893">
            <w:pPr>
              <w:rPr>
                <w:lang w:eastAsia="lv-LV"/>
              </w:rPr>
            </w:pPr>
            <w:r w:rsidRPr="0031204D">
              <w:rPr>
                <w:lang w:eastAsia="lv-LV"/>
              </w:rPr>
              <w:t> 3.</w:t>
            </w:r>
          </w:p>
        </w:tc>
        <w:tc>
          <w:tcPr>
            <w:tcW w:w="0" w:type="auto"/>
          </w:tcPr>
          <w:p w:rsidR="002A5942" w:rsidRPr="0031204D" w:rsidRDefault="002A5942" w:rsidP="00966893">
            <w:pPr>
              <w:rPr>
                <w:lang w:eastAsia="lv-LV"/>
              </w:rPr>
            </w:pPr>
            <w:r w:rsidRPr="0031204D">
              <w:rPr>
                <w:lang w:eastAsia="lv-LV"/>
              </w:rPr>
              <w:t>Administratīvo izmaksu monetārs novērtējums</w:t>
            </w:r>
          </w:p>
        </w:tc>
        <w:tc>
          <w:tcPr>
            <w:tcW w:w="0" w:type="auto"/>
            <w:hideMark/>
          </w:tcPr>
          <w:p w:rsidR="002A5942" w:rsidRPr="007B79E1" w:rsidRDefault="002A5942" w:rsidP="00966893">
            <w:pPr>
              <w:spacing w:before="120" w:after="120"/>
              <w:rPr>
                <w:lang w:eastAsia="lv-LV"/>
              </w:rPr>
            </w:pPr>
            <w:r w:rsidRPr="007B79E1">
              <w:rPr>
                <w:lang w:eastAsia="lv-LV"/>
              </w:rPr>
              <w:t>Nav attiecināms</w:t>
            </w:r>
          </w:p>
        </w:tc>
      </w:tr>
      <w:tr w:rsidR="007D4888" w:rsidRPr="0031204D" w:rsidTr="00540E5B">
        <w:trPr>
          <w:trHeight w:val="70"/>
        </w:trPr>
        <w:tc>
          <w:tcPr>
            <w:tcW w:w="0" w:type="auto"/>
            <w:hideMark/>
          </w:tcPr>
          <w:p w:rsidR="002A5942" w:rsidRPr="0031204D" w:rsidRDefault="002A5942" w:rsidP="00966893">
            <w:pPr>
              <w:rPr>
                <w:lang w:eastAsia="lv-LV"/>
              </w:rPr>
            </w:pPr>
            <w:r w:rsidRPr="0031204D">
              <w:rPr>
                <w:lang w:eastAsia="lv-LV"/>
              </w:rPr>
              <w:t> 4.</w:t>
            </w:r>
          </w:p>
        </w:tc>
        <w:tc>
          <w:tcPr>
            <w:tcW w:w="0" w:type="auto"/>
            <w:hideMark/>
          </w:tcPr>
          <w:p w:rsidR="002A5942" w:rsidRPr="0031204D" w:rsidRDefault="002A5942" w:rsidP="00966893">
            <w:pPr>
              <w:rPr>
                <w:lang w:eastAsia="lv-LV"/>
              </w:rPr>
            </w:pPr>
            <w:r w:rsidRPr="0031204D">
              <w:rPr>
                <w:lang w:eastAsia="lv-LV"/>
              </w:rPr>
              <w:t> Cita informācija</w:t>
            </w:r>
          </w:p>
        </w:tc>
        <w:tc>
          <w:tcPr>
            <w:tcW w:w="0" w:type="auto"/>
          </w:tcPr>
          <w:p w:rsidR="002A5942" w:rsidRPr="007B79E1" w:rsidRDefault="00540E5B" w:rsidP="00966893">
            <w:pPr>
              <w:spacing w:before="120" w:after="120"/>
              <w:rPr>
                <w:lang w:eastAsia="lv-LV"/>
              </w:rPr>
            </w:pPr>
            <w:r>
              <w:rPr>
                <w:lang w:eastAsia="lv-LV"/>
              </w:rPr>
              <w:t>Nav</w:t>
            </w:r>
          </w:p>
        </w:tc>
      </w:tr>
    </w:tbl>
    <w:p w:rsidR="00540E5B" w:rsidRDefault="00540E5B" w:rsidP="002A5942">
      <w:pPr>
        <w:rPr>
          <w:i/>
        </w:rPr>
      </w:pPr>
    </w:p>
    <w:p w:rsidR="00540E5B" w:rsidRDefault="00540E5B" w:rsidP="002A5942">
      <w:pPr>
        <w:rPr>
          <w:i/>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3"/>
      </w:tblGrid>
      <w:tr w:rsidR="00540E5B" w:rsidRPr="0031204D" w:rsidTr="00540E5B">
        <w:trPr>
          <w:trHeight w:val="265"/>
        </w:trPr>
        <w:tc>
          <w:tcPr>
            <w:tcW w:w="0" w:type="auto"/>
            <w:hideMark/>
          </w:tcPr>
          <w:p w:rsidR="00540E5B" w:rsidRPr="0031204D" w:rsidRDefault="00540E5B" w:rsidP="00DD6CE6">
            <w:pPr>
              <w:jc w:val="center"/>
              <w:rPr>
                <w:b/>
                <w:lang w:eastAsia="lv-LV"/>
              </w:rPr>
            </w:pPr>
            <w:r w:rsidRPr="0031204D">
              <w:rPr>
                <w:lang w:eastAsia="lv-LV"/>
              </w:rPr>
              <w:t> </w:t>
            </w:r>
            <w:r w:rsidRPr="0031204D">
              <w:rPr>
                <w:b/>
                <w:lang w:eastAsia="lv-LV"/>
              </w:rPr>
              <w:t>II</w:t>
            </w:r>
            <w:r>
              <w:rPr>
                <w:b/>
                <w:lang w:eastAsia="lv-LV"/>
              </w:rPr>
              <w:t>I</w:t>
            </w:r>
            <w:r w:rsidRPr="0031204D">
              <w:rPr>
                <w:b/>
                <w:lang w:eastAsia="lv-LV"/>
              </w:rPr>
              <w:t xml:space="preserve">. </w:t>
            </w:r>
            <w:r w:rsidRPr="0093373C">
              <w:rPr>
                <w:b/>
                <w:bCs/>
                <w:color w:val="414142"/>
              </w:rPr>
              <w:t>Tiesību akta projekta ietekme uz valsts budžetu un pašvaldību budžetiem</w:t>
            </w:r>
          </w:p>
        </w:tc>
      </w:tr>
      <w:tr w:rsidR="00540E5B" w:rsidRPr="00F370C1" w:rsidTr="00540E5B">
        <w:trPr>
          <w:trHeight w:val="458"/>
        </w:trPr>
        <w:tc>
          <w:tcPr>
            <w:tcW w:w="0" w:type="auto"/>
          </w:tcPr>
          <w:p w:rsidR="00540E5B" w:rsidRPr="00F370C1" w:rsidRDefault="00540E5B" w:rsidP="00DD6CE6">
            <w:pPr>
              <w:spacing w:before="120" w:after="120"/>
              <w:jc w:val="both"/>
              <w:rPr>
                <w:highlight w:val="yellow"/>
                <w:lang w:eastAsia="lv-LV"/>
              </w:rPr>
            </w:pPr>
            <w:r w:rsidRPr="00540E5B">
              <w:rPr>
                <w:lang w:eastAsia="lv-LV"/>
              </w:rPr>
              <w:t>Nav precīzi aprēķināma</w:t>
            </w:r>
            <w:r w:rsidR="00DB3CFB">
              <w:rPr>
                <w:lang w:eastAsia="lv-LV"/>
              </w:rPr>
              <w:t>. L</w:t>
            </w:r>
            <w:r w:rsidR="00DB3CFB" w:rsidRPr="00EA5005">
              <w:rPr>
                <w:lang w:eastAsia="lv-LV"/>
              </w:rPr>
              <w:t>ikumprojekta 2.pantā paredzēto atbildīgās ministrijas nodrošinās piešķirto valsts budžeta līdzekļu ietvaros.</w:t>
            </w:r>
          </w:p>
        </w:tc>
      </w:tr>
    </w:tbl>
    <w:p w:rsidR="0093373C" w:rsidRDefault="0093373C" w:rsidP="002A5942">
      <w:pPr>
        <w:rPr>
          <w:i/>
        </w:rPr>
      </w:pPr>
    </w:p>
    <w:p w:rsidR="002A5942" w:rsidRPr="00D30040" w:rsidRDefault="002A5942" w:rsidP="002A5942">
      <w:pPr>
        <w:rPr>
          <w:i/>
        </w:rPr>
      </w:pPr>
      <w:r w:rsidRPr="00D12DAE">
        <w:rPr>
          <w:i/>
        </w:rPr>
        <w:t>Anotācijas IV sadaļa – projekts š</w:t>
      </w:r>
      <w:r w:rsidR="0093373C">
        <w:rPr>
          <w:i/>
        </w:rPr>
        <w:t>o</w:t>
      </w:r>
      <w:r w:rsidRPr="00D12DAE">
        <w:rPr>
          <w:i/>
        </w:rPr>
        <w:t xml:space="preserve"> jom</w:t>
      </w:r>
      <w:r w:rsidR="0093373C">
        <w:rPr>
          <w:i/>
        </w:rPr>
        <w:t>u</w:t>
      </w:r>
      <w:r w:rsidRPr="00D12DAE">
        <w:rPr>
          <w:i/>
        </w:rPr>
        <w:t xml:space="preserve"> neskar.</w:t>
      </w:r>
    </w:p>
    <w:p w:rsidR="002A5942" w:rsidRPr="0031204D" w:rsidRDefault="002A5942" w:rsidP="002A5942"/>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110"/>
        <w:gridCol w:w="4678"/>
      </w:tblGrid>
      <w:tr w:rsidR="002A5942" w:rsidRPr="0031204D" w:rsidTr="00966893">
        <w:tc>
          <w:tcPr>
            <w:tcW w:w="9323" w:type="dxa"/>
            <w:gridSpan w:val="3"/>
            <w:hideMark/>
          </w:tcPr>
          <w:p w:rsidR="002A5942" w:rsidRPr="0031204D" w:rsidRDefault="002A5942" w:rsidP="00966893">
            <w:pPr>
              <w:jc w:val="center"/>
              <w:rPr>
                <w:b/>
                <w:lang w:eastAsia="lv-LV"/>
              </w:rPr>
            </w:pPr>
            <w:r w:rsidRPr="0031204D">
              <w:rPr>
                <w:lang w:eastAsia="lv-LV"/>
              </w:rPr>
              <w:t> </w:t>
            </w:r>
            <w:r w:rsidRPr="0031204D">
              <w:rPr>
                <w:b/>
                <w:lang w:eastAsia="lv-LV"/>
              </w:rPr>
              <w:t>V. Tiesību akta projekta atbilstība Latvijas Republikas starptautiskajām saistībām</w:t>
            </w:r>
          </w:p>
        </w:tc>
      </w:tr>
      <w:tr w:rsidR="002A5942" w:rsidRPr="0031204D" w:rsidTr="00966893">
        <w:tc>
          <w:tcPr>
            <w:tcW w:w="535" w:type="dxa"/>
            <w:tcBorders>
              <w:right w:val="single" w:sz="4" w:space="0" w:color="auto"/>
            </w:tcBorders>
          </w:tcPr>
          <w:p w:rsidR="002A5942" w:rsidRPr="00D12DAE" w:rsidRDefault="002A5942" w:rsidP="00966893">
            <w:pPr>
              <w:rPr>
                <w:lang w:eastAsia="lv-LV"/>
              </w:rPr>
            </w:pPr>
            <w:r w:rsidRPr="00D12DAE">
              <w:rPr>
                <w:lang w:eastAsia="lv-LV"/>
              </w:rPr>
              <w:t>1.</w:t>
            </w:r>
          </w:p>
        </w:tc>
        <w:tc>
          <w:tcPr>
            <w:tcW w:w="4110" w:type="dxa"/>
            <w:tcBorders>
              <w:left w:val="single" w:sz="4" w:space="0" w:color="auto"/>
              <w:right w:val="single" w:sz="4" w:space="0" w:color="auto"/>
            </w:tcBorders>
          </w:tcPr>
          <w:p w:rsidR="002A5942" w:rsidRPr="00D12DAE" w:rsidRDefault="002A5942" w:rsidP="00966893">
            <w:pPr>
              <w:rPr>
                <w:lang w:eastAsia="lv-LV"/>
              </w:rPr>
            </w:pPr>
            <w:r w:rsidRPr="00D12DAE">
              <w:rPr>
                <w:lang w:eastAsia="lv-LV"/>
              </w:rPr>
              <w:t>Saistības pret Eiropas Savienību</w:t>
            </w:r>
          </w:p>
        </w:tc>
        <w:tc>
          <w:tcPr>
            <w:tcW w:w="4678" w:type="dxa"/>
            <w:tcBorders>
              <w:left w:val="single" w:sz="4" w:space="0" w:color="auto"/>
            </w:tcBorders>
          </w:tcPr>
          <w:p w:rsidR="002A5942" w:rsidRPr="00D12DAE" w:rsidRDefault="002A5942" w:rsidP="00966893">
            <w:pPr>
              <w:spacing w:before="120" w:after="120"/>
              <w:rPr>
                <w:lang w:eastAsia="lv-LV"/>
              </w:rPr>
            </w:pPr>
            <w:r w:rsidRPr="00D12DAE">
              <w:rPr>
                <w:lang w:eastAsia="lv-LV"/>
              </w:rPr>
              <w:t>Nav attiecināms</w:t>
            </w:r>
          </w:p>
        </w:tc>
      </w:tr>
      <w:tr w:rsidR="002A5942" w:rsidRPr="0031204D" w:rsidTr="00966893">
        <w:tc>
          <w:tcPr>
            <w:tcW w:w="535" w:type="dxa"/>
            <w:tcBorders>
              <w:right w:val="single" w:sz="4" w:space="0" w:color="auto"/>
            </w:tcBorders>
          </w:tcPr>
          <w:p w:rsidR="002A5942" w:rsidRPr="00D12DAE" w:rsidRDefault="002A5942" w:rsidP="00966893">
            <w:pPr>
              <w:rPr>
                <w:lang w:eastAsia="lv-LV"/>
              </w:rPr>
            </w:pPr>
            <w:r w:rsidRPr="00D12DAE">
              <w:rPr>
                <w:lang w:eastAsia="lv-LV"/>
              </w:rPr>
              <w:t>2.</w:t>
            </w:r>
          </w:p>
        </w:tc>
        <w:tc>
          <w:tcPr>
            <w:tcW w:w="4110" w:type="dxa"/>
            <w:tcBorders>
              <w:left w:val="single" w:sz="4" w:space="0" w:color="auto"/>
              <w:right w:val="single" w:sz="4" w:space="0" w:color="auto"/>
            </w:tcBorders>
          </w:tcPr>
          <w:p w:rsidR="002A5942" w:rsidRPr="00D12DAE" w:rsidRDefault="002A5942" w:rsidP="00966893">
            <w:pPr>
              <w:rPr>
                <w:lang w:eastAsia="lv-LV"/>
              </w:rPr>
            </w:pPr>
            <w:r w:rsidRPr="00D12DAE">
              <w:rPr>
                <w:color w:val="414142"/>
              </w:rPr>
              <w:t>Citas starptautiskās saistības</w:t>
            </w:r>
          </w:p>
        </w:tc>
        <w:tc>
          <w:tcPr>
            <w:tcW w:w="4678" w:type="dxa"/>
            <w:tcBorders>
              <w:left w:val="single" w:sz="4" w:space="0" w:color="auto"/>
            </w:tcBorders>
          </w:tcPr>
          <w:p w:rsidR="009D5C74" w:rsidRPr="00D12DAE" w:rsidRDefault="00015454" w:rsidP="004A0229">
            <w:pPr>
              <w:spacing w:before="120" w:after="120"/>
              <w:jc w:val="both"/>
              <w:rPr>
                <w:lang w:eastAsia="lv-LV"/>
              </w:rPr>
            </w:pPr>
            <w:r>
              <w:rPr>
                <w:lang w:eastAsia="lv-LV"/>
              </w:rPr>
              <w:t>N</w:t>
            </w:r>
            <w:r w:rsidR="00621605">
              <w:rPr>
                <w:lang w:eastAsia="lv-LV"/>
              </w:rPr>
              <w:t xml:space="preserve">olīgums aizstāj </w:t>
            </w:r>
            <w:r w:rsidR="004A0229" w:rsidRPr="00D552A8">
              <w:rPr>
                <w:noProof/>
                <w:color w:val="000000"/>
              </w:rPr>
              <w:t>1994.gadā parakstīt</w:t>
            </w:r>
            <w:r w:rsidR="004A0229">
              <w:rPr>
                <w:noProof/>
                <w:color w:val="000000"/>
              </w:rPr>
              <w:t>o</w:t>
            </w:r>
            <w:r w:rsidR="00054798">
              <w:rPr>
                <w:noProof/>
                <w:color w:val="000000"/>
              </w:rPr>
              <w:t xml:space="preserve"> ES-Ukrainas</w:t>
            </w:r>
            <w:r w:rsidR="004A0229" w:rsidRPr="00D552A8">
              <w:rPr>
                <w:noProof/>
                <w:color w:val="000000"/>
              </w:rPr>
              <w:t xml:space="preserve"> Partnerības un sadarbības nolīgums, kas stājās spēkā 1998.gadā.</w:t>
            </w:r>
          </w:p>
        </w:tc>
      </w:tr>
      <w:tr w:rsidR="002A5942" w:rsidRPr="0031204D" w:rsidTr="00966893">
        <w:tc>
          <w:tcPr>
            <w:tcW w:w="535" w:type="dxa"/>
            <w:tcBorders>
              <w:right w:val="single" w:sz="4" w:space="0" w:color="auto"/>
            </w:tcBorders>
          </w:tcPr>
          <w:p w:rsidR="002A5942" w:rsidRPr="00D12DAE" w:rsidRDefault="002A5942" w:rsidP="00966893">
            <w:pPr>
              <w:rPr>
                <w:lang w:eastAsia="lv-LV"/>
              </w:rPr>
            </w:pPr>
            <w:r w:rsidRPr="00D12DAE">
              <w:rPr>
                <w:lang w:eastAsia="lv-LV"/>
              </w:rPr>
              <w:t>3.</w:t>
            </w:r>
          </w:p>
        </w:tc>
        <w:tc>
          <w:tcPr>
            <w:tcW w:w="4110" w:type="dxa"/>
            <w:tcBorders>
              <w:left w:val="single" w:sz="4" w:space="0" w:color="auto"/>
              <w:right w:val="single" w:sz="4" w:space="0" w:color="auto"/>
            </w:tcBorders>
          </w:tcPr>
          <w:p w:rsidR="002A5942" w:rsidRPr="00D12DAE" w:rsidRDefault="002A5942" w:rsidP="00966893">
            <w:pPr>
              <w:rPr>
                <w:lang w:eastAsia="lv-LV"/>
              </w:rPr>
            </w:pPr>
            <w:r w:rsidRPr="00D12DAE">
              <w:rPr>
                <w:lang w:eastAsia="lv-LV"/>
              </w:rPr>
              <w:t>Cita informācija</w:t>
            </w:r>
          </w:p>
        </w:tc>
        <w:tc>
          <w:tcPr>
            <w:tcW w:w="4678" w:type="dxa"/>
            <w:tcBorders>
              <w:left w:val="single" w:sz="4" w:space="0" w:color="auto"/>
            </w:tcBorders>
          </w:tcPr>
          <w:p w:rsidR="006762C4" w:rsidRPr="00D12DAE" w:rsidRDefault="00FF33A0" w:rsidP="002F14D1">
            <w:pPr>
              <w:spacing w:before="120" w:after="120"/>
              <w:jc w:val="both"/>
              <w:rPr>
                <w:lang w:eastAsia="lv-LV"/>
              </w:rPr>
            </w:pPr>
            <w:r w:rsidRPr="00D12DAE">
              <w:rPr>
                <w:lang w:eastAsia="lv-LV"/>
              </w:rPr>
              <w:t xml:space="preserve">Nolīgums ir jauktais starptautiskais nolīgums, </w:t>
            </w:r>
            <w:r>
              <w:rPr>
                <w:lang w:eastAsia="lv-LV"/>
              </w:rPr>
              <w:t>kas</w:t>
            </w:r>
            <w:r w:rsidRPr="00D12DAE">
              <w:rPr>
                <w:lang w:eastAsia="lv-LV"/>
              </w:rPr>
              <w:t xml:space="preserve"> aptver jomas, kuras ir Savienības un dalībvalstu dalītajā un papildinošajā</w:t>
            </w:r>
            <w:r>
              <w:rPr>
                <w:lang w:eastAsia="lv-LV"/>
              </w:rPr>
              <w:t xml:space="preserve"> </w:t>
            </w:r>
            <w:r w:rsidRPr="00D12DAE">
              <w:rPr>
                <w:lang w:eastAsia="lv-LV"/>
              </w:rPr>
              <w:t>kompetencē</w:t>
            </w:r>
            <w:r>
              <w:rPr>
                <w:lang w:eastAsia="lv-LV"/>
              </w:rPr>
              <w:t>,</w:t>
            </w:r>
            <w:r>
              <w:rPr>
                <w:noProof/>
              </w:rPr>
              <w:t xml:space="preserve"> kas izriet no Līguma par Eiropas </w:t>
            </w:r>
            <w:r>
              <w:t>Savienību un Līguma par Eiropas Savienības darbību</w:t>
            </w:r>
            <w:r w:rsidRPr="00D12DAE">
              <w:t xml:space="preserve">. </w:t>
            </w:r>
            <w:r w:rsidRPr="006762C4">
              <w:t xml:space="preserve">Saskaņā ar </w:t>
            </w:r>
            <w:r>
              <w:t>N</w:t>
            </w:r>
            <w:r w:rsidRPr="006762C4">
              <w:t>olīguma 4</w:t>
            </w:r>
            <w:r>
              <w:t>82</w:t>
            </w:r>
            <w:r w:rsidRPr="006762C4">
              <w:t xml:space="preserve">.pantu tā „Puses” ir </w:t>
            </w:r>
            <w:r>
              <w:t xml:space="preserve">Savienība vai tās dalībvalstis, vai Savienība un tās dalībvalstis saskaņā ar to attiecīgajām pilnvarām, </w:t>
            </w:r>
            <w:r w:rsidRPr="006762C4">
              <w:t xml:space="preserve">vai Eiropas Atomenerģijas kopiena, kur attiecināms, no vienas puses, un </w:t>
            </w:r>
            <w:r>
              <w:t>Ukraina</w:t>
            </w:r>
            <w:r w:rsidRPr="006762C4">
              <w:t>, no otras puses.</w:t>
            </w:r>
          </w:p>
        </w:tc>
      </w:tr>
    </w:tbl>
    <w:p w:rsidR="002A5942" w:rsidRPr="0031204D" w:rsidRDefault="002A5942" w:rsidP="002A594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31204D" w:rsidTr="00966893">
        <w:tc>
          <w:tcPr>
            <w:tcW w:w="9287" w:type="dxa"/>
            <w:gridSpan w:val="3"/>
            <w:hideMark/>
          </w:tcPr>
          <w:p w:rsidR="002A5942" w:rsidRPr="0031204D" w:rsidRDefault="002A5942" w:rsidP="00966893">
            <w:pPr>
              <w:jc w:val="center"/>
              <w:rPr>
                <w:lang w:eastAsia="lv-LV"/>
              </w:rPr>
            </w:pPr>
            <w:r w:rsidRPr="0031204D">
              <w:rPr>
                <w:b/>
                <w:bCs/>
                <w:lang w:eastAsia="lv-LV"/>
              </w:rPr>
              <w:t>VI. Sabiedrības līdzdalība un komunikācijas aktivitātes</w:t>
            </w:r>
          </w:p>
        </w:tc>
      </w:tr>
      <w:tr w:rsidR="002A5942" w:rsidRPr="0031204D" w:rsidTr="00966893">
        <w:trPr>
          <w:trHeight w:val="427"/>
        </w:trPr>
        <w:tc>
          <w:tcPr>
            <w:tcW w:w="538" w:type="dxa"/>
            <w:hideMark/>
          </w:tcPr>
          <w:p w:rsidR="002A5942" w:rsidRPr="0031204D" w:rsidRDefault="002A5942" w:rsidP="00966893">
            <w:pPr>
              <w:rPr>
                <w:lang w:eastAsia="lv-LV"/>
              </w:rPr>
            </w:pPr>
            <w:r w:rsidRPr="0031204D">
              <w:rPr>
                <w:lang w:eastAsia="lv-LV"/>
              </w:rPr>
              <w:lastRenderedPageBreak/>
              <w:t> 1.</w:t>
            </w:r>
          </w:p>
        </w:tc>
        <w:tc>
          <w:tcPr>
            <w:tcW w:w="4104" w:type="dxa"/>
          </w:tcPr>
          <w:p w:rsidR="002A5942" w:rsidRPr="00565BB3" w:rsidRDefault="002A5942" w:rsidP="00966893">
            <w:pPr>
              <w:rPr>
                <w:lang w:eastAsia="lv-LV"/>
              </w:rPr>
            </w:pPr>
            <w:r w:rsidRPr="00565BB3">
              <w:rPr>
                <w:lang w:eastAsia="lv-LV"/>
              </w:rPr>
              <w:t>Plānotās sabiedrības līdzdalības un komunikācijas aktivitātes saistībā ar projektu</w:t>
            </w:r>
          </w:p>
        </w:tc>
        <w:tc>
          <w:tcPr>
            <w:tcW w:w="4645" w:type="dxa"/>
          </w:tcPr>
          <w:p w:rsidR="002A5942" w:rsidRPr="00565BB3" w:rsidRDefault="00A91E64" w:rsidP="00ED26F3">
            <w:pPr>
              <w:spacing w:before="120" w:after="120"/>
              <w:jc w:val="both"/>
            </w:pPr>
            <w:r>
              <w:t>Ārlietu ministrija turpinās informēt sabiedrību par Austrumu partnerības aktualitātēm, ņemot vēr</w:t>
            </w:r>
            <w:r w:rsidR="00ED26F3">
              <w:t>ā</w:t>
            </w:r>
            <w:r>
              <w:t xml:space="preserve"> budžeta iespējas.</w:t>
            </w:r>
          </w:p>
        </w:tc>
      </w:tr>
      <w:tr w:rsidR="002A5942" w:rsidRPr="0031204D" w:rsidTr="00966893">
        <w:trPr>
          <w:trHeight w:val="463"/>
        </w:trPr>
        <w:tc>
          <w:tcPr>
            <w:tcW w:w="538" w:type="dxa"/>
            <w:hideMark/>
          </w:tcPr>
          <w:p w:rsidR="002A5942" w:rsidRPr="0031204D" w:rsidRDefault="002A5942" w:rsidP="00966893">
            <w:pPr>
              <w:rPr>
                <w:lang w:eastAsia="lv-LV"/>
              </w:rPr>
            </w:pPr>
            <w:r w:rsidRPr="0031204D">
              <w:rPr>
                <w:lang w:eastAsia="lv-LV"/>
              </w:rPr>
              <w:t> 2.</w:t>
            </w:r>
          </w:p>
        </w:tc>
        <w:tc>
          <w:tcPr>
            <w:tcW w:w="4104" w:type="dxa"/>
          </w:tcPr>
          <w:p w:rsidR="002A5942" w:rsidRPr="0031204D" w:rsidRDefault="002A5942" w:rsidP="00966893">
            <w:pPr>
              <w:rPr>
                <w:lang w:eastAsia="lv-LV"/>
              </w:rPr>
            </w:pPr>
            <w:r w:rsidRPr="0031204D">
              <w:rPr>
                <w:lang w:eastAsia="lv-LV"/>
              </w:rPr>
              <w:t>Sabiedrības līdzdalība projekta izstrādē</w:t>
            </w:r>
          </w:p>
        </w:tc>
        <w:tc>
          <w:tcPr>
            <w:tcW w:w="4645" w:type="dxa"/>
          </w:tcPr>
          <w:p w:rsidR="00E178C0" w:rsidRPr="00732EC4" w:rsidRDefault="00E178C0" w:rsidP="00C00CFD">
            <w:pPr>
              <w:tabs>
                <w:tab w:val="left" w:pos="993"/>
              </w:tabs>
              <w:spacing w:before="120" w:after="120"/>
              <w:jc w:val="both"/>
            </w:pPr>
            <w:r w:rsidRPr="00732EC4">
              <w:t xml:space="preserve">Jautājums par ES – </w:t>
            </w:r>
            <w:r w:rsidR="00054798">
              <w:t>Ukrainas</w:t>
            </w:r>
            <w:r w:rsidRPr="00732EC4">
              <w:t xml:space="preserve"> brīvās tirdzniecības līgumu regulāri un sistemātiski ir skatīts Ekonomikas ministrijas organizētajā Ārējās tirdzniecības politikas jautājumu darba grupā, kur bez valsts pārvaldes institūcijām ir pārstāvēta arī Latvijas Darba devēju konfederācija (turpmāk – LDDK).</w:t>
            </w:r>
          </w:p>
          <w:p w:rsidR="002A5942" w:rsidRPr="00A75B17" w:rsidRDefault="00E178C0" w:rsidP="002F14D1">
            <w:pPr>
              <w:spacing w:after="120"/>
              <w:jc w:val="both"/>
              <w:rPr>
                <w:highlight w:val="yellow"/>
                <w:lang w:eastAsia="lv-LV"/>
              </w:rPr>
            </w:pPr>
            <w:r w:rsidRPr="00732EC4">
              <w:t xml:space="preserve">2013.gada 15.oktobrī Ministru </w:t>
            </w:r>
            <w:r w:rsidR="00C603F6">
              <w:t>k</w:t>
            </w:r>
            <w:r w:rsidRPr="00732EC4">
              <w:t xml:space="preserve">abineta apstiprinātā nacionālā pozīcija Nr. 2 „ Par ES – </w:t>
            </w:r>
            <w:r w:rsidR="00054798">
              <w:t>Ukrainas</w:t>
            </w:r>
            <w:r w:rsidRPr="00732EC4">
              <w:t xml:space="preserve"> Brīvās tirdzniecības līgumu ir saskaņota ar LDDK un Latvijas Tirdzniecības un rūpniecības kameru, kā arī atbalstīta 2013.gada 16.oktobra Saeimas Eiropas lietu komisijā.</w:t>
            </w:r>
          </w:p>
        </w:tc>
      </w:tr>
      <w:tr w:rsidR="002A5942" w:rsidRPr="0031204D" w:rsidTr="00966893">
        <w:trPr>
          <w:trHeight w:val="725"/>
        </w:trPr>
        <w:tc>
          <w:tcPr>
            <w:tcW w:w="538" w:type="dxa"/>
            <w:hideMark/>
          </w:tcPr>
          <w:p w:rsidR="002A5942" w:rsidRPr="0031204D" w:rsidRDefault="002A5942" w:rsidP="00966893">
            <w:pPr>
              <w:rPr>
                <w:lang w:eastAsia="lv-LV"/>
              </w:rPr>
            </w:pPr>
            <w:r w:rsidRPr="0031204D">
              <w:rPr>
                <w:lang w:eastAsia="lv-LV"/>
              </w:rPr>
              <w:t> 3.</w:t>
            </w:r>
          </w:p>
        </w:tc>
        <w:tc>
          <w:tcPr>
            <w:tcW w:w="4104" w:type="dxa"/>
          </w:tcPr>
          <w:p w:rsidR="002A5942" w:rsidRPr="0031204D" w:rsidRDefault="002A5942" w:rsidP="00966893">
            <w:pPr>
              <w:rPr>
                <w:lang w:eastAsia="lv-LV"/>
              </w:rPr>
            </w:pPr>
            <w:r w:rsidRPr="0031204D">
              <w:rPr>
                <w:lang w:eastAsia="lv-LV"/>
              </w:rPr>
              <w:t>Sabiedrības līdzdalības rezultāti</w:t>
            </w:r>
          </w:p>
        </w:tc>
        <w:tc>
          <w:tcPr>
            <w:tcW w:w="4645" w:type="dxa"/>
          </w:tcPr>
          <w:p w:rsidR="002A5942" w:rsidRPr="00A75B17" w:rsidRDefault="002A5942" w:rsidP="00966893">
            <w:pPr>
              <w:rPr>
                <w:highlight w:val="yellow"/>
                <w:lang w:eastAsia="lv-LV"/>
              </w:rPr>
            </w:pPr>
            <w:r>
              <w:rPr>
                <w:lang w:eastAsia="lv-LV"/>
              </w:rPr>
              <w:t>Nav attiecināms</w:t>
            </w:r>
          </w:p>
        </w:tc>
      </w:tr>
      <w:tr w:rsidR="002A5942" w:rsidRPr="0031204D" w:rsidTr="00966893">
        <w:trPr>
          <w:trHeight w:val="70"/>
        </w:trPr>
        <w:tc>
          <w:tcPr>
            <w:tcW w:w="538" w:type="dxa"/>
            <w:hideMark/>
          </w:tcPr>
          <w:p w:rsidR="002A5942" w:rsidRPr="0031204D" w:rsidRDefault="002A5942" w:rsidP="00966893">
            <w:pPr>
              <w:rPr>
                <w:lang w:eastAsia="lv-LV"/>
              </w:rPr>
            </w:pPr>
            <w:r w:rsidRPr="0031204D">
              <w:rPr>
                <w:lang w:eastAsia="lv-LV"/>
              </w:rPr>
              <w:t> 4.</w:t>
            </w:r>
          </w:p>
        </w:tc>
        <w:tc>
          <w:tcPr>
            <w:tcW w:w="4104" w:type="dxa"/>
            <w:hideMark/>
          </w:tcPr>
          <w:p w:rsidR="002A5942" w:rsidRPr="0031204D" w:rsidRDefault="002A5942" w:rsidP="00966893">
            <w:pPr>
              <w:rPr>
                <w:lang w:eastAsia="lv-LV"/>
              </w:rPr>
            </w:pPr>
            <w:r w:rsidRPr="0031204D">
              <w:rPr>
                <w:lang w:eastAsia="lv-LV"/>
              </w:rPr>
              <w:t> Cita informācija</w:t>
            </w:r>
          </w:p>
        </w:tc>
        <w:tc>
          <w:tcPr>
            <w:tcW w:w="4645" w:type="dxa"/>
            <w:hideMark/>
          </w:tcPr>
          <w:p w:rsidR="002A5942" w:rsidRPr="00A75B17" w:rsidRDefault="002A5942" w:rsidP="00966893">
            <w:pPr>
              <w:rPr>
                <w:highlight w:val="yellow"/>
                <w:lang w:eastAsia="lv-LV"/>
              </w:rPr>
            </w:pPr>
            <w:r w:rsidRPr="00565BB3">
              <w:rPr>
                <w:lang w:eastAsia="lv-LV"/>
              </w:rPr>
              <w:t> Nav</w:t>
            </w:r>
          </w:p>
        </w:tc>
      </w:tr>
    </w:tbl>
    <w:p w:rsidR="002A5942" w:rsidRPr="0031204D" w:rsidRDefault="002A5942" w:rsidP="002A5942"/>
    <w:p w:rsidR="002A5942" w:rsidRPr="0031204D" w:rsidRDefault="002A5942" w:rsidP="002A594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31204D" w:rsidTr="00966893">
        <w:tc>
          <w:tcPr>
            <w:tcW w:w="9287" w:type="dxa"/>
            <w:gridSpan w:val="3"/>
            <w:hideMark/>
          </w:tcPr>
          <w:p w:rsidR="002A5942" w:rsidRPr="0031204D" w:rsidRDefault="002A5942" w:rsidP="00966893">
            <w:pPr>
              <w:jc w:val="center"/>
              <w:rPr>
                <w:lang w:eastAsia="lv-LV"/>
              </w:rPr>
            </w:pPr>
            <w:r w:rsidRPr="0031204D">
              <w:rPr>
                <w:lang w:eastAsia="lv-LV"/>
              </w:rPr>
              <w:t> </w:t>
            </w:r>
            <w:r w:rsidRPr="0031204D">
              <w:rPr>
                <w:b/>
                <w:bCs/>
                <w:lang w:eastAsia="lv-LV"/>
              </w:rPr>
              <w:t>VII. Tiesību akta projekta izpildes nodrošināšana un tās ietekme uz institūcijām</w:t>
            </w:r>
          </w:p>
        </w:tc>
      </w:tr>
      <w:tr w:rsidR="002A5942" w:rsidRPr="0031204D" w:rsidTr="00966893">
        <w:trPr>
          <w:trHeight w:val="427"/>
        </w:trPr>
        <w:tc>
          <w:tcPr>
            <w:tcW w:w="538" w:type="dxa"/>
            <w:hideMark/>
          </w:tcPr>
          <w:p w:rsidR="002A5942" w:rsidRPr="0031204D" w:rsidRDefault="002A5942" w:rsidP="00966893">
            <w:pPr>
              <w:rPr>
                <w:lang w:eastAsia="lv-LV"/>
              </w:rPr>
            </w:pPr>
            <w:r w:rsidRPr="0031204D">
              <w:rPr>
                <w:lang w:eastAsia="lv-LV"/>
              </w:rPr>
              <w:t> 1.</w:t>
            </w:r>
          </w:p>
        </w:tc>
        <w:tc>
          <w:tcPr>
            <w:tcW w:w="4104" w:type="dxa"/>
            <w:hideMark/>
          </w:tcPr>
          <w:p w:rsidR="002A5942" w:rsidRPr="0031204D" w:rsidRDefault="002A5942" w:rsidP="00966893">
            <w:pPr>
              <w:rPr>
                <w:lang w:eastAsia="lv-LV"/>
              </w:rPr>
            </w:pPr>
            <w:r w:rsidRPr="0031204D">
              <w:rPr>
                <w:lang w:eastAsia="lv-LV"/>
              </w:rPr>
              <w:t> Projekta izpildē iesaistītās institūcijas</w:t>
            </w:r>
          </w:p>
        </w:tc>
        <w:tc>
          <w:tcPr>
            <w:tcW w:w="4645" w:type="dxa"/>
            <w:hideMark/>
          </w:tcPr>
          <w:p w:rsidR="002A5942" w:rsidRPr="00D32D94" w:rsidRDefault="002A5942" w:rsidP="00966893">
            <w:pPr>
              <w:tabs>
                <w:tab w:val="left" w:pos="987"/>
              </w:tabs>
              <w:spacing w:before="120" w:after="120"/>
              <w:jc w:val="both"/>
              <w:rPr>
                <w:color w:val="000000"/>
                <w:highlight w:val="yellow"/>
              </w:rPr>
            </w:pPr>
            <w:r w:rsidRPr="00D30040">
              <w:rPr>
                <w:bCs/>
                <w:lang w:eastAsia="lv-LV"/>
              </w:rPr>
              <w:t>N</w:t>
            </w:r>
            <w:r w:rsidRPr="00D30040">
              <w:rPr>
                <w:color w:val="000000"/>
              </w:rPr>
              <w:t>olīgumā paredzēto saistību izpildi koordinē Ārlietu mi</w:t>
            </w:r>
            <w:r w:rsidRPr="00D30040">
              <w:rPr>
                <w:color w:val="000000"/>
              </w:rPr>
              <w:softHyphen/>
              <w:t xml:space="preserve">nistrija.  </w:t>
            </w:r>
          </w:p>
        </w:tc>
      </w:tr>
      <w:tr w:rsidR="002A5942" w:rsidRPr="0031204D" w:rsidTr="00966893">
        <w:trPr>
          <w:trHeight w:val="463"/>
        </w:trPr>
        <w:tc>
          <w:tcPr>
            <w:tcW w:w="538" w:type="dxa"/>
            <w:hideMark/>
          </w:tcPr>
          <w:p w:rsidR="002A5942" w:rsidRPr="0031204D" w:rsidRDefault="002A5942" w:rsidP="00966893">
            <w:pPr>
              <w:rPr>
                <w:lang w:eastAsia="lv-LV"/>
              </w:rPr>
            </w:pPr>
            <w:r w:rsidRPr="0031204D">
              <w:rPr>
                <w:lang w:eastAsia="lv-LV"/>
              </w:rPr>
              <w:t> 2.</w:t>
            </w:r>
          </w:p>
        </w:tc>
        <w:tc>
          <w:tcPr>
            <w:tcW w:w="4104" w:type="dxa"/>
            <w:hideMark/>
          </w:tcPr>
          <w:p w:rsidR="002A5942" w:rsidRPr="0031204D" w:rsidRDefault="002A5942" w:rsidP="00966893">
            <w:pPr>
              <w:jc w:val="both"/>
              <w:rPr>
                <w:lang w:eastAsia="lv-LV"/>
              </w:rPr>
            </w:pPr>
            <w:r w:rsidRPr="0031204D">
              <w:rPr>
                <w:lang w:eastAsia="lv-LV"/>
              </w:rPr>
              <w:t> Projekta izpildes ietekme uz pārvaldes funkcijām un institucionālo struktūru.</w:t>
            </w:r>
          </w:p>
          <w:p w:rsidR="002A5942" w:rsidRPr="0031204D" w:rsidRDefault="002A5942" w:rsidP="00966893">
            <w:pPr>
              <w:jc w:val="both"/>
              <w:rPr>
                <w:lang w:eastAsia="lv-LV"/>
              </w:rPr>
            </w:pPr>
            <w:r w:rsidRPr="0031204D">
              <w:rPr>
                <w:lang w:eastAsia="lv-LV"/>
              </w:rPr>
              <w:t>Jaunu institūciju izveide, esošu institūciju likvidācija vai reorganizācija, to ietekme uz institūcijas cilvēkresursiem</w:t>
            </w:r>
          </w:p>
        </w:tc>
        <w:tc>
          <w:tcPr>
            <w:tcW w:w="4645" w:type="dxa"/>
            <w:hideMark/>
          </w:tcPr>
          <w:p w:rsidR="002A5942" w:rsidRPr="00A75B17" w:rsidRDefault="002A5942" w:rsidP="00966893">
            <w:pPr>
              <w:spacing w:before="120" w:after="120"/>
              <w:rPr>
                <w:highlight w:val="yellow"/>
                <w:lang w:eastAsia="lv-LV"/>
              </w:rPr>
            </w:pPr>
            <w:r>
              <w:rPr>
                <w:lang w:eastAsia="lv-LV"/>
              </w:rPr>
              <w:t>Nav attiecināms</w:t>
            </w:r>
          </w:p>
        </w:tc>
      </w:tr>
      <w:tr w:rsidR="002A5942" w:rsidRPr="0031204D" w:rsidTr="00966893">
        <w:trPr>
          <w:trHeight w:val="70"/>
        </w:trPr>
        <w:tc>
          <w:tcPr>
            <w:tcW w:w="538" w:type="dxa"/>
            <w:hideMark/>
          </w:tcPr>
          <w:p w:rsidR="002A5942" w:rsidRPr="0031204D" w:rsidRDefault="002A5942" w:rsidP="00966893">
            <w:pPr>
              <w:rPr>
                <w:lang w:eastAsia="lv-LV"/>
              </w:rPr>
            </w:pPr>
            <w:r w:rsidRPr="0031204D">
              <w:rPr>
                <w:lang w:eastAsia="lv-LV"/>
              </w:rPr>
              <w:t> 3.</w:t>
            </w:r>
          </w:p>
        </w:tc>
        <w:tc>
          <w:tcPr>
            <w:tcW w:w="4104" w:type="dxa"/>
            <w:hideMark/>
          </w:tcPr>
          <w:p w:rsidR="002A5942" w:rsidRPr="0031204D" w:rsidRDefault="002A5942" w:rsidP="00966893">
            <w:pPr>
              <w:rPr>
                <w:lang w:eastAsia="lv-LV"/>
              </w:rPr>
            </w:pPr>
            <w:r w:rsidRPr="0031204D">
              <w:rPr>
                <w:lang w:eastAsia="lv-LV"/>
              </w:rPr>
              <w:t> Cita informācija</w:t>
            </w:r>
          </w:p>
        </w:tc>
        <w:tc>
          <w:tcPr>
            <w:tcW w:w="4645" w:type="dxa"/>
            <w:hideMark/>
          </w:tcPr>
          <w:p w:rsidR="002A5942" w:rsidRPr="00A75B17" w:rsidRDefault="002A5942" w:rsidP="00966893">
            <w:pPr>
              <w:spacing w:before="120" w:after="120"/>
              <w:rPr>
                <w:highlight w:val="yellow"/>
                <w:lang w:eastAsia="lv-LV"/>
              </w:rPr>
            </w:pPr>
            <w:r w:rsidRPr="00565BB3">
              <w:rPr>
                <w:lang w:eastAsia="lv-LV"/>
              </w:rPr>
              <w:t> Nav</w:t>
            </w:r>
          </w:p>
        </w:tc>
      </w:tr>
    </w:tbl>
    <w:p w:rsidR="002A5942" w:rsidRPr="0031204D" w:rsidRDefault="002A5942" w:rsidP="002A5942">
      <w:pPr>
        <w:tabs>
          <w:tab w:val="left" w:pos="6804"/>
          <w:tab w:val="left" w:pos="7088"/>
          <w:tab w:val="left" w:pos="7371"/>
        </w:tabs>
        <w:rPr>
          <w:lang w:eastAsia="lv-LV"/>
        </w:rPr>
      </w:pPr>
    </w:p>
    <w:p w:rsidR="002A5942" w:rsidRPr="0031204D" w:rsidRDefault="002A5942" w:rsidP="002A5942">
      <w:pPr>
        <w:tabs>
          <w:tab w:val="left" w:pos="709"/>
          <w:tab w:val="left" w:pos="7088"/>
          <w:tab w:val="left" w:pos="7371"/>
        </w:tabs>
        <w:rPr>
          <w:lang w:eastAsia="lv-LV"/>
        </w:rPr>
      </w:pPr>
    </w:p>
    <w:p w:rsidR="002A5942" w:rsidRPr="0031204D" w:rsidRDefault="002A5942" w:rsidP="002A5942">
      <w:pPr>
        <w:tabs>
          <w:tab w:val="left" w:pos="709"/>
          <w:tab w:val="left" w:pos="7088"/>
          <w:tab w:val="left" w:pos="7371"/>
        </w:tabs>
        <w:rPr>
          <w:lang w:eastAsia="lv-LV"/>
        </w:rPr>
      </w:pPr>
    </w:p>
    <w:p w:rsidR="005C4F9D" w:rsidRDefault="005C4F9D" w:rsidP="006B4AB1">
      <w:pPr>
        <w:tabs>
          <w:tab w:val="left" w:pos="5812"/>
        </w:tabs>
        <w:rPr>
          <w:bCs/>
          <w:sz w:val="28"/>
          <w:szCs w:val="28"/>
        </w:rPr>
      </w:pPr>
    </w:p>
    <w:p w:rsidR="002A5942" w:rsidRPr="00A75B17" w:rsidRDefault="002A5942" w:rsidP="006B4AB1">
      <w:pPr>
        <w:tabs>
          <w:tab w:val="left" w:pos="5812"/>
        </w:tabs>
        <w:rPr>
          <w:bCs/>
          <w:sz w:val="28"/>
          <w:szCs w:val="28"/>
        </w:rPr>
      </w:pPr>
      <w:r w:rsidRPr="00A75B17">
        <w:rPr>
          <w:bCs/>
          <w:sz w:val="28"/>
          <w:szCs w:val="28"/>
        </w:rPr>
        <w:t>Ārlietu ministr</w:t>
      </w:r>
      <w:r w:rsidR="005C3C7D">
        <w:rPr>
          <w:bCs/>
          <w:sz w:val="28"/>
          <w:szCs w:val="28"/>
        </w:rPr>
        <w:t>s</w:t>
      </w:r>
      <w:r w:rsidR="005C3C7D">
        <w:rPr>
          <w:bCs/>
          <w:sz w:val="28"/>
          <w:szCs w:val="28"/>
        </w:rPr>
        <w:tab/>
        <w:t>E.Rinkēvičs</w:t>
      </w:r>
      <w:r w:rsidRPr="00A75B17">
        <w:rPr>
          <w:bCs/>
          <w:sz w:val="28"/>
          <w:szCs w:val="28"/>
        </w:rPr>
        <w:tab/>
      </w:r>
    </w:p>
    <w:p w:rsidR="002A5942" w:rsidRPr="00A75B17" w:rsidRDefault="002A5942" w:rsidP="002A5942">
      <w:pPr>
        <w:rPr>
          <w:bCs/>
          <w:sz w:val="28"/>
          <w:szCs w:val="28"/>
        </w:rPr>
      </w:pPr>
    </w:p>
    <w:p w:rsidR="002A5942" w:rsidRPr="00A75B17" w:rsidRDefault="002A5942" w:rsidP="002A5942">
      <w:pPr>
        <w:rPr>
          <w:bCs/>
          <w:sz w:val="28"/>
          <w:szCs w:val="28"/>
        </w:rPr>
      </w:pPr>
    </w:p>
    <w:p w:rsidR="002A5942" w:rsidRPr="00A75B17" w:rsidRDefault="002A5942" w:rsidP="002A5942">
      <w:pPr>
        <w:rPr>
          <w:bCs/>
          <w:sz w:val="28"/>
          <w:szCs w:val="28"/>
        </w:rPr>
      </w:pPr>
    </w:p>
    <w:p w:rsidR="002A5942" w:rsidRPr="00A75B17" w:rsidRDefault="002A5942" w:rsidP="006B4AB1">
      <w:pPr>
        <w:tabs>
          <w:tab w:val="left" w:pos="5812"/>
        </w:tabs>
        <w:rPr>
          <w:bCs/>
          <w:sz w:val="28"/>
          <w:szCs w:val="28"/>
        </w:rPr>
      </w:pPr>
      <w:r w:rsidRPr="00A75B17">
        <w:rPr>
          <w:bCs/>
          <w:sz w:val="28"/>
          <w:szCs w:val="28"/>
        </w:rPr>
        <w:t>Vīza: Valst</w:t>
      </w:r>
      <w:r w:rsidR="00CE7364">
        <w:rPr>
          <w:bCs/>
          <w:sz w:val="28"/>
          <w:szCs w:val="28"/>
        </w:rPr>
        <w:t>a</w:t>
      </w:r>
      <w:r w:rsidRPr="00A75B17">
        <w:rPr>
          <w:bCs/>
          <w:sz w:val="28"/>
          <w:szCs w:val="28"/>
        </w:rPr>
        <w:t xml:space="preserve"> sekretār</w:t>
      </w:r>
      <w:r w:rsidR="005C3C7D">
        <w:rPr>
          <w:bCs/>
          <w:sz w:val="28"/>
          <w:szCs w:val="28"/>
        </w:rPr>
        <w:t>s</w:t>
      </w:r>
      <w:r w:rsidRPr="00A75B17">
        <w:rPr>
          <w:bCs/>
          <w:sz w:val="28"/>
          <w:szCs w:val="28"/>
        </w:rPr>
        <w:tab/>
      </w:r>
      <w:r w:rsidR="005C3C7D">
        <w:rPr>
          <w:bCs/>
          <w:sz w:val="28"/>
          <w:szCs w:val="28"/>
        </w:rPr>
        <w:t>A.Pildegovičs</w:t>
      </w:r>
    </w:p>
    <w:p w:rsidR="002A5942" w:rsidRPr="00A75B17" w:rsidRDefault="002A5942" w:rsidP="002A5942">
      <w:pPr>
        <w:jc w:val="both"/>
        <w:rPr>
          <w:sz w:val="22"/>
          <w:szCs w:val="22"/>
          <w:lang w:eastAsia="lv-LV"/>
        </w:rPr>
      </w:pPr>
    </w:p>
    <w:p w:rsidR="002A5942" w:rsidRPr="00A75B17" w:rsidRDefault="002A5942" w:rsidP="002A5942">
      <w:pPr>
        <w:jc w:val="both"/>
        <w:rPr>
          <w:sz w:val="20"/>
          <w:szCs w:val="20"/>
          <w:lang w:eastAsia="lv-LV"/>
        </w:rPr>
      </w:pPr>
    </w:p>
    <w:p w:rsidR="002A5942" w:rsidRPr="00A75B17" w:rsidRDefault="002A5942" w:rsidP="002A5942">
      <w:pPr>
        <w:jc w:val="both"/>
        <w:rPr>
          <w:sz w:val="20"/>
          <w:szCs w:val="20"/>
          <w:lang w:eastAsia="lv-LV"/>
        </w:rPr>
      </w:pPr>
    </w:p>
    <w:p w:rsidR="002A5942" w:rsidRPr="00A75B17" w:rsidRDefault="002A5942" w:rsidP="002A5942">
      <w:pPr>
        <w:jc w:val="both"/>
        <w:rPr>
          <w:sz w:val="20"/>
          <w:szCs w:val="20"/>
          <w:lang w:eastAsia="lv-LV"/>
        </w:rPr>
      </w:pPr>
    </w:p>
    <w:p w:rsidR="00914391" w:rsidRPr="00A611AE" w:rsidRDefault="00914391" w:rsidP="00914391">
      <w:pPr>
        <w:rPr>
          <w:sz w:val="20"/>
          <w:szCs w:val="20"/>
        </w:rPr>
      </w:pPr>
      <w:r w:rsidRPr="00A611AE">
        <w:rPr>
          <w:sz w:val="20"/>
          <w:szCs w:val="20"/>
        </w:rPr>
        <w:fldChar w:fldCharType="begin"/>
      </w:r>
      <w:r w:rsidRPr="00A611AE">
        <w:rPr>
          <w:sz w:val="20"/>
          <w:szCs w:val="20"/>
        </w:rPr>
        <w:instrText xml:space="preserve"> TIME \@ "dd.MM.yyyy H:mm" </w:instrText>
      </w:r>
      <w:r w:rsidRPr="00A611AE">
        <w:rPr>
          <w:sz w:val="20"/>
          <w:szCs w:val="20"/>
        </w:rPr>
        <w:fldChar w:fldCharType="separate"/>
      </w:r>
      <w:r w:rsidR="00C01077">
        <w:rPr>
          <w:noProof/>
          <w:sz w:val="20"/>
          <w:szCs w:val="20"/>
        </w:rPr>
        <w:t>04.07.2014 9:16</w:t>
      </w:r>
      <w:r w:rsidRPr="00A611AE">
        <w:rPr>
          <w:sz w:val="20"/>
          <w:szCs w:val="20"/>
        </w:rPr>
        <w:fldChar w:fldCharType="end"/>
      </w:r>
    </w:p>
    <w:p w:rsidR="00914391" w:rsidRPr="00A611AE" w:rsidRDefault="005C4F9D" w:rsidP="00914391">
      <w:pPr>
        <w:rPr>
          <w:sz w:val="20"/>
          <w:szCs w:val="20"/>
        </w:rPr>
      </w:pPr>
      <w:r>
        <w:rPr>
          <w:sz w:val="20"/>
          <w:szCs w:val="20"/>
        </w:rPr>
        <w:lastRenderedPageBreak/>
        <w:t>16</w:t>
      </w:r>
      <w:r w:rsidR="00C01077">
        <w:rPr>
          <w:sz w:val="20"/>
          <w:szCs w:val="20"/>
        </w:rPr>
        <w:t>59</w:t>
      </w:r>
      <w:bookmarkStart w:id="2" w:name="_GoBack"/>
      <w:bookmarkEnd w:id="2"/>
    </w:p>
    <w:p w:rsidR="00914391" w:rsidRPr="00A611AE" w:rsidRDefault="00A30A98" w:rsidP="00914391">
      <w:pPr>
        <w:rPr>
          <w:sz w:val="20"/>
          <w:szCs w:val="20"/>
          <w:lang w:val="da-DK"/>
        </w:rPr>
      </w:pPr>
      <w:r>
        <w:rPr>
          <w:sz w:val="20"/>
          <w:szCs w:val="20"/>
          <w:lang w:val="da-DK"/>
        </w:rPr>
        <w:t>G.Lapsa</w:t>
      </w:r>
    </w:p>
    <w:p w:rsidR="00914391" w:rsidRPr="00A611AE" w:rsidRDefault="00C01077" w:rsidP="00914391">
      <w:pPr>
        <w:rPr>
          <w:sz w:val="20"/>
          <w:szCs w:val="20"/>
          <w:lang w:val="da-DK"/>
        </w:rPr>
      </w:pPr>
      <w:hyperlink r:id="rId13" w:history="1">
        <w:hyperlink r:id="rId14" w:history="1">
          <w:r w:rsidR="00A30A98">
            <w:rPr>
              <w:rStyle w:val="Hyperlink"/>
              <w:sz w:val="20"/>
              <w:szCs w:val="20"/>
            </w:rPr>
            <w:t>guntis</w:t>
          </w:r>
          <w:r w:rsidR="00914391" w:rsidRPr="00A611AE">
            <w:rPr>
              <w:rStyle w:val="Hyperlink"/>
              <w:sz w:val="20"/>
              <w:szCs w:val="20"/>
            </w:rPr>
            <w:t>.</w:t>
          </w:r>
          <w:r w:rsidR="00A30A98">
            <w:rPr>
              <w:rStyle w:val="Hyperlink"/>
              <w:sz w:val="20"/>
              <w:szCs w:val="20"/>
            </w:rPr>
            <w:t>lapsa</w:t>
          </w:r>
          <w:r w:rsidR="00914391" w:rsidRPr="00A611AE">
            <w:rPr>
              <w:rStyle w:val="Hyperlink"/>
              <w:sz w:val="20"/>
              <w:szCs w:val="20"/>
            </w:rPr>
            <w:t>@mfa.gov.lv</w:t>
          </w:r>
        </w:hyperlink>
      </w:hyperlink>
      <w:r w:rsidR="00914391" w:rsidRPr="00A611AE">
        <w:rPr>
          <w:sz w:val="20"/>
          <w:szCs w:val="20"/>
          <w:lang w:val="da-DK"/>
        </w:rPr>
        <w:t>, tel. 67016</w:t>
      </w:r>
      <w:r w:rsidR="00F33811">
        <w:rPr>
          <w:sz w:val="20"/>
          <w:szCs w:val="20"/>
          <w:lang w:val="da-DK"/>
        </w:rPr>
        <w:t>263</w:t>
      </w:r>
    </w:p>
    <w:p w:rsidR="00914391" w:rsidRDefault="00914391" w:rsidP="00914391">
      <w:pPr>
        <w:rPr>
          <w:sz w:val="20"/>
          <w:lang w:val="da-DK"/>
        </w:rPr>
      </w:pPr>
    </w:p>
    <w:p w:rsidR="00093619" w:rsidRPr="00C50D09" w:rsidRDefault="00093619" w:rsidP="00914391">
      <w:pPr>
        <w:jc w:val="both"/>
        <w:rPr>
          <w:sz w:val="20"/>
        </w:rPr>
      </w:pPr>
    </w:p>
    <w:sectPr w:rsidR="00093619" w:rsidRPr="00C50D09" w:rsidSect="00F17343">
      <w:headerReference w:type="default" r:id="rId15"/>
      <w:footerReference w:type="default" r:id="rId16"/>
      <w:footerReference w:type="first" r:id="rId17"/>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99" w:rsidRDefault="00C00B99" w:rsidP="00F17343">
      <w:r>
        <w:separator/>
      </w:r>
    </w:p>
  </w:endnote>
  <w:endnote w:type="continuationSeparator" w:id="0">
    <w:p w:rsidR="00C00B99" w:rsidRDefault="00C00B99" w:rsidP="00F1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0C3CC8" w:rsidRDefault="00A306AB" w:rsidP="000C3CC8">
    <w:pPr>
      <w:pStyle w:val="Title"/>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5C3C7D">
      <w:rPr>
        <w:b w:val="0"/>
        <w:noProof/>
        <w:sz w:val="20"/>
        <w:szCs w:val="20"/>
      </w:rPr>
      <w:t>AManot_030714_ES-Ukraina.docx</w:t>
    </w:r>
    <w:r>
      <w:rPr>
        <w:b w:val="0"/>
        <w:sz w:val="20"/>
        <w:szCs w:val="20"/>
      </w:rPr>
      <w:fldChar w:fldCharType="end"/>
    </w:r>
    <w:r w:rsidR="00AF64AB" w:rsidRPr="001F12CB">
      <w:rPr>
        <w:b w:val="0"/>
        <w:sz w:val="20"/>
        <w:szCs w:val="20"/>
      </w:rPr>
      <w:t xml:space="preserve">; </w:t>
    </w:r>
    <w:r w:rsidR="000C3CC8">
      <w:rPr>
        <w:b w:val="0"/>
        <w:sz w:val="20"/>
        <w:szCs w:val="20"/>
      </w:rPr>
      <w:t xml:space="preserve">Likumprojekta </w:t>
    </w:r>
    <w:r w:rsidR="000C3CC8" w:rsidRPr="000C3CC8">
      <w:rPr>
        <w:b w:val="0"/>
        <w:sz w:val="20"/>
        <w:szCs w:val="20"/>
      </w:rPr>
      <w:t>„</w:t>
    </w:r>
    <w:r w:rsidR="002A5942" w:rsidRPr="002A5942">
      <w:rPr>
        <w:b w:val="0"/>
        <w:sz w:val="20"/>
        <w:szCs w:val="20"/>
      </w:rPr>
      <w:t xml:space="preserve">Par Asociācijas nolīgumu starp Eiropas Savienību, Eiropas Atomenerģijas kopienu un to dalībvalstīm, no vienas puses, un </w:t>
    </w:r>
    <w:r w:rsidR="00776A91">
      <w:rPr>
        <w:b w:val="0"/>
        <w:sz w:val="20"/>
        <w:szCs w:val="20"/>
      </w:rPr>
      <w:t>Ukrainu</w:t>
    </w:r>
    <w:r w:rsidR="002A5942" w:rsidRPr="002A5942">
      <w:rPr>
        <w:b w:val="0"/>
        <w:sz w:val="20"/>
        <w:szCs w:val="20"/>
      </w:rPr>
      <w:t>, no otras puses</w:t>
    </w:r>
    <w:r w:rsidR="000C3CC8" w:rsidRPr="000C3CC8">
      <w:rPr>
        <w:b w:val="0"/>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Pr="000C3CC8" w:rsidRDefault="006D5229" w:rsidP="000C3CC8">
    <w:pPr>
      <w:pStyle w:val="Title"/>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5C3C7D">
      <w:rPr>
        <w:b w:val="0"/>
        <w:noProof/>
        <w:sz w:val="20"/>
        <w:szCs w:val="20"/>
      </w:rPr>
      <w:t>AManot_030714_ES-Ukraina.docx</w:t>
    </w:r>
    <w:r>
      <w:rPr>
        <w:b w:val="0"/>
        <w:sz w:val="20"/>
        <w:szCs w:val="20"/>
      </w:rPr>
      <w:fldChar w:fldCharType="end"/>
    </w:r>
    <w:r w:rsidR="00AF64AB" w:rsidRPr="001F12CB">
      <w:rPr>
        <w:b w:val="0"/>
        <w:sz w:val="20"/>
        <w:szCs w:val="20"/>
      </w:rPr>
      <w:t xml:space="preserve">; </w:t>
    </w:r>
    <w:r w:rsidR="000C3CC8">
      <w:rPr>
        <w:b w:val="0"/>
        <w:sz w:val="20"/>
        <w:szCs w:val="20"/>
      </w:rPr>
      <w:t xml:space="preserve">Likumprojekta </w:t>
    </w:r>
    <w:r w:rsidR="000C3CC8" w:rsidRPr="000C3CC8">
      <w:rPr>
        <w:b w:val="0"/>
        <w:sz w:val="20"/>
        <w:szCs w:val="20"/>
      </w:rPr>
      <w:t>„</w:t>
    </w:r>
    <w:r w:rsidR="002A5942" w:rsidRPr="002A5942">
      <w:rPr>
        <w:b w:val="0"/>
        <w:sz w:val="20"/>
        <w:szCs w:val="20"/>
      </w:rPr>
      <w:t xml:space="preserve">Par Asociācijas nolīgumu starp Eiropas Savienību, Eiropas Atomenerģijas kopienu un to dalībvalstīm, no vienas puses, un </w:t>
    </w:r>
    <w:r w:rsidR="00776A91">
      <w:rPr>
        <w:b w:val="0"/>
        <w:sz w:val="20"/>
        <w:szCs w:val="20"/>
      </w:rPr>
      <w:t>Ukrainu</w:t>
    </w:r>
    <w:r w:rsidR="002A5942" w:rsidRPr="002A5942">
      <w:rPr>
        <w:b w:val="0"/>
        <w:sz w:val="20"/>
        <w:szCs w:val="20"/>
      </w:rPr>
      <w:t>, no otras puses</w:t>
    </w:r>
    <w:r w:rsidR="000C3CC8" w:rsidRPr="000C3CC8">
      <w:rPr>
        <w:b w:val="0"/>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99" w:rsidRDefault="00C00B99" w:rsidP="00F17343">
      <w:r>
        <w:separator/>
      </w:r>
    </w:p>
  </w:footnote>
  <w:footnote w:type="continuationSeparator" w:id="0">
    <w:p w:rsidR="00C00B99" w:rsidRDefault="00C00B99" w:rsidP="00F17343">
      <w:r>
        <w:continuationSeparator/>
      </w:r>
    </w:p>
  </w:footnote>
  <w:footnote w:id="1">
    <w:p w:rsidR="00D552A8" w:rsidRDefault="00D552A8">
      <w:pPr>
        <w:pStyle w:val="FootnoteText"/>
      </w:pPr>
      <w:r>
        <w:rPr>
          <w:rStyle w:val="FootnoteReference"/>
        </w:rPr>
        <w:footnoteRef/>
      </w:r>
      <w:r>
        <w:t xml:space="preserve"> </w:t>
      </w:r>
      <w:r w:rsidRPr="00C51529">
        <w:rPr>
          <w:rFonts w:ascii="Times New Roman" w:hAnsi="Times New Roman"/>
          <w:i/>
        </w:rPr>
        <w:t>Deep and Comprehensive Free Trade Area</w:t>
      </w:r>
    </w:p>
  </w:footnote>
  <w:footnote w:id="2">
    <w:p w:rsidR="00FF33A0" w:rsidRPr="00561945" w:rsidRDefault="00FF33A0" w:rsidP="00FF33A0">
      <w:pPr>
        <w:pStyle w:val="FootnoteText"/>
        <w:rPr>
          <w:rFonts w:ascii="Times New Roman" w:hAnsi="Times New Roman"/>
        </w:rPr>
      </w:pPr>
      <w:r w:rsidRPr="00561945">
        <w:rPr>
          <w:rStyle w:val="FootnoteReference"/>
          <w:rFonts w:ascii="Times New Roman" w:hAnsi="Times New Roman"/>
        </w:rPr>
        <w:footnoteRef/>
      </w:r>
      <w:r w:rsidRPr="00561945">
        <w:rPr>
          <w:rFonts w:ascii="Times New Roman" w:hAnsi="Times New Roman"/>
        </w:rPr>
        <w:t xml:space="preserve">     Datumu, no kura nolīgumu piemēros provizoriski, Padomes Ģenerālsekretariāts publicēs </w:t>
      </w:r>
      <w:r w:rsidRPr="00561945">
        <w:rPr>
          <w:rFonts w:ascii="Times New Roman" w:hAnsi="Times New Roman"/>
          <w:i/>
          <w:iCs/>
        </w:rPr>
        <w:t>Eiropas Savienības Oficiālajā Vēstnesī</w:t>
      </w:r>
      <w:r w:rsidRPr="00561945">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Default="00AF64AB">
    <w:pPr>
      <w:pStyle w:val="Header"/>
      <w:jc w:val="center"/>
    </w:pPr>
    <w:r>
      <w:fldChar w:fldCharType="begin"/>
    </w:r>
    <w:r>
      <w:instrText xml:space="preserve"> PAGE   \* MERGEFORMAT </w:instrText>
    </w:r>
    <w:r>
      <w:fldChar w:fldCharType="separate"/>
    </w:r>
    <w:r w:rsidR="00C01077">
      <w:rPr>
        <w:noProof/>
      </w:rPr>
      <w:t>7</w:t>
    </w:r>
    <w:r>
      <w:fldChar w:fldCharType="end"/>
    </w:r>
  </w:p>
  <w:p w:rsidR="00AF64AB" w:rsidRDefault="00AF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C88"/>
    <w:multiLevelType w:val="hybridMultilevel"/>
    <w:tmpl w:val="B608C39E"/>
    <w:lvl w:ilvl="0" w:tplc="6A7C7F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4E0297"/>
    <w:multiLevelType w:val="hybridMultilevel"/>
    <w:tmpl w:val="F8021BD6"/>
    <w:lvl w:ilvl="0" w:tplc="07CA4D9E">
      <w:numFmt w:val="bullet"/>
      <w:lvlText w:val="-"/>
      <w:lvlJc w:val="left"/>
      <w:pPr>
        <w:ind w:left="1210" w:hanging="360"/>
      </w:pPr>
      <w:rPr>
        <w:rFonts w:ascii="Times New Roman" w:eastAsia="Times New Roman" w:hAnsi="Times New Roman" w:cs="Times New Roman" w:hint="default"/>
      </w:rPr>
    </w:lvl>
    <w:lvl w:ilvl="1" w:tplc="04260003">
      <w:start w:val="1"/>
      <w:numFmt w:val="bullet"/>
      <w:lvlText w:val="o"/>
      <w:lvlJc w:val="left"/>
      <w:pPr>
        <w:ind w:left="1930" w:hanging="360"/>
      </w:pPr>
      <w:rPr>
        <w:rFonts w:ascii="Courier New" w:hAnsi="Courier New" w:cs="Courier New" w:hint="default"/>
      </w:rPr>
    </w:lvl>
    <w:lvl w:ilvl="2" w:tplc="04260005">
      <w:start w:val="1"/>
      <w:numFmt w:val="bullet"/>
      <w:lvlText w:val=""/>
      <w:lvlJc w:val="left"/>
      <w:pPr>
        <w:ind w:left="2650" w:hanging="360"/>
      </w:pPr>
      <w:rPr>
        <w:rFonts w:ascii="Wingdings" w:hAnsi="Wingdings" w:hint="default"/>
      </w:rPr>
    </w:lvl>
    <w:lvl w:ilvl="3" w:tplc="04260001">
      <w:start w:val="1"/>
      <w:numFmt w:val="bullet"/>
      <w:lvlText w:val=""/>
      <w:lvlJc w:val="left"/>
      <w:pPr>
        <w:ind w:left="3370" w:hanging="360"/>
      </w:pPr>
      <w:rPr>
        <w:rFonts w:ascii="Symbol" w:hAnsi="Symbol" w:hint="default"/>
      </w:rPr>
    </w:lvl>
    <w:lvl w:ilvl="4" w:tplc="04260003">
      <w:start w:val="1"/>
      <w:numFmt w:val="bullet"/>
      <w:lvlText w:val="o"/>
      <w:lvlJc w:val="left"/>
      <w:pPr>
        <w:ind w:left="4090" w:hanging="360"/>
      </w:pPr>
      <w:rPr>
        <w:rFonts w:ascii="Courier New" w:hAnsi="Courier New" w:cs="Courier New" w:hint="default"/>
      </w:rPr>
    </w:lvl>
    <w:lvl w:ilvl="5" w:tplc="04260005">
      <w:start w:val="1"/>
      <w:numFmt w:val="bullet"/>
      <w:lvlText w:val=""/>
      <w:lvlJc w:val="left"/>
      <w:pPr>
        <w:ind w:left="4810" w:hanging="360"/>
      </w:pPr>
      <w:rPr>
        <w:rFonts w:ascii="Wingdings" w:hAnsi="Wingdings" w:hint="default"/>
      </w:rPr>
    </w:lvl>
    <w:lvl w:ilvl="6" w:tplc="04260001">
      <w:start w:val="1"/>
      <w:numFmt w:val="bullet"/>
      <w:lvlText w:val=""/>
      <w:lvlJc w:val="left"/>
      <w:pPr>
        <w:ind w:left="5530" w:hanging="360"/>
      </w:pPr>
      <w:rPr>
        <w:rFonts w:ascii="Symbol" w:hAnsi="Symbol" w:hint="default"/>
      </w:rPr>
    </w:lvl>
    <w:lvl w:ilvl="7" w:tplc="04260003">
      <w:start w:val="1"/>
      <w:numFmt w:val="bullet"/>
      <w:lvlText w:val="o"/>
      <w:lvlJc w:val="left"/>
      <w:pPr>
        <w:ind w:left="6250" w:hanging="360"/>
      </w:pPr>
      <w:rPr>
        <w:rFonts w:ascii="Courier New" w:hAnsi="Courier New" w:cs="Courier New" w:hint="default"/>
      </w:rPr>
    </w:lvl>
    <w:lvl w:ilvl="8" w:tplc="04260005">
      <w:start w:val="1"/>
      <w:numFmt w:val="bullet"/>
      <w:lvlText w:val=""/>
      <w:lvlJc w:val="left"/>
      <w:pPr>
        <w:ind w:left="6970" w:hanging="360"/>
      </w:pPr>
      <w:rPr>
        <w:rFonts w:ascii="Wingdings" w:hAnsi="Wingdings" w:hint="default"/>
      </w:rPr>
    </w:lvl>
  </w:abstractNum>
  <w:abstractNum w:abstractNumId="2">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3">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5">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nsid w:val="522234B4"/>
    <w:multiLevelType w:val="hybridMultilevel"/>
    <w:tmpl w:val="41328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E6F228E"/>
    <w:multiLevelType w:val="hybridMultilevel"/>
    <w:tmpl w:val="F89C2EC6"/>
    <w:lvl w:ilvl="0" w:tplc="A094CD5C">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5"/>
    <w:rsid w:val="00000F6A"/>
    <w:rsid w:val="00001E37"/>
    <w:rsid w:val="000063EE"/>
    <w:rsid w:val="00007D36"/>
    <w:rsid w:val="00007F44"/>
    <w:rsid w:val="00010226"/>
    <w:rsid w:val="000146BC"/>
    <w:rsid w:val="00014BA5"/>
    <w:rsid w:val="00015454"/>
    <w:rsid w:val="0001651D"/>
    <w:rsid w:val="00022245"/>
    <w:rsid w:val="00025469"/>
    <w:rsid w:val="00026916"/>
    <w:rsid w:val="00030A63"/>
    <w:rsid w:val="00030C41"/>
    <w:rsid w:val="00032600"/>
    <w:rsid w:val="00040CBD"/>
    <w:rsid w:val="0004402E"/>
    <w:rsid w:val="0004564C"/>
    <w:rsid w:val="00045E3D"/>
    <w:rsid w:val="00046656"/>
    <w:rsid w:val="00050060"/>
    <w:rsid w:val="00050705"/>
    <w:rsid w:val="00053211"/>
    <w:rsid w:val="00054798"/>
    <w:rsid w:val="00056756"/>
    <w:rsid w:val="00061FE8"/>
    <w:rsid w:val="00064532"/>
    <w:rsid w:val="000663FA"/>
    <w:rsid w:val="00067194"/>
    <w:rsid w:val="000706D6"/>
    <w:rsid w:val="0007156B"/>
    <w:rsid w:val="00072233"/>
    <w:rsid w:val="00072868"/>
    <w:rsid w:val="00081B09"/>
    <w:rsid w:val="00090360"/>
    <w:rsid w:val="00093619"/>
    <w:rsid w:val="0009429A"/>
    <w:rsid w:val="00095332"/>
    <w:rsid w:val="0009581A"/>
    <w:rsid w:val="000A0668"/>
    <w:rsid w:val="000A130E"/>
    <w:rsid w:val="000A71BF"/>
    <w:rsid w:val="000B1BC5"/>
    <w:rsid w:val="000B2486"/>
    <w:rsid w:val="000C3CC8"/>
    <w:rsid w:val="000C57F4"/>
    <w:rsid w:val="000D005B"/>
    <w:rsid w:val="000D0F39"/>
    <w:rsid w:val="000D1811"/>
    <w:rsid w:val="000D464F"/>
    <w:rsid w:val="000D47FA"/>
    <w:rsid w:val="000D4DF7"/>
    <w:rsid w:val="000D738B"/>
    <w:rsid w:val="000E1E6E"/>
    <w:rsid w:val="000F3804"/>
    <w:rsid w:val="000F3C12"/>
    <w:rsid w:val="000F74F2"/>
    <w:rsid w:val="00101785"/>
    <w:rsid w:val="00103E03"/>
    <w:rsid w:val="001042E3"/>
    <w:rsid w:val="00106A33"/>
    <w:rsid w:val="001079C2"/>
    <w:rsid w:val="0011145F"/>
    <w:rsid w:val="00112A73"/>
    <w:rsid w:val="001146EE"/>
    <w:rsid w:val="00115EF9"/>
    <w:rsid w:val="00123A40"/>
    <w:rsid w:val="00137D06"/>
    <w:rsid w:val="0014273D"/>
    <w:rsid w:val="00144B69"/>
    <w:rsid w:val="0014524C"/>
    <w:rsid w:val="00145C48"/>
    <w:rsid w:val="0015123F"/>
    <w:rsid w:val="00151E95"/>
    <w:rsid w:val="0016021B"/>
    <w:rsid w:val="00160485"/>
    <w:rsid w:val="001611C9"/>
    <w:rsid w:val="001627E0"/>
    <w:rsid w:val="00165047"/>
    <w:rsid w:val="0016599F"/>
    <w:rsid w:val="00166A88"/>
    <w:rsid w:val="00184953"/>
    <w:rsid w:val="00186CDA"/>
    <w:rsid w:val="001923BD"/>
    <w:rsid w:val="00192AA0"/>
    <w:rsid w:val="00194A4E"/>
    <w:rsid w:val="00195209"/>
    <w:rsid w:val="001A236E"/>
    <w:rsid w:val="001A2E81"/>
    <w:rsid w:val="001A6E90"/>
    <w:rsid w:val="001C262C"/>
    <w:rsid w:val="001C4139"/>
    <w:rsid w:val="001C4B38"/>
    <w:rsid w:val="001C6C1D"/>
    <w:rsid w:val="001E4C74"/>
    <w:rsid w:val="001F00B2"/>
    <w:rsid w:val="001F12CB"/>
    <w:rsid w:val="001F252B"/>
    <w:rsid w:val="001F363F"/>
    <w:rsid w:val="00200055"/>
    <w:rsid w:val="00200870"/>
    <w:rsid w:val="002044FB"/>
    <w:rsid w:val="0020553F"/>
    <w:rsid w:val="00207391"/>
    <w:rsid w:val="00210E66"/>
    <w:rsid w:val="00212B7A"/>
    <w:rsid w:val="002130FF"/>
    <w:rsid w:val="00223284"/>
    <w:rsid w:val="00230F14"/>
    <w:rsid w:val="00232C33"/>
    <w:rsid w:val="00233AEB"/>
    <w:rsid w:val="002367B7"/>
    <w:rsid w:val="00237AA1"/>
    <w:rsid w:val="00242BB7"/>
    <w:rsid w:val="0024567B"/>
    <w:rsid w:val="00253D27"/>
    <w:rsid w:val="00255215"/>
    <w:rsid w:val="00260061"/>
    <w:rsid w:val="002608D2"/>
    <w:rsid w:val="00261EF0"/>
    <w:rsid w:val="00264281"/>
    <w:rsid w:val="002643AC"/>
    <w:rsid w:val="00267A3F"/>
    <w:rsid w:val="002746AE"/>
    <w:rsid w:val="00275D9F"/>
    <w:rsid w:val="00291C6E"/>
    <w:rsid w:val="002922E6"/>
    <w:rsid w:val="002A5942"/>
    <w:rsid w:val="002B44D4"/>
    <w:rsid w:val="002C0DB3"/>
    <w:rsid w:val="002C3DE9"/>
    <w:rsid w:val="002C3EE5"/>
    <w:rsid w:val="002D04AF"/>
    <w:rsid w:val="002D3637"/>
    <w:rsid w:val="002D372E"/>
    <w:rsid w:val="002E3488"/>
    <w:rsid w:val="002E644A"/>
    <w:rsid w:val="002F14D1"/>
    <w:rsid w:val="002F5723"/>
    <w:rsid w:val="00302CA7"/>
    <w:rsid w:val="0031204D"/>
    <w:rsid w:val="00313D39"/>
    <w:rsid w:val="00321672"/>
    <w:rsid w:val="00323CAE"/>
    <w:rsid w:val="00325FBA"/>
    <w:rsid w:val="00330256"/>
    <w:rsid w:val="00331F74"/>
    <w:rsid w:val="003346DD"/>
    <w:rsid w:val="00340C49"/>
    <w:rsid w:val="00341F78"/>
    <w:rsid w:val="003442B1"/>
    <w:rsid w:val="00352940"/>
    <w:rsid w:val="0036767C"/>
    <w:rsid w:val="00371724"/>
    <w:rsid w:val="0037668D"/>
    <w:rsid w:val="00380A1F"/>
    <w:rsid w:val="00381BA8"/>
    <w:rsid w:val="00385125"/>
    <w:rsid w:val="00386DF6"/>
    <w:rsid w:val="003A231A"/>
    <w:rsid w:val="003A3B68"/>
    <w:rsid w:val="003A5B6C"/>
    <w:rsid w:val="003B4705"/>
    <w:rsid w:val="003B4D51"/>
    <w:rsid w:val="003C64B3"/>
    <w:rsid w:val="003C7A9B"/>
    <w:rsid w:val="003D370F"/>
    <w:rsid w:val="003E3213"/>
    <w:rsid w:val="003E4395"/>
    <w:rsid w:val="003E5D31"/>
    <w:rsid w:val="003F72BB"/>
    <w:rsid w:val="00400947"/>
    <w:rsid w:val="004059E2"/>
    <w:rsid w:val="004061E6"/>
    <w:rsid w:val="0040672F"/>
    <w:rsid w:val="00407832"/>
    <w:rsid w:val="0041227D"/>
    <w:rsid w:val="0041640C"/>
    <w:rsid w:val="0041760B"/>
    <w:rsid w:val="00420B5C"/>
    <w:rsid w:val="00432369"/>
    <w:rsid w:val="00436437"/>
    <w:rsid w:val="00443ADC"/>
    <w:rsid w:val="0044407D"/>
    <w:rsid w:val="0045370C"/>
    <w:rsid w:val="0045397C"/>
    <w:rsid w:val="00456142"/>
    <w:rsid w:val="004603E9"/>
    <w:rsid w:val="0046244B"/>
    <w:rsid w:val="0046595D"/>
    <w:rsid w:val="004732C2"/>
    <w:rsid w:val="00474E03"/>
    <w:rsid w:val="00476BA8"/>
    <w:rsid w:val="004844DA"/>
    <w:rsid w:val="004910CE"/>
    <w:rsid w:val="00491B45"/>
    <w:rsid w:val="00492744"/>
    <w:rsid w:val="00493DEA"/>
    <w:rsid w:val="00494FA7"/>
    <w:rsid w:val="004A0229"/>
    <w:rsid w:val="004A3F15"/>
    <w:rsid w:val="004C1309"/>
    <w:rsid w:val="004C5572"/>
    <w:rsid w:val="004D2F5E"/>
    <w:rsid w:val="004D44B3"/>
    <w:rsid w:val="004D5928"/>
    <w:rsid w:val="004D6077"/>
    <w:rsid w:val="004D75F2"/>
    <w:rsid w:val="004D795F"/>
    <w:rsid w:val="004D79A2"/>
    <w:rsid w:val="004E3B0A"/>
    <w:rsid w:val="004F6359"/>
    <w:rsid w:val="004F70F7"/>
    <w:rsid w:val="00501C5D"/>
    <w:rsid w:val="005062C1"/>
    <w:rsid w:val="0050762B"/>
    <w:rsid w:val="00517D01"/>
    <w:rsid w:val="005211ED"/>
    <w:rsid w:val="00522CB6"/>
    <w:rsid w:val="00531C96"/>
    <w:rsid w:val="00533DD4"/>
    <w:rsid w:val="0053440A"/>
    <w:rsid w:val="00537031"/>
    <w:rsid w:val="005404B2"/>
    <w:rsid w:val="00540D0C"/>
    <w:rsid w:val="00540E5B"/>
    <w:rsid w:val="00541228"/>
    <w:rsid w:val="00543BC9"/>
    <w:rsid w:val="00543BEF"/>
    <w:rsid w:val="005452D8"/>
    <w:rsid w:val="00555AC0"/>
    <w:rsid w:val="0055607D"/>
    <w:rsid w:val="0056127D"/>
    <w:rsid w:val="00564922"/>
    <w:rsid w:val="00565BB3"/>
    <w:rsid w:val="00566285"/>
    <w:rsid w:val="00570D7E"/>
    <w:rsid w:val="00580942"/>
    <w:rsid w:val="00585C6E"/>
    <w:rsid w:val="0058715D"/>
    <w:rsid w:val="00587B6B"/>
    <w:rsid w:val="00587E3B"/>
    <w:rsid w:val="0059089A"/>
    <w:rsid w:val="0059651D"/>
    <w:rsid w:val="005A4895"/>
    <w:rsid w:val="005B0A00"/>
    <w:rsid w:val="005B38E4"/>
    <w:rsid w:val="005B47E9"/>
    <w:rsid w:val="005C07CE"/>
    <w:rsid w:val="005C1511"/>
    <w:rsid w:val="005C24B3"/>
    <w:rsid w:val="005C3C7D"/>
    <w:rsid w:val="005C4F9D"/>
    <w:rsid w:val="005C71B5"/>
    <w:rsid w:val="005D0B4D"/>
    <w:rsid w:val="005D217E"/>
    <w:rsid w:val="005D3516"/>
    <w:rsid w:val="005D6331"/>
    <w:rsid w:val="005E060D"/>
    <w:rsid w:val="005E4DDF"/>
    <w:rsid w:val="005F24F2"/>
    <w:rsid w:val="00603EAD"/>
    <w:rsid w:val="00605F76"/>
    <w:rsid w:val="00610474"/>
    <w:rsid w:val="00620FA9"/>
    <w:rsid w:val="00621605"/>
    <w:rsid w:val="0063189F"/>
    <w:rsid w:val="006420B9"/>
    <w:rsid w:val="0064492A"/>
    <w:rsid w:val="00652153"/>
    <w:rsid w:val="006534D4"/>
    <w:rsid w:val="006548D2"/>
    <w:rsid w:val="006578B5"/>
    <w:rsid w:val="0066148A"/>
    <w:rsid w:val="00670F56"/>
    <w:rsid w:val="00674246"/>
    <w:rsid w:val="006762C4"/>
    <w:rsid w:val="00677783"/>
    <w:rsid w:val="006848C7"/>
    <w:rsid w:val="00685E5A"/>
    <w:rsid w:val="00686F9F"/>
    <w:rsid w:val="006921BD"/>
    <w:rsid w:val="00694A7E"/>
    <w:rsid w:val="0069686D"/>
    <w:rsid w:val="006A528E"/>
    <w:rsid w:val="006A7A08"/>
    <w:rsid w:val="006B1FD5"/>
    <w:rsid w:val="006B4AB1"/>
    <w:rsid w:val="006C0EAB"/>
    <w:rsid w:val="006C59A9"/>
    <w:rsid w:val="006C65D6"/>
    <w:rsid w:val="006D33CC"/>
    <w:rsid w:val="006D5229"/>
    <w:rsid w:val="006D70A1"/>
    <w:rsid w:val="006D7532"/>
    <w:rsid w:val="006E6EA6"/>
    <w:rsid w:val="006F05F2"/>
    <w:rsid w:val="006F3CBE"/>
    <w:rsid w:val="00707BF1"/>
    <w:rsid w:val="00712E6E"/>
    <w:rsid w:val="00713397"/>
    <w:rsid w:val="007229F3"/>
    <w:rsid w:val="00723802"/>
    <w:rsid w:val="00724728"/>
    <w:rsid w:val="007260EA"/>
    <w:rsid w:val="00733C5D"/>
    <w:rsid w:val="007343D3"/>
    <w:rsid w:val="0073617F"/>
    <w:rsid w:val="00740740"/>
    <w:rsid w:val="0074198F"/>
    <w:rsid w:val="00745DA0"/>
    <w:rsid w:val="00757927"/>
    <w:rsid w:val="007667A7"/>
    <w:rsid w:val="00774A77"/>
    <w:rsid w:val="007768E9"/>
    <w:rsid w:val="00776A91"/>
    <w:rsid w:val="00783954"/>
    <w:rsid w:val="00785C23"/>
    <w:rsid w:val="0079360E"/>
    <w:rsid w:val="007938BE"/>
    <w:rsid w:val="007B32A5"/>
    <w:rsid w:val="007B394F"/>
    <w:rsid w:val="007B5033"/>
    <w:rsid w:val="007B79E1"/>
    <w:rsid w:val="007B7E45"/>
    <w:rsid w:val="007D4888"/>
    <w:rsid w:val="007D6B43"/>
    <w:rsid w:val="007D744E"/>
    <w:rsid w:val="007E205A"/>
    <w:rsid w:val="007E752D"/>
    <w:rsid w:val="00800FAB"/>
    <w:rsid w:val="00807354"/>
    <w:rsid w:val="00810227"/>
    <w:rsid w:val="00811B99"/>
    <w:rsid w:val="00821FE0"/>
    <w:rsid w:val="008300BA"/>
    <w:rsid w:val="00832167"/>
    <w:rsid w:val="0083338B"/>
    <w:rsid w:val="00836A25"/>
    <w:rsid w:val="0084035C"/>
    <w:rsid w:val="0084058B"/>
    <w:rsid w:val="008444CF"/>
    <w:rsid w:val="00844AD5"/>
    <w:rsid w:val="00846C52"/>
    <w:rsid w:val="0084765F"/>
    <w:rsid w:val="00851367"/>
    <w:rsid w:val="00852C5E"/>
    <w:rsid w:val="00854CF2"/>
    <w:rsid w:val="00857513"/>
    <w:rsid w:val="00861FE3"/>
    <w:rsid w:val="008633D1"/>
    <w:rsid w:val="00864AF4"/>
    <w:rsid w:val="00866628"/>
    <w:rsid w:val="00870DE4"/>
    <w:rsid w:val="0087364D"/>
    <w:rsid w:val="00875C95"/>
    <w:rsid w:val="00876775"/>
    <w:rsid w:val="00877AFC"/>
    <w:rsid w:val="008852B6"/>
    <w:rsid w:val="008854D8"/>
    <w:rsid w:val="0088602A"/>
    <w:rsid w:val="00890C43"/>
    <w:rsid w:val="008917DB"/>
    <w:rsid w:val="00894FDE"/>
    <w:rsid w:val="008A0488"/>
    <w:rsid w:val="008A2C4D"/>
    <w:rsid w:val="008B5565"/>
    <w:rsid w:val="008B622E"/>
    <w:rsid w:val="008C4223"/>
    <w:rsid w:val="008C49DD"/>
    <w:rsid w:val="008C5376"/>
    <w:rsid w:val="008C54D9"/>
    <w:rsid w:val="008D05B2"/>
    <w:rsid w:val="008D36DE"/>
    <w:rsid w:val="008D4CD9"/>
    <w:rsid w:val="008D58E2"/>
    <w:rsid w:val="008D5C56"/>
    <w:rsid w:val="008D745D"/>
    <w:rsid w:val="008D7F03"/>
    <w:rsid w:val="008E0921"/>
    <w:rsid w:val="008E1704"/>
    <w:rsid w:val="008E69CC"/>
    <w:rsid w:val="008F1313"/>
    <w:rsid w:val="008F5BB5"/>
    <w:rsid w:val="008F6347"/>
    <w:rsid w:val="00903513"/>
    <w:rsid w:val="0091356D"/>
    <w:rsid w:val="00914391"/>
    <w:rsid w:val="009144CA"/>
    <w:rsid w:val="00915361"/>
    <w:rsid w:val="00921412"/>
    <w:rsid w:val="00922743"/>
    <w:rsid w:val="009240F5"/>
    <w:rsid w:val="0092461C"/>
    <w:rsid w:val="00924F1D"/>
    <w:rsid w:val="00927BC9"/>
    <w:rsid w:val="00931C4F"/>
    <w:rsid w:val="00931DC6"/>
    <w:rsid w:val="00932CBE"/>
    <w:rsid w:val="0093373C"/>
    <w:rsid w:val="00934D1A"/>
    <w:rsid w:val="00936281"/>
    <w:rsid w:val="0094035C"/>
    <w:rsid w:val="00941B3C"/>
    <w:rsid w:val="00943319"/>
    <w:rsid w:val="0094387D"/>
    <w:rsid w:val="009501C7"/>
    <w:rsid w:val="00957906"/>
    <w:rsid w:val="0096577A"/>
    <w:rsid w:val="00966893"/>
    <w:rsid w:val="00967259"/>
    <w:rsid w:val="00967685"/>
    <w:rsid w:val="00972D86"/>
    <w:rsid w:val="009738EE"/>
    <w:rsid w:val="00973E9C"/>
    <w:rsid w:val="009773E3"/>
    <w:rsid w:val="009804FB"/>
    <w:rsid w:val="00980A93"/>
    <w:rsid w:val="00983717"/>
    <w:rsid w:val="0098591F"/>
    <w:rsid w:val="00986089"/>
    <w:rsid w:val="009872C7"/>
    <w:rsid w:val="00992AD6"/>
    <w:rsid w:val="00994930"/>
    <w:rsid w:val="009A29FD"/>
    <w:rsid w:val="009A30E9"/>
    <w:rsid w:val="009B1666"/>
    <w:rsid w:val="009B5EE2"/>
    <w:rsid w:val="009B6343"/>
    <w:rsid w:val="009C3D86"/>
    <w:rsid w:val="009C55AE"/>
    <w:rsid w:val="009D0CA0"/>
    <w:rsid w:val="009D0F6E"/>
    <w:rsid w:val="009D54EC"/>
    <w:rsid w:val="009D5C74"/>
    <w:rsid w:val="009F4935"/>
    <w:rsid w:val="00A02AA9"/>
    <w:rsid w:val="00A04070"/>
    <w:rsid w:val="00A0453B"/>
    <w:rsid w:val="00A05B08"/>
    <w:rsid w:val="00A12A3E"/>
    <w:rsid w:val="00A14240"/>
    <w:rsid w:val="00A14804"/>
    <w:rsid w:val="00A14841"/>
    <w:rsid w:val="00A2531E"/>
    <w:rsid w:val="00A25AB5"/>
    <w:rsid w:val="00A30391"/>
    <w:rsid w:val="00A306AB"/>
    <w:rsid w:val="00A30A98"/>
    <w:rsid w:val="00A31F43"/>
    <w:rsid w:val="00A320A5"/>
    <w:rsid w:val="00A36BDF"/>
    <w:rsid w:val="00A36F33"/>
    <w:rsid w:val="00A40295"/>
    <w:rsid w:val="00A41755"/>
    <w:rsid w:val="00A517B0"/>
    <w:rsid w:val="00A54F10"/>
    <w:rsid w:val="00A6243C"/>
    <w:rsid w:val="00A62806"/>
    <w:rsid w:val="00A62F42"/>
    <w:rsid w:val="00A6645C"/>
    <w:rsid w:val="00A66544"/>
    <w:rsid w:val="00A7588F"/>
    <w:rsid w:val="00A75B17"/>
    <w:rsid w:val="00A77409"/>
    <w:rsid w:val="00A87E8B"/>
    <w:rsid w:val="00A91E64"/>
    <w:rsid w:val="00A95D7C"/>
    <w:rsid w:val="00A97A7F"/>
    <w:rsid w:val="00AA266B"/>
    <w:rsid w:val="00AA4026"/>
    <w:rsid w:val="00AB03EF"/>
    <w:rsid w:val="00AB11A4"/>
    <w:rsid w:val="00AB7C40"/>
    <w:rsid w:val="00AC3638"/>
    <w:rsid w:val="00AC542F"/>
    <w:rsid w:val="00AD3D1C"/>
    <w:rsid w:val="00AE2AAF"/>
    <w:rsid w:val="00AE6FAC"/>
    <w:rsid w:val="00AF4892"/>
    <w:rsid w:val="00AF634C"/>
    <w:rsid w:val="00AF64AB"/>
    <w:rsid w:val="00AF6D1D"/>
    <w:rsid w:val="00B07050"/>
    <w:rsid w:val="00B11D15"/>
    <w:rsid w:val="00B11F04"/>
    <w:rsid w:val="00B13E1E"/>
    <w:rsid w:val="00B16992"/>
    <w:rsid w:val="00B21295"/>
    <w:rsid w:val="00B24289"/>
    <w:rsid w:val="00B33B82"/>
    <w:rsid w:val="00B34981"/>
    <w:rsid w:val="00B37C28"/>
    <w:rsid w:val="00B405B1"/>
    <w:rsid w:val="00B43EF1"/>
    <w:rsid w:val="00B43F66"/>
    <w:rsid w:val="00B4557D"/>
    <w:rsid w:val="00B63A47"/>
    <w:rsid w:val="00B64A47"/>
    <w:rsid w:val="00B66EE2"/>
    <w:rsid w:val="00B74C31"/>
    <w:rsid w:val="00B7616D"/>
    <w:rsid w:val="00B82A09"/>
    <w:rsid w:val="00B867D7"/>
    <w:rsid w:val="00B910E5"/>
    <w:rsid w:val="00B95ECF"/>
    <w:rsid w:val="00B96293"/>
    <w:rsid w:val="00B974D0"/>
    <w:rsid w:val="00BA4AC8"/>
    <w:rsid w:val="00BA592A"/>
    <w:rsid w:val="00BB3D0F"/>
    <w:rsid w:val="00BB42C4"/>
    <w:rsid w:val="00BC2D2B"/>
    <w:rsid w:val="00BC6DA1"/>
    <w:rsid w:val="00BD4682"/>
    <w:rsid w:val="00BE1F5A"/>
    <w:rsid w:val="00BF3A80"/>
    <w:rsid w:val="00C00B99"/>
    <w:rsid w:val="00C00CFD"/>
    <w:rsid w:val="00C01077"/>
    <w:rsid w:val="00C13726"/>
    <w:rsid w:val="00C2401E"/>
    <w:rsid w:val="00C35CE7"/>
    <w:rsid w:val="00C35F54"/>
    <w:rsid w:val="00C46166"/>
    <w:rsid w:val="00C50D09"/>
    <w:rsid w:val="00C527FC"/>
    <w:rsid w:val="00C603F6"/>
    <w:rsid w:val="00C605E4"/>
    <w:rsid w:val="00C63C72"/>
    <w:rsid w:val="00C66F7D"/>
    <w:rsid w:val="00C72383"/>
    <w:rsid w:val="00C73E83"/>
    <w:rsid w:val="00C77901"/>
    <w:rsid w:val="00C84AA3"/>
    <w:rsid w:val="00C86252"/>
    <w:rsid w:val="00C878B5"/>
    <w:rsid w:val="00C96C25"/>
    <w:rsid w:val="00CA0135"/>
    <w:rsid w:val="00CA0BE0"/>
    <w:rsid w:val="00CA34C9"/>
    <w:rsid w:val="00CC3F6E"/>
    <w:rsid w:val="00CC545D"/>
    <w:rsid w:val="00CC6AF3"/>
    <w:rsid w:val="00CC75C9"/>
    <w:rsid w:val="00CD1D7D"/>
    <w:rsid w:val="00CD3D29"/>
    <w:rsid w:val="00CE467B"/>
    <w:rsid w:val="00CE65C7"/>
    <w:rsid w:val="00CE7364"/>
    <w:rsid w:val="00CF2F39"/>
    <w:rsid w:val="00D036C9"/>
    <w:rsid w:val="00D07682"/>
    <w:rsid w:val="00D12B80"/>
    <w:rsid w:val="00D12F52"/>
    <w:rsid w:val="00D213EA"/>
    <w:rsid w:val="00D24DE3"/>
    <w:rsid w:val="00D256AD"/>
    <w:rsid w:val="00D269E9"/>
    <w:rsid w:val="00D3063D"/>
    <w:rsid w:val="00D326CE"/>
    <w:rsid w:val="00D32D94"/>
    <w:rsid w:val="00D34BB0"/>
    <w:rsid w:val="00D451A8"/>
    <w:rsid w:val="00D459DB"/>
    <w:rsid w:val="00D46B1A"/>
    <w:rsid w:val="00D552A8"/>
    <w:rsid w:val="00D57BF2"/>
    <w:rsid w:val="00D61272"/>
    <w:rsid w:val="00D63933"/>
    <w:rsid w:val="00D65249"/>
    <w:rsid w:val="00D70E20"/>
    <w:rsid w:val="00D72B1C"/>
    <w:rsid w:val="00D80C77"/>
    <w:rsid w:val="00D8287D"/>
    <w:rsid w:val="00D82F66"/>
    <w:rsid w:val="00D84040"/>
    <w:rsid w:val="00D92292"/>
    <w:rsid w:val="00D92E06"/>
    <w:rsid w:val="00D9631E"/>
    <w:rsid w:val="00DA4D45"/>
    <w:rsid w:val="00DA66CA"/>
    <w:rsid w:val="00DB3CFB"/>
    <w:rsid w:val="00DC0275"/>
    <w:rsid w:val="00DC47C8"/>
    <w:rsid w:val="00DC6A07"/>
    <w:rsid w:val="00DC7A89"/>
    <w:rsid w:val="00DD4951"/>
    <w:rsid w:val="00DD6CE6"/>
    <w:rsid w:val="00DE360B"/>
    <w:rsid w:val="00DE3C42"/>
    <w:rsid w:val="00DE78FA"/>
    <w:rsid w:val="00DF063D"/>
    <w:rsid w:val="00DF117F"/>
    <w:rsid w:val="00E02825"/>
    <w:rsid w:val="00E033B3"/>
    <w:rsid w:val="00E0371D"/>
    <w:rsid w:val="00E05349"/>
    <w:rsid w:val="00E0774C"/>
    <w:rsid w:val="00E10551"/>
    <w:rsid w:val="00E107BA"/>
    <w:rsid w:val="00E10901"/>
    <w:rsid w:val="00E127EA"/>
    <w:rsid w:val="00E1786A"/>
    <w:rsid w:val="00E178C0"/>
    <w:rsid w:val="00E22C11"/>
    <w:rsid w:val="00E234C5"/>
    <w:rsid w:val="00E2371C"/>
    <w:rsid w:val="00E30A7D"/>
    <w:rsid w:val="00E35AC9"/>
    <w:rsid w:val="00E47580"/>
    <w:rsid w:val="00E50050"/>
    <w:rsid w:val="00E5195D"/>
    <w:rsid w:val="00E53183"/>
    <w:rsid w:val="00E57E29"/>
    <w:rsid w:val="00E620F6"/>
    <w:rsid w:val="00E64B02"/>
    <w:rsid w:val="00E663F3"/>
    <w:rsid w:val="00E674C4"/>
    <w:rsid w:val="00E67B48"/>
    <w:rsid w:val="00E72341"/>
    <w:rsid w:val="00E74B64"/>
    <w:rsid w:val="00E77C85"/>
    <w:rsid w:val="00E83302"/>
    <w:rsid w:val="00E874C9"/>
    <w:rsid w:val="00EA090B"/>
    <w:rsid w:val="00EA5069"/>
    <w:rsid w:val="00EB3715"/>
    <w:rsid w:val="00EC1F71"/>
    <w:rsid w:val="00EC2D0F"/>
    <w:rsid w:val="00EC6E04"/>
    <w:rsid w:val="00ED26F3"/>
    <w:rsid w:val="00ED4451"/>
    <w:rsid w:val="00ED46A5"/>
    <w:rsid w:val="00ED5BBA"/>
    <w:rsid w:val="00EE123B"/>
    <w:rsid w:val="00EE26BD"/>
    <w:rsid w:val="00EE6113"/>
    <w:rsid w:val="00EF20DE"/>
    <w:rsid w:val="00EF5047"/>
    <w:rsid w:val="00EF698C"/>
    <w:rsid w:val="00F02124"/>
    <w:rsid w:val="00F02CDB"/>
    <w:rsid w:val="00F03156"/>
    <w:rsid w:val="00F057CC"/>
    <w:rsid w:val="00F06361"/>
    <w:rsid w:val="00F14CD7"/>
    <w:rsid w:val="00F17343"/>
    <w:rsid w:val="00F2282B"/>
    <w:rsid w:val="00F24AB5"/>
    <w:rsid w:val="00F27A9A"/>
    <w:rsid w:val="00F316A8"/>
    <w:rsid w:val="00F32CA1"/>
    <w:rsid w:val="00F33811"/>
    <w:rsid w:val="00F346DF"/>
    <w:rsid w:val="00F370C1"/>
    <w:rsid w:val="00F3724C"/>
    <w:rsid w:val="00F417AB"/>
    <w:rsid w:val="00F46AE7"/>
    <w:rsid w:val="00F54C56"/>
    <w:rsid w:val="00F56D9B"/>
    <w:rsid w:val="00F60EB8"/>
    <w:rsid w:val="00F64EF0"/>
    <w:rsid w:val="00F67415"/>
    <w:rsid w:val="00F677B0"/>
    <w:rsid w:val="00F73BF3"/>
    <w:rsid w:val="00F753EB"/>
    <w:rsid w:val="00F811B1"/>
    <w:rsid w:val="00F82311"/>
    <w:rsid w:val="00F82479"/>
    <w:rsid w:val="00F83633"/>
    <w:rsid w:val="00F91B9D"/>
    <w:rsid w:val="00F93EFA"/>
    <w:rsid w:val="00F94623"/>
    <w:rsid w:val="00FA18D2"/>
    <w:rsid w:val="00FA22F4"/>
    <w:rsid w:val="00FA48E2"/>
    <w:rsid w:val="00FB21BB"/>
    <w:rsid w:val="00FB6035"/>
    <w:rsid w:val="00FC0F76"/>
    <w:rsid w:val="00FC1082"/>
    <w:rsid w:val="00FC5BF9"/>
    <w:rsid w:val="00FC7603"/>
    <w:rsid w:val="00FD0437"/>
    <w:rsid w:val="00FD36E9"/>
    <w:rsid w:val="00FD47A3"/>
    <w:rsid w:val="00FD6AD8"/>
    <w:rsid w:val="00FE056F"/>
    <w:rsid w:val="00FE1854"/>
    <w:rsid w:val="00FE3A92"/>
    <w:rsid w:val="00FE4425"/>
    <w:rsid w:val="00FE4A80"/>
    <w:rsid w:val="00FE54A6"/>
    <w:rsid w:val="00FF28C1"/>
    <w:rsid w:val="00FF33A0"/>
    <w:rsid w:val="00FF5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customStyle="1" w:styleId="Point1">
    <w:name w:val="Point 1"/>
    <w:basedOn w:val="Normal"/>
    <w:rsid w:val="00543BEF"/>
    <w:pPr>
      <w:spacing w:before="120" w:after="120" w:line="360" w:lineRule="auto"/>
      <w:ind w:left="1417" w:hanging="567"/>
    </w:pPr>
    <w:rPr>
      <w:rFonts w:eastAsiaTheme="minorHAnsi"/>
    </w:rPr>
  </w:style>
  <w:style w:type="paragraph" w:styleId="FootnoteText">
    <w:name w:val="footnote text"/>
    <w:basedOn w:val="Normal"/>
    <w:link w:val="FootnoteTextChar"/>
    <w:uiPriority w:val="99"/>
    <w:semiHidden/>
    <w:unhideWhenUsed/>
    <w:rsid w:val="00D552A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552A8"/>
    <w:rPr>
      <w:rFonts w:ascii="Calibri" w:hAnsi="Calibri"/>
      <w:lang w:eastAsia="en-US"/>
    </w:rPr>
  </w:style>
  <w:style w:type="character" w:styleId="FootnoteReference">
    <w:name w:val="footnote reference"/>
    <w:uiPriority w:val="99"/>
    <w:semiHidden/>
    <w:unhideWhenUsed/>
    <w:rsid w:val="00D55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customStyle="1" w:styleId="Point1">
    <w:name w:val="Point 1"/>
    <w:basedOn w:val="Normal"/>
    <w:rsid w:val="00543BEF"/>
    <w:pPr>
      <w:spacing w:before="120" w:after="120" w:line="360" w:lineRule="auto"/>
      <w:ind w:left="1417" w:hanging="567"/>
    </w:pPr>
    <w:rPr>
      <w:rFonts w:eastAsiaTheme="minorHAnsi"/>
    </w:rPr>
  </w:style>
  <w:style w:type="paragraph" w:styleId="FootnoteText">
    <w:name w:val="footnote text"/>
    <w:basedOn w:val="Normal"/>
    <w:link w:val="FootnoteTextChar"/>
    <w:uiPriority w:val="99"/>
    <w:semiHidden/>
    <w:unhideWhenUsed/>
    <w:rsid w:val="00D552A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552A8"/>
    <w:rPr>
      <w:rFonts w:ascii="Calibri" w:hAnsi="Calibri"/>
      <w:lang w:eastAsia="en-US"/>
    </w:rPr>
  </w:style>
  <w:style w:type="character" w:styleId="FootnoteReference">
    <w:name w:val="footnote reference"/>
    <w:uiPriority w:val="99"/>
    <w:semiHidden/>
    <w:unhideWhenUsed/>
    <w:rsid w:val="00D5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480">
      <w:bodyDiv w:val="1"/>
      <w:marLeft w:val="0"/>
      <w:marRight w:val="0"/>
      <w:marTop w:val="0"/>
      <w:marBottom w:val="0"/>
      <w:divBdr>
        <w:top w:val="none" w:sz="0" w:space="0" w:color="auto"/>
        <w:left w:val="none" w:sz="0" w:space="0" w:color="auto"/>
        <w:bottom w:val="none" w:sz="0" w:space="0" w:color="auto"/>
        <w:right w:val="none" w:sz="0" w:space="0" w:color="auto"/>
      </w:divBdr>
      <w:divsChild>
        <w:div w:id="1082483856">
          <w:marLeft w:val="0"/>
          <w:marRight w:val="0"/>
          <w:marTop w:val="0"/>
          <w:marBottom w:val="0"/>
          <w:divBdr>
            <w:top w:val="none" w:sz="0" w:space="0" w:color="auto"/>
            <w:left w:val="none" w:sz="0" w:space="0" w:color="auto"/>
            <w:bottom w:val="none" w:sz="0" w:space="0" w:color="auto"/>
            <w:right w:val="none" w:sz="0" w:space="0" w:color="auto"/>
          </w:divBdr>
          <w:divsChild>
            <w:div w:id="1110466865">
              <w:marLeft w:val="0"/>
              <w:marRight w:val="0"/>
              <w:marTop w:val="0"/>
              <w:marBottom w:val="0"/>
              <w:divBdr>
                <w:top w:val="none" w:sz="0" w:space="0" w:color="auto"/>
                <w:left w:val="none" w:sz="0" w:space="0" w:color="auto"/>
                <w:bottom w:val="none" w:sz="0" w:space="0" w:color="auto"/>
                <w:right w:val="none" w:sz="0" w:space="0" w:color="auto"/>
              </w:divBdr>
              <w:divsChild>
                <w:div w:id="1569344969">
                  <w:marLeft w:val="0"/>
                  <w:marRight w:val="0"/>
                  <w:marTop w:val="0"/>
                  <w:marBottom w:val="0"/>
                  <w:divBdr>
                    <w:top w:val="none" w:sz="0" w:space="0" w:color="auto"/>
                    <w:left w:val="none" w:sz="0" w:space="0" w:color="auto"/>
                    <w:bottom w:val="none" w:sz="0" w:space="0" w:color="auto"/>
                    <w:right w:val="none" w:sz="0" w:space="0" w:color="auto"/>
                  </w:divBdr>
                  <w:divsChild>
                    <w:div w:id="612593687">
                      <w:marLeft w:val="0"/>
                      <w:marRight w:val="0"/>
                      <w:marTop w:val="0"/>
                      <w:marBottom w:val="0"/>
                      <w:divBdr>
                        <w:top w:val="none" w:sz="0" w:space="0" w:color="auto"/>
                        <w:left w:val="none" w:sz="0" w:space="0" w:color="auto"/>
                        <w:bottom w:val="none" w:sz="0" w:space="0" w:color="auto"/>
                        <w:right w:val="none" w:sz="0" w:space="0" w:color="auto"/>
                      </w:divBdr>
                      <w:divsChild>
                        <w:div w:id="828903933">
                          <w:marLeft w:val="0"/>
                          <w:marRight w:val="0"/>
                          <w:marTop w:val="0"/>
                          <w:marBottom w:val="0"/>
                          <w:divBdr>
                            <w:top w:val="none" w:sz="0" w:space="0" w:color="auto"/>
                            <w:left w:val="none" w:sz="0" w:space="0" w:color="auto"/>
                            <w:bottom w:val="none" w:sz="0" w:space="0" w:color="auto"/>
                            <w:right w:val="none" w:sz="0" w:space="0" w:color="auto"/>
                          </w:divBdr>
                          <w:divsChild>
                            <w:div w:id="1392343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0334">
      <w:bodyDiv w:val="1"/>
      <w:marLeft w:val="0"/>
      <w:marRight w:val="0"/>
      <w:marTop w:val="0"/>
      <w:marBottom w:val="0"/>
      <w:divBdr>
        <w:top w:val="none" w:sz="0" w:space="0" w:color="auto"/>
        <w:left w:val="none" w:sz="0" w:space="0" w:color="auto"/>
        <w:bottom w:val="none" w:sz="0" w:space="0" w:color="auto"/>
        <w:right w:val="none" w:sz="0" w:space="0" w:color="auto"/>
      </w:divBdr>
      <w:divsChild>
        <w:div w:id="315887153">
          <w:marLeft w:val="0"/>
          <w:marRight w:val="0"/>
          <w:marTop w:val="0"/>
          <w:marBottom w:val="0"/>
          <w:divBdr>
            <w:top w:val="none" w:sz="0" w:space="0" w:color="auto"/>
            <w:left w:val="none" w:sz="0" w:space="0" w:color="auto"/>
            <w:bottom w:val="none" w:sz="0" w:space="0" w:color="auto"/>
            <w:right w:val="none" w:sz="0" w:space="0" w:color="auto"/>
          </w:divBdr>
        </w:div>
      </w:divsChild>
    </w:div>
    <w:div w:id="132410584">
      <w:bodyDiv w:val="1"/>
      <w:marLeft w:val="0"/>
      <w:marRight w:val="0"/>
      <w:marTop w:val="0"/>
      <w:marBottom w:val="0"/>
      <w:divBdr>
        <w:top w:val="none" w:sz="0" w:space="0" w:color="auto"/>
        <w:left w:val="none" w:sz="0" w:space="0" w:color="auto"/>
        <w:bottom w:val="none" w:sz="0" w:space="0" w:color="auto"/>
        <w:right w:val="none" w:sz="0" w:space="0" w:color="auto"/>
      </w:divBdr>
    </w:div>
    <w:div w:id="227813329">
      <w:bodyDiv w:val="1"/>
      <w:marLeft w:val="0"/>
      <w:marRight w:val="0"/>
      <w:marTop w:val="0"/>
      <w:marBottom w:val="0"/>
      <w:divBdr>
        <w:top w:val="none" w:sz="0" w:space="0" w:color="auto"/>
        <w:left w:val="none" w:sz="0" w:space="0" w:color="auto"/>
        <w:bottom w:val="none" w:sz="0" w:space="0" w:color="auto"/>
        <w:right w:val="none" w:sz="0" w:space="0" w:color="auto"/>
      </w:divBdr>
    </w:div>
    <w:div w:id="267810074">
      <w:bodyDiv w:val="1"/>
      <w:marLeft w:val="0"/>
      <w:marRight w:val="0"/>
      <w:marTop w:val="0"/>
      <w:marBottom w:val="0"/>
      <w:divBdr>
        <w:top w:val="none" w:sz="0" w:space="0" w:color="auto"/>
        <w:left w:val="none" w:sz="0" w:space="0" w:color="auto"/>
        <w:bottom w:val="none" w:sz="0" w:space="0" w:color="auto"/>
        <w:right w:val="none" w:sz="0" w:space="0" w:color="auto"/>
      </w:divBdr>
    </w:div>
    <w:div w:id="273367243">
      <w:bodyDiv w:val="1"/>
      <w:marLeft w:val="0"/>
      <w:marRight w:val="0"/>
      <w:marTop w:val="0"/>
      <w:marBottom w:val="0"/>
      <w:divBdr>
        <w:top w:val="none" w:sz="0" w:space="0" w:color="auto"/>
        <w:left w:val="none" w:sz="0" w:space="0" w:color="auto"/>
        <w:bottom w:val="none" w:sz="0" w:space="0" w:color="auto"/>
        <w:right w:val="none" w:sz="0" w:space="0" w:color="auto"/>
      </w:divBdr>
    </w:div>
    <w:div w:id="289166328">
      <w:bodyDiv w:val="1"/>
      <w:marLeft w:val="0"/>
      <w:marRight w:val="0"/>
      <w:marTop w:val="0"/>
      <w:marBottom w:val="0"/>
      <w:divBdr>
        <w:top w:val="none" w:sz="0" w:space="0" w:color="auto"/>
        <w:left w:val="none" w:sz="0" w:space="0" w:color="auto"/>
        <w:bottom w:val="none" w:sz="0" w:space="0" w:color="auto"/>
        <w:right w:val="none" w:sz="0" w:space="0" w:color="auto"/>
      </w:divBdr>
    </w:div>
    <w:div w:id="352000014">
      <w:bodyDiv w:val="1"/>
      <w:marLeft w:val="0"/>
      <w:marRight w:val="0"/>
      <w:marTop w:val="0"/>
      <w:marBottom w:val="0"/>
      <w:divBdr>
        <w:top w:val="none" w:sz="0" w:space="0" w:color="auto"/>
        <w:left w:val="none" w:sz="0" w:space="0" w:color="auto"/>
        <w:bottom w:val="none" w:sz="0" w:space="0" w:color="auto"/>
        <w:right w:val="none" w:sz="0" w:space="0" w:color="auto"/>
      </w:divBdr>
    </w:div>
    <w:div w:id="427897088">
      <w:bodyDiv w:val="1"/>
      <w:marLeft w:val="0"/>
      <w:marRight w:val="0"/>
      <w:marTop w:val="0"/>
      <w:marBottom w:val="0"/>
      <w:divBdr>
        <w:top w:val="none" w:sz="0" w:space="0" w:color="auto"/>
        <w:left w:val="none" w:sz="0" w:space="0" w:color="auto"/>
        <w:bottom w:val="none" w:sz="0" w:space="0" w:color="auto"/>
        <w:right w:val="none" w:sz="0" w:space="0" w:color="auto"/>
      </w:divBdr>
    </w:div>
    <w:div w:id="531192474">
      <w:bodyDiv w:val="1"/>
      <w:marLeft w:val="0"/>
      <w:marRight w:val="0"/>
      <w:marTop w:val="0"/>
      <w:marBottom w:val="0"/>
      <w:divBdr>
        <w:top w:val="none" w:sz="0" w:space="0" w:color="auto"/>
        <w:left w:val="none" w:sz="0" w:space="0" w:color="auto"/>
        <w:bottom w:val="none" w:sz="0" w:space="0" w:color="auto"/>
        <w:right w:val="none" w:sz="0" w:space="0" w:color="auto"/>
      </w:divBdr>
    </w:div>
    <w:div w:id="597979568">
      <w:bodyDiv w:val="1"/>
      <w:marLeft w:val="0"/>
      <w:marRight w:val="0"/>
      <w:marTop w:val="0"/>
      <w:marBottom w:val="0"/>
      <w:divBdr>
        <w:top w:val="none" w:sz="0" w:space="0" w:color="auto"/>
        <w:left w:val="none" w:sz="0" w:space="0" w:color="auto"/>
        <w:bottom w:val="none" w:sz="0" w:space="0" w:color="auto"/>
        <w:right w:val="none" w:sz="0" w:space="0" w:color="auto"/>
      </w:divBdr>
    </w:div>
    <w:div w:id="607270977">
      <w:bodyDiv w:val="1"/>
      <w:marLeft w:val="0"/>
      <w:marRight w:val="0"/>
      <w:marTop w:val="0"/>
      <w:marBottom w:val="0"/>
      <w:divBdr>
        <w:top w:val="none" w:sz="0" w:space="0" w:color="auto"/>
        <w:left w:val="none" w:sz="0" w:space="0" w:color="auto"/>
        <w:bottom w:val="none" w:sz="0" w:space="0" w:color="auto"/>
        <w:right w:val="none" w:sz="0" w:space="0" w:color="auto"/>
      </w:divBdr>
    </w:div>
    <w:div w:id="724573350">
      <w:bodyDiv w:val="1"/>
      <w:marLeft w:val="0"/>
      <w:marRight w:val="0"/>
      <w:marTop w:val="0"/>
      <w:marBottom w:val="0"/>
      <w:divBdr>
        <w:top w:val="none" w:sz="0" w:space="0" w:color="auto"/>
        <w:left w:val="none" w:sz="0" w:space="0" w:color="auto"/>
        <w:bottom w:val="none" w:sz="0" w:space="0" w:color="auto"/>
        <w:right w:val="none" w:sz="0" w:space="0" w:color="auto"/>
      </w:divBdr>
    </w:div>
    <w:div w:id="739329728">
      <w:bodyDiv w:val="1"/>
      <w:marLeft w:val="0"/>
      <w:marRight w:val="0"/>
      <w:marTop w:val="0"/>
      <w:marBottom w:val="0"/>
      <w:divBdr>
        <w:top w:val="none" w:sz="0" w:space="0" w:color="auto"/>
        <w:left w:val="none" w:sz="0" w:space="0" w:color="auto"/>
        <w:bottom w:val="none" w:sz="0" w:space="0" w:color="auto"/>
        <w:right w:val="none" w:sz="0" w:space="0" w:color="auto"/>
      </w:divBdr>
    </w:div>
    <w:div w:id="824901844">
      <w:bodyDiv w:val="1"/>
      <w:marLeft w:val="0"/>
      <w:marRight w:val="0"/>
      <w:marTop w:val="0"/>
      <w:marBottom w:val="0"/>
      <w:divBdr>
        <w:top w:val="none" w:sz="0" w:space="0" w:color="auto"/>
        <w:left w:val="none" w:sz="0" w:space="0" w:color="auto"/>
        <w:bottom w:val="none" w:sz="0" w:space="0" w:color="auto"/>
        <w:right w:val="none" w:sz="0" w:space="0" w:color="auto"/>
      </w:divBdr>
    </w:div>
    <w:div w:id="1019114455">
      <w:bodyDiv w:val="1"/>
      <w:marLeft w:val="0"/>
      <w:marRight w:val="0"/>
      <w:marTop w:val="0"/>
      <w:marBottom w:val="0"/>
      <w:divBdr>
        <w:top w:val="none" w:sz="0" w:space="0" w:color="auto"/>
        <w:left w:val="none" w:sz="0" w:space="0" w:color="auto"/>
        <w:bottom w:val="none" w:sz="0" w:space="0" w:color="auto"/>
        <w:right w:val="none" w:sz="0" w:space="0" w:color="auto"/>
      </w:divBdr>
    </w:div>
    <w:div w:id="1034041319">
      <w:bodyDiv w:val="1"/>
      <w:marLeft w:val="0"/>
      <w:marRight w:val="0"/>
      <w:marTop w:val="0"/>
      <w:marBottom w:val="0"/>
      <w:divBdr>
        <w:top w:val="none" w:sz="0" w:space="0" w:color="auto"/>
        <w:left w:val="none" w:sz="0" w:space="0" w:color="auto"/>
        <w:bottom w:val="none" w:sz="0" w:space="0" w:color="auto"/>
        <w:right w:val="none" w:sz="0" w:space="0" w:color="auto"/>
      </w:divBdr>
    </w:div>
    <w:div w:id="1306281786">
      <w:bodyDiv w:val="1"/>
      <w:marLeft w:val="0"/>
      <w:marRight w:val="0"/>
      <w:marTop w:val="0"/>
      <w:marBottom w:val="0"/>
      <w:divBdr>
        <w:top w:val="none" w:sz="0" w:space="0" w:color="auto"/>
        <w:left w:val="none" w:sz="0" w:space="0" w:color="auto"/>
        <w:bottom w:val="none" w:sz="0" w:space="0" w:color="auto"/>
        <w:right w:val="none" w:sz="0" w:space="0" w:color="auto"/>
      </w:divBdr>
      <w:divsChild>
        <w:div w:id="265499457">
          <w:marLeft w:val="0"/>
          <w:marRight w:val="0"/>
          <w:marTop w:val="0"/>
          <w:marBottom w:val="0"/>
          <w:divBdr>
            <w:top w:val="none" w:sz="0" w:space="0" w:color="auto"/>
            <w:left w:val="none" w:sz="0" w:space="0" w:color="auto"/>
            <w:bottom w:val="none" w:sz="0" w:space="0" w:color="auto"/>
            <w:right w:val="none" w:sz="0" w:space="0" w:color="auto"/>
          </w:divBdr>
        </w:div>
      </w:divsChild>
    </w:div>
    <w:div w:id="1340038203">
      <w:bodyDiv w:val="1"/>
      <w:marLeft w:val="0"/>
      <w:marRight w:val="0"/>
      <w:marTop w:val="0"/>
      <w:marBottom w:val="0"/>
      <w:divBdr>
        <w:top w:val="none" w:sz="0" w:space="0" w:color="auto"/>
        <w:left w:val="none" w:sz="0" w:space="0" w:color="auto"/>
        <w:bottom w:val="none" w:sz="0" w:space="0" w:color="auto"/>
        <w:right w:val="none" w:sz="0" w:space="0" w:color="auto"/>
      </w:divBdr>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517888235">
      <w:bodyDiv w:val="1"/>
      <w:marLeft w:val="0"/>
      <w:marRight w:val="0"/>
      <w:marTop w:val="0"/>
      <w:marBottom w:val="0"/>
      <w:divBdr>
        <w:top w:val="none" w:sz="0" w:space="0" w:color="auto"/>
        <w:left w:val="none" w:sz="0" w:space="0" w:color="auto"/>
        <w:bottom w:val="none" w:sz="0" w:space="0" w:color="auto"/>
        <w:right w:val="none" w:sz="0" w:space="0" w:color="auto"/>
      </w:divBdr>
    </w:div>
    <w:div w:id="1552378624">
      <w:bodyDiv w:val="1"/>
      <w:marLeft w:val="0"/>
      <w:marRight w:val="0"/>
      <w:marTop w:val="0"/>
      <w:marBottom w:val="0"/>
      <w:divBdr>
        <w:top w:val="none" w:sz="0" w:space="0" w:color="auto"/>
        <w:left w:val="none" w:sz="0" w:space="0" w:color="auto"/>
        <w:bottom w:val="none" w:sz="0" w:space="0" w:color="auto"/>
        <w:right w:val="none" w:sz="0" w:space="0" w:color="auto"/>
      </w:divBdr>
    </w:div>
    <w:div w:id="1602227149">
      <w:bodyDiv w:val="1"/>
      <w:marLeft w:val="0"/>
      <w:marRight w:val="0"/>
      <w:marTop w:val="0"/>
      <w:marBottom w:val="0"/>
      <w:divBdr>
        <w:top w:val="none" w:sz="0" w:space="0" w:color="auto"/>
        <w:left w:val="none" w:sz="0" w:space="0" w:color="auto"/>
        <w:bottom w:val="none" w:sz="0" w:space="0" w:color="auto"/>
        <w:right w:val="none" w:sz="0" w:space="0" w:color="auto"/>
      </w:divBdr>
      <w:divsChild>
        <w:div w:id="192378661">
          <w:marLeft w:val="0"/>
          <w:marRight w:val="0"/>
          <w:marTop w:val="0"/>
          <w:marBottom w:val="0"/>
          <w:divBdr>
            <w:top w:val="none" w:sz="0" w:space="0" w:color="auto"/>
            <w:left w:val="none" w:sz="0" w:space="0" w:color="auto"/>
            <w:bottom w:val="none" w:sz="0" w:space="0" w:color="auto"/>
            <w:right w:val="none" w:sz="0" w:space="0" w:color="auto"/>
          </w:divBdr>
          <w:divsChild>
            <w:div w:id="2087341495">
              <w:marLeft w:val="0"/>
              <w:marRight w:val="0"/>
              <w:marTop w:val="0"/>
              <w:marBottom w:val="0"/>
              <w:divBdr>
                <w:top w:val="none" w:sz="0" w:space="0" w:color="auto"/>
                <w:left w:val="none" w:sz="0" w:space="0" w:color="auto"/>
                <w:bottom w:val="none" w:sz="0" w:space="0" w:color="auto"/>
                <w:right w:val="none" w:sz="0" w:space="0" w:color="auto"/>
              </w:divBdr>
              <w:divsChild>
                <w:div w:id="44331543">
                  <w:marLeft w:val="0"/>
                  <w:marRight w:val="0"/>
                  <w:marTop w:val="0"/>
                  <w:marBottom w:val="0"/>
                  <w:divBdr>
                    <w:top w:val="none" w:sz="0" w:space="0" w:color="auto"/>
                    <w:left w:val="none" w:sz="0" w:space="0" w:color="auto"/>
                    <w:bottom w:val="none" w:sz="0" w:space="0" w:color="auto"/>
                    <w:right w:val="none" w:sz="0" w:space="0" w:color="auto"/>
                  </w:divBdr>
                  <w:divsChild>
                    <w:div w:id="1331330020">
                      <w:marLeft w:val="0"/>
                      <w:marRight w:val="0"/>
                      <w:marTop w:val="0"/>
                      <w:marBottom w:val="0"/>
                      <w:divBdr>
                        <w:top w:val="none" w:sz="0" w:space="0" w:color="auto"/>
                        <w:left w:val="none" w:sz="0" w:space="0" w:color="auto"/>
                        <w:bottom w:val="none" w:sz="0" w:space="0" w:color="auto"/>
                        <w:right w:val="none" w:sz="0" w:space="0" w:color="auto"/>
                      </w:divBdr>
                      <w:divsChild>
                        <w:div w:id="2049260686">
                          <w:marLeft w:val="0"/>
                          <w:marRight w:val="0"/>
                          <w:marTop w:val="0"/>
                          <w:marBottom w:val="0"/>
                          <w:divBdr>
                            <w:top w:val="none" w:sz="0" w:space="0" w:color="auto"/>
                            <w:left w:val="none" w:sz="0" w:space="0" w:color="auto"/>
                            <w:bottom w:val="none" w:sz="0" w:space="0" w:color="auto"/>
                            <w:right w:val="none" w:sz="0" w:space="0" w:color="auto"/>
                          </w:divBdr>
                          <w:divsChild>
                            <w:div w:id="33129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9310">
      <w:bodyDiv w:val="1"/>
      <w:marLeft w:val="0"/>
      <w:marRight w:val="0"/>
      <w:marTop w:val="0"/>
      <w:marBottom w:val="0"/>
      <w:divBdr>
        <w:top w:val="none" w:sz="0" w:space="0" w:color="auto"/>
        <w:left w:val="none" w:sz="0" w:space="0" w:color="auto"/>
        <w:bottom w:val="none" w:sz="0" w:space="0" w:color="auto"/>
        <w:right w:val="none" w:sz="0" w:space="0" w:color="auto"/>
      </w:divBdr>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910263007">
      <w:bodyDiv w:val="1"/>
      <w:marLeft w:val="0"/>
      <w:marRight w:val="0"/>
      <w:marTop w:val="0"/>
      <w:marBottom w:val="0"/>
      <w:divBdr>
        <w:top w:val="none" w:sz="0" w:space="0" w:color="auto"/>
        <w:left w:val="none" w:sz="0" w:space="0" w:color="auto"/>
        <w:bottom w:val="none" w:sz="0" w:space="0" w:color="auto"/>
        <w:right w:val="none" w:sz="0" w:space="0" w:color="auto"/>
      </w:divBdr>
    </w:div>
    <w:div w:id="1915158616">
      <w:bodyDiv w:val="1"/>
      <w:marLeft w:val="0"/>
      <w:marRight w:val="0"/>
      <w:marTop w:val="0"/>
      <w:marBottom w:val="0"/>
      <w:divBdr>
        <w:top w:val="none" w:sz="0" w:space="0" w:color="auto"/>
        <w:left w:val="none" w:sz="0" w:space="0" w:color="auto"/>
        <w:bottom w:val="none" w:sz="0" w:space="0" w:color="auto"/>
        <w:right w:val="none" w:sz="0" w:space="0" w:color="auto"/>
      </w:divBdr>
      <w:divsChild>
        <w:div w:id="93938458">
          <w:marLeft w:val="0"/>
          <w:marRight w:val="0"/>
          <w:marTop w:val="0"/>
          <w:marBottom w:val="0"/>
          <w:divBdr>
            <w:top w:val="none" w:sz="0" w:space="0" w:color="auto"/>
            <w:left w:val="none" w:sz="0" w:space="0" w:color="auto"/>
            <w:bottom w:val="none" w:sz="0" w:space="0" w:color="auto"/>
            <w:right w:val="none" w:sz="0" w:space="0" w:color="auto"/>
          </w:divBdr>
          <w:divsChild>
            <w:div w:id="869220039">
              <w:marLeft w:val="0"/>
              <w:marRight w:val="0"/>
              <w:marTop w:val="0"/>
              <w:marBottom w:val="0"/>
              <w:divBdr>
                <w:top w:val="none" w:sz="0" w:space="0" w:color="auto"/>
                <w:left w:val="none" w:sz="0" w:space="0" w:color="auto"/>
                <w:bottom w:val="none" w:sz="0" w:space="0" w:color="auto"/>
                <w:right w:val="none" w:sz="0" w:space="0" w:color="auto"/>
              </w:divBdr>
              <w:divsChild>
                <w:div w:id="497379043">
                  <w:marLeft w:val="0"/>
                  <w:marRight w:val="0"/>
                  <w:marTop w:val="0"/>
                  <w:marBottom w:val="0"/>
                  <w:divBdr>
                    <w:top w:val="none" w:sz="0" w:space="0" w:color="auto"/>
                    <w:left w:val="none" w:sz="0" w:space="0" w:color="auto"/>
                    <w:bottom w:val="none" w:sz="0" w:space="0" w:color="auto"/>
                    <w:right w:val="none" w:sz="0" w:space="0" w:color="auto"/>
                  </w:divBdr>
                  <w:divsChild>
                    <w:div w:id="1721786549">
                      <w:marLeft w:val="0"/>
                      <w:marRight w:val="0"/>
                      <w:marTop w:val="0"/>
                      <w:marBottom w:val="0"/>
                      <w:divBdr>
                        <w:top w:val="none" w:sz="0" w:space="0" w:color="auto"/>
                        <w:left w:val="none" w:sz="0" w:space="0" w:color="auto"/>
                        <w:bottom w:val="none" w:sz="0" w:space="0" w:color="auto"/>
                        <w:right w:val="none" w:sz="0" w:space="0" w:color="auto"/>
                      </w:divBdr>
                      <w:divsChild>
                        <w:div w:id="1511869016">
                          <w:marLeft w:val="0"/>
                          <w:marRight w:val="0"/>
                          <w:marTop w:val="0"/>
                          <w:marBottom w:val="0"/>
                          <w:divBdr>
                            <w:top w:val="none" w:sz="0" w:space="0" w:color="auto"/>
                            <w:left w:val="none" w:sz="0" w:space="0" w:color="auto"/>
                            <w:bottom w:val="none" w:sz="0" w:space="0" w:color="auto"/>
                            <w:right w:val="none" w:sz="0" w:space="0" w:color="auto"/>
                          </w:divBdr>
                          <w:divsChild>
                            <w:div w:id="197023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 w:id="2073043946">
      <w:bodyDiv w:val="1"/>
      <w:marLeft w:val="0"/>
      <w:marRight w:val="0"/>
      <w:marTop w:val="0"/>
      <w:marBottom w:val="0"/>
      <w:divBdr>
        <w:top w:val="none" w:sz="0" w:space="0" w:color="auto"/>
        <w:left w:val="none" w:sz="0" w:space="0" w:color="auto"/>
        <w:bottom w:val="none" w:sz="0" w:space="0" w:color="auto"/>
        <w:right w:val="none" w:sz="0" w:space="0" w:color="auto"/>
      </w:divBdr>
    </w:div>
    <w:div w:id="21427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kucina@mf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garita.tuman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DKP xmlns="2e5bb04e-596e-45bd-9003-43ca78b1ba16">11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F2D1-5D07-4EF1-93FD-5E39157A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3.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4.xml><?xml version="1.0" encoding="utf-8"?>
<ds:datastoreItem xmlns:ds="http://schemas.openxmlformats.org/officeDocument/2006/customXml" ds:itemID="{ACAA760D-9B24-4B3F-A3A5-6960FCD9B92E}">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2e5bb04e-596e-45bd-9003-43ca78b1ba16"/>
    <ds:schemaRef ds:uri="http://schemas.openxmlformats.org/package/2006/metadata/core-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3120AFC3-6AF8-47C1-BF8D-EEC9FAC4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8509</Words>
  <Characters>4851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13334</CharactersWithSpaces>
  <SharedDoc>false</SharedDoc>
  <HLinks>
    <vt:vector size="18" baseType="variant">
      <vt:variant>
        <vt:i4>6160509</vt:i4>
      </vt:variant>
      <vt:variant>
        <vt:i4>12</vt:i4>
      </vt:variant>
      <vt:variant>
        <vt:i4>0</vt:i4>
      </vt:variant>
      <vt:variant>
        <vt:i4>5</vt:i4>
      </vt:variant>
      <vt:variant>
        <vt:lpwstr>mailto:viktorija.borodineca@mfa.gov.lv</vt:lpwstr>
      </vt:variant>
      <vt:variant>
        <vt:lpwstr/>
      </vt:variant>
      <vt:variant>
        <vt:i4>6029412</vt:i4>
      </vt:variant>
      <vt:variant>
        <vt:i4>8</vt:i4>
      </vt:variant>
      <vt:variant>
        <vt:i4>0</vt:i4>
      </vt:variant>
      <vt:variant>
        <vt:i4>5</vt:i4>
      </vt:variant>
      <vt:variant>
        <vt:lpwstr>mailto:margarita.tumane@mfa.gov.lv</vt:lpwstr>
      </vt:variant>
      <vt:variant>
        <vt:lpwstr/>
      </vt:variant>
      <vt:variant>
        <vt:i4>5767269</vt:i4>
      </vt:variant>
      <vt:variant>
        <vt:i4>6</vt:i4>
      </vt:variant>
      <vt:variant>
        <vt:i4>0</vt:i4>
      </vt:variant>
      <vt:variant>
        <vt:i4>5</vt:i4>
      </vt:variant>
      <vt:variant>
        <vt:lpwstr>mailto:linda.kucina@mfa.gov.lv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Likumprojekta anotācija</dc:subject>
  <dc:creator>viktorija.borodineca@mfa.gov.lv</dc:creator>
  <cp:lastModifiedBy>Guntis Lapsa</cp:lastModifiedBy>
  <cp:revision>58</cp:revision>
  <cp:lastPrinted>2014-07-03T11:56:00Z</cp:lastPrinted>
  <dcterms:created xsi:type="dcterms:W3CDTF">2014-05-13T07:05:00Z</dcterms:created>
  <dcterms:modified xsi:type="dcterms:W3CDTF">2014-07-04T06:18:00Z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