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52" w:rsidRPr="00191B6A" w:rsidRDefault="003F2BE8" w:rsidP="00191B6A">
      <w:pPr>
        <w:jc w:val="center"/>
        <w:rPr>
          <w:sz w:val="22"/>
          <w:szCs w:val="22"/>
          <w:lang w:val="lv-LV"/>
        </w:rPr>
      </w:pPr>
      <w:r w:rsidRPr="00191B6A">
        <w:rPr>
          <w:b/>
          <w:sz w:val="22"/>
          <w:szCs w:val="22"/>
          <w:lang w:val="lv-LV"/>
        </w:rPr>
        <w:t xml:space="preserve">Ministru kabineta </w:t>
      </w:r>
      <w:r w:rsidRPr="00191B6A">
        <w:rPr>
          <w:b/>
          <w:color w:val="000000"/>
          <w:sz w:val="22"/>
          <w:szCs w:val="22"/>
          <w:lang w:val="lv-LV"/>
        </w:rPr>
        <w:t>rīkojuma projekta</w:t>
      </w:r>
      <w:r w:rsidRPr="00191B6A">
        <w:rPr>
          <w:b/>
          <w:bCs/>
          <w:color w:val="000000"/>
          <w:sz w:val="22"/>
          <w:szCs w:val="22"/>
          <w:lang w:val="lv-LV"/>
        </w:rPr>
        <w:t xml:space="preserve"> </w:t>
      </w:r>
      <w:r w:rsidRPr="00191B6A">
        <w:rPr>
          <w:b/>
          <w:color w:val="000000"/>
          <w:sz w:val="22"/>
          <w:szCs w:val="22"/>
          <w:lang w:val="lv-LV"/>
        </w:rPr>
        <w:t>„</w:t>
      </w:r>
      <w:r w:rsidR="00FD336A" w:rsidRPr="00191B6A">
        <w:rPr>
          <w:b/>
          <w:sz w:val="22"/>
          <w:szCs w:val="22"/>
          <w:lang w:val="lv-LV"/>
        </w:rPr>
        <w:t xml:space="preserve">Par </w:t>
      </w:r>
      <w:r w:rsidR="00D511E4">
        <w:rPr>
          <w:b/>
          <w:sz w:val="22"/>
          <w:szCs w:val="22"/>
          <w:lang w:val="lv-LV"/>
        </w:rPr>
        <w:t>papildu iemaksu</w:t>
      </w:r>
      <w:r w:rsidR="00FD336A" w:rsidRPr="00191B6A">
        <w:rPr>
          <w:b/>
          <w:sz w:val="22"/>
          <w:szCs w:val="22"/>
          <w:lang w:val="lv-LV"/>
        </w:rPr>
        <w:t xml:space="preserve"> </w:t>
      </w:r>
      <w:r w:rsidR="00623BB5" w:rsidRPr="00191B6A">
        <w:rPr>
          <w:b/>
          <w:sz w:val="22"/>
          <w:szCs w:val="22"/>
          <w:lang w:val="lv-LV"/>
        </w:rPr>
        <w:t xml:space="preserve">ANO Augstā komisāra bēgļu lietās biroja </w:t>
      </w:r>
      <w:r w:rsidR="00623BB5" w:rsidRPr="00756D73">
        <w:rPr>
          <w:b/>
          <w:iCs/>
          <w:sz w:val="22"/>
          <w:szCs w:val="22"/>
          <w:lang w:val="lv-LV"/>
        </w:rPr>
        <w:t>Ukrainas iekšēji pārvietoto personu fonda</w:t>
      </w:r>
      <w:r w:rsidR="00191B6A" w:rsidRPr="00191B6A">
        <w:rPr>
          <w:b/>
          <w:i/>
          <w:iCs/>
          <w:sz w:val="22"/>
          <w:szCs w:val="22"/>
          <w:lang w:val="lv-LV"/>
        </w:rPr>
        <w:t xml:space="preserve"> </w:t>
      </w:r>
      <w:r w:rsidR="00D511E4">
        <w:rPr>
          <w:b/>
          <w:sz w:val="22"/>
          <w:szCs w:val="22"/>
          <w:lang w:val="lv-LV"/>
        </w:rPr>
        <w:t>budžetā</w:t>
      </w:r>
      <w:r w:rsidRPr="00191B6A">
        <w:rPr>
          <w:b/>
          <w:sz w:val="22"/>
          <w:szCs w:val="22"/>
          <w:lang w:val="lv-LV"/>
        </w:rPr>
        <w:t>”</w:t>
      </w:r>
      <w:r w:rsidR="00801B52" w:rsidRPr="00191B6A">
        <w:rPr>
          <w:b/>
          <w:sz w:val="22"/>
          <w:szCs w:val="22"/>
          <w:lang w:val="lv-LV"/>
        </w:rPr>
        <w:t xml:space="preserve"> sākotnējās ietekmes novērtējuma ziņojums</w:t>
      </w:r>
      <w:r w:rsidR="00801B52" w:rsidRPr="00191B6A">
        <w:rPr>
          <w:b/>
          <w:bCs/>
          <w:sz w:val="22"/>
          <w:szCs w:val="22"/>
          <w:lang w:val="lv-LV"/>
        </w:rPr>
        <w:t xml:space="preserve"> (anotācija)</w:t>
      </w:r>
    </w:p>
    <w:p w:rsidR="00801B52" w:rsidRPr="00D826BE" w:rsidRDefault="00801B52" w:rsidP="000433E3">
      <w:pPr>
        <w:pStyle w:val="BodyText"/>
        <w:spacing w:after="0"/>
        <w:rPr>
          <w:b/>
          <w:bCs/>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22"/>
        <w:gridCol w:w="7009"/>
      </w:tblGrid>
      <w:tr w:rsidR="00801B52" w:rsidRPr="00D826BE" w:rsidTr="00F11802">
        <w:tc>
          <w:tcPr>
            <w:tcW w:w="0" w:type="auto"/>
            <w:gridSpan w:val="2"/>
            <w:tcBorders>
              <w:top w:val="outset" w:sz="6" w:space="0" w:color="auto"/>
              <w:bottom w:val="outset" w:sz="6" w:space="0" w:color="auto"/>
            </w:tcBorders>
            <w:tcMar>
              <w:top w:w="105" w:type="dxa"/>
              <w:left w:w="105" w:type="dxa"/>
              <w:bottom w:w="105" w:type="dxa"/>
              <w:right w:w="105" w:type="dxa"/>
            </w:tcMar>
            <w:vAlign w:val="center"/>
          </w:tcPr>
          <w:p w:rsidR="00801B52" w:rsidRPr="00D826BE" w:rsidRDefault="00801B52" w:rsidP="00F11802">
            <w:pPr>
              <w:pStyle w:val="naisc"/>
              <w:spacing w:before="0" w:after="0"/>
              <w:rPr>
                <w:sz w:val="22"/>
                <w:szCs w:val="22"/>
              </w:rPr>
            </w:pPr>
            <w:r w:rsidRPr="00D826BE">
              <w:rPr>
                <w:b/>
                <w:bCs/>
                <w:sz w:val="22"/>
                <w:szCs w:val="22"/>
              </w:rPr>
              <w:t>I. Tiesību akta projekta izstrādes nepieciešamība</w:t>
            </w:r>
          </w:p>
        </w:tc>
      </w:tr>
      <w:tr w:rsidR="001A3C83" w:rsidRPr="00D826BE" w:rsidTr="00763D2C">
        <w:trPr>
          <w:trHeight w:val="774"/>
        </w:trPr>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1A3C83" w:rsidRPr="00D826BE" w:rsidRDefault="001A3C83" w:rsidP="001A3C83">
            <w:pPr>
              <w:pStyle w:val="NormalWeb"/>
              <w:spacing w:before="0" w:beforeAutospacing="0" w:after="0" w:afterAutospacing="0"/>
            </w:pPr>
            <w:r w:rsidRPr="00D826BE">
              <w:rPr>
                <w:sz w:val="22"/>
                <w:szCs w:val="22"/>
              </w:rPr>
              <w:t>1. Pamatojums</w:t>
            </w: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847B62" w:rsidRPr="00847B62" w:rsidRDefault="00862827" w:rsidP="00425476">
            <w:pPr>
              <w:jc w:val="both"/>
              <w:rPr>
                <w:sz w:val="22"/>
                <w:szCs w:val="22"/>
                <w:lang w:val="lv-LV"/>
              </w:rPr>
            </w:pPr>
            <w:r w:rsidRPr="00D826BE">
              <w:rPr>
                <w:sz w:val="22"/>
                <w:szCs w:val="22"/>
                <w:lang w:val="lv-LV"/>
              </w:rPr>
              <w:t xml:space="preserve">Ārlietu ministrija ir </w:t>
            </w:r>
            <w:r w:rsidR="00FC2210">
              <w:rPr>
                <w:sz w:val="22"/>
                <w:szCs w:val="22"/>
                <w:lang w:val="lv-LV"/>
              </w:rPr>
              <w:t>no</w:t>
            </w:r>
            <w:r w:rsidRPr="00D826BE">
              <w:rPr>
                <w:sz w:val="22"/>
                <w:szCs w:val="22"/>
                <w:lang w:val="lv-LV"/>
              </w:rPr>
              <w:t xml:space="preserve">lēmusi veikt </w:t>
            </w:r>
            <w:r w:rsidR="00D511E4">
              <w:rPr>
                <w:sz w:val="22"/>
                <w:szCs w:val="22"/>
                <w:lang w:val="lv-LV"/>
              </w:rPr>
              <w:t>papildu brīvprātīgo iemaksu</w:t>
            </w:r>
            <w:r w:rsidR="00FC2210">
              <w:rPr>
                <w:sz w:val="22"/>
                <w:szCs w:val="22"/>
                <w:lang w:val="lv-LV"/>
              </w:rPr>
              <w:t xml:space="preserve"> </w:t>
            </w:r>
            <w:r w:rsidR="00D511E4" w:rsidRPr="001279F1">
              <w:rPr>
                <w:sz w:val="22"/>
                <w:szCs w:val="22"/>
                <w:lang w:val="lv-LV"/>
              </w:rPr>
              <w:t xml:space="preserve">Apvienoto Nāciju Organizācijas </w:t>
            </w:r>
            <w:r w:rsidR="00D511E4">
              <w:rPr>
                <w:sz w:val="22"/>
                <w:szCs w:val="22"/>
                <w:lang w:val="lv-LV"/>
              </w:rPr>
              <w:t xml:space="preserve">(turpmāk – ANO) </w:t>
            </w:r>
            <w:r w:rsidR="00425476" w:rsidRPr="00BB5297">
              <w:rPr>
                <w:sz w:val="22"/>
                <w:szCs w:val="22"/>
                <w:lang w:val="lv-LV"/>
              </w:rPr>
              <w:t xml:space="preserve">Augstā komisāra bēgļu lietās biroja </w:t>
            </w:r>
            <w:r w:rsidR="00425476" w:rsidRPr="00756D73">
              <w:rPr>
                <w:iCs/>
                <w:sz w:val="22"/>
                <w:szCs w:val="22"/>
                <w:lang w:val="lv-LV"/>
              </w:rPr>
              <w:t>Ukrainas iekšēji pārvietoto personu fonda</w:t>
            </w:r>
            <w:r w:rsidR="00425476" w:rsidRPr="00425476">
              <w:rPr>
                <w:i/>
                <w:iCs/>
                <w:lang w:val="lv-LV"/>
              </w:rPr>
              <w:t xml:space="preserve"> </w:t>
            </w:r>
            <w:r w:rsidR="00D511E4">
              <w:rPr>
                <w:sz w:val="22"/>
                <w:szCs w:val="22"/>
                <w:lang w:val="lv-LV"/>
              </w:rPr>
              <w:t>budžetā</w:t>
            </w:r>
            <w:r w:rsidRPr="00D826BE">
              <w:rPr>
                <w:sz w:val="22"/>
                <w:szCs w:val="22"/>
                <w:lang w:val="lv-LV"/>
              </w:rPr>
              <w:t xml:space="preserve">, </w:t>
            </w:r>
            <w:r w:rsidR="00DA6D5C">
              <w:rPr>
                <w:sz w:val="22"/>
                <w:szCs w:val="22"/>
                <w:lang w:val="lv-LV"/>
              </w:rPr>
              <w:t>pamatojoties</w:t>
            </w:r>
            <w:r w:rsidR="00DA6D5C" w:rsidRPr="00D826BE">
              <w:rPr>
                <w:sz w:val="22"/>
                <w:szCs w:val="22"/>
                <w:lang w:val="lv-LV"/>
              </w:rPr>
              <w:t xml:space="preserve"> </w:t>
            </w:r>
            <w:r w:rsidRPr="00D826BE">
              <w:rPr>
                <w:sz w:val="22"/>
                <w:szCs w:val="22"/>
                <w:lang w:val="lv-LV"/>
              </w:rPr>
              <w:t xml:space="preserve">uz </w:t>
            </w:r>
            <w:r w:rsidR="0048642C">
              <w:rPr>
                <w:sz w:val="22"/>
                <w:szCs w:val="22"/>
                <w:lang w:val="lv-LV"/>
              </w:rPr>
              <w:t>šādu</w:t>
            </w:r>
            <w:r w:rsidR="00FC2210">
              <w:rPr>
                <w:sz w:val="22"/>
                <w:szCs w:val="22"/>
                <w:lang w:val="lv-LV"/>
              </w:rPr>
              <w:t xml:space="preserve"> normat</w:t>
            </w:r>
            <w:r w:rsidR="0048642C">
              <w:rPr>
                <w:sz w:val="22"/>
                <w:szCs w:val="22"/>
                <w:lang w:val="lv-LV"/>
              </w:rPr>
              <w:t>īvajos</w:t>
            </w:r>
            <w:r w:rsidR="00FC2210">
              <w:rPr>
                <w:sz w:val="22"/>
                <w:szCs w:val="22"/>
                <w:lang w:val="lv-LV"/>
              </w:rPr>
              <w:t xml:space="preserve"> </w:t>
            </w:r>
            <w:r w:rsidR="0048642C">
              <w:rPr>
                <w:sz w:val="22"/>
                <w:szCs w:val="22"/>
                <w:lang w:val="lv-LV"/>
              </w:rPr>
              <w:t>aktos</w:t>
            </w:r>
            <w:r w:rsidR="00E96BD7">
              <w:rPr>
                <w:sz w:val="22"/>
                <w:szCs w:val="22"/>
                <w:lang w:val="lv-LV"/>
              </w:rPr>
              <w:t xml:space="preserve"> noteikto</w:t>
            </w:r>
            <w:r w:rsidR="00E67239">
              <w:rPr>
                <w:sz w:val="22"/>
                <w:szCs w:val="22"/>
                <w:lang w:val="lv-LV"/>
              </w:rPr>
              <w:t xml:space="preserve"> Latvijas ārpolitikas </w:t>
            </w:r>
            <w:r w:rsidR="00FF5082">
              <w:rPr>
                <w:sz w:val="22"/>
                <w:szCs w:val="22"/>
                <w:lang w:val="lv-LV"/>
              </w:rPr>
              <w:t>aktuālo virzienu ievērošanu</w:t>
            </w:r>
            <w:r w:rsidR="00FC2210">
              <w:rPr>
                <w:sz w:val="22"/>
                <w:szCs w:val="22"/>
                <w:lang w:val="lv-LV"/>
              </w:rPr>
              <w:t>:</w:t>
            </w:r>
          </w:p>
          <w:p w:rsidR="00847B62" w:rsidRDefault="00847B62" w:rsidP="00FC2210">
            <w:pPr>
              <w:numPr>
                <w:ilvl w:val="0"/>
                <w:numId w:val="36"/>
              </w:numPr>
              <w:spacing w:line="276" w:lineRule="auto"/>
              <w:jc w:val="both"/>
              <w:rPr>
                <w:sz w:val="22"/>
                <w:szCs w:val="22"/>
                <w:lang w:val="lv-LV"/>
              </w:rPr>
            </w:pPr>
            <w:r>
              <w:rPr>
                <w:sz w:val="22"/>
                <w:szCs w:val="22"/>
                <w:lang w:val="lv-LV"/>
              </w:rPr>
              <w:t>2003.</w:t>
            </w:r>
            <w:r w:rsidR="00191B6A">
              <w:rPr>
                <w:sz w:val="22"/>
                <w:szCs w:val="22"/>
                <w:lang w:val="lv-LV"/>
              </w:rPr>
              <w:t xml:space="preserve"> </w:t>
            </w:r>
            <w:r>
              <w:rPr>
                <w:sz w:val="22"/>
                <w:szCs w:val="22"/>
                <w:lang w:val="lv-LV"/>
              </w:rPr>
              <w:t>gada 29.aprīļa Ārlietu ministrijas nolikuma 4.2.punkts;</w:t>
            </w:r>
          </w:p>
          <w:p w:rsidR="00355F9B" w:rsidRDefault="00355F9B" w:rsidP="00FC2210">
            <w:pPr>
              <w:numPr>
                <w:ilvl w:val="0"/>
                <w:numId w:val="36"/>
              </w:numPr>
              <w:spacing w:line="276" w:lineRule="auto"/>
              <w:jc w:val="both"/>
              <w:rPr>
                <w:sz w:val="22"/>
                <w:szCs w:val="22"/>
                <w:lang w:val="lv-LV"/>
              </w:rPr>
            </w:pPr>
            <w:r>
              <w:rPr>
                <w:sz w:val="22"/>
                <w:szCs w:val="22"/>
                <w:lang w:val="lv-LV"/>
              </w:rPr>
              <w:t>2014.</w:t>
            </w:r>
            <w:r w:rsidR="009A7AFE">
              <w:rPr>
                <w:sz w:val="22"/>
                <w:szCs w:val="22"/>
                <w:lang w:val="lv-LV"/>
              </w:rPr>
              <w:t xml:space="preserve"> </w:t>
            </w:r>
            <w:r>
              <w:rPr>
                <w:sz w:val="22"/>
                <w:szCs w:val="22"/>
                <w:lang w:val="lv-LV"/>
              </w:rPr>
              <w:t xml:space="preserve">gada </w:t>
            </w:r>
            <w:r w:rsidR="00D511E4">
              <w:rPr>
                <w:sz w:val="22"/>
                <w:szCs w:val="22"/>
                <w:lang w:val="lv-LV"/>
              </w:rPr>
              <w:t>novembra</w:t>
            </w:r>
            <w:r w:rsidR="00441556">
              <w:rPr>
                <w:sz w:val="22"/>
                <w:szCs w:val="22"/>
                <w:lang w:val="lv-LV"/>
              </w:rPr>
              <w:t xml:space="preserve"> </w:t>
            </w:r>
            <w:r w:rsidR="00EF043B">
              <w:rPr>
                <w:sz w:val="22"/>
                <w:szCs w:val="22"/>
                <w:lang w:val="lv-LV"/>
              </w:rPr>
              <w:t xml:space="preserve">Deklarācijas par Laimdotas Straujumas vadītā Ministru kabineta iecerēto darbību </w:t>
            </w:r>
            <w:r w:rsidR="00D511E4">
              <w:rPr>
                <w:sz w:val="22"/>
                <w:szCs w:val="22"/>
                <w:lang w:val="lv-LV"/>
              </w:rPr>
              <w:t>169.punkt</w:t>
            </w:r>
            <w:r w:rsidR="0048642C">
              <w:rPr>
                <w:sz w:val="22"/>
                <w:szCs w:val="22"/>
                <w:lang w:val="lv-LV"/>
              </w:rPr>
              <w:t>s</w:t>
            </w:r>
            <w:r>
              <w:rPr>
                <w:sz w:val="22"/>
                <w:szCs w:val="22"/>
                <w:lang w:val="lv-LV"/>
              </w:rPr>
              <w:t>;</w:t>
            </w:r>
          </w:p>
          <w:p w:rsidR="00FC2210" w:rsidRDefault="00FC2210" w:rsidP="00FC2210">
            <w:pPr>
              <w:numPr>
                <w:ilvl w:val="0"/>
                <w:numId w:val="36"/>
              </w:numPr>
              <w:spacing w:line="276" w:lineRule="auto"/>
              <w:jc w:val="both"/>
              <w:rPr>
                <w:sz w:val="22"/>
                <w:szCs w:val="22"/>
                <w:lang w:val="lv-LV"/>
              </w:rPr>
            </w:pPr>
            <w:r>
              <w:rPr>
                <w:sz w:val="22"/>
                <w:szCs w:val="22"/>
                <w:lang w:val="lv-LV"/>
              </w:rPr>
              <w:t>2014.</w:t>
            </w:r>
            <w:r w:rsidR="009A7AFE">
              <w:rPr>
                <w:sz w:val="22"/>
                <w:szCs w:val="22"/>
                <w:lang w:val="lv-LV"/>
              </w:rPr>
              <w:t xml:space="preserve"> </w:t>
            </w:r>
            <w:r>
              <w:rPr>
                <w:sz w:val="22"/>
                <w:szCs w:val="22"/>
                <w:lang w:val="lv-LV"/>
              </w:rPr>
              <w:t>gada 7.</w:t>
            </w:r>
            <w:r w:rsidR="009A7AFE">
              <w:rPr>
                <w:sz w:val="22"/>
                <w:szCs w:val="22"/>
                <w:lang w:val="lv-LV"/>
              </w:rPr>
              <w:t xml:space="preserve"> </w:t>
            </w:r>
            <w:r>
              <w:rPr>
                <w:sz w:val="22"/>
                <w:szCs w:val="22"/>
                <w:lang w:val="lv-LV"/>
              </w:rPr>
              <w:t xml:space="preserve">janvāra </w:t>
            </w:r>
            <w:r w:rsidR="00EF043B">
              <w:rPr>
                <w:sz w:val="22"/>
                <w:szCs w:val="22"/>
                <w:lang w:val="lv-LV"/>
              </w:rPr>
              <w:t>Ārlietu ministra ikgadējais z</w:t>
            </w:r>
            <w:r>
              <w:rPr>
                <w:sz w:val="22"/>
                <w:szCs w:val="22"/>
                <w:lang w:val="lv-LV"/>
              </w:rPr>
              <w:t xml:space="preserve">iņojums par </w:t>
            </w:r>
            <w:r w:rsidR="00EF043B">
              <w:rPr>
                <w:sz w:val="22"/>
                <w:szCs w:val="22"/>
                <w:lang w:val="lv-LV"/>
              </w:rPr>
              <w:t xml:space="preserve">paveikto un iecerēto darbību </w:t>
            </w:r>
            <w:r>
              <w:rPr>
                <w:sz w:val="22"/>
                <w:szCs w:val="22"/>
                <w:lang w:val="lv-LV"/>
              </w:rPr>
              <w:t>valsts ārpolitik</w:t>
            </w:r>
            <w:r w:rsidR="00EF043B">
              <w:rPr>
                <w:sz w:val="22"/>
                <w:szCs w:val="22"/>
                <w:lang w:val="lv-LV"/>
              </w:rPr>
              <w:t>ā</w:t>
            </w:r>
            <w:r>
              <w:rPr>
                <w:sz w:val="22"/>
                <w:szCs w:val="22"/>
                <w:lang w:val="lv-LV"/>
              </w:rPr>
              <w:t xml:space="preserve"> u</w:t>
            </w:r>
            <w:r w:rsidR="00EF043B">
              <w:rPr>
                <w:sz w:val="22"/>
                <w:szCs w:val="22"/>
                <w:lang w:val="lv-LV"/>
              </w:rPr>
              <w:t>n Eiropas Savienības jautājumos</w:t>
            </w:r>
            <w:r>
              <w:rPr>
                <w:sz w:val="22"/>
                <w:szCs w:val="22"/>
                <w:lang w:val="lv-LV"/>
              </w:rPr>
              <w:t>;</w:t>
            </w:r>
          </w:p>
          <w:p w:rsidR="00F16B97" w:rsidRPr="00923EE7" w:rsidRDefault="00355F9B" w:rsidP="00923EE7">
            <w:pPr>
              <w:numPr>
                <w:ilvl w:val="0"/>
                <w:numId w:val="36"/>
              </w:numPr>
              <w:spacing w:line="276" w:lineRule="auto"/>
              <w:jc w:val="both"/>
              <w:rPr>
                <w:sz w:val="22"/>
                <w:szCs w:val="22"/>
                <w:lang w:val="lv-LV"/>
              </w:rPr>
            </w:pPr>
            <w:r>
              <w:rPr>
                <w:sz w:val="22"/>
                <w:szCs w:val="22"/>
                <w:lang w:val="lv-LV"/>
              </w:rPr>
              <w:t>2011.</w:t>
            </w:r>
            <w:r w:rsidR="009A7AFE">
              <w:rPr>
                <w:sz w:val="22"/>
                <w:szCs w:val="22"/>
                <w:lang w:val="lv-LV"/>
              </w:rPr>
              <w:t xml:space="preserve"> </w:t>
            </w:r>
            <w:r>
              <w:rPr>
                <w:sz w:val="22"/>
                <w:szCs w:val="22"/>
                <w:lang w:val="lv-LV"/>
              </w:rPr>
              <w:t>gada 5.</w:t>
            </w:r>
            <w:r w:rsidR="009A7AFE">
              <w:rPr>
                <w:sz w:val="22"/>
                <w:szCs w:val="22"/>
                <w:lang w:val="lv-LV"/>
              </w:rPr>
              <w:t xml:space="preserve"> </w:t>
            </w:r>
            <w:r>
              <w:rPr>
                <w:sz w:val="22"/>
                <w:szCs w:val="22"/>
                <w:lang w:val="lv-LV"/>
              </w:rPr>
              <w:t>jūlija Ārlietu ministrijas Attīstības sadarbības politikas pamatnost</w:t>
            </w:r>
            <w:r w:rsidR="003F4977">
              <w:rPr>
                <w:sz w:val="22"/>
                <w:szCs w:val="22"/>
                <w:lang w:val="lv-LV"/>
              </w:rPr>
              <w:t>ādnes</w:t>
            </w:r>
            <w:r w:rsidR="00E67239">
              <w:rPr>
                <w:sz w:val="22"/>
                <w:szCs w:val="22"/>
                <w:lang w:val="lv-LV"/>
              </w:rPr>
              <w:t>.</w:t>
            </w:r>
          </w:p>
        </w:tc>
      </w:tr>
      <w:tr w:rsidR="00801B52" w:rsidRPr="00D826BE" w:rsidTr="00F11802">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801B52" w:rsidRPr="00D826BE" w:rsidRDefault="00E8760C" w:rsidP="00245CA1">
            <w:pPr>
              <w:pStyle w:val="naisf"/>
              <w:spacing w:before="0" w:after="0"/>
              <w:ind w:left="25" w:firstLine="0"/>
              <w:rPr>
                <w:sz w:val="22"/>
                <w:szCs w:val="22"/>
              </w:rPr>
            </w:pPr>
            <w:r>
              <w:rPr>
                <w:sz w:val="22"/>
                <w:szCs w:val="22"/>
              </w:rPr>
              <w:t xml:space="preserve">2. </w:t>
            </w:r>
            <w:r w:rsidR="00801B52" w:rsidRPr="00D826BE">
              <w:rPr>
                <w:sz w:val="22"/>
                <w:szCs w:val="22"/>
              </w:rPr>
              <w:t>Pašreizējā situācija un problēmas</w:t>
            </w:r>
            <w:r w:rsidR="00B02C21" w:rsidRPr="00D826BE">
              <w:rPr>
                <w:sz w:val="22"/>
                <w:szCs w:val="22"/>
              </w:rPr>
              <w:t>, kuru risināšanai tiesību akta projekts izstrādāts, tiesiskā regulējuma mērķis un būtība</w:t>
            </w:r>
          </w:p>
          <w:p w:rsidR="00B02C21" w:rsidRPr="00D826BE" w:rsidRDefault="00B02C21" w:rsidP="00B02C21">
            <w:pPr>
              <w:pStyle w:val="naisf"/>
              <w:spacing w:before="0" w:after="0"/>
              <w:ind w:firstLine="0"/>
            </w:pPr>
          </w:p>
          <w:p w:rsidR="00801B52" w:rsidRPr="00D826BE" w:rsidRDefault="00801B52" w:rsidP="00B02C21">
            <w:pPr>
              <w:pStyle w:val="naisf"/>
              <w:spacing w:before="0" w:after="0"/>
              <w:ind w:firstLine="0"/>
              <w:jc w:val="right"/>
            </w:pP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425476" w:rsidRPr="00756D73" w:rsidRDefault="00425476" w:rsidP="00D511E4">
            <w:pPr>
              <w:pStyle w:val="NoSpacing"/>
              <w:jc w:val="both"/>
              <w:rPr>
                <w:b/>
                <w:sz w:val="22"/>
                <w:szCs w:val="22"/>
                <w:lang w:val="lv-LV"/>
              </w:rPr>
            </w:pPr>
            <w:r w:rsidRPr="001510B7">
              <w:rPr>
                <w:b/>
                <w:sz w:val="22"/>
                <w:szCs w:val="22"/>
                <w:lang w:val="lv-LV"/>
              </w:rPr>
              <w:t xml:space="preserve">ANO Augstā komisāra bēgļu lietās biroja </w:t>
            </w:r>
            <w:r w:rsidRPr="00756D73">
              <w:rPr>
                <w:b/>
                <w:iCs/>
                <w:sz w:val="22"/>
                <w:szCs w:val="22"/>
                <w:lang w:val="lv-LV"/>
              </w:rPr>
              <w:t xml:space="preserve">Ukrainas iekšēji pārvietoto personu fonds </w:t>
            </w:r>
          </w:p>
          <w:p w:rsidR="00792769" w:rsidRPr="00623BB5" w:rsidRDefault="00792769" w:rsidP="00623BB5">
            <w:pPr>
              <w:pStyle w:val="NoSpacing"/>
              <w:jc w:val="both"/>
              <w:rPr>
                <w:b/>
                <w:sz w:val="22"/>
                <w:szCs w:val="22"/>
                <w:lang w:val="lv-LV"/>
              </w:rPr>
            </w:pPr>
          </w:p>
          <w:p w:rsidR="0096434B" w:rsidRPr="0096434B" w:rsidRDefault="0096434B" w:rsidP="0096434B">
            <w:pPr>
              <w:shd w:val="clear" w:color="auto" w:fill="FFFFFF"/>
              <w:jc w:val="both"/>
              <w:rPr>
                <w:sz w:val="22"/>
                <w:szCs w:val="22"/>
                <w:lang w:val="lv-LV"/>
              </w:rPr>
            </w:pPr>
            <w:r w:rsidRPr="0096434B">
              <w:rPr>
                <w:sz w:val="22"/>
                <w:szCs w:val="22"/>
                <w:lang w:val="lv-LV"/>
              </w:rPr>
              <w:t>ANO Augstā komisāra bēgļu lietās birojs (</w:t>
            </w:r>
            <w:r w:rsidRPr="0096434B">
              <w:rPr>
                <w:i/>
                <w:iCs/>
                <w:sz w:val="22"/>
                <w:szCs w:val="22"/>
                <w:lang w:val="lv-LV"/>
              </w:rPr>
              <w:t>United Nations Refugee Agency</w:t>
            </w:r>
            <w:r w:rsidRPr="0096434B">
              <w:rPr>
                <w:sz w:val="22"/>
                <w:szCs w:val="22"/>
                <w:lang w:val="lv-LV"/>
              </w:rPr>
              <w:t>; turpmāk – ANO AKBLB) ir dibināts 1950. gadā un ir viena no pasaules vadošajām humanitārajām organizācijām, kas koordinē starptautiskos centienus bēgļu, bezvalstnieku, iekšēji pārvietoto personu (turpmāk – IPP) tiesību aizsardzības un labklājības nodrošināšanā, kā arī mēģina rast ilgtermiņa risinājumu savā mandātā ietilpstošo personu situācijas uzlabošanai.</w:t>
            </w:r>
          </w:p>
          <w:p w:rsidR="0096434B" w:rsidRPr="0096434B" w:rsidRDefault="0096434B" w:rsidP="0096434B">
            <w:pPr>
              <w:shd w:val="clear" w:color="auto" w:fill="FFFFFF"/>
              <w:jc w:val="both"/>
              <w:rPr>
                <w:sz w:val="22"/>
                <w:szCs w:val="22"/>
                <w:u w:val="single"/>
                <w:lang w:val="lv-LV"/>
              </w:rPr>
            </w:pPr>
          </w:p>
          <w:p w:rsidR="0096434B" w:rsidRPr="0096434B" w:rsidRDefault="0096434B" w:rsidP="0096434B">
            <w:pPr>
              <w:jc w:val="both"/>
              <w:rPr>
                <w:sz w:val="22"/>
                <w:szCs w:val="22"/>
                <w:lang w:val="lv-LV"/>
              </w:rPr>
            </w:pPr>
            <w:r w:rsidRPr="0096434B">
              <w:rPr>
                <w:sz w:val="22"/>
                <w:szCs w:val="22"/>
                <w:lang w:val="lv-LV"/>
              </w:rPr>
              <w:t xml:space="preserve">Aptuveni 95 procentus no ANO AKBLB finansējuma veido brīvprātīgās iemaksas. Latvija ar nelieliem pārtraukumiem ir veikusi iemaksas ANO AKBLB budžetā kopš 2002. gada. Pēdējo trīs gadu laikā ir veikti ikgadēji maksājumi ANO AKBLB kopējā budžetā 10 543 latu (15 000 </w:t>
            </w:r>
            <w:r w:rsidRPr="0096434B">
              <w:rPr>
                <w:i/>
                <w:iCs/>
                <w:sz w:val="22"/>
                <w:szCs w:val="22"/>
                <w:lang w:val="lv-LV"/>
              </w:rPr>
              <w:t>euro</w:t>
            </w:r>
            <w:r w:rsidRPr="0096434B">
              <w:rPr>
                <w:sz w:val="22"/>
                <w:szCs w:val="22"/>
                <w:lang w:val="lv-LV"/>
              </w:rPr>
              <w:t xml:space="preserve">) apmērā. </w:t>
            </w:r>
          </w:p>
          <w:p w:rsidR="0096434B" w:rsidRPr="0096434B" w:rsidRDefault="0096434B" w:rsidP="0096434B">
            <w:pPr>
              <w:jc w:val="both"/>
              <w:rPr>
                <w:sz w:val="22"/>
                <w:szCs w:val="22"/>
                <w:lang w:val="lv-LV"/>
              </w:rPr>
            </w:pPr>
          </w:p>
          <w:p w:rsidR="0096434B" w:rsidRPr="0096434B" w:rsidRDefault="0096434B" w:rsidP="0096434B">
            <w:pPr>
              <w:jc w:val="both"/>
              <w:rPr>
                <w:sz w:val="22"/>
                <w:szCs w:val="22"/>
                <w:lang w:val="lv-LV"/>
              </w:rPr>
            </w:pPr>
            <w:r w:rsidRPr="0096434B">
              <w:rPr>
                <w:sz w:val="22"/>
                <w:szCs w:val="22"/>
                <w:lang w:val="lv-LV"/>
              </w:rPr>
              <w:t xml:space="preserve">ANO AKBLB brīvprātīgo iemaksu sistēma paredz iespēju valstu valdībām veikt iemaksas specifiskos fondos, kas izveidoti, reaģējot uz aktuāliem globāliem izaicinājumiem. Piemēram, 2013. gadā Latvija veica brīvprātīgo iemaksu Sīrijas Reģionālajā Fondā (50 000 </w:t>
            </w:r>
            <w:r w:rsidRPr="0096434B">
              <w:rPr>
                <w:i/>
                <w:iCs/>
                <w:sz w:val="22"/>
                <w:szCs w:val="22"/>
                <w:lang w:val="lv-LV"/>
              </w:rPr>
              <w:t>euro</w:t>
            </w:r>
            <w:r w:rsidRPr="0096434B">
              <w:rPr>
                <w:sz w:val="22"/>
                <w:szCs w:val="22"/>
                <w:lang w:val="lv-LV"/>
              </w:rPr>
              <w:t>) palīdzības sniegšanai Sīrijas bēgļiem</w:t>
            </w:r>
            <w:r w:rsidRPr="0096434B">
              <w:rPr>
                <w:color w:val="1F497D"/>
                <w:sz w:val="22"/>
                <w:szCs w:val="22"/>
                <w:lang w:val="lv-LV"/>
              </w:rPr>
              <w:t xml:space="preserve">; </w:t>
            </w:r>
            <w:r w:rsidRPr="0096434B">
              <w:rPr>
                <w:sz w:val="22"/>
                <w:szCs w:val="22"/>
                <w:lang w:val="lv-LV"/>
              </w:rPr>
              <w:t xml:space="preserve">2014. gadā Latvija ir veikusi brīvprātīgo iemaksu 50 000 </w:t>
            </w:r>
            <w:r w:rsidRPr="0096434B">
              <w:rPr>
                <w:i/>
                <w:iCs/>
                <w:sz w:val="22"/>
                <w:szCs w:val="22"/>
                <w:lang w:val="lv-LV"/>
              </w:rPr>
              <w:t xml:space="preserve">euro </w:t>
            </w:r>
            <w:r w:rsidRPr="0096434B">
              <w:rPr>
                <w:sz w:val="22"/>
                <w:szCs w:val="22"/>
                <w:lang w:val="lv-LV"/>
              </w:rPr>
              <w:t>apmērā ANO AKBLB fondā, kas vērsts uz humānās palīdzības sniegšanu Irākas IPP.</w:t>
            </w:r>
          </w:p>
          <w:p w:rsidR="0096434B" w:rsidRPr="0096434B" w:rsidRDefault="0096434B" w:rsidP="0096434B">
            <w:pPr>
              <w:jc w:val="both"/>
              <w:rPr>
                <w:sz w:val="22"/>
                <w:szCs w:val="22"/>
                <w:lang w:val="lv-LV"/>
              </w:rPr>
            </w:pPr>
          </w:p>
          <w:p w:rsidR="0096434B" w:rsidRPr="0096434B" w:rsidRDefault="0096434B" w:rsidP="0096434B">
            <w:pPr>
              <w:jc w:val="both"/>
              <w:rPr>
                <w:sz w:val="22"/>
                <w:szCs w:val="22"/>
                <w:lang w:val="lv-LV"/>
              </w:rPr>
            </w:pPr>
            <w:r w:rsidRPr="0096434B">
              <w:rPr>
                <w:sz w:val="22"/>
                <w:szCs w:val="22"/>
                <w:lang w:val="lv-LV"/>
              </w:rPr>
              <w:t>Ņemot vērā karadarbību Ukrainā, šis reģions ir nonācis ANO AKBLB pastiprinātas uzmanības lokā. Saskaņā ar ANO AKBLB 2014. gada 24.oktobra datiem šobrīd Ukrainā ir apmēram 430 000 IPP (95 procenti no tām ir Ukrainas austrumu reģionu iedzīvotāji, 17 000 personas – Krimas iedzīvotāji). IPP skaits Ukrainā pēdējo mēnešu laikā ir ievērojami pieaudzis (š.g. jūlijā tika reģistrētas 80 000 IPP). IPP problemātikas Ukrainā risināšanai 2014. gada augustā ir izveidots ANO AKBLB Ukrainas iekšēji pārvietoto personu fonds (</w:t>
            </w:r>
            <w:r w:rsidRPr="0096434B">
              <w:rPr>
                <w:i/>
                <w:iCs/>
                <w:sz w:val="22"/>
                <w:szCs w:val="22"/>
                <w:lang w:val="lv-LV"/>
              </w:rPr>
              <w:t>Internally Displaced People in Ukraine</w:t>
            </w:r>
            <w:r w:rsidRPr="0096434B">
              <w:rPr>
                <w:sz w:val="22"/>
                <w:szCs w:val="22"/>
                <w:lang w:val="lv-LV"/>
              </w:rPr>
              <w:t xml:space="preserve">; turpmāk - Fonds). </w:t>
            </w:r>
          </w:p>
          <w:p w:rsidR="0096434B" w:rsidRPr="0096434B" w:rsidRDefault="0096434B" w:rsidP="0096434B">
            <w:pPr>
              <w:jc w:val="both"/>
              <w:rPr>
                <w:sz w:val="22"/>
                <w:szCs w:val="22"/>
                <w:lang w:val="lv-LV"/>
              </w:rPr>
            </w:pPr>
            <w:r w:rsidRPr="0096434B">
              <w:rPr>
                <w:sz w:val="22"/>
                <w:szCs w:val="22"/>
                <w:lang w:val="lv-LV"/>
              </w:rPr>
              <w:t xml:space="preserve">Fondā iemaksātos līdzekļus ANO AKBLB ciešā sadarbībā ar Ukrainas valdību un pašvaldībām izlieto </w:t>
            </w:r>
            <w:r w:rsidR="0048642C">
              <w:rPr>
                <w:sz w:val="22"/>
                <w:szCs w:val="22"/>
                <w:lang w:val="lv-LV"/>
              </w:rPr>
              <w:t>šādiem</w:t>
            </w:r>
            <w:r w:rsidRPr="0096434B">
              <w:rPr>
                <w:sz w:val="22"/>
                <w:szCs w:val="22"/>
                <w:lang w:val="lv-LV"/>
              </w:rPr>
              <w:t xml:space="preserve"> mērķiem: (1) Ukrainas IPP </w:t>
            </w:r>
            <w:r w:rsidRPr="0096434B">
              <w:rPr>
                <w:sz w:val="22"/>
                <w:szCs w:val="22"/>
                <w:lang w:val="lv-LV"/>
              </w:rPr>
              <w:lastRenderedPageBreak/>
              <w:t>humanitārās situācijas monitorings, atbilstošu īstermiņa reaģēšanas mehānismu, kā arī ilgtermiņa stratēģijas izstrāde; (2) IPP pagaidu uzturēšanās vietu (centru) remonts, apkope, sagatavošana ziemai; (3) pirmās nepieciešamības pārtikas/nepārtikas preču izdale; (4) finansiāla palīdzība iekšēji pārvietotajām personām; (5) informācijas aprites nodrošināšana – pazuduši ģimenes locekļi, drošības situācija karadarbības skartajos reģionos; (6) palīdzība mājvietu renovācijā IPP, kuras atgriežas Ukrainas armijas atkarotajās teritorijās.</w:t>
            </w:r>
          </w:p>
          <w:p w:rsidR="0096434B" w:rsidRPr="0096434B" w:rsidRDefault="0096434B" w:rsidP="0096434B">
            <w:pPr>
              <w:jc w:val="both"/>
              <w:rPr>
                <w:sz w:val="22"/>
                <w:szCs w:val="22"/>
                <w:lang w:val="lv-LV"/>
              </w:rPr>
            </w:pPr>
          </w:p>
          <w:p w:rsidR="0096434B" w:rsidRPr="0096434B" w:rsidRDefault="0096434B" w:rsidP="0096434B">
            <w:pPr>
              <w:jc w:val="both"/>
              <w:rPr>
                <w:sz w:val="22"/>
                <w:szCs w:val="22"/>
                <w:lang w:val="lv-LV"/>
              </w:rPr>
            </w:pPr>
            <w:r w:rsidRPr="0096434B">
              <w:rPr>
                <w:sz w:val="22"/>
                <w:szCs w:val="22"/>
                <w:lang w:val="lv-LV"/>
              </w:rPr>
              <w:t>ANO AKBLB 2014. gada 22.oktobra dati liecina, ka Fonda noteikto uzdevumu i</w:t>
            </w:r>
            <w:r>
              <w:rPr>
                <w:sz w:val="22"/>
                <w:szCs w:val="22"/>
                <w:lang w:val="lv-LV"/>
              </w:rPr>
              <w:t>zpildei līdz šim ir saņemti  69</w:t>
            </w:r>
            <w:r w:rsidRPr="0096434B">
              <w:rPr>
                <w:sz w:val="22"/>
                <w:szCs w:val="22"/>
                <w:lang w:val="lv-LV"/>
              </w:rPr>
              <w:t xml:space="preserve">  procenti no nepieciešamā finansējuma jeb </w:t>
            </w:r>
            <w:r w:rsidR="003535EB">
              <w:rPr>
                <w:sz w:val="22"/>
                <w:szCs w:val="22"/>
                <w:lang w:val="lv-LV"/>
              </w:rPr>
              <w:t>apmēram</w:t>
            </w:r>
            <w:r w:rsidRPr="0096434B">
              <w:rPr>
                <w:sz w:val="22"/>
                <w:szCs w:val="22"/>
                <w:lang w:val="lv-LV"/>
              </w:rPr>
              <w:t xml:space="preserve"> 7,8 miljoni ASV dolāru.</w:t>
            </w:r>
          </w:p>
          <w:p w:rsidR="0096434B" w:rsidRDefault="0096434B" w:rsidP="0096434B">
            <w:pPr>
              <w:jc w:val="both"/>
              <w:rPr>
                <w:sz w:val="22"/>
                <w:szCs w:val="22"/>
                <w:lang w:val="lv-LV"/>
              </w:rPr>
            </w:pPr>
          </w:p>
          <w:p w:rsidR="0096434B" w:rsidRPr="0096434B" w:rsidRDefault="0096434B" w:rsidP="0096434B">
            <w:pPr>
              <w:jc w:val="both"/>
              <w:rPr>
                <w:sz w:val="22"/>
                <w:szCs w:val="22"/>
                <w:lang w:val="lv-LV"/>
              </w:rPr>
            </w:pPr>
            <w:r w:rsidRPr="0096434B">
              <w:rPr>
                <w:sz w:val="22"/>
                <w:szCs w:val="22"/>
                <w:lang w:val="lv-LV"/>
              </w:rPr>
              <w:t>2014.gada 10. novembrī Ministru kabinet</w:t>
            </w:r>
            <w:r>
              <w:rPr>
                <w:sz w:val="22"/>
                <w:szCs w:val="22"/>
                <w:lang w:val="lv-LV"/>
              </w:rPr>
              <w:t>ā</w:t>
            </w:r>
            <w:r w:rsidRPr="0096434B">
              <w:rPr>
                <w:sz w:val="22"/>
                <w:szCs w:val="22"/>
                <w:lang w:val="lv-LV"/>
              </w:rPr>
              <w:t xml:space="preserve"> tika apstiprināts </w:t>
            </w:r>
            <w:r w:rsidR="0048642C">
              <w:rPr>
                <w:sz w:val="22"/>
                <w:szCs w:val="22"/>
                <w:lang w:val="lv-LV"/>
              </w:rPr>
              <w:t xml:space="preserve">rīkojums par </w:t>
            </w:r>
            <w:r>
              <w:rPr>
                <w:sz w:val="22"/>
                <w:szCs w:val="22"/>
                <w:lang w:val="lv-LV"/>
              </w:rPr>
              <w:t>Latvijas brīvprātīg</w:t>
            </w:r>
            <w:r w:rsidR="0048642C">
              <w:rPr>
                <w:sz w:val="22"/>
                <w:szCs w:val="22"/>
                <w:lang w:val="lv-LV"/>
              </w:rPr>
              <w:t>o</w:t>
            </w:r>
            <w:r>
              <w:rPr>
                <w:sz w:val="22"/>
                <w:szCs w:val="22"/>
                <w:lang w:val="lv-LV"/>
              </w:rPr>
              <w:t xml:space="preserve"> iemaks</w:t>
            </w:r>
            <w:r w:rsidR="0048642C">
              <w:rPr>
                <w:sz w:val="22"/>
                <w:szCs w:val="22"/>
                <w:lang w:val="lv-LV"/>
              </w:rPr>
              <w:t>u</w:t>
            </w:r>
            <w:r w:rsidRPr="0096434B">
              <w:rPr>
                <w:sz w:val="22"/>
                <w:szCs w:val="22"/>
                <w:lang w:val="lv-LV"/>
              </w:rPr>
              <w:t xml:space="preserve"> Fondā 25 000 </w:t>
            </w:r>
            <w:r w:rsidR="003535EB" w:rsidRPr="003535EB">
              <w:rPr>
                <w:i/>
                <w:sz w:val="22"/>
                <w:szCs w:val="22"/>
                <w:lang w:val="lv-LV"/>
              </w:rPr>
              <w:t>euro</w:t>
            </w:r>
            <w:r w:rsidRPr="0096434B">
              <w:rPr>
                <w:sz w:val="22"/>
                <w:szCs w:val="22"/>
                <w:lang w:val="lv-LV"/>
              </w:rPr>
              <w:t xml:space="preserve"> apmērā.</w:t>
            </w:r>
          </w:p>
          <w:p w:rsidR="0096434B" w:rsidRPr="0096434B" w:rsidRDefault="0096434B" w:rsidP="0096434B">
            <w:pPr>
              <w:jc w:val="both"/>
              <w:rPr>
                <w:sz w:val="22"/>
                <w:szCs w:val="22"/>
                <w:lang w:val="lv-LV"/>
              </w:rPr>
            </w:pPr>
          </w:p>
          <w:p w:rsidR="0096434B" w:rsidRPr="0096434B" w:rsidRDefault="0096434B" w:rsidP="0096434B">
            <w:pPr>
              <w:jc w:val="both"/>
              <w:rPr>
                <w:sz w:val="22"/>
                <w:szCs w:val="22"/>
                <w:lang w:val="lv-LV"/>
              </w:rPr>
            </w:pPr>
            <w:r w:rsidRPr="0096434B">
              <w:rPr>
                <w:sz w:val="22"/>
                <w:szCs w:val="22"/>
                <w:lang w:val="lv-LV"/>
              </w:rPr>
              <w:t>Latvijas papildu iemaksa ANO Augstā komisāra bēgļu lietās biroja Ukrainas iekšēji pārvietoto personu fonda</w:t>
            </w:r>
            <w:r w:rsidRPr="0096434B">
              <w:rPr>
                <w:i/>
                <w:iCs/>
                <w:sz w:val="22"/>
                <w:szCs w:val="22"/>
                <w:lang w:val="lv-LV"/>
              </w:rPr>
              <w:t xml:space="preserve"> </w:t>
            </w:r>
            <w:r w:rsidRPr="0096434B">
              <w:rPr>
                <w:sz w:val="22"/>
                <w:szCs w:val="22"/>
                <w:lang w:val="lv-LV"/>
              </w:rPr>
              <w:t xml:space="preserve">budžetā </w:t>
            </w:r>
            <w:r>
              <w:rPr>
                <w:sz w:val="22"/>
                <w:szCs w:val="22"/>
                <w:lang w:val="lv-LV"/>
              </w:rPr>
              <w:t>turpinātu nodrošināt</w:t>
            </w:r>
            <w:r w:rsidRPr="0096434B">
              <w:rPr>
                <w:sz w:val="22"/>
                <w:szCs w:val="22"/>
                <w:lang w:val="lv-LV"/>
              </w:rPr>
              <w:t>:</w:t>
            </w:r>
          </w:p>
          <w:p w:rsidR="0096434B" w:rsidRPr="0096434B" w:rsidRDefault="0096434B" w:rsidP="0096434B">
            <w:pPr>
              <w:numPr>
                <w:ilvl w:val="0"/>
                <w:numId w:val="46"/>
              </w:numPr>
              <w:jc w:val="both"/>
              <w:rPr>
                <w:sz w:val="22"/>
                <w:szCs w:val="22"/>
                <w:lang w:val="lv-LV"/>
              </w:rPr>
            </w:pPr>
            <w:r w:rsidRPr="0096434B">
              <w:rPr>
                <w:sz w:val="22"/>
                <w:szCs w:val="22"/>
                <w:lang w:val="lv-LV"/>
              </w:rPr>
              <w:t>Latvijas papildus praktisku ieguldījumu humānās situācijas risināšanā Ukrainā - Latvijai nozīmīgā partnervalstī;</w:t>
            </w:r>
          </w:p>
          <w:p w:rsidR="0096434B" w:rsidRPr="0096434B" w:rsidRDefault="0096434B" w:rsidP="0096434B">
            <w:pPr>
              <w:numPr>
                <w:ilvl w:val="0"/>
                <w:numId w:val="46"/>
              </w:numPr>
              <w:jc w:val="both"/>
              <w:rPr>
                <w:sz w:val="22"/>
                <w:szCs w:val="22"/>
                <w:lang w:val="lv-LV"/>
              </w:rPr>
            </w:pPr>
            <w:r w:rsidRPr="0096434B">
              <w:rPr>
                <w:sz w:val="22"/>
                <w:szCs w:val="22"/>
                <w:lang w:val="lv-LV"/>
              </w:rPr>
              <w:t>Latvijas atbalstu Ukrainas valdībai konkrēta problēmjautājuma – iekšēji pārvietoto personu kritiskās situācijas - risināšanā;</w:t>
            </w:r>
          </w:p>
          <w:p w:rsidR="0096434B" w:rsidRPr="0096434B" w:rsidRDefault="0096434B" w:rsidP="0096434B">
            <w:pPr>
              <w:numPr>
                <w:ilvl w:val="0"/>
                <w:numId w:val="46"/>
              </w:numPr>
              <w:jc w:val="both"/>
              <w:rPr>
                <w:sz w:val="22"/>
                <w:szCs w:val="22"/>
                <w:lang w:val="lv-LV"/>
              </w:rPr>
            </w:pPr>
            <w:r w:rsidRPr="0096434B">
              <w:rPr>
                <w:sz w:val="22"/>
                <w:szCs w:val="22"/>
                <w:lang w:val="lv-LV"/>
              </w:rPr>
              <w:t xml:space="preserve">saskaņā ar Latvijas ilgtermiņa stratēģiskajām politiskajām interesēm Latvijas starptautisko saistību izpildi, tai skaitā Latvijai kā Eiropas Savienības (ES), Eiropas Drošības un sadarbības organizācijas (EDSO) un Eiropas Padomes (EP) dalībvalstij atsaucoties uz </w:t>
            </w:r>
            <w:r w:rsidR="0048642C">
              <w:rPr>
                <w:sz w:val="22"/>
                <w:szCs w:val="22"/>
                <w:lang w:val="lv-LV"/>
              </w:rPr>
              <w:t>šādiem</w:t>
            </w:r>
            <w:r w:rsidRPr="0096434B">
              <w:rPr>
                <w:sz w:val="22"/>
                <w:szCs w:val="22"/>
                <w:lang w:val="lv-LV"/>
              </w:rPr>
              <w:t xml:space="preserve"> aicinājumiem un piedāvājot konkrētu atbalstu: (1) š.g. 19. augustā EP ģenerālsekretārs T.Jaglands ir lūdzis EP dalībvalstu ārlietu ministrus sniegt pastiprinātu atbalstu Ukrainai IPP situācijas risināšanā; (2) š.g. septembrī vizītes laikā Ukrainā EDSO Augstā komisāre nacionālo minoritāšu jautājumos A.Tūrsa ir rosinājusi starptautisko sabiedrību palielināt palīdzību Ukrainai IPP kontekstā; (3) vairākas ES dalībvalstis (piem., Igaunija) jau ir veikušas iemaksas Fondā; </w:t>
            </w:r>
          </w:p>
          <w:p w:rsidR="0096434B" w:rsidRDefault="0096434B" w:rsidP="0096434B">
            <w:pPr>
              <w:numPr>
                <w:ilvl w:val="0"/>
                <w:numId w:val="46"/>
              </w:numPr>
              <w:jc w:val="both"/>
              <w:rPr>
                <w:sz w:val="22"/>
                <w:szCs w:val="22"/>
                <w:lang w:val="lv-LV"/>
              </w:rPr>
            </w:pPr>
            <w:r w:rsidRPr="0096434B">
              <w:rPr>
                <w:sz w:val="22"/>
                <w:szCs w:val="22"/>
                <w:lang w:val="lv-LV"/>
              </w:rPr>
              <w:t>Latvijas saistību ANO Tūkstošgades attīstības mērķu definēto prioritāšu izpildi un Latvijas kā donorvalsts statusa nostiprināšanu (iemaksas klasificējas kā oficiālā attīstības palīdzība).</w:t>
            </w:r>
          </w:p>
          <w:p w:rsidR="0096434B" w:rsidRPr="0096434B" w:rsidRDefault="0096434B" w:rsidP="0096434B">
            <w:pPr>
              <w:ind w:left="360"/>
              <w:jc w:val="both"/>
              <w:rPr>
                <w:sz w:val="22"/>
                <w:szCs w:val="22"/>
                <w:lang w:val="lv-LV"/>
              </w:rPr>
            </w:pPr>
          </w:p>
          <w:p w:rsidR="00B02C21" w:rsidRPr="0048642C" w:rsidRDefault="00B02C21" w:rsidP="0096434B">
            <w:pPr>
              <w:pStyle w:val="NoSpacing"/>
              <w:jc w:val="both"/>
              <w:rPr>
                <w:sz w:val="22"/>
                <w:szCs w:val="22"/>
                <w:lang w:val="lv-LV"/>
              </w:rPr>
            </w:pPr>
            <w:r w:rsidRPr="0048642C">
              <w:rPr>
                <w:sz w:val="22"/>
                <w:szCs w:val="22"/>
                <w:lang w:val="lv-LV"/>
              </w:rPr>
              <w:t>Rīkojuma mērķis ir noteikt, ka Ārlietu ministrija 201</w:t>
            </w:r>
            <w:r w:rsidR="00AD58D9" w:rsidRPr="0048642C">
              <w:rPr>
                <w:sz w:val="22"/>
                <w:szCs w:val="22"/>
                <w:lang w:val="lv-LV"/>
              </w:rPr>
              <w:t>4</w:t>
            </w:r>
            <w:r w:rsidRPr="0048642C">
              <w:rPr>
                <w:sz w:val="22"/>
                <w:szCs w:val="22"/>
                <w:lang w:val="lv-LV"/>
              </w:rPr>
              <w:t xml:space="preserve">. gadā veic </w:t>
            </w:r>
            <w:r w:rsidR="00ED6F97" w:rsidRPr="0048642C">
              <w:rPr>
                <w:sz w:val="22"/>
                <w:szCs w:val="22"/>
                <w:lang w:val="lv-LV"/>
              </w:rPr>
              <w:t xml:space="preserve">papildu </w:t>
            </w:r>
            <w:r w:rsidRPr="0048642C">
              <w:rPr>
                <w:sz w:val="22"/>
                <w:szCs w:val="22"/>
                <w:lang w:val="lv-LV"/>
              </w:rPr>
              <w:t>iemaks</w:t>
            </w:r>
            <w:r w:rsidR="00ED6F97" w:rsidRPr="0048642C">
              <w:rPr>
                <w:sz w:val="22"/>
                <w:szCs w:val="22"/>
                <w:lang w:val="lv-LV"/>
              </w:rPr>
              <w:t xml:space="preserve">u </w:t>
            </w:r>
            <w:r w:rsidR="00425476" w:rsidRPr="0048642C">
              <w:rPr>
                <w:sz w:val="22"/>
                <w:szCs w:val="22"/>
                <w:lang w:val="lv-LV"/>
              </w:rPr>
              <w:t>ANO Augs</w:t>
            </w:r>
            <w:r w:rsidR="00BB5297" w:rsidRPr="0048642C">
              <w:rPr>
                <w:sz w:val="22"/>
                <w:szCs w:val="22"/>
                <w:lang w:val="lv-LV"/>
              </w:rPr>
              <w:t>tā komisāra bēgļu lietās biroja</w:t>
            </w:r>
            <w:r w:rsidR="00425476" w:rsidRPr="0048642C">
              <w:rPr>
                <w:sz w:val="22"/>
                <w:szCs w:val="22"/>
                <w:lang w:val="lv-LV"/>
              </w:rPr>
              <w:t xml:space="preserve"> Ukrainas </w:t>
            </w:r>
            <w:r w:rsidR="00BB5297" w:rsidRPr="0048642C">
              <w:rPr>
                <w:sz w:val="22"/>
                <w:szCs w:val="22"/>
                <w:lang w:val="lv-LV"/>
              </w:rPr>
              <w:t>iekšēji pārvietoto personu fonda</w:t>
            </w:r>
            <w:r w:rsidR="00BB5297" w:rsidRPr="0048642C">
              <w:rPr>
                <w:i/>
                <w:sz w:val="22"/>
                <w:szCs w:val="22"/>
                <w:lang w:val="lv-LV"/>
              </w:rPr>
              <w:t xml:space="preserve"> </w:t>
            </w:r>
            <w:r w:rsidR="00BB5297" w:rsidRPr="0048642C">
              <w:rPr>
                <w:sz w:val="22"/>
                <w:szCs w:val="22"/>
                <w:lang w:val="lv-LV"/>
              </w:rPr>
              <w:t xml:space="preserve">budžetā 25 000 </w:t>
            </w:r>
            <w:r w:rsidR="00EF043B" w:rsidRPr="0048642C">
              <w:rPr>
                <w:i/>
                <w:sz w:val="22"/>
                <w:szCs w:val="22"/>
                <w:lang w:val="lv-LV"/>
              </w:rPr>
              <w:t>euro</w:t>
            </w:r>
            <w:r w:rsidR="00BB5297" w:rsidRPr="0048642C">
              <w:rPr>
                <w:sz w:val="22"/>
                <w:szCs w:val="22"/>
                <w:lang w:val="lv-LV"/>
              </w:rPr>
              <w:t xml:space="preserve"> apmērā</w:t>
            </w:r>
            <w:r w:rsidR="00425476" w:rsidRPr="0048642C">
              <w:rPr>
                <w:sz w:val="22"/>
                <w:szCs w:val="22"/>
                <w:lang w:val="lv-LV"/>
              </w:rPr>
              <w:t>.</w:t>
            </w:r>
          </w:p>
        </w:tc>
      </w:tr>
      <w:tr w:rsidR="00801B52" w:rsidRPr="00D826BE" w:rsidTr="00BB0F45">
        <w:trPr>
          <w:trHeight w:val="730"/>
        </w:trPr>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801B52" w:rsidRPr="00D826BE" w:rsidRDefault="00337948" w:rsidP="00B02C21">
            <w:pPr>
              <w:pStyle w:val="NormalWeb"/>
              <w:spacing w:before="0" w:beforeAutospacing="0" w:after="0" w:afterAutospacing="0"/>
            </w:pPr>
            <w:r w:rsidRPr="00D826BE">
              <w:rPr>
                <w:sz w:val="22"/>
                <w:szCs w:val="22"/>
              </w:rPr>
              <w:lastRenderedPageBreak/>
              <w:t xml:space="preserve">3. </w:t>
            </w:r>
            <w:r w:rsidR="00B02C21" w:rsidRPr="00D826BE">
              <w:rPr>
                <w:sz w:val="22"/>
                <w:szCs w:val="22"/>
              </w:rPr>
              <w:t>Projekta izstrādē iesaistītās institūcijas</w:t>
            </w: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801B52" w:rsidRPr="00D826BE" w:rsidRDefault="00B02C21" w:rsidP="00F11802">
            <w:pPr>
              <w:ind w:right="70"/>
              <w:jc w:val="both"/>
              <w:rPr>
                <w:lang w:val="lv-LV"/>
              </w:rPr>
            </w:pPr>
            <w:r w:rsidRPr="00D826BE">
              <w:rPr>
                <w:sz w:val="22"/>
                <w:szCs w:val="22"/>
                <w:lang w:val="lv-LV"/>
              </w:rPr>
              <w:t>Ārlietu ministrija</w:t>
            </w:r>
          </w:p>
          <w:p w:rsidR="00801B52" w:rsidRPr="00D826BE" w:rsidRDefault="00801B52" w:rsidP="00F11802">
            <w:pPr>
              <w:tabs>
                <w:tab w:val="left" w:pos="1020"/>
              </w:tabs>
              <w:rPr>
                <w:lang w:val="lv-LV"/>
              </w:rPr>
            </w:pPr>
            <w:bookmarkStart w:id="0" w:name="_GoBack"/>
            <w:bookmarkEnd w:id="0"/>
          </w:p>
        </w:tc>
      </w:tr>
      <w:tr w:rsidR="00801B52" w:rsidRPr="00D826BE" w:rsidTr="00F11802">
        <w:trPr>
          <w:trHeight w:val="419"/>
        </w:trPr>
        <w:tc>
          <w:tcPr>
            <w:tcW w:w="1541" w:type="pct"/>
            <w:tcBorders>
              <w:top w:val="outset" w:sz="6" w:space="0" w:color="auto"/>
              <w:bottom w:val="outset" w:sz="6" w:space="0" w:color="auto"/>
              <w:right w:val="outset" w:sz="6" w:space="0" w:color="auto"/>
            </w:tcBorders>
            <w:tcMar>
              <w:top w:w="105" w:type="dxa"/>
              <w:left w:w="105" w:type="dxa"/>
              <w:bottom w:w="105" w:type="dxa"/>
              <w:right w:w="105" w:type="dxa"/>
            </w:tcMar>
          </w:tcPr>
          <w:p w:rsidR="00801B52" w:rsidRPr="00D826BE" w:rsidRDefault="00433270" w:rsidP="00D022D7">
            <w:pPr>
              <w:pStyle w:val="NormalWeb"/>
              <w:spacing w:before="0" w:beforeAutospacing="0" w:after="0" w:afterAutospacing="0"/>
            </w:pPr>
            <w:r w:rsidRPr="00D826BE">
              <w:rPr>
                <w:sz w:val="22"/>
                <w:szCs w:val="22"/>
              </w:rPr>
              <w:t>4. </w:t>
            </w:r>
            <w:r w:rsidR="00D022D7" w:rsidRPr="00D826BE">
              <w:rPr>
                <w:sz w:val="22"/>
                <w:szCs w:val="22"/>
              </w:rPr>
              <w:t>Cita informācija</w:t>
            </w:r>
          </w:p>
        </w:tc>
        <w:tc>
          <w:tcPr>
            <w:tcW w:w="3459" w:type="pct"/>
            <w:tcBorders>
              <w:top w:val="outset" w:sz="6" w:space="0" w:color="auto"/>
              <w:left w:val="outset" w:sz="6" w:space="0" w:color="auto"/>
              <w:bottom w:val="outset" w:sz="6" w:space="0" w:color="auto"/>
            </w:tcBorders>
            <w:tcMar>
              <w:top w:w="105" w:type="dxa"/>
              <w:left w:w="105" w:type="dxa"/>
              <w:bottom w:w="105" w:type="dxa"/>
              <w:right w:w="105" w:type="dxa"/>
            </w:tcMar>
          </w:tcPr>
          <w:p w:rsidR="00B80682" w:rsidRPr="00D826BE" w:rsidRDefault="00756D73" w:rsidP="00D022D7">
            <w:pPr>
              <w:spacing w:after="200" w:line="276" w:lineRule="auto"/>
              <w:jc w:val="both"/>
              <w:rPr>
                <w:sz w:val="22"/>
                <w:szCs w:val="22"/>
                <w:lang w:val="lv-LV" w:eastAsia="en-US"/>
              </w:rPr>
            </w:pPr>
            <w:r>
              <w:rPr>
                <w:sz w:val="22"/>
                <w:szCs w:val="22"/>
                <w:lang w:val="lv-LV" w:eastAsia="en-US"/>
              </w:rPr>
              <w:t>Nav</w:t>
            </w:r>
          </w:p>
        </w:tc>
      </w:tr>
    </w:tbl>
    <w:p w:rsidR="00B83C0B" w:rsidRPr="00D826BE" w:rsidRDefault="00B83C0B" w:rsidP="00A76DFA">
      <w:pPr>
        <w:rPr>
          <w:sz w:val="22"/>
          <w:szCs w:val="22"/>
          <w:lang w:val="lv-LV"/>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1343"/>
        <w:gridCol w:w="1388"/>
        <w:gridCol w:w="1358"/>
        <w:gridCol w:w="1358"/>
        <w:gridCol w:w="1222"/>
      </w:tblGrid>
      <w:tr w:rsidR="00393285" w:rsidRPr="00D826BE" w:rsidTr="00BD3092">
        <w:trPr>
          <w:trHeight w:val="652"/>
        </w:trPr>
        <w:tc>
          <w:tcPr>
            <w:tcW w:w="10020" w:type="dxa"/>
            <w:gridSpan w:val="6"/>
          </w:tcPr>
          <w:p w:rsidR="00393285" w:rsidRPr="00D826BE" w:rsidRDefault="00393285" w:rsidP="006F7B3A">
            <w:pPr>
              <w:pStyle w:val="naisnod"/>
              <w:rPr>
                <w:sz w:val="22"/>
                <w:szCs w:val="22"/>
              </w:rPr>
            </w:pPr>
            <w:r w:rsidRPr="00D826BE">
              <w:rPr>
                <w:sz w:val="22"/>
                <w:szCs w:val="22"/>
              </w:rPr>
              <w:t>III. Tiesību akta projekta ietekme uz valsts budžetu un pašvaldību budžetiem</w:t>
            </w:r>
          </w:p>
        </w:tc>
      </w:tr>
      <w:tr w:rsidR="00393285" w:rsidRPr="00D826BE" w:rsidTr="00BD3092">
        <w:tc>
          <w:tcPr>
            <w:tcW w:w="3351" w:type="dxa"/>
            <w:vMerge w:val="restart"/>
          </w:tcPr>
          <w:p w:rsidR="00393285" w:rsidRPr="00D826BE" w:rsidRDefault="00393285" w:rsidP="006F7B3A">
            <w:pPr>
              <w:pStyle w:val="naisc"/>
              <w:rPr>
                <w:sz w:val="22"/>
                <w:szCs w:val="22"/>
              </w:rPr>
            </w:pPr>
            <w:r w:rsidRPr="00D826BE">
              <w:rPr>
                <w:sz w:val="22"/>
                <w:szCs w:val="22"/>
              </w:rPr>
              <w:t> </w:t>
            </w:r>
            <w:r w:rsidRPr="00D826BE">
              <w:rPr>
                <w:b/>
                <w:bCs/>
                <w:sz w:val="22"/>
                <w:szCs w:val="22"/>
              </w:rPr>
              <w:t>Rādītāji</w:t>
            </w:r>
          </w:p>
        </w:tc>
        <w:tc>
          <w:tcPr>
            <w:tcW w:w="2731" w:type="dxa"/>
            <w:gridSpan w:val="2"/>
            <w:vMerge w:val="restart"/>
          </w:tcPr>
          <w:p w:rsidR="00393285" w:rsidRPr="00D826BE" w:rsidRDefault="00393285" w:rsidP="00EF043B">
            <w:pPr>
              <w:pStyle w:val="naisc"/>
              <w:rPr>
                <w:b/>
                <w:sz w:val="22"/>
                <w:szCs w:val="22"/>
              </w:rPr>
            </w:pPr>
            <w:r w:rsidRPr="00D826BE">
              <w:rPr>
                <w:b/>
                <w:sz w:val="22"/>
                <w:szCs w:val="22"/>
              </w:rPr>
              <w:t> </w:t>
            </w:r>
            <w:r w:rsidR="0080392C" w:rsidRPr="00D826BE">
              <w:rPr>
                <w:b/>
                <w:bCs/>
                <w:sz w:val="22"/>
                <w:szCs w:val="22"/>
              </w:rPr>
              <w:t>2014.</w:t>
            </w:r>
            <w:r w:rsidRPr="00D826BE">
              <w:rPr>
                <w:b/>
                <w:bCs/>
                <w:sz w:val="22"/>
                <w:szCs w:val="22"/>
              </w:rPr>
              <w:t xml:space="preserve"> gads</w:t>
            </w:r>
            <w:r w:rsidR="0080392C" w:rsidRPr="00D826BE">
              <w:rPr>
                <w:b/>
                <w:bCs/>
                <w:sz w:val="22"/>
                <w:szCs w:val="22"/>
              </w:rPr>
              <w:t xml:space="preserve"> </w:t>
            </w:r>
            <w:r w:rsidR="0080392C" w:rsidRPr="00D826BE">
              <w:rPr>
                <w:bCs/>
                <w:sz w:val="22"/>
                <w:szCs w:val="22"/>
              </w:rPr>
              <w:t>(</w:t>
            </w:r>
            <w:r w:rsidR="00303B83" w:rsidRPr="009A6D92">
              <w:rPr>
                <w:bCs/>
                <w:i/>
                <w:sz w:val="22"/>
                <w:szCs w:val="22"/>
              </w:rPr>
              <w:t>e</w:t>
            </w:r>
            <w:r w:rsidR="00EF043B" w:rsidRPr="009A6D92">
              <w:rPr>
                <w:bCs/>
                <w:i/>
                <w:sz w:val="22"/>
                <w:szCs w:val="22"/>
              </w:rPr>
              <w:t>u</w:t>
            </w:r>
            <w:r w:rsidR="00303B83" w:rsidRPr="009A6D92">
              <w:rPr>
                <w:bCs/>
                <w:i/>
                <w:sz w:val="22"/>
                <w:szCs w:val="22"/>
              </w:rPr>
              <w:t>ro</w:t>
            </w:r>
            <w:r w:rsidR="0080392C" w:rsidRPr="00D826BE">
              <w:rPr>
                <w:bCs/>
                <w:i/>
                <w:sz w:val="22"/>
                <w:szCs w:val="22"/>
              </w:rPr>
              <w:t>)</w:t>
            </w:r>
          </w:p>
        </w:tc>
        <w:tc>
          <w:tcPr>
            <w:tcW w:w="3938" w:type="dxa"/>
            <w:gridSpan w:val="3"/>
          </w:tcPr>
          <w:p w:rsidR="00393285" w:rsidRPr="00D826BE" w:rsidRDefault="00393285" w:rsidP="00EF043B">
            <w:pPr>
              <w:pStyle w:val="naisc"/>
              <w:rPr>
                <w:sz w:val="22"/>
                <w:szCs w:val="22"/>
              </w:rPr>
            </w:pPr>
            <w:r w:rsidRPr="00D826BE">
              <w:rPr>
                <w:sz w:val="22"/>
                <w:szCs w:val="22"/>
              </w:rPr>
              <w:t> Turpmākie trīs gadi (</w:t>
            </w:r>
            <w:r w:rsidR="00303B83" w:rsidRPr="009A6D92">
              <w:rPr>
                <w:i/>
                <w:sz w:val="22"/>
                <w:szCs w:val="22"/>
              </w:rPr>
              <w:t>e</w:t>
            </w:r>
            <w:r w:rsidR="00EF043B" w:rsidRPr="009A6D92">
              <w:rPr>
                <w:i/>
                <w:sz w:val="22"/>
                <w:szCs w:val="22"/>
              </w:rPr>
              <w:t>u</w:t>
            </w:r>
            <w:r w:rsidR="00303B83" w:rsidRPr="009A6D92">
              <w:rPr>
                <w:i/>
                <w:sz w:val="22"/>
                <w:szCs w:val="22"/>
              </w:rPr>
              <w:t>ro</w:t>
            </w:r>
            <w:r w:rsidRPr="00D826BE">
              <w:rPr>
                <w:sz w:val="22"/>
                <w:szCs w:val="22"/>
              </w:rPr>
              <w:t>)</w:t>
            </w:r>
          </w:p>
        </w:tc>
      </w:tr>
      <w:tr w:rsidR="00393285" w:rsidRPr="00D826BE" w:rsidTr="00BD3092">
        <w:tc>
          <w:tcPr>
            <w:tcW w:w="0" w:type="auto"/>
            <w:vMerge/>
          </w:tcPr>
          <w:p w:rsidR="00393285" w:rsidRPr="00D826BE" w:rsidRDefault="00393285" w:rsidP="006F7B3A">
            <w:pPr>
              <w:rPr>
                <w:sz w:val="22"/>
                <w:szCs w:val="22"/>
                <w:lang w:val="fr-FR"/>
              </w:rPr>
            </w:pPr>
          </w:p>
        </w:tc>
        <w:tc>
          <w:tcPr>
            <w:tcW w:w="0" w:type="auto"/>
            <w:gridSpan w:val="2"/>
            <w:vMerge/>
          </w:tcPr>
          <w:p w:rsidR="00393285" w:rsidRPr="00D826BE" w:rsidRDefault="00393285" w:rsidP="006F7B3A">
            <w:pPr>
              <w:rPr>
                <w:sz w:val="22"/>
                <w:szCs w:val="22"/>
                <w:lang w:val="fr-FR"/>
              </w:rPr>
            </w:pPr>
          </w:p>
        </w:tc>
        <w:tc>
          <w:tcPr>
            <w:tcW w:w="1358" w:type="dxa"/>
          </w:tcPr>
          <w:p w:rsidR="00393285" w:rsidRPr="00D826BE" w:rsidRDefault="0080392C" w:rsidP="006F7B3A">
            <w:pPr>
              <w:pStyle w:val="naisnod"/>
              <w:rPr>
                <w:sz w:val="22"/>
                <w:szCs w:val="22"/>
              </w:rPr>
            </w:pPr>
            <w:r w:rsidRPr="00D826BE">
              <w:rPr>
                <w:sz w:val="22"/>
                <w:szCs w:val="22"/>
              </w:rPr>
              <w:t>2015</w:t>
            </w:r>
          </w:p>
        </w:tc>
        <w:tc>
          <w:tcPr>
            <w:tcW w:w="1358" w:type="dxa"/>
          </w:tcPr>
          <w:p w:rsidR="00393285" w:rsidRPr="00D826BE" w:rsidRDefault="0080392C" w:rsidP="006F7B3A">
            <w:pPr>
              <w:pStyle w:val="naisnod"/>
              <w:rPr>
                <w:sz w:val="22"/>
                <w:szCs w:val="22"/>
              </w:rPr>
            </w:pPr>
            <w:r w:rsidRPr="00D826BE">
              <w:rPr>
                <w:sz w:val="22"/>
                <w:szCs w:val="22"/>
              </w:rPr>
              <w:t>2016</w:t>
            </w:r>
          </w:p>
        </w:tc>
        <w:tc>
          <w:tcPr>
            <w:tcW w:w="1222" w:type="dxa"/>
          </w:tcPr>
          <w:p w:rsidR="00393285" w:rsidRPr="00D826BE" w:rsidRDefault="0080392C" w:rsidP="006F7B3A">
            <w:pPr>
              <w:pStyle w:val="naisnod"/>
              <w:rPr>
                <w:sz w:val="22"/>
                <w:szCs w:val="22"/>
              </w:rPr>
            </w:pPr>
            <w:r w:rsidRPr="00D826BE">
              <w:rPr>
                <w:sz w:val="22"/>
                <w:szCs w:val="22"/>
              </w:rPr>
              <w:t>2017</w:t>
            </w:r>
          </w:p>
        </w:tc>
      </w:tr>
      <w:tr w:rsidR="00393285" w:rsidRPr="00D826BE" w:rsidTr="00BD3092">
        <w:tc>
          <w:tcPr>
            <w:tcW w:w="0" w:type="auto"/>
            <w:vMerge/>
          </w:tcPr>
          <w:p w:rsidR="00393285" w:rsidRPr="00D826BE" w:rsidRDefault="00393285" w:rsidP="006F7B3A">
            <w:pPr>
              <w:rPr>
                <w:sz w:val="22"/>
                <w:szCs w:val="22"/>
              </w:rPr>
            </w:pPr>
          </w:p>
        </w:tc>
        <w:tc>
          <w:tcPr>
            <w:tcW w:w="1343" w:type="dxa"/>
          </w:tcPr>
          <w:p w:rsidR="00393285" w:rsidRPr="00D826BE" w:rsidRDefault="00393285" w:rsidP="006F7B3A">
            <w:pPr>
              <w:pStyle w:val="naisc"/>
              <w:rPr>
                <w:sz w:val="22"/>
                <w:szCs w:val="22"/>
              </w:rPr>
            </w:pPr>
            <w:r w:rsidRPr="00D826BE">
              <w:rPr>
                <w:sz w:val="22"/>
                <w:szCs w:val="22"/>
              </w:rPr>
              <w:t> Saskaņā ar valsts budžetu kārtējam gadam</w:t>
            </w:r>
          </w:p>
        </w:tc>
        <w:tc>
          <w:tcPr>
            <w:tcW w:w="1388" w:type="dxa"/>
          </w:tcPr>
          <w:p w:rsidR="00393285" w:rsidRPr="00D826BE" w:rsidRDefault="00393285" w:rsidP="006F7B3A">
            <w:pPr>
              <w:pStyle w:val="naisc"/>
              <w:rPr>
                <w:sz w:val="22"/>
                <w:szCs w:val="22"/>
              </w:rPr>
            </w:pPr>
            <w:r w:rsidRPr="00D826BE">
              <w:rPr>
                <w:sz w:val="22"/>
                <w:szCs w:val="22"/>
              </w:rPr>
              <w:t> Izmaiņas kārtējā gadā, salīdzinot ar budžetu kārtējam gadam</w:t>
            </w:r>
          </w:p>
        </w:tc>
        <w:tc>
          <w:tcPr>
            <w:tcW w:w="1358" w:type="dxa"/>
          </w:tcPr>
          <w:p w:rsidR="00393285" w:rsidRPr="00D826BE" w:rsidRDefault="00393285" w:rsidP="006F7B3A">
            <w:pPr>
              <w:pStyle w:val="naisc"/>
              <w:rPr>
                <w:sz w:val="22"/>
                <w:szCs w:val="22"/>
              </w:rPr>
            </w:pPr>
            <w:r w:rsidRPr="00D826BE">
              <w:rPr>
                <w:sz w:val="22"/>
                <w:szCs w:val="22"/>
              </w:rPr>
              <w:t> Izmaiņas, salīdzinot ar kārtējo (n) gadu</w:t>
            </w:r>
          </w:p>
        </w:tc>
        <w:tc>
          <w:tcPr>
            <w:tcW w:w="1358" w:type="dxa"/>
          </w:tcPr>
          <w:p w:rsidR="00393285" w:rsidRPr="00D826BE" w:rsidRDefault="00393285" w:rsidP="006F7B3A">
            <w:pPr>
              <w:pStyle w:val="naisc"/>
              <w:rPr>
                <w:sz w:val="22"/>
                <w:szCs w:val="22"/>
              </w:rPr>
            </w:pPr>
            <w:r w:rsidRPr="00D826BE">
              <w:rPr>
                <w:sz w:val="22"/>
                <w:szCs w:val="22"/>
              </w:rPr>
              <w:t> Izmaiņas, salīdzinot ar kārtējo (n) gadu</w:t>
            </w:r>
          </w:p>
        </w:tc>
        <w:tc>
          <w:tcPr>
            <w:tcW w:w="1222" w:type="dxa"/>
          </w:tcPr>
          <w:p w:rsidR="00393285" w:rsidRPr="00D826BE" w:rsidRDefault="00393285" w:rsidP="006F7B3A">
            <w:pPr>
              <w:pStyle w:val="naisc"/>
              <w:rPr>
                <w:sz w:val="22"/>
                <w:szCs w:val="22"/>
              </w:rPr>
            </w:pPr>
            <w:r w:rsidRPr="00D826BE">
              <w:rPr>
                <w:sz w:val="22"/>
                <w:szCs w:val="22"/>
              </w:rPr>
              <w:t> Izmaiņas, salīdzinot ar kārtējo (n) gadu</w:t>
            </w:r>
          </w:p>
        </w:tc>
      </w:tr>
      <w:tr w:rsidR="00393285" w:rsidRPr="00D826BE" w:rsidTr="00BD3092">
        <w:tc>
          <w:tcPr>
            <w:tcW w:w="3351" w:type="dxa"/>
          </w:tcPr>
          <w:p w:rsidR="00393285" w:rsidRPr="00D826BE" w:rsidRDefault="00393285" w:rsidP="006F7B3A">
            <w:pPr>
              <w:pStyle w:val="naisc"/>
              <w:rPr>
                <w:sz w:val="22"/>
                <w:szCs w:val="22"/>
              </w:rPr>
            </w:pPr>
            <w:r w:rsidRPr="00D826BE">
              <w:rPr>
                <w:sz w:val="22"/>
                <w:szCs w:val="22"/>
              </w:rPr>
              <w:t> 1</w:t>
            </w:r>
          </w:p>
        </w:tc>
        <w:tc>
          <w:tcPr>
            <w:tcW w:w="1343" w:type="dxa"/>
          </w:tcPr>
          <w:p w:rsidR="00393285" w:rsidRPr="00D826BE" w:rsidRDefault="00393285" w:rsidP="006F7B3A">
            <w:pPr>
              <w:pStyle w:val="naisc"/>
              <w:rPr>
                <w:sz w:val="22"/>
                <w:szCs w:val="22"/>
              </w:rPr>
            </w:pPr>
            <w:r w:rsidRPr="00D826BE">
              <w:rPr>
                <w:sz w:val="22"/>
                <w:szCs w:val="22"/>
              </w:rPr>
              <w:t> 2</w:t>
            </w:r>
          </w:p>
        </w:tc>
        <w:tc>
          <w:tcPr>
            <w:tcW w:w="1388" w:type="dxa"/>
          </w:tcPr>
          <w:p w:rsidR="00393285" w:rsidRPr="00D826BE" w:rsidRDefault="00393285" w:rsidP="006F7B3A">
            <w:pPr>
              <w:pStyle w:val="naisc"/>
              <w:rPr>
                <w:sz w:val="22"/>
                <w:szCs w:val="22"/>
              </w:rPr>
            </w:pPr>
            <w:r w:rsidRPr="00D826BE">
              <w:rPr>
                <w:sz w:val="22"/>
                <w:szCs w:val="22"/>
              </w:rPr>
              <w:t> 3</w:t>
            </w:r>
          </w:p>
        </w:tc>
        <w:tc>
          <w:tcPr>
            <w:tcW w:w="1358" w:type="dxa"/>
          </w:tcPr>
          <w:p w:rsidR="00393285" w:rsidRPr="00D826BE" w:rsidRDefault="00393285" w:rsidP="006F7B3A">
            <w:pPr>
              <w:pStyle w:val="naisc"/>
              <w:rPr>
                <w:sz w:val="22"/>
                <w:szCs w:val="22"/>
              </w:rPr>
            </w:pPr>
            <w:r w:rsidRPr="00D826BE">
              <w:rPr>
                <w:sz w:val="22"/>
                <w:szCs w:val="22"/>
              </w:rPr>
              <w:t> 4</w:t>
            </w:r>
          </w:p>
        </w:tc>
        <w:tc>
          <w:tcPr>
            <w:tcW w:w="1358" w:type="dxa"/>
          </w:tcPr>
          <w:p w:rsidR="00393285" w:rsidRPr="00D826BE" w:rsidRDefault="00393285" w:rsidP="006F7B3A">
            <w:pPr>
              <w:pStyle w:val="naisc"/>
              <w:rPr>
                <w:sz w:val="22"/>
                <w:szCs w:val="22"/>
              </w:rPr>
            </w:pPr>
            <w:r w:rsidRPr="00D826BE">
              <w:rPr>
                <w:sz w:val="22"/>
                <w:szCs w:val="22"/>
              </w:rPr>
              <w:t> 5</w:t>
            </w:r>
          </w:p>
        </w:tc>
        <w:tc>
          <w:tcPr>
            <w:tcW w:w="1222" w:type="dxa"/>
          </w:tcPr>
          <w:p w:rsidR="00393285" w:rsidRPr="00D826BE" w:rsidRDefault="00393285" w:rsidP="006F7B3A">
            <w:pPr>
              <w:pStyle w:val="naisc"/>
              <w:rPr>
                <w:sz w:val="22"/>
                <w:szCs w:val="22"/>
              </w:rPr>
            </w:pPr>
            <w:r w:rsidRPr="00D826BE">
              <w:rPr>
                <w:sz w:val="22"/>
                <w:szCs w:val="22"/>
              </w:rPr>
              <w:t> 6</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1. Budžeta ieņēmumi:</w:t>
            </w:r>
          </w:p>
        </w:tc>
        <w:tc>
          <w:tcPr>
            <w:tcW w:w="1343" w:type="dxa"/>
          </w:tcPr>
          <w:p w:rsidR="00393285" w:rsidRPr="00D826BE" w:rsidRDefault="00393285" w:rsidP="006F7B3A">
            <w:pPr>
              <w:pStyle w:val="naisf"/>
              <w:rPr>
                <w:sz w:val="22"/>
                <w:szCs w:val="22"/>
              </w:rPr>
            </w:pPr>
            <w:r w:rsidRPr="00D826BE">
              <w:rPr>
                <w:sz w:val="22"/>
                <w:szCs w:val="22"/>
              </w:rPr>
              <w:t>0</w:t>
            </w:r>
          </w:p>
        </w:tc>
        <w:tc>
          <w:tcPr>
            <w:tcW w:w="1388" w:type="dxa"/>
          </w:tcPr>
          <w:p w:rsidR="00393285" w:rsidRPr="00D826BE" w:rsidRDefault="00393285" w:rsidP="006F7B3A">
            <w:pPr>
              <w:pStyle w:val="naisf"/>
              <w:rPr>
                <w:sz w:val="22"/>
                <w:szCs w:val="22"/>
              </w:rPr>
            </w:pPr>
            <w:r w:rsidRPr="00D826BE">
              <w:rPr>
                <w:sz w:val="22"/>
                <w:szCs w:val="22"/>
              </w:rPr>
              <w:t>0</w:t>
            </w:r>
          </w:p>
        </w:tc>
        <w:tc>
          <w:tcPr>
            <w:tcW w:w="1358" w:type="dxa"/>
          </w:tcPr>
          <w:p w:rsidR="00393285" w:rsidRPr="00D826BE" w:rsidRDefault="00393285" w:rsidP="006F7B3A">
            <w:pPr>
              <w:pStyle w:val="naisf"/>
              <w:rPr>
                <w:sz w:val="22"/>
                <w:szCs w:val="22"/>
              </w:rPr>
            </w:pPr>
            <w:r w:rsidRPr="00D826BE">
              <w:rPr>
                <w:sz w:val="22"/>
                <w:szCs w:val="22"/>
              </w:rPr>
              <w:t>0</w:t>
            </w:r>
          </w:p>
        </w:tc>
        <w:tc>
          <w:tcPr>
            <w:tcW w:w="1358" w:type="dxa"/>
          </w:tcPr>
          <w:p w:rsidR="00393285" w:rsidRPr="00D826BE" w:rsidRDefault="00393285" w:rsidP="006F7B3A">
            <w:pPr>
              <w:pStyle w:val="naisf"/>
              <w:rPr>
                <w:sz w:val="22"/>
                <w:szCs w:val="22"/>
              </w:rPr>
            </w:pPr>
            <w:r w:rsidRPr="00D826BE">
              <w:rPr>
                <w:sz w:val="22"/>
                <w:szCs w:val="22"/>
              </w:rPr>
              <w:t>0 </w:t>
            </w:r>
          </w:p>
        </w:tc>
        <w:tc>
          <w:tcPr>
            <w:tcW w:w="1222" w:type="dxa"/>
          </w:tcPr>
          <w:p w:rsidR="00393285" w:rsidRPr="00D826BE" w:rsidRDefault="00393285" w:rsidP="006F7B3A">
            <w:pPr>
              <w:pStyle w:val="naisf"/>
              <w:rPr>
                <w:sz w:val="22"/>
                <w:szCs w:val="22"/>
              </w:rPr>
            </w:pPr>
            <w:r w:rsidRPr="00D826BE">
              <w:rPr>
                <w:sz w:val="22"/>
                <w:szCs w:val="22"/>
              </w:rPr>
              <w:t>0  </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1.1. valsts pamatbudžets, tai skaitā ieņēmumi no maksas pakalpo-jumiem un citi pašu ieņēmumi</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1.2. valsts speciālais budžets</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1.3. pašvaldību budžets</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2. Budžeta izdevumi:</w:t>
            </w:r>
          </w:p>
        </w:tc>
        <w:tc>
          <w:tcPr>
            <w:tcW w:w="1343" w:type="dxa"/>
          </w:tcPr>
          <w:p w:rsidR="00393285" w:rsidRPr="00D826BE" w:rsidRDefault="00393285" w:rsidP="006F7B3A">
            <w:pPr>
              <w:pStyle w:val="naisf"/>
              <w:rPr>
                <w:sz w:val="22"/>
                <w:szCs w:val="22"/>
              </w:rPr>
            </w:pPr>
            <w:r w:rsidRPr="00D826BE">
              <w:rPr>
                <w:sz w:val="22"/>
                <w:szCs w:val="22"/>
              </w:rPr>
              <w:t>0</w:t>
            </w:r>
          </w:p>
        </w:tc>
        <w:tc>
          <w:tcPr>
            <w:tcW w:w="1388" w:type="dxa"/>
          </w:tcPr>
          <w:p w:rsidR="00393285" w:rsidRPr="00D826BE" w:rsidRDefault="00393285" w:rsidP="006F7B3A">
            <w:pPr>
              <w:pStyle w:val="naisf"/>
              <w:rPr>
                <w:sz w:val="22"/>
                <w:szCs w:val="22"/>
              </w:rPr>
            </w:pPr>
            <w:r w:rsidRPr="00D826BE">
              <w:rPr>
                <w:sz w:val="22"/>
                <w:szCs w:val="22"/>
              </w:rPr>
              <w:t>0</w:t>
            </w:r>
          </w:p>
        </w:tc>
        <w:tc>
          <w:tcPr>
            <w:tcW w:w="1358" w:type="dxa"/>
          </w:tcPr>
          <w:p w:rsidR="00393285" w:rsidRPr="00D826BE" w:rsidRDefault="00393285" w:rsidP="006F7B3A">
            <w:pPr>
              <w:pStyle w:val="naisf"/>
              <w:rPr>
                <w:sz w:val="22"/>
                <w:szCs w:val="22"/>
              </w:rPr>
            </w:pPr>
            <w:r w:rsidRPr="00D826BE">
              <w:rPr>
                <w:sz w:val="22"/>
                <w:szCs w:val="22"/>
              </w:rPr>
              <w:t>0</w:t>
            </w:r>
          </w:p>
        </w:tc>
        <w:tc>
          <w:tcPr>
            <w:tcW w:w="1358" w:type="dxa"/>
          </w:tcPr>
          <w:p w:rsidR="00393285" w:rsidRPr="00D826BE" w:rsidRDefault="00393285" w:rsidP="006F7B3A">
            <w:pPr>
              <w:pStyle w:val="naisf"/>
              <w:rPr>
                <w:sz w:val="22"/>
                <w:szCs w:val="22"/>
              </w:rPr>
            </w:pPr>
            <w:r w:rsidRPr="00D826BE">
              <w:rPr>
                <w:sz w:val="22"/>
                <w:szCs w:val="22"/>
              </w:rPr>
              <w:t>0</w:t>
            </w:r>
          </w:p>
        </w:tc>
        <w:tc>
          <w:tcPr>
            <w:tcW w:w="1222" w:type="dxa"/>
          </w:tcPr>
          <w:p w:rsidR="00393285" w:rsidRPr="00D826BE" w:rsidRDefault="00393285"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2.1. valsts pamatbudžets</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2.2. valsts speciālais budžets</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2.3. pašvaldību budžets</w:t>
            </w:r>
          </w:p>
        </w:tc>
        <w:tc>
          <w:tcPr>
            <w:tcW w:w="1343" w:type="dxa"/>
          </w:tcPr>
          <w:p w:rsidR="00393285" w:rsidRPr="00D826BE" w:rsidRDefault="0080392C" w:rsidP="006F7B3A">
            <w:pPr>
              <w:pStyle w:val="naisf"/>
              <w:rPr>
                <w:sz w:val="22"/>
                <w:szCs w:val="22"/>
              </w:rPr>
            </w:pPr>
            <w:r w:rsidRPr="00D826BE">
              <w:rPr>
                <w:sz w:val="22"/>
                <w:szCs w:val="22"/>
              </w:rPr>
              <w:t>0</w:t>
            </w:r>
            <w:r w:rsidR="00393285" w:rsidRPr="00D826BE">
              <w:rPr>
                <w:sz w:val="22"/>
                <w:szCs w:val="22"/>
              </w:rPr>
              <w:t> </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80392C" w:rsidRPr="00D826BE" w:rsidTr="00BD3092">
        <w:tc>
          <w:tcPr>
            <w:tcW w:w="3351" w:type="dxa"/>
          </w:tcPr>
          <w:p w:rsidR="0080392C" w:rsidRPr="00D826BE" w:rsidRDefault="0080392C" w:rsidP="006F7B3A">
            <w:pPr>
              <w:pStyle w:val="naiskr"/>
              <w:rPr>
                <w:sz w:val="22"/>
                <w:szCs w:val="22"/>
              </w:rPr>
            </w:pPr>
            <w:r w:rsidRPr="00D826BE">
              <w:rPr>
                <w:sz w:val="22"/>
                <w:szCs w:val="22"/>
              </w:rPr>
              <w:t> 3. Finansiālā ietekme:</w:t>
            </w:r>
          </w:p>
        </w:tc>
        <w:tc>
          <w:tcPr>
            <w:tcW w:w="1343" w:type="dxa"/>
          </w:tcPr>
          <w:p w:rsidR="0080392C" w:rsidRPr="00D826BE" w:rsidRDefault="0080392C" w:rsidP="00E36C33">
            <w:pPr>
              <w:pStyle w:val="naisf"/>
              <w:rPr>
                <w:sz w:val="22"/>
                <w:szCs w:val="22"/>
              </w:rPr>
            </w:pPr>
            <w:r w:rsidRPr="00D826BE">
              <w:rPr>
                <w:sz w:val="22"/>
                <w:szCs w:val="22"/>
              </w:rPr>
              <w:t>0</w:t>
            </w:r>
          </w:p>
        </w:tc>
        <w:tc>
          <w:tcPr>
            <w:tcW w:w="1388" w:type="dxa"/>
          </w:tcPr>
          <w:p w:rsidR="0080392C" w:rsidRPr="00D826BE" w:rsidRDefault="0080392C" w:rsidP="006F7B3A">
            <w:pPr>
              <w:pStyle w:val="naisf"/>
              <w:rPr>
                <w:sz w:val="22"/>
                <w:szCs w:val="22"/>
              </w:rPr>
            </w:pPr>
            <w:r w:rsidRPr="00D826BE">
              <w:rPr>
                <w:sz w:val="22"/>
                <w:szCs w:val="22"/>
              </w:rPr>
              <w:t>0</w:t>
            </w:r>
          </w:p>
        </w:tc>
        <w:tc>
          <w:tcPr>
            <w:tcW w:w="1358" w:type="dxa"/>
          </w:tcPr>
          <w:p w:rsidR="0080392C" w:rsidRPr="00D826BE" w:rsidRDefault="0080392C" w:rsidP="006F7B3A">
            <w:pPr>
              <w:pStyle w:val="naisf"/>
              <w:rPr>
                <w:sz w:val="22"/>
                <w:szCs w:val="22"/>
              </w:rPr>
            </w:pPr>
            <w:r w:rsidRPr="00D826BE">
              <w:rPr>
                <w:sz w:val="22"/>
                <w:szCs w:val="22"/>
              </w:rPr>
              <w:t>0</w:t>
            </w:r>
          </w:p>
        </w:tc>
        <w:tc>
          <w:tcPr>
            <w:tcW w:w="1358" w:type="dxa"/>
          </w:tcPr>
          <w:p w:rsidR="0080392C" w:rsidRPr="00D826BE" w:rsidRDefault="0080392C" w:rsidP="006F7B3A">
            <w:pPr>
              <w:pStyle w:val="naisf"/>
              <w:rPr>
                <w:sz w:val="22"/>
                <w:szCs w:val="22"/>
              </w:rPr>
            </w:pPr>
            <w:r w:rsidRPr="00D826BE">
              <w:rPr>
                <w:sz w:val="22"/>
                <w:szCs w:val="22"/>
              </w:rPr>
              <w:t>0</w:t>
            </w:r>
          </w:p>
        </w:tc>
        <w:tc>
          <w:tcPr>
            <w:tcW w:w="1222" w:type="dxa"/>
          </w:tcPr>
          <w:p w:rsidR="0080392C"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3.1. valsts pamatbudžets</w:t>
            </w:r>
          </w:p>
        </w:tc>
        <w:tc>
          <w:tcPr>
            <w:tcW w:w="1343" w:type="dxa"/>
          </w:tcPr>
          <w:p w:rsidR="00393285" w:rsidRPr="00D826BE" w:rsidRDefault="0080392C" w:rsidP="006F7B3A">
            <w:pPr>
              <w:pStyle w:val="naisf"/>
              <w:rPr>
                <w:sz w:val="22"/>
                <w:szCs w:val="22"/>
              </w:rPr>
            </w:pPr>
            <w:r w:rsidRPr="00D826BE">
              <w:rPr>
                <w:sz w:val="22"/>
                <w:szCs w:val="22"/>
              </w:rPr>
              <w:t>0</w:t>
            </w:r>
            <w:r w:rsidR="00393285" w:rsidRPr="00D826BE">
              <w:rPr>
                <w:sz w:val="22"/>
                <w:szCs w:val="22"/>
              </w:rPr>
              <w:t> </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3.2. speciālais budžets</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3.3. pašvaldību budžets</w:t>
            </w:r>
          </w:p>
        </w:tc>
        <w:tc>
          <w:tcPr>
            <w:tcW w:w="1343" w:type="dxa"/>
          </w:tcPr>
          <w:p w:rsidR="00393285" w:rsidRPr="00D826BE" w:rsidRDefault="0080392C" w:rsidP="006F7B3A">
            <w:pPr>
              <w:pStyle w:val="naisf"/>
              <w:rPr>
                <w:sz w:val="22"/>
                <w:szCs w:val="22"/>
              </w:rPr>
            </w:pPr>
            <w:r w:rsidRPr="00D826BE">
              <w:rPr>
                <w:sz w:val="22"/>
                <w:szCs w:val="22"/>
              </w:rPr>
              <w:t>0</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vMerge w:val="restart"/>
          </w:tcPr>
          <w:p w:rsidR="00393285" w:rsidRPr="00D826BE" w:rsidRDefault="00393285" w:rsidP="006F7B3A">
            <w:pPr>
              <w:pStyle w:val="naiskr"/>
              <w:rPr>
                <w:sz w:val="22"/>
                <w:szCs w:val="22"/>
              </w:rPr>
            </w:pPr>
            <w:r w:rsidRPr="00D826BE">
              <w:rPr>
                <w:sz w:val="22"/>
                <w:szCs w:val="22"/>
              </w:rPr>
              <w:t> 4. Finanšu līdzekļi papildu izde</w:t>
            </w:r>
            <w:r w:rsidRPr="00D826BE">
              <w:rPr>
                <w:sz w:val="22"/>
                <w:szCs w:val="22"/>
              </w:rPr>
              <w:softHyphen/>
              <w:t>vumu finansēšanai (kompensējošu izdevumu samazinājumu norāda ar "+" zīmi)</w:t>
            </w:r>
          </w:p>
        </w:tc>
        <w:tc>
          <w:tcPr>
            <w:tcW w:w="1343" w:type="dxa"/>
            <w:vMerge w:val="restart"/>
          </w:tcPr>
          <w:p w:rsidR="00393285" w:rsidRPr="00D826BE" w:rsidRDefault="00393285" w:rsidP="006F7B3A">
            <w:pPr>
              <w:pStyle w:val="naisc"/>
              <w:rPr>
                <w:sz w:val="22"/>
                <w:szCs w:val="22"/>
              </w:rPr>
            </w:pPr>
            <w:r w:rsidRPr="00D826BE">
              <w:rPr>
                <w:sz w:val="22"/>
                <w:szCs w:val="22"/>
              </w:rPr>
              <w:t> X</w:t>
            </w: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0" w:type="auto"/>
            <w:vMerge/>
          </w:tcPr>
          <w:p w:rsidR="00393285" w:rsidRPr="00D826BE" w:rsidRDefault="00393285" w:rsidP="006F7B3A">
            <w:pPr>
              <w:rPr>
                <w:sz w:val="22"/>
                <w:szCs w:val="22"/>
              </w:rPr>
            </w:pPr>
          </w:p>
        </w:tc>
        <w:tc>
          <w:tcPr>
            <w:tcW w:w="0" w:type="auto"/>
            <w:vMerge/>
          </w:tcPr>
          <w:p w:rsidR="00393285" w:rsidRPr="00D826BE" w:rsidRDefault="00393285" w:rsidP="006F7B3A">
            <w:pPr>
              <w:rPr>
                <w:sz w:val="22"/>
                <w:szCs w:val="22"/>
              </w:rPr>
            </w:pP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0" w:type="auto"/>
            <w:vMerge/>
          </w:tcPr>
          <w:p w:rsidR="00393285" w:rsidRPr="00D826BE" w:rsidRDefault="00393285" w:rsidP="006F7B3A">
            <w:pPr>
              <w:rPr>
                <w:sz w:val="22"/>
                <w:szCs w:val="22"/>
              </w:rPr>
            </w:pPr>
          </w:p>
        </w:tc>
        <w:tc>
          <w:tcPr>
            <w:tcW w:w="0" w:type="auto"/>
            <w:vMerge/>
          </w:tcPr>
          <w:p w:rsidR="00393285" w:rsidRPr="00D826BE" w:rsidRDefault="00393285" w:rsidP="006F7B3A">
            <w:pPr>
              <w:rPr>
                <w:sz w:val="22"/>
                <w:szCs w:val="22"/>
              </w:rPr>
            </w:pPr>
          </w:p>
        </w:tc>
        <w:tc>
          <w:tcPr>
            <w:tcW w:w="1388" w:type="dxa"/>
          </w:tcPr>
          <w:p w:rsidR="00393285" w:rsidRPr="00D826BE" w:rsidRDefault="0080392C" w:rsidP="006F7B3A">
            <w:pPr>
              <w:pStyle w:val="naisf"/>
              <w:rPr>
                <w:sz w:val="22"/>
                <w:szCs w:val="22"/>
              </w:rPr>
            </w:pPr>
            <w:r w:rsidRPr="00D826BE">
              <w:rPr>
                <w:sz w:val="22"/>
                <w:szCs w:val="22"/>
              </w:rPr>
              <w:t>0</w:t>
            </w:r>
            <w:r w:rsidR="00393285" w:rsidRPr="00D826BE">
              <w:rPr>
                <w:sz w:val="22"/>
                <w:szCs w:val="22"/>
              </w:rPr>
              <w:t>  </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80392C" w:rsidRPr="00D826BE" w:rsidTr="00BD3092">
        <w:tc>
          <w:tcPr>
            <w:tcW w:w="3351" w:type="dxa"/>
          </w:tcPr>
          <w:p w:rsidR="0080392C" w:rsidRPr="00D826BE" w:rsidRDefault="0080392C" w:rsidP="006F7B3A">
            <w:pPr>
              <w:pStyle w:val="naiskr"/>
              <w:rPr>
                <w:sz w:val="22"/>
                <w:szCs w:val="22"/>
              </w:rPr>
            </w:pPr>
            <w:r w:rsidRPr="00D826BE">
              <w:rPr>
                <w:sz w:val="22"/>
                <w:szCs w:val="22"/>
              </w:rPr>
              <w:t> 5. Precizēta finansiālā ietekme:</w:t>
            </w:r>
          </w:p>
        </w:tc>
        <w:tc>
          <w:tcPr>
            <w:tcW w:w="1343" w:type="dxa"/>
            <w:vMerge w:val="restart"/>
          </w:tcPr>
          <w:p w:rsidR="0080392C" w:rsidRPr="00D826BE" w:rsidRDefault="0080392C" w:rsidP="006F7B3A">
            <w:pPr>
              <w:pStyle w:val="naisc"/>
              <w:rPr>
                <w:sz w:val="22"/>
                <w:szCs w:val="22"/>
              </w:rPr>
            </w:pPr>
            <w:r w:rsidRPr="00D826BE">
              <w:rPr>
                <w:sz w:val="22"/>
                <w:szCs w:val="22"/>
              </w:rPr>
              <w:t> X</w:t>
            </w:r>
          </w:p>
        </w:tc>
        <w:tc>
          <w:tcPr>
            <w:tcW w:w="1388" w:type="dxa"/>
          </w:tcPr>
          <w:p w:rsidR="0080392C" w:rsidRPr="00D826BE" w:rsidRDefault="0080392C" w:rsidP="006F7B3A">
            <w:pPr>
              <w:pStyle w:val="naisf"/>
              <w:rPr>
                <w:sz w:val="22"/>
                <w:szCs w:val="22"/>
              </w:rPr>
            </w:pPr>
            <w:r w:rsidRPr="00D826BE">
              <w:rPr>
                <w:sz w:val="22"/>
                <w:szCs w:val="22"/>
              </w:rPr>
              <w:t>0</w:t>
            </w:r>
          </w:p>
        </w:tc>
        <w:tc>
          <w:tcPr>
            <w:tcW w:w="1358" w:type="dxa"/>
          </w:tcPr>
          <w:p w:rsidR="0080392C" w:rsidRPr="00D826BE" w:rsidRDefault="0080392C" w:rsidP="00E36C33">
            <w:pPr>
              <w:pStyle w:val="naisf"/>
              <w:rPr>
                <w:sz w:val="22"/>
                <w:szCs w:val="22"/>
              </w:rPr>
            </w:pPr>
            <w:r w:rsidRPr="00D826BE">
              <w:rPr>
                <w:sz w:val="22"/>
                <w:szCs w:val="22"/>
              </w:rPr>
              <w:t>0</w:t>
            </w:r>
          </w:p>
        </w:tc>
        <w:tc>
          <w:tcPr>
            <w:tcW w:w="1358" w:type="dxa"/>
          </w:tcPr>
          <w:p w:rsidR="0080392C" w:rsidRPr="00D826BE" w:rsidRDefault="0080392C" w:rsidP="006F7B3A">
            <w:pPr>
              <w:pStyle w:val="naisf"/>
              <w:rPr>
                <w:sz w:val="22"/>
                <w:szCs w:val="22"/>
              </w:rPr>
            </w:pPr>
            <w:r w:rsidRPr="00D826BE">
              <w:rPr>
                <w:sz w:val="22"/>
                <w:szCs w:val="22"/>
              </w:rPr>
              <w:t>0  </w:t>
            </w:r>
          </w:p>
        </w:tc>
        <w:tc>
          <w:tcPr>
            <w:tcW w:w="1222" w:type="dxa"/>
          </w:tcPr>
          <w:p w:rsidR="0080392C"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5.1. valsts pamatbudžets</w:t>
            </w:r>
          </w:p>
        </w:tc>
        <w:tc>
          <w:tcPr>
            <w:tcW w:w="0" w:type="auto"/>
            <w:vMerge/>
          </w:tcPr>
          <w:p w:rsidR="00393285" w:rsidRPr="00D826BE" w:rsidRDefault="00393285" w:rsidP="006F7B3A">
            <w:pPr>
              <w:rPr>
                <w:sz w:val="22"/>
                <w:szCs w:val="22"/>
              </w:rPr>
            </w:pP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5.2. speciālais budžets</w:t>
            </w:r>
          </w:p>
        </w:tc>
        <w:tc>
          <w:tcPr>
            <w:tcW w:w="0" w:type="auto"/>
            <w:vMerge/>
          </w:tcPr>
          <w:p w:rsidR="00393285" w:rsidRPr="00D826BE" w:rsidRDefault="00393285" w:rsidP="006F7B3A">
            <w:pPr>
              <w:rPr>
                <w:sz w:val="22"/>
                <w:szCs w:val="22"/>
              </w:rPr>
            </w:pP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5.3. pašvaldību budžets</w:t>
            </w:r>
          </w:p>
        </w:tc>
        <w:tc>
          <w:tcPr>
            <w:tcW w:w="0" w:type="auto"/>
            <w:vMerge/>
          </w:tcPr>
          <w:p w:rsidR="00393285" w:rsidRPr="00D826BE" w:rsidRDefault="00393285" w:rsidP="006F7B3A">
            <w:pPr>
              <w:rPr>
                <w:sz w:val="22"/>
                <w:szCs w:val="22"/>
              </w:rPr>
            </w:pPr>
          </w:p>
        </w:tc>
        <w:tc>
          <w:tcPr>
            <w:tcW w:w="138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358" w:type="dxa"/>
          </w:tcPr>
          <w:p w:rsidR="00393285" w:rsidRPr="00D826BE" w:rsidRDefault="0080392C" w:rsidP="006F7B3A">
            <w:pPr>
              <w:pStyle w:val="naisf"/>
              <w:rPr>
                <w:sz w:val="22"/>
                <w:szCs w:val="22"/>
              </w:rPr>
            </w:pPr>
            <w:r w:rsidRPr="00D826BE">
              <w:rPr>
                <w:sz w:val="22"/>
                <w:szCs w:val="22"/>
              </w:rPr>
              <w:t>0</w:t>
            </w:r>
          </w:p>
        </w:tc>
        <w:tc>
          <w:tcPr>
            <w:tcW w:w="1222" w:type="dxa"/>
          </w:tcPr>
          <w:p w:rsidR="00393285" w:rsidRPr="00D826BE" w:rsidRDefault="0080392C" w:rsidP="006F7B3A">
            <w:pPr>
              <w:pStyle w:val="naisf"/>
              <w:rPr>
                <w:sz w:val="22"/>
                <w:szCs w:val="22"/>
              </w:rPr>
            </w:pPr>
            <w:r w:rsidRPr="00D826BE">
              <w:rPr>
                <w:sz w:val="22"/>
                <w:szCs w:val="22"/>
              </w:rPr>
              <w:t>0</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6. Detalizēts ieņēmumu un izdevu</w:t>
            </w:r>
            <w:r w:rsidRPr="00D826BE">
              <w:rPr>
                <w:sz w:val="22"/>
                <w:szCs w:val="22"/>
              </w:rPr>
              <w:softHyphen/>
              <w:t>mu aprēķins (ja nepieciešams, detalizētu ieņēmumu un izdevumu aprēķinu var pievienot anotācijas pielikumā):</w:t>
            </w:r>
          </w:p>
        </w:tc>
        <w:tc>
          <w:tcPr>
            <w:tcW w:w="6669" w:type="dxa"/>
            <w:gridSpan w:val="5"/>
            <w:vMerge w:val="restart"/>
          </w:tcPr>
          <w:p w:rsidR="00393285" w:rsidRPr="00D826BE" w:rsidRDefault="00393285" w:rsidP="006F7B3A">
            <w:pPr>
              <w:pStyle w:val="naisf"/>
              <w:rPr>
                <w:sz w:val="22"/>
                <w:szCs w:val="22"/>
              </w:rPr>
            </w:pPr>
            <w:r w:rsidRPr="00D826BE">
              <w:rPr>
                <w:sz w:val="22"/>
                <w:szCs w:val="22"/>
              </w:rPr>
              <w:t>  </w:t>
            </w: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lastRenderedPageBreak/>
              <w:t> 6.1. detalizēts ieņēmumu aprēķins</w:t>
            </w:r>
          </w:p>
        </w:tc>
        <w:tc>
          <w:tcPr>
            <w:tcW w:w="0" w:type="auto"/>
            <w:gridSpan w:val="5"/>
            <w:vMerge/>
          </w:tcPr>
          <w:p w:rsidR="00393285" w:rsidRPr="00D826BE" w:rsidRDefault="00393285" w:rsidP="006F7B3A">
            <w:pPr>
              <w:rPr>
                <w:sz w:val="22"/>
                <w:szCs w:val="22"/>
              </w:rPr>
            </w:pP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6.2. detalizēts izdevumu aprēķins</w:t>
            </w:r>
          </w:p>
        </w:tc>
        <w:tc>
          <w:tcPr>
            <w:tcW w:w="0" w:type="auto"/>
            <w:gridSpan w:val="5"/>
            <w:vMerge/>
          </w:tcPr>
          <w:p w:rsidR="00393285" w:rsidRPr="00D826BE" w:rsidRDefault="00393285" w:rsidP="006F7B3A">
            <w:pPr>
              <w:rPr>
                <w:sz w:val="22"/>
                <w:szCs w:val="22"/>
              </w:rPr>
            </w:pPr>
          </w:p>
        </w:tc>
      </w:tr>
      <w:tr w:rsidR="00393285" w:rsidRPr="00D826BE" w:rsidTr="00BD3092">
        <w:tc>
          <w:tcPr>
            <w:tcW w:w="3351" w:type="dxa"/>
          </w:tcPr>
          <w:p w:rsidR="00393285" w:rsidRPr="00D826BE" w:rsidRDefault="00393285" w:rsidP="006F7B3A">
            <w:pPr>
              <w:pStyle w:val="naiskr"/>
              <w:rPr>
                <w:sz w:val="22"/>
                <w:szCs w:val="22"/>
              </w:rPr>
            </w:pPr>
            <w:r w:rsidRPr="00D826BE">
              <w:rPr>
                <w:sz w:val="22"/>
                <w:szCs w:val="22"/>
              </w:rPr>
              <w:t> 7. Cita informācija</w:t>
            </w:r>
          </w:p>
        </w:tc>
        <w:tc>
          <w:tcPr>
            <w:tcW w:w="6669" w:type="dxa"/>
            <w:gridSpan w:val="5"/>
          </w:tcPr>
          <w:p w:rsidR="00380014" w:rsidRPr="00D826BE" w:rsidRDefault="0057367D" w:rsidP="00ED6F97">
            <w:pPr>
              <w:pStyle w:val="naiskr"/>
              <w:spacing w:before="0" w:after="0" w:line="276" w:lineRule="auto"/>
              <w:ind w:left="181" w:right="249"/>
              <w:jc w:val="both"/>
              <w:rPr>
                <w:sz w:val="22"/>
                <w:szCs w:val="22"/>
              </w:rPr>
            </w:pPr>
            <w:r>
              <w:rPr>
                <w:sz w:val="22"/>
                <w:szCs w:val="22"/>
              </w:rPr>
              <w:t>Rīkojuma projekta īstenošana 2014. gadā tiks nodrošināta Ārlietu ministrijas esošo valsts budžeta līdzekļu ietvaros no valsts budžeta programmas 02.00.00 "</w:t>
            </w:r>
            <w:r>
              <w:rPr>
                <w:i/>
                <w:sz w:val="22"/>
                <w:szCs w:val="22"/>
              </w:rPr>
              <w:t>Iemaksas starptautiskajās organizācijās</w:t>
            </w:r>
            <w:r w:rsidR="00C979FE">
              <w:rPr>
                <w:sz w:val="22"/>
                <w:szCs w:val="22"/>
              </w:rPr>
              <w:t>" paredzētajiem līdzekļiem. Ņ</w:t>
            </w:r>
            <w:r>
              <w:rPr>
                <w:sz w:val="22"/>
                <w:szCs w:val="22"/>
              </w:rPr>
              <w:t xml:space="preserve">emot vērā precizēto </w:t>
            </w:r>
            <w:r w:rsidR="00692B35">
              <w:rPr>
                <w:sz w:val="22"/>
                <w:szCs w:val="22"/>
              </w:rPr>
              <w:t>prognozi</w:t>
            </w:r>
            <w:r>
              <w:rPr>
                <w:sz w:val="22"/>
                <w:szCs w:val="22"/>
              </w:rPr>
              <w:t xml:space="preserve"> par veicamo iemaksu apmēru</w:t>
            </w:r>
            <w:r w:rsidR="00692B35">
              <w:rPr>
                <w:sz w:val="22"/>
                <w:szCs w:val="22"/>
              </w:rPr>
              <w:t xml:space="preserve">, </w:t>
            </w:r>
            <w:r>
              <w:rPr>
                <w:sz w:val="22"/>
                <w:szCs w:val="22"/>
              </w:rPr>
              <w:t xml:space="preserve">ir izveidojusies </w:t>
            </w:r>
            <w:r w:rsidR="00ED6F97">
              <w:rPr>
                <w:sz w:val="22"/>
                <w:szCs w:val="22"/>
              </w:rPr>
              <w:t xml:space="preserve">papildu </w:t>
            </w:r>
            <w:r>
              <w:rPr>
                <w:sz w:val="22"/>
                <w:szCs w:val="22"/>
              </w:rPr>
              <w:t>ekonomija</w:t>
            </w:r>
            <w:r w:rsidR="00EF043B">
              <w:rPr>
                <w:sz w:val="22"/>
                <w:szCs w:val="22"/>
              </w:rPr>
              <w:t xml:space="preserve"> </w:t>
            </w:r>
            <w:r w:rsidR="00ED6F97">
              <w:rPr>
                <w:sz w:val="22"/>
                <w:szCs w:val="22"/>
              </w:rPr>
              <w:t>180 000</w:t>
            </w:r>
            <w:r w:rsidR="00EF043B">
              <w:rPr>
                <w:sz w:val="22"/>
                <w:szCs w:val="22"/>
              </w:rPr>
              <w:t xml:space="preserve"> </w:t>
            </w:r>
            <w:r w:rsidR="00EF043B" w:rsidRPr="009A6D92">
              <w:rPr>
                <w:i/>
                <w:sz w:val="22"/>
                <w:szCs w:val="22"/>
              </w:rPr>
              <w:t>euro</w:t>
            </w:r>
            <w:r>
              <w:rPr>
                <w:sz w:val="22"/>
                <w:szCs w:val="22"/>
              </w:rPr>
              <w:t xml:space="preserve"> </w:t>
            </w:r>
            <w:r w:rsidR="00EF043B">
              <w:rPr>
                <w:sz w:val="22"/>
                <w:szCs w:val="22"/>
              </w:rPr>
              <w:t xml:space="preserve">apmērā </w:t>
            </w:r>
            <w:r w:rsidR="00531567">
              <w:rPr>
                <w:sz w:val="22"/>
                <w:szCs w:val="22"/>
              </w:rPr>
              <w:t>10.</w:t>
            </w:r>
            <w:r w:rsidR="0074243B">
              <w:rPr>
                <w:sz w:val="22"/>
                <w:szCs w:val="22"/>
              </w:rPr>
              <w:t>Eiropas Att</w:t>
            </w:r>
            <w:r w:rsidR="00BB5297">
              <w:rPr>
                <w:sz w:val="22"/>
                <w:szCs w:val="22"/>
              </w:rPr>
              <w:t>īstības fonda iemaksu budžetā.</w:t>
            </w:r>
          </w:p>
        </w:tc>
      </w:tr>
    </w:tbl>
    <w:p w:rsidR="00EE0EB3" w:rsidRPr="00D826BE" w:rsidRDefault="00EE0EB3" w:rsidP="00BD3092">
      <w:pPr>
        <w:rPr>
          <w:lang w:val="lv-LV"/>
        </w:rPr>
      </w:pPr>
    </w:p>
    <w:tbl>
      <w:tblPr>
        <w:tblStyle w:val="TableGrid"/>
        <w:tblW w:w="10031" w:type="dxa"/>
        <w:tblLook w:val="04A0" w:firstRow="1" w:lastRow="0" w:firstColumn="1" w:lastColumn="0" w:noHBand="0" w:noVBand="1"/>
      </w:tblPr>
      <w:tblGrid>
        <w:gridCol w:w="3369"/>
        <w:gridCol w:w="6662"/>
      </w:tblGrid>
      <w:tr w:rsidR="00BD3092" w:rsidRPr="00D826BE" w:rsidTr="0069078F">
        <w:tc>
          <w:tcPr>
            <w:tcW w:w="10031" w:type="dxa"/>
            <w:gridSpan w:val="2"/>
          </w:tcPr>
          <w:p w:rsidR="00EE0EB3" w:rsidRPr="00D826BE" w:rsidRDefault="00EE0EB3" w:rsidP="00EE0EB3">
            <w:pPr>
              <w:rPr>
                <w:b/>
                <w:lang w:val="lv-LV"/>
              </w:rPr>
            </w:pPr>
          </w:p>
          <w:p w:rsidR="00BD3092" w:rsidRPr="00D826BE" w:rsidRDefault="00BD3092" w:rsidP="003430A2">
            <w:pPr>
              <w:jc w:val="center"/>
              <w:rPr>
                <w:b/>
                <w:lang w:val="lv-LV"/>
              </w:rPr>
            </w:pPr>
            <w:r w:rsidRPr="00D826BE">
              <w:rPr>
                <w:b/>
                <w:lang w:val="lv-LV"/>
              </w:rPr>
              <w:t>V. Tiesību akta projekta atbilstība Latvijas Republikas starptautiskajām saistībām</w:t>
            </w:r>
          </w:p>
          <w:p w:rsidR="00AA0BD5" w:rsidRPr="00D826BE" w:rsidRDefault="00AA0BD5" w:rsidP="00BD3092">
            <w:pPr>
              <w:jc w:val="center"/>
              <w:rPr>
                <w:lang w:val="lv-LV"/>
              </w:rPr>
            </w:pPr>
          </w:p>
        </w:tc>
      </w:tr>
      <w:tr w:rsidR="00BD3092" w:rsidRPr="00D826BE" w:rsidTr="00AA0BD5">
        <w:tc>
          <w:tcPr>
            <w:tcW w:w="3369" w:type="dxa"/>
          </w:tcPr>
          <w:p w:rsidR="00BD3092" w:rsidRPr="00D826BE" w:rsidRDefault="00BD3092" w:rsidP="00BD3092">
            <w:pPr>
              <w:ind w:left="360"/>
              <w:rPr>
                <w:lang w:val="lv-LV"/>
              </w:rPr>
            </w:pPr>
          </w:p>
          <w:p w:rsidR="00BD3092" w:rsidRPr="00D826BE" w:rsidRDefault="00BD3092" w:rsidP="00BD3092">
            <w:pPr>
              <w:numPr>
                <w:ilvl w:val="0"/>
                <w:numId w:val="24"/>
              </w:numPr>
              <w:rPr>
                <w:lang w:val="lv-LV"/>
              </w:rPr>
            </w:pPr>
            <w:r w:rsidRPr="00D826BE">
              <w:rPr>
                <w:lang w:val="lv-LV"/>
              </w:rPr>
              <w:t>Saistības pret Eiropas Savienību</w:t>
            </w:r>
          </w:p>
          <w:p w:rsidR="00BD3092" w:rsidRPr="00D826BE" w:rsidRDefault="00BD3092" w:rsidP="00BD3092">
            <w:pPr>
              <w:ind w:left="360"/>
              <w:rPr>
                <w:lang w:val="lv-LV"/>
              </w:rPr>
            </w:pPr>
          </w:p>
        </w:tc>
        <w:tc>
          <w:tcPr>
            <w:tcW w:w="6662" w:type="dxa"/>
          </w:tcPr>
          <w:p w:rsidR="003430A2" w:rsidRPr="00D826BE" w:rsidRDefault="003430A2" w:rsidP="00BD3092">
            <w:pPr>
              <w:rPr>
                <w:lang w:val="lv-LV"/>
              </w:rPr>
            </w:pPr>
          </w:p>
          <w:p w:rsidR="00BD3092" w:rsidRPr="00D826BE" w:rsidRDefault="00BD3092" w:rsidP="00BD3092">
            <w:pPr>
              <w:rPr>
                <w:lang w:val="lv-LV"/>
              </w:rPr>
            </w:pPr>
            <w:r w:rsidRPr="00D826BE">
              <w:rPr>
                <w:lang w:val="lv-LV"/>
              </w:rPr>
              <w:t xml:space="preserve">Nav </w:t>
            </w:r>
            <w:r w:rsidR="00574153" w:rsidRPr="00D826BE">
              <w:rPr>
                <w:lang w:val="lv-LV"/>
              </w:rPr>
              <w:t>attiecināms</w:t>
            </w:r>
            <w:r w:rsidRPr="00D826BE">
              <w:rPr>
                <w:lang w:val="lv-LV"/>
              </w:rPr>
              <w:t>.</w:t>
            </w:r>
          </w:p>
        </w:tc>
      </w:tr>
      <w:tr w:rsidR="00BD3092" w:rsidRPr="00D826BE" w:rsidTr="00AA0BD5">
        <w:tc>
          <w:tcPr>
            <w:tcW w:w="3369" w:type="dxa"/>
          </w:tcPr>
          <w:p w:rsidR="00BD3092" w:rsidRPr="00D826BE" w:rsidRDefault="00BD3092" w:rsidP="00BD3092">
            <w:pPr>
              <w:ind w:left="360"/>
              <w:rPr>
                <w:lang w:val="lv-LV"/>
              </w:rPr>
            </w:pPr>
          </w:p>
          <w:p w:rsidR="00BD3092" w:rsidRPr="00D826BE" w:rsidRDefault="00BD3092" w:rsidP="00BD3092">
            <w:pPr>
              <w:numPr>
                <w:ilvl w:val="0"/>
                <w:numId w:val="24"/>
              </w:numPr>
              <w:rPr>
                <w:lang w:val="lv-LV"/>
              </w:rPr>
            </w:pPr>
            <w:r w:rsidRPr="00D826BE">
              <w:rPr>
                <w:lang w:val="lv-LV"/>
              </w:rPr>
              <w:t>Citas starptautiskās saistības</w:t>
            </w:r>
          </w:p>
          <w:p w:rsidR="00BD3092" w:rsidRPr="00D826BE" w:rsidRDefault="00BD3092" w:rsidP="00BD3092">
            <w:pPr>
              <w:ind w:left="360"/>
              <w:rPr>
                <w:lang w:val="lv-LV"/>
              </w:rPr>
            </w:pPr>
          </w:p>
        </w:tc>
        <w:tc>
          <w:tcPr>
            <w:tcW w:w="6662" w:type="dxa"/>
          </w:tcPr>
          <w:p w:rsidR="00BD3092" w:rsidRPr="00D826BE" w:rsidRDefault="00BD3092" w:rsidP="0047333A">
            <w:pPr>
              <w:jc w:val="both"/>
              <w:rPr>
                <w:lang w:val="lv-LV"/>
              </w:rPr>
            </w:pPr>
          </w:p>
          <w:p w:rsidR="00C15BE9" w:rsidRPr="00D826BE" w:rsidRDefault="00574153" w:rsidP="0047333A">
            <w:pPr>
              <w:jc w:val="both"/>
              <w:rPr>
                <w:lang w:val="lv-LV"/>
              </w:rPr>
            </w:pPr>
            <w:r w:rsidRPr="00D826BE">
              <w:rPr>
                <w:lang w:val="lv-LV"/>
              </w:rPr>
              <w:t>Nav attiecināms.</w:t>
            </w:r>
          </w:p>
        </w:tc>
      </w:tr>
      <w:tr w:rsidR="00BD3092" w:rsidRPr="00D826BE" w:rsidTr="00AA0BD5">
        <w:tc>
          <w:tcPr>
            <w:tcW w:w="3369" w:type="dxa"/>
          </w:tcPr>
          <w:p w:rsidR="00BD3092" w:rsidRPr="00D826BE" w:rsidRDefault="00BD3092" w:rsidP="00BD3092">
            <w:pPr>
              <w:ind w:left="360"/>
              <w:rPr>
                <w:lang w:val="lv-LV"/>
              </w:rPr>
            </w:pPr>
          </w:p>
          <w:p w:rsidR="00BD3092" w:rsidRPr="00D826BE" w:rsidRDefault="00BD3092" w:rsidP="00BD3092">
            <w:pPr>
              <w:numPr>
                <w:ilvl w:val="0"/>
                <w:numId w:val="24"/>
              </w:numPr>
              <w:rPr>
                <w:lang w:val="lv-LV"/>
              </w:rPr>
            </w:pPr>
            <w:r w:rsidRPr="00D826BE">
              <w:rPr>
                <w:lang w:val="lv-LV"/>
              </w:rPr>
              <w:t>Cita informācija</w:t>
            </w:r>
          </w:p>
          <w:p w:rsidR="00BD3092" w:rsidRPr="00D826BE" w:rsidRDefault="00BD3092" w:rsidP="00BD3092">
            <w:pPr>
              <w:ind w:left="360"/>
              <w:rPr>
                <w:lang w:val="lv-LV"/>
              </w:rPr>
            </w:pPr>
          </w:p>
        </w:tc>
        <w:tc>
          <w:tcPr>
            <w:tcW w:w="6662" w:type="dxa"/>
          </w:tcPr>
          <w:p w:rsidR="00BD3092" w:rsidRPr="00D826BE" w:rsidRDefault="00BD3092" w:rsidP="00BD3092">
            <w:pPr>
              <w:rPr>
                <w:lang w:val="lv-LV"/>
              </w:rPr>
            </w:pPr>
          </w:p>
          <w:p w:rsidR="00574153" w:rsidRDefault="00574153" w:rsidP="005B617D">
            <w:pPr>
              <w:spacing w:line="276" w:lineRule="auto"/>
              <w:jc w:val="both"/>
              <w:rPr>
                <w:lang w:val="lv-LV"/>
              </w:rPr>
            </w:pPr>
            <w:r w:rsidRPr="00D826BE">
              <w:rPr>
                <w:lang w:val="lv-LV"/>
              </w:rPr>
              <w:t>ANO statūti ir saistoši Latvijai kopš Latvijas iestāšanās ANO 1991.gada 17.septembrī.</w:t>
            </w:r>
          </w:p>
          <w:p w:rsidR="00BD3092" w:rsidRPr="006C5084" w:rsidRDefault="00BD3092" w:rsidP="002D1D0B">
            <w:pPr>
              <w:jc w:val="both"/>
              <w:rPr>
                <w:lang w:val="lv-LV"/>
              </w:rPr>
            </w:pPr>
          </w:p>
        </w:tc>
      </w:tr>
    </w:tbl>
    <w:p w:rsidR="00393285" w:rsidRPr="00D826BE" w:rsidRDefault="00393285" w:rsidP="00393285">
      <w:pPr>
        <w:jc w:val="both"/>
        <w:rPr>
          <w:sz w:val="22"/>
          <w:szCs w:val="22"/>
          <w:lang w:val="lv-LV"/>
        </w:rPr>
      </w:pPr>
    </w:p>
    <w:tbl>
      <w:tblPr>
        <w:tblW w:w="4963"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75"/>
        <w:gridCol w:w="6681"/>
      </w:tblGrid>
      <w:tr w:rsidR="00801B52" w:rsidRPr="00D826BE" w:rsidTr="00636683">
        <w:trPr>
          <w:trHeight w:val="266"/>
        </w:trPr>
        <w:tc>
          <w:tcPr>
            <w:tcW w:w="5000" w:type="pct"/>
            <w:gridSpan w:val="2"/>
            <w:tcBorders>
              <w:top w:val="outset" w:sz="6" w:space="0" w:color="auto"/>
              <w:bottom w:val="outset" w:sz="6" w:space="0" w:color="auto"/>
            </w:tcBorders>
            <w:tcMar>
              <w:top w:w="105" w:type="dxa"/>
              <w:left w:w="105" w:type="dxa"/>
              <w:bottom w:w="105" w:type="dxa"/>
              <w:right w:w="105" w:type="dxa"/>
            </w:tcMar>
            <w:vAlign w:val="center"/>
          </w:tcPr>
          <w:p w:rsidR="00EF0823" w:rsidRPr="00D826BE" w:rsidRDefault="00801B52" w:rsidP="003430A2">
            <w:pPr>
              <w:pStyle w:val="naisc"/>
              <w:spacing w:before="0" w:after="0"/>
              <w:rPr>
                <w:b/>
                <w:sz w:val="22"/>
                <w:szCs w:val="22"/>
              </w:rPr>
            </w:pPr>
            <w:r w:rsidRPr="00D826BE">
              <w:rPr>
                <w:b/>
                <w:sz w:val="22"/>
                <w:szCs w:val="22"/>
              </w:rPr>
              <w:t>VII. Tiesību akta projekta izpildes nodrošināšana un tās ietekme uz institūcijām</w:t>
            </w:r>
          </w:p>
        </w:tc>
      </w:tr>
      <w:tr w:rsidR="00801B52" w:rsidRPr="00D826BE" w:rsidTr="00636683">
        <w:trPr>
          <w:trHeight w:val="510"/>
        </w:trPr>
        <w:tc>
          <w:tcPr>
            <w:tcW w:w="1678" w:type="pct"/>
            <w:tcBorders>
              <w:top w:val="outset" w:sz="6" w:space="0" w:color="auto"/>
              <w:bottom w:val="outset" w:sz="6" w:space="0" w:color="auto"/>
              <w:right w:val="outset" w:sz="6" w:space="0" w:color="auto"/>
            </w:tcBorders>
            <w:tcMar>
              <w:top w:w="105" w:type="dxa"/>
              <w:left w:w="105" w:type="dxa"/>
              <w:bottom w:w="105" w:type="dxa"/>
              <w:right w:w="105" w:type="dxa"/>
            </w:tcMar>
          </w:tcPr>
          <w:p w:rsidR="00801B52" w:rsidRPr="00D826BE" w:rsidRDefault="00801B52" w:rsidP="00F11802">
            <w:pPr>
              <w:pStyle w:val="naisf"/>
              <w:spacing w:before="0" w:after="0"/>
              <w:ind w:firstLine="0"/>
            </w:pPr>
            <w:r w:rsidRPr="00D826BE">
              <w:rPr>
                <w:sz w:val="22"/>
                <w:szCs w:val="22"/>
              </w:rPr>
              <w:t>1. Projekta izpildē iesaistītās institūcijas</w:t>
            </w:r>
          </w:p>
        </w:tc>
        <w:tc>
          <w:tcPr>
            <w:tcW w:w="3322" w:type="pct"/>
            <w:tcBorders>
              <w:top w:val="outset" w:sz="6" w:space="0" w:color="auto"/>
              <w:left w:val="outset" w:sz="6" w:space="0" w:color="auto"/>
              <w:bottom w:val="outset" w:sz="6" w:space="0" w:color="auto"/>
            </w:tcBorders>
            <w:tcMar>
              <w:top w:w="105" w:type="dxa"/>
              <w:left w:w="105" w:type="dxa"/>
              <w:bottom w:w="105" w:type="dxa"/>
              <w:right w:w="105" w:type="dxa"/>
            </w:tcMar>
          </w:tcPr>
          <w:p w:rsidR="00801B52" w:rsidRPr="00D826BE" w:rsidRDefault="00801B52" w:rsidP="00F11802">
            <w:pPr>
              <w:pStyle w:val="NormalWeb"/>
              <w:spacing w:before="0" w:after="0"/>
            </w:pPr>
            <w:r w:rsidRPr="00D826BE">
              <w:rPr>
                <w:sz w:val="22"/>
                <w:szCs w:val="22"/>
              </w:rPr>
              <w:t>Ārlietu ministrija.</w:t>
            </w:r>
          </w:p>
        </w:tc>
      </w:tr>
      <w:tr w:rsidR="00801B52" w:rsidRPr="00D826BE" w:rsidTr="00636683">
        <w:trPr>
          <w:trHeight w:val="1518"/>
        </w:trPr>
        <w:tc>
          <w:tcPr>
            <w:tcW w:w="1678" w:type="pct"/>
            <w:tcBorders>
              <w:top w:val="outset" w:sz="6" w:space="0" w:color="auto"/>
              <w:bottom w:val="outset" w:sz="6" w:space="0" w:color="auto"/>
              <w:right w:val="outset" w:sz="6" w:space="0" w:color="auto"/>
            </w:tcBorders>
            <w:tcMar>
              <w:top w:w="105" w:type="dxa"/>
              <w:left w:w="105" w:type="dxa"/>
              <w:bottom w:w="105" w:type="dxa"/>
              <w:right w:w="105" w:type="dxa"/>
            </w:tcMar>
          </w:tcPr>
          <w:p w:rsidR="00801B52" w:rsidRPr="00D826BE" w:rsidRDefault="00801B52" w:rsidP="00D826BE">
            <w:pPr>
              <w:pStyle w:val="naisf"/>
              <w:spacing w:before="0" w:after="0"/>
              <w:ind w:firstLine="0"/>
            </w:pPr>
            <w:r w:rsidRPr="00D826BE">
              <w:rPr>
                <w:sz w:val="22"/>
                <w:szCs w:val="22"/>
              </w:rPr>
              <w:t>2. Projekta izpildes ietekme uz pārvaldes funkcijām</w:t>
            </w:r>
            <w:r w:rsidR="00F6473B" w:rsidRPr="00D826BE">
              <w:rPr>
                <w:sz w:val="22"/>
                <w:szCs w:val="22"/>
              </w:rPr>
              <w:t xml:space="preserve"> un institucionālo struktūru. Jaunu institūciju izveide, esošu institūciju likvidācija vai reorganizācija, to ietekme uz institūcijas cilvēkresursiem.</w:t>
            </w:r>
          </w:p>
        </w:tc>
        <w:tc>
          <w:tcPr>
            <w:tcW w:w="3322" w:type="pct"/>
            <w:tcBorders>
              <w:top w:val="outset" w:sz="6" w:space="0" w:color="auto"/>
              <w:left w:val="outset" w:sz="6" w:space="0" w:color="auto"/>
              <w:bottom w:val="outset" w:sz="6" w:space="0" w:color="auto"/>
            </w:tcBorders>
            <w:tcMar>
              <w:top w:w="105" w:type="dxa"/>
              <w:left w:w="105" w:type="dxa"/>
              <w:bottom w:w="105" w:type="dxa"/>
              <w:right w:w="105" w:type="dxa"/>
            </w:tcMar>
          </w:tcPr>
          <w:p w:rsidR="00801B52" w:rsidRPr="00D826BE" w:rsidRDefault="00F6473B" w:rsidP="00636683">
            <w:pPr>
              <w:pStyle w:val="NormalWeb"/>
            </w:pPr>
            <w:r w:rsidRPr="00D826BE">
              <w:rPr>
                <w:sz w:val="22"/>
                <w:szCs w:val="22"/>
              </w:rPr>
              <w:t>Projekta izpilde notiks esošo pārvaldes funkciju ietvaros.</w:t>
            </w:r>
          </w:p>
        </w:tc>
      </w:tr>
      <w:tr w:rsidR="00801B52" w:rsidRPr="00D826BE" w:rsidTr="00636683">
        <w:trPr>
          <w:trHeight w:val="278"/>
        </w:trPr>
        <w:tc>
          <w:tcPr>
            <w:tcW w:w="1678" w:type="pct"/>
            <w:tcBorders>
              <w:top w:val="outset" w:sz="6" w:space="0" w:color="auto"/>
              <w:bottom w:val="outset" w:sz="6" w:space="0" w:color="auto"/>
              <w:right w:val="outset" w:sz="6" w:space="0" w:color="auto"/>
            </w:tcBorders>
            <w:tcMar>
              <w:top w:w="105" w:type="dxa"/>
              <w:left w:w="105" w:type="dxa"/>
              <w:bottom w:w="105" w:type="dxa"/>
              <w:right w:w="105" w:type="dxa"/>
            </w:tcMar>
          </w:tcPr>
          <w:p w:rsidR="00801B52" w:rsidRPr="00D826BE" w:rsidRDefault="00801B52" w:rsidP="00F11802">
            <w:pPr>
              <w:pStyle w:val="naisf"/>
              <w:spacing w:before="0" w:after="0"/>
              <w:ind w:firstLine="0"/>
            </w:pPr>
            <w:r w:rsidRPr="00D826BE">
              <w:rPr>
                <w:sz w:val="22"/>
                <w:szCs w:val="22"/>
              </w:rPr>
              <w:t xml:space="preserve">3. </w:t>
            </w:r>
            <w:r w:rsidR="00F6473B" w:rsidRPr="00D826BE">
              <w:rPr>
                <w:sz w:val="22"/>
                <w:szCs w:val="22"/>
              </w:rPr>
              <w:t>Cita informācija</w:t>
            </w:r>
          </w:p>
        </w:tc>
        <w:tc>
          <w:tcPr>
            <w:tcW w:w="3322" w:type="pct"/>
            <w:tcBorders>
              <w:top w:val="outset" w:sz="6" w:space="0" w:color="auto"/>
              <w:left w:val="outset" w:sz="6" w:space="0" w:color="auto"/>
              <w:bottom w:val="outset" w:sz="6" w:space="0" w:color="auto"/>
            </w:tcBorders>
            <w:tcMar>
              <w:top w:w="105" w:type="dxa"/>
              <w:left w:w="105" w:type="dxa"/>
              <w:bottom w:w="105" w:type="dxa"/>
              <w:right w:w="105" w:type="dxa"/>
            </w:tcMar>
          </w:tcPr>
          <w:p w:rsidR="00801B52" w:rsidRPr="00D826BE" w:rsidRDefault="00F6473B" w:rsidP="00F11802">
            <w:pPr>
              <w:pStyle w:val="NormalWeb"/>
              <w:spacing w:before="0" w:after="0"/>
            </w:pPr>
            <w:r w:rsidRPr="00D826BE">
              <w:t>Nav.</w:t>
            </w:r>
          </w:p>
        </w:tc>
      </w:tr>
    </w:tbl>
    <w:p w:rsidR="00A76DFA" w:rsidRPr="00D826BE" w:rsidRDefault="00A76DFA" w:rsidP="0096434B">
      <w:pPr>
        <w:jc w:val="center"/>
        <w:rPr>
          <w:sz w:val="22"/>
          <w:szCs w:val="22"/>
          <w:lang w:val="lv-LV"/>
        </w:rPr>
      </w:pPr>
      <w:r w:rsidRPr="00D826BE">
        <w:rPr>
          <w:sz w:val="22"/>
          <w:szCs w:val="22"/>
          <w:lang w:val="lv-LV"/>
        </w:rPr>
        <w:t>Anotācijas  II., IV</w:t>
      </w:r>
      <w:r w:rsidR="00862827" w:rsidRPr="00D826BE">
        <w:rPr>
          <w:sz w:val="22"/>
          <w:szCs w:val="22"/>
          <w:lang w:val="lv-LV"/>
        </w:rPr>
        <w:t xml:space="preserve"> un VI</w:t>
      </w:r>
      <w:r w:rsidRPr="00D826BE">
        <w:rPr>
          <w:sz w:val="22"/>
          <w:szCs w:val="22"/>
          <w:lang w:val="lv-LV"/>
        </w:rPr>
        <w:t xml:space="preserve"> sadaļa – projekts šīs jomas neskar.</w:t>
      </w:r>
    </w:p>
    <w:p w:rsidR="00EF0823" w:rsidRPr="00D826BE" w:rsidRDefault="00EF0823" w:rsidP="000B0C40">
      <w:pPr>
        <w:jc w:val="both"/>
        <w:rPr>
          <w:sz w:val="22"/>
          <w:szCs w:val="22"/>
          <w:lang w:val="lv-LV"/>
        </w:rPr>
      </w:pPr>
    </w:p>
    <w:p w:rsidR="00801B52" w:rsidRDefault="00801B52" w:rsidP="003535EB">
      <w:pPr>
        <w:tabs>
          <w:tab w:val="left" w:pos="7020"/>
        </w:tabs>
        <w:jc w:val="both"/>
        <w:rPr>
          <w:b/>
          <w:sz w:val="22"/>
          <w:szCs w:val="22"/>
          <w:lang w:val="lv-LV"/>
        </w:rPr>
      </w:pPr>
      <w:r w:rsidRPr="00D826BE">
        <w:rPr>
          <w:b/>
          <w:sz w:val="22"/>
          <w:szCs w:val="22"/>
          <w:lang w:val="lv-LV"/>
        </w:rPr>
        <w:t>Ārlietu</w:t>
      </w:r>
      <w:r w:rsidR="00420FB2" w:rsidRPr="00D826BE">
        <w:rPr>
          <w:b/>
          <w:sz w:val="22"/>
          <w:szCs w:val="22"/>
          <w:lang w:val="lv-LV"/>
        </w:rPr>
        <w:t xml:space="preserve"> ministrs</w:t>
      </w:r>
      <w:r w:rsidR="00393285" w:rsidRPr="00D826BE">
        <w:rPr>
          <w:b/>
          <w:sz w:val="22"/>
          <w:szCs w:val="22"/>
          <w:lang w:val="lv-LV"/>
        </w:rPr>
        <w:tab/>
      </w:r>
      <w:r w:rsidR="00AB3DB7" w:rsidRPr="00D826BE">
        <w:rPr>
          <w:b/>
          <w:sz w:val="22"/>
          <w:szCs w:val="22"/>
          <w:lang w:val="lv-LV"/>
        </w:rPr>
        <w:t>E.Rinkēvičs</w:t>
      </w:r>
    </w:p>
    <w:p w:rsidR="003535EB" w:rsidRDefault="003535EB" w:rsidP="003535EB">
      <w:pPr>
        <w:tabs>
          <w:tab w:val="left" w:pos="7020"/>
        </w:tabs>
        <w:jc w:val="both"/>
        <w:rPr>
          <w:b/>
          <w:sz w:val="22"/>
          <w:szCs w:val="22"/>
          <w:lang w:val="lv-LV"/>
        </w:rPr>
      </w:pPr>
    </w:p>
    <w:p w:rsidR="003535EB" w:rsidRPr="00D826BE" w:rsidRDefault="003535EB" w:rsidP="003535EB">
      <w:pPr>
        <w:tabs>
          <w:tab w:val="left" w:pos="7020"/>
        </w:tabs>
        <w:jc w:val="both"/>
        <w:rPr>
          <w:b/>
          <w:sz w:val="22"/>
          <w:szCs w:val="22"/>
          <w:lang w:val="lv-LV"/>
        </w:rPr>
      </w:pPr>
    </w:p>
    <w:p w:rsidR="00801B52" w:rsidRPr="003535EB" w:rsidRDefault="00283939" w:rsidP="003535EB">
      <w:pPr>
        <w:tabs>
          <w:tab w:val="left" w:pos="7020"/>
        </w:tabs>
        <w:jc w:val="both"/>
        <w:rPr>
          <w:b/>
          <w:sz w:val="22"/>
          <w:szCs w:val="22"/>
          <w:lang w:val="lv-LV"/>
        </w:rPr>
      </w:pPr>
      <w:r w:rsidRPr="00D826BE">
        <w:rPr>
          <w:b/>
          <w:sz w:val="22"/>
          <w:szCs w:val="22"/>
          <w:lang w:val="lv-LV"/>
        </w:rPr>
        <w:t xml:space="preserve">Vīza: </w:t>
      </w:r>
      <w:r w:rsidR="00742E4B" w:rsidRPr="00D826BE">
        <w:rPr>
          <w:b/>
          <w:sz w:val="22"/>
          <w:szCs w:val="22"/>
          <w:lang w:val="lv-LV"/>
        </w:rPr>
        <w:t>v</w:t>
      </w:r>
      <w:r w:rsidR="00F6473B" w:rsidRPr="00D826BE">
        <w:rPr>
          <w:b/>
          <w:sz w:val="22"/>
          <w:szCs w:val="22"/>
          <w:lang w:val="lv-LV"/>
        </w:rPr>
        <w:t>alsts sekretārs</w:t>
      </w:r>
      <w:r w:rsidR="001955B1" w:rsidRPr="00D826BE">
        <w:rPr>
          <w:b/>
          <w:sz w:val="22"/>
          <w:szCs w:val="22"/>
          <w:lang w:val="lv-LV"/>
        </w:rPr>
        <w:tab/>
      </w:r>
      <w:r w:rsidR="00F6473B" w:rsidRPr="00D826BE">
        <w:rPr>
          <w:b/>
          <w:sz w:val="22"/>
          <w:szCs w:val="22"/>
          <w:lang w:val="lv-LV"/>
        </w:rPr>
        <w:t>A.Pildegovičs</w:t>
      </w:r>
    </w:p>
    <w:p w:rsidR="003535EB" w:rsidRPr="00D826BE" w:rsidRDefault="003535EB" w:rsidP="000433E3">
      <w:pPr>
        <w:rPr>
          <w:sz w:val="16"/>
          <w:szCs w:val="16"/>
          <w:lang w:val="lv-LV"/>
        </w:rPr>
      </w:pPr>
    </w:p>
    <w:p w:rsidR="00801B52" w:rsidRPr="00D826BE" w:rsidRDefault="00ED6F97" w:rsidP="000433E3">
      <w:pPr>
        <w:rPr>
          <w:sz w:val="16"/>
          <w:szCs w:val="16"/>
          <w:lang w:val="lv-LV"/>
        </w:rPr>
      </w:pPr>
      <w:r>
        <w:rPr>
          <w:sz w:val="16"/>
          <w:szCs w:val="16"/>
          <w:lang w:val="lv-LV"/>
        </w:rPr>
        <w:t>2</w:t>
      </w:r>
      <w:r w:rsidR="003535EB">
        <w:rPr>
          <w:sz w:val="16"/>
          <w:szCs w:val="16"/>
          <w:lang w:val="lv-LV"/>
        </w:rPr>
        <w:t>7</w:t>
      </w:r>
      <w:r>
        <w:rPr>
          <w:sz w:val="16"/>
          <w:szCs w:val="16"/>
          <w:lang w:val="lv-LV"/>
        </w:rPr>
        <w:t>.11.2014</w:t>
      </w:r>
      <w:r w:rsidR="00801B52" w:rsidRPr="00D826BE">
        <w:rPr>
          <w:sz w:val="16"/>
          <w:szCs w:val="16"/>
          <w:lang w:val="lv-LV"/>
        </w:rPr>
        <w:t>, </w:t>
      </w:r>
      <w:r w:rsidR="00531567">
        <w:rPr>
          <w:sz w:val="16"/>
          <w:szCs w:val="16"/>
          <w:lang w:val="lv-LV"/>
        </w:rPr>
        <w:t>1</w:t>
      </w:r>
      <w:r w:rsidR="003535EB">
        <w:rPr>
          <w:sz w:val="16"/>
          <w:szCs w:val="16"/>
          <w:lang w:val="lv-LV"/>
        </w:rPr>
        <w:t>0</w:t>
      </w:r>
      <w:r w:rsidR="003057A5">
        <w:rPr>
          <w:sz w:val="16"/>
          <w:szCs w:val="16"/>
          <w:lang w:val="lv-LV"/>
        </w:rPr>
        <w:t>:00</w:t>
      </w:r>
    </w:p>
    <w:p w:rsidR="00F12C20" w:rsidRPr="00D826BE" w:rsidRDefault="003057A5" w:rsidP="000433E3">
      <w:pPr>
        <w:rPr>
          <w:sz w:val="16"/>
          <w:szCs w:val="16"/>
          <w:lang w:val="lv-LV"/>
        </w:rPr>
      </w:pPr>
      <w:r w:rsidRPr="003535EB">
        <w:rPr>
          <w:sz w:val="16"/>
          <w:szCs w:val="16"/>
          <w:lang w:val="lv-LV"/>
        </w:rPr>
        <w:t xml:space="preserve">1 </w:t>
      </w:r>
      <w:r w:rsidR="006069CD">
        <w:rPr>
          <w:sz w:val="16"/>
          <w:szCs w:val="16"/>
          <w:lang w:val="lv-LV"/>
        </w:rPr>
        <w:t>109</w:t>
      </w:r>
    </w:p>
    <w:p w:rsidR="00801B52" w:rsidRPr="00D826BE" w:rsidRDefault="00303B83" w:rsidP="000433E3">
      <w:pPr>
        <w:rPr>
          <w:sz w:val="16"/>
          <w:szCs w:val="16"/>
          <w:lang w:val="lv-LV"/>
        </w:rPr>
      </w:pPr>
      <w:r>
        <w:rPr>
          <w:sz w:val="16"/>
          <w:szCs w:val="16"/>
          <w:lang w:val="lv-LV"/>
        </w:rPr>
        <w:t>Ilze Gelnere</w:t>
      </w:r>
    </w:p>
    <w:p w:rsidR="00801B52" w:rsidRPr="0067439E" w:rsidRDefault="00AB3DB7">
      <w:pPr>
        <w:rPr>
          <w:sz w:val="16"/>
          <w:szCs w:val="16"/>
          <w:lang w:val="lv-LV"/>
        </w:rPr>
      </w:pPr>
      <w:r>
        <w:rPr>
          <w:sz w:val="16"/>
          <w:szCs w:val="16"/>
          <w:lang w:val="lv-LV"/>
        </w:rPr>
        <w:t>Tālr. 67016</w:t>
      </w:r>
      <w:r w:rsidR="00303B83">
        <w:rPr>
          <w:sz w:val="16"/>
          <w:szCs w:val="16"/>
          <w:lang w:val="lv-LV"/>
        </w:rPr>
        <w:t>496</w:t>
      </w:r>
      <w:r w:rsidR="00801B52" w:rsidRPr="0067439E">
        <w:rPr>
          <w:sz w:val="16"/>
          <w:szCs w:val="16"/>
          <w:lang w:val="lv-LV"/>
        </w:rPr>
        <w:t xml:space="preserve">, </w:t>
      </w:r>
      <w:hyperlink r:id="rId9" w:history="1">
        <w:r w:rsidR="00D537ED" w:rsidRPr="0086059E">
          <w:rPr>
            <w:rStyle w:val="Hyperlink"/>
            <w:sz w:val="16"/>
            <w:szCs w:val="16"/>
            <w:lang w:val="lv-LV"/>
          </w:rPr>
          <w:t>ilze.gelnere@mfa.gov.lv</w:t>
        </w:r>
      </w:hyperlink>
      <w:r w:rsidR="00D537ED">
        <w:rPr>
          <w:sz w:val="16"/>
          <w:szCs w:val="16"/>
          <w:lang w:val="lv-LV"/>
        </w:rPr>
        <w:t xml:space="preserve"> </w:t>
      </w:r>
    </w:p>
    <w:sectPr w:rsidR="00801B52" w:rsidRPr="0067439E" w:rsidSect="006B2F4B">
      <w:footerReference w:type="even" r:id="rId10"/>
      <w:footerReference w:type="default" r:id="rId11"/>
      <w:pgSz w:w="11906" w:h="16838" w:code="9"/>
      <w:pgMar w:top="1418"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3B" w:rsidRDefault="008C7B3B" w:rsidP="000B0C40">
      <w:r>
        <w:separator/>
      </w:r>
    </w:p>
  </w:endnote>
  <w:endnote w:type="continuationSeparator" w:id="0">
    <w:p w:rsidR="008C7B3B" w:rsidRDefault="008C7B3B" w:rsidP="000B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9E" w:rsidRDefault="0067689E" w:rsidP="00F1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89E" w:rsidRDefault="0067689E" w:rsidP="00F118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9E" w:rsidRDefault="0067689E" w:rsidP="00F1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F45">
      <w:rPr>
        <w:rStyle w:val="PageNumber"/>
        <w:noProof/>
      </w:rPr>
      <w:t>4</w:t>
    </w:r>
    <w:r>
      <w:rPr>
        <w:rStyle w:val="PageNumber"/>
      </w:rPr>
      <w:fldChar w:fldCharType="end"/>
    </w:r>
  </w:p>
  <w:p w:rsidR="00245CA1" w:rsidRPr="00245CA1" w:rsidRDefault="0067689E" w:rsidP="001E3456">
    <w:pPr>
      <w:ind w:right="227"/>
      <w:jc w:val="both"/>
      <w:rPr>
        <w:sz w:val="18"/>
        <w:szCs w:val="18"/>
        <w:lang w:val="lv-LV"/>
      </w:rPr>
    </w:pPr>
    <w:r w:rsidRPr="00245CA1">
      <w:rPr>
        <w:sz w:val="18"/>
        <w:szCs w:val="18"/>
      </w:rPr>
      <w:t>AMAnot_</w:t>
    </w:r>
    <w:r w:rsidR="0038046F">
      <w:rPr>
        <w:sz w:val="18"/>
        <w:szCs w:val="18"/>
      </w:rPr>
      <w:t>27</w:t>
    </w:r>
    <w:r w:rsidR="000D02FC">
      <w:rPr>
        <w:sz w:val="18"/>
        <w:szCs w:val="18"/>
      </w:rPr>
      <w:t>11</w:t>
    </w:r>
    <w:r w:rsidR="00D1177F" w:rsidRPr="00245CA1">
      <w:rPr>
        <w:sz w:val="18"/>
        <w:szCs w:val="18"/>
      </w:rPr>
      <w:t>14</w:t>
    </w:r>
    <w:r w:rsidRPr="00245CA1">
      <w:rPr>
        <w:sz w:val="18"/>
        <w:szCs w:val="18"/>
      </w:rPr>
      <w:t xml:space="preserve">; </w:t>
    </w:r>
    <w:r w:rsidR="00245CA1" w:rsidRPr="00245CA1">
      <w:rPr>
        <w:sz w:val="18"/>
        <w:szCs w:val="18"/>
        <w:lang w:val="lv-LV"/>
      </w:rPr>
      <w:t xml:space="preserve">Ministru kabineta </w:t>
    </w:r>
    <w:r w:rsidR="00245CA1" w:rsidRPr="00245CA1">
      <w:rPr>
        <w:color w:val="000000"/>
        <w:sz w:val="18"/>
        <w:szCs w:val="18"/>
        <w:lang w:val="lv-LV"/>
      </w:rPr>
      <w:t>rīkojuma projekta</w:t>
    </w:r>
    <w:r w:rsidR="00245CA1" w:rsidRPr="00245CA1">
      <w:rPr>
        <w:bCs/>
        <w:color w:val="000000"/>
        <w:sz w:val="18"/>
        <w:szCs w:val="18"/>
        <w:lang w:val="lv-LV"/>
      </w:rPr>
      <w:t xml:space="preserve"> </w:t>
    </w:r>
    <w:r w:rsidR="00245CA1" w:rsidRPr="00245CA1">
      <w:rPr>
        <w:color w:val="000000"/>
        <w:sz w:val="18"/>
        <w:szCs w:val="18"/>
        <w:lang w:val="lv-LV"/>
      </w:rPr>
      <w:t>„</w:t>
    </w:r>
    <w:r w:rsidR="000D02FC">
      <w:rPr>
        <w:sz w:val="18"/>
        <w:szCs w:val="18"/>
        <w:lang w:val="lv-LV"/>
      </w:rPr>
      <w:t>Par papildu iemaksu</w:t>
    </w:r>
    <w:r w:rsidR="00245CA1" w:rsidRPr="00245CA1">
      <w:rPr>
        <w:sz w:val="18"/>
        <w:szCs w:val="18"/>
        <w:lang w:val="lv-LV"/>
      </w:rPr>
      <w:t xml:space="preserve"> ANO Augstā komisāra bēgļu lietās biroja </w:t>
    </w:r>
    <w:r w:rsidR="00245CA1" w:rsidRPr="00756D73">
      <w:rPr>
        <w:iCs/>
        <w:sz w:val="18"/>
        <w:szCs w:val="18"/>
        <w:lang w:val="lv-LV"/>
      </w:rPr>
      <w:t>Ukrainas iekšēji pārvietoto personu fonda</w:t>
    </w:r>
    <w:r w:rsidR="00245CA1" w:rsidRPr="00245CA1">
      <w:rPr>
        <w:i/>
        <w:iCs/>
        <w:sz w:val="18"/>
        <w:szCs w:val="18"/>
        <w:lang w:val="lv-LV"/>
      </w:rPr>
      <w:t xml:space="preserve"> </w:t>
    </w:r>
    <w:r w:rsidR="000D02FC">
      <w:rPr>
        <w:sz w:val="18"/>
        <w:szCs w:val="18"/>
        <w:lang w:val="lv-LV"/>
      </w:rPr>
      <w:t>budžetā</w:t>
    </w:r>
    <w:r w:rsidR="00245CA1" w:rsidRPr="00245CA1">
      <w:rPr>
        <w:sz w:val="18"/>
        <w:szCs w:val="18"/>
        <w:lang w:val="lv-LV"/>
      </w:rPr>
      <w:t>” sākotnējās ietekmes novērtējuma ziņojums</w:t>
    </w:r>
    <w:r w:rsidR="00245CA1" w:rsidRPr="00245CA1">
      <w:rPr>
        <w:bCs/>
        <w:sz w:val="18"/>
        <w:szCs w:val="18"/>
        <w:lang w:val="lv-LV"/>
      </w:rPr>
      <w:t xml:space="preserve"> (anotācija)</w:t>
    </w:r>
  </w:p>
  <w:p w:rsidR="0067689E" w:rsidRPr="00FE40E6" w:rsidRDefault="0067689E" w:rsidP="00F11802">
    <w:pPr>
      <w:pStyle w:val="Footer"/>
      <w:ind w:right="360"/>
      <w:jc w:val="both"/>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3B" w:rsidRDefault="008C7B3B" w:rsidP="000B0C40">
      <w:r>
        <w:separator/>
      </w:r>
    </w:p>
  </w:footnote>
  <w:footnote w:type="continuationSeparator" w:id="0">
    <w:p w:rsidR="008C7B3B" w:rsidRDefault="008C7B3B" w:rsidP="000B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2D"/>
    <w:multiLevelType w:val="hybridMultilevel"/>
    <w:tmpl w:val="8512626A"/>
    <w:lvl w:ilvl="0" w:tplc="04DA888E">
      <w:start w:val="1"/>
      <w:numFmt w:val="decimal"/>
      <w:lvlText w:val="%1."/>
      <w:lvlJc w:val="left"/>
      <w:pPr>
        <w:ind w:left="360" w:hanging="360"/>
      </w:pPr>
      <w:rPr>
        <w:rFonts w:cs="Times New Roman" w:hint="default"/>
        <w:b/>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1A00D21"/>
    <w:multiLevelType w:val="hybridMultilevel"/>
    <w:tmpl w:val="2410EDB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CE3215F"/>
    <w:multiLevelType w:val="hybridMultilevel"/>
    <w:tmpl w:val="53E4BD42"/>
    <w:lvl w:ilvl="0" w:tplc="2D44EC4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D6F0C69"/>
    <w:multiLevelType w:val="hybridMultilevel"/>
    <w:tmpl w:val="C764BCAC"/>
    <w:lvl w:ilvl="0" w:tplc="0426000F">
      <w:start w:val="3"/>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4">
    <w:nsid w:val="0DB05D83"/>
    <w:multiLevelType w:val="hybridMultilevel"/>
    <w:tmpl w:val="91145874"/>
    <w:lvl w:ilvl="0" w:tplc="AE7675E6">
      <w:start w:val="7"/>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5">
    <w:nsid w:val="108E3E74"/>
    <w:multiLevelType w:val="hybridMultilevel"/>
    <w:tmpl w:val="B756CC88"/>
    <w:lvl w:ilvl="0" w:tplc="CC78C9F8">
      <w:start w:val="3"/>
      <w:numFmt w:val="decimal"/>
      <w:lvlText w:val="%1."/>
      <w:lvlJc w:val="left"/>
      <w:pPr>
        <w:ind w:left="360" w:hanging="360"/>
      </w:pPr>
      <w:rPr>
        <w:rFonts w:cs="Times New Roman" w:hint="default"/>
        <w:sz w:val="22"/>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11E81206"/>
    <w:multiLevelType w:val="hybridMultilevel"/>
    <w:tmpl w:val="610EE92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3097274"/>
    <w:multiLevelType w:val="hybridMultilevel"/>
    <w:tmpl w:val="BB2AC9A0"/>
    <w:lvl w:ilvl="0" w:tplc="37123280">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86A5CBE"/>
    <w:multiLevelType w:val="hybridMultilevel"/>
    <w:tmpl w:val="25127E2A"/>
    <w:lvl w:ilvl="0" w:tplc="510C9C50">
      <w:start w:val="5"/>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9">
    <w:nsid w:val="1C5B09B7"/>
    <w:multiLevelType w:val="hybridMultilevel"/>
    <w:tmpl w:val="257A0BA8"/>
    <w:lvl w:ilvl="0" w:tplc="0610090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C84AF4"/>
    <w:multiLevelType w:val="hybridMultilevel"/>
    <w:tmpl w:val="738064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E20255"/>
    <w:multiLevelType w:val="hybridMultilevel"/>
    <w:tmpl w:val="746499AC"/>
    <w:lvl w:ilvl="0" w:tplc="F1F61FBA">
      <w:start w:val="3"/>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C732C9"/>
    <w:multiLevelType w:val="hybridMultilevel"/>
    <w:tmpl w:val="9EF6D45E"/>
    <w:lvl w:ilvl="0" w:tplc="04260011">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nsid w:val="2C207B1A"/>
    <w:multiLevelType w:val="hybridMultilevel"/>
    <w:tmpl w:val="C748AF08"/>
    <w:lvl w:ilvl="0" w:tplc="B978E2B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CA776F"/>
    <w:multiLevelType w:val="hybridMultilevel"/>
    <w:tmpl w:val="9ABCA574"/>
    <w:lvl w:ilvl="0" w:tplc="5344CCCE">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2D0007B7"/>
    <w:multiLevelType w:val="hybridMultilevel"/>
    <w:tmpl w:val="E1925E3C"/>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D1D5EAB"/>
    <w:multiLevelType w:val="hybridMultilevel"/>
    <w:tmpl w:val="C21059F4"/>
    <w:lvl w:ilvl="0" w:tplc="5088E3E0">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F545E31"/>
    <w:multiLevelType w:val="hybridMultilevel"/>
    <w:tmpl w:val="9EF6D4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31B52BD7"/>
    <w:multiLevelType w:val="hybridMultilevel"/>
    <w:tmpl w:val="1D9A0C60"/>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9">
    <w:nsid w:val="32C55D55"/>
    <w:multiLevelType w:val="hybridMultilevel"/>
    <w:tmpl w:val="5596E87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344E4CDF"/>
    <w:multiLevelType w:val="hybridMultilevel"/>
    <w:tmpl w:val="4C8E50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6B922E5"/>
    <w:multiLevelType w:val="hybridMultilevel"/>
    <w:tmpl w:val="E92E1518"/>
    <w:lvl w:ilvl="0" w:tplc="0426000F">
      <w:start w:val="4"/>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22">
    <w:nsid w:val="37631B81"/>
    <w:multiLevelType w:val="hybridMultilevel"/>
    <w:tmpl w:val="DBEA1CBE"/>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3">
    <w:nsid w:val="3855666C"/>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4A531D15"/>
    <w:multiLevelType w:val="multilevel"/>
    <w:tmpl w:val="5596E87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A6013D9"/>
    <w:multiLevelType w:val="hybridMultilevel"/>
    <w:tmpl w:val="55D2CDB0"/>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BCB6EED"/>
    <w:multiLevelType w:val="hybridMultilevel"/>
    <w:tmpl w:val="A69C2078"/>
    <w:lvl w:ilvl="0" w:tplc="0426000F">
      <w:start w:val="1"/>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27">
    <w:nsid w:val="50A05BD0"/>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14A48B0"/>
    <w:multiLevelType w:val="hybridMultilevel"/>
    <w:tmpl w:val="A3C6747E"/>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7370F12"/>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5A0F464B"/>
    <w:multiLevelType w:val="hybridMultilevel"/>
    <w:tmpl w:val="B9A0CD0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1">
    <w:nsid w:val="5CDC3B4F"/>
    <w:multiLevelType w:val="hybridMultilevel"/>
    <w:tmpl w:val="4EE2CAF2"/>
    <w:lvl w:ilvl="0" w:tplc="2DA8DAEA">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60FC6B1C"/>
    <w:multiLevelType w:val="hybridMultilevel"/>
    <w:tmpl w:val="38D80BBA"/>
    <w:lvl w:ilvl="0" w:tplc="A50058FC">
      <w:start w:val="3"/>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33">
    <w:nsid w:val="61680C25"/>
    <w:multiLevelType w:val="hybridMultilevel"/>
    <w:tmpl w:val="C4684EC2"/>
    <w:lvl w:ilvl="0" w:tplc="0426000F">
      <w:start w:val="1"/>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34">
    <w:nsid w:val="6283788A"/>
    <w:multiLevelType w:val="hybridMultilevel"/>
    <w:tmpl w:val="63D44BE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62FB0720"/>
    <w:multiLevelType w:val="hybridMultilevel"/>
    <w:tmpl w:val="0B0C189A"/>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6">
    <w:nsid w:val="6C60778B"/>
    <w:multiLevelType w:val="hybridMultilevel"/>
    <w:tmpl w:val="CC7C39CA"/>
    <w:lvl w:ilvl="0" w:tplc="77E8767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1CF6EC8"/>
    <w:multiLevelType w:val="hybridMultilevel"/>
    <w:tmpl w:val="B1300F68"/>
    <w:lvl w:ilvl="0" w:tplc="36CCB776">
      <w:start w:val="3"/>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72B301B1"/>
    <w:multiLevelType w:val="hybridMultilevel"/>
    <w:tmpl w:val="1308762A"/>
    <w:lvl w:ilvl="0" w:tplc="77E8767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67A6678"/>
    <w:multiLevelType w:val="hybridMultilevel"/>
    <w:tmpl w:val="23E8DF24"/>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7757220E"/>
    <w:multiLevelType w:val="hybridMultilevel"/>
    <w:tmpl w:val="58623FD6"/>
    <w:lvl w:ilvl="0" w:tplc="A50058FC">
      <w:start w:val="3"/>
      <w:numFmt w:val="decimal"/>
      <w:lvlText w:val="%1."/>
      <w:lvlJc w:val="left"/>
      <w:pPr>
        <w:ind w:left="360"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abstractNum w:abstractNumId="41">
    <w:nsid w:val="7C0C21C1"/>
    <w:multiLevelType w:val="hybridMultilevel"/>
    <w:tmpl w:val="90A2403A"/>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7FF40339"/>
    <w:multiLevelType w:val="hybridMultilevel"/>
    <w:tmpl w:val="9EF6D4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31"/>
  </w:num>
  <w:num w:numId="4">
    <w:abstractNumId w:val="25"/>
  </w:num>
  <w:num w:numId="5">
    <w:abstractNumId w:val="18"/>
  </w:num>
  <w:num w:numId="6">
    <w:abstractNumId w:val="28"/>
  </w:num>
  <w:num w:numId="7">
    <w:abstractNumId w:val="26"/>
  </w:num>
  <w:num w:numId="8">
    <w:abstractNumId w:val="35"/>
  </w:num>
  <w:num w:numId="9">
    <w:abstractNumId w:val="29"/>
  </w:num>
  <w:num w:numId="10">
    <w:abstractNumId w:val="12"/>
  </w:num>
  <w:num w:numId="11">
    <w:abstractNumId w:val="15"/>
  </w:num>
  <w:num w:numId="12">
    <w:abstractNumId w:val="37"/>
  </w:num>
  <w:num w:numId="13">
    <w:abstractNumId w:val="5"/>
  </w:num>
  <w:num w:numId="14">
    <w:abstractNumId w:val="39"/>
  </w:num>
  <w:num w:numId="15">
    <w:abstractNumId w:val="4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num>
  <w:num w:numId="19">
    <w:abstractNumId w:val="3"/>
  </w:num>
  <w:num w:numId="20">
    <w:abstractNumId w:val="22"/>
  </w:num>
  <w:num w:numId="21">
    <w:abstractNumId w:val="40"/>
  </w:num>
  <w:num w:numId="22">
    <w:abstractNumId w:val="14"/>
  </w:num>
  <w:num w:numId="23">
    <w:abstractNumId w:val="33"/>
  </w:num>
  <w:num w:numId="24">
    <w:abstractNumId w:val="1"/>
  </w:num>
  <w:num w:numId="25">
    <w:abstractNumId w:val="8"/>
  </w:num>
  <w:num w:numId="26">
    <w:abstractNumId w:val="4"/>
  </w:num>
  <w:num w:numId="27">
    <w:abstractNumId w:val="32"/>
  </w:num>
  <w:num w:numId="28">
    <w:abstractNumId w:val="23"/>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3"/>
  </w:num>
  <w:num w:numId="32">
    <w:abstractNumId w:val="34"/>
  </w:num>
  <w:num w:numId="33">
    <w:abstractNumId w:val="10"/>
  </w:num>
  <w:num w:numId="34">
    <w:abstractNumId w:val="20"/>
  </w:num>
  <w:num w:numId="35">
    <w:abstractNumId w:val="2"/>
  </w:num>
  <w:num w:numId="36">
    <w:abstractNumId w:val="38"/>
  </w:num>
  <w:num w:numId="37">
    <w:abstractNumId w:val="7"/>
  </w:num>
  <w:num w:numId="38">
    <w:abstractNumId w:val="36"/>
  </w:num>
  <w:num w:numId="39">
    <w:abstractNumId w:val="30"/>
  </w:num>
  <w:num w:numId="40">
    <w:abstractNumId w:val="21"/>
  </w:num>
  <w:num w:numId="41">
    <w:abstractNumId w:val="9"/>
  </w:num>
  <w:num w:numId="42">
    <w:abstractNumId w:val="11"/>
  </w:num>
  <w:num w:numId="43">
    <w:abstractNumId w:val="41"/>
  </w:num>
  <w:num w:numId="44">
    <w:abstractNumId w:val="16"/>
  </w:num>
  <w:num w:numId="45">
    <w:abstractNumId w:val="0"/>
  </w:num>
  <w:num w:numId="4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40"/>
    <w:rsid w:val="00003210"/>
    <w:rsid w:val="000066D9"/>
    <w:rsid w:val="00007233"/>
    <w:rsid w:val="00007D53"/>
    <w:rsid w:val="00010525"/>
    <w:rsid w:val="000138B3"/>
    <w:rsid w:val="000159DA"/>
    <w:rsid w:val="000209DD"/>
    <w:rsid w:val="00022354"/>
    <w:rsid w:val="00023507"/>
    <w:rsid w:val="00023B80"/>
    <w:rsid w:val="000326B5"/>
    <w:rsid w:val="00042386"/>
    <w:rsid w:val="00042CBA"/>
    <w:rsid w:val="000433E3"/>
    <w:rsid w:val="00043486"/>
    <w:rsid w:val="00045B4A"/>
    <w:rsid w:val="0004618C"/>
    <w:rsid w:val="000469B6"/>
    <w:rsid w:val="000521EE"/>
    <w:rsid w:val="00055FE9"/>
    <w:rsid w:val="0005731B"/>
    <w:rsid w:val="00061B57"/>
    <w:rsid w:val="00066568"/>
    <w:rsid w:val="00072B42"/>
    <w:rsid w:val="00073709"/>
    <w:rsid w:val="00077AFD"/>
    <w:rsid w:val="00077F36"/>
    <w:rsid w:val="000810B7"/>
    <w:rsid w:val="0008115C"/>
    <w:rsid w:val="00087078"/>
    <w:rsid w:val="000A547B"/>
    <w:rsid w:val="000A6648"/>
    <w:rsid w:val="000B0C40"/>
    <w:rsid w:val="000B6077"/>
    <w:rsid w:val="000C360D"/>
    <w:rsid w:val="000C3BEF"/>
    <w:rsid w:val="000C760A"/>
    <w:rsid w:val="000D02FC"/>
    <w:rsid w:val="000D1C0F"/>
    <w:rsid w:val="000E0A89"/>
    <w:rsid w:val="000E2034"/>
    <w:rsid w:val="000E21C4"/>
    <w:rsid w:val="000E3E6C"/>
    <w:rsid w:val="000F10FD"/>
    <w:rsid w:val="000F25D7"/>
    <w:rsid w:val="000F519C"/>
    <w:rsid w:val="00100BF3"/>
    <w:rsid w:val="00101126"/>
    <w:rsid w:val="001011A9"/>
    <w:rsid w:val="001068D7"/>
    <w:rsid w:val="0010710D"/>
    <w:rsid w:val="00115C2A"/>
    <w:rsid w:val="00117E34"/>
    <w:rsid w:val="0012442E"/>
    <w:rsid w:val="001258C8"/>
    <w:rsid w:val="00125FCF"/>
    <w:rsid w:val="001279F1"/>
    <w:rsid w:val="00132E41"/>
    <w:rsid w:val="00134C5F"/>
    <w:rsid w:val="0013562F"/>
    <w:rsid w:val="00135713"/>
    <w:rsid w:val="0013724B"/>
    <w:rsid w:val="00137542"/>
    <w:rsid w:val="00141D3D"/>
    <w:rsid w:val="00146D9A"/>
    <w:rsid w:val="00146DB7"/>
    <w:rsid w:val="001478B3"/>
    <w:rsid w:val="001510B7"/>
    <w:rsid w:val="00151109"/>
    <w:rsid w:val="00155579"/>
    <w:rsid w:val="00155B98"/>
    <w:rsid w:val="001640B5"/>
    <w:rsid w:val="00172B69"/>
    <w:rsid w:val="0017404D"/>
    <w:rsid w:val="00181DC0"/>
    <w:rsid w:val="0019175C"/>
    <w:rsid w:val="00191B6A"/>
    <w:rsid w:val="001935D1"/>
    <w:rsid w:val="0019380D"/>
    <w:rsid w:val="001955B1"/>
    <w:rsid w:val="001A2632"/>
    <w:rsid w:val="001A3C83"/>
    <w:rsid w:val="001B2D7D"/>
    <w:rsid w:val="001B56A8"/>
    <w:rsid w:val="001C04F1"/>
    <w:rsid w:val="001C7487"/>
    <w:rsid w:val="001C7B78"/>
    <w:rsid w:val="001D0ECF"/>
    <w:rsid w:val="001D0EF3"/>
    <w:rsid w:val="001D478E"/>
    <w:rsid w:val="001D6952"/>
    <w:rsid w:val="001D76F3"/>
    <w:rsid w:val="001E0778"/>
    <w:rsid w:val="001E2072"/>
    <w:rsid w:val="001E3456"/>
    <w:rsid w:val="001E488B"/>
    <w:rsid w:val="001E681A"/>
    <w:rsid w:val="001E7067"/>
    <w:rsid w:val="001E756E"/>
    <w:rsid w:val="001E7DEE"/>
    <w:rsid w:val="001F5830"/>
    <w:rsid w:val="00202722"/>
    <w:rsid w:val="00203D23"/>
    <w:rsid w:val="00215B06"/>
    <w:rsid w:val="00215DAD"/>
    <w:rsid w:val="00223EC0"/>
    <w:rsid w:val="00236190"/>
    <w:rsid w:val="0023789C"/>
    <w:rsid w:val="00241AF6"/>
    <w:rsid w:val="002443BB"/>
    <w:rsid w:val="002444A9"/>
    <w:rsid w:val="00244BC3"/>
    <w:rsid w:val="00245CA1"/>
    <w:rsid w:val="00250C83"/>
    <w:rsid w:val="00251E11"/>
    <w:rsid w:val="002549A0"/>
    <w:rsid w:val="00254B9F"/>
    <w:rsid w:val="00257745"/>
    <w:rsid w:val="00257780"/>
    <w:rsid w:val="002608A3"/>
    <w:rsid w:val="0026353A"/>
    <w:rsid w:val="0026410E"/>
    <w:rsid w:val="00267378"/>
    <w:rsid w:val="00270625"/>
    <w:rsid w:val="00272D31"/>
    <w:rsid w:val="0027306E"/>
    <w:rsid w:val="00274002"/>
    <w:rsid w:val="00275D3B"/>
    <w:rsid w:val="002766CD"/>
    <w:rsid w:val="00277BAD"/>
    <w:rsid w:val="002816EE"/>
    <w:rsid w:val="002823C1"/>
    <w:rsid w:val="00283939"/>
    <w:rsid w:val="00283D6C"/>
    <w:rsid w:val="00284526"/>
    <w:rsid w:val="00284CBB"/>
    <w:rsid w:val="00284D60"/>
    <w:rsid w:val="00284F69"/>
    <w:rsid w:val="002858F3"/>
    <w:rsid w:val="00285FFC"/>
    <w:rsid w:val="002905F1"/>
    <w:rsid w:val="0029721D"/>
    <w:rsid w:val="002A0BD3"/>
    <w:rsid w:val="002A1C4C"/>
    <w:rsid w:val="002A3C47"/>
    <w:rsid w:val="002A5A8A"/>
    <w:rsid w:val="002A7B4B"/>
    <w:rsid w:val="002B1CC3"/>
    <w:rsid w:val="002B5FCC"/>
    <w:rsid w:val="002C0C3B"/>
    <w:rsid w:val="002C0E5F"/>
    <w:rsid w:val="002C4DF2"/>
    <w:rsid w:val="002C54EA"/>
    <w:rsid w:val="002C7886"/>
    <w:rsid w:val="002D1D0B"/>
    <w:rsid w:val="002D4CE0"/>
    <w:rsid w:val="002D5C91"/>
    <w:rsid w:val="002D77D5"/>
    <w:rsid w:val="002E6605"/>
    <w:rsid w:val="002F193B"/>
    <w:rsid w:val="002F29ED"/>
    <w:rsid w:val="002F3418"/>
    <w:rsid w:val="002F6481"/>
    <w:rsid w:val="00300252"/>
    <w:rsid w:val="0030186F"/>
    <w:rsid w:val="00303B83"/>
    <w:rsid w:val="003057A5"/>
    <w:rsid w:val="00305D5B"/>
    <w:rsid w:val="00310C89"/>
    <w:rsid w:val="00314191"/>
    <w:rsid w:val="003162A0"/>
    <w:rsid w:val="003241E9"/>
    <w:rsid w:val="00324729"/>
    <w:rsid w:val="003260D5"/>
    <w:rsid w:val="00330D2C"/>
    <w:rsid w:val="00336919"/>
    <w:rsid w:val="003370BD"/>
    <w:rsid w:val="00337948"/>
    <w:rsid w:val="00340864"/>
    <w:rsid w:val="003430A2"/>
    <w:rsid w:val="00344299"/>
    <w:rsid w:val="0035113C"/>
    <w:rsid w:val="00351F45"/>
    <w:rsid w:val="003535EB"/>
    <w:rsid w:val="003540B9"/>
    <w:rsid w:val="00354450"/>
    <w:rsid w:val="00355F9B"/>
    <w:rsid w:val="003642E0"/>
    <w:rsid w:val="00365D55"/>
    <w:rsid w:val="00374842"/>
    <w:rsid w:val="00380014"/>
    <w:rsid w:val="0038046F"/>
    <w:rsid w:val="00384B61"/>
    <w:rsid w:val="00385715"/>
    <w:rsid w:val="00386CCC"/>
    <w:rsid w:val="00387424"/>
    <w:rsid w:val="00390F81"/>
    <w:rsid w:val="003919C7"/>
    <w:rsid w:val="00393285"/>
    <w:rsid w:val="0039440C"/>
    <w:rsid w:val="0039562F"/>
    <w:rsid w:val="003A3227"/>
    <w:rsid w:val="003A6FD0"/>
    <w:rsid w:val="003C2D1C"/>
    <w:rsid w:val="003C779E"/>
    <w:rsid w:val="003C7E47"/>
    <w:rsid w:val="003D094A"/>
    <w:rsid w:val="003D0B5C"/>
    <w:rsid w:val="003D688E"/>
    <w:rsid w:val="003E3161"/>
    <w:rsid w:val="003E5DC2"/>
    <w:rsid w:val="003F0F8C"/>
    <w:rsid w:val="003F114D"/>
    <w:rsid w:val="003F19BC"/>
    <w:rsid w:val="003F2BE8"/>
    <w:rsid w:val="003F4977"/>
    <w:rsid w:val="003F5DE9"/>
    <w:rsid w:val="003F6B5E"/>
    <w:rsid w:val="004005B7"/>
    <w:rsid w:val="00403DF1"/>
    <w:rsid w:val="00407D9E"/>
    <w:rsid w:val="0041208C"/>
    <w:rsid w:val="004140D0"/>
    <w:rsid w:val="00420EC9"/>
    <w:rsid w:val="00420FB2"/>
    <w:rsid w:val="004215BF"/>
    <w:rsid w:val="00421EE1"/>
    <w:rsid w:val="00425476"/>
    <w:rsid w:val="00426185"/>
    <w:rsid w:val="004264A3"/>
    <w:rsid w:val="00433270"/>
    <w:rsid w:val="00435792"/>
    <w:rsid w:val="0043646D"/>
    <w:rsid w:val="00441556"/>
    <w:rsid w:val="00441F69"/>
    <w:rsid w:val="0044260F"/>
    <w:rsid w:val="00443442"/>
    <w:rsid w:val="00444EC9"/>
    <w:rsid w:val="0044745A"/>
    <w:rsid w:val="00450739"/>
    <w:rsid w:val="0045102A"/>
    <w:rsid w:val="00460B61"/>
    <w:rsid w:val="004629D9"/>
    <w:rsid w:val="00470BDB"/>
    <w:rsid w:val="004711C3"/>
    <w:rsid w:val="0047182C"/>
    <w:rsid w:val="0047333A"/>
    <w:rsid w:val="00477F68"/>
    <w:rsid w:val="00481451"/>
    <w:rsid w:val="004821DB"/>
    <w:rsid w:val="0048528B"/>
    <w:rsid w:val="0048642C"/>
    <w:rsid w:val="00490136"/>
    <w:rsid w:val="00491968"/>
    <w:rsid w:val="00491F1D"/>
    <w:rsid w:val="00496516"/>
    <w:rsid w:val="004A147C"/>
    <w:rsid w:val="004A4664"/>
    <w:rsid w:val="004A52E0"/>
    <w:rsid w:val="004A6A53"/>
    <w:rsid w:val="004B19DD"/>
    <w:rsid w:val="004B387F"/>
    <w:rsid w:val="004C3E1F"/>
    <w:rsid w:val="004C4552"/>
    <w:rsid w:val="004C47B7"/>
    <w:rsid w:val="004D7203"/>
    <w:rsid w:val="004E031A"/>
    <w:rsid w:val="004E2760"/>
    <w:rsid w:val="004E295B"/>
    <w:rsid w:val="004E2EB0"/>
    <w:rsid w:val="004E44D1"/>
    <w:rsid w:val="004F0A90"/>
    <w:rsid w:val="004F18DE"/>
    <w:rsid w:val="004F2069"/>
    <w:rsid w:val="004F4F45"/>
    <w:rsid w:val="004F5665"/>
    <w:rsid w:val="005037FE"/>
    <w:rsid w:val="00504316"/>
    <w:rsid w:val="0050478D"/>
    <w:rsid w:val="00506AEE"/>
    <w:rsid w:val="005077AC"/>
    <w:rsid w:val="00510790"/>
    <w:rsid w:val="00511D02"/>
    <w:rsid w:val="00511F43"/>
    <w:rsid w:val="00512A70"/>
    <w:rsid w:val="005209D0"/>
    <w:rsid w:val="00521EA9"/>
    <w:rsid w:val="0052652F"/>
    <w:rsid w:val="00527B23"/>
    <w:rsid w:val="00531567"/>
    <w:rsid w:val="00531843"/>
    <w:rsid w:val="00536C48"/>
    <w:rsid w:val="005370AA"/>
    <w:rsid w:val="005379B1"/>
    <w:rsid w:val="005451B1"/>
    <w:rsid w:val="00545C46"/>
    <w:rsid w:val="00547F7B"/>
    <w:rsid w:val="005500EB"/>
    <w:rsid w:val="005505C3"/>
    <w:rsid w:val="00552864"/>
    <w:rsid w:val="00554FFF"/>
    <w:rsid w:val="005554A5"/>
    <w:rsid w:val="0055563C"/>
    <w:rsid w:val="00556933"/>
    <w:rsid w:val="00573467"/>
    <w:rsid w:val="0057367D"/>
    <w:rsid w:val="00574153"/>
    <w:rsid w:val="005752D5"/>
    <w:rsid w:val="005765AB"/>
    <w:rsid w:val="0057730D"/>
    <w:rsid w:val="00581324"/>
    <w:rsid w:val="00581A99"/>
    <w:rsid w:val="00587C96"/>
    <w:rsid w:val="005913E9"/>
    <w:rsid w:val="005918B3"/>
    <w:rsid w:val="00593D72"/>
    <w:rsid w:val="005979DB"/>
    <w:rsid w:val="00597F9B"/>
    <w:rsid w:val="005A699B"/>
    <w:rsid w:val="005B1FFB"/>
    <w:rsid w:val="005B617D"/>
    <w:rsid w:val="005D3738"/>
    <w:rsid w:val="005D3CB1"/>
    <w:rsid w:val="005D5246"/>
    <w:rsid w:val="005D7F4E"/>
    <w:rsid w:val="005E36B5"/>
    <w:rsid w:val="005E6583"/>
    <w:rsid w:val="005E76CF"/>
    <w:rsid w:val="005F1732"/>
    <w:rsid w:val="005F2EE1"/>
    <w:rsid w:val="005F2FCB"/>
    <w:rsid w:val="006069CD"/>
    <w:rsid w:val="006076C9"/>
    <w:rsid w:val="006203AB"/>
    <w:rsid w:val="00620FBD"/>
    <w:rsid w:val="00621D37"/>
    <w:rsid w:val="00623BB5"/>
    <w:rsid w:val="00624133"/>
    <w:rsid w:val="00624E63"/>
    <w:rsid w:val="00625192"/>
    <w:rsid w:val="00627A48"/>
    <w:rsid w:val="00631EFF"/>
    <w:rsid w:val="0063310A"/>
    <w:rsid w:val="0063410D"/>
    <w:rsid w:val="00636683"/>
    <w:rsid w:val="00643001"/>
    <w:rsid w:val="006440DF"/>
    <w:rsid w:val="00645379"/>
    <w:rsid w:val="00646415"/>
    <w:rsid w:val="006605C8"/>
    <w:rsid w:val="006623F0"/>
    <w:rsid w:val="00663A08"/>
    <w:rsid w:val="00667CFB"/>
    <w:rsid w:val="0067439E"/>
    <w:rsid w:val="0067689E"/>
    <w:rsid w:val="0068018F"/>
    <w:rsid w:val="006802A2"/>
    <w:rsid w:val="00680FCF"/>
    <w:rsid w:val="00687E48"/>
    <w:rsid w:val="0069078F"/>
    <w:rsid w:val="00691D40"/>
    <w:rsid w:val="00692B35"/>
    <w:rsid w:val="0069718B"/>
    <w:rsid w:val="006A2354"/>
    <w:rsid w:val="006B0A27"/>
    <w:rsid w:val="006B2336"/>
    <w:rsid w:val="006B2BAE"/>
    <w:rsid w:val="006B2F4B"/>
    <w:rsid w:val="006B63DE"/>
    <w:rsid w:val="006C07BE"/>
    <w:rsid w:val="006C121A"/>
    <w:rsid w:val="006C1C07"/>
    <w:rsid w:val="006C5084"/>
    <w:rsid w:val="006D013A"/>
    <w:rsid w:val="006D2668"/>
    <w:rsid w:val="006D36D5"/>
    <w:rsid w:val="006D445A"/>
    <w:rsid w:val="006D5D87"/>
    <w:rsid w:val="006E0B2C"/>
    <w:rsid w:val="006E7704"/>
    <w:rsid w:val="006F7B3A"/>
    <w:rsid w:val="0070016C"/>
    <w:rsid w:val="00701D2A"/>
    <w:rsid w:val="007026E9"/>
    <w:rsid w:val="007078DA"/>
    <w:rsid w:val="00707EFE"/>
    <w:rsid w:val="0071206E"/>
    <w:rsid w:val="00713A30"/>
    <w:rsid w:val="0072143F"/>
    <w:rsid w:val="00730975"/>
    <w:rsid w:val="00731860"/>
    <w:rsid w:val="00737BB7"/>
    <w:rsid w:val="007411C7"/>
    <w:rsid w:val="00741402"/>
    <w:rsid w:val="0074243B"/>
    <w:rsid w:val="00742E4B"/>
    <w:rsid w:val="00743CF4"/>
    <w:rsid w:val="00756D73"/>
    <w:rsid w:val="00760CDD"/>
    <w:rsid w:val="00763D2C"/>
    <w:rsid w:val="00765B0A"/>
    <w:rsid w:val="00766F46"/>
    <w:rsid w:val="00767AB3"/>
    <w:rsid w:val="007705FA"/>
    <w:rsid w:val="007706F7"/>
    <w:rsid w:val="0077389E"/>
    <w:rsid w:val="00774D38"/>
    <w:rsid w:val="00775F4C"/>
    <w:rsid w:val="00781E03"/>
    <w:rsid w:val="007830BB"/>
    <w:rsid w:val="0078368A"/>
    <w:rsid w:val="00785382"/>
    <w:rsid w:val="0078768F"/>
    <w:rsid w:val="00792769"/>
    <w:rsid w:val="00794101"/>
    <w:rsid w:val="007A3A3C"/>
    <w:rsid w:val="007A3BD7"/>
    <w:rsid w:val="007B0A1E"/>
    <w:rsid w:val="007B2D2F"/>
    <w:rsid w:val="007B302C"/>
    <w:rsid w:val="007B4633"/>
    <w:rsid w:val="007C1954"/>
    <w:rsid w:val="007C2401"/>
    <w:rsid w:val="007C482D"/>
    <w:rsid w:val="007C5F16"/>
    <w:rsid w:val="007C6202"/>
    <w:rsid w:val="007D58A8"/>
    <w:rsid w:val="007E0025"/>
    <w:rsid w:val="007E3140"/>
    <w:rsid w:val="007E3DC2"/>
    <w:rsid w:val="007E7B6A"/>
    <w:rsid w:val="007F04C1"/>
    <w:rsid w:val="007F0B12"/>
    <w:rsid w:val="007F210B"/>
    <w:rsid w:val="007F42E3"/>
    <w:rsid w:val="007F4485"/>
    <w:rsid w:val="00801B52"/>
    <w:rsid w:val="0080392C"/>
    <w:rsid w:val="00804218"/>
    <w:rsid w:val="00804BF3"/>
    <w:rsid w:val="008051F3"/>
    <w:rsid w:val="00806A74"/>
    <w:rsid w:val="00806BFA"/>
    <w:rsid w:val="00811232"/>
    <w:rsid w:val="00813A43"/>
    <w:rsid w:val="008165A4"/>
    <w:rsid w:val="0081751B"/>
    <w:rsid w:val="00821CE7"/>
    <w:rsid w:val="00827A7B"/>
    <w:rsid w:val="0083485E"/>
    <w:rsid w:val="0083602C"/>
    <w:rsid w:val="00837A9B"/>
    <w:rsid w:val="00842248"/>
    <w:rsid w:val="00845A73"/>
    <w:rsid w:val="008472AB"/>
    <w:rsid w:val="00847B62"/>
    <w:rsid w:val="0085077E"/>
    <w:rsid w:val="008570E1"/>
    <w:rsid w:val="0086059E"/>
    <w:rsid w:val="008620EA"/>
    <w:rsid w:val="00862827"/>
    <w:rsid w:val="00863164"/>
    <w:rsid w:val="00863639"/>
    <w:rsid w:val="00874198"/>
    <w:rsid w:val="008766AF"/>
    <w:rsid w:val="00876E63"/>
    <w:rsid w:val="00880339"/>
    <w:rsid w:val="00881B16"/>
    <w:rsid w:val="00881D4B"/>
    <w:rsid w:val="00885668"/>
    <w:rsid w:val="008A12ED"/>
    <w:rsid w:val="008A5C90"/>
    <w:rsid w:val="008A7476"/>
    <w:rsid w:val="008B0ABC"/>
    <w:rsid w:val="008B43D8"/>
    <w:rsid w:val="008B4E34"/>
    <w:rsid w:val="008B6D72"/>
    <w:rsid w:val="008B7E8A"/>
    <w:rsid w:val="008C5787"/>
    <w:rsid w:val="008C611C"/>
    <w:rsid w:val="008C7B3B"/>
    <w:rsid w:val="008D1673"/>
    <w:rsid w:val="008D1839"/>
    <w:rsid w:val="008E22A1"/>
    <w:rsid w:val="008E2E46"/>
    <w:rsid w:val="008E55DB"/>
    <w:rsid w:val="008E7347"/>
    <w:rsid w:val="008F018F"/>
    <w:rsid w:val="008F25A5"/>
    <w:rsid w:val="008F278C"/>
    <w:rsid w:val="008F2F38"/>
    <w:rsid w:val="008F409D"/>
    <w:rsid w:val="008F4DB2"/>
    <w:rsid w:val="008F5D6D"/>
    <w:rsid w:val="009037CE"/>
    <w:rsid w:val="0091328F"/>
    <w:rsid w:val="00914B85"/>
    <w:rsid w:val="00917404"/>
    <w:rsid w:val="00917C42"/>
    <w:rsid w:val="00923EE7"/>
    <w:rsid w:val="00927BAB"/>
    <w:rsid w:val="009300CC"/>
    <w:rsid w:val="0093368C"/>
    <w:rsid w:val="009444F5"/>
    <w:rsid w:val="0095173B"/>
    <w:rsid w:val="0095208A"/>
    <w:rsid w:val="009564EE"/>
    <w:rsid w:val="009574B1"/>
    <w:rsid w:val="009619BA"/>
    <w:rsid w:val="00962AA0"/>
    <w:rsid w:val="0096434B"/>
    <w:rsid w:val="00965E11"/>
    <w:rsid w:val="00973E31"/>
    <w:rsid w:val="00974DED"/>
    <w:rsid w:val="00977CC7"/>
    <w:rsid w:val="009811AB"/>
    <w:rsid w:val="009868F8"/>
    <w:rsid w:val="0099167D"/>
    <w:rsid w:val="009921BF"/>
    <w:rsid w:val="009922E0"/>
    <w:rsid w:val="00992D88"/>
    <w:rsid w:val="00994C88"/>
    <w:rsid w:val="0099551A"/>
    <w:rsid w:val="009A2A64"/>
    <w:rsid w:val="009A6BB7"/>
    <w:rsid w:val="009A6D92"/>
    <w:rsid w:val="009A739C"/>
    <w:rsid w:val="009A7AFE"/>
    <w:rsid w:val="009B1269"/>
    <w:rsid w:val="009B3758"/>
    <w:rsid w:val="009C2497"/>
    <w:rsid w:val="009C3DAF"/>
    <w:rsid w:val="009C5CA0"/>
    <w:rsid w:val="009D19F7"/>
    <w:rsid w:val="009D7A0E"/>
    <w:rsid w:val="009D7CDC"/>
    <w:rsid w:val="009E0337"/>
    <w:rsid w:val="009E3495"/>
    <w:rsid w:val="009E38C1"/>
    <w:rsid w:val="009E6887"/>
    <w:rsid w:val="009F0742"/>
    <w:rsid w:val="009F09FF"/>
    <w:rsid w:val="009F3104"/>
    <w:rsid w:val="009F32C2"/>
    <w:rsid w:val="009F5230"/>
    <w:rsid w:val="009F78A5"/>
    <w:rsid w:val="00A022C9"/>
    <w:rsid w:val="00A05481"/>
    <w:rsid w:val="00A06391"/>
    <w:rsid w:val="00A1544F"/>
    <w:rsid w:val="00A1707A"/>
    <w:rsid w:val="00A17B86"/>
    <w:rsid w:val="00A209A2"/>
    <w:rsid w:val="00A2339D"/>
    <w:rsid w:val="00A30E69"/>
    <w:rsid w:val="00A359BF"/>
    <w:rsid w:val="00A35D37"/>
    <w:rsid w:val="00A35ED4"/>
    <w:rsid w:val="00A3785B"/>
    <w:rsid w:val="00A37DA0"/>
    <w:rsid w:val="00A4054B"/>
    <w:rsid w:val="00A42E75"/>
    <w:rsid w:val="00A4319D"/>
    <w:rsid w:val="00A436BF"/>
    <w:rsid w:val="00A4453E"/>
    <w:rsid w:val="00A56291"/>
    <w:rsid w:val="00A65798"/>
    <w:rsid w:val="00A669F7"/>
    <w:rsid w:val="00A66AB6"/>
    <w:rsid w:val="00A71B55"/>
    <w:rsid w:val="00A72C4B"/>
    <w:rsid w:val="00A76DFA"/>
    <w:rsid w:val="00A77542"/>
    <w:rsid w:val="00A8206E"/>
    <w:rsid w:val="00A85DB9"/>
    <w:rsid w:val="00A85DE8"/>
    <w:rsid w:val="00A87D05"/>
    <w:rsid w:val="00A96FA8"/>
    <w:rsid w:val="00A975E2"/>
    <w:rsid w:val="00A97A6C"/>
    <w:rsid w:val="00AA0BD5"/>
    <w:rsid w:val="00AA1C02"/>
    <w:rsid w:val="00AA21ED"/>
    <w:rsid w:val="00AA2D1E"/>
    <w:rsid w:val="00AA5A03"/>
    <w:rsid w:val="00AA76B9"/>
    <w:rsid w:val="00AB3DB7"/>
    <w:rsid w:val="00AB7B38"/>
    <w:rsid w:val="00AC2A34"/>
    <w:rsid w:val="00AD58D9"/>
    <w:rsid w:val="00AE64CF"/>
    <w:rsid w:val="00AE7D86"/>
    <w:rsid w:val="00AF7EAF"/>
    <w:rsid w:val="00B00BEF"/>
    <w:rsid w:val="00B02C21"/>
    <w:rsid w:val="00B04F8D"/>
    <w:rsid w:val="00B07F80"/>
    <w:rsid w:val="00B10D93"/>
    <w:rsid w:val="00B134BB"/>
    <w:rsid w:val="00B14FC3"/>
    <w:rsid w:val="00B150E8"/>
    <w:rsid w:val="00B31F5D"/>
    <w:rsid w:val="00B32975"/>
    <w:rsid w:val="00B342DF"/>
    <w:rsid w:val="00B36B63"/>
    <w:rsid w:val="00B374B2"/>
    <w:rsid w:val="00B434BA"/>
    <w:rsid w:val="00B47FA5"/>
    <w:rsid w:val="00B5071C"/>
    <w:rsid w:val="00B56827"/>
    <w:rsid w:val="00B63A35"/>
    <w:rsid w:val="00B64972"/>
    <w:rsid w:val="00B73490"/>
    <w:rsid w:val="00B80682"/>
    <w:rsid w:val="00B826D0"/>
    <w:rsid w:val="00B83C0B"/>
    <w:rsid w:val="00B85D79"/>
    <w:rsid w:val="00B947EB"/>
    <w:rsid w:val="00B970FB"/>
    <w:rsid w:val="00BA1019"/>
    <w:rsid w:val="00BA455D"/>
    <w:rsid w:val="00BA53BA"/>
    <w:rsid w:val="00BB0779"/>
    <w:rsid w:val="00BB0F45"/>
    <w:rsid w:val="00BB26C9"/>
    <w:rsid w:val="00BB4703"/>
    <w:rsid w:val="00BB5297"/>
    <w:rsid w:val="00BC067C"/>
    <w:rsid w:val="00BC39B2"/>
    <w:rsid w:val="00BC3E3B"/>
    <w:rsid w:val="00BD013C"/>
    <w:rsid w:val="00BD27FB"/>
    <w:rsid w:val="00BD3092"/>
    <w:rsid w:val="00BD3262"/>
    <w:rsid w:val="00BE00D7"/>
    <w:rsid w:val="00BE5A09"/>
    <w:rsid w:val="00BE673C"/>
    <w:rsid w:val="00BF14A0"/>
    <w:rsid w:val="00C0014E"/>
    <w:rsid w:val="00C022D3"/>
    <w:rsid w:val="00C03291"/>
    <w:rsid w:val="00C04351"/>
    <w:rsid w:val="00C0672A"/>
    <w:rsid w:val="00C10A76"/>
    <w:rsid w:val="00C10DCB"/>
    <w:rsid w:val="00C11906"/>
    <w:rsid w:val="00C13376"/>
    <w:rsid w:val="00C15BE9"/>
    <w:rsid w:val="00C21012"/>
    <w:rsid w:val="00C2117C"/>
    <w:rsid w:val="00C213F0"/>
    <w:rsid w:val="00C2333B"/>
    <w:rsid w:val="00C252FB"/>
    <w:rsid w:val="00C26239"/>
    <w:rsid w:val="00C27686"/>
    <w:rsid w:val="00C3365A"/>
    <w:rsid w:val="00C33BF5"/>
    <w:rsid w:val="00C340B0"/>
    <w:rsid w:val="00C34C61"/>
    <w:rsid w:val="00C36A7D"/>
    <w:rsid w:val="00C40B95"/>
    <w:rsid w:val="00C41261"/>
    <w:rsid w:val="00C41E1E"/>
    <w:rsid w:val="00C60300"/>
    <w:rsid w:val="00C65134"/>
    <w:rsid w:val="00C677FB"/>
    <w:rsid w:val="00C70F26"/>
    <w:rsid w:val="00C730DB"/>
    <w:rsid w:val="00C754A4"/>
    <w:rsid w:val="00C7618C"/>
    <w:rsid w:val="00C76FDC"/>
    <w:rsid w:val="00C807F6"/>
    <w:rsid w:val="00C81614"/>
    <w:rsid w:val="00C820A7"/>
    <w:rsid w:val="00C85059"/>
    <w:rsid w:val="00C932DA"/>
    <w:rsid w:val="00C95B2F"/>
    <w:rsid w:val="00C979FE"/>
    <w:rsid w:val="00CA13AE"/>
    <w:rsid w:val="00CA32CF"/>
    <w:rsid w:val="00CA59D5"/>
    <w:rsid w:val="00CA6969"/>
    <w:rsid w:val="00CB1F2F"/>
    <w:rsid w:val="00CB53B5"/>
    <w:rsid w:val="00CB647C"/>
    <w:rsid w:val="00CC23A9"/>
    <w:rsid w:val="00CD0AF0"/>
    <w:rsid w:val="00CD276C"/>
    <w:rsid w:val="00CD3669"/>
    <w:rsid w:val="00CD439F"/>
    <w:rsid w:val="00CD4D8D"/>
    <w:rsid w:val="00CE1BDE"/>
    <w:rsid w:val="00CE49AA"/>
    <w:rsid w:val="00CE4AB2"/>
    <w:rsid w:val="00CE570D"/>
    <w:rsid w:val="00CF182F"/>
    <w:rsid w:val="00CF2981"/>
    <w:rsid w:val="00CF57E0"/>
    <w:rsid w:val="00CF61F2"/>
    <w:rsid w:val="00CF6954"/>
    <w:rsid w:val="00D01FAE"/>
    <w:rsid w:val="00D022D7"/>
    <w:rsid w:val="00D02457"/>
    <w:rsid w:val="00D0776C"/>
    <w:rsid w:val="00D1177F"/>
    <w:rsid w:val="00D11FC4"/>
    <w:rsid w:val="00D13FBA"/>
    <w:rsid w:val="00D249B7"/>
    <w:rsid w:val="00D25842"/>
    <w:rsid w:val="00D31C3A"/>
    <w:rsid w:val="00D35485"/>
    <w:rsid w:val="00D4032A"/>
    <w:rsid w:val="00D4232E"/>
    <w:rsid w:val="00D508D9"/>
    <w:rsid w:val="00D511E4"/>
    <w:rsid w:val="00D5194C"/>
    <w:rsid w:val="00D537ED"/>
    <w:rsid w:val="00D56CA0"/>
    <w:rsid w:val="00D61192"/>
    <w:rsid w:val="00D6205C"/>
    <w:rsid w:val="00D67BAF"/>
    <w:rsid w:val="00D77BC3"/>
    <w:rsid w:val="00D826BE"/>
    <w:rsid w:val="00D83E0E"/>
    <w:rsid w:val="00D938F6"/>
    <w:rsid w:val="00D93F07"/>
    <w:rsid w:val="00D93FE4"/>
    <w:rsid w:val="00DA4754"/>
    <w:rsid w:val="00DA552E"/>
    <w:rsid w:val="00DA6D2F"/>
    <w:rsid w:val="00DA6D5C"/>
    <w:rsid w:val="00DB03CD"/>
    <w:rsid w:val="00DB1992"/>
    <w:rsid w:val="00DB6AF6"/>
    <w:rsid w:val="00DB7DB7"/>
    <w:rsid w:val="00DC3584"/>
    <w:rsid w:val="00DC3D8F"/>
    <w:rsid w:val="00DD56D8"/>
    <w:rsid w:val="00DD56E0"/>
    <w:rsid w:val="00DD5D34"/>
    <w:rsid w:val="00DE2656"/>
    <w:rsid w:val="00DE5BBB"/>
    <w:rsid w:val="00DF07B8"/>
    <w:rsid w:val="00DF49EC"/>
    <w:rsid w:val="00DF79D2"/>
    <w:rsid w:val="00E031B9"/>
    <w:rsid w:val="00E110A5"/>
    <w:rsid w:val="00E13562"/>
    <w:rsid w:val="00E17FA1"/>
    <w:rsid w:val="00E17FE6"/>
    <w:rsid w:val="00E21B52"/>
    <w:rsid w:val="00E251D8"/>
    <w:rsid w:val="00E256C1"/>
    <w:rsid w:val="00E25FA8"/>
    <w:rsid w:val="00E30113"/>
    <w:rsid w:val="00E34EC4"/>
    <w:rsid w:val="00E35849"/>
    <w:rsid w:val="00E36C33"/>
    <w:rsid w:val="00E37B7B"/>
    <w:rsid w:val="00E407BB"/>
    <w:rsid w:val="00E40B84"/>
    <w:rsid w:val="00E5119D"/>
    <w:rsid w:val="00E53692"/>
    <w:rsid w:val="00E64AFB"/>
    <w:rsid w:val="00E66FA1"/>
    <w:rsid w:val="00E67239"/>
    <w:rsid w:val="00E67305"/>
    <w:rsid w:val="00E7165C"/>
    <w:rsid w:val="00E72A1B"/>
    <w:rsid w:val="00E73196"/>
    <w:rsid w:val="00E759D1"/>
    <w:rsid w:val="00E815BE"/>
    <w:rsid w:val="00E83239"/>
    <w:rsid w:val="00E84018"/>
    <w:rsid w:val="00E8729F"/>
    <w:rsid w:val="00E8760C"/>
    <w:rsid w:val="00E90549"/>
    <w:rsid w:val="00E93DEB"/>
    <w:rsid w:val="00E96BD7"/>
    <w:rsid w:val="00EA4D88"/>
    <w:rsid w:val="00EA4FDF"/>
    <w:rsid w:val="00EA788C"/>
    <w:rsid w:val="00EB15A2"/>
    <w:rsid w:val="00EB1D66"/>
    <w:rsid w:val="00EB1F2E"/>
    <w:rsid w:val="00EB25A5"/>
    <w:rsid w:val="00EB496A"/>
    <w:rsid w:val="00EC5EE3"/>
    <w:rsid w:val="00EC70CD"/>
    <w:rsid w:val="00EC7A93"/>
    <w:rsid w:val="00ED0621"/>
    <w:rsid w:val="00ED6F97"/>
    <w:rsid w:val="00ED7A0B"/>
    <w:rsid w:val="00EE0EB3"/>
    <w:rsid w:val="00EE39E4"/>
    <w:rsid w:val="00EE674D"/>
    <w:rsid w:val="00EF043B"/>
    <w:rsid w:val="00EF0823"/>
    <w:rsid w:val="00EF0E63"/>
    <w:rsid w:val="00EF3F87"/>
    <w:rsid w:val="00EF6610"/>
    <w:rsid w:val="00EF6AE0"/>
    <w:rsid w:val="00EF6EB7"/>
    <w:rsid w:val="00F017D1"/>
    <w:rsid w:val="00F11802"/>
    <w:rsid w:val="00F12C20"/>
    <w:rsid w:val="00F16B97"/>
    <w:rsid w:val="00F204D1"/>
    <w:rsid w:val="00F2343E"/>
    <w:rsid w:val="00F250FA"/>
    <w:rsid w:val="00F31A5C"/>
    <w:rsid w:val="00F3585E"/>
    <w:rsid w:val="00F365CE"/>
    <w:rsid w:val="00F50733"/>
    <w:rsid w:val="00F55199"/>
    <w:rsid w:val="00F57932"/>
    <w:rsid w:val="00F6231D"/>
    <w:rsid w:val="00F6473B"/>
    <w:rsid w:val="00F6662F"/>
    <w:rsid w:val="00F751B7"/>
    <w:rsid w:val="00F81FDB"/>
    <w:rsid w:val="00F836DF"/>
    <w:rsid w:val="00F84572"/>
    <w:rsid w:val="00F87213"/>
    <w:rsid w:val="00F87CD1"/>
    <w:rsid w:val="00F91C8F"/>
    <w:rsid w:val="00F96D38"/>
    <w:rsid w:val="00FA1F7F"/>
    <w:rsid w:val="00FA42DD"/>
    <w:rsid w:val="00FA5511"/>
    <w:rsid w:val="00FA6E6F"/>
    <w:rsid w:val="00FC11D8"/>
    <w:rsid w:val="00FC1CB5"/>
    <w:rsid w:val="00FC2210"/>
    <w:rsid w:val="00FC28CC"/>
    <w:rsid w:val="00FD1AD6"/>
    <w:rsid w:val="00FD299A"/>
    <w:rsid w:val="00FD336A"/>
    <w:rsid w:val="00FD3EE4"/>
    <w:rsid w:val="00FD6C82"/>
    <w:rsid w:val="00FE40E6"/>
    <w:rsid w:val="00FE79C8"/>
    <w:rsid w:val="00FE7FB8"/>
    <w:rsid w:val="00FF1D83"/>
    <w:rsid w:val="00FF3733"/>
    <w:rsid w:val="00FF3DE0"/>
    <w:rsid w:val="00FF4300"/>
    <w:rsid w:val="00FF5082"/>
    <w:rsid w:val="00FF7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40"/>
    <w:pPr>
      <w:spacing w:after="0" w:line="240" w:lineRule="auto"/>
    </w:pPr>
    <w:rPr>
      <w:rFonts w:ascii="Times New Roman" w:hAnsi="Times New Roman" w:cs="Times New Roman"/>
      <w:sz w:val="24"/>
      <w:szCs w:val="24"/>
      <w:lang w:val="en-GB"/>
    </w:rPr>
  </w:style>
  <w:style w:type="paragraph" w:styleId="Heading3">
    <w:name w:val="heading 3"/>
    <w:basedOn w:val="Normal"/>
    <w:link w:val="Heading3Char"/>
    <w:uiPriority w:val="99"/>
    <w:qFormat/>
    <w:rsid w:val="000B0C40"/>
    <w:pPr>
      <w:keepNext/>
      <w:spacing w:after="120"/>
      <w:jc w:val="both"/>
      <w:outlineLvl w:val="2"/>
    </w:pPr>
    <w:rPr>
      <w:sz w:val="28"/>
      <w:szCs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0C40"/>
    <w:rPr>
      <w:rFonts w:ascii="Times New Roman" w:hAnsi="Times New Roman" w:cs="Times New Roman"/>
      <w:sz w:val="28"/>
      <w:szCs w:val="28"/>
      <w:lang w:val="x-none" w:eastAsia="lv-LV"/>
    </w:rPr>
  </w:style>
  <w:style w:type="paragraph" w:styleId="BalloonText">
    <w:name w:val="Balloon Text"/>
    <w:basedOn w:val="Normal"/>
    <w:link w:val="BalloonTextChar"/>
    <w:uiPriority w:val="99"/>
    <w:semiHidden/>
    <w:rsid w:val="00E031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1B9"/>
    <w:rPr>
      <w:rFonts w:ascii="Tahoma" w:hAnsi="Tahoma" w:cs="Tahoma"/>
      <w:sz w:val="16"/>
      <w:szCs w:val="16"/>
      <w:lang w:val="en-GB" w:eastAsia="lv-LV"/>
    </w:rPr>
  </w:style>
  <w:style w:type="character" w:styleId="Hyperlink">
    <w:name w:val="Hyperlink"/>
    <w:basedOn w:val="DefaultParagraphFont"/>
    <w:uiPriority w:val="99"/>
    <w:rsid w:val="000B0C40"/>
    <w:rPr>
      <w:rFonts w:cs="Times New Roman"/>
      <w:color w:val="0000FF"/>
      <w:u w:val="single"/>
    </w:rPr>
  </w:style>
  <w:style w:type="paragraph" w:styleId="NormalWeb">
    <w:name w:val="Normal (Web)"/>
    <w:basedOn w:val="Normal"/>
    <w:uiPriority w:val="99"/>
    <w:rsid w:val="000B0C40"/>
    <w:pPr>
      <w:spacing w:before="100" w:beforeAutospacing="1" w:after="100" w:afterAutospacing="1"/>
    </w:pPr>
    <w:rPr>
      <w:lang w:val="lv-LV"/>
    </w:rPr>
  </w:style>
  <w:style w:type="paragraph" w:styleId="BodyText">
    <w:name w:val="Body Text"/>
    <w:basedOn w:val="Normal"/>
    <w:link w:val="BodyTextChar"/>
    <w:uiPriority w:val="99"/>
    <w:rsid w:val="000B0C40"/>
    <w:pPr>
      <w:spacing w:after="120"/>
    </w:pPr>
    <w:rPr>
      <w:lang w:val="lv-LV"/>
    </w:rPr>
  </w:style>
  <w:style w:type="character" w:customStyle="1" w:styleId="BodyTextChar">
    <w:name w:val="Body Text Char"/>
    <w:basedOn w:val="DefaultParagraphFont"/>
    <w:link w:val="BodyText"/>
    <w:uiPriority w:val="99"/>
    <w:locked/>
    <w:rsid w:val="000B0C40"/>
    <w:rPr>
      <w:rFonts w:ascii="Times New Roman" w:hAnsi="Times New Roman" w:cs="Times New Roman"/>
      <w:sz w:val="24"/>
      <w:szCs w:val="24"/>
      <w:lang w:val="x-none" w:eastAsia="lv-LV"/>
    </w:rPr>
  </w:style>
  <w:style w:type="paragraph" w:customStyle="1" w:styleId="naisf">
    <w:name w:val="naisf"/>
    <w:basedOn w:val="Normal"/>
    <w:uiPriority w:val="99"/>
    <w:rsid w:val="000B0C40"/>
    <w:pPr>
      <w:spacing w:before="75" w:after="75"/>
      <w:ind w:firstLine="375"/>
      <w:jc w:val="both"/>
    </w:pPr>
    <w:rPr>
      <w:lang w:val="lv-LV"/>
    </w:rPr>
  </w:style>
  <w:style w:type="paragraph" w:customStyle="1" w:styleId="naisc">
    <w:name w:val="naisc"/>
    <w:basedOn w:val="Normal"/>
    <w:uiPriority w:val="99"/>
    <w:rsid w:val="000B0C40"/>
    <w:pPr>
      <w:spacing w:before="450" w:after="300"/>
      <w:jc w:val="center"/>
    </w:pPr>
    <w:rPr>
      <w:sz w:val="26"/>
      <w:szCs w:val="26"/>
      <w:lang w:val="lv-LV"/>
    </w:rPr>
  </w:style>
  <w:style w:type="paragraph" w:styleId="BodyTextIndent">
    <w:name w:val="Body Text Indent"/>
    <w:basedOn w:val="Normal"/>
    <w:link w:val="BodyTextIndentChar"/>
    <w:uiPriority w:val="99"/>
    <w:rsid w:val="000B0C40"/>
    <w:pPr>
      <w:spacing w:after="120"/>
      <w:ind w:left="283"/>
    </w:pPr>
  </w:style>
  <w:style w:type="character" w:customStyle="1" w:styleId="BodyTextIndentChar">
    <w:name w:val="Body Text Indent Char"/>
    <w:basedOn w:val="DefaultParagraphFont"/>
    <w:link w:val="BodyTextIndent"/>
    <w:uiPriority w:val="99"/>
    <w:locked/>
    <w:rsid w:val="000B0C40"/>
    <w:rPr>
      <w:rFonts w:ascii="Times New Roman" w:hAnsi="Times New Roman" w:cs="Times New Roman"/>
      <w:sz w:val="24"/>
      <w:szCs w:val="24"/>
      <w:lang w:val="en-GB" w:eastAsia="lv-LV"/>
    </w:rPr>
  </w:style>
  <w:style w:type="character" w:styleId="PageNumber">
    <w:name w:val="page number"/>
    <w:basedOn w:val="DefaultParagraphFont"/>
    <w:uiPriority w:val="99"/>
    <w:rsid w:val="000B0C40"/>
    <w:rPr>
      <w:rFonts w:cs="Times New Roman"/>
    </w:rPr>
  </w:style>
  <w:style w:type="paragraph" w:styleId="Footer">
    <w:name w:val="footer"/>
    <w:basedOn w:val="Normal"/>
    <w:link w:val="FooterChar"/>
    <w:uiPriority w:val="99"/>
    <w:rsid w:val="000B0C40"/>
    <w:pPr>
      <w:tabs>
        <w:tab w:val="center" w:pos="4153"/>
        <w:tab w:val="right" w:pos="8306"/>
      </w:tabs>
    </w:pPr>
  </w:style>
  <w:style w:type="character" w:customStyle="1" w:styleId="FooterChar">
    <w:name w:val="Footer Char"/>
    <w:basedOn w:val="DefaultParagraphFont"/>
    <w:link w:val="Footer"/>
    <w:uiPriority w:val="99"/>
    <w:locked/>
    <w:rsid w:val="000B0C40"/>
    <w:rPr>
      <w:rFonts w:ascii="Times New Roman" w:hAnsi="Times New Roman" w:cs="Times New Roman"/>
      <w:sz w:val="24"/>
      <w:szCs w:val="24"/>
      <w:lang w:val="en-GB" w:eastAsia="lv-LV"/>
    </w:rPr>
  </w:style>
  <w:style w:type="paragraph" w:styleId="Header">
    <w:name w:val="header"/>
    <w:basedOn w:val="Normal"/>
    <w:link w:val="HeaderChar"/>
    <w:uiPriority w:val="99"/>
    <w:rsid w:val="000B0C40"/>
    <w:pPr>
      <w:tabs>
        <w:tab w:val="center" w:pos="4153"/>
        <w:tab w:val="right" w:pos="8306"/>
      </w:tabs>
    </w:pPr>
  </w:style>
  <w:style w:type="character" w:customStyle="1" w:styleId="HeaderChar">
    <w:name w:val="Header Char"/>
    <w:basedOn w:val="DefaultParagraphFont"/>
    <w:link w:val="Header"/>
    <w:uiPriority w:val="99"/>
    <w:locked/>
    <w:rsid w:val="000B0C40"/>
    <w:rPr>
      <w:rFonts w:ascii="Times New Roman" w:hAnsi="Times New Roman" w:cs="Times New Roman"/>
      <w:sz w:val="24"/>
      <w:szCs w:val="24"/>
      <w:lang w:val="en-GB" w:eastAsia="lv-LV"/>
    </w:rPr>
  </w:style>
  <w:style w:type="character" w:customStyle="1" w:styleId="st">
    <w:name w:val="st"/>
    <w:uiPriority w:val="99"/>
    <w:rsid w:val="00731860"/>
    <w:rPr>
      <w:rFonts w:ascii="Times New Roman" w:hAnsi="Times New Roman"/>
    </w:rPr>
  </w:style>
  <w:style w:type="character" w:customStyle="1" w:styleId="spelle">
    <w:name w:val="spelle"/>
    <w:basedOn w:val="DefaultParagraphFont"/>
    <w:uiPriority w:val="99"/>
    <w:rsid w:val="0067439E"/>
    <w:rPr>
      <w:rFonts w:cs="Times New Roman"/>
    </w:rPr>
  </w:style>
  <w:style w:type="paragraph" w:customStyle="1" w:styleId="naisnod">
    <w:name w:val="naisnod"/>
    <w:basedOn w:val="Normal"/>
    <w:uiPriority w:val="99"/>
    <w:rsid w:val="00393285"/>
    <w:pPr>
      <w:spacing w:before="150" w:after="150"/>
      <w:jc w:val="center"/>
    </w:pPr>
    <w:rPr>
      <w:b/>
      <w:bCs/>
      <w:lang w:val="lv-LV"/>
    </w:rPr>
  </w:style>
  <w:style w:type="paragraph" w:customStyle="1" w:styleId="naiskr">
    <w:name w:val="naiskr"/>
    <w:basedOn w:val="Normal"/>
    <w:rsid w:val="00393285"/>
    <w:pPr>
      <w:spacing w:before="75" w:after="75"/>
    </w:pPr>
    <w:rPr>
      <w:lang w:val="lv-LV"/>
    </w:rPr>
  </w:style>
  <w:style w:type="paragraph" w:styleId="ListParagraph">
    <w:name w:val="List Paragraph"/>
    <w:basedOn w:val="Normal"/>
    <w:link w:val="ListParagraphChar"/>
    <w:uiPriority w:val="34"/>
    <w:qFormat/>
    <w:rsid w:val="000F519C"/>
    <w:pPr>
      <w:spacing w:after="200" w:line="276" w:lineRule="auto"/>
      <w:ind w:left="720"/>
      <w:contextualSpacing/>
    </w:pPr>
    <w:rPr>
      <w:rFonts w:ascii="Calibri" w:hAnsi="Calibri"/>
      <w:sz w:val="22"/>
      <w:szCs w:val="22"/>
      <w:lang w:val="lv-LV" w:eastAsia="en-US"/>
    </w:rPr>
  </w:style>
  <w:style w:type="paragraph" w:styleId="CommentText">
    <w:name w:val="annotation text"/>
    <w:basedOn w:val="Normal"/>
    <w:link w:val="CommentTextChar"/>
    <w:uiPriority w:val="99"/>
    <w:semiHidden/>
    <w:rsid w:val="007C6202"/>
    <w:rPr>
      <w:sz w:val="20"/>
      <w:szCs w:val="20"/>
      <w:lang w:eastAsia="en-US"/>
    </w:rPr>
  </w:style>
  <w:style w:type="character" w:customStyle="1" w:styleId="CommentTextChar">
    <w:name w:val="Comment Text Char"/>
    <w:basedOn w:val="DefaultParagraphFont"/>
    <w:link w:val="CommentText"/>
    <w:uiPriority w:val="99"/>
    <w:semiHidden/>
    <w:locked/>
    <w:rsid w:val="007C6202"/>
    <w:rPr>
      <w:rFonts w:ascii="Times New Roman" w:hAnsi="Times New Roman" w:cs="Times New Roman"/>
      <w:sz w:val="20"/>
      <w:szCs w:val="20"/>
      <w:lang w:val="en-GB" w:eastAsia="en-US"/>
    </w:rPr>
  </w:style>
  <w:style w:type="paragraph" w:styleId="FootnoteText">
    <w:name w:val="footnote text"/>
    <w:basedOn w:val="Normal"/>
    <w:link w:val="FootnoteTextChar"/>
    <w:uiPriority w:val="99"/>
    <w:semiHidden/>
    <w:unhideWhenUsed/>
    <w:rsid w:val="007C6202"/>
    <w:rPr>
      <w:sz w:val="20"/>
      <w:szCs w:val="20"/>
      <w:lang w:val="lv-LV"/>
    </w:rPr>
  </w:style>
  <w:style w:type="character" w:customStyle="1" w:styleId="FootnoteTextChar">
    <w:name w:val="Footnote Text Char"/>
    <w:basedOn w:val="DefaultParagraphFont"/>
    <w:link w:val="FootnoteText"/>
    <w:uiPriority w:val="99"/>
    <w:semiHidden/>
    <w:locked/>
    <w:rsid w:val="007C620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C6202"/>
    <w:rPr>
      <w:rFonts w:cs="Times New Roman"/>
      <w:vertAlign w:val="superscript"/>
    </w:rPr>
  </w:style>
  <w:style w:type="character" w:styleId="Emphasis">
    <w:name w:val="Emphasis"/>
    <w:basedOn w:val="DefaultParagraphFont"/>
    <w:uiPriority w:val="20"/>
    <w:qFormat/>
    <w:locked/>
    <w:rsid w:val="007C6202"/>
    <w:rPr>
      <w:rFonts w:cs="Times New Roman"/>
      <w:b/>
    </w:rPr>
  </w:style>
  <w:style w:type="table" w:styleId="TableGrid">
    <w:name w:val="Table Grid"/>
    <w:basedOn w:val="TableNormal"/>
    <w:uiPriority w:val="59"/>
    <w:locked/>
    <w:rsid w:val="00BD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979DB"/>
    <w:rPr>
      <w:rFonts w:ascii="Calibri" w:hAnsi="Calibri"/>
      <w:sz w:val="22"/>
      <w:szCs w:val="21"/>
      <w:lang w:val="lv-LV" w:eastAsia="en-US"/>
    </w:rPr>
  </w:style>
  <w:style w:type="character" w:customStyle="1" w:styleId="PlainTextChar">
    <w:name w:val="Plain Text Char"/>
    <w:basedOn w:val="DefaultParagraphFont"/>
    <w:link w:val="PlainText"/>
    <w:uiPriority w:val="99"/>
    <w:locked/>
    <w:rsid w:val="005979DB"/>
    <w:rPr>
      <w:rFonts w:eastAsia="Times New Roman" w:cs="Times New Roman"/>
      <w:sz w:val="21"/>
      <w:szCs w:val="21"/>
      <w:lang w:val="x-none" w:eastAsia="en-US"/>
    </w:rPr>
  </w:style>
  <w:style w:type="paragraph" w:styleId="NoSpacing">
    <w:name w:val="No Spacing"/>
    <w:uiPriority w:val="1"/>
    <w:qFormat/>
    <w:rsid w:val="00623BB5"/>
    <w:pPr>
      <w:spacing w:after="0" w:line="240" w:lineRule="auto"/>
    </w:pPr>
    <w:rPr>
      <w:rFonts w:ascii="Times New Roman" w:hAnsi="Times New Roman" w:cs="Times New Roman"/>
      <w:sz w:val="24"/>
      <w:szCs w:val="24"/>
      <w:lang w:val="en-GB"/>
    </w:rPr>
  </w:style>
  <w:style w:type="character" w:customStyle="1" w:styleId="ListParagraphChar">
    <w:name w:val="List Paragraph Char"/>
    <w:link w:val="ListParagraph"/>
    <w:uiPriority w:val="34"/>
    <w:locked/>
    <w:rsid w:val="00847B62"/>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40"/>
    <w:pPr>
      <w:spacing w:after="0" w:line="240" w:lineRule="auto"/>
    </w:pPr>
    <w:rPr>
      <w:rFonts w:ascii="Times New Roman" w:hAnsi="Times New Roman" w:cs="Times New Roman"/>
      <w:sz w:val="24"/>
      <w:szCs w:val="24"/>
      <w:lang w:val="en-GB"/>
    </w:rPr>
  </w:style>
  <w:style w:type="paragraph" w:styleId="Heading3">
    <w:name w:val="heading 3"/>
    <w:basedOn w:val="Normal"/>
    <w:link w:val="Heading3Char"/>
    <w:uiPriority w:val="99"/>
    <w:qFormat/>
    <w:rsid w:val="000B0C40"/>
    <w:pPr>
      <w:keepNext/>
      <w:spacing w:after="120"/>
      <w:jc w:val="both"/>
      <w:outlineLvl w:val="2"/>
    </w:pPr>
    <w:rPr>
      <w:sz w:val="28"/>
      <w:szCs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B0C40"/>
    <w:rPr>
      <w:rFonts w:ascii="Times New Roman" w:hAnsi="Times New Roman" w:cs="Times New Roman"/>
      <w:sz w:val="28"/>
      <w:szCs w:val="28"/>
      <w:lang w:val="x-none" w:eastAsia="lv-LV"/>
    </w:rPr>
  </w:style>
  <w:style w:type="paragraph" w:styleId="BalloonText">
    <w:name w:val="Balloon Text"/>
    <w:basedOn w:val="Normal"/>
    <w:link w:val="BalloonTextChar"/>
    <w:uiPriority w:val="99"/>
    <w:semiHidden/>
    <w:rsid w:val="00E031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1B9"/>
    <w:rPr>
      <w:rFonts w:ascii="Tahoma" w:hAnsi="Tahoma" w:cs="Tahoma"/>
      <w:sz w:val="16"/>
      <w:szCs w:val="16"/>
      <w:lang w:val="en-GB" w:eastAsia="lv-LV"/>
    </w:rPr>
  </w:style>
  <w:style w:type="character" w:styleId="Hyperlink">
    <w:name w:val="Hyperlink"/>
    <w:basedOn w:val="DefaultParagraphFont"/>
    <w:uiPriority w:val="99"/>
    <w:rsid w:val="000B0C40"/>
    <w:rPr>
      <w:rFonts w:cs="Times New Roman"/>
      <w:color w:val="0000FF"/>
      <w:u w:val="single"/>
    </w:rPr>
  </w:style>
  <w:style w:type="paragraph" w:styleId="NormalWeb">
    <w:name w:val="Normal (Web)"/>
    <w:basedOn w:val="Normal"/>
    <w:uiPriority w:val="99"/>
    <w:rsid w:val="000B0C40"/>
    <w:pPr>
      <w:spacing w:before="100" w:beforeAutospacing="1" w:after="100" w:afterAutospacing="1"/>
    </w:pPr>
    <w:rPr>
      <w:lang w:val="lv-LV"/>
    </w:rPr>
  </w:style>
  <w:style w:type="paragraph" w:styleId="BodyText">
    <w:name w:val="Body Text"/>
    <w:basedOn w:val="Normal"/>
    <w:link w:val="BodyTextChar"/>
    <w:uiPriority w:val="99"/>
    <w:rsid w:val="000B0C40"/>
    <w:pPr>
      <w:spacing w:after="120"/>
    </w:pPr>
    <w:rPr>
      <w:lang w:val="lv-LV"/>
    </w:rPr>
  </w:style>
  <w:style w:type="character" w:customStyle="1" w:styleId="BodyTextChar">
    <w:name w:val="Body Text Char"/>
    <w:basedOn w:val="DefaultParagraphFont"/>
    <w:link w:val="BodyText"/>
    <w:uiPriority w:val="99"/>
    <w:locked/>
    <w:rsid w:val="000B0C40"/>
    <w:rPr>
      <w:rFonts w:ascii="Times New Roman" w:hAnsi="Times New Roman" w:cs="Times New Roman"/>
      <w:sz w:val="24"/>
      <w:szCs w:val="24"/>
      <w:lang w:val="x-none" w:eastAsia="lv-LV"/>
    </w:rPr>
  </w:style>
  <w:style w:type="paragraph" w:customStyle="1" w:styleId="naisf">
    <w:name w:val="naisf"/>
    <w:basedOn w:val="Normal"/>
    <w:uiPriority w:val="99"/>
    <w:rsid w:val="000B0C40"/>
    <w:pPr>
      <w:spacing w:before="75" w:after="75"/>
      <w:ind w:firstLine="375"/>
      <w:jc w:val="both"/>
    </w:pPr>
    <w:rPr>
      <w:lang w:val="lv-LV"/>
    </w:rPr>
  </w:style>
  <w:style w:type="paragraph" w:customStyle="1" w:styleId="naisc">
    <w:name w:val="naisc"/>
    <w:basedOn w:val="Normal"/>
    <w:uiPriority w:val="99"/>
    <w:rsid w:val="000B0C40"/>
    <w:pPr>
      <w:spacing w:before="450" w:after="300"/>
      <w:jc w:val="center"/>
    </w:pPr>
    <w:rPr>
      <w:sz w:val="26"/>
      <w:szCs w:val="26"/>
      <w:lang w:val="lv-LV"/>
    </w:rPr>
  </w:style>
  <w:style w:type="paragraph" w:styleId="BodyTextIndent">
    <w:name w:val="Body Text Indent"/>
    <w:basedOn w:val="Normal"/>
    <w:link w:val="BodyTextIndentChar"/>
    <w:uiPriority w:val="99"/>
    <w:rsid w:val="000B0C40"/>
    <w:pPr>
      <w:spacing w:after="120"/>
      <w:ind w:left="283"/>
    </w:pPr>
  </w:style>
  <w:style w:type="character" w:customStyle="1" w:styleId="BodyTextIndentChar">
    <w:name w:val="Body Text Indent Char"/>
    <w:basedOn w:val="DefaultParagraphFont"/>
    <w:link w:val="BodyTextIndent"/>
    <w:uiPriority w:val="99"/>
    <w:locked/>
    <w:rsid w:val="000B0C40"/>
    <w:rPr>
      <w:rFonts w:ascii="Times New Roman" w:hAnsi="Times New Roman" w:cs="Times New Roman"/>
      <w:sz w:val="24"/>
      <w:szCs w:val="24"/>
      <w:lang w:val="en-GB" w:eastAsia="lv-LV"/>
    </w:rPr>
  </w:style>
  <w:style w:type="character" w:styleId="PageNumber">
    <w:name w:val="page number"/>
    <w:basedOn w:val="DefaultParagraphFont"/>
    <w:uiPriority w:val="99"/>
    <w:rsid w:val="000B0C40"/>
    <w:rPr>
      <w:rFonts w:cs="Times New Roman"/>
    </w:rPr>
  </w:style>
  <w:style w:type="paragraph" w:styleId="Footer">
    <w:name w:val="footer"/>
    <w:basedOn w:val="Normal"/>
    <w:link w:val="FooterChar"/>
    <w:uiPriority w:val="99"/>
    <w:rsid w:val="000B0C40"/>
    <w:pPr>
      <w:tabs>
        <w:tab w:val="center" w:pos="4153"/>
        <w:tab w:val="right" w:pos="8306"/>
      </w:tabs>
    </w:pPr>
  </w:style>
  <w:style w:type="character" w:customStyle="1" w:styleId="FooterChar">
    <w:name w:val="Footer Char"/>
    <w:basedOn w:val="DefaultParagraphFont"/>
    <w:link w:val="Footer"/>
    <w:uiPriority w:val="99"/>
    <w:locked/>
    <w:rsid w:val="000B0C40"/>
    <w:rPr>
      <w:rFonts w:ascii="Times New Roman" w:hAnsi="Times New Roman" w:cs="Times New Roman"/>
      <w:sz w:val="24"/>
      <w:szCs w:val="24"/>
      <w:lang w:val="en-GB" w:eastAsia="lv-LV"/>
    </w:rPr>
  </w:style>
  <w:style w:type="paragraph" w:styleId="Header">
    <w:name w:val="header"/>
    <w:basedOn w:val="Normal"/>
    <w:link w:val="HeaderChar"/>
    <w:uiPriority w:val="99"/>
    <w:rsid w:val="000B0C40"/>
    <w:pPr>
      <w:tabs>
        <w:tab w:val="center" w:pos="4153"/>
        <w:tab w:val="right" w:pos="8306"/>
      </w:tabs>
    </w:pPr>
  </w:style>
  <w:style w:type="character" w:customStyle="1" w:styleId="HeaderChar">
    <w:name w:val="Header Char"/>
    <w:basedOn w:val="DefaultParagraphFont"/>
    <w:link w:val="Header"/>
    <w:uiPriority w:val="99"/>
    <w:locked/>
    <w:rsid w:val="000B0C40"/>
    <w:rPr>
      <w:rFonts w:ascii="Times New Roman" w:hAnsi="Times New Roman" w:cs="Times New Roman"/>
      <w:sz w:val="24"/>
      <w:szCs w:val="24"/>
      <w:lang w:val="en-GB" w:eastAsia="lv-LV"/>
    </w:rPr>
  </w:style>
  <w:style w:type="character" w:customStyle="1" w:styleId="st">
    <w:name w:val="st"/>
    <w:uiPriority w:val="99"/>
    <w:rsid w:val="00731860"/>
    <w:rPr>
      <w:rFonts w:ascii="Times New Roman" w:hAnsi="Times New Roman"/>
    </w:rPr>
  </w:style>
  <w:style w:type="character" w:customStyle="1" w:styleId="spelle">
    <w:name w:val="spelle"/>
    <w:basedOn w:val="DefaultParagraphFont"/>
    <w:uiPriority w:val="99"/>
    <w:rsid w:val="0067439E"/>
    <w:rPr>
      <w:rFonts w:cs="Times New Roman"/>
    </w:rPr>
  </w:style>
  <w:style w:type="paragraph" w:customStyle="1" w:styleId="naisnod">
    <w:name w:val="naisnod"/>
    <w:basedOn w:val="Normal"/>
    <w:uiPriority w:val="99"/>
    <w:rsid w:val="00393285"/>
    <w:pPr>
      <w:spacing w:before="150" w:after="150"/>
      <w:jc w:val="center"/>
    </w:pPr>
    <w:rPr>
      <w:b/>
      <w:bCs/>
      <w:lang w:val="lv-LV"/>
    </w:rPr>
  </w:style>
  <w:style w:type="paragraph" w:customStyle="1" w:styleId="naiskr">
    <w:name w:val="naiskr"/>
    <w:basedOn w:val="Normal"/>
    <w:rsid w:val="00393285"/>
    <w:pPr>
      <w:spacing w:before="75" w:after="75"/>
    </w:pPr>
    <w:rPr>
      <w:lang w:val="lv-LV"/>
    </w:rPr>
  </w:style>
  <w:style w:type="paragraph" w:styleId="ListParagraph">
    <w:name w:val="List Paragraph"/>
    <w:basedOn w:val="Normal"/>
    <w:link w:val="ListParagraphChar"/>
    <w:uiPriority w:val="34"/>
    <w:qFormat/>
    <w:rsid w:val="000F519C"/>
    <w:pPr>
      <w:spacing w:after="200" w:line="276" w:lineRule="auto"/>
      <w:ind w:left="720"/>
      <w:contextualSpacing/>
    </w:pPr>
    <w:rPr>
      <w:rFonts w:ascii="Calibri" w:hAnsi="Calibri"/>
      <w:sz w:val="22"/>
      <w:szCs w:val="22"/>
      <w:lang w:val="lv-LV" w:eastAsia="en-US"/>
    </w:rPr>
  </w:style>
  <w:style w:type="paragraph" w:styleId="CommentText">
    <w:name w:val="annotation text"/>
    <w:basedOn w:val="Normal"/>
    <w:link w:val="CommentTextChar"/>
    <w:uiPriority w:val="99"/>
    <w:semiHidden/>
    <w:rsid w:val="007C6202"/>
    <w:rPr>
      <w:sz w:val="20"/>
      <w:szCs w:val="20"/>
      <w:lang w:eastAsia="en-US"/>
    </w:rPr>
  </w:style>
  <w:style w:type="character" w:customStyle="1" w:styleId="CommentTextChar">
    <w:name w:val="Comment Text Char"/>
    <w:basedOn w:val="DefaultParagraphFont"/>
    <w:link w:val="CommentText"/>
    <w:uiPriority w:val="99"/>
    <w:semiHidden/>
    <w:locked/>
    <w:rsid w:val="007C6202"/>
    <w:rPr>
      <w:rFonts w:ascii="Times New Roman" w:hAnsi="Times New Roman" w:cs="Times New Roman"/>
      <w:sz w:val="20"/>
      <w:szCs w:val="20"/>
      <w:lang w:val="en-GB" w:eastAsia="en-US"/>
    </w:rPr>
  </w:style>
  <w:style w:type="paragraph" w:styleId="FootnoteText">
    <w:name w:val="footnote text"/>
    <w:basedOn w:val="Normal"/>
    <w:link w:val="FootnoteTextChar"/>
    <w:uiPriority w:val="99"/>
    <w:semiHidden/>
    <w:unhideWhenUsed/>
    <w:rsid w:val="007C6202"/>
    <w:rPr>
      <w:sz w:val="20"/>
      <w:szCs w:val="20"/>
      <w:lang w:val="lv-LV"/>
    </w:rPr>
  </w:style>
  <w:style w:type="character" w:customStyle="1" w:styleId="FootnoteTextChar">
    <w:name w:val="Footnote Text Char"/>
    <w:basedOn w:val="DefaultParagraphFont"/>
    <w:link w:val="FootnoteText"/>
    <w:uiPriority w:val="99"/>
    <w:semiHidden/>
    <w:locked/>
    <w:rsid w:val="007C620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C6202"/>
    <w:rPr>
      <w:rFonts w:cs="Times New Roman"/>
      <w:vertAlign w:val="superscript"/>
    </w:rPr>
  </w:style>
  <w:style w:type="character" w:styleId="Emphasis">
    <w:name w:val="Emphasis"/>
    <w:basedOn w:val="DefaultParagraphFont"/>
    <w:uiPriority w:val="20"/>
    <w:qFormat/>
    <w:locked/>
    <w:rsid w:val="007C6202"/>
    <w:rPr>
      <w:rFonts w:cs="Times New Roman"/>
      <w:b/>
    </w:rPr>
  </w:style>
  <w:style w:type="table" w:styleId="TableGrid">
    <w:name w:val="Table Grid"/>
    <w:basedOn w:val="TableNormal"/>
    <w:uiPriority w:val="59"/>
    <w:locked/>
    <w:rsid w:val="00BD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979DB"/>
    <w:rPr>
      <w:rFonts w:ascii="Calibri" w:hAnsi="Calibri"/>
      <w:sz w:val="22"/>
      <w:szCs w:val="21"/>
      <w:lang w:val="lv-LV" w:eastAsia="en-US"/>
    </w:rPr>
  </w:style>
  <w:style w:type="character" w:customStyle="1" w:styleId="PlainTextChar">
    <w:name w:val="Plain Text Char"/>
    <w:basedOn w:val="DefaultParagraphFont"/>
    <w:link w:val="PlainText"/>
    <w:uiPriority w:val="99"/>
    <w:locked/>
    <w:rsid w:val="005979DB"/>
    <w:rPr>
      <w:rFonts w:eastAsia="Times New Roman" w:cs="Times New Roman"/>
      <w:sz w:val="21"/>
      <w:szCs w:val="21"/>
      <w:lang w:val="x-none" w:eastAsia="en-US"/>
    </w:rPr>
  </w:style>
  <w:style w:type="paragraph" w:styleId="NoSpacing">
    <w:name w:val="No Spacing"/>
    <w:uiPriority w:val="1"/>
    <w:qFormat/>
    <w:rsid w:val="00623BB5"/>
    <w:pPr>
      <w:spacing w:after="0" w:line="240" w:lineRule="auto"/>
    </w:pPr>
    <w:rPr>
      <w:rFonts w:ascii="Times New Roman" w:hAnsi="Times New Roman" w:cs="Times New Roman"/>
      <w:sz w:val="24"/>
      <w:szCs w:val="24"/>
      <w:lang w:val="en-GB"/>
    </w:rPr>
  </w:style>
  <w:style w:type="character" w:customStyle="1" w:styleId="ListParagraphChar">
    <w:name w:val="List Paragraph Char"/>
    <w:link w:val="ListParagraph"/>
    <w:uiPriority w:val="34"/>
    <w:locked/>
    <w:rsid w:val="00847B62"/>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1459">
      <w:marLeft w:val="0"/>
      <w:marRight w:val="0"/>
      <w:marTop w:val="0"/>
      <w:marBottom w:val="0"/>
      <w:divBdr>
        <w:top w:val="none" w:sz="0" w:space="0" w:color="auto"/>
        <w:left w:val="none" w:sz="0" w:space="0" w:color="auto"/>
        <w:bottom w:val="none" w:sz="0" w:space="0" w:color="auto"/>
        <w:right w:val="none" w:sz="0" w:space="0" w:color="auto"/>
      </w:divBdr>
    </w:div>
    <w:div w:id="1141651460">
      <w:marLeft w:val="0"/>
      <w:marRight w:val="0"/>
      <w:marTop w:val="0"/>
      <w:marBottom w:val="0"/>
      <w:divBdr>
        <w:top w:val="none" w:sz="0" w:space="0" w:color="auto"/>
        <w:left w:val="none" w:sz="0" w:space="0" w:color="auto"/>
        <w:bottom w:val="none" w:sz="0" w:space="0" w:color="auto"/>
        <w:right w:val="none" w:sz="0" w:space="0" w:color="auto"/>
      </w:divBdr>
    </w:div>
    <w:div w:id="1141651461">
      <w:marLeft w:val="0"/>
      <w:marRight w:val="0"/>
      <w:marTop w:val="0"/>
      <w:marBottom w:val="0"/>
      <w:divBdr>
        <w:top w:val="none" w:sz="0" w:space="0" w:color="auto"/>
        <w:left w:val="none" w:sz="0" w:space="0" w:color="auto"/>
        <w:bottom w:val="none" w:sz="0" w:space="0" w:color="auto"/>
        <w:right w:val="none" w:sz="0" w:space="0" w:color="auto"/>
      </w:divBdr>
    </w:div>
    <w:div w:id="1141651462">
      <w:marLeft w:val="0"/>
      <w:marRight w:val="0"/>
      <w:marTop w:val="0"/>
      <w:marBottom w:val="0"/>
      <w:divBdr>
        <w:top w:val="none" w:sz="0" w:space="0" w:color="auto"/>
        <w:left w:val="none" w:sz="0" w:space="0" w:color="auto"/>
        <w:bottom w:val="none" w:sz="0" w:space="0" w:color="auto"/>
        <w:right w:val="none" w:sz="0" w:space="0" w:color="auto"/>
      </w:divBdr>
    </w:div>
    <w:div w:id="1141651464">
      <w:marLeft w:val="0"/>
      <w:marRight w:val="0"/>
      <w:marTop w:val="0"/>
      <w:marBottom w:val="0"/>
      <w:divBdr>
        <w:top w:val="none" w:sz="0" w:space="0" w:color="auto"/>
        <w:left w:val="none" w:sz="0" w:space="0" w:color="auto"/>
        <w:bottom w:val="none" w:sz="0" w:space="0" w:color="auto"/>
        <w:right w:val="none" w:sz="0" w:space="0" w:color="auto"/>
      </w:divBdr>
      <w:divsChild>
        <w:div w:id="1141651465">
          <w:marLeft w:val="0"/>
          <w:marRight w:val="0"/>
          <w:marTop w:val="0"/>
          <w:marBottom w:val="0"/>
          <w:divBdr>
            <w:top w:val="none" w:sz="0" w:space="0" w:color="auto"/>
            <w:left w:val="none" w:sz="0" w:space="0" w:color="auto"/>
            <w:bottom w:val="none" w:sz="0" w:space="0" w:color="auto"/>
            <w:right w:val="none" w:sz="0" w:space="0" w:color="auto"/>
          </w:divBdr>
          <w:divsChild>
            <w:div w:id="11416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466">
      <w:marLeft w:val="0"/>
      <w:marRight w:val="0"/>
      <w:marTop w:val="0"/>
      <w:marBottom w:val="0"/>
      <w:divBdr>
        <w:top w:val="none" w:sz="0" w:space="0" w:color="auto"/>
        <w:left w:val="none" w:sz="0" w:space="0" w:color="auto"/>
        <w:bottom w:val="none" w:sz="0" w:space="0" w:color="auto"/>
        <w:right w:val="none" w:sz="0" w:space="0" w:color="auto"/>
      </w:divBdr>
    </w:div>
    <w:div w:id="1141651467">
      <w:marLeft w:val="0"/>
      <w:marRight w:val="0"/>
      <w:marTop w:val="0"/>
      <w:marBottom w:val="0"/>
      <w:divBdr>
        <w:top w:val="none" w:sz="0" w:space="0" w:color="auto"/>
        <w:left w:val="none" w:sz="0" w:space="0" w:color="auto"/>
        <w:bottom w:val="none" w:sz="0" w:space="0" w:color="auto"/>
        <w:right w:val="none" w:sz="0" w:space="0" w:color="auto"/>
      </w:divBdr>
    </w:div>
    <w:div w:id="1141651468">
      <w:marLeft w:val="0"/>
      <w:marRight w:val="0"/>
      <w:marTop w:val="0"/>
      <w:marBottom w:val="0"/>
      <w:divBdr>
        <w:top w:val="none" w:sz="0" w:space="0" w:color="auto"/>
        <w:left w:val="none" w:sz="0" w:space="0" w:color="auto"/>
        <w:bottom w:val="none" w:sz="0" w:space="0" w:color="auto"/>
        <w:right w:val="none" w:sz="0" w:space="0" w:color="auto"/>
      </w:divBdr>
    </w:div>
    <w:div w:id="1141651469">
      <w:marLeft w:val="0"/>
      <w:marRight w:val="0"/>
      <w:marTop w:val="0"/>
      <w:marBottom w:val="0"/>
      <w:divBdr>
        <w:top w:val="none" w:sz="0" w:space="0" w:color="auto"/>
        <w:left w:val="none" w:sz="0" w:space="0" w:color="auto"/>
        <w:bottom w:val="none" w:sz="0" w:space="0" w:color="auto"/>
        <w:right w:val="none" w:sz="0" w:space="0" w:color="auto"/>
      </w:divBdr>
    </w:div>
    <w:div w:id="1141651470">
      <w:marLeft w:val="0"/>
      <w:marRight w:val="0"/>
      <w:marTop w:val="0"/>
      <w:marBottom w:val="0"/>
      <w:divBdr>
        <w:top w:val="none" w:sz="0" w:space="0" w:color="auto"/>
        <w:left w:val="none" w:sz="0" w:space="0" w:color="auto"/>
        <w:bottom w:val="none" w:sz="0" w:space="0" w:color="auto"/>
        <w:right w:val="none" w:sz="0" w:space="0" w:color="auto"/>
      </w:divBdr>
    </w:div>
    <w:div w:id="1141651471">
      <w:marLeft w:val="0"/>
      <w:marRight w:val="0"/>
      <w:marTop w:val="0"/>
      <w:marBottom w:val="0"/>
      <w:divBdr>
        <w:top w:val="none" w:sz="0" w:space="0" w:color="auto"/>
        <w:left w:val="none" w:sz="0" w:space="0" w:color="auto"/>
        <w:bottom w:val="none" w:sz="0" w:space="0" w:color="auto"/>
        <w:right w:val="none" w:sz="0" w:space="0" w:color="auto"/>
      </w:divBdr>
    </w:div>
    <w:div w:id="1141651472">
      <w:marLeft w:val="0"/>
      <w:marRight w:val="0"/>
      <w:marTop w:val="0"/>
      <w:marBottom w:val="0"/>
      <w:divBdr>
        <w:top w:val="none" w:sz="0" w:space="0" w:color="auto"/>
        <w:left w:val="none" w:sz="0" w:space="0" w:color="auto"/>
        <w:bottom w:val="none" w:sz="0" w:space="0" w:color="auto"/>
        <w:right w:val="none" w:sz="0" w:space="0" w:color="auto"/>
      </w:divBdr>
    </w:div>
    <w:div w:id="1141651473">
      <w:marLeft w:val="0"/>
      <w:marRight w:val="0"/>
      <w:marTop w:val="0"/>
      <w:marBottom w:val="0"/>
      <w:divBdr>
        <w:top w:val="none" w:sz="0" w:space="0" w:color="auto"/>
        <w:left w:val="none" w:sz="0" w:space="0" w:color="auto"/>
        <w:bottom w:val="none" w:sz="0" w:space="0" w:color="auto"/>
        <w:right w:val="none" w:sz="0" w:space="0" w:color="auto"/>
      </w:divBdr>
    </w:div>
    <w:div w:id="1141651474">
      <w:marLeft w:val="0"/>
      <w:marRight w:val="0"/>
      <w:marTop w:val="0"/>
      <w:marBottom w:val="0"/>
      <w:divBdr>
        <w:top w:val="none" w:sz="0" w:space="0" w:color="auto"/>
        <w:left w:val="none" w:sz="0" w:space="0" w:color="auto"/>
        <w:bottom w:val="none" w:sz="0" w:space="0" w:color="auto"/>
        <w:right w:val="none" w:sz="0" w:space="0" w:color="auto"/>
      </w:divBdr>
    </w:div>
    <w:div w:id="1141651475">
      <w:marLeft w:val="0"/>
      <w:marRight w:val="0"/>
      <w:marTop w:val="0"/>
      <w:marBottom w:val="0"/>
      <w:divBdr>
        <w:top w:val="none" w:sz="0" w:space="0" w:color="auto"/>
        <w:left w:val="none" w:sz="0" w:space="0" w:color="auto"/>
        <w:bottom w:val="none" w:sz="0" w:space="0" w:color="auto"/>
        <w:right w:val="none" w:sz="0" w:space="0" w:color="auto"/>
      </w:divBdr>
    </w:div>
    <w:div w:id="1141651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ze.gelner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1B3B-3094-4222-B790-F925E7D2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iemaksām ANO Augstā komisāra bēgļu lietās biroja, ANO Augstā komisāra cilvēktiesību lietās biroja, ANO Dzimumu līdztiesības un sieviešu iespēju veicināšanas institūcijas, ANO Demokrātijas fonda, Koalīcijas par inte</vt:lpstr>
    </vt:vector>
  </TitlesOfParts>
  <Company>Ārlietu ministrija</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iemaksām ANO Augstā komisāra bēgļu lietās biroja, ANO Augstā komisāra cilvēktiesību lietās biroja, ANO Dzimumu līdztiesības un sieviešu iespēju veicināšanas institūcijas, ANO Demokrātijas fonda, Koalīcijas par inte</dc:title>
  <dc:creator>Aija.Veja@mfa.gov.lv</dc:creator>
  <cp:lastModifiedBy>Ilze Gelnere</cp:lastModifiedBy>
  <cp:revision>3</cp:revision>
  <cp:lastPrinted>2014-10-02T08:52:00Z</cp:lastPrinted>
  <dcterms:created xsi:type="dcterms:W3CDTF">2014-11-27T13:25:00Z</dcterms:created>
  <dcterms:modified xsi:type="dcterms:W3CDTF">2014-11-27T13:26:00Z</dcterms:modified>
</cp:coreProperties>
</file>