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286" w:rsidRPr="00E62286" w:rsidRDefault="00E62286" w:rsidP="00E62286">
      <w:pPr>
        <w:jc w:val="center"/>
        <w:rPr>
          <w:rFonts w:eastAsia="Times New Roman"/>
          <w:b/>
          <w:sz w:val="26"/>
          <w:szCs w:val="26"/>
          <w:lang w:val="lv-LV" w:eastAsia="lv-LV"/>
        </w:rPr>
      </w:pPr>
      <w:bookmarkStart w:id="0" w:name="OLE_LINK3"/>
      <w:bookmarkStart w:id="1" w:name="OLE_LINK1"/>
      <w:bookmarkStart w:id="2" w:name="OLE_LINK2"/>
      <w:r w:rsidRPr="00E62286">
        <w:rPr>
          <w:b/>
          <w:sz w:val="26"/>
          <w:szCs w:val="26"/>
          <w:lang w:val="lv-LV"/>
        </w:rPr>
        <w:t>Ministru kabineta noteikumu projekta ,,</w:t>
      </w:r>
      <w:bookmarkStart w:id="3" w:name="OLE_LINK12"/>
      <w:bookmarkStart w:id="4" w:name="OLE_LINK13"/>
      <w:r w:rsidRPr="00E62286">
        <w:rPr>
          <w:b/>
          <w:sz w:val="26"/>
          <w:szCs w:val="26"/>
          <w:lang w:val="lv-LV"/>
        </w:rPr>
        <w:t xml:space="preserve">Grozījumi </w:t>
      </w:r>
      <w:bookmarkStart w:id="5" w:name="OLE_LINK7"/>
      <w:bookmarkStart w:id="6" w:name="OLE_LINK8"/>
      <w:r w:rsidRPr="00E62286">
        <w:rPr>
          <w:b/>
          <w:sz w:val="26"/>
          <w:szCs w:val="26"/>
          <w:lang w:val="lv-LV"/>
        </w:rPr>
        <w:t>Ministru kabineta 2011.gada 2.augusta noteikumos Nr.614 „Noteikumi par darbības programmas „Uzņēmējdarbība un inovācijas” papildinājuma 2.2.1.4.2.apakšaktivitāti „Mezanīna aizdevumi investīcijām komersantu konkurētspējas uzlabošanai”</w:t>
      </w:r>
      <w:bookmarkEnd w:id="5"/>
      <w:bookmarkEnd w:id="6"/>
      <w:r w:rsidRPr="00E62286">
        <w:rPr>
          <w:b/>
          <w:sz w:val="26"/>
          <w:szCs w:val="26"/>
          <w:lang w:val="lv-LV"/>
        </w:rPr>
        <w:t>”</w:t>
      </w:r>
      <w:bookmarkEnd w:id="3"/>
      <w:bookmarkEnd w:id="4"/>
      <w:r w:rsidRPr="00E62286">
        <w:rPr>
          <w:b/>
          <w:sz w:val="26"/>
          <w:szCs w:val="26"/>
          <w:lang w:val="lv-LV"/>
        </w:rPr>
        <w:t>”</w:t>
      </w:r>
    </w:p>
    <w:p w:rsidR="00E62286" w:rsidRPr="00E62286" w:rsidRDefault="00E62286" w:rsidP="00E62286">
      <w:pPr>
        <w:jc w:val="center"/>
        <w:rPr>
          <w:rFonts w:eastAsia="Times New Roman"/>
          <w:b/>
          <w:sz w:val="26"/>
          <w:szCs w:val="26"/>
          <w:lang w:val="lv-LV" w:eastAsia="lv-LV"/>
        </w:rPr>
      </w:pPr>
      <w:r w:rsidRPr="00E62286">
        <w:rPr>
          <w:rFonts w:eastAsia="Times New Roman"/>
          <w:b/>
          <w:sz w:val="26"/>
          <w:szCs w:val="26"/>
          <w:lang w:val="lv-LV" w:eastAsia="lv-LV"/>
        </w:rPr>
        <w:t>sākotnējās ietekmes novērtējuma ziņojums (anotācija)</w:t>
      </w:r>
    </w:p>
    <w:p w:rsidR="00EA6CD3" w:rsidRPr="00EE57C3" w:rsidRDefault="00EA6CD3" w:rsidP="00E15447">
      <w:pPr>
        <w:pStyle w:val="BodyText"/>
        <w:rPr>
          <w:b/>
          <w:sz w:val="26"/>
          <w:szCs w:val="26"/>
        </w:rPr>
      </w:pPr>
    </w:p>
    <w:tbl>
      <w:tblPr>
        <w:tblpPr w:leftFromText="180" w:rightFromText="180" w:vertAnchor="text" w:tblpX="15" w:tblpY="1"/>
        <w:tblOverlap w:val="never"/>
        <w:tblW w:w="9087"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1843"/>
        <w:gridCol w:w="6945"/>
      </w:tblGrid>
      <w:tr w:rsidR="00EA6CD3" w:rsidRPr="003E5A6D" w:rsidTr="00695C89">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EA6CD3" w:rsidRPr="00486C60" w:rsidRDefault="00EA6CD3" w:rsidP="00695C89">
            <w:pPr>
              <w:ind w:firstLine="720"/>
              <w:jc w:val="center"/>
              <w:rPr>
                <w:rFonts w:eastAsia="Times New Roman"/>
                <w:b/>
                <w:sz w:val="26"/>
                <w:szCs w:val="26"/>
                <w:lang w:val="lv-LV" w:eastAsia="lv-LV"/>
              </w:rPr>
            </w:pPr>
            <w:r w:rsidRPr="00486C60">
              <w:rPr>
                <w:rFonts w:eastAsia="Times New Roman"/>
                <w:b/>
                <w:sz w:val="26"/>
                <w:szCs w:val="26"/>
                <w:lang w:val="lv-LV" w:eastAsia="lv-LV"/>
              </w:rPr>
              <w:t>I.Tiesību akta projekta izstrādes nepieciešamība</w:t>
            </w:r>
          </w:p>
        </w:tc>
      </w:tr>
      <w:tr w:rsidR="00EA6CD3" w:rsidRPr="003E5A6D" w:rsidTr="00695C89">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86C60" w:rsidRDefault="00EA6CD3" w:rsidP="00695C89">
            <w:pPr>
              <w:jc w:val="both"/>
              <w:rPr>
                <w:rFonts w:eastAsia="Times New Roman"/>
                <w:sz w:val="26"/>
                <w:szCs w:val="26"/>
                <w:lang w:val="lv-LV" w:eastAsia="lv-LV"/>
              </w:rPr>
            </w:pPr>
            <w:r w:rsidRPr="00486C60">
              <w:rPr>
                <w:rFonts w:eastAsia="Times New Roman"/>
                <w:sz w:val="26"/>
                <w:szCs w:val="26"/>
                <w:lang w:val="lv-LV" w:eastAsia="lv-LV"/>
              </w:rPr>
              <w:t>1.</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86C60" w:rsidRDefault="00EA6CD3" w:rsidP="00695C89">
            <w:pPr>
              <w:jc w:val="both"/>
              <w:rPr>
                <w:rFonts w:eastAsia="Times New Roman"/>
                <w:sz w:val="26"/>
                <w:szCs w:val="26"/>
                <w:lang w:val="lv-LV" w:eastAsia="lv-LV"/>
              </w:rPr>
            </w:pPr>
            <w:r w:rsidRPr="00486C60">
              <w:rPr>
                <w:rFonts w:eastAsia="Times New Roman"/>
                <w:sz w:val="26"/>
                <w:szCs w:val="26"/>
                <w:lang w:val="lv-LV" w:eastAsia="lv-LV"/>
              </w:rPr>
              <w:t>Pamatojums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86C60" w:rsidRDefault="00E62286" w:rsidP="00695C89">
            <w:pPr>
              <w:ind w:firstLine="709"/>
              <w:jc w:val="both"/>
              <w:rPr>
                <w:sz w:val="26"/>
                <w:szCs w:val="26"/>
                <w:lang w:val="lv-LV"/>
              </w:rPr>
            </w:pPr>
            <w:r w:rsidRPr="00486C60">
              <w:rPr>
                <w:sz w:val="26"/>
                <w:szCs w:val="26"/>
                <w:lang w:val="lv-LV"/>
              </w:rPr>
              <w:t>Noteikumu projekts sagatavots, pamatojoties uz Eiropas Savienības struktūrfondu un Kohēzijas fonda vadības likuma 18.panta 10.punktu.</w:t>
            </w:r>
          </w:p>
        </w:tc>
      </w:tr>
      <w:tr w:rsidR="00EA6CD3" w:rsidRPr="003E5A6D" w:rsidTr="00695C89">
        <w:trPr>
          <w:trHeight w:val="50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86C60" w:rsidRDefault="00EA6CD3" w:rsidP="00695C89">
            <w:pPr>
              <w:jc w:val="both"/>
              <w:rPr>
                <w:rFonts w:eastAsia="Times New Roman"/>
                <w:sz w:val="26"/>
                <w:szCs w:val="26"/>
                <w:lang w:val="lv-LV" w:eastAsia="lv-LV"/>
              </w:rPr>
            </w:pPr>
            <w:r w:rsidRPr="00486C60">
              <w:rPr>
                <w:rFonts w:eastAsia="Times New Roman"/>
                <w:sz w:val="26"/>
                <w:szCs w:val="26"/>
                <w:lang w:val="lv-LV" w:eastAsia="lv-LV"/>
              </w:rPr>
              <w:t>2.</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86C60" w:rsidRDefault="00EA6CD3" w:rsidP="00695C89">
            <w:pPr>
              <w:jc w:val="both"/>
              <w:rPr>
                <w:rFonts w:eastAsia="Times New Roman"/>
                <w:sz w:val="26"/>
                <w:szCs w:val="26"/>
                <w:lang w:val="lv-LV" w:eastAsia="lv-LV"/>
              </w:rPr>
            </w:pPr>
            <w:r w:rsidRPr="00486C60">
              <w:rPr>
                <w:rFonts w:eastAsia="Times New Roman"/>
                <w:sz w:val="26"/>
                <w:szCs w:val="26"/>
                <w:lang w:val="lv-LV" w:eastAsia="lv-LV"/>
              </w:rPr>
              <w:t>Pašreizējā situācija un problēmas</w:t>
            </w:r>
            <w:r w:rsidR="00186A4D" w:rsidRPr="00486C60">
              <w:rPr>
                <w:rFonts w:eastAsia="Times New Roman"/>
                <w:sz w:val="26"/>
                <w:szCs w:val="26"/>
                <w:lang w:val="lv-LV" w:eastAsia="lv-LV"/>
              </w:rPr>
              <w:t>, kuru risināšanai tiesību akta projekts izstrādāts, tiesiskā regulējuma mērķis un būtība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187140" w:rsidRPr="00486C60" w:rsidRDefault="00A229AC" w:rsidP="00695C89">
            <w:pPr>
              <w:ind w:firstLine="709"/>
              <w:jc w:val="both"/>
              <w:rPr>
                <w:sz w:val="26"/>
                <w:szCs w:val="26"/>
                <w:lang w:val="lv-LV"/>
              </w:rPr>
            </w:pPr>
            <w:r w:rsidRPr="00486C60">
              <w:rPr>
                <w:sz w:val="26"/>
                <w:szCs w:val="26"/>
                <w:lang w:val="lv-LV"/>
              </w:rPr>
              <w:t>Ministru kabineta 2011.gada 2.augusta noteikumi Nr.61</w:t>
            </w:r>
            <w:r w:rsidR="00E62286" w:rsidRPr="00486C60">
              <w:rPr>
                <w:sz w:val="26"/>
                <w:szCs w:val="26"/>
                <w:lang w:val="lv-LV"/>
              </w:rPr>
              <w:t>4</w:t>
            </w:r>
            <w:r w:rsidRPr="00486C60">
              <w:rPr>
                <w:sz w:val="26"/>
                <w:szCs w:val="26"/>
                <w:lang w:val="lv-LV"/>
              </w:rPr>
              <w:t xml:space="preserve"> „Noteikumi par </w:t>
            </w:r>
            <w:r w:rsidR="00E62286" w:rsidRPr="00486C60">
              <w:rPr>
                <w:sz w:val="26"/>
                <w:szCs w:val="26"/>
                <w:lang w:val="lv-LV"/>
              </w:rPr>
              <w:t>darbības programmas „Uzņēmējdarbība un inovācijas” papildinājuma 2.2.1.4.2.apakšaktivitāti „Mezanīna aizdevumi investīcijām komersantu konkurētspējas uzlabošanai</w:t>
            </w:r>
            <w:r w:rsidRPr="00486C60">
              <w:rPr>
                <w:sz w:val="26"/>
                <w:szCs w:val="26"/>
                <w:lang w:val="lv-LV"/>
              </w:rPr>
              <w:t>”</w:t>
            </w:r>
            <w:r w:rsidR="006B6DD1" w:rsidRPr="00486C60">
              <w:rPr>
                <w:sz w:val="26"/>
                <w:szCs w:val="26"/>
                <w:lang w:val="lv-LV"/>
              </w:rPr>
              <w:t>”</w:t>
            </w:r>
            <w:r w:rsidRPr="00486C60">
              <w:rPr>
                <w:sz w:val="26"/>
                <w:szCs w:val="26"/>
                <w:lang w:val="lv-LV"/>
              </w:rPr>
              <w:t xml:space="preserve"> (turpmāk - MK noteikumi Nr.61</w:t>
            </w:r>
            <w:r w:rsidR="00E62286" w:rsidRPr="00486C60">
              <w:rPr>
                <w:sz w:val="26"/>
                <w:szCs w:val="26"/>
                <w:lang w:val="lv-LV"/>
              </w:rPr>
              <w:t>4</w:t>
            </w:r>
            <w:r w:rsidRPr="00486C60">
              <w:rPr>
                <w:sz w:val="26"/>
                <w:szCs w:val="26"/>
                <w:lang w:val="lv-LV"/>
              </w:rPr>
              <w:t>) ir normatīvais akts, k</w:t>
            </w:r>
            <w:r w:rsidR="006B6DD1" w:rsidRPr="00486C60">
              <w:rPr>
                <w:sz w:val="26"/>
                <w:szCs w:val="26"/>
                <w:lang w:val="lv-LV"/>
              </w:rPr>
              <w:t>as</w:t>
            </w:r>
            <w:r w:rsidRPr="00486C60">
              <w:rPr>
                <w:sz w:val="26"/>
                <w:szCs w:val="26"/>
                <w:lang w:val="lv-LV"/>
              </w:rPr>
              <w:t xml:space="preserve"> nosaka </w:t>
            </w:r>
            <w:r w:rsidR="00E62286" w:rsidRPr="00486C60">
              <w:rPr>
                <w:sz w:val="26"/>
                <w:szCs w:val="26"/>
                <w:lang w:val="lv-LV"/>
              </w:rPr>
              <w:t xml:space="preserve">kārtību, kādā tiek īstenota 2.2.1.4.2.apakšaktivitāte „Mezanīna aizdevumi investīcijām komersantu konkurētspējas uzlabošanai” (turpmāk </w:t>
            </w:r>
            <w:r w:rsidR="00FB3C82" w:rsidRPr="00486C60">
              <w:rPr>
                <w:sz w:val="26"/>
                <w:szCs w:val="26"/>
                <w:lang w:val="lv-LV"/>
              </w:rPr>
              <w:t xml:space="preserve">- </w:t>
            </w:r>
            <w:r w:rsidR="00E62286" w:rsidRPr="00486C60">
              <w:rPr>
                <w:sz w:val="26"/>
                <w:szCs w:val="26"/>
                <w:lang w:val="lv-LV"/>
              </w:rPr>
              <w:t>2.2.1.4.2.aktivitāte) un prasības</w:t>
            </w:r>
            <w:r w:rsidR="00FB3C82" w:rsidRPr="00486C60">
              <w:rPr>
                <w:sz w:val="26"/>
                <w:szCs w:val="26"/>
                <w:lang w:val="lv-LV"/>
              </w:rPr>
              <w:t xml:space="preserve"> 2.2.1.4.2.aktivitātes ieviesējam</w:t>
            </w:r>
            <w:r w:rsidR="001E486A" w:rsidRPr="00486C60">
              <w:rPr>
                <w:sz w:val="26"/>
                <w:szCs w:val="26"/>
                <w:lang w:val="lv-LV"/>
              </w:rPr>
              <w:t>,</w:t>
            </w:r>
            <w:r w:rsidR="00E62286" w:rsidRPr="00486C60">
              <w:rPr>
                <w:sz w:val="26"/>
                <w:szCs w:val="26"/>
                <w:lang w:val="lv-LV"/>
              </w:rPr>
              <w:t xml:space="preserve"> atbilstoši kurām tika izvēlēta sabiedrība ar ierobežotu atbildību „Latvijas Garantiju aģentūra” (turpmāk – LGA).</w:t>
            </w:r>
            <w:r w:rsidRPr="00486C60">
              <w:rPr>
                <w:sz w:val="26"/>
                <w:szCs w:val="26"/>
                <w:lang w:val="lv-LV"/>
              </w:rPr>
              <w:t xml:space="preserve"> </w:t>
            </w:r>
          </w:p>
          <w:p w:rsidR="00B4152D" w:rsidRPr="00486C60" w:rsidRDefault="006B6DD1" w:rsidP="00695C89">
            <w:pPr>
              <w:ind w:firstLine="709"/>
              <w:jc w:val="both"/>
              <w:rPr>
                <w:sz w:val="26"/>
                <w:szCs w:val="26"/>
                <w:lang w:val="lv-LV"/>
              </w:rPr>
            </w:pPr>
            <w:r w:rsidRPr="00486C60">
              <w:rPr>
                <w:sz w:val="26"/>
                <w:szCs w:val="26"/>
                <w:lang w:val="lv-LV"/>
              </w:rPr>
              <w:t xml:space="preserve">Saskaņā ar </w:t>
            </w:r>
            <w:r w:rsidR="0093481F" w:rsidRPr="00486C60">
              <w:rPr>
                <w:sz w:val="26"/>
                <w:szCs w:val="26"/>
                <w:lang w:val="lv-LV"/>
              </w:rPr>
              <w:t xml:space="preserve">Ekonomikas ministrijas (turpmāk – </w:t>
            </w:r>
            <w:r w:rsidR="00B4152D" w:rsidRPr="00486C60">
              <w:rPr>
                <w:sz w:val="26"/>
                <w:szCs w:val="26"/>
                <w:lang w:val="lv-LV"/>
              </w:rPr>
              <w:t>EM</w:t>
            </w:r>
            <w:r w:rsidR="0093481F" w:rsidRPr="00486C60">
              <w:rPr>
                <w:sz w:val="26"/>
                <w:szCs w:val="26"/>
                <w:lang w:val="lv-LV"/>
              </w:rPr>
              <w:t>)</w:t>
            </w:r>
            <w:r w:rsidR="00B4152D" w:rsidRPr="00486C60">
              <w:rPr>
                <w:sz w:val="26"/>
                <w:szCs w:val="26"/>
                <w:lang w:val="lv-LV"/>
              </w:rPr>
              <w:t xml:space="preserve"> 2014.</w:t>
            </w:r>
            <w:r w:rsidRPr="00486C60">
              <w:rPr>
                <w:sz w:val="26"/>
                <w:szCs w:val="26"/>
                <w:lang w:val="lv-LV"/>
              </w:rPr>
              <w:t xml:space="preserve">gadā veikto </w:t>
            </w:r>
            <w:r w:rsidR="00B4152D" w:rsidRPr="00486C60">
              <w:rPr>
                <w:sz w:val="26"/>
                <w:szCs w:val="26"/>
                <w:lang w:val="lv-LV"/>
              </w:rPr>
              <w:t xml:space="preserve">tirgus nepilnību analīzi mezanīna </w:t>
            </w:r>
            <w:r w:rsidRPr="00486C60">
              <w:rPr>
                <w:sz w:val="26"/>
                <w:szCs w:val="26"/>
                <w:lang w:val="lv-LV"/>
              </w:rPr>
              <w:t xml:space="preserve">aizdevumu </w:t>
            </w:r>
            <w:r w:rsidR="00B4152D" w:rsidRPr="00486C60">
              <w:rPr>
                <w:sz w:val="26"/>
                <w:szCs w:val="26"/>
                <w:lang w:val="lv-LV"/>
              </w:rPr>
              <w:t xml:space="preserve">instruments ir </w:t>
            </w:r>
            <w:r w:rsidR="00222D5E" w:rsidRPr="00486C60">
              <w:rPr>
                <w:sz w:val="26"/>
                <w:szCs w:val="26"/>
                <w:lang w:val="lv-LV"/>
              </w:rPr>
              <w:t>nepieciešams</w:t>
            </w:r>
            <w:r w:rsidR="00B4152D" w:rsidRPr="00486C60">
              <w:rPr>
                <w:sz w:val="26"/>
                <w:szCs w:val="26"/>
                <w:lang w:val="lv-LV"/>
              </w:rPr>
              <w:t xml:space="preserve">, lai nodrošinātu finansējuma pieejamību </w:t>
            </w:r>
            <w:r w:rsidR="00222D5E" w:rsidRPr="00486C60">
              <w:rPr>
                <w:sz w:val="26"/>
                <w:szCs w:val="26"/>
                <w:lang w:val="lv-LV"/>
              </w:rPr>
              <w:t xml:space="preserve">tiem saimnieciskās darbības veicējiem, kuriem ir nepietiekams nodrošinājums, lai piesaistītu finansējumu no komercbankām vai to meitas sabiedrībām projekta īstenošanai  nepieciešamajā apjomā, un ir piemērots tiem saimnieciskās darbības veicējiem, kuriem ir nepieciešami īpaši, saimnieciskās darbības veicēja neto naudas plūsmai atbilstoši aizdevuma atmaksas nosacījumi. </w:t>
            </w:r>
          </w:p>
          <w:p w:rsidR="00A24428" w:rsidRPr="00486C60" w:rsidRDefault="00672FF8" w:rsidP="00A24428">
            <w:pPr>
              <w:ind w:firstLine="709"/>
              <w:jc w:val="both"/>
              <w:rPr>
                <w:sz w:val="26"/>
                <w:szCs w:val="26"/>
                <w:lang w:val="lv-LV"/>
              </w:rPr>
            </w:pPr>
            <w:r w:rsidRPr="00486C60">
              <w:rPr>
                <w:sz w:val="26"/>
                <w:szCs w:val="26"/>
                <w:lang w:val="lv-LV"/>
              </w:rPr>
              <w:t>F</w:t>
            </w:r>
            <w:r w:rsidR="00E62286" w:rsidRPr="00486C60">
              <w:rPr>
                <w:sz w:val="26"/>
                <w:szCs w:val="26"/>
                <w:lang w:val="lv-LV"/>
              </w:rPr>
              <w:t>inansējuma apguves veicināšanas nolūkā tiek v</w:t>
            </w:r>
            <w:r w:rsidR="006B6DD1" w:rsidRPr="00486C60">
              <w:rPr>
                <w:sz w:val="26"/>
                <w:szCs w:val="26"/>
                <w:lang w:val="lv-LV"/>
              </w:rPr>
              <w:t>irzīti</w:t>
            </w:r>
            <w:r w:rsidR="00E62286" w:rsidRPr="00486C60">
              <w:rPr>
                <w:sz w:val="26"/>
                <w:szCs w:val="26"/>
                <w:lang w:val="lv-LV"/>
              </w:rPr>
              <w:t xml:space="preserve"> grozījumi darbības programmas „Uzņēmējdarbība un inovācijas” papildinājumā (turpmāk – DPP)</w:t>
            </w:r>
            <w:r w:rsidR="002E3677" w:rsidRPr="00486C60">
              <w:rPr>
                <w:sz w:val="26"/>
                <w:szCs w:val="26"/>
                <w:lang w:val="lv-LV"/>
              </w:rPr>
              <w:t>,</w:t>
            </w:r>
            <w:r w:rsidR="00E62286" w:rsidRPr="00486C60">
              <w:rPr>
                <w:sz w:val="26"/>
                <w:szCs w:val="26"/>
                <w:lang w:val="lv-LV"/>
              </w:rPr>
              <w:t xml:space="preserve"> un </w:t>
            </w:r>
            <w:r w:rsidR="000C581E" w:rsidRPr="00486C60">
              <w:rPr>
                <w:sz w:val="26"/>
                <w:szCs w:val="26"/>
                <w:lang w:val="lv-LV"/>
              </w:rPr>
              <w:t>ir spēkā stājušies jauni mezanīna programmas valsts atbalsta noteikumi</w:t>
            </w:r>
            <w:r w:rsidR="006B6DD1" w:rsidRPr="00486C60">
              <w:rPr>
                <w:sz w:val="26"/>
                <w:szCs w:val="26"/>
                <w:lang w:val="lv-LV"/>
              </w:rPr>
              <w:t xml:space="preserve"> </w:t>
            </w:r>
            <w:r w:rsidR="000C581E" w:rsidRPr="00486C60">
              <w:rPr>
                <w:sz w:val="26"/>
                <w:szCs w:val="26"/>
                <w:lang w:val="lv-LV"/>
              </w:rPr>
              <w:t xml:space="preserve">- </w:t>
            </w:r>
            <w:r w:rsidR="00FB3C82" w:rsidRPr="00486C60">
              <w:rPr>
                <w:sz w:val="26"/>
                <w:szCs w:val="26"/>
                <w:lang w:val="lv-LV"/>
              </w:rPr>
              <w:t>Ministru kabineta</w:t>
            </w:r>
            <w:r w:rsidR="00E62286" w:rsidRPr="00486C60">
              <w:rPr>
                <w:sz w:val="26"/>
                <w:szCs w:val="26"/>
                <w:lang w:val="lv-LV"/>
              </w:rPr>
              <w:t xml:space="preserve"> </w:t>
            </w:r>
            <w:r w:rsidR="000C581E" w:rsidRPr="00486C60">
              <w:rPr>
                <w:sz w:val="26"/>
                <w:szCs w:val="26"/>
                <w:lang w:val="lv-LV"/>
              </w:rPr>
              <w:t xml:space="preserve">2014.gada 13.maija noteikumi Nr.241 </w:t>
            </w:r>
            <w:r w:rsidR="00E62286" w:rsidRPr="00486C60">
              <w:rPr>
                <w:sz w:val="26"/>
                <w:szCs w:val="26"/>
                <w:lang w:val="lv-LV"/>
              </w:rPr>
              <w:t>„Noteikumi par mezanīna aizdevumiem saimnieciskās darbības veicēju konkurētspējas uzlabošanai”</w:t>
            </w:r>
            <w:r w:rsidR="000C581E" w:rsidRPr="00486C60">
              <w:rPr>
                <w:sz w:val="26"/>
                <w:szCs w:val="26"/>
                <w:lang w:val="lv-LV"/>
              </w:rPr>
              <w:t xml:space="preserve"> (turpmāk MK noteikumi Nr.241) -</w:t>
            </w:r>
            <w:r w:rsidR="00E62286" w:rsidRPr="00486C60">
              <w:rPr>
                <w:sz w:val="26"/>
                <w:szCs w:val="26"/>
                <w:lang w:val="lv-LV"/>
              </w:rPr>
              <w:t>, kas aizstā</w:t>
            </w:r>
            <w:r w:rsidR="006B6DD1" w:rsidRPr="00486C60">
              <w:rPr>
                <w:sz w:val="26"/>
                <w:szCs w:val="26"/>
                <w:lang w:val="lv-LV"/>
              </w:rPr>
              <w:t>j</w:t>
            </w:r>
            <w:r w:rsidR="00E62286" w:rsidRPr="00486C60">
              <w:rPr>
                <w:sz w:val="26"/>
                <w:szCs w:val="26"/>
                <w:lang w:val="lv-LV"/>
              </w:rPr>
              <w:t xml:space="preserve"> spēkā esošos </w:t>
            </w:r>
            <w:r w:rsidRPr="00486C60">
              <w:rPr>
                <w:sz w:val="26"/>
                <w:szCs w:val="26"/>
                <w:lang w:val="lv-LV"/>
              </w:rPr>
              <w:t>Ministru kabineta 2011.gada 2.augusta noteikumus Nr.613 „Noteikumi par mezanīna aizdevumiem saimnieciskās darbības veicēju konkurētspējas uzlabošanai” (turpmāk – MK noteikumi Nr.613). Ņemot vērā minēto, ir jāveic vairāku normu grozījumi MK noteikumu Nr.614 ietvaros.</w:t>
            </w:r>
          </w:p>
          <w:p w:rsidR="00695C89" w:rsidRPr="00486C60" w:rsidRDefault="00672FF8" w:rsidP="00FB3C82">
            <w:pPr>
              <w:ind w:firstLine="723"/>
              <w:jc w:val="both"/>
              <w:rPr>
                <w:sz w:val="26"/>
                <w:szCs w:val="26"/>
                <w:lang w:val="lv-LV"/>
              </w:rPr>
            </w:pPr>
            <w:r w:rsidRPr="00486C60">
              <w:rPr>
                <w:sz w:val="26"/>
                <w:szCs w:val="26"/>
                <w:lang w:val="lv-LV"/>
              </w:rPr>
              <w:t>At</w:t>
            </w:r>
            <w:r w:rsidR="002E3677" w:rsidRPr="00486C60">
              <w:rPr>
                <w:sz w:val="26"/>
                <w:szCs w:val="26"/>
                <w:lang w:val="lv-LV"/>
              </w:rPr>
              <w:t xml:space="preserve">bilstoši MK noteikumiem Nr.614 </w:t>
            </w:r>
            <w:r w:rsidRPr="00486C60">
              <w:rPr>
                <w:sz w:val="26"/>
                <w:szCs w:val="26"/>
                <w:lang w:val="lv-LV"/>
              </w:rPr>
              <w:t>2.2.1.4.2.aktivitātē pieejamais finansējums ir noteikts</w:t>
            </w:r>
            <w:r w:rsidR="00354ABE" w:rsidRPr="00486C60">
              <w:rPr>
                <w:sz w:val="26"/>
                <w:szCs w:val="26"/>
                <w:lang w:val="lv-LV"/>
              </w:rPr>
              <w:t xml:space="preserve"> 18 664 271 </w:t>
            </w:r>
            <w:r w:rsidR="00354ABE" w:rsidRPr="00486C60">
              <w:rPr>
                <w:i/>
                <w:sz w:val="26"/>
                <w:szCs w:val="26"/>
                <w:lang w:val="lv-LV"/>
              </w:rPr>
              <w:t>euro</w:t>
            </w:r>
            <w:r w:rsidRPr="00486C60">
              <w:rPr>
                <w:sz w:val="26"/>
                <w:szCs w:val="26"/>
                <w:lang w:val="lv-LV"/>
              </w:rPr>
              <w:t>.</w:t>
            </w:r>
            <w:r w:rsidR="00354ABE" w:rsidRPr="00486C60">
              <w:rPr>
                <w:sz w:val="26"/>
                <w:szCs w:val="26"/>
                <w:lang w:val="lv-LV"/>
              </w:rPr>
              <w:t xml:space="preserve"> </w:t>
            </w:r>
            <w:r w:rsidRPr="00486C60">
              <w:rPr>
                <w:sz w:val="26"/>
                <w:szCs w:val="26"/>
                <w:lang w:val="lv-LV"/>
              </w:rPr>
              <w:t xml:space="preserve">Tiek veikti grozījumi DPP, kas nosaka 2.2.1.4.2.aktivitātei pieejamo </w:t>
            </w:r>
            <w:r w:rsidRPr="00486C60">
              <w:rPr>
                <w:sz w:val="26"/>
                <w:szCs w:val="26"/>
                <w:lang w:val="lv-LV"/>
              </w:rPr>
              <w:lastRenderedPageBreak/>
              <w:t xml:space="preserve">finansējumu 18 631 222 </w:t>
            </w:r>
            <w:r w:rsidRPr="00486C60">
              <w:rPr>
                <w:i/>
                <w:sz w:val="26"/>
                <w:szCs w:val="26"/>
                <w:lang w:val="lv-LV"/>
              </w:rPr>
              <w:t>euro</w:t>
            </w:r>
            <w:r w:rsidRPr="00486C60">
              <w:rPr>
                <w:sz w:val="26"/>
                <w:szCs w:val="26"/>
                <w:lang w:val="lv-LV"/>
              </w:rPr>
              <w:t xml:space="preserve"> apmērā, kur Eiropas Reģionālās attīstības fonda finansējums </w:t>
            </w:r>
            <w:r w:rsidR="0048441E" w:rsidRPr="00486C60">
              <w:rPr>
                <w:sz w:val="26"/>
                <w:szCs w:val="26"/>
                <w:lang w:val="lv-LV"/>
              </w:rPr>
              <w:t xml:space="preserve">(turpmāk – ERAF) </w:t>
            </w:r>
            <w:r w:rsidRPr="00486C60">
              <w:rPr>
                <w:sz w:val="26"/>
                <w:szCs w:val="26"/>
                <w:lang w:val="lv-LV"/>
              </w:rPr>
              <w:t xml:space="preserve">ir 15 151 685 </w:t>
            </w:r>
            <w:r w:rsidRPr="00486C60">
              <w:rPr>
                <w:i/>
                <w:sz w:val="26"/>
                <w:szCs w:val="26"/>
                <w:lang w:val="lv-LV"/>
              </w:rPr>
              <w:t>euro</w:t>
            </w:r>
            <w:r w:rsidRPr="00486C60">
              <w:rPr>
                <w:sz w:val="26"/>
                <w:szCs w:val="26"/>
                <w:lang w:val="lv-LV"/>
              </w:rPr>
              <w:t xml:space="preserve"> un valsts budžeta finansējums</w:t>
            </w:r>
            <w:r w:rsidR="00FB3C82" w:rsidRPr="00486C60">
              <w:rPr>
                <w:sz w:val="26"/>
                <w:szCs w:val="26"/>
                <w:lang w:val="lv-LV"/>
              </w:rPr>
              <w:t xml:space="preserve"> </w:t>
            </w:r>
            <w:r w:rsidRPr="00486C60">
              <w:rPr>
                <w:sz w:val="26"/>
                <w:szCs w:val="26"/>
                <w:lang w:val="lv-LV"/>
              </w:rPr>
              <w:t xml:space="preserve">ir 3 479 537 </w:t>
            </w:r>
            <w:r w:rsidRPr="00486C60">
              <w:rPr>
                <w:i/>
                <w:sz w:val="26"/>
                <w:szCs w:val="26"/>
                <w:lang w:val="lv-LV"/>
              </w:rPr>
              <w:t>euro</w:t>
            </w:r>
            <w:r w:rsidRPr="00486C60">
              <w:rPr>
                <w:sz w:val="26"/>
                <w:szCs w:val="26"/>
                <w:lang w:val="lv-LV"/>
              </w:rPr>
              <w:t xml:space="preserve">. </w:t>
            </w:r>
            <w:r w:rsidR="00FF349B" w:rsidRPr="00486C60">
              <w:rPr>
                <w:sz w:val="26"/>
                <w:szCs w:val="26"/>
                <w:lang w:val="lv-LV"/>
              </w:rPr>
              <w:t>Ņemot vērā, ka nav pieļaujama situācija, kad MK noteikumos Nr.614 noteikta</w:t>
            </w:r>
            <w:r w:rsidR="0093481F" w:rsidRPr="00486C60">
              <w:rPr>
                <w:sz w:val="26"/>
                <w:szCs w:val="26"/>
                <w:lang w:val="lv-LV"/>
              </w:rPr>
              <w:t>i</w:t>
            </w:r>
            <w:r w:rsidR="00FF349B" w:rsidRPr="00486C60">
              <w:rPr>
                <w:sz w:val="26"/>
                <w:szCs w:val="26"/>
                <w:lang w:val="lv-LV"/>
              </w:rPr>
              <w:t>s 2.2.1.4.2.aktivitātei pieejamais finansējums, kā arī finansējums sadalījumā pa finansēšanas avotiem</w:t>
            </w:r>
            <w:r w:rsidR="00222D5E" w:rsidRPr="00486C60">
              <w:rPr>
                <w:sz w:val="26"/>
                <w:szCs w:val="26"/>
                <w:lang w:val="lv-LV"/>
              </w:rPr>
              <w:t xml:space="preserve"> </w:t>
            </w:r>
            <w:r w:rsidR="00FF349B" w:rsidRPr="00486C60">
              <w:rPr>
                <w:sz w:val="26"/>
                <w:szCs w:val="26"/>
                <w:lang w:val="lv-LV"/>
              </w:rPr>
              <w:t xml:space="preserve">pārsniedz faktiski </w:t>
            </w:r>
            <w:r w:rsidR="00222D5E" w:rsidRPr="00486C60">
              <w:rPr>
                <w:sz w:val="26"/>
                <w:szCs w:val="26"/>
                <w:lang w:val="lv-LV"/>
              </w:rPr>
              <w:t xml:space="preserve">2.2.1.4.2.aktivitātei </w:t>
            </w:r>
            <w:r w:rsidR="00FF349B" w:rsidRPr="00486C60">
              <w:rPr>
                <w:sz w:val="26"/>
                <w:szCs w:val="26"/>
                <w:lang w:val="lv-LV"/>
              </w:rPr>
              <w:t xml:space="preserve">pieejamā finansējuma apmēru, kas ir  noteikts DPP, līdzšinējais ES fondu finansējums MK noteikumu Nr.614 ietvaros tiek samazināts par 33 049 </w:t>
            </w:r>
            <w:r w:rsidR="00FF349B" w:rsidRPr="00486C60">
              <w:rPr>
                <w:i/>
                <w:sz w:val="26"/>
                <w:szCs w:val="26"/>
                <w:lang w:val="lv-LV"/>
              </w:rPr>
              <w:t>euro</w:t>
            </w:r>
            <w:r w:rsidR="00222D5E" w:rsidRPr="00486C60">
              <w:rPr>
                <w:i/>
                <w:sz w:val="26"/>
                <w:szCs w:val="26"/>
                <w:lang w:val="lv-LV"/>
              </w:rPr>
              <w:t xml:space="preserve">. </w:t>
            </w:r>
            <w:r w:rsidR="00FF349B" w:rsidRPr="00486C60">
              <w:rPr>
                <w:i/>
                <w:sz w:val="26"/>
                <w:szCs w:val="26"/>
                <w:lang w:val="lv-LV"/>
              </w:rPr>
              <w:t xml:space="preserve"> </w:t>
            </w:r>
            <w:r w:rsidR="00222D5E" w:rsidRPr="00486C60">
              <w:rPr>
                <w:sz w:val="26"/>
                <w:szCs w:val="26"/>
                <w:lang w:val="lv-LV"/>
              </w:rPr>
              <w:t>Savukārt,</w:t>
            </w:r>
            <w:r w:rsidR="00222D5E" w:rsidRPr="00486C60">
              <w:rPr>
                <w:i/>
                <w:sz w:val="26"/>
                <w:szCs w:val="26"/>
                <w:lang w:val="lv-LV"/>
              </w:rPr>
              <w:t xml:space="preserve"> </w:t>
            </w:r>
            <w:r w:rsidR="00222D5E" w:rsidRPr="00486C60">
              <w:rPr>
                <w:sz w:val="26"/>
                <w:szCs w:val="26"/>
                <w:lang w:val="lv-LV"/>
              </w:rPr>
              <w:t>l</w:t>
            </w:r>
            <w:r w:rsidR="008364AF" w:rsidRPr="00486C60">
              <w:rPr>
                <w:sz w:val="26"/>
                <w:szCs w:val="26"/>
                <w:lang w:val="lv-LV"/>
              </w:rPr>
              <w:t>ai nodrošinātu 2007.-2013.gada plānošanas perioda finansējuma apguvi, p</w:t>
            </w:r>
            <w:r w:rsidRPr="00486C60">
              <w:rPr>
                <w:sz w:val="26"/>
                <w:szCs w:val="26"/>
                <w:lang w:val="lv-LV"/>
              </w:rPr>
              <w:t xml:space="preserve">apildus 18 631 222 </w:t>
            </w:r>
            <w:r w:rsidRPr="00486C60">
              <w:rPr>
                <w:i/>
                <w:sz w:val="26"/>
                <w:szCs w:val="26"/>
                <w:lang w:val="lv-LV"/>
              </w:rPr>
              <w:t>euro</w:t>
            </w:r>
            <w:r w:rsidRPr="00486C60">
              <w:rPr>
                <w:sz w:val="26"/>
                <w:szCs w:val="26"/>
                <w:lang w:val="lv-LV"/>
              </w:rPr>
              <w:t xml:space="preserve"> 2.2.1.4.2.aktivitātē ir paredzēts apgūt arī </w:t>
            </w:r>
            <w:r w:rsidR="00FB3C82" w:rsidRPr="00486C60">
              <w:rPr>
                <w:sz w:val="26"/>
                <w:szCs w:val="26"/>
                <w:lang w:val="lv-LV"/>
              </w:rPr>
              <w:t xml:space="preserve">procentu </w:t>
            </w:r>
            <w:r w:rsidRPr="00486C60">
              <w:rPr>
                <w:sz w:val="26"/>
                <w:szCs w:val="26"/>
                <w:lang w:val="lv-LV"/>
              </w:rPr>
              <w:t xml:space="preserve"> ieņēmumus, kas gūti 2.2.1.1.aktivitātes </w:t>
            </w:r>
            <w:r w:rsidR="008364AF" w:rsidRPr="00486C60">
              <w:rPr>
                <w:sz w:val="26"/>
                <w:szCs w:val="26"/>
                <w:lang w:val="lv-LV"/>
              </w:rPr>
              <w:t xml:space="preserve">„Ieguldījumu fonds investīcijām garantijās, paaugstināta riska aizdevumos, riska kapitāla fondos un cita veida finanšu instrumentos” (turpmāk – 2.2.1.1.aktivitāte) </w:t>
            </w:r>
            <w:r w:rsidRPr="00486C60">
              <w:rPr>
                <w:sz w:val="26"/>
                <w:szCs w:val="26"/>
                <w:lang w:val="lv-LV"/>
              </w:rPr>
              <w:t>un 2.2.1.4.2.aktivitātes ietvaros</w:t>
            </w:r>
            <w:r w:rsidR="008364AF" w:rsidRPr="00486C60">
              <w:rPr>
                <w:sz w:val="26"/>
                <w:szCs w:val="26"/>
                <w:lang w:val="lv-LV"/>
              </w:rPr>
              <w:t xml:space="preserve">. </w:t>
            </w:r>
            <w:r w:rsidR="00FB3C82" w:rsidRPr="00486C60">
              <w:rPr>
                <w:sz w:val="26"/>
                <w:szCs w:val="26"/>
                <w:lang w:val="lv-LV"/>
              </w:rPr>
              <w:t>Procentu</w:t>
            </w:r>
            <w:r w:rsidR="008364AF" w:rsidRPr="00486C60">
              <w:rPr>
                <w:sz w:val="26"/>
                <w:szCs w:val="26"/>
                <w:lang w:val="lv-LV"/>
              </w:rPr>
              <w:t xml:space="preserve"> ieņēmumi 2.2.1.1.aktivitātē </w:t>
            </w:r>
            <w:r w:rsidR="002E6455" w:rsidRPr="00486C60">
              <w:rPr>
                <w:sz w:val="26"/>
                <w:szCs w:val="26"/>
                <w:lang w:val="lv-LV"/>
              </w:rPr>
              <w:t xml:space="preserve">laikā uz 2014.gada 27.martu </w:t>
            </w:r>
            <w:r w:rsidR="008364AF" w:rsidRPr="00486C60">
              <w:rPr>
                <w:sz w:val="26"/>
                <w:szCs w:val="26"/>
                <w:lang w:val="lv-LV"/>
              </w:rPr>
              <w:t xml:space="preserve">sastāda </w:t>
            </w:r>
            <w:r w:rsidR="002E6455" w:rsidRPr="00486C60">
              <w:rPr>
                <w:sz w:val="26"/>
                <w:szCs w:val="26"/>
                <w:lang w:val="lv-LV"/>
              </w:rPr>
              <w:t>8 623 912,91</w:t>
            </w:r>
            <w:r w:rsidR="008364AF" w:rsidRPr="00486C60">
              <w:rPr>
                <w:sz w:val="26"/>
                <w:szCs w:val="26"/>
                <w:lang w:val="lv-LV"/>
              </w:rPr>
              <w:t xml:space="preserve"> </w:t>
            </w:r>
            <w:r w:rsidR="008364AF" w:rsidRPr="00486C60">
              <w:rPr>
                <w:i/>
                <w:sz w:val="26"/>
                <w:szCs w:val="26"/>
                <w:lang w:val="lv-LV"/>
              </w:rPr>
              <w:t xml:space="preserve">euro </w:t>
            </w:r>
            <w:r w:rsidR="008364AF" w:rsidRPr="00486C60">
              <w:rPr>
                <w:sz w:val="26"/>
                <w:szCs w:val="26"/>
                <w:lang w:val="lv-LV"/>
              </w:rPr>
              <w:t xml:space="preserve">un </w:t>
            </w:r>
            <w:r w:rsidR="00FB3C82" w:rsidRPr="00486C60">
              <w:rPr>
                <w:sz w:val="26"/>
                <w:szCs w:val="26"/>
                <w:lang w:val="lv-LV"/>
              </w:rPr>
              <w:t>procentu</w:t>
            </w:r>
            <w:r w:rsidR="008364AF" w:rsidRPr="00486C60">
              <w:rPr>
                <w:sz w:val="26"/>
                <w:szCs w:val="26"/>
                <w:lang w:val="lv-LV"/>
              </w:rPr>
              <w:t xml:space="preserve"> ieņēmumi 2.2.1.4.2.aktivitātē  - </w:t>
            </w:r>
            <w:r w:rsidR="002E6455" w:rsidRPr="00486C60">
              <w:rPr>
                <w:sz w:val="26"/>
                <w:szCs w:val="26"/>
                <w:lang w:val="lv-LV"/>
              </w:rPr>
              <w:t>2 525 418,64</w:t>
            </w:r>
            <w:r w:rsidR="008364AF" w:rsidRPr="00486C60">
              <w:rPr>
                <w:sz w:val="26"/>
                <w:szCs w:val="26"/>
                <w:lang w:val="lv-LV"/>
              </w:rPr>
              <w:t xml:space="preserve"> </w:t>
            </w:r>
            <w:r w:rsidR="008364AF" w:rsidRPr="00486C60">
              <w:rPr>
                <w:i/>
                <w:sz w:val="26"/>
                <w:szCs w:val="26"/>
                <w:lang w:val="lv-LV"/>
              </w:rPr>
              <w:t>euro</w:t>
            </w:r>
            <w:r w:rsidR="008364AF" w:rsidRPr="00486C60">
              <w:rPr>
                <w:sz w:val="26"/>
                <w:szCs w:val="26"/>
                <w:lang w:val="lv-LV"/>
              </w:rPr>
              <w:t xml:space="preserve">. </w:t>
            </w:r>
            <w:r w:rsidR="00FB3C82" w:rsidRPr="00486C60">
              <w:rPr>
                <w:sz w:val="26"/>
                <w:szCs w:val="26"/>
                <w:lang w:val="lv-LV"/>
              </w:rPr>
              <w:t>Procentu</w:t>
            </w:r>
            <w:r w:rsidR="008364AF" w:rsidRPr="00486C60">
              <w:rPr>
                <w:sz w:val="26"/>
                <w:szCs w:val="26"/>
                <w:lang w:val="lv-LV"/>
              </w:rPr>
              <w:t xml:space="preserve"> ieņēmumu sadalījums pa finansēšanas avotiem 2.2.1.1.aktivitātes </w:t>
            </w:r>
            <w:r w:rsidR="002E3677" w:rsidRPr="00486C60">
              <w:rPr>
                <w:sz w:val="26"/>
                <w:szCs w:val="26"/>
                <w:lang w:val="lv-LV"/>
              </w:rPr>
              <w:t xml:space="preserve"> un 2.2.1.4.2.aktivitātes </w:t>
            </w:r>
            <w:r w:rsidR="008364AF" w:rsidRPr="00486C60">
              <w:rPr>
                <w:sz w:val="26"/>
                <w:szCs w:val="26"/>
                <w:lang w:val="lv-LV"/>
              </w:rPr>
              <w:t xml:space="preserve">ietvaros </w:t>
            </w:r>
            <w:r w:rsidR="00695C89" w:rsidRPr="00486C60">
              <w:rPr>
                <w:sz w:val="26"/>
                <w:szCs w:val="26"/>
                <w:lang w:val="lv-LV"/>
              </w:rPr>
              <w:t>ir norādīts zemāk redzamajā tabulā</w:t>
            </w:r>
            <w:r w:rsidR="002E3677" w:rsidRPr="00486C60">
              <w:rPr>
                <w:sz w:val="26"/>
                <w:szCs w:val="26"/>
                <w:lang w:val="lv-LV"/>
              </w:rPr>
              <w:t>.</w:t>
            </w:r>
            <w:r w:rsidR="00695C89" w:rsidRPr="00486C60">
              <w:rPr>
                <w:sz w:val="26"/>
                <w:szCs w:val="26"/>
                <w:lang w:val="lv-LV"/>
              </w:rPr>
              <w:t xml:space="preserve"> </w:t>
            </w:r>
            <w:r w:rsidR="002E3677" w:rsidRPr="00486C60">
              <w:rPr>
                <w:sz w:val="26"/>
                <w:szCs w:val="26"/>
                <w:lang w:val="lv-LV"/>
              </w:rPr>
              <w:t xml:space="preserve">Atbilstoši grozījumiem DPP un </w:t>
            </w:r>
            <w:r w:rsidR="00FB3C82" w:rsidRPr="00486C60">
              <w:rPr>
                <w:sz w:val="26"/>
                <w:szCs w:val="26"/>
                <w:lang w:val="lv-LV"/>
              </w:rPr>
              <w:t>procentu</w:t>
            </w:r>
            <w:r w:rsidR="002E3677" w:rsidRPr="00486C60">
              <w:rPr>
                <w:sz w:val="26"/>
                <w:szCs w:val="26"/>
                <w:lang w:val="lv-LV"/>
              </w:rPr>
              <w:t xml:space="preserve"> ieņēmumiem 2.2.1.1.aktivitātē un 2.2.1.4.2.aktivitātē </w:t>
            </w:r>
            <w:r w:rsidR="00695C89" w:rsidRPr="00486C60">
              <w:rPr>
                <w:sz w:val="26"/>
                <w:szCs w:val="26"/>
                <w:lang w:val="lv-LV"/>
              </w:rPr>
              <w:t>noteikumu projekts nosaka</w:t>
            </w:r>
            <w:r w:rsidR="004B7A97" w:rsidRPr="00486C60">
              <w:rPr>
                <w:sz w:val="26"/>
                <w:szCs w:val="26"/>
                <w:lang w:val="lv-LV"/>
              </w:rPr>
              <w:t>, ka</w:t>
            </w:r>
            <w:r w:rsidR="00695C89" w:rsidRPr="00486C60">
              <w:rPr>
                <w:sz w:val="26"/>
                <w:szCs w:val="26"/>
                <w:lang w:val="lv-LV"/>
              </w:rPr>
              <w:t xml:space="preserve"> 2.2.1.4.2.aktivitāt</w:t>
            </w:r>
            <w:r w:rsidR="004B7A97" w:rsidRPr="00486C60">
              <w:rPr>
                <w:sz w:val="26"/>
                <w:szCs w:val="26"/>
                <w:lang w:val="lv-LV"/>
              </w:rPr>
              <w:t>ē</w:t>
            </w:r>
            <w:r w:rsidR="00695C89" w:rsidRPr="00486C60">
              <w:rPr>
                <w:sz w:val="26"/>
                <w:szCs w:val="26"/>
                <w:lang w:val="lv-LV"/>
              </w:rPr>
              <w:t xml:space="preserve"> pieejam</w:t>
            </w:r>
            <w:r w:rsidR="004B7A97" w:rsidRPr="00486C60">
              <w:rPr>
                <w:sz w:val="26"/>
                <w:szCs w:val="26"/>
                <w:lang w:val="lv-LV"/>
              </w:rPr>
              <w:t>ais publiskais</w:t>
            </w:r>
            <w:r w:rsidR="00695C89" w:rsidRPr="00486C60">
              <w:rPr>
                <w:sz w:val="26"/>
                <w:szCs w:val="26"/>
                <w:lang w:val="lv-LV"/>
              </w:rPr>
              <w:t xml:space="preserve"> finansējum</w:t>
            </w:r>
            <w:r w:rsidR="002E3677" w:rsidRPr="00486C60">
              <w:rPr>
                <w:sz w:val="26"/>
                <w:szCs w:val="26"/>
                <w:lang w:val="lv-LV"/>
              </w:rPr>
              <w:t>u</w:t>
            </w:r>
            <w:r w:rsidR="00695C89" w:rsidRPr="00486C60">
              <w:rPr>
                <w:sz w:val="26"/>
                <w:szCs w:val="26"/>
                <w:lang w:val="lv-LV"/>
              </w:rPr>
              <w:t xml:space="preserve"> </w:t>
            </w:r>
            <w:r w:rsidR="004B7A97" w:rsidRPr="00486C60">
              <w:rPr>
                <w:sz w:val="26"/>
                <w:szCs w:val="26"/>
                <w:lang w:val="lv-LV"/>
              </w:rPr>
              <w:t xml:space="preserve">ir 18 631 222 </w:t>
            </w:r>
            <w:r w:rsidR="004B7A97" w:rsidRPr="00486C60">
              <w:rPr>
                <w:i/>
                <w:sz w:val="26"/>
                <w:szCs w:val="26"/>
                <w:lang w:val="lv-LV"/>
              </w:rPr>
              <w:t>euro</w:t>
            </w:r>
            <w:r w:rsidR="004B7A97" w:rsidRPr="00486C60">
              <w:rPr>
                <w:sz w:val="26"/>
                <w:szCs w:val="26"/>
                <w:lang w:val="lv-LV"/>
              </w:rPr>
              <w:t xml:space="preserve">, tajā skaitā ERAF – 15 151 685 </w:t>
            </w:r>
            <w:r w:rsidR="004B7A97" w:rsidRPr="00486C60">
              <w:rPr>
                <w:i/>
                <w:sz w:val="26"/>
                <w:szCs w:val="26"/>
                <w:lang w:val="lv-LV"/>
              </w:rPr>
              <w:t>euro</w:t>
            </w:r>
            <w:r w:rsidR="004B7A97" w:rsidRPr="00486C60">
              <w:rPr>
                <w:sz w:val="26"/>
                <w:szCs w:val="26"/>
                <w:lang w:val="lv-LV"/>
              </w:rPr>
              <w:t xml:space="preserve"> un valsts budžeta finansējums – 3 479 537 </w:t>
            </w:r>
            <w:r w:rsidR="004B7A97" w:rsidRPr="00486C60">
              <w:rPr>
                <w:i/>
                <w:sz w:val="26"/>
                <w:szCs w:val="26"/>
                <w:lang w:val="lv-LV"/>
              </w:rPr>
              <w:t>euro</w:t>
            </w:r>
            <w:r w:rsidR="004B7A97" w:rsidRPr="00486C60">
              <w:rPr>
                <w:sz w:val="26"/>
                <w:szCs w:val="26"/>
                <w:lang w:val="lv-LV"/>
              </w:rPr>
              <w:t xml:space="preserve">. Savukārt 2.2.1.4.2.aktivitātei pieejamais papildu finansējums, ko veido procentu ieņēmumi no noguldījumiem 2.2.1.1.aktivitātes </w:t>
            </w:r>
            <w:r w:rsidR="00C20F6C" w:rsidRPr="00486C60">
              <w:rPr>
                <w:sz w:val="26"/>
                <w:szCs w:val="26"/>
                <w:lang w:val="lv-LV"/>
              </w:rPr>
              <w:t xml:space="preserve">ietvaros ir </w:t>
            </w:r>
            <w:r w:rsidR="002E6455" w:rsidRPr="00486C60">
              <w:rPr>
                <w:sz w:val="26"/>
                <w:szCs w:val="26"/>
                <w:lang w:val="lv-LV"/>
              </w:rPr>
              <w:t>8 623 912,91</w:t>
            </w:r>
            <w:r w:rsidR="00C20F6C" w:rsidRPr="00486C60">
              <w:rPr>
                <w:sz w:val="26"/>
                <w:szCs w:val="26"/>
                <w:lang w:val="lv-LV"/>
              </w:rPr>
              <w:t xml:space="preserve"> </w:t>
            </w:r>
            <w:r w:rsidR="00C20F6C" w:rsidRPr="00486C60">
              <w:rPr>
                <w:i/>
                <w:sz w:val="26"/>
                <w:szCs w:val="26"/>
                <w:lang w:val="lv-LV"/>
              </w:rPr>
              <w:t>euro</w:t>
            </w:r>
            <w:r w:rsidR="00C20F6C" w:rsidRPr="00486C60">
              <w:rPr>
                <w:sz w:val="26"/>
                <w:szCs w:val="26"/>
                <w:lang w:val="lv-LV"/>
              </w:rPr>
              <w:t xml:space="preserve"> </w:t>
            </w:r>
            <w:r w:rsidR="004B7A97" w:rsidRPr="00486C60">
              <w:rPr>
                <w:sz w:val="26"/>
                <w:szCs w:val="26"/>
                <w:lang w:val="lv-LV"/>
              </w:rPr>
              <w:t xml:space="preserve"> un</w:t>
            </w:r>
            <w:r w:rsidR="00C20F6C" w:rsidRPr="00486C60">
              <w:rPr>
                <w:sz w:val="26"/>
                <w:szCs w:val="26"/>
                <w:lang w:val="lv-LV"/>
              </w:rPr>
              <w:t xml:space="preserve"> procentu ieņēmumi</w:t>
            </w:r>
            <w:r w:rsidR="004B7A97" w:rsidRPr="00486C60">
              <w:rPr>
                <w:sz w:val="26"/>
                <w:szCs w:val="26"/>
                <w:lang w:val="lv-LV"/>
              </w:rPr>
              <w:t xml:space="preserve"> 2.2.1.4.2.aktivitātes </w:t>
            </w:r>
            <w:r w:rsidR="00C20F6C" w:rsidRPr="00486C60">
              <w:rPr>
                <w:sz w:val="26"/>
                <w:szCs w:val="26"/>
                <w:lang w:val="lv-LV"/>
              </w:rPr>
              <w:t xml:space="preserve">ietvaros ir </w:t>
            </w:r>
            <w:r w:rsidR="004B7A97" w:rsidRPr="00486C60">
              <w:rPr>
                <w:sz w:val="26"/>
                <w:szCs w:val="26"/>
                <w:lang w:val="lv-LV"/>
              </w:rPr>
              <w:t xml:space="preserve"> </w:t>
            </w:r>
            <w:r w:rsidR="002E6455" w:rsidRPr="00486C60">
              <w:rPr>
                <w:sz w:val="26"/>
                <w:szCs w:val="26"/>
                <w:lang w:val="lv-LV"/>
              </w:rPr>
              <w:t>2 525 418,64</w:t>
            </w:r>
            <w:r w:rsidR="00C20F6C" w:rsidRPr="00486C60">
              <w:rPr>
                <w:sz w:val="26"/>
                <w:szCs w:val="26"/>
                <w:lang w:val="lv-LV"/>
              </w:rPr>
              <w:t xml:space="preserve"> </w:t>
            </w:r>
            <w:r w:rsidR="00C20F6C" w:rsidRPr="00486C60">
              <w:rPr>
                <w:i/>
                <w:sz w:val="26"/>
                <w:szCs w:val="26"/>
                <w:lang w:val="lv-LV"/>
              </w:rPr>
              <w:t>euro</w:t>
            </w:r>
            <w:r w:rsidR="00C20F6C" w:rsidRPr="00486C60">
              <w:rPr>
                <w:sz w:val="26"/>
                <w:szCs w:val="26"/>
                <w:lang w:val="lv-LV"/>
              </w:rPr>
              <w:t>.</w:t>
            </w:r>
            <w:r w:rsidR="00782AA5" w:rsidRPr="00486C60">
              <w:rPr>
                <w:sz w:val="26"/>
                <w:szCs w:val="26"/>
                <w:lang w:val="lv-LV"/>
              </w:rPr>
              <w:t xml:space="preserve"> </w:t>
            </w:r>
            <w:r w:rsidR="00782AA5" w:rsidRPr="00486C60">
              <w:rPr>
                <w:sz w:val="26"/>
                <w:szCs w:val="26"/>
              </w:rPr>
              <w:t xml:space="preserve"> </w:t>
            </w:r>
            <w:r w:rsidR="00510430" w:rsidRPr="00486C60">
              <w:rPr>
                <w:sz w:val="26"/>
                <w:szCs w:val="26"/>
                <w:lang w:val="lv-LV"/>
              </w:rPr>
              <w:t>Jaunie valsts atbalsta noteikumi</w:t>
            </w:r>
            <w:r w:rsidR="00222D5E" w:rsidRPr="00486C60">
              <w:rPr>
                <w:sz w:val="26"/>
                <w:szCs w:val="26"/>
                <w:lang w:val="lv-LV"/>
              </w:rPr>
              <w:t xml:space="preserve"> </w:t>
            </w:r>
            <w:r w:rsidR="000C581E" w:rsidRPr="00486C60">
              <w:rPr>
                <w:sz w:val="26"/>
                <w:szCs w:val="26"/>
                <w:lang w:val="lv-LV"/>
              </w:rPr>
              <w:t xml:space="preserve">– MK noteikumi Nr.241 - </w:t>
            </w:r>
            <w:r w:rsidR="00782AA5" w:rsidRPr="00486C60">
              <w:rPr>
                <w:sz w:val="26"/>
                <w:szCs w:val="26"/>
                <w:lang w:val="lv-LV"/>
              </w:rPr>
              <w:t>nodrošinās minētā finansējuma apguvi pilnā apmērā</w:t>
            </w:r>
            <w:r w:rsidR="005434AE" w:rsidRPr="00486C60">
              <w:rPr>
                <w:sz w:val="26"/>
                <w:szCs w:val="26"/>
                <w:lang w:val="lv-LV"/>
              </w:rPr>
              <w:t xml:space="preserve"> -</w:t>
            </w:r>
            <w:r w:rsidR="00782AA5" w:rsidRPr="00486C60">
              <w:rPr>
                <w:sz w:val="26"/>
                <w:szCs w:val="26"/>
                <w:lang w:val="lv-LV"/>
              </w:rPr>
              <w:t xml:space="preserve"> līdz 2015.gada beigām 2.2.1.4.2.aktivitātes ietvaros ir paredzēts apgūt finansējumu  </w:t>
            </w:r>
            <w:r w:rsidR="005434AE" w:rsidRPr="00486C60">
              <w:rPr>
                <w:sz w:val="26"/>
                <w:szCs w:val="26"/>
                <w:lang w:val="lv-LV"/>
              </w:rPr>
              <w:t xml:space="preserve">29 780 554 </w:t>
            </w:r>
            <w:r w:rsidR="005434AE" w:rsidRPr="00486C60">
              <w:rPr>
                <w:i/>
                <w:sz w:val="26"/>
                <w:szCs w:val="26"/>
                <w:lang w:val="lv-LV"/>
              </w:rPr>
              <w:t>euro</w:t>
            </w:r>
            <w:r w:rsidR="005434AE" w:rsidRPr="00486C60">
              <w:rPr>
                <w:sz w:val="26"/>
                <w:szCs w:val="26"/>
                <w:lang w:val="lv-LV"/>
              </w:rPr>
              <w:t xml:space="preserve"> apmērā.</w:t>
            </w:r>
          </w:p>
          <w:p w:rsidR="00695C89" w:rsidRPr="00486C60" w:rsidRDefault="00695C89" w:rsidP="00695C89">
            <w:pPr>
              <w:ind w:firstLine="709"/>
              <w:jc w:val="both"/>
              <w:rPr>
                <w:sz w:val="26"/>
                <w:szCs w:val="26"/>
                <w:lang w:val="lv-LV"/>
              </w:rPr>
            </w:pPr>
          </w:p>
          <w:tbl>
            <w:tblPr>
              <w:tblStyle w:val="TableGrid"/>
              <w:tblW w:w="0" w:type="auto"/>
              <w:tblLayout w:type="fixed"/>
              <w:tblLook w:val="04A0" w:firstRow="1" w:lastRow="0" w:firstColumn="1" w:lastColumn="0" w:noHBand="0" w:noVBand="1"/>
            </w:tblPr>
            <w:tblGrid>
              <w:gridCol w:w="3114"/>
              <w:gridCol w:w="2126"/>
              <w:gridCol w:w="1630"/>
            </w:tblGrid>
            <w:tr w:rsidR="00695C89" w:rsidRPr="00486C60" w:rsidTr="00FB3C82">
              <w:tc>
                <w:tcPr>
                  <w:tcW w:w="3114" w:type="dxa"/>
                </w:tcPr>
                <w:p w:rsidR="00695C89" w:rsidRPr="00486C60" w:rsidRDefault="00695C89" w:rsidP="00A21726">
                  <w:pPr>
                    <w:framePr w:hSpace="180" w:wrap="around" w:vAnchor="text" w:hAnchor="text" w:x="15" w:y="1"/>
                    <w:suppressOverlap/>
                    <w:jc w:val="both"/>
                    <w:rPr>
                      <w:sz w:val="26"/>
                      <w:szCs w:val="26"/>
                      <w:lang w:val="lv-LV"/>
                    </w:rPr>
                  </w:pPr>
                </w:p>
              </w:tc>
              <w:tc>
                <w:tcPr>
                  <w:tcW w:w="2126" w:type="dxa"/>
                </w:tcPr>
                <w:p w:rsidR="00695C89" w:rsidRPr="00486C60" w:rsidRDefault="00695C89" w:rsidP="00A21726">
                  <w:pPr>
                    <w:framePr w:hSpace="180" w:wrap="around" w:vAnchor="text" w:hAnchor="text" w:x="15" w:y="1"/>
                    <w:suppressOverlap/>
                    <w:jc w:val="both"/>
                    <w:rPr>
                      <w:sz w:val="26"/>
                      <w:szCs w:val="26"/>
                      <w:lang w:val="lv-LV"/>
                    </w:rPr>
                  </w:pPr>
                  <w:r w:rsidRPr="00486C60">
                    <w:rPr>
                      <w:sz w:val="26"/>
                      <w:szCs w:val="26"/>
                      <w:lang w:val="lv-LV"/>
                    </w:rPr>
                    <w:t xml:space="preserve">ERAF, </w:t>
                  </w:r>
                  <w:r w:rsidRPr="00486C60">
                    <w:rPr>
                      <w:i/>
                      <w:sz w:val="26"/>
                      <w:szCs w:val="26"/>
                      <w:lang w:val="lv-LV"/>
                    </w:rPr>
                    <w:t>euro</w:t>
                  </w:r>
                </w:p>
              </w:tc>
              <w:tc>
                <w:tcPr>
                  <w:tcW w:w="1630" w:type="dxa"/>
                </w:tcPr>
                <w:p w:rsidR="00695C89" w:rsidRPr="00486C60" w:rsidRDefault="00FB3C82" w:rsidP="00A21726">
                  <w:pPr>
                    <w:framePr w:hSpace="180" w:wrap="around" w:vAnchor="text" w:hAnchor="text" w:x="15" w:y="1"/>
                    <w:suppressOverlap/>
                    <w:jc w:val="both"/>
                    <w:rPr>
                      <w:sz w:val="26"/>
                      <w:szCs w:val="26"/>
                      <w:lang w:val="lv-LV"/>
                    </w:rPr>
                  </w:pPr>
                  <w:r w:rsidRPr="00486C60">
                    <w:rPr>
                      <w:sz w:val="26"/>
                      <w:szCs w:val="26"/>
                      <w:lang w:val="lv-LV"/>
                    </w:rPr>
                    <w:t>Valsts budžeta finansējums</w:t>
                  </w:r>
                  <w:r w:rsidR="00695C89" w:rsidRPr="00486C60">
                    <w:rPr>
                      <w:sz w:val="26"/>
                      <w:szCs w:val="26"/>
                      <w:lang w:val="lv-LV"/>
                    </w:rPr>
                    <w:t xml:space="preserve">, </w:t>
                  </w:r>
                  <w:r w:rsidR="00695C89" w:rsidRPr="00486C60">
                    <w:rPr>
                      <w:i/>
                      <w:sz w:val="26"/>
                      <w:szCs w:val="26"/>
                      <w:lang w:val="lv-LV"/>
                    </w:rPr>
                    <w:t>euro</w:t>
                  </w:r>
                </w:p>
              </w:tc>
            </w:tr>
            <w:tr w:rsidR="00695C89" w:rsidRPr="00486C60" w:rsidTr="00FB3C82">
              <w:tc>
                <w:tcPr>
                  <w:tcW w:w="3114" w:type="dxa"/>
                </w:tcPr>
                <w:p w:rsidR="00695C89" w:rsidRPr="00486C60" w:rsidRDefault="00695C89" w:rsidP="00A21726">
                  <w:pPr>
                    <w:framePr w:hSpace="180" w:wrap="around" w:vAnchor="text" w:hAnchor="text" w:x="15" w:y="1"/>
                    <w:suppressOverlap/>
                    <w:jc w:val="both"/>
                    <w:rPr>
                      <w:sz w:val="26"/>
                      <w:szCs w:val="26"/>
                      <w:lang w:val="lv-LV"/>
                    </w:rPr>
                  </w:pPr>
                  <w:r w:rsidRPr="00486C60">
                    <w:rPr>
                      <w:sz w:val="26"/>
                      <w:szCs w:val="26"/>
                      <w:lang w:val="lv-LV"/>
                    </w:rPr>
                    <w:t>DPP noteiktais finansējums 2.2.1.4.2.aktivitātei</w:t>
                  </w:r>
                </w:p>
              </w:tc>
              <w:tc>
                <w:tcPr>
                  <w:tcW w:w="2126" w:type="dxa"/>
                </w:tcPr>
                <w:p w:rsidR="00695C89" w:rsidRPr="00486C60" w:rsidRDefault="00695C89" w:rsidP="00A21726">
                  <w:pPr>
                    <w:framePr w:hSpace="180" w:wrap="around" w:vAnchor="text" w:hAnchor="text" w:x="15" w:y="1"/>
                    <w:suppressOverlap/>
                    <w:jc w:val="both"/>
                    <w:rPr>
                      <w:sz w:val="26"/>
                      <w:szCs w:val="26"/>
                      <w:lang w:val="lv-LV"/>
                    </w:rPr>
                  </w:pPr>
                  <w:r w:rsidRPr="00486C60">
                    <w:rPr>
                      <w:sz w:val="26"/>
                      <w:szCs w:val="26"/>
                      <w:lang w:val="lv-LV"/>
                    </w:rPr>
                    <w:t>15 151 685,00</w:t>
                  </w:r>
                </w:p>
              </w:tc>
              <w:tc>
                <w:tcPr>
                  <w:tcW w:w="1630" w:type="dxa"/>
                </w:tcPr>
                <w:p w:rsidR="00695C89" w:rsidRPr="00486C60" w:rsidRDefault="00695C89" w:rsidP="00A21726">
                  <w:pPr>
                    <w:framePr w:hSpace="180" w:wrap="around" w:vAnchor="text" w:hAnchor="text" w:x="15" w:y="1"/>
                    <w:suppressOverlap/>
                    <w:jc w:val="both"/>
                    <w:rPr>
                      <w:sz w:val="26"/>
                      <w:szCs w:val="26"/>
                      <w:lang w:val="lv-LV"/>
                    </w:rPr>
                  </w:pPr>
                  <w:r w:rsidRPr="00486C60">
                    <w:rPr>
                      <w:sz w:val="26"/>
                      <w:szCs w:val="26"/>
                      <w:lang w:val="lv-LV"/>
                    </w:rPr>
                    <w:t>3 479 537,00</w:t>
                  </w:r>
                </w:p>
              </w:tc>
            </w:tr>
            <w:tr w:rsidR="00695C89" w:rsidRPr="00486C60" w:rsidTr="00FB3C82">
              <w:tc>
                <w:tcPr>
                  <w:tcW w:w="3114" w:type="dxa"/>
                </w:tcPr>
                <w:p w:rsidR="00695C89" w:rsidRPr="00486C60" w:rsidRDefault="000369C7" w:rsidP="00A21726">
                  <w:pPr>
                    <w:framePr w:hSpace="180" w:wrap="around" w:vAnchor="text" w:hAnchor="text" w:x="15" w:y="1"/>
                    <w:suppressOverlap/>
                    <w:jc w:val="both"/>
                    <w:rPr>
                      <w:sz w:val="26"/>
                      <w:szCs w:val="26"/>
                      <w:lang w:val="lv-LV"/>
                    </w:rPr>
                  </w:pPr>
                  <w:r w:rsidRPr="00486C60">
                    <w:rPr>
                      <w:sz w:val="26"/>
                      <w:szCs w:val="26"/>
                      <w:lang w:val="lv-LV"/>
                    </w:rPr>
                    <w:t>%</w:t>
                  </w:r>
                  <w:r w:rsidR="00695C89" w:rsidRPr="00486C60">
                    <w:rPr>
                      <w:sz w:val="26"/>
                      <w:szCs w:val="26"/>
                      <w:lang w:val="lv-LV"/>
                    </w:rPr>
                    <w:t xml:space="preserve"> ieņēmumi no noguldījumiem 2.2.1.4.2.aktivitātē (izmantota proporcija: ERAF finansējums ir </w:t>
                  </w:r>
                  <w:r w:rsidR="00695C89" w:rsidRPr="00486C60">
                    <w:rPr>
                      <w:sz w:val="26"/>
                      <w:szCs w:val="26"/>
                      <w:lang w:val="lv-LV"/>
                    </w:rPr>
                    <w:lastRenderedPageBreak/>
                    <w:t>vienāds ar 0,81324161131 daļu no kopējā publiskā finansējuma apmēra)</w:t>
                  </w:r>
                </w:p>
              </w:tc>
              <w:tc>
                <w:tcPr>
                  <w:tcW w:w="2126" w:type="dxa"/>
                </w:tcPr>
                <w:p w:rsidR="00695C89" w:rsidRPr="00486C60" w:rsidRDefault="00695C89" w:rsidP="00A21726">
                  <w:pPr>
                    <w:framePr w:hSpace="180" w:wrap="around" w:vAnchor="text" w:hAnchor="text" w:x="15" w:y="1"/>
                    <w:suppressOverlap/>
                    <w:jc w:val="both"/>
                    <w:rPr>
                      <w:sz w:val="26"/>
                      <w:szCs w:val="26"/>
                      <w:lang w:val="lv-LV"/>
                    </w:rPr>
                  </w:pPr>
                  <w:r w:rsidRPr="00486C60">
                    <w:rPr>
                      <w:sz w:val="26"/>
                      <w:szCs w:val="26"/>
                      <w:lang w:val="lv-LV"/>
                    </w:rPr>
                    <w:lastRenderedPageBreak/>
                    <w:t>2 </w:t>
                  </w:r>
                  <w:r w:rsidR="002E6455" w:rsidRPr="00486C60">
                    <w:rPr>
                      <w:sz w:val="26"/>
                      <w:szCs w:val="26"/>
                      <w:lang w:val="lv-LV"/>
                    </w:rPr>
                    <w:t>053 775,52</w:t>
                  </w:r>
                </w:p>
              </w:tc>
              <w:tc>
                <w:tcPr>
                  <w:tcW w:w="1630" w:type="dxa"/>
                </w:tcPr>
                <w:p w:rsidR="00695C89" w:rsidRPr="00486C60" w:rsidRDefault="00BE65A4" w:rsidP="00A21726">
                  <w:pPr>
                    <w:framePr w:hSpace="180" w:wrap="around" w:vAnchor="text" w:hAnchor="text" w:x="15" w:y="1"/>
                    <w:suppressOverlap/>
                    <w:jc w:val="both"/>
                    <w:rPr>
                      <w:sz w:val="26"/>
                      <w:szCs w:val="26"/>
                      <w:lang w:val="lv-LV"/>
                    </w:rPr>
                  </w:pPr>
                  <w:r w:rsidRPr="00486C60">
                    <w:rPr>
                      <w:sz w:val="26"/>
                      <w:szCs w:val="26"/>
                      <w:lang w:val="lv-LV"/>
                    </w:rPr>
                    <w:t>471 643,12</w:t>
                  </w:r>
                </w:p>
              </w:tc>
            </w:tr>
            <w:tr w:rsidR="00695C89" w:rsidRPr="00486C60" w:rsidTr="00FB3C82">
              <w:tc>
                <w:tcPr>
                  <w:tcW w:w="3114" w:type="dxa"/>
                </w:tcPr>
                <w:p w:rsidR="00695C89" w:rsidRPr="00486C60" w:rsidRDefault="000369C7" w:rsidP="00A21726">
                  <w:pPr>
                    <w:framePr w:hSpace="180" w:wrap="around" w:vAnchor="text" w:hAnchor="text" w:x="15" w:y="1"/>
                    <w:suppressOverlap/>
                    <w:jc w:val="both"/>
                    <w:rPr>
                      <w:sz w:val="26"/>
                      <w:szCs w:val="26"/>
                      <w:lang w:val="lv-LV"/>
                    </w:rPr>
                  </w:pPr>
                  <w:r w:rsidRPr="00486C60">
                    <w:rPr>
                      <w:sz w:val="26"/>
                      <w:szCs w:val="26"/>
                      <w:lang w:val="lv-LV"/>
                    </w:rPr>
                    <w:lastRenderedPageBreak/>
                    <w:t>%</w:t>
                  </w:r>
                  <w:r w:rsidR="00695C89" w:rsidRPr="00486C60">
                    <w:rPr>
                      <w:sz w:val="26"/>
                      <w:szCs w:val="26"/>
                      <w:lang w:val="lv-LV"/>
                    </w:rPr>
                    <w:t xml:space="preserve"> ieņēmumi no noguldījumiem 2.2.1.1.aktivitātē  (izmantota proporcija: ERAF finansējums ir vienāds ar 0,9221472355 daļu no kopējā publiskā finansējuma)</w:t>
                  </w:r>
                </w:p>
              </w:tc>
              <w:tc>
                <w:tcPr>
                  <w:tcW w:w="2126" w:type="dxa"/>
                </w:tcPr>
                <w:p w:rsidR="00695C89" w:rsidRPr="00486C60" w:rsidRDefault="002E6455" w:rsidP="00A21726">
                  <w:pPr>
                    <w:framePr w:hSpace="180" w:wrap="around" w:vAnchor="text" w:hAnchor="text" w:x="15" w:y="1"/>
                    <w:suppressOverlap/>
                    <w:jc w:val="both"/>
                    <w:rPr>
                      <w:sz w:val="26"/>
                      <w:szCs w:val="26"/>
                      <w:lang w:val="lv-LV"/>
                    </w:rPr>
                  </w:pPr>
                  <w:r w:rsidRPr="00486C60">
                    <w:rPr>
                      <w:sz w:val="26"/>
                      <w:szCs w:val="26"/>
                      <w:lang w:val="lv-LV"/>
                    </w:rPr>
                    <w:t>7 952 517,45</w:t>
                  </w:r>
                </w:p>
              </w:tc>
              <w:tc>
                <w:tcPr>
                  <w:tcW w:w="1630" w:type="dxa"/>
                </w:tcPr>
                <w:p w:rsidR="00695C89" w:rsidRPr="00486C60" w:rsidRDefault="002E6455" w:rsidP="00A21726">
                  <w:pPr>
                    <w:framePr w:hSpace="180" w:wrap="around" w:vAnchor="text" w:hAnchor="text" w:x="15" w:y="1"/>
                    <w:suppressOverlap/>
                    <w:jc w:val="both"/>
                    <w:rPr>
                      <w:sz w:val="26"/>
                      <w:szCs w:val="26"/>
                      <w:lang w:val="lv-LV"/>
                    </w:rPr>
                  </w:pPr>
                  <w:r w:rsidRPr="00486C60">
                    <w:rPr>
                      <w:sz w:val="26"/>
                      <w:szCs w:val="26"/>
                      <w:lang w:val="lv-LV"/>
                    </w:rPr>
                    <w:t>671 395,46</w:t>
                  </w:r>
                </w:p>
              </w:tc>
            </w:tr>
          </w:tbl>
          <w:p w:rsidR="00FB3C82" w:rsidRPr="00486C60" w:rsidRDefault="00FB3C82" w:rsidP="002E3677">
            <w:pPr>
              <w:ind w:left="15" w:firstLine="708"/>
              <w:jc w:val="both"/>
              <w:rPr>
                <w:sz w:val="26"/>
                <w:szCs w:val="26"/>
                <w:lang w:val="lv-LV"/>
              </w:rPr>
            </w:pPr>
          </w:p>
          <w:p w:rsidR="002E750E" w:rsidRPr="00486C60" w:rsidRDefault="00812A0C" w:rsidP="006F3140">
            <w:pPr>
              <w:ind w:left="15" w:firstLine="708"/>
              <w:jc w:val="both"/>
              <w:rPr>
                <w:sz w:val="26"/>
                <w:szCs w:val="26"/>
                <w:lang w:val="lv-LV"/>
              </w:rPr>
            </w:pPr>
            <w:r w:rsidRPr="00486C60">
              <w:rPr>
                <w:sz w:val="26"/>
                <w:szCs w:val="26"/>
                <w:lang w:val="lv-LV"/>
              </w:rPr>
              <w:t xml:space="preserve">2013.gada 31.decembrī </w:t>
            </w:r>
            <w:r w:rsidR="002E3677" w:rsidRPr="00486C60">
              <w:rPr>
                <w:sz w:val="26"/>
                <w:szCs w:val="26"/>
                <w:lang w:val="lv-LV"/>
              </w:rPr>
              <w:t xml:space="preserve">ir </w:t>
            </w:r>
            <w:r w:rsidRPr="00486C60">
              <w:rPr>
                <w:sz w:val="26"/>
                <w:szCs w:val="26"/>
                <w:lang w:val="lv-LV"/>
              </w:rPr>
              <w:t xml:space="preserve">slēgta </w:t>
            </w:r>
            <w:r w:rsidR="002E3677" w:rsidRPr="00486C60">
              <w:rPr>
                <w:sz w:val="26"/>
                <w:szCs w:val="26"/>
                <w:lang w:val="lv-LV"/>
              </w:rPr>
              <w:t>2.2.1.3.aktivitāte „Garantijas komersantu konkurētspējas uzlabošanai”</w:t>
            </w:r>
            <w:r w:rsidR="00FC2D64" w:rsidRPr="00486C60">
              <w:rPr>
                <w:sz w:val="26"/>
                <w:szCs w:val="26"/>
                <w:lang w:val="lv-LV"/>
              </w:rPr>
              <w:t xml:space="preserve"> (turpmāk – 2.2.1.3.aktivitāte)</w:t>
            </w:r>
            <w:r w:rsidR="002E3677" w:rsidRPr="00486C60">
              <w:rPr>
                <w:sz w:val="26"/>
                <w:szCs w:val="26"/>
                <w:lang w:val="lv-LV"/>
              </w:rPr>
              <w:t>.</w:t>
            </w:r>
            <w:r w:rsidR="006F3140" w:rsidRPr="00486C60">
              <w:rPr>
                <w:sz w:val="26"/>
                <w:szCs w:val="26"/>
              </w:rPr>
              <w:t xml:space="preserve"> </w:t>
            </w:r>
            <w:r w:rsidR="00AB12ED" w:rsidRPr="00486C60">
              <w:rPr>
                <w:sz w:val="26"/>
                <w:szCs w:val="26"/>
                <w:lang w:val="lv-LV"/>
              </w:rPr>
              <w:t>Atbilstoši EM 2014.</w:t>
            </w:r>
            <w:r w:rsidR="004B5036" w:rsidRPr="00486C60">
              <w:rPr>
                <w:sz w:val="26"/>
                <w:szCs w:val="26"/>
                <w:lang w:val="lv-LV"/>
              </w:rPr>
              <w:t>gadā</w:t>
            </w:r>
            <w:r w:rsidR="00AB12ED" w:rsidRPr="00486C60">
              <w:rPr>
                <w:sz w:val="26"/>
                <w:szCs w:val="26"/>
                <w:lang w:val="lv-LV"/>
              </w:rPr>
              <w:t xml:space="preserve"> </w:t>
            </w:r>
            <w:r w:rsidR="004B5036" w:rsidRPr="00486C60">
              <w:rPr>
                <w:sz w:val="26"/>
                <w:szCs w:val="26"/>
                <w:lang w:val="lv-LV"/>
              </w:rPr>
              <w:t>veiktajai</w:t>
            </w:r>
            <w:r w:rsidR="00AB12ED" w:rsidRPr="00486C60">
              <w:rPr>
                <w:sz w:val="26"/>
                <w:szCs w:val="26"/>
                <w:lang w:val="lv-LV"/>
              </w:rPr>
              <w:t xml:space="preserve"> tirgus nepilnību analīzei ir nepieciešams nodrošināt arī turpmāku garantiju pieejamību saimnieciskās darbības veicējiem, lai sniegtu iespējas</w:t>
            </w:r>
            <w:r w:rsidR="00AB12ED" w:rsidRPr="00486C60">
              <w:rPr>
                <w:sz w:val="26"/>
                <w:szCs w:val="26"/>
              </w:rPr>
              <w:t xml:space="preserve"> </w:t>
            </w:r>
            <w:r w:rsidR="00AB12ED" w:rsidRPr="00486C60">
              <w:rPr>
                <w:sz w:val="26"/>
                <w:szCs w:val="26"/>
                <w:lang w:val="lv-LV"/>
              </w:rPr>
              <w:t>saņemt aizdevumu no komercb</w:t>
            </w:r>
            <w:r w:rsidR="00486C60">
              <w:rPr>
                <w:sz w:val="26"/>
                <w:szCs w:val="26"/>
                <w:lang w:val="lv-LV"/>
              </w:rPr>
              <w:t>ankām vai to meitas sabiedrībām</w:t>
            </w:r>
            <w:r w:rsidR="002A68E7" w:rsidRPr="00486C60">
              <w:rPr>
                <w:sz w:val="26"/>
                <w:szCs w:val="26"/>
                <w:lang w:val="lv-LV"/>
              </w:rPr>
              <w:t xml:space="preserve"> projekta īstenošanai </w:t>
            </w:r>
            <w:r w:rsidR="00AB12ED" w:rsidRPr="00486C60">
              <w:rPr>
                <w:sz w:val="26"/>
                <w:szCs w:val="26"/>
                <w:lang w:val="lv-LV"/>
              </w:rPr>
              <w:t xml:space="preserve">situācijās, kad saimnieciskās darbības veicējiem nav pietiekams nodrošinājums aizdevuma saņemšanai. Lai izvērtētu  turpmākas garantiju izsniegšanas un </w:t>
            </w:r>
            <w:r w:rsidR="002A68E7" w:rsidRPr="00486C60">
              <w:rPr>
                <w:sz w:val="26"/>
                <w:szCs w:val="26"/>
                <w:lang w:val="lv-LV"/>
              </w:rPr>
              <w:t xml:space="preserve">apgūtā finansējuma </w:t>
            </w:r>
            <w:r w:rsidR="00AB12ED" w:rsidRPr="00486C60">
              <w:rPr>
                <w:sz w:val="26"/>
                <w:szCs w:val="26"/>
                <w:lang w:val="lv-LV"/>
              </w:rPr>
              <w:t>attiecināmības iespējas, Finanšu ministrija</w:t>
            </w:r>
            <w:r w:rsidR="004B5036" w:rsidRPr="00486C60">
              <w:rPr>
                <w:sz w:val="26"/>
                <w:szCs w:val="26"/>
                <w:lang w:val="lv-LV"/>
              </w:rPr>
              <w:t xml:space="preserve"> (turpmāk – FM)</w:t>
            </w:r>
            <w:r w:rsidR="002A68E7" w:rsidRPr="00486C60">
              <w:rPr>
                <w:sz w:val="26"/>
                <w:szCs w:val="26"/>
                <w:lang w:val="lv-LV"/>
              </w:rPr>
              <w:t xml:space="preserve"> 2014.gada 31.janvārī</w:t>
            </w:r>
            <w:r w:rsidR="00AB12ED" w:rsidRPr="00486C60">
              <w:rPr>
                <w:sz w:val="26"/>
                <w:szCs w:val="26"/>
                <w:lang w:val="lv-LV"/>
              </w:rPr>
              <w:t xml:space="preserve"> lūdza Eiropas Komisijai sniegt viedokli par garantiju turpmāk</w:t>
            </w:r>
            <w:r w:rsidR="002A68E7" w:rsidRPr="00486C60">
              <w:rPr>
                <w:sz w:val="26"/>
                <w:szCs w:val="26"/>
                <w:lang w:val="lv-LV"/>
              </w:rPr>
              <w:t>ām</w:t>
            </w:r>
            <w:r w:rsidR="00AB12ED" w:rsidRPr="00486C60">
              <w:rPr>
                <w:sz w:val="26"/>
                <w:szCs w:val="26"/>
                <w:lang w:val="lv-LV"/>
              </w:rPr>
              <w:t xml:space="preserve"> izsniegšanas iespēj</w:t>
            </w:r>
            <w:r w:rsidR="002A68E7" w:rsidRPr="00486C60">
              <w:rPr>
                <w:sz w:val="26"/>
                <w:szCs w:val="26"/>
                <w:lang w:val="lv-LV"/>
              </w:rPr>
              <w:t>ām, ņemot vērā, ka 2.2.1.3.aktivitātes ietvaros ir veiktas finanšu korekcijas</w:t>
            </w:r>
            <w:r w:rsidR="00AB12ED" w:rsidRPr="00486C60">
              <w:rPr>
                <w:sz w:val="26"/>
                <w:szCs w:val="26"/>
                <w:lang w:val="lv-LV"/>
              </w:rPr>
              <w:t>.</w:t>
            </w:r>
            <w:r w:rsidR="001C37C7" w:rsidRPr="00486C60">
              <w:rPr>
                <w:sz w:val="26"/>
                <w:szCs w:val="26"/>
                <w:lang w:val="lv-LV"/>
              </w:rPr>
              <w:t xml:space="preserve"> </w:t>
            </w:r>
            <w:r w:rsidR="002E750E" w:rsidRPr="00486C60">
              <w:rPr>
                <w:sz w:val="26"/>
                <w:szCs w:val="26"/>
                <w:lang w:val="lv-LV"/>
              </w:rPr>
              <w:t xml:space="preserve">Eiropas Komisija 2014.gada 7.martā sniedza </w:t>
            </w:r>
            <w:r w:rsidR="002A68E7" w:rsidRPr="00486C60">
              <w:rPr>
                <w:sz w:val="26"/>
                <w:szCs w:val="26"/>
                <w:lang w:val="lv-LV"/>
              </w:rPr>
              <w:t xml:space="preserve">apstiprinošu </w:t>
            </w:r>
            <w:r w:rsidR="002E750E" w:rsidRPr="00486C60">
              <w:rPr>
                <w:sz w:val="26"/>
                <w:szCs w:val="26"/>
                <w:lang w:val="lv-LV"/>
              </w:rPr>
              <w:t>atbildi, ka</w:t>
            </w:r>
            <w:r w:rsidR="002A68E7" w:rsidRPr="00486C60">
              <w:rPr>
                <w:sz w:val="26"/>
                <w:szCs w:val="26"/>
                <w:lang w:val="lv-LV"/>
              </w:rPr>
              <w:t xml:space="preserve"> </w:t>
            </w:r>
            <w:r w:rsidR="00AB12ED" w:rsidRPr="00486C60">
              <w:rPr>
                <w:sz w:val="26"/>
                <w:szCs w:val="26"/>
                <w:lang w:val="lv-LV"/>
              </w:rPr>
              <w:t>turpmāka garantiju izsniegšana</w:t>
            </w:r>
            <w:r w:rsidR="00DB610B" w:rsidRPr="00486C60">
              <w:rPr>
                <w:sz w:val="26"/>
                <w:szCs w:val="26"/>
                <w:lang w:val="lv-LV"/>
              </w:rPr>
              <w:t>, nemainot garantiju programmas mērķi un atbalsta saņēmējus,</w:t>
            </w:r>
            <w:r w:rsidR="002A68E7" w:rsidRPr="00486C60">
              <w:rPr>
                <w:sz w:val="26"/>
                <w:szCs w:val="26"/>
                <w:lang w:val="lv-LV"/>
              </w:rPr>
              <w:t xml:space="preserve"> ir iespējama</w:t>
            </w:r>
            <w:r w:rsidR="00DB610B" w:rsidRPr="00486C60">
              <w:rPr>
                <w:sz w:val="26"/>
                <w:szCs w:val="26"/>
                <w:lang w:val="lv-LV"/>
              </w:rPr>
              <w:t xml:space="preserve"> arī</w:t>
            </w:r>
            <w:r w:rsidR="002A68E7" w:rsidRPr="00486C60">
              <w:rPr>
                <w:sz w:val="26"/>
                <w:szCs w:val="26"/>
                <w:lang w:val="lv-LV"/>
              </w:rPr>
              <w:t xml:space="preserve"> 2.2.1.3.aktivitātes ietvaros</w:t>
            </w:r>
            <w:r w:rsidR="00AB12ED" w:rsidRPr="00486C60">
              <w:rPr>
                <w:sz w:val="26"/>
                <w:szCs w:val="26"/>
                <w:lang w:val="lv-LV"/>
              </w:rPr>
              <w:t>,</w:t>
            </w:r>
            <w:r w:rsidR="002A68E7" w:rsidRPr="00486C60">
              <w:rPr>
                <w:sz w:val="26"/>
                <w:szCs w:val="26"/>
                <w:lang w:val="lv-LV"/>
              </w:rPr>
              <w:t xml:space="preserve"> ja</w:t>
            </w:r>
            <w:r w:rsidR="00AB12ED" w:rsidRPr="00486C60">
              <w:rPr>
                <w:sz w:val="26"/>
                <w:szCs w:val="26"/>
                <w:lang w:val="lv-LV"/>
              </w:rPr>
              <w:t xml:space="preserve"> </w:t>
            </w:r>
            <w:r w:rsidR="002E750E" w:rsidRPr="00486C60">
              <w:rPr>
                <w:sz w:val="26"/>
                <w:szCs w:val="26"/>
                <w:lang w:val="lv-LV"/>
              </w:rPr>
              <w:t>sabiedrība ar ierobežotu atbildību „Latvijas Garantiju aģentūra” (turpmāk – LGA) iesniedz</w:t>
            </w:r>
            <w:r w:rsidR="002A68E7" w:rsidRPr="00486C60">
              <w:rPr>
                <w:sz w:val="26"/>
                <w:szCs w:val="26"/>
                <w:lang w:val="lv-LV"/>
              </w:rPr>
              <w:t xml:space="preserve"> </w:t>
            </w:r>
            <w:r w:rsidR="002E750E" w:rsidRPr="00486C60">
              <w:rPr>
                <w:sz w:val="26"/>
                <w:szCs w:val="26"/>
                <w:lang w:val="lv-LV"/>
              </w:rPr>
              <w:t xml:space="preserve">jaunu projekta pieteikumu par garantiju programmas īstenošanu 2.2.1.3.aktivitātes ietvaros, kas </w:t>
            </w:r>
            <w:r w:rsidR="002A68E7" w:rsidRPr="00486C60">
              <w:rPr>
                <w:sz w:val="26"/>
                <w:szCs w:val="26"/>
                <w:lang w:val="lv-LV"/>
              </w:rPr>
              <w:t xml:space="preserve">attiecīgi </w:t>
            </w:r>
            <w:r w:rsidR="002E750E" w:rsidRPr="00486C60">
              <w:rPr>
                <w:sz w:val="26"/>
                <w:szCs w:val="26"/>
                <w:lang w:val="lv-LV"/>
              </w:rPr>
              <w:t xml:space="preserve">paredzētu </w:t>
            </w:r>
            <w:r w:rsidR="004B5036" w:rsidRPr="00486C60">
              <w:rPr>
                <w:sz w:val="26"/>
                <w:szCs w:val="26"/>
                <w:lang w:val="lv-LV"/>
              </w:rPr>
              <w:t>EM</w:t>
            </w:r>
            <w:r w:rsidR="002A68E7" w:rsidRPr="00486C60">
              <w:rPr>
                <w:sz w:val="26"/>
                <w:szCs w:val="26"/>
                <w:lang w:val="lv-LV"/>
              </w:rPr>
              <w:t xml:space="preserve"> izvērtēt projekta pieteikumu un slēgt </w:t>
            </w:r>
            <w:r w:rsidR="002E750E" w:rsidRPr="00486C60">
              <w:rPr>
                <w:sz w:val="26"/>
                <w:szCs w:val="26"/>
                <w:lang w:val="lv-LV"/>
              </w:rPr>
              <w:t>līgum</w:t>
            </w:r>
            <w:r w:rsidR="002A68E7" w:rsidRPr="00486C60">
              <w:rPr>
                <w:sz w:val="26"/>
                <w:szCs w:val="26"/>
                <w:lang w:val="lv-LV"/>
              </w:rPr>
              <w:t>u</w:t>
            </w:r>
            <w:r w:rsidR="002E750E" w:rsidRPr="00486C60">
              <w:rPr>
                <w:sz w:val="26"/>
                <w:szCs w:val="26"/>
                <w:lang w:val="lv-LV"/>
              </w:rPr>
              <w:t xml:space="preserve"> ar LGA</w:t>
            </w:r>
            <w:r w:rsidR="002A68E7" w:rsidRPr="00486C60">
              <w:rPr>
                <w:sz w:val="26"/>
                <w:szCs w:val="26"/>
                <w:lang w:val="lv-LV"/>
              </w:rPr>
              <w:t xml:space="preserve">. </w:t>
            </w:r>
            <w:r w:rsidR="002E750E" w:rsidRPr="00486C60">
              <w:rPr>
                <w:sz w:val="26"/>
                <w:szCs w:val="26"/>
                <w:lang w:val="lv-LV"/>
              </w:rPr>
              <w:t>Ņemot vēr</w:t>
            </w:r>
            <w:r w:rsidR="002A68E7" w:rsidRPr="00486C60">
              <w:rPr>
                <w:sz w:val="26"/>
                <w:szCs w:val="26"/>
                <w:lang w:val="lv-LV"/>
              </w:rPr>
              <w:t>ā minēto</w:t>
            </w:r>
            <w:r w:rsidR="00DB610B" w:rsidRPr="00486C60">
              <w:rPr>
                <w:sz w:val="26"/>
                <w:szCs w:val="26"/>
                <w:lang w:val="lv-LV"/>
              </w:rPr>
              <w:t xml:space="preserve"> un izvērtējot alternatīvas iespējas, kā nodrošināt pēc iespējas ātrāku garantiju izsniegšanu un finansējuma apguvi, </w:t>
            </w:r>
            <w:r w:rsidR="004B5036" w:rsidRPr="00486C60">
              <w:rPr>
                <w:sz w:val="26"/>
                <w:szCs w:val="26"/>
                <w:lang w:val="lv-LV"/>
              </w:rPr>
              <w:t>EM</w:t>
            </w:r>
            <w:r w:rsidR="00DB610B" w:rsidRPr="00486C60">
              <w:rPr>
                <w:sz w:val="26"/>
                <w:szCs w:val="26"/>
                <w:lang w:val="lv-LV"/>
              </w:rPr>
              <w:t xml:space="preserve">, saskaņojot ar </w:t>
            </w:r>
            <w:r w:rsidR="004B5036" w:rsidRPr="00486C60">
              <w:rPr>
                <w:sz w:val="26"/>
                <w:szCs w:val="26"/>
                <w:lang w:val="lv-LV"/>
              </w:rPr>
              <w:t>FM</w:t>
            </w:r>
            <w:r w:rsidR="00DB610B" w:rsidRPr="00486C60">
              <w:rPr>
                <w:sz w:val="26"/>
                <w:szCs w:val="26"/>
                <w:lang w:val="lv-LV"/>
              </w:rPr>
              <w:t xml:space="preserve">, nolēma </w:t>
            </w:r>
            <w:r w:rsidR="002E750E" w:rsidRPr="00486C60">
              <w:rPr>
                <w:sz w:val="26"/>
                <w:szCs w:val="26"/>
                <w:lang w:val="lv-LV"/>
              </w:rPr>
              <w:t>garantij</w:t>
            </w:r>
            <w:r w:rsidR="00DB610B" w:rsidRPr="00486C60">
              <w:rPr>
                <w:sz w:val="26"/>
                <w:szCs w:val="26"/>
                <w:lang w:val="lv-LV"/>
              </w:rPr>
              <w:t>as</w:t>
            </w:r>
            <w:r w:rsidR="002E750E" w:rsidRPr="00486C60">
              <w:rPr>
                <w:sz w:val="26"/>
                <w:szCs w:val="26"/>
                <w:lang w:val="lv-LV"/>
              </w:rPr>
              <w:t xml:space="preserve"> </w:t>
            </w:r>
            <w:r w:rsidR="002A68E7" w:rsidRPr="00486C60">
              <w:rPr>
                <w:sz w:val="26"/>
                <w:szCs w:val="26"/>
                <w:lang w:val="lv-LV"/>
              </w:rPr>
              <w:t xml:space="preserve">turpmāk </w:t>
            </w:r>
            <w:r w:rsidR="00DB610B" w:rsidRPr="00486C60">
              <w:rPr>
                <w:sz w:val="26"/>
                <w:szCs w:val="26"/>
                <w:lang w:val="lv-LV"/>
              </w:rPr>
              <w:t xml:space="preserve">izsniegt </w:t>
            </w:r>
            <w:r w:rsidR="002E750E" w:rsidRPr="00486C60">
              <w:rPr>
                <w:sz w:val="26"/>
                <w:szCs w:val="26"/>
                <w:lang w:val="lv-LV"/>
              </w:rPr>
              <w:t>2.2.1.4.2.aktivitātes ietvaros</w:t>
            </w:r>
            <w:r w:rsidR="00DB610B" w:rsidRPr="00486C60">
              <w:rPr>
                <w:sz w:val="26"/>
                <w:szCs w:val="26"/>
                <w:lang w:val="lv-LV"/>
              </w:rPr>
              <w:t xml:space="preserve">. Garantiju izsniegšana 2.2.1.4.2.aktivitātes ietvaros nav pretrunā ar Eiropas Komisijas 2014.gada 7.martā sniegto viedokli, un, ņemot vērā, ka šādi </w:t>
            </w:r>
            <w:r w:rsidR="002E750E" w:rsidRPr="00486C60">
              <w:rPr>
                <w:sz w:val="26"/>
                <w:szCs w:val="26"/>
                <w:lang w:val="lv-LV"/>
              </w:rPr>
              <w:t>LGA</w:t>
            </w:r>
            <w:r w:rsidR="00DB610B" w:rsidRPr="00486C60">
              <w:rPr>
                <w:sz w:val="26"/>
                <w:szCs w:val="26"/>
                <w:lang w:val="lv-LV"/>
              </w:rPr>
              <w:t xml:space="preserve"> nav nepieciešams</w:t>
            </w:r>
            <w:r w:rsidR="002E750E" w:rsidRPr="00486C60">
              <w:rPr>
                <w:sz w:val="26"/>
                <w:szCs w:val="26"/>
                <w:lang w:val="lv-LV"/>
              </w:rPr>
              <w:t xml:space="preserve"> </w:t>
            </w:r>
            <w:r w:rsidR="00DB610B" w:rsidRPr="00486C60">
              <w:rPr>
                <w:sz w:val="26"/>
                <w:szCs w:val="26"/>
                <w:lang w:val="lv-LV"/>
              </w:rPr>
              <w:t xml:space="preserve">izstrādāt un </w:t>
            </w:r>
            <w:r w:rsidR="002E750E" w:rsidRPr="00486C60">
              <w:rPr>
                <w:sz w:val="26"/>
                <w:szCs w:val="26"/>
                <w:lang w:val="lv-LV"/>
              </w:rPr>
              <w:t>iesnie</w:t>
            </w:r>
            <w:r w:rsidR="00DB610B" w:rsidRPr="00486C60">
              <w:rPr>
                <w:sz w:val="26"/>
                <w:szCs w:val="26"/>
                <w:lang w:val="lv-LV"/>
              </w:rPr>
              <w:t>gt jaunu</w:t>
            </w:r>
            <w:r w:rsidR="002E750E" w:rsidRPr="00486C60">
              <w:rPr>
                <w:sz w:val="26"/>
                <w:szCs w:val="26"/>
                <w:lang w:val="lv-LV"/>
              </w:rPr>
              <w:t xml:space="preserve"> projekt</w:t>
            </w:r>
            <w:r w:rsidR="00DB610B" w:rsidRPr="00486C60">
              <w:rPr>
                <w:sz w:val="26"/>
                <w:szCs w:val="26"/>
                <w:lang w:val="lv-LV"/>
              </w:rPr>
              <w:t xml:space="preserve">u, </w:t>
            </w:r>
            <w:r w:rsidR="002E750E" w:rsidRPr="00486C60">
              <w:rPr>
                <w:sz w:val="26"/>
                <w:szCs w:val="26"/>
                <w:lang w:val="lv-LV"/>
              </w:rPr>
              <w:t xml:space="preserve"> </w:t>
            </w:r>
            <w:r w:rsidR="00DB610B" w:rsidRPr="00486C60">
              <w:rPr>
                <w:sz w:val="26"/>
                <w:szCs w:val="26"/>
                <w:lang w:val="lv-LV"/>
              </w:rPr>
              <w:t xml:space="preserve">garantiju izsniegšana un attiecināmība tiks nodrošināta ātrāk, nekā tas būtu situācijā, ja </w:t>
            </w:r>
            <w:r w:rsidR="002E750E" w:rsidRPr="00486C60">
              <w:rPr>
                <w:sz w:val="26"/>
                <w:szCs w:val="26"/>
                <w:lang w:val="lv-LV"/>
              </w:rPr>
              <w:t xml:space="preserve">garantijas </w:t>
            </w:r>
            <w:r w:rsidR="00DB610B" w:rsidRPr="00486C60">
              <w:rPr>
                <w:sz w:val="26"/>
                <w:szCs w:val="26"/>
                <w:lang w:val="lv-LV"/>
              </w:rPr>
              <w:t>arī turpmāk tiktu izsniegtas</w:t>
            </w:r>
            <w:r w:rsidR="002E750E" w:rsidRPr="00486C60">
              <w:rPr>
                <w:sz w:val="26"/>
                <w:szCs w:val="26"/>
                <w:lang w:val="lv-LV"/>
              </w:rPr>
              <w:t xml:space="preserve"> 2.2.1.3.aktivitāt</w:t>
            </w:r>
            <w:r w:rsidR="00DB610B" w:rsidRPr="00486C60">
              <w:rPr>
                <w:sz w:val="26"/>
                <w:szCs w:val="26"/>
                <w:lang w:val="lv-LV"/>
              </w:rPr>
              <w:t>es ietvaros.</w:t>
            </w:r>
          </w:p>
          <w:p w:rsidR="006F3140" w:rsidRPr="00486C60" w:rsidRDefault="0027351B" w:rsidP="006B6DD1">
            <w:pPr>
              <w:ind w:left="15" w:firstLine="708"/>
              <w:jc w:val="both"/>
              <w:rPr>
                <w:sz w:val="26"/>
                <w:szCs w:val="26"/>
                <w:lang w:val="lv-LV"/>
              </w:rPr>
            </w:pPr>
            <w:r w:rsidRPr="00486C60">
              <w:rPr>
                <w:sz w:val="26"/>
                <w:szCs w:val="26"/>
                <w:lang w:val="lv-LV"/>
              </w:rPr>
              <w:t xml:space="preserve"> Lai veicinātu apguvi, tiek virzīti grozījumi DPP, kas paredz 2.2.1.4.2.aktivitātes ietvaros izsniegt nodrošinājuma </w:t>
            </w:r>
            <w:r w:rsidRPr="00486C60">
              <w:rPr>
                <w:sz w:val="26"/>
                <w:szCs w:val="26"/>
                <w:lang w:val="lv-LV"/>
              </w:rPr>
              <w:lastRenderedPageBreak/>
              <w:t xml:space="preserve">garantijas un mezanīna aizdevumus arī apgrozāmo līdzekļu finansēšanai, attiecīgi tiek mainīts </w:t>
            </w:r>
            <w:r w:rsidRPr="00486C60">
              <w:rPr>
                <w:sz w:val="26"/>
                <w:szCs w:val="26"/>
              </w:rPr>
              <w:t xml:space="preserve"> </w:t>
            </w:r>
            <w:r w:rsidRPr="00486C60">
              <w:rPr>
                <w:sz w:val="26"/>
                <w:szCs w:val="26"/>
                <w:lang w:val="lv-LV"/>
              </w:rPr>
              <w:t>2.2.1.4.2.aktivitātes nosaukums uz</w:t>
            </w:r>
            <w:r w:rsidRPr="00486C60">
              <w:rPr>
                <w:sz w:val="26"/>
                <w:szCs w:val="26"/>
              </w:rPr>
              <w:t xml:space="preserve"> </w:t>
            </w:r>
            <w:r w:rsidRPr="00486C60">
              <w:rPr>
                <w:sz w:val="26"/>
                <w:szCs w:val="26"/>
                <w:lang w:val="lv-LV"/>
              </w:rPr>
              <w:t>„Mezanīna aizdevumi un nodrošinājuma garantijas saimnieciskās darbības veicēju konkurētspējas uzlabošanai”, tiek precizēts 2.2.1.4.2.aktivitātes mērķis un atbalstāmās aktivitātes.</w:t>
            </w:r>
            <w:r w:rsidRPr="00486C60">
              <w:rPr>
                <w:sz w:val="26"/>
                <w:szCs w:val="26"/>
              </w:rPr>
              <w:t xml:space="preserve"> </w:t>
            </w:r>
            <w:r w:rsidRPr="00486C60">
              <w:rPr>
                <w:sz w:val="26"/>
                <w:szCs w:val="26"/>
                <w:lang w:val="lv-LV"/>
              </w:rPr>
              <w:t>Tādejādi</w:t>
            </w:r>
            <w:r w:rsidRPr="00486C60">
              <w:rPr>
                <w:sz w:val="26"/>
                <w:szCs w:val="26"/>
              </w:rPr>
              <w:t xml:space="preserve"> </w:t>
            </w:r>
            <w:r w:rsidRPr="00486C60">
              <w:rPr>
                <w:sz w:val="26"/>
                <w:szCs w:val="26"/>
                <w:lang w:val="lv-LV"/>
              </w:rPr>
              <w:t xml:space="preserve">noteikumu projekts paredz grozīt normas, kas satur līdzšinējo 2.2.1.4.2.aktivitātes nosaukumu un mērķi.  </w:t>
            </w:r>
            <w:r w:rsidR="00A24428" w:rsidRPr="00486C60">
              <w:rPr>
                <w:sz w:val="26"/>
                <w:szCs w:val="26"/>
                <w:lang w:val="lv-LV"/>
              </w:rPr>
              <w:t>Aizdevums apgrozāmo līdzekļu finansēšanai tiks sniegts saimnieciskās darbības veicēja darbības paplašināšanai, esoša saimnieciskās darbības veicēja produkcijas daudzveidošanai ar jauniem papildu produktiem vai saimnieciskās darbības veicēja vis</w:t>
            </w:r>
            <w:r w:rsidRPr="00486C60">
              <w:rPr>
                <w:sz w:val="26"/>
                <w:szCs w:val="26"/>
                <w:lang w:val="lv-LV"/>
              </w:rPr>
              <w:t>pārējā ražošanas procesa būtiskai</w:t>
            </w:r>
            <w:r w:rsidR="00A24428" w:rsidRPr="00486C60">
              <w:rPr>
                <w:sz w:val="26"/>
                <w:szCs w:val="26"/>
                <w:lang w:val="lv-LV"/>
              </w:rPr>
              <w:t xml:space="preserve"> maiņai, un nevarēs tikt izmantot</w:t>
            </w:r>
            <w:r w:rsidR="004B5036" w:rsidRPr="00486C60">
              <w:rPr>
                <w:sz w:val="26"/>
                <w:szCs w:val="26"/>
                <w:lang w:val="lv-LV"/>
              </w:rPr>
              <w:t>s</w:t>
            </w:r>
            <w:r w:rsidR="00A24428" w:rsidRPr="00486C60">
              <w:rPr>
                <w:sz w:val="26"/>
                <w:szCs w:val="26"/>
                <w:lang w:val="lv-LV"/>
              </w:rPr>
              <w:t xml:space="preserve"> esošo kredītsaistību apmaksai. </w:t>
            </w:r>
          </w:p>
          <w:p w:rsidR="0059600B" w:rsidRPr="00486C60" w:rsidRDefault="00D22538" w:rsidP="00D22538">
            <w:pPr>
              <w:ind w:left="15" w:firstLine="708"/>
              <w:jc w:val="both"/>
              <w:rPr>
                <w:sz w:val="26"/>
                <w:szCs w:val="26"/>
                <w:lang w:val="lv-LV"/>
              </w:rPr>
            </w:pPr>
            <w:r w:rsidRPr="00486C60">
              <w:rPr>
                <w:sz w:val="26"/>
                <w:szCs w:val="26"/>
                <w:lang w:val="lv-LV"/>
              </w:rPr>
              <w:t>L</w:t>
            </w:r>
            <w:r w:rsidR="006F3140" w:rsidRPr="00486C60">
              <w:rPr>
                <w:sz w:val="26"/>
                <w:szCs w:val="26"/>
                <w:lang w:val="lv-LV"/>
              </w:rPr>
              <w:t>īdzšin</w:t>
            </w:r>
            <w:r w:rsidRPr="00486C60">
              <w:rPr>
                <w:sz w:val="26"/>
                <w:szCs w:val="26"/>
                <w:lang w:val="lv-LV"/>
              </w:rPr>
              <w:t>ēji</w:t>
            </w:r>
            <w:r w:rsidR="006F3140" w:rsidRPr="00486C60">
              <w:rPr>
                <w:sz w:val="26"/>
                <w:szCs w:val="26"/>
                <w:lang w:val="lv-LV"/>
              </w:rPr>
              <w:t xml:space="preserve"> </w:t>
            </w:r>
            <w:r w:rsidRPr="00486C60">
              <w:rPr>
                <w:sz w:val="26"/>
                <w:szCs w:val="26"/>
                <w:lang w:val="lv-LV"/>
              </w:rPr>
              <w:t xml:space="preserve">garantijas un mezanīna aizdevumi tiek sniegti </w:t>
            </w:r>
            <w:r w:rsidR="0027351B" w:rsidRPr="00486C60">
              <w:rPr>
                <w:sz w:val="26"/>
                <w:szCs w:val="26"/>
                <w:lang w:val="lv-LV"/>
              </w:rPr>
              <w:t xml:space="preserve"> saimnieciskās darbības veicējiem, kas ietver </w:t>
            </w:r>
            <w:r w:rsidRPr="00486C60">
              <w:rPr>
                <w:sz w:val="26"/>
                <w:szCs w:val="26"/>
                <w:lang w:val="lv-LV"/>
              </w:rPr>
              <w:t>gan komersan</w:t>
            </w:r>
            <w:r w:rsidR="0027351B" w:rsidRPr="00486C60">
              <w:rPr>
                <w:sz w:val="26"/>
                <w:szCs w:val="26"/>
                <w:lang w:val="lv-LV"/>
              </w:rPr>
              <w:t>tus</w:t>
            </w:r>
            <w:r w:rsidRPr="00486C60">
              <w:rPr>
                <w:sz w:val="26"/>
                <w:szCs w:val="26"/>
                <w:lang w:val="lv-LV"/>
              </w:rPr>
              <w:t>, gan lauksaimniecības pakalpojumu kooperatīv</w:t>
            </w:r>
            <w:r w:rsidR="0027351B" w:rsidRPr="00486C60">
              <w:rPr>
                <w:sz w:val="26"/>
                <w:szCs w:val="26"/>
                <w:lang w:val="lv-LV"/>
              </w:rPr>
              <w:t>ās</w:t>
            </w:r>
            <w:r w:rsidRPr="00486C60">
              <w:rPr>
                <w:sz w:val="26"/>
                <w:szCs w:val="26"/>
                <w:lang w:val="lv-LV"/>
              </w:rPr>
              <w:t xml:space="preserve"> sabiedrīb</w:t>
            </w:r>
            <w:r w:rsidR="0027351B" w:rsidRPr="00486C60">
              <w:rPr>
                <w:sz w:val="26"/>
                <w:szCs w:val="26"/>
                <w:lang w:val="lv-LV"/>
              </w:rPr>
              <w:t>as.</w:t>
            </w:r>
            <w:r w:rsidRPr="00486C60">
              <w:rPr>
                <w:sz w:val="26"/>
                <w:szCs w:val="26"/>
                <w:lang w:val="lv-LV"/>
              </w:rPr>
              <w:t xml:space="preserve"> Lai būtu viennozīmīgi saprotams, ka 2.2.1.4.2.aktivitātes ietvaros ir attiecināms tāds finansējums, kas ir izsniegts saimnieciskās darbības veicējiem – komersantiem un lauksaimniecības pakalpojumu kooperatīvajām sabiedrībām –</w:t>
            </w:r>
            <w:r w:rsidR="004B5036" w:rsidRPr="00486C60">
              <w:rPr>
                <w:sz w:val="26"/>
                <w:szCs w:val="26"/>
                <w:lang w:val="lv-LV"/>
              </w:rPr>
              <w:t>,</w:t>
            </w:r>
            <w:r w:rsidRPr="00486C60">
              <w:rPr>
                <w:sz w:val="26"/>
                <w:szCs w:val="26"/>
                <w:lang w:val="lv-LV"/>
              </w:rPr>
              <w:t xml:space="preserve"> noteikumu projekts paredz precizēt attiecināmo izmaksu pozīcijas, terminu „komersants” aizstājot ar terminu „saimnieciskās darbības veicējs”.</w:t>
            </w:r>
            <w:r w:rsidR="00EA20CB" w:rsidRPr="00486C60">
              <w:rPr>
                <w:sz w:val="26"/>
                <w:szCs w:val="26"/>
              </w:rPr>
              <w:t xml:space="preserve"> </w:t>
            </w:r>
            <w:r w:rsidR="006F704F" w:rsidRPr="00486C60">
              <w:rPr>
                <w:sz w:val="26"/>
                <w:szCs w:val="26"/>
                <w:lang w:val="lv-LV"/>
              </w:rPr>
              <w:t xml:space="preserve"> Tāpat arī, lai nodrošinātu finansējuma attiecināmību 2.2.1.4.2.aktivitātes ietvaros izsniegtajām nodrošinājuma garantijām, noteikumu projekts paredz atbilstoši grozīt MK noteikumu Nr.614 11.punktu.  </w:t>
            </w:r>
          </w:p>
          <w:p w:rsidR="00A23CEB" w:rsidRPr="00486C60" w:rsidRDefault="00A23CEB" w:rsidP="002E3677">
            <w:pPr>
              <w:ind w:left="15" w:firstLine="708"/>
              <w:jc w:val="both"/>
              <w:rPr>
                <w:sz w:val="26"/>
                <w:szCs w:val="26"/>
                <w:lang w:val="lv-LV"/>
              </w:rPr>
            </w:pPr>
            <w:r w:rsidRPr="00486C60">
              <w:rPr>
                <w:sz w:val="26"/>
                <w:szCs w:val="26"/>
                <w:lang w:val="lv-LV"/>
              </w:rPr>
              <w:t>Saskaņā ar 2009.gada 30.februāra Ministru kabineta noteikum</w:t>
            </w:r>
            <w:r w:rsidR="000C581E" w:rsidRPr="00486C60">
              <w:rPr>
                <w:sz w:val="26"/>
                <w:szCs w:val="26"/>
                <w:lang w:val="lv-LV"/>
              </w:rPr>
              <w:t>u</w:t>
            </w:r>
            <w:r w:rsidRPr="00486C60">
              <w:rPr>
                <w:sz w:val="26"/>
                <w:szCs w:val="26"/>
                <w:lang w:val="lv-LV"/>
              </w:rPr>
              <w:t xml:space="preserve"> Nr.108 „Normatīvo aktu projektu sagatavošanas noteikumi” 137.punkt</w:t>
            </w:r>
            <w:r w:rsidR="000C581E" w:rsidRPr="00486C60">
              <w:rPr>
                <w:sz w:val="26"/>
                <w:szCs w:val="26"/>
                <w:lang w:val="lv-LV"/>
              </w:rPr>
              <w:t>u</w:t>
            </w:r>
            <w:r w:rsidRPr="00486C60">
              <w:rPr>
                <w:sz w:val="26"/>
                <w:szCs w:val="26"/>
                <w:lang w:val="lv-LV"/>
              </w:rPr>
              <w:t xml:space="preserve"> MK noteikumos Nr.614 </w:t>
            </w:r>
            <w:r w:rsidR="00BE65A4" w:rsidRPr="00486C60">
              <w:rPr>
                <w:sz w:val="26"/>
                <w:szCs w:val="26"/>
                <w:lang w:val="lv-LV"/>
              </w:rPr>
              <w:t>10.punktā ir norādīta</w:t>
            </w:r>
            <w:r w:rsidRPr="00486C60">
              <w:rPr>
                <w:sz w:val="26"/>
                <w:szCs w:val="26"/>
                <w:lang w:val="lv-LV"/>
              </w:rPr>
              <w:t xml:space="preserve"> atsauc</w:t>
            </w:r>
            <w:r w:rsidR="00BE65A4" w:rsidRPr="00486C60">
              <w:rPr>
                <w:sz w:val="26"/>
                <w:szCs w:val="26"/>
                <w:lang w:val="lv-LV"/>
              </w:rPr>
              <w:t>e</w:t>
            </w:r>
            <w:r w:rsidRPr="00486C60">
              <w:rPr>
                <w:sz w:val="26"/>
                <w:szCs w:val="26"/>
                <w:lang w:val="lv-LV"/>
              </w:rPr>
              <w:t xml:space="preserve"> uz normatīvo aktu jomu. </w:t>
            </w:r>
            <w:r w:rsidR="00BE65A4" w:rsidRPr="00486C60">
              <w:rPr>
                <w:sz w:val="26"/>
                <w:szCs w:val="26"/>
                <w:lang w:val="lv-LV"/>
              </w:rPr>
              <w:t>Savukārt normatīvo aktu</w:t>
            </w:r>
            <w:r w:rsidRPr="00486C60">
              <w:rPr>
                <w:sz w:val="26"/>
                <w:szCs w:val="26"/>
                <w:lang w:val="lv-LV"/>
              </w:rPr>
              <w:t xml:space="preserve"> </w:t>
            </w:r>
            <w:r w:rsidR="00BE65A4" w:rsidRPr="00486C60">
              <w:rPr>
                <w:sz w:val="26"/>
                <w:szCs w:val="26"/>
                <w:lang w:val="lv-LV"/>
              </w:rPr>
              <w:t>nosaukumi, atbilstoši kuriem</w:t>
            </w:r>
            <w:r w:rsidRPr="00486C60">
              <w:rPr>
                <w:sz w:val="26"/>
                <w:szCs w:val="26"/>
                <w:lang w:val="lv-LV"/>
              </w:rPr>
              <w:t xml:space="preserve"> </w:t>
            </w:r>
            <w:r w:rsidR="00BE65A4" w:rsidRPr="00486C60">
              <w:rPr>
                <w:sz w:val="26"/>
                <w:szCs w:val="26"/>
                <w:lang w:val="lv-LV"/>
              </w:rPr>
              <w:t>LGA</w:t>
            </w:r>
            <w:r w:rsidRPr="00486C60">
              <w:rPr>
                <w:sz w:val="26"/>
                <w:szCs w:val="26"/>
                <w:lang w:val="lv-LV"/>
              </w:rPr>
              <w:t xml:space="preserve"> 2.2.1.4.2.aktivit</w:t>
            </w:r>
            <w:r w:rsidR="00BE65A4" w:rsidRPr="00486C60">
              <w:rPr>
                <w:sz w:val="26"/>
                <w:szCs w:val="26"/>
                <w:lang w:val="lv-LV"/>
              </w:rPr>
              <w:t>ātes ietvaros</w:t>
            </w:r>
            <w:r w:rsidR="00B22AEA" w:rsidRPr="00486C60">
              <w:rPr>
                <w:sz w:val="26"/>
                <w:szCs w:val="26"/>
                <w:lang w:val="lv-LV"/>
              </w:rPr>
              <w:t xml:space="preserve"> pēc </w:t>
            </w:r>
            <w:r w:rsidR="00FF349B" w:rsidRPr="00486C60">
              <w:rPr>
                <w:sz w:val="26"/>
                <w:szCs w:val="26"/>
                <w:lang w:val="lv-LV"/>
              </w:rPr>
              <w:t>šī</w:t>
            </w:r>
            <w:r w:rsidR="00B22AEA" w:rsidRPr="00486C60">
              <w:rPr>
                <w:sz w:val="26"/>
                <w:szCs w:val="26"/>
                <w:lang w:val="lv-LV"/>
              </w:rPr>
              <w:t xml:space="preserve"> noteikumu projekta spēkā stāšanās sniegs </w:t>
            </w:r>
            <w:r w:rsidRPr="00486C60">
              <w:rPr>
                <w:sz w:val="26"/>
                <w:szCs w:val="26"/>
                <w:lang w:val="lv-LV"/>
              </w:rPr>
              <w:t>mezanīna aizdevum</w:t>
            </w:r>
            <w:r w:rsidR="00B22AEA" w:rsidRPr="00486C60">
              <w:rPr>
                <w:sz w:val="26"/>
                <w:szCs w:val="26"/>
                <w:lang w:val="lv-LV"/>
              </w:rPr>
              <w:t>us</w:t>
            </w:r>
            <w:r w:rsidRPr="00486C60">
              <w:rPr>
                <w:sz w:val="26"/>
                <w:szCs w:val="26"/>
                <w:lang w:val="lv-LV"/>
              </w:rPr>
              <w:t xml:space="preserve"> un garantij</w:t>
            </w:r>
            <w:r w:rsidR="00B22AEA" w:rsidRPr="00486C60">
              <w:rPr>
                <w:sz w:val="26"/>
                <w:szCs w:val="26"/>
                <w:lang w:val="lv-LV"/>
              </w:rPr>
              <w:t>as</w:t>
            </w:r>
            <w:r w:rsidRPr="00486C60">
              <w:rPr>
                <w:sz w:val="26"/>
                <w:szCs w:val="26"/>
                <w:lang w:val="lv-LV"/>
              </w:rPr>
              <w:t xml:space="preserve">, tiks </w:t>
            </w:r>
            <w:r w:rsidR="00B22AEA" w:rsidRPr="00486C60">
              <w:rPr>
                <w:sz w:val="26"/>
                <w:szCs w:val="26"/>
                <w:lang w:val="lv-LV"/>
              </w:rPr>
              <w:t>norādītas LGA</w:t>
            </w:r>
            <w:r w:rsidRPr="00486C60">
              <w:rPr>
                <w:sz w:val="26"/>
                <w:szCs w:val="26"/>
                <w:lang w:val="lv-LV"/>
              </w:rPr>
              <w:t xml:space="preserve"> biznesa plānā, </w:t>
            </w:r>
            <w:r w:rsidR="00F5649C" w:rsidRPr="00486C60">
              <w:rPr>
                <w:sz w:val="26"/>
                <w:szCs w:val="26"/>
                <w:lang w:val="lv-LV"/>
              </w:rPr>
              <w:t>un tie ir šādi:</w:t>
            </w:r>
          </w:p>
          <w:p w:rsidR="00A23CEB" w:rsidRPr="00486C60" w:rsidRDefault="00A23CEB" w:rsidP="004B5036">
            <w:pPr>
              <w:pStyle w:val="ListParagraph"/>
              <w:numPr>
                <w:ilvl w:val="0"/>
                <w:numId w:val="2"/>
              </w:numPr>
              <w:jc w:val="both"/>
              <w:rPr>
                <w:sz w:val="26"/>
                <w:szCs w:val="26"/>
                <w:lang w:val="lv-LV"/>
              </w:rPr>
            </w:pPr>
            <w:r w:rsidRPr="00486C60">
              <w:rPr>
                <w:sz w:val="26"/>
                <w:szCs w:val="26"/>
                <w:lang w:val="lv-LV"/>
              </w:rPr>
              <w:t xml:space="preserve">kredīta </w:t>
            </w:r>
            <w:r w:rsidR="00A47AD3" w:rsidRPr="00486C60">
              <w:rPr>
                <w:sz w:val="26"/>
                <w:szCs w:val="26"/>
                <w:lang w:val="lv-LV"/>
              </w:rPr>
              <w:t xml:space="preserve">garantijas </w:t>
            </w:r>
            <w:r w:rsidRPr="00486C60">
              <w:rPr>
                <w:sz w:val="26"/>
                <w:szCs w:val="26"/>
                <w:lang w:val="lv-LV"/>
              </w:rPr>
              <w:t xml:space="preserve">Latvijas Garantiju aģentūra </w:t>
            </w:r>
            <w:r w:rsidR="00A47AD3" w:rsidRPr="00486C60">
              <w:rPr>
                <w:sz w:val="26"/>
                <w:szCs w:val="26"/>
                <w:lang w:val="lv-LV"/>
              </w:rPr>
              <w:t>snie</w:t>
            </w:r>
            <w:r w:rsidRPr="00486C60">
              <w:rPr>
                <w:sz w:val="26"/>
                <w:szCs w:val="26"/>
                <w:lang w:val="lv-LV"/>
              </w:rPr>
              <w:t>dz</w:t>
            </w:r>
            <w:r w:rsidR="00A47AD3" w:rsidRPr="00486C60">
              <w:rPr>
                <w:sz w:val="26"/>
                <w:szCs w:val="26"/>
                <w:lang w:val="lv-LV"/>
              </w:rPr>
              <w:t xml:space="preserve"> atbilstoši </w:t>
            </w:r>
            <w:r w:rsidR="00396794" w:rsidRPr="00486C60">
              <w:rPr>
                <w:sz w:val="26"/>
                <w:szCs w:val="26"/>
              </w:rPr>
              <w:t xml:space="preserve"> </w:t>
            </w:r>
            <w:r w:rsidR="00396794" w:rsidRPr="00486C60">
              <w:rPr>
                <w:sz w:val="26"/>
                <w:szCs w:val="26"/>
                <w:lang w:val="lv-LV"/>
              </w:rPr>
              <w:t>Ministru kabineta 2010.gada 26.oktobra noteikumiem Nr.997 „Noteikumi par garantijām komersantu un atbilstošu lauksaimniecības pakalpojumu kooperatīvo sabiedrību konkurētspējas uzlabošanai”</w:t>
            </w:r>
            <w:r w:rsidRPr="00486C60">
              <w:rPr>
                <w:sz w:val="26"/>
                <w:szCs w:val="26"/>
                <w:lang w:val="lv-LV"/>
              </w:rPr>
              <w:t>;</w:t>
            </w:r>
          </w:p>
          <w:p w:rsidR="00A23CEB" w:rsidRPr="00486C60" w:rsidRDefault="00A23CEB" w:rsidP="004B5036">
            <w:pPr>
              <w:pStyle w:val="ListParagraph"/>
              <w:numPr>
                <w:ilvl w:val="0"/>
                <w:numId w:val="2"/>
              </w:numPr>
              <w:jc w:val="both"/>
              <w:rPr>
                <w:sz w:val="26"/>
                <w:szCs w:val="26"/>
                <w:lang w:val="lv-LV"/>
              </w:rPr>
            </w:pPr>
            <w:r w:rsidRPr="00486C60">
              <w:rPr>
                <w:sz w:val="26"/>
                <w:szCs w:val="26"/>
                <w:lang w:val="lv-LV"/>
              </w:rPr>
              <w:t>īstermiņa eksporta kredīta garantijas</w:t>
            </w:r>
            <w:r w:rsidR="00A47AD3" w:rsidRPr="00486C60">
              <w:rPr>
                <w:sz w:val="26"/>
                <w:szCs w:val="26"/>
                <w:lang w:val="lv-LV"/>
              </w:rPr>
              <w:t xml:space="preserve"> </w:t>
            </w:r>
            <w:r w:rsidRPr="00486C60">
              <w:rPr>
                <w:sz w:val="26"/>
                <w:szCs w:val="26"/>
                <w:lang w:val="lv-LV"/>
              </w:rPr>
              <w:t>-</w:t>
            </w:r>
            <w:r w:rsidR="00A47AD3" w:rsidRPr="00486C60">
              <w:rPr>
                <w:sz w:val="26"/>
                <w:szCs w:val="26"/>
                <w:lang w:val="lv-LV"/>
              </w:rPr>
              <w:t xml:space="preserve"> atbilstoši Ministru kabineta </w:t>
            </w:r>
            <w:r w:rsidRPr="00486C60">
              <w:rPr>
                <w:sz w:val="26"/>
                <w:szCs w:val="26"/>
                <w:lang w:val="lv-LV"/>
              </w:rPr>
              <w:t xml:space="preserve">2009.gada 12.maija </w:t>
            </w:r>
            <w:r w:rsidR="00A47AD3" w:rsidRPr="00486C60">
              <w:rPr>
                <w:sz w:val="26"/>
                <w:szCs w:val="26"/>
                <w:lang w:val="lv-LV"/>
              </w:rPr>
              <w:t>noteikumiem Nr.436 „Īstermiņa eksporta kredītu garantēšanas noteikumi”</w:t>
            </w:r>
            <w:r w:rsidRPr="00486C60">
              <w:rPr>
                <w:sz w:val="26"/>
                <w:szCs w:val="26"/>
                <w:lang w:val="lv-LV"/>
              </w:rPr>
              <w:t>;</w:t>
            </w:r>
          </w:p>
          <w:p w:rsidR="001E486A" w:rsidRPr="00FA6A4A" w:rsidRDefault="00B22AEA" w:rsidP="00FA6A4A">
            <w:pPr>
              <w:pStyle w:val="ListParagraph"/>
              <w:numPr>
                <w:ilvl w:val="0"/>
                <w:numId w:val="2"/>
              </w:numPr>
              <w:jc w:val="both"/>
              <w:rPr>
                <w:sz w:val="26"/>
                <w:szCs w:val="26"/>
                <w:lang w:val="lv-LV"/>
              </w:rPr>
            </w:pPr>
            <w:r w:rsidRPr="00486C60">
              <w:rPr>
                <w:sz w:val="26"/>
                <w:szCs w:val="26"/>
                <w:lang w:val="lv-LV"/>
              </w:rPr>
              <w:t>m</w:t>
            </w:r>
            <w:r w:rsidR="00A23CEB" w:rsidRPr="00486C60">
              <w:rPr>
                <w:sz w:val="26"/>
                <w:szCs w:val="26"/>
                <w:lang w:val="lv-LV"/>
              </w:rPr>
              <w:t xml:space="preserve">ezanīna aizdevumus atbilstoši </w:t>
            </w:r>
            <w:r w:rsidR="00A44916" w:rsidRPr="00486C60">
              <w:rPr>
                <w:sz w:val="26"/>
                <w:szCs w:val="26"/>
                <w:lang w:val="lv-LV"/>
              </w:rPr>
              <w:t>MK</w:t>
            </w:r>
            <w:r w:rsidR="000C581E" w:rsidRPr="00486C60">
              <w:rPr>
                <w:sz w:val="26"/>
                <w:szCs w:val="26"/>
                <w:lang w:val="lv-LV"/>
              </w:rPr>
              <w:t xml:space="preserve"> </w:t>
            </w:r>
            <w:r w:rsidR="00A23CEB" w:rsidRPr="00486C60">
              <w:rPr>
                <w:sz w:val="26"/>
                <w:szCs w:val="26"/>
                <w:lang w:val="lv-LV"/>
              </w:rPr>
              <w:t>noteikumiem Nr.</w:t>
            </w:r>
            <w:r w:rsidR="000C581E" w:rsidRPr="00486C60">
              <w:rPr>
                <w:sz w:val="26"/>
                <w:szCs w:val="26"/>
                <w:lang w:val="lv-LV"/>
              </w:rPr>
              <w:t>241</w:t>
            </w:r>
            <w:r w:rsidR="00A44916" w:rsidRPr="00486C60">
              <w:rPr>
                <w:sz w:val="26"/>
                <w:szCs w:val="26"/>
                <w:lang w:val="lv-LV"/>
              </w:rPr>
              <w:t>.</w:t>
            </w:r>
          </w:p>
          <w:p w:rsidR="00E15447" w:rsidRPr="00486C60" w:rsidRDefault="001E486A" w:rsidP="00B22AEA">
            <w:pPr>
              <w:ind w:left="15" w:firstLine="708"/>
              <w:jc w:val="both"/>
              <w:rPr>
                <w:sz w:val="26"/>
                <w:szCs w:val="26"/>
                <w:lang w:val="lv-LV"/>
              </w:rPr>
            </w:pPr>
            <w:r w:rsidRPr="00486C60">
              <w:rPr>
                <w:sz w:val="26"/>
                <w:szCs w:val="26"/>
                <w:lang w:val="lv-LV"/>
              </w:rPr>
              <w:t>Lai sekmētu</w:t>
            </w:r>
            <w:r w:rsidR="00874186" w:rsidRPr="00486C60">
              <w:rPr>
                <w:sz w:val="26"/>
                <w:szCs w:val="26"/>
                <w:lang w:val="lv-LV"/>
              </w:rPr>
              <w:t xml:space="preserve"> finansējuma </w:t>
            </w:r>
            <w:r w:rsidRPr="00486C60">
              <w:rPr>
                <w:sz w:val="26"/>
                <w:szCs w:val="26"/>
                <w:lang w:val="lv-LV"/>
              </w:rPr>
              <w:t xml:space="preserve">apguvi, </w:t>
            </w:r>
            <w:r w:rsidR="00A44916" w:rsidRPr="00486C60">
              <w:rPr>
                <w:sz w:val="26"/>
                <w:szCs w:val="26"/>
                <w:lang w:val="lv-LV"/>
              </w:rPr>
              <w:t xml:space="preserve">MK noteikumi Nr.241 </w:t>
            </w:r>
            <w:r w:rsidR="00874186" w:rsidRPr="00486C60">
              <w:rPr>
                <w:sz w:val="26"/>
                <w:szCs w:val="26"/>
                <w:lang w:val="lv-LV"/>
              </w:rPr>
              <w:t>paredz saimnieciskās darbības veicējiem sniegt</w:t>
            </w:r>
            <w:r w:rsidR="000369C7" w:rsidRPr="00486C60">
              <w:rPr>
                <w:sz w:val="26"/>
                <w:szCs w:val="26"/>
                <w:lang w:val="lv-LV"/>
              </w:rPr>
              <w:t xml:space="preserve"> atbalstu </w:t>
            </w:r>
            <w:r w:rsidR="00C028D0" w:rsidRPr="00486C60">
              <w:rPr>
                <w:sz w:val="26"/>
                <w:szCs w:val="26"/>
                <w:lang w:val="lv-LV"/>
              </w:rPr>
              <w:t xml:space="preserve">100 % apmērā </w:t>
            </w:r>
            <w:r w:rsidR="00874186" w:rsidRPr="00486C60">
              <w:rPr>
                <w:sz w:val="26"/>
                <w:szCs w:val="26"/>
                <w:lang w:val="lv-LV"/>
              </w:rPr>
              <w:t xml:space="preserve">arī investīciju </w:t>
            </w:r>
            <w:r w:rsidR="00C028D0" w:rsidRPr="00486C60">
              <w:rPr>
                <w:sz w:val="26"/>
                <w:szCs w:val="26"/>
                <w:lang w:val="lv-LV"/>
              </w:rPr>
              <w:t xml:space="preserve">aizdevumu </w:t>
            </w:r>
            <w:r w:rsidR="00874186" w:rsidRPr="00486C60">
              <w:rPr>
                <w:sz w:val="26"/>
                <w:szCs w:val="26"/>
                <w:lang w:val="lv-LV"/>
              </w:rPr>
              <w:t>un</w:t>
            </w:r>
            <w:r w:rsidR="00874186" w:rsidRPr="00486C60">
              <w:rPr>
                <w:sz w:val="26"/>
                <w:szCs w:val="26"/>
              </w:rPr>
              <w:t xml:space="preserve"> </w:t>
            </w:r>
            <w:r w:rsidR="00874186" w:rsidRPr="00486C60">
              <w:rPr>
                <w:sz w:val="26"/>
                <w:szCs w:val="26"/>
                <w:lang w:val="lv-LV"/>
              </w:rPr>
              <w:t>apgrozāmo līdzekļu aizdevumu strukturēšanas izmaksu, ko veido kredītiestādes vai tās meitas sabiedrības piešķirtā aizdevuma pieteikuma izskatīšanas, aizdevuma noformēšanas vai izsniegšanas komisijas maksa, un ķīlas reģistrācijas izmaksu segšanai</w:t>
            </w:r>
            <w:r w:rsidR="0016574D" w:rsidRPr="00486C60">
              <w:rPr>
                <w:sz w:val="26"/>
                <w:szCs w:val="26"/>
                <w:lang w:val="lv-LV"/>
              </w:rPr>
              <w:t>,</w:t>
            </w:r>
            <w:r w:rsidR="00C028D0" w:rsidRPr="00486C60">
              <w:rPr>
                <w:sz w:val="26"/>
                <w:szCs w:val="26"/>
                <w:lang w:val="lv-LV"/>
              </w:rPr>
              <w:t xml:space="preserve"> šādām izmaksām nepārsniedzot 50 000 </w:t>
            </w:r>
            <w:r w:rsidR="00C028D0" w:rsidRPr="00486C60">
              <w:rPr>
                <w:i/>
                <w:sz w:val="26"/>
                <w:szCs w:val="26"/>
                <w:lang w:val="lv-LV"/>
              </w:rPr>
              <w:t>euro</w:t>
            </w:r>
            <w:r w:rsidR="00C028D0" w:rsidRPr="00486C60">
              <w:rPr>
                <w:sz w:val="26"/>
                <w:szCs w:val="26"/>
                <w:lang w:val="lv-LV"/>
              </w:rPr>
              <w:t xml:space="preserve"> un 3,5 % no  piešķirtā mezanīna investīciju aizdevuma, un 15 000 </w:t>
            </w:r>
            <w:r w:rsidR="00C028D0" w:rsidRPr="00486C60">
              <w:rPr>
                <w:i/>
                <w:sz w:val="26"/>
                <w:szCs w:val="26"/>
                <w:lang w:val="lv-LV"/>
              </w:rPr>
              <w:t>euro</w:t>
            </w:r>
            <w:r w:rsidR="00A44916" w:rsidRPr="00486C60">
              <w:rPr>
                <w:sz w:val="26"/>
                <w:szCs w:val="26"/>
                <w:lang w:val="lv-LV"/>
              </w:rPr>
              <w:t xml:space="preserve"> un 3,5 % no piešķirtā mezanīna</w:t>
            </w:r>
            <w:r w:rsidR="00C028D0" w:rsidRPr="00486C60">
              <w:rPr>
                <w:sz w:val="26"/>
                <w:szCs w:val="26"/>
                <w:lang w:val="lv-LV"/>
              </w:rPr>
              <w:t xml:space="preserve"> apgrozāmo līdzekļu aizdevuma. </w:t>
            </w:r>
            <w:r w:rsidRPr="00486C60">
              <w:rPr>
                <w:sz w:val="26"/>
                <w:szCs w:val="26"/>
                <w:lang w:val="lv-LV"/>
              </w:rPr>
              <w:t>Ņemot vērā minēto,</w:t>
            </w:r>
            <w:r w:rsidR="00874186" w:rsidRPr="00486C60">
              <w:rPr>
                <w:sz w:val="26"/>
                <w:szCs w:val="26"/>
                <w:lang w:val="lv-LV"/>
              </w:rPr>
              <w:t xml:space="preserve"> </w:t>
            </w:r>
            <w:r w:rsidR="0016574D" w:rsidRPr="00486C60">
              <w:rPr>
                <w:sz w:val="26"/>
                <w:szCs w:val="26"/>
                <w:lang w:val="lv-LV"/>
              </w:rPr>
              <w:t xml:space="preserve">tiek precizētas </w:t>
            </w:r>
            <w:r w:rsidR="00874186" w:rsidRPr="00486C60">
              <w:rPr>
                <w:sz w:val="26"/>
                <w:szCs w:val="26"/>
                <w:lang w:val="lv-LV"/>
              </w:rPr>
              <w:t>MK noteikumu Nr.614 11.punktā a</w:t>
            </w:r>
            <w:r w:rsidR="00FC2D64" w:rsidRPr="00486C60">
              <w:rPr>
                <w:sz w:val="26"/>
                <w:szCs w:val="26"/>
                <w:lang w:val="lv-LV"/>
              </w:rPr>
              <w:t>ttiecināmo izmaksu pozīcijas</w:t>
            </w:r>
            <w:r w:rsidR="0016574D" w:rsidRPr="00486C60">
              <w:rPr>
                <w:sz w:val="26"/>
                <w:szCs w:val="26"/>
                <w:lang w:val="lv-LV"/>
              </w:rPr>
              <w:t xml:space="preserve">, attiecināmo izmaksu pozīcijā paredzot arī </w:t>
            </w:r>
            <w:r w:rsidR="00FC2D64" w:rsidRPr="00486C60">
              <w:rPr>
                <w:sz w:val="26"/>
                <w:szCs w:val="26"/>
                <w:lang w:val="lv-LV"/>
              </w:rPr>
              <w:t xml:space="preserve">mezanīna aizdevumu darījuma strukturēšanas </w:t>
            </w:r>
            <w:r w:rsidR="0016574D" w:rsidRPr="00486C60">
              <w:rPr>
                <w:sz w:val="26"/>
                <w:szCs w:val="26"/>
                <w:lang w:val="lv-LV"/>
              </w:rPr>
              <w:t xml:space="preserve">izmaksas </w:t>
            </w:r>
            <w:r w:rsidR="00FC2D64" w:rsidRPr="00486C60">
              <w:rPr>
                <w:sz w:val="26"/>
                <w:szCs w:val="26"/>
                <w:lang w:val="lv-LV"/>
              </w:rPr>
              <w:t xml:space="preserve">kredītiestādē vai tās meitas sabiedrībā un aizdevuma ķīlas reģistrācijas </w:t>
            </w:r>
            <w:r w:rsidR="0016574D" w:rsidRPr="00486C60">
              <w:rPr>
                <w:sz w:val="26"/>
                <w:szCs w:val="26"/>
                <w:lang w:val="lv-LV"/>
              </w:rPr>
              <w:t xml:space="preserve">izmaksas </w:t>
            </w:r>
            <w:r w:rsidR="00FC2D64" w:rsidRPr="00486C60">
              <w:rPr>
                <w:sz w:val="26"/>
                <w:szCs w:val="26"/>
                <w:lang w:val="lv-LV"/>
              </w:rPr>
              <w:t>saskaņā ar normatīviem aktiem par mezanīna aizdevumie</w:t>
            </w:r>
            <w:r w:rsidR="00B22AEA" w:rsidRPr="00486C60">
              <w:rPr>
                <w:sz w:val="26"/>
                <w:szCs w:val="26"/>
                <w:lang w:val="lv-LV"/>
              </w:rPr>
              <w:t xml:space="preserve">m </w:t>
            </w:r>
            <w:r w:rsidR="00F5649C" w:rsidRPr="00486C60">
              <w:rPr>
                <w:sz w:val="26"/>
                <w:szCs w:val="26"/>
                <w:lang w:val="lv-LV"/>
              </w:rPr>
              <w:t xml:space="preserve">saimnieciskās darbības veicēju konkurētspējas </w:t>
            </w:r>
            <w:r w:rsidR="00227764" w:rsidRPr="00486C60">
              <w:rPr>
                <w:sz w:val="26"/>
                <w:szCs w:val="26"/>
                <w:lang w:val="lv-LV"/>
              </w:rPr>
              <w:t>uzlabošanai</w:t>
            </w:r>
            <w:r w:rsidR="00F5649C" w:rsidRPr="00486C60">
              <w:rPr>
                <w:sz w:val="26"/>
                <w:szCs w:val="26"/>
                <w:lang w:val="lv-LV"/>
              </w:rPr>
              <w:t>.</w:t>
            </w:r>
            <w:r w:rsidR="00396794" w:rsidRPr="00486C60">
              <w:rPr>
                <w:sz w:val="26"/>
                <w:szCs w:val="26"/>
              </w:rPr>
              <w:t xml:space="preserve"> </w:t>
            </w:r>
            <w:r w:rsidR="00396794" w:rsidRPr="00486C60">
              <w:rPr>
                <w:sz w:val="26"/>
                <w:szCs w:val="26"/>
                <w:lang w:val="lv-LV"/>
              </w:rPr>
              <w:t xml:space="preserve">Eiropas Komisijas izstrādātās vadlīnijas par finanšu instrumentu ieviešanu </w:t>
            </w:r>
            <w:r w:rsidR="00A21726">
              <w:rPr>
                <w:sz w:val="26"/>
                <w:szCs w:val="26"/>
                <w:lang w:val="lv-LV"/>
              </w:rPr>
              <w:t xml:space="preserve">(pieejamas tīmekļa vietnē: </w:t>
            </w:r>
            <w:r w:rsidR="00A21726">
              <w:t xml:space="preserve"> </w:t>
            </w:r>
            <w:hyperlink r:id="rId9" w:history="1">
              <w:r w:rsidR="00A21726" w:rsidRPr="00614539">
                <w:rPr>
                  <w:rStyle w:val="Hyperlink"/>
                  <w:sz w:val="26"/>
                  <w:szCs w:val="26"/>
                  <w:lang w:val="lv-LV"/>
                </w:rPr>
                <w:t>http://ec.europa.eu/regional_policy/thefunds/doc/instruments/jeremie/guidance2012.pdf</w:t>
              </w:r>
            </w:hyperlink>
            <w:r w:rsidR="00A21726">
              <w:rPr>
                <w:sz w:val="26"/>
                <w:szCs w:val="26"/>
                <w:lang w:val="lv-LV"/>
              </w:rPr>
              <w:t xml:space="preserve">) </w:t>
            </w:r>
            <w:r w:rsidR="00396794" w:rsidRPr="00486C60">
              <w:rPr>
                <w:sz w:val="26"/>
                <w:szCs w:val="26"/>
                <w:lang w:val="lv-LV"/>
              </w:rPr>
              <w:t xml:space="preserve">neierobežo šāda atbalsta sniegšanu saimnieciskās darbības veicējam, proti, 4.3.punktā ir atrunāts, ka procentu likmju subsīdijas, garantiju maksas subsīdijas un </w:t>
            </w:r>
            <w:r w:rsidR="00396794" w:rsidRPr="00413D68">
              <w:rPr>
                <w:sz w:val="26"/>
                <w:szCs w:val="26"/>
                <w:lang w:val="lv-LV"/>
              </w:rPr>
              <w:t>līdzvērtīgi atbalsta pasākumi</w:t>
            </w:r>
            <w:r w:rsidR="00396794" w:rsidRPr="00FA6A4A">
              <w:rPr>
                <w:sz w:val="26"/>
                <w:szCs w:val="26"/>
                <w:lang w:val="lv-LV"/>
              </w:rPr>
              <w:t>, kas</w:t>
            </w:r>
            <w:r w:rsidR="00396794" w:rsidRPr="00486C60">
              <w:rPr>
                <w:sz w:val="26"/>
                <w:szCs w:val="26"/>
                <w:lang w:val="lv-LV"/>
              </w:rPr>
              <w:t xml:space="preserve"> šajā gadījumā būtu minētās darījumu strukturēšanas un ķīlas reģistrācijas izmaksas, var tikt attiecinātas kā finansēšanas instrumenta sastāvdaļa, ja šādas izmaksas tiek sniegtas kopā ar ERAF finansētu aizdevumu, kas šajā gadījumā ir </w:t>
            </w:r>
            <w:proofErr w:type="spellStart"/>
            <w:r w:rsidR="00396794" w:rsidRPr="00486C60">
              <w:rPr>
                <w:sz w:val="26"/>
                <w:szCs w:val="26"/>
                <w:lang w:val="lv-LV"/>
              </w:rPr>
              <w:t>mezanīna</w:t>
            </w:r>
            <w:proofErr w:type="spellEnd"/>
            <w:r w:rsidR="00396794" w:rsidRPr="00486C60">
              <w:rPr>
                <w:sz w:val="26"/>
                <w:szCs w:val="26"/>
                <w:lang w:val="lv-LV"/>
              </w:rPr>
              <w:t xml:space="preserve"> aizdevums (</w:t>
            </w:r>
            <w:r w:rsidR="0016574D" w:rsidRPr="00486C60">
              <w:rPr>
                <w:sz w:val="26"/>
                <w:szCs w:val="26"/>
                <w:lang w:val="lv-LV"/>
              </w:rPr>
              <w:t>minētās aizdevumu</w:t>
            </w:r>
            <w:r w:rsidR="00396794" w:rsidRPr="00486C60">
              <w:rPr>
                <w:sz w:val="26"/>
                <w:szCs w:val="26"/>
                <w:lang w:val="lv-LV"/>
              </w:rPr>
              <w:t xml:space="preserve"> strukturēšanas izmaksas un ķīlas reģistrācijas izmaksas ir tieši attiecināmas uz izsniegto </w:t>
            </w:r>
            <w:proofErr w:type="spellStart"/>
            <w:r w:rsidR="00396794" w:rsidRPr="00486C60">
              <w:rPr>
                <w:sz w:val="26"/>
                <w:szCs w:val="26"/>
                <w:lang w:val="lv-LV"/>
              </w:rPr>
              <w:t>mezanīna</w:t>
            </w:r>
            <w:proofErr w:type="spellEnd"/>
            <w:r w:rsidR="00396794" w:rsidRPr="00486C60">
              <w:rPr>
                <w:sz w:val="26"/>
                <w:szCs w:val="26"/>
                <w:lang w:val="lv-LV"/>
              </w:rPr>
              <w:t xml:space="preserve"> aizdevumu un šāds atbalsts nevar tikt saņemts, ja netiek piešķirts </w:t>
            </w:r>
            <w:proofErr w:type="spellStart"/>
            <w:r w:rsidR="00396794" w:rsidRPr="00486C60">
              <w:rPr>
                <w:sz w:val="26"/>
                <w:szCs w:val="26"/>
                <w:lang w:val="lv-LV"/>
              </w:rPr>
              <w:t>mezanīna</w:t>
            </w:r>
            <w:proofErr w:type="spellEnd"/>
            <w:r w:rsidR="00396794" w:rsidRPr="00486C60">
              <w:rPr>
                <w:sz w:val="26"/>
                <w:szCs w:val="26"/>
                <w:lang w:val="lv-LV"/>
              </w:rPr>
              <w:t xml:space="preserve"> aizdevums). Atbalsta darījumu strukturēšanas un ķī</w:t>
            </w:r>
            <w:r w:rsidR="00396794" w:rsidRPr="00413D68">
              <w:rPr>
                <w:sz w:val="26"/>
                <w:szCs w:val="26"/>
                <w:lang w:val="lv-LV"/>
              </w:rPr>
              <w:t xml:space="preserve">las reģistrācijas izmaksām maksimālais atbalsta apmērs ir ierobežots, un tas nepārsniegs kopējos saimnieciskā darbības veicēja procentu likmes maksājumus par šo noteikumu ietvaros izsniegto mezanīna aizdevumu. Līdzīga pieeja 1.3.1.2. aktivitātes „Atbalsts pašnodarbinātības un uzņēmējdarbības uzsākšanai” (turpmāk – 1.3.1.2.aktivitāte) ietvaros ir saskaņota ar Eiropas Komisijas Nodarbinātības, sociālo lietu un iekļautības ģenerāldirektorātu (turpmāk – DG EMPL), proti, sākotnēji, DG EMPL norādīja uz neattiecināmajām izmaksām, attiecīgi nosakot finanšu korekciju 1.3.1.2.aktivitātes ietvaros saistībā ar granta aizdevuma dzēšanai izmaksām, savukārt Latvijas puse norādīja, ka, tā kā saskaņā ar Regulas Nr.1081/2006 11.panta 1.punktu attiecināmās izmaksas var būt procentu likmes subsīdijas, tad tā </w:t>
            </w:r>
            <w:r w:rsidR="00A44916" w:rsidRPr="00486C60">
              <w:rPr>
                <w:sz w:val="26"/>
                <w:szCs w:val="26"/>
                <w:lang w:val="lv-LV"/>
              </w:rPr>
              <w:t>retro aktīvi</w:t>
            </w:r>
            <w:r w:rsidR="00396794" w:rsidRPr="00413D68">
              <w:rPr>
                <w:sz w:val="26"/>
                <w:szCs w:val="26"/>
                <w:lang w:val="lv-LV"/>
              </w:rPr>
              <w:t xml:space="preserve"> veica pārrēķinu granta aizdevumu dzēšanai pret procentu likmes subsīdiju (abām ir viens mērķis – samazināt finanšu instrumenta, t.i. aizdevuma, procentu maksājuma slogu aizdevuma saņēmējam) un lūdza DG EMPL iekļaut attiecināmo daļu 1.3.1.2.aktivitātes attiecināmajās izmaksās un to deklarēt. Ar 2013.gada 2.augusta vēstuli DG EMPL tam neiebilda. </w:t>
            </w:r>
            <w:r w:rsidR="00396794" w:rsidRPr="00486C60">
              <w:rPr>
                <w:sz w:val="26"/>
                <w:szCs w:val="26"/>
                <w:lang w:val="lv-LV"/>
              </w:rPr>
              <w:t xml:space="preserve">Minētais atbalsts tiks piešķirts kā </w:t>
            </w:r>
            <w:r w:rsidR="00396794" w:rsidRPr="00413D68">
              <w:rPr>
                <w:i/>
                <w:sz w:val="26"/>
                <w:szCs w:val="26"/>
                <w:lang w:val="lv-LV"/>
              </w:rPr>
              <w:t>de minimis</w:t>
            </w:r>
            <w:r w:rsidR="00396794" w:rsidRPr="00486C60">
              <w:rPr>
                <w:sz w:val="26"/>
                <w:szCs w:val="26"/>
                <w:lang w:val="lv-LV"/>
              </w:rPr>
              <w:t xml:space="preserve"> atbalsts saskaņā ar Regulu Nr.1407/2013.</w:t>
            </w:r>
          </w:p>
          <w:p w:rsidR="009C16FC" w:rsidRPr="00486C60" w:rsidRDefault="009C16FC" w:rsidP="00486C60">
            <w:pPr>
              <w:ind w:left="15" w:firstLine="708"/>
              <w:jc w:val="both"/>
              <w:rPr>
                <w:sz w:val="26"/>
                <w:szCs w:val="26"/>
                <w:lang w:val="lv-LV"/>
              </w:rPr>
            </w:pPr>
            <w:r w:rsidRPr="00486C60">
              <w:rPr>
                <w:sz w:val="26"/>
                <w:szCs w:val="26"/>
                <w:lang w:val="lv-LV"/>
              </w:rPr>
              <w:t xml:space="preserve">Grozījumi neietekmēs LGA saimnieciskās darbības veicējiem </w:t>
            </w:r>
            <w:r w:rsidR="00486C60" w:rsidRPr="00486C60">
              <w:rPr>
                <w:sz w:val="26"/>
                <w:szCs w:val="26"/>
                <w:lang w:val="lv-LV"/>
              </w:rPr>
              <w:t xml:space="preserve">jau </w:t>
            </w:r>
            <w:r w:rsidRPr="00486C60">
              <w:rPr>
                <w:sz w:val="26"/>
                <w:szCs w:val="26"/>
                <w:lang w:val="lv-LV"/>
              </w:rPr>
              <w:t>izsniegto aizdevumu nosacījumus</w:t>
            </w:r>
            <w:r w:rsidR="00486C60" w:rsidRPr="00486C60">
              <w:rPr>
                <w:sz w:val="26"/>
                <w:szCs w:val="26"/>
                <w:lang w:val="lv-LV"/>
              </w:rPr>
              <w:t xml:space="preserve"> (izdevumu attiecināmība atbilstoši noteikumu projektam pieļaujama tikai pēc šī noteikumu projekta spēkā stāšanās) </w:t>
            </w:r>
            <w:r w:rsidRPr="00486C60">
              <w:rPr>
                <w:sz w:val="26"/>
                <w:szCs w:val="26"/>
                <w:lang w:val="lv-LV"/>
              </w:rPr>
              <w:t xml:space="preserve">un projekta ietvaros atbilstoši MK noteikumiem Nr.614 veiktās darbības. Noteikumu projekts ir labvēlīgāks finansējuma saņēmējam, LGA, jo paredz palielināt </w:t>
            </w:r>
            <w:r w:rsidR="00B55476" w:rsidRPr="00486C60">
              <w:rPr>
                <w:sz w:val="26"/>
                <w:szCs w:val="26"/>
                <w:lang w:val="lv-LV"/>
              </w:rPr>
              <w:t xml:space="preserve">projekta īstenošanai pieejamo finansējuma apmēru. </w:t>
            </w:r>
            <w:r w:rsidRPr="00486C60">
              <w:rPr>
                <w:sz w:val="26"/>
                <w:szCs w:val="26"/>
                <w:lang w:val="lv-LV"/>
              </w:rPr>
              <w:t xml:space="preserve">LGA </w:t>
            </w:r>
            <w:r w:rsidR="00B55476" w:rsidRPr="00486C60">
              <w:rPr>
                <w:sz w:val="26"/>
                <w:szCs w:val="26"/>
                <w:lang w:val="lv-LV"/>
              </w:rPr>
              <w:t>ir informēta par noteikumu projektu, un piekrīt veikt</w:t>
            </w:r>
            <w:r w:rsidRPr="00486C60">
              <w:rPr>
                <w:sz w:val="26"/>
                <w:szCs w:val="26"/>
                <w:lang w:val="lv-LV"/>
              </w:rPr>
              <w:t xml:space="preserve"> atbilstošu</w:t>
            </w:r>
            <w:r w:rsidR="00B55476" w:rsidRPr="00486C60">
              <w:rPr>
                <w:sz w:val="26"/>
                <w:szCs w:val="26"/>
                <w:lang w:val="lv-LV"/>
              </w:rPr>
              <w:t>s</w:t>
            </w:r>
            <w:r w:rsidRPr="00486C60">
              <w:rPr>
                <w:sz w:val="26"/>
                <w:szCs w:val="26"/>
                <w:lang w:val="lv-LV"/>
              </w:rPr>
              <w:t xml:space="preserve"> grozījumu</w:t>
            </w:r>
            <w:r w:rsidR="00B55476" w:rsidRPr="00486C60">
              <w:rPr>
                <w:sz w:val="26"/>
                <w:szCs w:val="26"/>
                <w:lang w:val="lv-LV"/>
              </w:rPr>
              <w:t>s</w:t>
            </w:r>
            <w:r w:rsidRPr="00486C60">
              <w:rPr>
                <w:sz w:val="26"/>
                <w:szCs w:val="26"/>
                <w:lang w:val="lv-LV"/>
              </w:rPr>
              <w:t xml:space="preserve"> līgumā un biznesa plānā</w:t>
            </w:r>
            <w:r w:rsidR="00B55476" w:rsidRPr="00486C60">
              <w:rPr>
                <w:sz w:val="26"/>
                <w:szCs w:val="26"/>
                <w:lang w:val="lv-LV"/>
              </w:rPr>
              <w:t xml:space="preserve"> pēc šī noteikumu projekta spēkā stāšanās.</w:t>
            </w:r>
            <w:r w:rsidRPr="00486C60">
              <w:rPr>
                <w:sz w:val="26"/>
                <w:szCs w:val="26"/>
                <w:lang w:val="lv-LV"/>
              </w:rPr>
              <w:t xml:space="preserve"> </w:t>
            </w:r>
            <w:r w:rsidR="00B55476" w:rsidRPr="00486C60">
              <w:rPr>
                <w:sz w:val="26"/>
                <w:szCs w:val="26"/>
                <w:lang w:val="lv-LV"/>
              </w:rPr>
              <w:t>MK noteikumu Nr.614 ietvaros netiks</w:t>
            </w:r>
            <w:r w:rsidRPr="00486C60">
              <w:rPr>
                <w:sz w:val="26"/>
                <w:szCs w:val="26"/>
                <w:lang w:val="lv-LV"/>
              </w:rPr>
              <w:t xml:space="preserve"> atlasīt</w:t>
            </w:r>
            <w:r w:rsidR="00B55476" w:rsidRPr="00486C60">
              <w:rPr>
                <w:sz w:val="26"/>
                <w:szCs w:val="26"/>
                <w:lang w:val="lv-LV"/>
              </w:rPr>
              <w:t>i</w:t>
            </w:r>
            <w:r w:rsidRPr="00486C60">
              <w:rPr>
                <w:sz w:val="26"/>
                <w:szCs w:val="26"/>
                <w:lang w:val="lv-LV"/>
              </w:rPr>
              <w:t xml:space="preserve"> jaun</w:t>
            </w:r>
            <w:r w:rsidR="00B55476" w:rsidRPr="00486C60">
              <w:rPr>
                <w:sz w:val="26"/>
                <w:szCs w:val="26"/>
                <w:lang w:val="lv-LV"/>
              </w:rPr>
              <w:t>i</w:t>
            </w:r>
            <w:r w:rsidRPr="00486C60">
              <w:rPr>
                <w:sz w:val="26"/>
                <w:szCs w:val="26"/>
                <w:lang w:val="lv-LV"/>
              </w:rPr>
              <w:t xml:space="preserve"> 2.2.1.4.2.aktivitātes ieviesēj</w:t>
            </w:r>
            <w:r w:rsidR="00B55476" w:rsidRPr="00486C60">
              <w:rPr>
                <w:sz w:val="26"/>
                <w:szCs w:val="26"/>
                <w:lang w:val="lv-LV"/>
              </w:rPr>
              <w:t>i</w:t>
            </w:r>
            <w:r w:rsidRPr="00486C60">
              <w:rPr>
                <w:sz w:val="26"/>
                <w:szCs w:val="26"/>
                <w:lang w:val="lv-LV"/>
              </w:rPr>
              <w:t>,</w:t>
            </w:r>
            <w:r w:rsidR="00B55476" w:rsidRPr="00486C60">
              <w:rPr>
                <w:sz w:val="26"/>
                <w:szCs w:val="26"/>
                <w:lang w:val="lv-LV"/>
              </w:rPr>
              <w:t xml:space="preserve"> un</w:t>
            </w:r>
            <w:r w:rsidRPr="00486C60">
              <w:rPr>
                <w:sz w:val="26"/>
                <w:szCs w:val="26"/>
                <w:lang w:val="lv-LV"/>
              </w:rPr>
              <w:t xml:space="preserve"> 2.2.1.4.2.aktivitātes ieviešanu arī turpmāk nodrošinās LGA. </w:t>
            </w:r>
          </w:p>
        </w:tc>
      </w:tr>
      <w:tr w:rsidR="00EA6CD3" w:rsidRPr="003E5A6D" w:rsidTr="00695C89">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486C60" w:rsidRDefault="00EA6CD3" w:rsidP="00695C89">
            <w:pPr>
              <w:jc w:val="both"/>
              <w:rPr>
                <w:rFonts w:eastAsia="Times New Roman"/>
                <w:sz w:val="26"/>
                <w:szCs w:val="26"/>
                <w:lang w:val="lv-LV" w:eastAsia="lv-LV"/>
              </w:rPr>
            </w:pPr>
            <w:r w:rsidRPr="00486C60">
              <w:rPr>
                <w:rFonts w:eastAsia="Times New Roman"/>
                <w:sz w:val="26"/>
                <w:szCs w:val="26"/>
                <w:lang w:val="lv-LV" w:eastAsia="lv-LV"/>
              </w:rPr>
              <w:lastRenderedPageBreak/>
              <w:t>3.</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86C60" w:rsidRDefault="00255BAC" w:rsidP="00695C89">
            <w:pPr>
              <w:jc w:val="both"/>
              <w:rPr>
                <w:rFonts w:eastAsia="Times New Roman"/>
                <w:sz w:val="26"/>
                <w:szCs w:val="26"/>
                <w:lang w:val="lv-LV" w:eastAsia="lv-LV"/>
              </w:rPr>
            </w:pPr>
            <w:r w:rsidRPr="00486C60">
              <w:rPr>
                <w:rFonts w:eastAsia="Times New Roman"/>
                <w:sz w:val="26"/>
                <w:szCs w:val="26"/>
                <w:lang w:val="lv-LV" w:eastAsia="lv-LV"/>
              </w:rPr>
              <w:t>Projekta izstrādē iesaistītās institūcijas</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486C60" w:rsidRDefault="00255BAC" w:rsidP="00695C89">
            <w:pPr>
              <w:ind w:firstLine="720"/>
              <w:jc w:val="both"/>
              <w:rPr>
                <w:bCs/>
                <w:sz w:val="26"/>
                <w:szCs w:val="26"/>
                <w:lang w:val="lv-LV"/>
              </w:rPr>
            </w:pPr>
            <w:r w:rsidRPr="00486C60">
              <w:rPr>
                <w:iCs/>
                <w:sz w:val="26"/>
                <w:szCs w:val="26"/>
                <w:lang w:val="lv-LV"/>
              </w:rPr>
              <w:t>Ekonomikas ministrija</w:t>
            </w:r>
            <w:r w:rsidR="00EA6CD3" w:rsidRPr="00486C60">
              <w:rPr>
                <w:color w:val="000000"/>
                <w:sz w:val="26"/>
                <w:szCs w:val="26"/>
                <w:lang w:val="lv-LV"/>
              </w:rPr>
              <w:t xml:space="preserve"> </w:t>
            </w:r>
          </w:p>
        </w:tc>
      </w:tr>
      <w:tr w:rsidR="00B300C7" w:rsidRPr="003E5A6D" w:rsidTr="00695C89">
        <w:trPr>
          <w:trHeight w:val="35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486C60" w:rsidRDefault="00B300C7" w:rsidP="00695C89">
            <w:pPr>
              <w:jc w:val="both"/>
              <w:rPr>
                <w:rFonts w:eastAsia="Times New Roman"/>
                <w:sz w:val="26"/>
                <w:szCs w:val="26"/>
                <w:lang w:val="lv-LV" w:eastAsia="lv-LV"/>
              </w:rPr>
            </w:pPr>
            <w:r w:rsidRPr="00486C60">
              <w:rPr>
                <w:rFonts w:eastAsia="Times New Roman"/>
                <w:sz w:val="26"/>
                <w:szCs w:val="26"/>
                <w:lang w:val="lv-LV" w:eastAsia="lv-LV"/>
              </w:rPr>
              <w:t>4.</w:t>
            </w:r>
          </w:p>
        </w:tc>
        <w:tc>
          <w:tcPr>
            <w:tcW w:w="1843" w:type="dxa"/>
            <w:tcBorders>
              <w:top w:val="thickThinLargeGap" w:sz="6" w:space="0" w:color="C0C0C0"/>
              <w:left w:val="thickThinLargeGap" w:sz="6" w:space="0" w:color="C0C0C0"/>
              <w:bottom w:val="thickThinLargeGap" w:sz="6" w:space="0" w:color="C0C0C0"/>
              <w:right w:val="thickThinLargeGap" w:sz="6" w:space="0" w:color="C0C0C0"/>
            </w:tcBorders>
          </w:tcPr>
          <w:p w:rsidR="00B300C7" w:rsidRPr="00486C60" w:rsidRDefault="00B300C7" w:rsidP="00695C89">
            <w:pPr>
              <w:jc w:val="both"/>
              <w:rPr>
                <w:rFonts w:eastAsia="Times New Roman"/>
                <w:sz w:val="26"/>
                <w:szCs w:val="26"/>
                <w:lang w:val="lv-LV" w:eastAsia="lv-LV"/>
              </w:rPr>
            </w:pPr>
            <w:r w:rsidRPr="00486C60">
              <w:rPr>
                <w:rFonts w:eastAsia="Times New Roman"/>
                <w:sz w:val="26"/>
                <w:szCs w:val="26"/>
                <w:lang w:val="lv-LV" w:eastAsia="lv-LV"/>
              </w:rPr>
              <w:t>Cita informācija</w:t>
            </w:r>
          </w:p>
        </w:tc>
        <w:tc>
          <w:tcPr>
            <w:tcW w:w="6945" w:type="dxa"/>
            <w:tcBorders>
              <w:top w:val="thickThinLargeGap" w:sz="6" w:space="0" w:color="C0C0C0"/>
              <w:left w:val="thickThinLargeGap" w:sz="6" w:space="0" w:color="C0C0C0"/>
              <w:bottom w:val="thickThinLargeGap" w:sz="6" w:space="0" w:color="C0C0C0"/>
              <w:right w:val="thickThinLargeGap" w:sz="6" w:space="0" w:color="C0C0C0"/>
            </w:tcBorders>
          </w:tcPr>
          <w:p w:rsidR="009873A9" w:rsidRPr="00486C60" w:rsidRDefault="009873A9" w:rsidP="009873A9">
            <w:pPr>
              <w:ind w:firstLine="720"/>
              <w:jc w:val="both"/>
              <w:rPr>
                <w:iCs/>
                <w:sz w:val="26"/>
                <w:szCs w:val="26"/>
                <w:lang w:val="lv-LV"/>
              </w:rPr>
            </w:pPr>
            <w:r w:rsidRPr="00486C60">
              <w:rPr>
                <w:iCs/>
                <w:sz w:val="26"/>
                <w:szCs w:val="26"/>
                <w:lang w:val="lv-LV"/>
              </w:rPr>
              <w:t xml:space="preserve">Ņemot vērā, ka netiks atlasīts jauns 2.2.1.4.2.aktivitātes ieviesējs, noteikumu projekts neparedz mainīt citas MK noteikumu Nr.614 normas, tajā skaitā neparedz precizēt projekta pieteikumu veidlapu. </w:t>
            </w:r>
          </w:p>
          <w:p w:rsidR="00B300C7" w:rsidRPr="00486C60" w:rsidRDefault="009873A9" w:rsidP="009873A9">
            <w:pPr>
              <w:ind w:firstLine="720"/>
              <w:jc w:val="both"/>
              <w:rPr>
                <w:iCs/>
                <w:sz w:val="26"/>
                <w:szCs w:val="26"/>
                <w:lang w:val="lv-LV"/>
              </w:rPr>
            </w:pPr>
            <w:r w:rsidRPr="00486C60">
              <w:rPr>
                <w:iCs/>
                <w:sz w:val="26"/>
                <w:szCs w:val="26"/>
                <w:lang w:val="lv-LV"/>
              </w:rPr>
              <w:t>Pēc grozījumu MK noteikumos Nr.614 spēkā stāšanās tiks veikti atbilstoši grozījumi līgumā ar LGA, projekta iesniegumu veidlapā un biznesa plānā.</w:t>
            </w:r>
          </w:p>
        </w:tc>
      </w:tr>
    </w:tbl>
    <w:p w:rsidR="00EA6CD3" w:rsidRPr="003E5A6D" w:rsidRDefault="00EA6CD3" w:rsidP="00EA6CD3">
      <w:pPr>
        <w:jc w:val="both"/>
        <w:rPr>
          <w:rFonts w:eastAsia="Times New Roman"/>
          <w:sz w:val="24"/>
          <w:szCs w:val="24"/>
          <w:lang w:val="lv-LV" w:eastAsia="lv-LV"/>
        </w:rPr>
        <w:sectPr w:rsidR="00EA6CD3" w:rsidRPr="003E5A6D" w:rsidSect="00CB6AC4">
          <w:headerReference w:type="default" r:id="rId10"/>
          <w:footerReference w:type="default" r:id="rId11"/>
          <w:footerReference w:type="first" r:id="rId12"/>
          <w:pgSz w:w="11906" w:h="16838"/>
          <w:pgMar w:top="1418" w:right="1134" w:bottom="1134" w:left="1701" w:header="709" w:footer="709" w:gutter="0"/>
          <w:cols w:space="708"/>
          <w:titlePg/>
          <w:docGrid w:linePitch="360"/>
        </w:sectPr>
      </w:pPr>
    </w:p>
    <w:p w:rsidR="00ED4255" w:rsidRDefault="00ED4255" w:rsidP="00A23E8B">
      <w:pPr>
        <w:pStyle w:val="naisf"/>
        <w:spacing w:before="0" w:after="0"/>
        <w:ind w:firstLine="0"/>
      </w:pPr>
    </w:p>
    <w:p w:rsidR="00FA6A4A" w:rsidRPr="003E5A6D" w:rsidRDefault="00FA6A4A" w:rsidP="00A23E8B">
      <w:pPr>
        <w:pStyle w:val="naisf"/>
        <w:spacing w:before="0" w:after="0"/>
        <w:ind w:firstLine="0"/>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15"/>
        <w:gridCol w:w="284"/>
        <w:gridCol w:w="2410"/>
        <w:gridCol w:w="567"/>
        <w:gridCol w:w="5811"/>
      </w:tblGrid>
      <w:tr w:rsidR="00EA6CD3" w:rsidRPr="003E5A6D" w:rsidTr="00A21726">
        <w:trPr>
          <w:gridBefore w:val="1"/>
          <w:wBefore w:w="15" w:type="dxa"/>
        </w:trPr>
        <w:tc>
          <w:tcPr>
            <w:tcW w:w="9072" w:type="dxa"/>
            <w:gridSpan w:val="4"/>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EA6CD3" w:rsidP="00CB6AC4">
            <w:pPr>
              <w:ind w:firstLine="720"/>
              <w:jc w:val="center"/>
              <w:rPr>
                <w:rFonts w:eastAsia="Times New Roman"/>
                <w:b/>
                <w:sz w:val="26"/>
                <w:szCs w:val="26"/>
                <w:lang w:val="lv-LV" w:eastAsia="lv-LV"/>
              </w:rPr>
            </w:pPr>
            <w:r w:rsidRPr="00FA6A4A">
              <w:rPr>
                <w:rFonts w:eastAsia="Times New Roman"/>
                <w:b/>
                <w:sz w:val="26"/>
                <w:szCs w:val="26"/>
                <w:lang w:val="lv-LV" w:eastAsia="lv-LV"/>
              </w:rPr>
              <w:t>II. Tiesību akta projekta ietekme uz sabiedrību</w:t>
            </w:r>
            <w:r w:rsidR="00255BAC" w:rsidRPr="00FA6A4A">
              <w:rPr>
                <w:rFonts w:eastAsia="Times New Roman"/>
                <w:b/>
                <w:sz w:val="26"/>
                <w:szCs w:val="26"/>
                <w:lang w:val="lv-LV" w:eastAsia="lv-LV"/>
              </w:rPr>
              <w:t>, tautsaimniecības attīstību un administratīvo slogu</w:t>
            </w:r>
          </w:p>
        </w:tc>
      </w:tr>
      <w:tr w:rsidR="00EA6CD3" w:rsidRPr="003E5A6D" w:rsidTr="00A21726">
        <w:trPr>
          <w:gridBefore w:val="1"/>
          <w:wBefore w:w="15" w:type="dxa"/>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1.</w:t>
            </w:r>
          </w:p>
        </w:tc>
        <w:tc>
          <w:tcPr>
            <w:tcW w:w="297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EA6CD3" w:rsidP="00CB6AC4">
            <w:pPr>
              <w:jc w:val="both"/>
              <w:rPr>
                <w:rFonts w:eastAsia="Times New Roman"/>
                <w:sz w:val="26"/>
                <w:szCs w:val="26"/>
                <w:lang w:val="lv-LV" w:eastAsia="lv-LV"/>
              </w:rPr>
            </w:pPr>
            <w:r w:rsidRPr="00FA6A4A">
              <w:rPr>
                <w:rFonts w:eastAsia="Times New Roman"/>
                <w:sz w:val="26"/>
                <w:szCs w:val="26"/>
                <w:lang w:val="lv-LV" w:eastAsia="lv-LV"/>
              </w:rPr>
              <w:t>Sabiedrības mērķgrupa</w:t>
            </w:r>
            <w:r w:rsidR="00255BAC" w:rsidRPr="00FA6A4A">
              <w:rPr>
                <w:rFonts w:eastAsia="Times New Roman"/>
                <w:sz w:val="26"/>
                <w:szCs w:val="26"/>
                <w:lang w:val="lv-LV" w:eastAsia="lv-LV"/>
              </w:rPr>
              <w:t>s, kurs tiesiskais regulējums ietekmē vai varētu ietekmēt</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646A6F" w:rsidP="000369C7">
            <w:pPr>
              <w:ind w:firstLine="720"/>
              <w:jc w:val="both"/>
              <w:rPr>
                <w:sz w:val="26"/>
                <w:szCs w:val="26"/>
                <w:lang w:val="lv-LV"/>
              </w:rPr>
            </w:pPr>
            <w:r w:rsidRPr="00FA6A4A">
              <w:rPr>
                <w:sz w:val="26"/>
                <w:szCs w:val="26"/>
                <w:lang w:val="lv-LV"/>
              </w:rPr>
              <w:t>Latvijā reģistrēti saimnieciskās darbības veicēji</w:t>
            </w:r>
            <w:r w:rsidR="000369C7" w:rsidRPr="00FA6A4A">
              <w:rPr>
                <w:sz w:val="26"/>
                <w:szCs w:val="26"/>
                <w:lang w:val="lv-LV"/>
              </w:rPr>
              <w:t>.</w:t>
            </w:r>
          </w:p>
        </w:tc>
      </w:tr>
      <w:tr w:rsidR="00EA6CD3" w:rsidRPr="003E5A6D" w:rsidTr="00A21726">
        <w:trPr>
          <w:gridBefore w:val="1"/>
          <w:wBefore w:w="15" w:type="dxa"/>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2.</w:t>
            </w:r>
          </w:p>
        </w:tc>
        <w:tc>
          <w:tcPr>
            <w:tcW w:w="2977"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255BAC" w:rsidP="00CB6AC4">
            <w:pPr>
              <w:jc w:val="both"/>
              <w:rPr>
                <w:rFonts w:eastAsia="Times New Roman"/>
                <w:sz w:val="26"/>
                <w:szCs w:val="26"/>
                <w:lang w:val="lv-LV" w:eastAsia="lv-LV"/>
              </w:rPr>
            </w:pPr>
            <w:r w:rsidRPr="00FA6A4A">
              <w:rPr>
                <w:rFonts w:eastAsia="Times New Roman"/>
                <w:sz w:val="26"/>
                <w:szCs w:val="26"/>
                <w:lang w:val="lv-LV" w:eastAsia="lv-LV"/>
              </w:rPr>
              <w:t>Tiesiskā regulējuma ietekme uz tautsaimniecību un administratīvo slogu</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255BAC" w:rsidP="00A23E8B">
            <w:pPr>
              <w:pStyle w:val="BodyText"/>
              <w:ind w:right="142" w:firstLine="720"/>
              <w:rPr>
                <w:iCs/>
                <w:sz w:val="26"/>
                <w:szCs w:val="26"/>
              </w:rPr>
            </w:pPr>
            <w:r w:rsidRPr="00FA6A4A">
              <w:rPr>
                <w:iCs/>
                <w:sz w:val="26"/>
                <w:szCs w:val="26"/>
              </w:rPr>
              <w:t>Projekts šo jomu neskar</w:t>
            </w:r>
          </w:p>
        </w:tc>
      </w:tr>
      <w:tr w:rsidR="00EA6CD3" w:rsidRPr="003E5A6D" w:rsidTr="00A21726">
        <w:trPr>
          <w:gridBefore w:val="1"/>
          <w:wBefore w:w="15" w:type="dxa"/>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EA6CD3" w:rsidP="00CB6AC4">
            <w:pPr>
              <w:jc w:val="both"/>
              <w:rPr>
                <w:rFonts w:eastAsia="Times New Roman"/>
                <w:sz w:val="24"/>
                <w:szCs w:val="24"/>
                <w:lang w:val="lv-LV" w:eastAsia="lv-LV"/>
              </w:rPr>
            </w:pPr>
            <w:r w:rsidRPr="003E5A6D">
              <w:rPr>
                <w:rFonts w:eastAsia="Times New Roman"/>
                <w:sz w:val="24"/>
                <w:szCs w:val="24"/>
                <w:lang w:val="lv-LV" w:eastAsia="lv-LV"/>
              </w:rPr>
              <w:t>3.</w:t>
            </w:r>
          </w:p>
        </w:tc>
        <w:tc>
          <w:tcPr>
            <w:tcW w:w="297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255BAC" w:rsidP="00CB6AC4">
            <w:pPr>
              <w:jc w:val="both"/>
              <w:rPr>
                <w:rFonts w:eastAsia="Times New Roman"/>
                <w:sz w:val="26"/>
                <w:szCs w:val="26"/>
                <w:lang w:val="lv-LV" w:eastAsia="lv-LV"/>
              </w:rPr>
            </w:pPr>
            <w:r w:rsidRPr="00FA6A4A">
              <w:rPr>
                <w:rFonts w:eastAsia="Times New Roman"/>
                <w:sz w:val="26"/>
                <w:szCs w:val="26"/>
                <w:lang w:val="lv-LV" w:eastAsia="lv-LV"/>
              </w:rPr>
              <w:t>Administratīvo izmaksu monetārs novērtējums</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5D06E8" w:rsidRPr="00FA6A4A" w:rsidRDefault="00255BAC" w:rsidP="001D0800">
            <w:pPr>
              <w:pStyle w:val="BodyText"/>
              <w:ind w:right="142" w:firstLine="720"/>
              <w:rPr>
                <w:sz w:val="26"/>
                <w:szCs w:val="26"/>
              </w:rPr>
            </w:pPr>
            <w:r w:rsidRPr="00FA6A4A">
              <w:rPr>
                <w:sz w:val="26"/>
                <w:szCs w:val="26"/>
              </w:rPr>
              <w:t>Projekts šo jomu neskar</w:t>
            </w:r>
          </w:p>
        </w:tc>
      </w:tr>
      <w:tr w:rsidR="00EA6CD3" w:rsidRPr="003E5A6D" w:rsidTr="00A21726">
        <w:trPr>
          <w:gridBefore w:val="1"/>
          <w:wBefore w:w="15" w:type="dxa"/>
        </w:trPr>
        <w:tc>
          <w:tcPr>
            <w:tcW w:w="284"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3E5A6D" w:rsidRDefault="002A0BC1" w:rsidP="00CB6AC4">
            <w:pPr>
              <w:jc w:val="both"/>
              <w:rPr>
                <w:rFonts w:eastAsia="Times New Roman"/>
                <w:sz w:val="24"/>
                <w:szCs w:val="24"/>
                <w:lang w:val="lv-LV" w:eastAsia="lv-LV"/>
              </w:rPr>
            </w:pPr>
            <w:r>
              <w:rPr>
                <w:rFonts w:eastAsia="Times New Roman"/>
                <w:sz w:val="24"/>
                <w:szCs w:val="24"/>
                <w:lang w:val="lv-LV" w:eastAsia="lv-LV"/>
              </w:rPr>
              <w:t>4</w:t>
            </w:r>
            <w:r w:rsidR="00EA6CD3" w:rsidRPr="003E5A6D">
              <w:rPr>
                <w:rFonts w:eastAsia="Times New Roman"/>
                <w:sz w:val="24"/>
                <w:szCs w:val="24"/>
                <w:lang w:val="lv-LV" w:eastAsia="lv-LV"/>
              </w:rPr>
              <w:t>.</w:t>
            </w:r>
          </w:p>
        </w:tc>
        <w:tc>
          <w:tcPr>
            <w:tcW w:w="2977"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EA6CD3" w:rsidP="00CB6AC4">
            <w:pPr>
              <w:jc w:val="both"/>
              <w:rPr>
                <w:rFonts w:eastAsia="Times New Roman"/>
                <w:sz w:val="26"/>
                <w:szCs w:val="26"/>
                <w:lang w:val="lv-LV" w:eastAsia="lv-LV"/>
              </w:rPr>
            </w:pPr>
            <w:r w:rsidRPr="00FA6A4A">
              <w:rPr>
                <w:rFonts w:eastAsia="Times New Roman"/>
                <w:sz w:val="26"/>
                <w:szCs w:val="26"/>
                <w:lang w:val="lv-LV" w:eastAsia="lv-LV"/>
              </w:rPr>
              <w:t>Cita informācija</w:t>
            </w:r>
          </w:p>
        </w:tc>
        <w:tc>
          <w:tcPr>
            <w:tcW w:w="5811"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B300C7" w:rsidP="00CB6AC4">
            <w:pPr>
              <w:ind w:firstLine="720"/>
              <w:jc w:val="both"/>
              <w:rPr>
                <w:rFonts w:eastAsia="Times New Roman"/>
                <w:sz w:val="26"/>
                <w:szCs w:val="26"/>
                <w:lang w:val="lv-LV" w:eastAsia="lv-LV"/>
              </w:rPr>
            </w:pPr>
            <w:r w:rsidRPr="00FA6A4A">
              <w:rPr>
                <w:rFonts w:eastAsia="Times New Roman"/>
                <w:sz w:val="26"/>
                <w:szCs w:val="26"/>
                <w:lang w:val="lv-LV" w:eastAsia="lv-LV"/>
              </w:rPr>
              <w:t>Nav</w:t>
            </w:r>
          </w:p>
        </w:tc>
      </w:tr>
      <w:tr w:rsidR="00EA6CD3" w:rsidRPr="003E5A6D" w:rsidTr="00A21726">
        <w:trPr>
          <w:trHeight w:val="623"/>
        </w:trPr>
        <w:tc>
          <w:tcPr>
            <w:tcW w:w="9087" w:type="dxa"/>
            <w:gridSpan w:val="5"/>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EA6CD3" w:rsidP="00CB6AC4">
            <w:pPr>
              <w:ind w:firstLine="720"/>
              <w:jc w:val="both"/>
              <w:rPr>
                <w:rFonts w:eastAsia="Times New Roman"/>
                <w:b/>
                <w:sz w:val="26"/>
                <w:szCs w:val="26"/>
                <w:lang w:val="lv-LV" w:eastAsia="lv-LV"/>
              </w:rPr>
            </w:pPr>
            <w:r w:rsidRPr="00FA6A4A">
              <w:rPr>
                <w:rFonts w:eastAsia="Times New Roman"/>
                <w:b/>
                <w:sz w:val="26"/>
                <w:szCs w:val="26"/>
                <w:lang w:val="lv-LV" w:eastAsia="lv-LV"/>
              </w:rPr>
              <w:t>IV. Tiesību akta projekta ietekme uz spēkā esošo tiesību normu sistēmu</w:t>
            </w:r>
          </w:p>
        </w:tc>
      </w:tr>
      <w:tr w:rsidR="00EA6CD3" w:rsidRPr="003E5A6D" w:rsidTr="00A21726">
        <w:trPr>
          <w:trHeight w:val="366"/>
        </w:trPr>
        <w:tc>
          <w:tcPr>
            <w:tcW w:w="299"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EA6CD3" w:rsidP="00CB6AC4">
            <w:pPr>
              <w:jc w:val="both"/>
              <w:rPr>
                <w:rFonts w:eastAsia="Times New Roman"/>
                <w:sz w:val="26"/>
                <w:szCs w:val="26"/>
                <w:lang w:val="lv-LV" w:eastAsia="lv-LV"/>
              </w:rPr>
            </w:pPr>
            <w:r w:rsidRPr="00FA6A4A">
              <w:rPr>
                <w:rFonts w:eastAsia="Times New Roman"/>
                <w:sz w:val="26"/>
                <w:szCs w:val="26"/>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EA6CD3" w:rsidP="00CB6AC4">
            <w:pPr>
              <w:jc w:val="both"/>
              <w:rPr>
                <w:rFonts w:eastAsia="Times New Roman"/>
                <w:sz w:val="26"/>
                <w:szCs w:val="26"/>
                <w:lang w:val="lv-LV" w:eastAsia="lv-LV"/>
              </w:rPr>
            </w:pPr>
            <w:r w:rsidRPr="00FA6A4A">
              <w:rPr>
                <w:rFonts w:eastAsia="Times New Roman"/>
                <w:sz w:val="26"/>
                <w:szCs w:val="26"/>
                <w:lang w:val="lv-LV" w:eastAsia="lv-LV"/>
              </w:rPr>
              <w:t>Nepieciešamie saistītie tiesību aktu projekti</w:t>
            </w:r>
          </w:p>
        </w:tc>
        <w:tc>
          <w:tcPr>
            <w:tcW w:w="637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EA6CD3" w:rsidP="00486C60">
            <w:pPr>
              <w:pStyle w:val="BodyText"/>
              <w:ind w:right="142" w:firstLine="720"/>
              <w:rPr>
                <w:sz w:val="26"/>
                <w:szCs w:val="26"/>
              </w:rPr>
            </w:pPr>
            <w:r w:rsidRPr="00FA6A4A">
              <w:rPr>
                <w:sz w:val="26"/>
                <w:szCs w:val="26"/>
              </w:rPr>
              <w:t xml:space="preserve"> </w:t>
            </w:r>
            <w:r w:rsidR="00D217AC" w:rsidRPr="00FA6A4A">
              <w:rPr>
                <w:sz w:val="26"/>
                <w:szCs w:val="26"/>
              </w:rPr>
              <w:t>Paralēli ar</w:t>
            </w:r>
            <w:r w:rsidRPr="00FA6A4A">
              <w:rPr>
                <w:sz w:val="26"/>
                <w:szCs w:val="26"/>
              </w:rPr>
              <w:t xml:space="preserve"> </w:t>
            </w:r>
            <w:r w:rsidR="001E486A" w:rsidRPr="00FA6A4A">
              <w:rPr>
                <w:sz w:val="26"/>
                <w:szCs w:val="26"/>
              </w:rPr>
              <w:t xml:space="preserve">šo </w:t>
            </w:r>
            <w:r w:rsidR="00D217AC" w:rsidRPr="00FA6A4A">
              <w:rPr>
                <w:sz w:val="26"/>
                <w:szCs w:val="26"/>
              </w:rPr>
              <w:t xml:space="preserve">noteikumu projektu </w:t>
            </w:r>
            <w:r w:rsidRPr="00FA6A4A">
              <w:rPr>
                <w:sz w:val="26"/>
                <w:szCs w:val="26"/>
              </w:rPr>
              <w:t xml:space="preserve">tiek </w:t>
            </w:r>
            <w:r w:rsidR="00486C60" w:rsidRPr="00FA6A4A">
              <w:rPr>
                <w:sz w:val="26"/>
                <w:szCs w:val="26"/>
              </w:rPr>
              <w:t>virzīti</w:t>
            </w:r>
            <w:r w:rsidR="009873A9" w:rsidRPr="00FA6A4A">
              <w:rPr>
                <w:sz w:val="26"/>
                <w:szCs w:val="26"/>
              </w:rPr>
              <w:t xml:space="preserve"> </w:t>
            </w:r>
            <w:r w:rsidR="00F716EF" w:rsidRPr="00FA6A4A">
              <w:rPr>
                <w:sz w:val="26"/>
                <w:szCs w:val="26"/>
              </w:rPr>
              <w:t xml:space="preserve">grozījumi </w:t>
            </w:r>
            <w:r w:rsidR="00D217AC" w:rsidRPr="00FA6A4A">
              <w:rPr>
                <w:sz w:val="26"/>
                <w:szCs w:val="26"/>
              </w:rPr>
              <w:t>DPP.</w:t>
            </w:r>
            <w:r w:rsidR="00486C60" w:rsidRPr="00FA6A4A">
              <w:rPr>
                <w:sz w:val="26"/>
                <w:szCs w:val="26"/>
              </w:rPr>
              <w:t xml:space="preserve"> </w:t>
            </w:r>
          </w:p>
        </w:tc>
      </w:tr>
      <w:tr w:rsidR="002A0BC1" w:rsidRPr="003E5A6D" w:rsidTr="00A21726">
        <w:trPr>
          <w:trHeight w:val="366"/>
        </w:trPr>
        <w:tc>
          <w:tcPr>
            <w:tcW w:w="299"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2A0BC1" w:rsidRPr="00FA6A4A" w:rsidRDefault="002A0BC1" w:rsidP="00CB6AC4">
            <w:pPr>
              <w:jc w:val="both"/>
              <w:rPr>
                <w:rFonts w:eastAsia="Times New Roman"/>
                <w:sz w:val="26"/>
                <w:szCs w:val="26"/>
                <w:lang w:val="lv-LV" w:eastAsia="lv-LV"/>
              </w:rPr>
            </w:pPr>
            <w:r w:rsidRPr="00FA6A4A">
              <w:rPr>
                <w:rFonts w:eastAsia="Times New Roman"/>
                <w:sz w:val="26"/>
                <w:szCs w:val="26"/>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tcPr>
          <w:p w:rsidR="002A0BC1" w:rsidRPr="00FA6A4A" w:rsidRDefault="002A0BC1" w:rsidP="00CB6AC4">
            <w:pPr>
              <w:jc w:val="both"/>
              <w:rPr>
                <w:rFonts w:eastAsia="Times New Roman"/>
                <w:sz w:val="26"/>
                <w:szCs w:val="26"/>
                <w:lang w:val="lv-LV" w:eastAsia="lv-LV"/>
              </w:rPr>
            </w:pPr>
            <w:r w:rsidRPr="00FA6A4A">
              <w:rPr>
                <w:rFonts w:eastAsia="Times New Roman"/>
                <w:sz w:val="26"/>
                <w:szCs w:val="26"/>
                <w:lang w:val="lv-LV" w:eastAsia="lv-LV"/>
              </w:rPr>
              <w:t>Atbildīgā institūcija</w:t>
            </w:r>
          </w:p>
        </w:tc>
        <w:tc>
          <w:tcPr>
            <w:tcW w:w="6378"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2A0BC1" w:rsidRPr="00FA6A4A" w:rsidRDefault="002A0BC1" w:rsidP="00D217AC">
            <w:pPr>
              <w:pStyle w:val="BodyText"/>
              <w:ind w:right="142" w:firstLine="720"/>
              <w:rPr>
                <w:sz w:val="26"/>
                <w:szCs w:val="26"/>
              </w:rPr>
            </w:pPr>
            <w:r w:rsidRPr="00FA6A4A">
              <w:rPr>
                <w:sz w:val="26"/>
                <w:szCs w:val="26"/>
              </w:rPr>
              <w:t>Ekonomikas ministrija</w:t>
            </w:r>
          </w:p>
        </w:tc>
      </w:tr>
      <w:tr w:rsidR="00EA6CD3" w:rsidRPr="003E5A6D" w:rsidTr="00A21726">
        <w:trPr>
          <w:trHeight w:val="141"/>
        </w:trPr>
        <w:tc>
          <w:tcPr>
            <w:tcW w:w="299" w:type="dxa"/>
            <w:gridSpan w:val="2"/>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2A0BC1" w:rsidP="00CB6AC4">
            <w:pPr>
              <w:jc w:val="both"/>
              <w:rPr>
                <w:rFonts w:eastAsia="Times New Roman"/>
                <w:sz w:val="26"/>
                <w:szCs w:val="26"/>
                <w:lang w:val="lv-LV" w:eastAsia="lv-LV"/>
              </w:rPr>
            </w:pPr>
            <w:r w:rsidRPr="00FA6A4A">
              <w:rPr>
                <w:rFonts w:eastAsia="Times New Roman"/>
                <w:sz w:val="26"/>
                <w:szCs w:val="26"/>
                <w:lang w:val="lv-LV" w:eastAsia="lv-LV"/>
              </w:rPr>
              <w:t>3</w:t>
            </w:r>
            <w:r w:rsidR="00EA6CD3" w:rsidRPr="00FA6A4A">
              <w:rPr>
                <w:rFonts w:eastAsia="Times New Roman"/>
                <w:sz w:val="26"/>
                <w:szCs w:val="26"/>
                <w:lang w:val="lv-LV" w:eastAsia="lv-LV"/>
              </w:rPr>
              <w:t>.</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EA6CD3" w:rsidP="00CB6AC4">
            <w:pPr>
              <w:jc w:val="both"/>
              <w:rPr>
                <w:rFonts w:eastAsia="Times New Roman"/>
                <w:sz w:val="26"/>
                <w:szCs w:val="26"/>
                <w:lang w:val="lv-LV" w:eastAsia="lv-LV"/>
              </w:rPr>
            </w:pPr>
            <w:r w:rsidRPr="00FA6A4A">
              <w:rPr>
                <w:rFonts w:eastAsia="Times New Roman"/>
                <w:sz w:val="26"/>
                <w:szCs w:val="26"/>
                <w:lang w:val="lv-LV" w:eastAsia="lv-LV"/>
              </w:rPr>
              <w:t>Cita informācija</w:t>
            </w:r>
          </w:p>
        </w:tc>
        <w:tc>
          <w:tcPr>
            <w:tcW w:w="6378"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5B476F" w:rsidP="009873A9">
            <w:pPr>
              <w:ind w:firstLine="720"/>
              <w:jc w:val="both"/>
              <w:rPr>
                <w:rFonts w:eastAsia="Times New Roman"/>
                <w:sz w:val="26"/>
                <w:szCs w:val="26"/>
                <w:lang w:val="lv-LV" w:eastAsia="lv-LV"/>
              </w:rPr>
            </w:pPr>
            <w:r w:rsidRPr="00FA6A4A">
              <w:rPr>
                <w:rFonts w:eastAsia="Times New Roman"/>
                <w:sz w:val="26"/>
                <w:szCs w:val="26"/>
                <w:lang w:val="lv-LV" w:eastAsia="lv-LV"/>
              </w:rPr>
              <w:t xml:space="preserve">Pēc noteikumu projekta spēkā stāšanās, tiks veikti </w:t>
            </w:r>
            <w:r w:rsidR="00486C60" w:rsidRPr="00FA6A4A">
              <w:rPr>
                <w:rFonts w:eastAsia="Times New Roman"/>
                <w:sz w:val="26"/>
                <w:szCs w:val="26"/>
                <w:lang w:val="lv-LV" w:eastAsia="lv-LV"/>
              </w:rPr>
              <w:t xml:space="preserve">atbilstoši </w:t>
            </w:r>
            <w:r w:rsidRPr="00FA6A4A">
              <w:rPr>
                <w:rFonts w:eastAsia="Times New Roman"/>
                <w:sz w:val="26"/>
                <w:szCs w:val="26"/>
                <w:lang w:val="lv-LV" w:eastAsia="lv-LV"/>
              </w:rPr>
              <w:t>grozījumi līgumā ar LGA</w:t>
            </w:r>
            <w:r w:rsidR="009873A9" w:rsidRPr="00FA6A4A">
              <w:rPr>
                <w:rFonts w:eastAsia="Times New Roman"/>
                <w:sz w:val="26"/>
                <w:szCs w:val="26"/>
                <w:lang w:val="lv-LV" w:eastAsia="lv-LV"/>
              </w:rPr>
              <w:t>, projekta iesniegumu veidlapā un biznesa plānā.</w:t>
            </w:r>
          </w:p>
        </w:tc>
      </w:tr>
    </w:tbl>
    <w:p w:rsidR="00ED4255" w:rsidRDefault="00ED4255" w:rsidP="00EA6CD3">
      <w:pPr>
        <w:rPr>
          <w:sz w:val="24"/>
          <w:szCs w:val="24"/>
          <w:lang w:val="lv-LV"/>
        </w:rPr>
      </w:pPr>
    </w:p>
    <w:p w:rsidR="00FA6A4A" w:rsidRDefault="00FA6A4A" w:rsidP="00EA6CD3">
      <w:pPr>
        <w:rPr>
          <w:sz w:val="24"/>
          <w:szCs w:val="24"/>
          <w:lang w:val="lv-LV"/>
        </w:rPr>
      </w:pPr>
    </w:p>
    <w:tbl>
      <w:tblPr>
        <w:tblW w:w="8931" w:type="dxa"/>
        <w:tblInd w:w="30"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776"/>
        <w:gridCol w:w="3230"/>
        <w:gridCol w:w="4925"/>
      </w:tblGrid>
      <w:tr w:rsidR="002A0BC1" w:rsidRPr="00AB1A56" w:rsidTr="002A0BC1">
        <w:tc>
          <w:tcPr>
            <w:tcW w:w="8931"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2A0BC1" w:rsidP="00FC2D64">
            <w:pPr>
              <w:jc w:val="center"/>
              <w:rPr>
                <w:rFonts w:eastAsia="Times New Roman"/>
                <w:b/>
                <w:sz w:val="26"/>
                <w:szCs w:val="26"/>
                <w:lang w:val="lv-LV" w:eastAsia="lv-LV"/>
              </w:rPr>
            </w:pPr>
            <w:r w:rsidRPr="00FA6A4A">
              <w:rPr>
                <w:b/>
                <w:bCs/>
                <w:sz w:val="26"/>
                <w:szCs w:val="26"/>
                <w:lang w:val="lv-LV"/>
              </w:rPr>
              <w:t>VI. Sabiedrības līdzdalība un komunikācijas aktivitātes</w:t>
            </w:r>
          </w:p>
        </w:tc>
      </w:tr>
      <w:tr w:rsidR="002A0BC1"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2A0BC1" w:rsidP="00FC2D64">
            <w:pPr>
              <w:rPr>
                <w:rFonts w:eastAsia="Times New Roman"/>
                <w:sz w:val="26"/>
                <w:szCs w:val="26"/>
                <w:lang w:val="lv-LV" w:eastAsia="lv-LV"/>
              </w:rPr>
            </w:pPr>
            <w:r w:rsidRPr="00FA6A4A">
              <w:rPr>
                <w:rFonts w:eastAsia="Times New Roman"/>
                <w:sz w:val="26"/>
                <w:szCs w:val="26"/>
                <w:lang w:val="lv-LV" w:eastAsia="lv-LV"/>
              </w:rPr>
              <w:t>1.</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2A0BC1" w:rsidP="00FC2D64">
            <w:pPr>
              <w:rPr>
                <w:rFonts w:eastAsia="Times New Roman"/>
                <w:sz w:val="26"/>
                <w:szCs w:val="26"/>
                <w:lang w:val="lv-LV" w:eastAsia="lv-LV"/>
              </w:rPr>
            </w:pPr>
            <w:r w:rsidRPr="00FA6A4A">
              <w:rPr>
                <w:sz w:val="26"/>
                <w:szCs w:val="26"/>
                <w:lang w:val="lv-LV"/>
              </w:rPr>
              <w:t>Plānotās sabiedrības līdzdalības un komunikācijas aktivitātes saistībā ar projektu</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457C34" w:rsidP="00254901">
            <w:pPr>
              <w:ind w:left="124"/>
              <w:jc w:val="both"/>
              <w:rPr>
                <w:rFonts w:eastAsia="Times New Roman"/>
                <w:sz w:val="26"/>
                <w:szCs w:val="26"/>
                <w:lang w:val="lv-LV" w:eastAsia="lv-LV"/>
              </w:rPr>
            </w:pPr>
            <w:r w:rsidRPr="00FA6A4A">
              <w:rPr>
                <w:rFonts w:eastAsia="Times New Roman"/>
                <w:iCs/>
                <w:sz w:val="26"/>
                <w:szCs w:val="26"/>
                <w:lang w:val="lv-LV" w:eastAsia="lv-LV"/>
              </w:rPr>
              <w:t>S</w:t>
            </w:r>
            <w:r w:rsidR="002A0BC1" w:rsidRPr="00FA6A4A">
              <w:rPr>
                <w:rFonts w:eastAsia="Times New Roman"/>
                <w:iCs/>
                <w:sz w:val="26"/>
                <w:szCs w:val="26"/>
                <w:lang w:val="lv-LV" w:eastAsia="lv-LV"/>
              </w:rPr>
              <w:t xml:space="preserve">abiedrības līdzdalība noteikumu projekta </w:t>
            </w:r>
            <w:r w:rsidR="00254901" w:rsidRPr="00FA6A4A">
              <w:rPr>
                <w:rFonts w:eastAsia="Times New Roman"/>
                <w:iCs/>
                <w:sz w:val="26"/>
                <w:szCs w:val="26"/>
                <w:lang w:val="lv-LV" w:eastAsia="lv-LV"/>
              </w:rPr>
              <w:t>izstrādē</w:t>
            </w:r>
            <w:r w:rsidR="002A0BC1" w:rsidRPr="00FA6A4A">
              <w:rPr>
                <w:rFonts w:eastAsia="Times New Roman"/>
                <w:iCs/>
                <w:sz w:val="26"/>
                <w:szCs w:val="26"/>
                <w:lang w:val="lv-LV" w:eastAsia="lv-LV"/>
              </w:rPr>
              <w:t xml:space="preserve"> </w:t>
            </w:r>
            <w:r w:rsidR="00254901" w:rsidRPr="00FA6A4A">
              <w:rPr>
                <w:rFonts w:eastAsia="Times New Roman"/>
                <w:iCs/>
                <w:sz w:val="26"/>
                <w:szCs w:val="26"/>
                <w:lang w:val="lv-LV" w:eastAsia="lv-LV"/>
              </w:rPr>
              <w:t>nav</w:t>
            </w:r>
            <w:r w:rsidR="002A0BC1" w:rsidRPr="00FA6A4A">
              <w:rPr>
                <w:rFonts w:eastAsia="Times New Roman"/>
                <w:iCs/>
                <w:sz w:val="26"/>
                <w:szCs w:val="26"/>
                <w:lang w:val="lv-LV" w:eastAsia="lv-LV"/>
              </w:rPr>
              <w:t xml:space="preserve"> nepieciešama.</w:t>
            </w:r>
          </w:p>
        </w:tc>
      </w:tr>
      <w:tr w:rsidR="002A0BC1" w:rsidRPr="00AB1A56" w:rsidTr="002A0BC1">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2A0BC1" w:rsidP="00FC2D64">
            <w:pPr>
              <w:rPr>
                <w:rFonts w:eastAsia="Times New Roman"/>
                <w:sz w:val="26"/>
                <w:szCs w:val="26"/>
                <w:lang w:val="lv-LV" w:eastAsia="lv-LV"/>
              </w:rPr>
            </w:pPr>
            <w:r w:rsidRPr="00FA6A4A">
              <w:rPr>
                <w:rFonts w:eastAsia="Times New Roman"/>
                <w:sz w:val="26"/>
                <w:szCs w:val="26"/>
                <w:lang w:val="lv-LV" w:eastAsia="lv-LV"/>
              </w:rPr>
              <w:t>2.</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2A0BC1" w:rsidP="00FC2D64">
            <w:pPr>
              <w:rPr>
                <w:rFonts w:eastAsia="Times New Roman"/>
                <w:sz w:val="26"/>
                <w:szCs w:val="26"/>
                <w:lang w:val="lv-LV" w:eastAsia="lv-LV"/>
              </w:rPr>
            </w:pPr>
            <w:r w:rsidRPr="00FA6A4A">
              <w:rPr>
                <w:sz w:val="26"/>
                <w:szCs w:val="26"/>
                <w:lang w:val="lv-LV"/>
              </w:rPr>
              <w:t>Sabiedrības līdzdalība projekta izstrādē</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457C34" w:rsidP="00254901">
            <w:pPr>
              <w:ind w:left="124"/>
              <w:jc w:val="both"/>
              <w:rPr>
                <w:rFonts w:eastAsia="Times New Roman"/>
                <w:iCs/>
                <w:sz w:val="26"/>
                <w:szCs w:val="26"/>
                <w:lang w:val="lv-LV" w:eastAsia="lv-LV"/>
              </w:rPr>
            </w:pPr>
            <w:r w:rsidRPr="00FA6A4A">
              <w:rPr>
                <w:rFonts w:eastAsia="Times New Roman"/>
                <w:iCs/>
                <w:sz w:val="26"/>
                <w:szCs w:val="26"/>
                <w:lang w:val="lv-LV" w:eastAsia="lv-LV"/>
              </w:rPr>
              <w:t>S</w:t>
            </w:r>
            <w:r w:rsidR="00254901" w:rsidRPr="00FA6A4A">
              <w:rPr>
                <w:rFonts w:eastAsia="Times New Roman"/>
                <w:iCs/>
                <w:sz w:val="26"/>
                <w:szCs w:val="26"/>
                <w:lang w:val="lv-LV" w:eastAsia="lv-LV"/>
              </w:rPr>
              <w:t>abiedrības līdzdalība noteikumu projekta izstrādē nav nepieciešama.</w:t>
            </w:r>
          </w:p>
        </w:tc>
      </w:tr>
      <w:tr w:rsidR="002A0BC1" w:rsidRPr="00AB1A56" w:rsidTr="002A0BC1">
        <w:trPr>
          <w:trHeight w:val="930"/>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2A0BC1" w:rsidP="00FC2D64">
            <w:pPr>
              <w:rPr>
                <w:rFonts w:eastAsia="Times New Roman"/>
                <w:sz w:val="26"/>
                <w:szCs w:val="26"/>
                <w:lang w:val="lv-LV" w:eastAsia="lv-LV"/>
              </w:rPr>
            </w:pPr>
            <w:r w:rsidRPr="00FA6A4A">
              <w:rPr>
                <w:rFonts w:eastAsia="Times New Roman"/>
                <w:sz w:val="26"/>
                <w:szCs w:val="26"/>
                <w:lang w:val="lv-LV" w:eastAsia="lv-LV"/>
              </w:rPr>
              <w:t>3.</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2A0BC1" w:rsidP="00FC2D64">
            <w:pPr>
              <w:rPr>
                <w:rFonts w:eastAsia="Times New Roman"/>
                <w:sz w:val="26"/>
                <w:szCs w:val="26"/>
                <w:lang w:val="lv-LV" w:eastAsia="lv-LV"/>
              </w:rPr>
            </w:pPr>
            <w:r w:rsidRPr="00FA6A4A">
              <w:rPr>
                <w:sz w:val="26"/>
                <w:szCs w:val="26"/>
                <w:lang w:val="lv-LV"/>
              </w:rPr>
              <w:t>Sabiedrības līdzdalības rezultāti</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457C34" w:rsidP="00254901">
            <w:pPr>
              <w:ind w:left="124"/>
              <w:jc w:val="both"/>
              <w:rPr>
                <w:rFonts w:eastAsia="Times New Roman"/>
                <w:b/>
                <w:sz w:val="26"/>
                <w:szCs w:val="26"/>
                <w:lang w:val="lv-LV" w:eastAsia="lv-LV"/>
              </w:rPr>
            </w:pPr>
            <w:r w:rsidRPr="00FA6A4A">
              <w:rPr>
                <w:rFonts w:eastAsia="Times New Roman"/>
                <w:iCs/>
                <w:sz w:val="26"/>
                <w:szCs w:val="26"/>
                <w:lang w:val="lv-LV" w:eastAsia="lv-LV"/>
              </w:rPr>
              <w:t>S</w:t>
            </w:r>
            <w:r w:rsidR="00254901" w:rsidRPr="00FA6A4A">
              <w:rPr>
                <w:rFonts w:eastAsia="Times New Roman"/>
                <w:iCs/>
                <w:sz w:val="26"/>
                <w:szCs w:val="26"/>
                <w:lang w:val="lv-LV" w:eastAsia="lv-LV"/>
              </w:rPr>
              <w:t>abiedrības līdzdalība noteikumu projekta izstrādē nav nepieciešama.</w:t>
            </w:r>
          </w:p>
        </w:tc>
      </w:tr>
      <w:tr w:rsidR="002A0BC1" w:rsidRPr="00AB1A56" w:rsidTr="002A0BC1">
        <w:trPr>
          <w:trHeight w:val="391"/>
        </w:trPr>
        <w:tc>
          <w:tcPr>
            <w:tcW w:w="776"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2A0BC1" w:rsidP="00FC2D64">
            <w:pPr>
              <w:rPr>
                <w:rFonts w:eastAsia="Times New Roman"/>
                <w:sz w:val="26"/>
                <w:szCs w:val="26"/>
                <w:lang w:val="lv-LV" w:eastAsia="lv-LV"/>
              </w:rPr>
            </w:pPr>
            <w:r w:rsidRPr="00FA6A4A">
              <w:rPr>
                <w:rFonts w:eastAsia="Times New Roman"/>
                <w:sz w:val="26"/>
                <w:szCs w:val="26"/>
                <w:lang w:val="lv-LV" w:eastAsia="lv-LV"/>
              </w:rPr>
              <w:t>4.</w:t>
            </w:r>
          </w:p>
        </w:tc>
        <w:tc>
          <w:tcPr>
            <w:tcW w:w="3230"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2A0BC1" w:rsidP="00FC2D64">
            <w:pPr>
              <w:rPr>
                <w:rFonts w:eastAsia="Times New Roman"/>
                <w:sz w:val="26"/>
                <w:szCs w:val="26"/>
                <w:lang w:val="lv-LV" w:eastAsia="lv-LV"/>
              </w:rPr>
            </w:pPr>
            <w:r w:rsidRPr="00FA6A4A">
              <w:rPr>
                <w:sz w:val="26"/>
                <w:szCs w:val="26"/>
                <w:lang w:val="lv-LV"/>
              </w:rPr>
              <w:t>Cita informācija</w:t>
            </w:r>
          </w:p>
        </w:tc>
        <w:tc>
          <w:tcPr>
            <w:tcW w:w="4925" w:type="dxa"/>
            <w:tcBorders>
              <w:top w:val="thickThinLargeGap" w:sz="6" w:space="0" w:color="C0C0C0"/>
              <w:left w:val="thickThinLargeGap" w:sz="6" w:space="0" w:color="C0C0C0"/>
              <w:bottom w:val="thickThinLargeGap" w:sz="6" w:space="0" w:color="C0C0C0"/>
              <w:right w:val="thickThinLargeGap" w:sz="6" w:space="0" w:color="C0C0C0"/>
            </w:tcBorders>
            <w:hideMark/>
          </w:tcPr>
          <w:p w:rsidR="002A0BC1" w:rsidRPr="00FA6A4A" w:rsidRDefault="002A0BC1" w:rsidP="00FC2D64">
            <w:pPr>
              <w:ind w:firstLine="284"/>
              <w:jc w:val="both"/>
              <w:rPr>
                <w:rFonts w:eastAsia="Times New Roman"/>
                <w:sz w:val="26"/>
                <w:szCs w:val="26"/>
                <w:lang w:val="lv-LV" w:eastAsia="lv-LV"/>
              </w:rPr>
            </w:pPr>
            <w:r w:rsidRPr="00FA6A4A">
              <w:rPr>
                <w:rFonts w:eastAsia="Times New Roman"/>
                <w:iCs/>
                <w:sz w:val="26"/>
                <w:szCs w:val="26"/>
                <w:lang w:val="lv-LV" w:eastAsia="lv-LV"/>
              </w:rPr>
              <w:t>Nav</w:t>
            </w:r>
          </w:p>
        </w:tc>
      </w:tr>
    </w:tbl>
    <w:p w:rsidR="00ED4255" w:rsidRDefault="00ED4255"/>
    <w:p w:rsidR="00FA6A4A" w:rsidRDefault="00FA6A4A"/>
    <w:tbl>
      <w:tblPr>
        <w:tblW w:w="904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705"/>
        <w:gridCol w:w="2854"/>
        <w:gridCol w:w="5488"/>
      </w:tblGrid>
      <w:tr w:rsidR="00EA6CD3" w:rsidRPr="003E5A6D" w:rsidTr="002A0BC1">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EA6CD3" w:rsidP="00FA6A4A">
            <w:pPr>
              <w:ind w:firstLine="720"/>
              <w:jc w:val="center"/>
              <w:rPr>
                <w:rFonts w:eastAsia="Times New Roman"/>
                <w:b/>
                <w:sz w:val="26"/>
                <w:szCs w:val="26"/>
                <w:lang w:val="lv-LV" w:eastAsia="lv-LV"/>
              </w:rPr>
            </w:pPr>
            <w:r w:rsidRPr="00FA6A4A">
              <w:rPr>
                <w:rFonts w:eastAsia="Times New Roman"/>
                <w:b/>
                <w:sz w:val="26"/>
                <w:szCs w:val="26"/>
                <w:lang w:val="lv-LV" w:eastAsia="lv-LV"/>
              </w:rPr>
              <w:t>VII. Tiesību akta projekta izpildes nodrošināšana un tās ietekme uz institūcijām</w:t>
            </w:r>
          </w:p>
        </w:tc>
      </w:tr>
      <w:tr w:rsidR="00EA6CD3" w:rsidRPr="003E5A6D" w:rsidTr="002A0BC1">
        <w:trPr>
          <w:trHeight w:val="347"/>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EA6CD3" w:rsidP="00CB6AC4">
            <w:pPr>
              <w:jc w:val="both"/>
              <w:rPr>
                <w:rFonts w:eastAsia="Times New Roman"/>
                <w:sz w:val="26"/>
                <w:szCs w:val="26"/>
                <w:lang w:val="lv-LV" w:eastAsia="lv-LV"/>
              </w:rPr>
            </w:pPr>
            <w:r w:rsidRPr="00FA6A4A">
              <w:rPr>
                <w:rFonts w:eastAsia="Times New Roman"/>
                <w:sz w:val="26"/>
                <w:szCs w:val="26"/>
                <w:lang w:val="lv-LV" w:eastAsia="lv-LV"/>
              </w:rPr>
              <w:t>1.</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EA6CD3" w:rsidP="00CB6AC4">
            <w:pPr>
              <w:jc w:val="both"/>
              <w:rPr>
                <w:rFonts w:eastAsia="Times New Roman"/>
                <w:sz w:val="26"/>
                <w:szCs w:val="26"/>
                <w:lang w:val="lv-LV" w:eastAsia="lv-LV"/>
              </w:rPr>
            </w:pPr>
            <w:r w:rsidRPr="00FA6A4A">
              <w:rPr>
                <w:rFonts w:eastAsia="Times New Roman"/>
                <w:sz w:val="26"/>
                <w:szCs w:val="26"/>
                <w:lang w:val="lv-LV" w:eastAsia="lv-LV"/>
              </w:rPr>
              <w:t>Projekta izpildē iesaistītās institūcijas</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EA6CD3" w:rsidP="00CB6AC4">
            <w:pPr>
              <w:ind w:firstLine="720"/>
              <w:jc w:val="both"/>
              <w:rPr>
                <w:rFonts w:eastAsia="Times New Roman"/>
                <w:sz w:val="26"/>
                <w:szCs w:val="26"/>
                <w:lang w:val="lv-LV" w:eastAsia="lv-LV"/>
              </w:rPr>
            </w:pPr>
            <w:r w:rsidRPr="00FA6A4A">
              <w:rPr>
                <w:rFonts w:eastAsia="Times New Roman"/>
                <w:sz w:val="26"/>
                <w:szCs w:val="26"/>
                <w:lang w:val="lv-LV" w:eastAsia="lv-LV"/>
              </w:rPr>
              <w:t xml:space="preserve">Ministru kabineta </w:t>
            </w:r>
            <w:r w:rsidRPr="00FA6A4A">
              <w:rPr>
                <w:sz w:val="26"/>
                <w:szCs w:val="26"/>
                <w:lang w:val="lv-LV"/>
              </w:rPr>
              <w:t>noteikumu</w:t>
            </w:r>
            <w:r w:rsidRPr="00FA6A4A">
              <w:rPr>
                <w:rFonts w:eastAsia="Times New Roman"/>
                <w:sz w:val="26"/>
                <w:szCs w:val="26"/>
                <w:lang w:val="lv-LV" w:eastAsia="lv-LV"/>
              </w:rPr>
              <w:t xml:space="preserve"> projekta izpildi nodrošinās EM un LGA.</w:t>
            </w:r>
          </w:p>
          <w:p w:rsidR="00EA6CD3" w:rsidRPr="00FA6A4A" w:rsidRDefault="00EA6CD3" w:rsidP="00CB6AC4">
            <w:pPr>
              <w:ind w:firstLine="720"/>
              <w:jc w:val="both"/>
              <w:rPr>
                <w:rFonts w:eastAsia="Times New Roman"/>
                <w:sz w:val="26"/>
                <w:szCs w:val="26"/>
                <w:lang w:val="lv-LV" w:eastAsia="lv-LV"/>
              </w:rPr>
            </w:pPr>
          </w:p>
        </w:tc>
      </w:tr>
      <w:tr w:rsidR="00EA6CD3" w:rsidRPr="003E5A6D" w:rsidTr="002A0BC1">
        <w:trPr>
          <w:trHeight w:val="374"/>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EA6CD3" w:rsidP="00CB6AC4">
            <w:pPr>
              <w:jc w:val="both"/>
              <w:rPr>
                <w:rFonts w:eastAsia="Times New Roman"/>
                <w:sz w:val="26"/>
                <w:szCs w:val="26"/>
                <w:lang w:val="lv-LV" w:eastAsia="lv-LV"/>
              </w:rPr>
            </w:pPr>
            <w:r w:rsidRPr="00FA6A4A">
              <w:rPr>
                <w:rFonts w:eastAsia="Times New Roman"/>
                <w:sz w:val="26"/>
                <w:szCs w:val="26"/>
                <w:lang w:val="lv-LV" w:eastAsia="lv-LV"/>
              </w:rPr>
              <w:t>2.</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EA6CD3" w:rsidP="00CB6AC4">
            <w:pPr>
              <w:jc w:val="both"/>
              <w:rPr>
                <w:rFonts w:eastAsia="Times New Roman"/>
                <w:sz w:val="26"/>
                <w:szCs w:val="26"/>
                <w:lang w:val="lv-LV" w:eastAsia="lv-LV"/>
              </w:rPr>
            </w:pPr>
            <w:r w:rsidRPr="00FA6A4A">
              <w:rPr>
                <w:rFonts w:eastAsia="Times New Roman"/>
                <w:sz w:val="26"/>
                <w:szCs w:val="26"/>
                <w:lang w:val="lv-LV" w:eastAsia="lv-LV"/>
              </w:rPr>
              <w:t>Projekta izpildes ietekme uz pārvaldes funkcijām</w:t>
            </w:r>
            <w:r w:rsidR="00254901" w:rsidRPr="00FA6A4A">
              <w:rPr>
                <w:rFonts w:eastAsia="Times New Roman"/>
                <w:sz w:val="26"/>
                <w:szCs w:val="26"/>
                <w:lang w:val="lv-LV" w:eastAsia="lv-LV"/>
              </w:rPr>
              <w:t xml:space="preserve"> un institucionālo struktūru. Jaunu institūciju izveide, esošu institūciju likvidācija vai reorganizācija, to ietekme uz institūcijas cilvēkresursiem.</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EA6CD3" w:rsidP="00CB6AC4">
            <w:pPr>
              <w:ind w:firstLine="720"/>
              <w:jc w:val="both"/>
              <w:rPr>
                <w:rFonts w:eastAsia="Times New Roman"/>
                <w:sz w:val="26"/>
                <w:szCs w:val="26"/>
                <w:lang w:val="lv-LV" w:eastAsia="lv-LV"/>
              </w:rPr>
            </w:pPr>
            <w:r w:rsidRPr="00FA6A4A">
              <w:rPr>
                <w:rFonts w:eastAsia="Times New Roman"/>
                <w:sz w:val="26"/>
                <w:szCs w:val="26"/>
                <w:lang w:val="lv-LV" w:eastAsia="lv-LV"/>
              </w:rPr>
              <w:t xml:space="preserve">Ministru kabineta </w:t>
            </w:r>
            <w:r w:rsidRPr="00FA6A4A">
              <w:rPr>
                <w:sz w:val="26"/>
                <w:szCs w:val="26"/>
                <w:lang w:val="lv-LV"/>
              </w:rPr>
              <w:t>noteikumu</w:t>
            </w:r>
            <w:r w:rsidRPr="00FA6A4A">
              <w:rPr>
                <w:rFonts w:eastAsia="Times New Roman"/>
                <w:sz w:val="26"/>
                <w:szCs w:val="26"/>
                <w:lang w:val="lv-LV" w:eastAsia="lv-LV"/>
              </w:rPr>
              <w:t xml:space="preserve"> projekta izpilde tiks nodrošināta EM un LGA esošo funkciju ietvaros.</w:t>
            </w:r>
          </w:p>
          <w:p w:rsidR="00EA6CD3" w:rsidRPr="00FA6A4A" w:rsidRDefault="00EA6CD3" w:rsidP="00CB6AC4">
            <w:pPr>
              <w:ind w:firstLine="720"/>
              <w:jc w:val="both"/>
              <w:rPr>
                <w:rFonts w:eastAsia="Times New Roman"/>
                <w:sz w:val="26"/>
                <w:szCs w:val="26"/>
                <w:lang w:val="lv-LV" w:eastAsia="lv-LV"/>
              </w:rPr>
            </w:pPr>
          </w:p>
        </w:tc>
      </w:tr>
      <w:tr w:rsidR="00EA6CD3" w:rsidRPr="003E5A6D" w:rsidTr="002A0BC1">
        <w:trPr>
          <w:trHeight w:val="242"/>
        </w:trPr>
        <w:tc>
          <w:tcPr>
            <w:tcW w:w="705" w:type="dxa"/>
            <w:tcBorders>
              <w:top w:val="thickThinLargeGap" w:sz="6" w:space="0" w:color="C0C0C0"/>
              <w:left w:val="thickThinLargeGap" w:sz="6" w:space="0" w:color="C0C0C0"/>
              <w:bottom w:val="thickThinLargeGap" w:sz="6" w:space="0" w:color="C0C0C0"/>
              <w:right w:val="thickThinLargeGap" w:sz="6" w:space="0" w:color="C0C0C0"/>
            </w:tcBorders>
          </w:tcPr>
          <w:p w:rsidR="00EA6CD3" w:rsidRPr="00FA6A4A" w:rsidRDefault="00254901" w:rsidP="00CB6AC4">
            <w:pPr>
              <w:jc w:val="both"/>
              <w:rPr>
                <w:rFonts w:eastAsia="Times New Roman"/>
                <w:sz w:val="26"/>
                <w:szCs w:val="26"/>
                <w:lang w:val="lv-LV" w:eastAsia="lv-LV"/>
              </w:rPr>
            </w:pPr>
            <w:r w:rsidRPr="00FA6A4A">
              <w:rPr>
                <w:rFonts w:eastAsia="Times New Roman"/>
                <w:sz w:val="26"/>
                <w:szCs w:val="26"/>
                <w:lang w:val="lv-LV" w:eastAsia="lv-LV"/>
              </w:rPr>
              <w:t>3</w:t>
            </w:r>
            <w:r w:rsidR="00EA6CD3" w:rsidRPr="00FA6A4A">
              <w:rPr>
                <w:rFonts w:eastAsia="Times New Roman"/>
                <w:sz w:val="26"/>
                <w:szCs w:val="26"/>
                <w:lang w:val="lv-LV" w:eastAsia="lv-LV"/>
              </w:rPr>
              <w:t>.</w:t>
            </w:r>
          </w:p>
        </w:tc>
        <w:tc>
          <w:tcPr>
            <w:tcW w:w="2854"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EA6CD3" w:rsidP="00CB6AC4">
            <w:pPr>
              <w:jc w:val="both"/>
              <w:rPr>
                <w:rFonts w:eastAsia="Times New Roman"/>
                <w:sz w:val="26"/>
                <w:szCs w:val="26"/>
                <w:lang w:val="lv-LV" w:eastAsia="lv-LV"/>
              </w:rPr>
            </w:pPr>
            <w:r w:rsidRPr="00FA6A4A">
              <w:rPr>
                <w:rFonts w:eastAsia="Times New Roman"/>
                <w:sz w:val="26"/>
                <w:szCs w:val="26"/>
                <w:lang w:val="lv-LV" w:eastAsia="lv-LV"/>
              </w:rPr>
              <w:t>Cita informācija</w:t>
            </w:r>
          </w:p>
        </w:tc>
        <w:tc>
          <w:tcPr>
            <w:tcW w:w="5488" w:type="dxa"/>
            <w:tcBorders>
              <w:top w:val="thickThinLargeGap" w:sz="6" w:space="0" w:color="C0C0C0"/>
              <w:left w:val="thickThinLargeGap" w:sz="6" w:space="0" w:color="C0C0C0"/>
              <w:bottom w:val="thickThinLargeGap" w:sz="6" w:space="0" w:color="C0C0C0"/>
              <w:right w:val="thickThinLargeGap" w:sz="6" w:space="0" w:color="C0C0C0"/>
            </w:tcBorders>
            <w:hideMark/>
          </w:tcPr>
          <w:p w:rsidR="00EA6CD3" w:rsidRPr="00FA6A4A" w:rsidRDefault="00EE61BD" w:rsidP="00CB6AC4">
            <w:pPr>
              <w:ind w:firstLine="720"/>
              <w:jc w:val="both"/>
              <w:rPr>
                <w:rFonts w:eastAsia="Times New Roman"/>
                <w:sz w:val="26"/>
                <w:szCs w:val="26"/>
                <w:lang w:val="lv-LV" w:eastAsia="lv-LV"/>
              </w:rPr>
            </w:pPr>
            <w:r w:rsidRPr="00FA6A4A">
              <w:rPr>
                <w:rFonts w:eastAsia="Times New Roman"/>
                <w:sz w:val="26"/>
                <w:szCs w:val="26"/>
                <w:lang w:val="lv-LV" w:eastAsia="lv-LV"/>
              </w:rPr>
              <w:t>Nav</w:t>
            </w:r>
          </w:p>
        </w:tc>
      </w:tr>
    </w:tbl>
    <w:p w:rsidR="00EA6CD3" w:rsidRPr="003E5A6D" w:rsidRDefault="00EA6CD3" w:rsidP="00EA6CD3">
      <w:pPr>
        <w:tabs>
          <w:tab w:val="left" w:pos="7655"/>
        </w:tabs>
        <w:jc w:val="both"/>
        <w:rPr>
          <w:sz w:val="24"/>
          <w:szCs w:val="24"/>
          <w:lang w:val="lv-LV"/>
        </w:rPr>
      </w:pPr>
    </w:p>
    <w:p w:rsidR="00486C60" w:rsidRDefault="00486C60" w:rsidP="00EA6CD3">
      <w:pPr>
        <w:tabs>
          <w:tab w:val="left" w:pos="7655"/>
        </w:tabs>
        <w:jc w:val="both"/>
        <w:rPr>
          <w:sz w:val="24"/>
          <w:szCs w:val="24"/>
          <w:lang w:val="lv-LV"/>
        </w:rPr>
      </w:pPr>
    </w:p>
    <w:p w:rsidR="00FA6A4A" w:rsidRDefault="00FA6A4A" w:rsidP="00EA6CD3">
      <w:pPr>
        <w:tabs>
          <w:tab w:val="left" w:pos="7655"/>
        </w:tabs>
        <w:jc w:val="both"/>
        <w:rPr>
          <w:sz w:val="24"/>
          <w:szCs w:val="24"/>
          <w:lang w:val="lv-LV"/>
        </w:rPr>
      </w:pPr>
    </w:p>
    <w:p w:rsidR="00FA6A4A" w:rsidRDefault="00FA6A4A" w:rsidP="00EA6CD3">
      <w:pPr>
        <w:tabs>
          <w:tab w:val="left" w:pos="7655"/>
        </w:tabs>
        <w:jc w:val="both"/>
        <w:rPr>
          <w:sz w:val="24"/>
          <w:szCs w:val="24"/>
          <w:lang w:val="lv-LV"/>
        </w:rPr>
      </w:pPr>
    </w:p>
    <w:p w:rsidR="00FA6A4A" w:rsidRDefault="00FA6A4A" w:rsidP="00EA6CD3">
      <w:pPr>
        <w:tabs>
          <w:tab w:val="left" w:pos="7655"/>
        </w:tabs>
        <w:jc w:val="both"/>
        <w:rPr>
          <w:sz w:val="24"/>
          <w:szCs w:val="24"/>
          <w:lang w:val="lv-LV"/>
        </w:rPr>
      </w:pPr>
    </w:p>
    <w:p w:rsidR="00EA6CD3" w:rsidRPr="00FA6A4A" w:rsidRDefault="00EA6CD3" w:rsidP="00EA6CD3">
      <w:pPr>
        <w:tabs>
          <w:tab w:val="left" w:pos="7655"/>
        </w:tabs>
        <w:jc w:val="both"/>
        <w:rPr>
          <w:sz w:val="26"/>
          <w:szCs w:val="26"/>
          <w:lang w:val="lv-LV"/>
        </w:rPr>
      </w:pPr>
      <w:r w:rsidRPr="00FA6A4A">
        <w:rPr>
          <w:sz w:val="26"/>
          <w:szCs w:val="26"/>
          <w:lang w:val="lv-LV"/>
        </w:rPr>
        <w:t>Anotācijas III</w:t>
      </w:r>
      <w:r w:rsidRPr="00FA6A4A">
        <w:rPr>
          <w:rFonts w:ascii="Times" w:hAnsi="Times"/>
          <w:sz w:val="26"/>
          <w:szCs w:val="26"/>
          <w:lang w:val="lv-LV"/>
        </w:rPr>
        <w:t xml:space="preserve"> </w:t>
      </w:r>
      <w:r w:rsidR="00457C34" w:rsidRPr="00FA6A4A">
        <w:rPr>
          <w:rFonts w:ascii="Times" w:hAnsi="Times"/>
          <w:sz w:val="26"/>
          <w:szCs w:val="26"/>
          <w:lang w:val="lv-LV"/>
        </w:rPr>
        <w:t xml:space="preserve"> un V </w:t>
      </w:r>
      <w:r w:rsidRPr="00FA6A4A">
        <w:rPr>
          <w:sz w:val="26"/>
          <w:szCs w:val="26"/>
          <w:lang w:val="lv-LV"/>
        </w:rPr>
        <w:t>sadaļa –</w:t>
      </w:r>
      <w:r w:rsidR="00EE61BD" w:rsidRPr="00FA6A4A">
        <w:rPr>
          <w:sz w:val="26"/>
          <w:szCs w:val="26"/>
          <w:lang w:val="lv-LV"/>
        </w:rPr>
        <w:t xml:space="preserve"> noteikumu</w:t>
      </w:r>
      <w:r w:rsidRPr="00FA6A4A">
        <w:rPr>
          <w:sz w:val="26"/>
          <w:szCs w:val="26"/>
          <w:lang w:val="lv-LV"/>
        </w:rPr>
        <w:t xml:space="preserve"> </w:t>
      </w:r>
      <w:r w:rsidRPr="00FA6A4A">
        <w:rPr>
          <w:iCs/>
          <w:sz w:val="26"/>
          <w:szCs w:val="26"/>
          <w:lang w:val="lv-LV"/>
        </w:rPr>
        <w:t>projekts š</w:t>
      </w:r>
      <w:r w:rsidR="00254901" w:rsidRPr="00FA6A4A">
        <w:rPr>
          <w:iCs/>
          <w:sz w:val="26"/>
          <w:szCs w:val="26"/>
          <w:lang w:val="lv-LV"/>
        </w:rPr>
        <w:t xml:space="preserve">o </w:t>
      </w:r>
      <w:r w:rsidRPr="00FA6A4A">
        <w:rPr>
          <w:iCs/>
          <w:sz w:val="26"/>
          <w:szCs w:val="26"/>
          <w:lang w:val="lv-LV"/>
        </w:rPr>
        <w:t>jom</w:t>
      </w:r>
      <w:r w:rsidR="00254901" w:rsidRPr="00FA6A4A">
        <w:rPr>
          <w:iCs/>
          <w:sz w:val="26"/>
          <w:szCs w:val="26"/>
          <w:lang w:val="lv-LV"/>
        </w:rPr>
        <w:t>u</w:t>
      </w:r>
      <w:r w:rsidRPr="00FA6A4A">
        <w:rPr>
          <w:iCs/>
          <w:sz w:val="26"/>
          <w:szCs w:val="26"/>
          <w:lang w:val="lv-LV"/>
        </w:rPr>
        <w:t xml:space="preserve"> neskar</w:t>
      </w:r>
      <w:r w:rsidRPr="00FA6A4A">
        <w:rPr>
          <w:sz w:val="26"/>
          <w:szCs w:val="26"/>
          <w:lang w:val="lv-LV"/>
        </w:rPr>
        <w:t>.</w:t>
      </w:r>
    </w:p>
    <w:p w:rsidR="00EA6CD3" w:rsidRPr="00FA6A4A" w:rsidRDefault="00EA6CD3" w:rsidP="00EA6CD3">
      <w:pPr>
        <w:tabs>
          <w:tab w:val="left" w:pos="7655"/>
        </w:tabs>
        <w:rPr>
          <w:sz w:val="26"/>
          <w:szCs w:val="26"/>
          <w:lang w:val="lv-LV"/>
        </w:rPr>
      </w:pPr>
    </w:p>
    <w:p w:rsidR="00D217AC" w:rsidRDefault="00D217AC" w:rsidP="00EA6CD3">
      <w:pPr>
        <w:tabs>
          <w:tab w:val="right" w:pos="9072"/>
        </w:tabs>
        <w:rPr>
          <w:sz w:val="26"/>
          <w:szCs w:val="26"/>
          <w:lang w:val="lv-LV"/>
        </w:rPr>
      </w:pPr>
    </w:p>
    <w:p w:rsidR="00FA6A4A" w:rsidRDefault="00FA6A4A" w:rsidP="00EA6CD3">
      <w:pPr>
        <w:tabs>
          <w:tab w:val="right" w:pos="9072"/>
        </w:tabs>
        <w:rPr>
          <w:sz w:val="26"/>
          <w:szCs w:val="26"/>
          <w:lang w:val="lv-LV"/>
        </w:rPr>
      </w:pPr>
    </w:p>
    <w:p w:rsidR="00FA6A4A" w:rsidRDefault="00FA6A4A" w:rsidP="00EA6CD3">
      <w:pPr>
        <w:tabs>
          <w:tab w:val="right" w:pos="9072"/>
        </w:tabs>
        <w:rPr>
          <w:sz w:val="26"/>
          <w:szCs w:val="26"/>
          <w:lang w:val="lv-LV"/>
        </w:rPr>
      </w:pPr>
    </w:p>
    <w:p w:rsidR="00FA6A4A" w:rsidRDefault="00FA6A4A" w:rsidP="00EA6CD3">
      <w:pPr>
        <w:tabs>
          <w:tab w:val="right" w:pos="9072"/>
        </w:tabs>
        <w:rPr>
          <w:sz w:val="26"/>
          <w:szCs w:val="26"/>
          <w:lang w:val="lv-LV"/>
        </w:rPr>
      </w:pPr>
    </w:p>
    <w:p w:rsidR="00FA6A4A" w:rsidRDefault="00FA6A4A" w:rsidP="00EA6CD3">
      <w:pPr>
        <w:tabs>
          <w:tab w:val="right" w:pos="9072"/>
        </w:tabs>
        <w:rPr>
          <w:sz w:val="26"/>
          <w:szCs w:val="26"/>
          <w:lang w:val="lv-LV"/>
        </w:rPr>
      </w:pPr>
    </w:p>
    <w:p w:rsidR="00FA6A4A" w:rsidRDefault="00FA6A4A" w:rsidP="00EA6CD3">
      <w:pPr>
        <w:tabs>
          <w:tab w:val="right" w:pos="9072"/>
        </w:tabs>
        <w:rPr>
          <w:sz w:val="26"/>
          <w:szCs w:val="26"/>
          <w:lang w:val="lv-LV"/>
        </w:rPr>
      </w:pPr>
    </w:p>
    <w:p w:rsidR="00FA6A4A" w:rsidRPr="00FA6A4A" w:rsidRDefault="00FA6A4A" w:rsidP="00EA6CD3">
      <w:pPr>
        <w:tabs>
          <w:tab w:val="right" w:pos="9072"/>
        </w:tabs>
        <w:rPr>
          <w:sz w:val="26"/>
          <w:szCs w:val="26"/>
          <w:lang w:val="lv-LV"/>
        </w:rPr>
      </w:pPr>
    </w:p>
    <w:p w:rsidR="005464E6" w:rsidRPr="00FA6A4A" w:rsidRDefault="005464E6" w:rsidP="00EA6CD3">
      <w:pPr>
        <w:tabs>
          <w:tab w:val="right" w:pos="9072"/>
        </w:tabs>
        <w:rPr>
          <w:sz w:val="26"/>
          <w:szCs w:val="26"/>
          <w:lang w:val="lv-LV"/>
        </w:rPr>
      </w:pPr>
    </w:p>
    <w:p w:rsidR="00EA6CD3" w:rsidRPr="00FA6A4A" w:rsidRDefault="00EA6CD3" w:rsidP="00EA6CD3">
      <w:pPr>
        <w:tabs>
          <w:tab w:val="right" w:pos="9072"/>
        </w:tabs>
        <w:rPr>
          <w:sz w:val="26"/>
          <w:szCs w:val="26"/>
          <w:lang w:val="lv-LV"/>
        </w:rPr>
      </w:pPr>
      <w:r w:rsidRPr="00FA6A4A">
        <w:rPr>
          <w:sz w:val="26"/>
          <w:szCs w:val="26"/>
          <w:lang w:val="lv-LV"/>
        </w:rPr>
        <w:t>Ekonomikas ministrs</w:t>
      </w:r>
      <w:r w:rsidRPr="00FA6A4A">
        <w:rPr>
          <w:sz w:val="26"/>
          <w:szCs w:val="26"/>
          <w:lang w:val="lv-LV"/>
        </w:rPr>
        <w:tab/>
      </w:r>
      <w:r w:rsidR="00F716EF" w:rsidRPr="00FA6A4A">
        <w:rPr>
          <w:sz w:val="26"/>
          <w:szCs w:val="26"/>
          <w:lang w:val="lv-LV"/>
        </w:rPr>
        <w:t>V</w:t>
      </w:r>
      <w:r w:rsidR="00D04299" w:rsidRPr="00FA6A4A">
        <w:rPr>
          <w:sz w:val="26"/>
          <w:szCs w:val="26"/>
          <w:lang w:val="lv-LV"/>
        </w:rPr>
        <w:t>.</w:t>
      </w:r>
      <w:r w:rsidR="00F716EF" w:rsidRPr="00FA6A4A">
        <w:rPr>
          <w:sz w:val="26"/>
          <w:szCs w:val="26"/>
          <w:lang w:val="lv-LV"/>
        </w:rPr>
        <w:t>Dombrovskis</w:t>
      </w:r>
      <w:r w:rsidRPr="00FA6A4A">
        <w:rPr>
          <w:sz w:val="26"/>
          <w:szCs w:val="26"/>
          <w:lang w:val="lv-LV"/>
        </w:rPr>
        <w:tab/>
      </w:r>
      <w:r w:rsidRPr="00FA6A4A">
        <w:rPr>
          <w:sz w:val="26"/>
          <w:szCs w:val="26"/>
          <w:lang w:val="lv-LV"/>
        </w:rPr>
        <w:tab/>
      </w:r>
      <w:r w:rsidRPr="00FA6A4A">
        <w:rPr>
          <w:sz w:val="26"/>
          <w:szCs w:val="26"/>
          <w:lang w:val="lv-LV"/>
        </w:rPr>
        <w:tab/>
      </w:r>
      <w:r w:rsidRPr="00FA6A4A">
        <w:rPr>
          <w:sz w:val="26"/>
          <w:szCs w:val="26"/>
          <w:lang w:val="lv-LV"/>
        </w:rPr>
        <w:tab/>
      </w:r>
      <w:r w:rsidRPr="00FA6A4A">
        <w:rPr>
          <w:sz w:val="26"/>
          <w:szCs w:val="26"/>
          <w:lang w:val="lv-LV"/>
        </w:rPr>
        <w:tab/>
      </w:r>
      <w:r w:rsidRPr="00FA6A4A">
        <w:rPr>
          <w:sz w:val="26"/>
          <w:szCs w:val="26"/>
          <w:lang w:val="lv-LV"/>
        </w:rPr>
        <w:tab/>
      </w:r>
    </w:p>
    <w:p w:rsidR="00EA6CD3" w:rsidRPr="00FA6A4A" w:rsidRDefault="00EA6CD3" w:rsidP="00EA6CD3">
      <w:pPr>
        <w:tabs>
          <w:tab w:val="left" w:pos="8222"/>
        </w:tabs>
        <w:rPr>
          <w:sz w:val="26"/>
          <w:szCs w:val="26"/>
          <w:lang w:val="lv-LV"/>
        </w:rPr>
      </w:pPr>
    </w:p>
    <w:p w:rsidR="00EA6CD3" w:rsidRPr="00FA6A4A" w:rsidRDefault="00EA6CD3" w:rsidP="00EA6CD3">
      <w:pPr>
        <w:tabs>
          <w:tab w:val="right" w:pos="9072"/>
        </w:tabs>
        <w:rPr>
          <w:sz w:val="26"/>
          <w:szCs w:val="26"/>
          <w:lang w:val="lv-LV"/>
        </w:rPr>
      </w:pPr>
    </w:p>
    <w:p w:rsidR="00EA6CD3" w:rsidRPr="00FA6A4A" w:rsidRDefault="00EA6CD3" w:rsidP="00500BB8">
      <w:pPr>
        <w:tabs>
          <w:tab w:val="right" w:pos="9072"/>
        </w:tabs>
        <w:rPr>
          <w:sz w:val="26"/>
          <w:szCs w:val="26"/>
          <w:lang w:val="lv-LV"/>
        </w:rPr>
      </w:pPr>
      <w:r w:rsidRPr="00FA6A4A">
        <w:rPr>
          <w:sz w:val="26"/>
          <w:szCs w:val="26"/>
          <w:lang w:val="lv-LV"/>
        </w:rPr>
        <w:t>Vīza: Valsts sekretār</w:t>
      </w:r>
      <w:r w:rsidR="00500BB8" w:rsidRPr="00FA6A4A">
        <w:rPr>
          <w:sz w:val="26"/>
          <w:szCs w:val="26"/>
          <w:lang w:val="lv-LV"/>
        </w:rPr>
        <w:t>s</w:t>
      </w:r>
      <w:r w:rsidRPr="00FA6A4A">
        <w:rPr>
          <w:sz w:val="26"/>
          <w:szCs w:val="26"/>
          <w:lang w:val="lv-LV"/>
        </w:rPr>
        <w:tab/>
      </w:r>
      <w:r w:rsidR="00500BB8" w:rsidRPr="00FA6A4A">
        <w:rPr>
          <w:sz w:val="26"/>
          <w:szCs w:val="26"/>
          <w:lang w:val="lv-LV"/>
        </w:rPr>
        <w:t>M.Lazdovskis</w:t>
      </w:r>
    </w:p>
    <w:p w:rsidR="00D217AC" w:rsidRDefault="00D217AC" w:rsidP="00EA6CD3">
      <w:pPr>
        <w:jc w:val="both"/>
        <w:rPr>
          <w:color w:val="000000"/>
          <w:sz w:val="22"/>
          <w:szCs w:val="22"/>
          <w:lang w:val="lv-LV"/>
        </w:rPr>
      </w:pPr>
    </w:p>
    <w:p w:rsidR="00D217AC" w:rsidRDefault="00D217AC" w:rsidP="00EA6CD3">
      <w:pPr>
        <w:jc w:val="both"/>
        <w:rPr>
          <w:color w:val="000000"/>
          <w:sz w:val="22"/>
          <w:szCs w:val="22"/>
          <w:lang w:val="lv-LV"/>
        </w:rPr>
      </w:pPr>
    </w:p>
    <w:p w:rsidR="00D64FFD" w:rsidRDefault="00D64FFD" w:rsidP="00EA6CD3">
      <w:pPr>
        <w:jc w:val="both"/>
        <w:rPr>
          <w:color w:val="000000"/>
          <w:sz w:val="22"/>
          <w:szCs w:val="22"/>
          <w:lang w:val="lv-LV"/>
        </w:rPr>
      </w:pPr>
    </w:p>
    <w:p w:rsidR="00FA6A4A" w:rsidRDefault="00FA6A4A" w:rsidP="00EA6CD3">
      <w:pPr>
        <w:jc w:val="both"/>
        <w:rPr>
          <w:color w:val="000000"/>
          <w:sz w:val="22"/>
          <w:szCs w:val="22"/>
          <w:lang w:val="lv-LV"/>
        </w:rPr>
      </w:pPr>
    </w:p>
    <w:p w:rsidR="00FA6A4A" w:rsidRDefault="00FA6A4A" w:rsidP="00EA6CD3">
      <w:pPr>
        <w:jc w:val="both"/>
        <w:rPr>
          <w:color w:val="000000"/>
          <w:sz w:val="22"/>
          <w:szCs w:val="22"/>
          <w:lang w:val="lv-LV"/>
        </w:rPr>
      </w:pPr>
    </w:p>
    <w:p w:rsidR="00FA6A4A" w:rsidRDefault="00FA6A4A" w:rsidP="00EA6CD3">
      <w:pPr>
        <w:jc w:val="both"/>
        <w:rPr>
          <w:color w:val="000000"/>
          <w:sz w:val="22"/>
          <w:szCs w:val="22"/>
          <w:lang w:val="lv-LV"/>
        </w:rPr>
      </w:pPr>
    </w:p>
    <w:p w:rsidR="00FA6A4A" w:rsidRDefault="00FA6A4A" w:rsidP="00EA6CD3">
      <w:pPr>
        <w:jc w:val="both"/>
        <w:rPr>
          <w:color w:val="000000"/>
          <w:sz w:val="22"/>
          <w:szCs w:val="22"/>
          <w:lang w:val="lv-LV"/>
        </w:rPr>
      </w:pPr>
    </w:p>
    <w:p w:rsidR="00A21726" w:rsidRDefault="00A21726" w:rsidP="00EA6CD3">
      <w:pPr>
        <w:jc w:val="both"/>
        <w:rPr>
          <w:color w:val="000000"/>
          <w:sz w:val="22"/>
          <w:szCs w:val="22"/>
          <w:lang w:val="lv-LV"/>
        </w:rPr>
      </w:pPr>
      <w:bookmarkStart w:id="12" w:name="_GoBack"/>
      <w:bookmarkEnd w:id="12"/>
    </w:p>
    <w:p w:rsidR="00D64FFD" w:rsidRPr="00EE57C3" w:rsidRDefault="00D64FFD" w:rsidP="00EA6CD3">
      <w:pPr>
        <w:jc w:val="both"/>
        <w:rPr>
          <w:color w:val="000000"/>
          <w:sz w:val="22"/>
          <w:szCs w:val="22"/>
          <w:lang w:val="lv-LV"/>
        </w:rPr>
      </w:pPr>
    </w:p>
    <w:p w:rsidR="00EA6CD3" w:rsidRPr="005464E6" w:rsidRDefault="00A21726" w:rsidP="00EA6CD3">
      <w:pPr>
        <w:jc w:val="both"/>
        <w:rPr>
          <w:lang w:val="lv-LV"/>
        </w:rPr>
      </w:pPr>
      <w:r>
        <w:rPr>
          <w:lang w:val="lv-LV"/>
        </w:rPr>
        <w:t>20</w:t>
      </w:r>
      <w:r w:rsidR="00FA6A4A">
        <w:rPr>
          <w:lang w:val="lv-LV"/>
        </w:rPr>
        <w:t>.05</w:t>
      </w:r>
      <w:r w:rsidR="001C0801" w:rsidRPr="005464E6">
        <w:rPr>
          <w:lang w:val="lv-LV"/>
        </w:rPr>
        <w:t>.201</w:t>
      </w:r>
      <w:r w:rsidR="007E4C1F">
        <w:rPr>
          <w:lang w:val="lv-LV"/>
        </w:rPr>
        <w:t>4</w:t>
      </w:r>
      <w:r w:rsidR="001C0801" w:rsidRPr="005464E6">
        <w:rPr>
          <w:lang w:val="lv-LV"/>
        </w:rPr>
        <w:t>.</w:t>
      </w:r>
      <w:r w:rsidR="00EA6CD3" w:rsidRPr="005464E6">
        <w:rPr>
          <w:lang w:val="lv-LV"/>
        </w:rPr>
        <w:t xml:space="preserve"> </w:t>
      </w:r>
      <w:r>
        <w:rPr>
          <w:lang w:val="lv-LV"/>
        </w:rPr>
        <w:t>10:08</w:t>
      </w:r>
    </w:p>
    <w:p w:rsidR="00D04299" w:rsidRDefault="006F704F" w:rsidP="00EA6CD3">
      <w:pPr>
        <w:jc w:val="both"/>
        <w:rPr>
          <w:color w:val="000000"/>
          <w:lang w:val="lv-LV"/>
        </w:rPr>
      </w:pPr>
      <w:r>
        <w:rPr>
          <w:color w:val="000000"/>
          <w:lang w:val="lv-LV"/>
        </w:rPr>
        <w:t>18</w:t>
      </w:r>
      <w:r w:rsidR="00A21726">
        <w:rPr>
          <w:color w:val="000000"/>
          <w:lang w:val="lv-LV"/>
        </w:rPr>
        <w:t>42</w:t>
      </w:r>
    </w:p>
    <w:p w:rsidR="00EA6CD3" w:rsidRPr="005464E6" w:rsidRDefault="00EA6CD3" w:rsidP="00EA6CD3">
      <w:pPr>
        <w:jc w:val="both"/>
        <w:rPr>
          <w:color w:val="000000"/>
          <w:lang w:val="lv-LV"/>
        </w:rPr>
      </w:pPr>
      <w:r w:rsidRPr="005464E6">
        <w:rPr>
          <w:color w:val="000000"/>
          <w:lang w:val="lv-LV"/>
        </w:rPr>
        <w:t>A.Nicmane</w:t>
      </w:r>
    </w:p>
    <w:p w:rsidR="00EA6CD3" w:rsidRPr="005464E6" w:rsidRDefault="00EA6CD3" w:rsidP="00EA6CD3">
      <w:pPr>
        <w:jc w:val="both"/>
        <w:rPr>
          <w:color w:val="000000"/>
          <w:lang w:val="lv-LV"/>
        </w:rPr>
      </w:pPr>
      <w:r w:rsidRPr="005464E6">
        <w:rPr>
          <w:lang w:val="lv-LV"/>
        </w:rPr>
        <w:t>67013203,</w:t>
      </w:r>
      <w:r w:rsidR="00D04299">
        <w:rPr>
          <w:lang w:val="lv-LV"/>
        </w:rPr>
        <w:t xml:space="preserve"> </w:t>
      </w:r>
      <w:r w:rsidRPr="005464E6">
        <w:rPr>
          <w:lang w:val="lv-LV"/>
        </w:rPr>
        <w:t>Agita.Nicmane@em.gov.lv</w:t>
      </w:r>
    </w:p>
    <w:p w:rsidR="003061FB" w:rsidRDefault="003061FB"/>
    <w:sectPr w:rsidR="003061FB" w:rsidSect="00CB6AC4">
      <w:endnotePr>
        <w:numFmt w:val="decimal"/>
      </w:endnotePr>
      <w:type w:val="continuous"/>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F12" w:rsidRDefault="00134F12" w:rsidP="006B2FEF">
      <w:r>
        <w:separator/>
      </w:r>
    </w:p>
  </w:endnote>
  <w:endnote w:type="continuationSeparator" w:id="0">
    <w:p w:rsidR="00134F12" w:rsidRDefault="00134F12" w:rsidP="006B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4" w:rsidRPr="00E62286" w:rsidRDefault="00FC2D64" w:rsidP="00E62286">
    <w:pPr>
      <w:tabs>
        <w:tab w:val="center" w:pos="4153"/>
        <w:tab w:val="right" w:pos="8306"/>
      </w:tabs>
      <w:jc w:val="both"/>
    </w:pPr>
    <w:r w:rsidRPr="00E62286">
      <w:rPr>
        <w:rFonts w:eastAsia="Times New Roman"/>
        <w:lang w:val="lv-LV" w:eastAsia="lv-LV"/>
      </w:rPr>
      <w:t>EMANOT_</w:t>
    </w:r>
    <w:r w:rsidR="00A21726">
      <w:rPr>
        <w:rFonts w:eastAsia="Times New Roman"/>
        <w:lang w:val="lv-LV" w:eastAsia="lv-LV"/>
      </w:rPr>
      <w:t>20</w:t>
    </w:r>
    <w:r w:rsidR="00276A8D">
      <w:rPr>
        <w:rFonts w:eastAsia="Times New Roman"/>
        <w:lang w:val="lv-LV" w:eastAsia="lv-LV"/>
      </w:rPr>
      <w:t>0</w:t>
    </w:r>
    <w:r w:rsidR="004B5036">
      <w:rPr>
        <w:rFonts w:eastAsia="Times New Roman"/>
        <w:lang w:val="lv-LV" w:eastAsia="lv-LV"/>
      </w:rPr>
      <w:t>5</w:t>
    </w:r>
    <w:r w:rsidR="00276A8D" w:rsidRPr="00E62286">
      <w:rPr>
        <w:rFonts w:eastAsia="Times New Roman"/>
        <w:lang w:val="lv-LV" w:eastAsia="lv-LV"/>
      </w:rPr>
      <w:t>1</w:t>
    </w:r>
    <w:r w:rsidR="00276A8D">
      <w:rPr>
        <w:rFonts w:eastAsia="Times New Roman"/>
        <w:lang w:val="lv-LV" w:eastAsia="lv-LV"/>
      </w:rPr>
      <w:t>4</w:t>
    </w:r>
    <w:r w:rsidRPr="00E62286">
      <w:rPr>
        <w:rFonts w:eastAsia="Times New Roman"/>
        <w:lang w:val="lv-LV" w:eastAsia="lv-LV"/>
      </w:rPr>
      <w:t>_GROZ614; Ministru kabineta noteikumu projekta „Grozījumi Ministru kabineta 2011.gada 2.augusta noteikumos Nr.614 „Noteikumi par darbības programmas „Uzņēmējdarbība un inovācijas” papildinājuma 2.2.1.4.2.apakšaktivitāti „Mezanīna aizdevumi investīcijām komersantu konkurētspējas uzlabošanai””” sākotnējās ietekmes novērtējuma ziņojums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D64" w:rsidRPr="00E62286" w:rsidRDefault="001E486A" w:rsidP="00E62286">
    <w:pPr>
      <w:tabs>
        <w:tab w:val="center" w:pos="4153"/>
        <w:tab w:val="right" w:pos="8306"/>
      </w:tabs>
      <w:jc w:val="both"/>
    </w:pPr>
    <w:r>
      <w:rPr>
        <w:rFonts w:eastAsia="Times New Roman"/>
        <w:lang w:val="lv-LV" w:eastAsia="lv-LV"/>
      </w:rPr>
      <w:t>EMANOT_</w:t>
    </w:r>
    <w:r w:rsidR="00A21726">
      <w:rPr>
        <w:rFonts w:eastAsia="Times New Roman"/>
        <w:lang w:val="lv-LV" w:eastAsia="lv-LV"/>
      </w:rPr>
      <w:t>20</w:t>
    </w:r>
    <w:r w:rsidR="00276A8D">
      <w:rPr>
        <w:rFonts w:eastAsia="Times New Roman"/>
        <w:lang w:val="lv-LV" w:eastAsia="lv-LV"/>
      </w:rPr>
      <w:t>0</w:t>
    </w:r>
    <w:r w:rsidR="004B5036">
      <w:rPr>
        <w:rFonts w:eastAsia="Times New Roman"/>
        <w:lang w:val="lv-LV" w:eastAsia="lv-LV"/>
      </w:rPr>
      <w:t>5</w:t>
    </w:r>
    <w:r w:rsidR="00276A8D">
      <w:rPr>
        <w:rFonts w:eastAsia="Times New Roman"/>
        <w:lang w:val="lv-LV" w:eastAsia="lv-LV"/>
      </w:rPr>
      <w:t>14</w:t>
    </w:r>
    <w:r w:rsidR="00FC2D64" w:rsidRPr="00E62286">
      <w:rPr>
        <w:rFonts w:eastAsia="Times New Roman"/>
        <w:lang w:val="lv-LV" w:eastAsia="lv-LV"/>
      </w:rPr>
      <w:t xml:space="preserve">_GROZ614; </w:t>
    </w:r>
    <w:bookmarkStart w:id="7" w:name="OLE_LINK6"/>
    <w:bookmarkStart w:id="8" w:name="OLE_LINK9"/>
    <w:bookmarkStart w:id="9" w:name="OLE_LINK4"/>
    <w:bookmarkStart w:id="10" w:name="OLE_LINK5"/>
    <w:bookmarkStart w:id="11" w:name="_Hlk373087804"/>
    <w:r w:rsidR="00FC2D64" w:rsidRPr="00E62286">
      <w:rPr>
        <w:rFonts w:eastAsia="Times New Roman"/>
        <w:lang w:val="lv-LV" w:eastAsia="lv-LV"/>
      </w:rPr>
      <w:t>Ministru kabineta noteikumu projekta „Grozījumi Ministru kabineta 2011.gada 2.augusta noteikumos Nr.614 „Noteikumi par darbības programmas „Uzņēmējdarbība un inovācijas” papildinājuma 2.2.1.4.2.apakšaktivitāti „Mezanīna aizdevumi investīcijām komersantu konkurētspējas uzlabošanai”””</w:t>
    </w:r>
    <w:bookmarkEnd w:id="7"/>
    <w:bookmarkEnd w:id="8"/>
    <w:r w:rsidR="00FC2D64" w:rsidRPr="00E62286">
      <w:rPr>
        <w:rFonts w:eastAsia="Times New Roman"/>
        <w:lang w:val="lv-LV" w:eastAsia="lv-LV"/>
      </w:rPr>
      <w:t xml:space="preserve"> sākotnējās ietekmes novērtējuma ziņojums sākotnējās ietekmes novērtējuma ziņojums (anotācija)</w:t>
    </w:r>
    <w:bookmarkEnd w:id="9"/>
    <w:bookmarkEnd w:id="10"/>
    <w:bookmarkEnd w:id="1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F12" w:rsidRDefault="00134F12" w:rsidP="006B2FEF">
      <w:r>
        <w:separator/>
      </w:r>
    </w:p>
  </w:footnote>
  <w:footnote w:type="continuationSeparator" w:id="0">
    <w:p w:rsidR="00134F12" w:rsidRDefault="00134F12" w:rsidP="006B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627235"/>
      <w:docPartObj>
        <w:docPartGallery w:val="Page Numbers (Top of Page)"/>
        <w:docPartUnique/>
      </w:docPartObj>
    </w:sdtPr>
    <w:sdtEndPr>
      <w:rPr>
        <w:sz w:val="24"/>
        <w:szCs w:val="24"/>
      </w:rPr>
    </w:sdtEndPr>
    <w:sdtContent>
      <w:p w:rsidR="00FC2D64" w:rsidRPr="00B014C2" w:rsidRDefault="00FC2D64">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A21726">
          <w:rPr>
            <w:noProof/>
            <w:sz w:val="24"/>
            <w:szCs w:val="24"/>
          </w:rPr>
          <w:t>7</w:t>
        </w:r>
        <w:r w:rsidRPr="00B014C2">
          <w:rPr>
            <w:sz w:val="24"/>
            <w:szCs w:val="24"/>
          </w:rPr>
          <w:fldChar w:fldCharType="end"/>
        </w:r>
      </w:p>
    </w:sdtContent>
  </w:sdt>
  <w:p w:rsidR="00FC2D64" w:rsidRDefault="00FC2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38F4"/>
    <w:multiLevelType w:val="hybridMultilevel"/>
    <w:tmpl w:val="FFCA72A0"/>
    <w:lvl w:ilvl="0" w:tplc="0FCC61A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15B022E8"/>
    <w:multiLevelType w:val="hybridMultilevel"/>
    <w:tmpl w:val="B3266152"/>
    <w:lvl w:ilvl="0" w:tplc="252A28E8">
      <w:start w:val="1"/>
      <w:numFmt w:val="decimal"/>
      <w:lvlText w:val="%1)"/>
      <w:lvlJc w:val="left"/>
      <w:pPr>
        <w:ind w:left="1083" w:hanging="360"/>
      </w:pPr>
      <w:rPr>
        <w:rFonts w:hint="default"/>
      </w:rPr>
    </w:lvl>
    <w:lvl w:ilvl="1" w:tplc="04260019" w:tentative="1">
      <w:start w:val="1"/>
      <w:numFmt w:val="lowerLetter"/>
      <w:lvlText w:val="%2."/>
      <w:lvlJc w:val="left"/>
      <w:pPr>
        <w:ind w:left="1803" w:hanging="360"/>
      </w:pPr>
    </w:lvl>
    <w:lvl w:ilvl="2" w:tplc="0426001B" w:tentative="1">
      <w:start w:val="1"/>
      <w:numFmt w:val="lowerRoman"/>
      <w:lvlText w:val="%3."/>
      <w:lvlJc w:val="right"/>
      <w:pPr>
        <w:ind w:left="2523" w:hanging="180"/>
      </w:pPr>
    </w:lvl>
    <w:lvl w:ilvl="3" w:tplc="0426000F" w:tentative="1">
      <w:start w:val="1"/>
      <w:numFmt w:val="decimal"/>
      <w:lvlText w:val="%4."/>
      <w:lvlJc w:val="left"/>
      <w:pPr>
        <w:ind w:left="3243" w:hanging="360"/>
      </w:pPr>
    </w:lvl>
    <w:lvl w:ilvl="4" w:tplc="04260019" w:tentative="1">
      <w:start w:val="1"/>
      <w:numFmt w:val="lowerLetter"/>
      <w:lvlText w:val="%5."/>
      <w:lvlJc w:val="left"/>
      <w:pPr>
        <w:ind w:left="3963" w:hanging="360"/>
      </w:pPr>
    </w:lvl>
    <w:lvl w:ilvl="5" w:tplc="0426001B" w:tentative="1">
      <w:start w:val="1"/>
      <w:numFmt w:val="lowerRoman"/>
      <w:lvlText w:val="%6."/>
      <w:lvlJc w:val="right"/>
      <w:pPr>
        <w:ind w:left="4683" w:hanging="180"/>
      </w:pPr>
    </w:lvl>
    <w:lvl w:ilvl="6" w:tplc="0426000F" w:tentative="1">
      <w:start w:val="1"/>
      <w:numFmt w:val="decimal"/>
      <w:lvlText w:val="%7."/>
      <w:lvlJc w:val="left"/>
      <w:pPr>
        <w:ind w:left="5403" w:hanging="360"/>
      </w:pPr>
    </w:lvl>
    <w:lvl w:ilvl="7" w:tplc="04260019" w:tentative="1">
      <w:start w:val="1"/>
      <w:numFmt w:val="lowerLetter"/>
      <w:lvlText w:val="%8."/>
      <w:lvlJc w:val="left"/>
      <w:pPr>
        <w:ind w:left="6123" w:hanging="360"/>
      </w:pPr>
    </w:lvl>
    <w:lvl w:ilvl="8" w:tplc="0426001B" w:tentative="1">
      <w:start w:val="1"/>
      <w:numFmt w:val="lowerRoman"/>
      <w:lvlText w:val="%9."/>
      <w:lvlJc w:val="right"/>
      <w:pPr>
        <w:ind w:left="684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D3"/>
    <w:rsid w:val="00013B61"/>
    <w:rsid w:val="000369C7"/>
    <w:rsid w:val="000527A4"/>
    <w:rsid w:val="00071082"/>
    <w:rsid w:val="0007330D"/>
    <w:rsid w:val="00074090"/>
    <w:rsid w:val="00095280"/>
    <w:rsid w:val="00096060"/>
    <w:rsid w:val="000964C6"/>
    <w:rsid w:val="000B3449"/>
    <w:rsid w:val="000C33C1"/>
    <w:rsid w:val="000C581E"/>
    <w:rsid w:val="000E53C3"/>
    <w:rsid w:val="00134F12"/>
    <w:rsid w:val="00165747"/>
    <w:rsid w:val="0016574D"/>
    <w:rsid w:val="00166A8B"/>
    <w:rsid w:val="00172082"/>
    <w:rsid w:val="00186A4D"/>
    <w:rsid w:val="00187140"/>
    <w:rsid w:val="001B15E0"/>
    <w:rsid w:val="001C0801"/>
    <w:rsid w:val="001C37C7"/>
    <w:rsid w:val="001D0800"/>
    <w:rsid w:val="001D7DC1"/>
    <w:rsid w:val="001E486A"/>
    <w:rsid w:val="00203CA2"/>
    <w:rsid w:val="0020468C"/>
    <w:rsid w:val="00217F5B"/>
    <w:rsid w:val="00222D5E"/>
    <w:rsid w:val="00227764"/>
    <w:rsid w:val="00254901"/>
    <w:rsid w:val="00255BAC"/>
    <w:rsid w:val="0027351B"/>
    <w:rsid w:val="00276A8D"/>
    <w:rsid w:val="002A0BC1"/>
    <w:rsid w:val="002A68E7"/>
    <w:rsid w:val="002D3925"/>
    <w:rsid w:val="002E1075"/>
    <w:rsid w:val="002E3677"/>
    <w:rsid w:val="002E6455"/>
    <w:rsid w:val="002E678E"/>
    <w:rsid w:val="002E708A"/>
    <w:rsid w:val="002E750E"/>
    <w:rsid w:val="003061FB"/>
    <w:rsid w:val="00326096"/>
    <w:rsid w:val="00346CE0"/>
    <w:rsid w:val="00354ABE"/>
    <w:rsid w:val="00364EBE"/>
    <w:rsid w:val="00370145"/>
    <w:rsid w:val="00374F73"/>
    <w:rsid w:val="00380AC5"/>
    <w:rsid w:val="003814A5"/>
    <w:rsid w:val="003936DB"/>
    <w:rsid w:val="00396152"/>
    <w:rsid w:val="00396794"/>
    <w:rsid w:val="003A290C"/>
    <w:rsid w:val="003B32EC"/>
    <w:rsid w:val="003C3D3D"/>
    <w:rsid w:val="003E4132"/>
    <w:rsid w:val="003E5A6D"/>
    <w:rsid w:val="003F2C34"/>
    <w:rsid w:val="003F5963"/>
    <w:rsid w:val="00413D68"/>
    <w:rsid w:val="00416A31"/>
    <w:rsid w:val="00423B46"/>
    <w:rsid w:val="00425AA9"/>
    <w:rsid w:val="00426250"/>
    <w:rsid w:val="00431019"/>
    <w:rsid w:val="004352F7"/>
    <w:rsid w:val="00442D1E"/>
    <w:rsid w:val="00443016"/>
    <w:rsid w:val="00457C34"/>
    <w:rsid w:val="0047031A"/>
    <w:rsid w:val="0048441E"/>
    <w:rsid w:val="00486C60"/>
    <w:rsid w:val="004B5036"/>
    <w:rsid w:val="004B7A97"/>
    <w:rsid w:val="004C0738"/>
    <w:rsid w:val="00500BB8"/>
    <w:rsid w:val="00510430"/>
    <w:rsid w:val="00531AFF"/>
    <w:rsid w:val="005434AE"/>
    <w:rsid w:val="005464E6"/>
    <w:rsid w:val="00565B34"/>
    <w:rsid w:val="00567FC5"/>
    <w:rsid w:val="00572180"/>
    <w:rsid w:val="00592809"/>
    <w:rsid w:val="0059600B"/>
    <w:rsid w:val="005B476F"/>
    <w:rsid w:val="005B65B8"/>
    <w:rsid w:val="005C42D1"/>
    <w:rsid w:val="005C63C7"/>
    <w:rsid w:val="005C6B2C"/>
    <w:rsid w:val="005D06E8"/>
    <w:rsid w:val="005D688E"/>
    <w:rsid w:val="005F3FC6"/>
    <w:rsid w:val="00646A6F"/>
    <w:rsid w:val="006505B2"/>
    <w:rsid w:val="006543E4"/>
    <w:rsid w:val="00672FF8"/>
    <w:rsid w:val="00695C89"/>
    <w:rsid w:val="006B2FEF"/>
    <w:rsid w:val="006B6D6C"/>
    <w:rsid w:val="006B6DD1"/>
    <w:rsid w:val="006D2F0C"/>
    <w:rsid w:val="006D3604"/>
    <w:rsid w:val="006E2082"/>
    <w:rsid w:val="006F3140"/>
    <w:rsid w:val="006F704F"/>
    <w:rsid w:val="00700AC3"/>
    <w:rsid w:val="00700E68"/>
    <w:rsid w:val="0073605B"/>
    <w:rsid w:val="00752DBC"/>
    <w:rsid w:val="0075411D"/>
    <w:rsid w:val="00762FC8"/>
    <w:rsid w:val="00780B70"/>
    <w:rsid w:val="00782847"/>
    <w:rsid w:val="00782AA5"/>
    <w:rsid w:val="007A2F02"/>
    <w:rsid w:val="007A3D6F"/>
    <w:rsid w:val="007C1A7D"/>
    <w:rsid w:val="007D50C1"/>
    <w:rsid w:val="007E45B1"/>
    <w:rsid w:val="007E4C1F"/>
    <w:rsid w:val="007F0204"/>
    <w:rsid w:val="00812A0C"/>
    <w:rsid w:val="00814AFC"/>
    <w:rsid w:val="0082350A"/>
    <w:rsid w:val="008364AF"/>
    <w:rsid w:val="00865608"/>
    <w:rsid w:val="00874186"/>
    <w:rsid w:val="00895E41"/>
    <w:rsid w:val="008B206C"/>
    <w:rsid w:val="008B56DF"/>
    <w:rsid w:val="008B5EFB"/>
    <w:rsid w:val="008D65D5"/>
    <w:rsid w:val="008E6350"/>
    <w:rsid w:val="00904AC3"/>
    <w:rsid w:val="00922DCB"/>
    <w:rsid w:val="0093481F"/>
    <w:rsid w:val="00946517"/>
    <w:rsid w:val="00956C4B"/>
    <w:rsid w:val="00961605"/>
    <w:rsid w:val="00963C88"/>
    <w:rsid w:val="00966814"/>
    <w:rsid w:val="009873A9"/>
    <w:rsid w:val="009A692C"/>
    <w:rsid w:val="009B584C"/>
    <w:rsid w:val="009B75D4"/>
    <w:rsid w:val="009C16FC"/>
    <w:rsid w:val="009E1E68"/>
    <w:rsid w:val="009F0FC9"/>
    <w:rsid w:val="00A21726"/>
    <w:rsid w:val="00A229AC"/>
    <w:rsid w:val="00A23CEB"/>
    <w:rsid w:val="00A23E8B"/>
    <w:rsid w:val="00A24428"/>
    <w:rsid w:val="00A25225"/>
    <w:rsid w:val="00A26676"/>
    <w:rsid w:val="00A27A02"/>
    <w:rsid w:val="00A337C5"/>
    <w:rsid w:val="00A44916"/>
    <w:rsid w:val="00A47AD3"/>
    <w:rsid w:val="00A969CC"/>
    <w:rsid w:val="00AA2A85"/>
    <w:rsid w:val="00AB12ED"/>
    <w:rsid w:val="00AD743F"/>
    <w:rsid w:val="00AE177E"/>
    <w:rsid w:val="00B15DBA"/>
    <w:rsid w:val="00B2297A"/>
    <w:rsid w:val="00B22AEA"/>
    <w:rsid w:val="00B300C7"/>
    <w:rsid w:val="00B4152D"/>
    <w:rsid w:val="00B4164D"/>
    <w:rsid w:val="00B5310A"/>
    <w:rsid w:val="00B55476"/>
    <w:rsid w:val="00B56BD9"/>
    <w:rsid w:val="00B65CF6"/>
    <w:rsid w:val="00B837AE"/>
    <w:rsid w:val="00BC0431"/>
    <w:rsid w:val="00BE65A4"/>
    <w:rsid w:val="00BF313B"/>
    <w:rsid w:val="00C028D0"/>
    <w:rsid w:val="00C05EF2"/>
    <w:rsid w:val="00C12CF8"/>
    <w:rsid w:val="00C20F6C"/>
    <w:rsid w:val="00C26333"/>
    <w:rsid w:val="00C264E6"/>
    <w:rsid w:val="00C26E37"/>
    <w:rsid w:val="00C4088B"/>
    <w:rsid w:val="00C42ACD"/>
    <w:rsid w:val="00C66A4D"/>
    <w:rsid w:val="00C77C68"/>
    <w:rsid w:val="00C85115"/>
    <w:rsid w:val="00CB6AC4"/>
    <w:rsid w:val="00CC007E"/>
    <w:rsid w:val="00CE5541"/>
    <w:rsid w:val="00D04299"/>
    <w:rsid w:val="00D217AC"/>
    <w:rsid w:val="00D22538"/>
    <w:rsid w:val="00D5265D"/>
    <w:rsid w:val="00D62E09"/>
    <w:rsid w:val="00D64FFD"/>
    <w:rsid w:val="00DA239C"/>
    <w:rsid w:val="00DB3D04"/>
    <w:rsid w:val="00DB610B"/>
    <w:rsid w:val="00DC4E5E"/>
    <w:rsid w:val="00DD0953"/>
    <w:rsid w:val="00E018E1"/>
    <w:rsid w:val="00E15447"/>
    <w:rsid w:val="00E55EC8"/>
    <w:rsid w:val="00E62286"/>
    <w:rsid w:val="00E72404"/>
    <w:rsid w:val="00E80DF5"/>
    <w:rsid w:val="00EA20CB"/>
    <w:rsid w:val="00EA6CD3"/>
    <w:rsid w:val="00ED053C"/>
    <w:rsid w:val="00ED4255"/>
    <w:rsid w:val="00EE61BD"/>
    <w:rsid w:val="00F44B3E"/>
    <w:rsid w:val="00F5649C"/>
    <w:rsid w:val="00F7097D"/>
    <w:rsid w:val="00F716EF"/>
    <w:rsid w:val="00FA6A4A"/>
    <w:rsid w:val="00FB3C82"/>
    <w:rsid w:val="00FC2D64"/>
    <w:rsid w:val="00FC7F1E"/>
    <w:rsid w:val="00FD061B"/>
    <w:rsid w:val="00FD5F34"/>
    <w:rsid w:val="00FF349B"/>
    <w:rsid w:val="00FF3664"/>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table" w:styleId="TableGrid">
    <w:name w:val="Table Grid"/>
    <w:basedOn w:val="TableNormal"/>
    <w:uiPriority w:val="59"/>
    <w:rsid w:val="00484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1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iPriority w:val="99"/>
    <w:unhideWhenUsed/>
    <w:rsid w:val="00EA6CD3"/>
    <w:pPr>
      <w:tabs>
        <w:tab w:val="center" w:pos="4153"/>
        <w:tab w:val="right" w:pos="8306"/>
      </w:tabs>
    </w:pPr>
  </w:style>
  <w:style w:type="character" w:customStyle="1" w:styleId="HeaderChar">
    <w:name w:val="Header Char"/>
    <w:basedOn w:val="DefaultParagraphFont"/>
    <w:link w:val="Header"/>
    <w:uiPriority w:val="99"/>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basedOn w:val="Normal"/>
    <w:uiPriority w:val="34"/>
    <w:qFormat/>
    <w:rsid w:val="00166A8B"/>
    <w:pPr>
      <w:ind w:left="720"/>
      <w:contextualSpacing/>
    </w:pPr>
  </w:style>
  <w:style w:type="character" w:styleId="CommentReference">
    <w:name w:val="annotation reference"/>
    <w:basedOn w:val="DefaultParagraphFont"/>
    <w:uiPriority w:val="99"/>
    <w:semiHidden/>
    <w:unhideWhenUsed/>
    <w:rsid w:val="00961605"/>
    <w:rPr>
      <w:sz w:val="16"/>
      <w:szCs w:val="16"/>
    </w:rPr>
  </w:style>
  <w:style w:type="paragraph" w:styleId="CommentText">
    <w:name w:val="annotation text"/>
    <w:basedOn w:val="Normal"/>
    <w:link w:val="CommentTextChar"/>
    <w:uiPriority w:val="99"/>
    <w:semiHidden/>
    <w:unhideWhenUsed/>
    <w:rsid w:val="00961605"/>
  </w:style>
  <w:style w:type="character" w:customStyle="1" w:styleId="CommentTextChar">
    <w:name w:val="Comment Text Char"/>
    <w:basedOn w:val="DefaultParagraphFont"/>
    <w:link w:val="CommentText"/>
    <w:uiPriority w:val="99"/>
    <w:semiHidden/>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table" w:styleId="TableGrid">
    <w:name w:val="Table Grid"/>
    <w:basedOn w:val="TableNormal"/>
    <w:uiPriority w:val="59"/>
    <w:rsid w:val="00484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217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regional_policy/thefunds/doc/instruments/jeremie/guidance20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EFE4C-3D7C-42AF-B815-5170E625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1765</Words>
  <Characters>14159</Characters>
  <Application>Microsoft Office Word</Application>
  <DocSecurity>0</DocSecurity>
  <Lines>471</Lines>
  <Paragraphs>178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2011.gada 2.augusta noteikumos Nr.614 „Noteikumi par darbības programmas „Uzņēmējdarbība un inovācijas” papildinājuma 2.2.1.4.2.apakšaktivitāti „Mezanīna aizdevumi investīcijām komersantu </vt:lpstr>
    </vt:vector>
  </TitlesOfParts>
  <Company/>
  <LinksUpToDate>false</LinksUpToDate>
  <CharactersWithSpaces>15746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2011.gada 2.augusta noteikumos Nr.614 „Noteikumi par darbības programmas „Uzņēmējdarbība un inovācijas” papildinājuma 2.2.1.4.2.apakšaktivitāti „Mezanīna aizdevumi investīcijām komersantu konkurētspējas uzlabošanai”””sākotnējās ietekmes novērtējuma ziņojums (anotācija)</dc:title>
  <dc:subject>Anotācija</dc:subject>
  <dc:creator>Agita Nicmane</dc:creator>
  <dc:description>Agita.Nicmane@em.gov.lv</dc:description>
  <cp:lastModifiedBy>Agita Nicmane</cp:lastModifiedBy>
  <cp:revision>5</cp:revision>
  <cp:lastPrinted>2014-04-22T11:38:00Z</cp:lastPrinted>
  <dcterms:created xsi:type="dcterms:W3CDTF">2014-05-19T11:11:00Z</dcterms:created>
  <dcterms:modified xsi:type="dcterms:W3CDTF">2014-05-20T07:08:00Z</dcterms:modified>
</cp:coreProperties>
</file>