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3E5A6D" w:rsidRDefault="00EA6CD3" w:rsidP="00EA6CD3">
      <w:pPr>
        <w:jc w:val="center"/>
        <w:rPr>
          <w:rFonts w:eastAsia="Times New Roman"/>
          <w:b/>
          <w:sz w:val="26"/>
          <w:szCs w:val="26"/>
          <w:lang w:val="lv-LV" w:eastAsia="lv-LV"/>
        </w:rPr>
      </w:pPr>
      <w:bookmarkStart w:id="0" w:name="OLE_LINK3"/>
      <w:bookmarkStart w:id="1" w:name="OLE_LINK1"/>
      <w:bookmarkStart w:id="2" w:name="OLE_LINK2"/>
      <w:r w:rsidRPr="003E5A6D">
        <w:rPr>
          <w:b/>
          <w:sz w:val="26"/>
          <w:szCs w:val="26"/>
          <w:lang w:val="lv-LV"/>
        </w:rPr>
        <w:t>Ministru kabineta noteikumu projekta ,,</w:t>
      </w:r>
      <w:bookmarkStart w:id="3" w:name="OLE_LINK7"/>
      <w:bookmarkStart w:id="4" w:name="OLE_LINK8"/>
      <w:r w:rsidRPr="003E5A6D">
        <w:rPr>
          <w:b/>
          <w:sz w:val="26"/>
          <w:szCs w:val="26"/>
          <w:lang w:val="lv-LV"/>
        </w:rPr>
        <w:t>Noteikumi par mezanīna aizdevumiem saimnieciskās darbības veicēju konkurētspējas uzlabošanai”</w:t>
      </w:r>
      <w:bookmarkEnd w:id="3"/>
      <w:bookmarkEnd w:id="4"/>
    </w:p>
    <w:p w:rsidR="00EA6CD3" w:rsidRPr="003E5A6D" w:rsidRDefault="00EA6CD3" w:rsidP="00EA6CD3">
      <w:pPr>
        <w:pStyle w:val="BodyText"/>
        <w:jc w:val="center"/>
        <w:rPr>
          <w:b/>
          <w:sz w:val="26"/>
          <w:szCs w:val="26"/>
        </w:rPr>
      </w:pPr>
      <w:r w:rsidRPr="003E5A6D">
        <w:rPr>
          <w:b/>
          <w:sz w:val="26"/>
          <w:szCs w:val="26"/>
        </w:rPr>
        <w:t>sākotnējās ietekmes novērtējuma ziņojums (anotācija)</w:t>
      </w:r>
    </w:p>
    <w:p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3E5A6D" w:rsidRDefault="00EA6CD3" w:rsidP="00CB6AC4">
            <w:pPr>
              <w:ind w:firstLine="720"/>
              <w:jc w:val="center"/>
              <w:rPr>
                <w:rFonts w:eastAsia="Times New Roman"/>
                <w:b/>
                <w:sz w:val="24"/>
                <w:szCs w:val="24"/>
                <w:lang w:val="lv-LV" w:eastAsia="lv-LV"/>
              </w:rPr>
            </w:pPr>
            <w:r w:rsidRPr="003E5A6D">
              <w:rPr>
                <w:rFonts w:eastAsia="Times New Roman"/>
                <w:b/>
                <w:sz w:val="24"/>
                <w:szCs w:val="24"/>
                <w:lang w:val="lv-LV" w:eastAsia="lv-LV"/>
              </w:rPr>
              <w:t>I.Tiesību akta projekta izstrādes nepieciešamība</w:t>
            </w:r>
          </w:p>
        </w:tc>
      </w:tr>
      <w:tr w:rsidR="00EA6CD3" w:rsidRPr="003E5A6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ind w:firstLine="709"/>
              <w:jc w:val="both"/>
              <w:rPr>
                <w:sz w:val="24"/>
                <w:szCs w:val="24"/>
                <w:lang w:val="lv-LV"/>
              </w:rPr>
            </w:pPr>
            <w:r w:rsidRPr="003E5A6D">
              <w:rPr>
                <w:sz w:val="24"/>
                <w:szCs w:val="24"/>
                <w:lang w:val="lv-LV"/>
              </w:rPr>
              <w:t xml:space="preserve">Noteikumu projekts sagatavots, pamatojoties </w:t>
            </w:r>
            <w:r w:rsidR="007B41D7">
              <w:rPr>
                <w:sz w:val="24"/>
                <w:szCs w:val="24"/>
                <w:lang w:val="lv-LV"/>
              </w:rPr>
              <w:t xml:space="preserve">uz </w:t>
            </w:r>
            <w:r w:rsidRPr="003E5A6D">
              <w:rPr>
                <w:sz w:val="24"/>
                <w:szCs w:val="24"/>
                <w:lang w:val="lv-LV"/>
              </w:rPr>
              <w:t>šādiem tiesību aktiem:</w:t>
            </w:r>
          </w:p>
          <w:p w:rsidR="00EA6CD3" w:rsidRPr="003E5A6D" w:rsidRDefault="00EA6CD3" w:rsidP="00346CE0">
            <w:pPr>
              <w:ind w:firstLine="709"/>
              <w:jc w:val="both"/>
              <w:rPr>
                <w:sz w:val="24"/>
                <w:szCs w:val="24"/>
                <w:lang w:val="lv-LV"/>
              </w:rPr>
            </w:pPr>
            <w:r w:rsidRPr="003E5A6D">
              <w:rPr>
                <w:sz w:val="24"/>
                <w:szCs w:val="24"/>
                <w:lang w:val="lv-LV"/>
              </w:rPr>
              <w:t xml:space="preserve">1) </w:t>
            </w:r>
            <w:r w:rsidR="00346CE0" w:rsidRPr="003E5A6D">
              <w:rPr>
                <w:sz w:val="24"/>
                <w:szCs w:val="24"/>
                <w:lang w:val="lv-LV"/>
              </w:rPr>
              <w:t xml:space="preserve">Komisijas 2013.gada 18.decembra Regulu (EK) Nr. 1407/2013 par Līguma </w:t>
            </w:r>
            <w:r w:rsidR="00A229AC" w:rsidRPr="003E5A6D">
              <w:rPr>
                <w:sz w:val="24"/>
                <w:szCs w:val="24"/>
                <w:lang w:val="lv-LV"/>
              </w:rPr>
              <w:t>107</w:t>
            </w:r>
            <w:r w:rsidR="00346CE0" w:rsidRPr="003E5A6D">
              <w:rPr>
                <w:sz w:val="24"/>
                <w:szCs w:val="24"/>
                <w:lang w:val="lv-LV"/>
              </w:rPr>
              <w:t xml:space="preserve">. un </w:t>
            </w:r>
            <w:r w:rsidR="00A229AC" w:rsidRPr="003E5A6D">
              <w:rPr>
                <w:sz w:val="24"/>
                <w:szCs w:val="24"/>
                <w:lang w:val="lv-LV"/>
              </w:rPr>
              <w:t>108</w:t>
            </w:r>
            <w:r w:rsidR="00346CE0" w:rsidRPr="003E5A6D">
              <w:rPr>
                <w:sz w:val="24"/>
                <w:szCs w:val="24"/>
                <w:lang w:val="lv-LV"/>
              </w:rPr>
              <w:t xml:space="preserve">.panta piemērošanu </w:t>
            </w:r>
            <w:r w:rsidR="00346CE0" w:rsidRPr="003E5A6D">
              <w:rPr>
                <w:i/>
                <w:sz w:val="24"/>
                <w:szCs w:val="24"/>
                <w:lang w:val="lv-LV"/>
              </w:rPr>
              <w:t>de minimis</w:t>
            </w:r>
            <w:r w:rsidR="00346CE0" w:rsidRPr="003E5A6D">
              <w:rPr>
                <w:sz w:val="24"/>
                <w:szCs w:val="24"/>
                <w:lang w:val="lv-LV"/>
              </w:rPr>
              <w:t xml:space="preserve"> atbalstam </w:t>
            </w:r>
            <w:r w:rsidR="00762FC8" w:rsidRPr="003E5A6D">
              <w:rPr>
                <w:sz w:val="24"/>
                <w:szCs w:val="24"/>
                <w:lang w:val="lv-LV"/>
              </w:rPr>
              <w:t>(Eiropas Savienības Oficiālais vēstnesis, 2013.gada 24.decembris, Nr.</w:t>
            </w:r>
            <w:r w:rsidR="00FD5F34" w:rsidRPr="003E5A6D">
              <w:rPr>
                <w:sz w:val="24"/>
                <w:szCs w:val="24"/>
                <w:lang w:val="lv-LV"/>
              </w:rPr>
              <w:t xml:space="preserve"> </w:t>
            </w:r>
            <w:r w:rsidR="00762FC8" w:rsidRPr="003E5A6D">
              <w:rPr>
                <w:sz w:val="24"/>
                <w:szCs w:val="24"/>
                <w:lang w:val="lv-LV"/>
              </w:rPr>
              <w:t xml:space="preserve">L 352/1 </w:t>
            </w:r>
            <w:r w:rsidR="00346CE0" w:rsidRPr="003E5A6D">
              <w:rPr>
                <w:sz w:val="24"/>
                <w:szCs w:val="24"/>
                <w:lang w:val="lv-LV"/>
              </w:rPr>
              <w:t xml:space="preserve">(turpmāk – </w:t>
            </w:r>
            <w:r w:rsidR="006559F5">
              <w:rPr>
                <w:sz w:val="24"/>
                <w:szCs w:val="24"/>
                <w:lang w:val="lv-LV"/>
              </w:rPr>
              <w:t>Komisijas r</w:t>
            </w:r>
            <w:r w:rsidR="00346CE0" w:rsidRPr="003E5A6D">
              <w:rPr>
                <w:sz w:val="24"/>
                <w:szCs w:val="24"/>
                <w:lang w:val="lv-LV"/>
              </w:rPr>
              <w:t>egula Nr.1407/2013)</w:t>
            </w:r>
            <w:r w:rsidR="00762FC8" w:rsidRPr="003E5A6D">
              <w:rPr>
                <w:sz w:val="24"/>
                <w:szCs w:val="24"/>
                <w:lang w:val="lv-LV"/>
              </w:rPr>
              <w:t>;</w:t>
            </w:r>
          </w:p>
          <w:p w:rsidR="00E15447" w:rsidRPr="003E5A6D" w:rsidRDefault="00966814" w:rsidP="00E15447">
            <w:pPr>
              <w:ind w:firstLine="709"/>
              <w:jc w:val="both"/>
              <w:rPr>
                <w:sz w:val="24"/>
                <w:szCs w:val="24"/>
                <w:lang w:val="lv-LV"/>
              </w:rPr>
            </w:pPr>
            <w:r w:rsidRPr="003E5A6D">
              <w:rPr>
                <w:sz w:val="24"/>
                <w:szCs w:val="24"/>
                <w:lang w:val="lv-LV"/>
              </w:rPr>
              <w:t>2</w:t>
            </w:r>
            <w:r w:rsidR="00EA6CD3" w:rsidRPr="003E5A6D">
              <w:rPr>
                <w:sz w:val="24"/>
                <w:szCs w:val="24"/>
                <w:lang w:val="lv-LV"/>
              </w:rPr>
              <w:t>) Komisijas 2008.gada 6.augusta Regul</w:t>
            </w:r>
            <w:r w:rsidR="00346CE0" w:rsidRPr="003E5A6D">
              <w:rPr>
                <w:sz w:val="24"/>
                <w:szCs w:val="24"/>
                <w:lang w:val="lv-LV"/>
              </w:rPr>
              <w:t>u</w:t>
            </w:r>
            <w:r w:rsidR="00EA6CD3" w:rsidRPr="003E5A6D">
              <w:rPr>
                <w:sz w:val="24"/>
                <w:szCs w:val="24"/>
                <w:lang w:val="lv-LV"/>
              </w:rPr>
              <w:t xml:space="preserve"> (EK) Nr.800/2008, kas atzīst noteiktas atbalsta kategorijas par saderīgām ar kopējo tirgu, piemērojot Līguma 87. un 88.pantu (vispārējā grupu atbrīvojuma regula</w:t>
            </w:r>
            <w:r w:rsidR="00E00218">
              <w:rPr>
                <w:sz w:val="24"/>
                <w:szCs w:val="24"/>
                <w:lang w:val="lv-LV"/>
              </w:rPr>
              <w:t>; turpmāk - Komisijas r</w:t>
            </w:r>
            <w:r w:rsidR="00E00218" w:rsidRPr="00E00218">
              <w:rPr>
                <w:sz w:val="24"/>
                <w:szCs w:val="24"/>
                <w:lang w:val="lv-LV"/>
              </w:rPr>
              <w:t>egul</w:t>
            </w:r>
            <w:r w:rsidR="00E00218">
              <w:rPr>
                <w:sz w:val="24"/>
                <w:szCs w:val="24"/>
                <w:lang w:val="lv-LV"/>
              </w:rPr>
              <w:t>a</w:t>
            </w:r>
            <w:r w:rsidR="00E00218" w:rsidRPr="00E00218">
              <w:rPr>
                <w:sz w:val="24"/>
                <w:szCs w:val="24"/>
                <w:lang w:val="lv-LV"/>
              </w:rPr>
              <w:t xml:space="preserve"> Nr.800/2008</w:t>
            </w:r>
            <w:r w:rsidR="00EA6CD3" w:rsidRPr="003E5A6D">
              <w:rPr>
                <w:sz w:val="24"/>
                <w:szCs w:val="24"/>
                <w:lang w:val="lv-LV"/>
              </w:rPr>
              <w:t>)</w:t>
            </w:r>
            <w:r w:rsidRPr="003E5A6D">
              <w:rPr>
                <w:sz w:val="24"/>
                <w:szCs w:val="24"/>
                <w:lang w:val="lv-LV"/>
              </w:rPr>
              <w:t>;</w:t>
            </w:r>
          </w:p>
          <w:p w:rsidR="00EA6CD3" w:rsidRPr="003E5A6D" w:rsidRDefault="00966814" w:rsidP="006559F5">
            <w:pPr>
              <w:ind w:firstLine="709"/>
              <w:jc w:val="both"/>
              <w:rPr>
                <w:sz w:val="24"/>
                <w:szCs w:val="24"/>
                <w:lang w:val="lv-LV"/>
              </w:rPr>
            </w:pPr>
            <w:r w:rsidRPr="003E5A6D">
              <w:rPr>
                <w:sz w:val="24"/>
                <w:szCs w:val="24"/>
                <w:lang w:val="lv-LV"/>
              </w:rPr>
              <w:t xml:space="preserve">3) Ministru kabineta 2009.gada 3.februāra Ministru kabineta noteikumu Nr.108 „Normatīvo aktu projektu sagatavošanas noteikumi” </w:t>
            </w:r>
            <w:r w:rsidR="00426250" w:rsidRPr="003E5A6D">
              <w:rPr>
                <w:sz w:val="24"/>
                <w:szCs w:val="24"/>
                <w:lang w:val="lv-LV"/>
              </w:rPr>
              <w:t>140</w:t>
            </w:r>
            <w:r w:rsidRPr="003E5A6D">
              <w:rPr>
                <w:sz w:val="24"/>
                <w:szCs w:val="24"/>
                <w:lang w:val="lv-LV"/>
              </w:rPr>
              <w:t>.</w:t>
            </w:r>
            <w:r w:rsidR="006559F5" w:rsidRPr="003E5A6D">
              <w:rPr>
                <w:sz w:val="24"/>
                <w:szCs w:val="24"/>
                <w:lang w:val="lv-LV"/>
              </w:rPr>
              <w:t>punkt</w:t>
            </w:r>
            <w:r w:rsidR="006559F5">
              <w:rPr>
                <w:sz w:val="24"/>
                <w:szCs w:val="24"/>
                <w:lang w:val="lv-LV"/>
              </w:rPr>
              <w:t>u</w:t>
            </w:r>
            <w:r w:rsidRPr="003E5A6D">
              <w:rPr>
                <w:sz w:val="24"/>
                <w:szCs w:val="24"/>
                <w:lang w:val="lv-LV"/>
              </w:rPr>
              <w:t>.</w:t>
            </w:r>
          </w:p>
        </w:tc>
      </w:tr>
      <w:tr w:rsidR="00EA6CD3" w:rsidRPr="003E5A6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Pašreizējā situācija un problēmas</w:t>
            </w:r>
            <w:r w:rsidR="00186A4D">
              <w:rPr>
                <w:rFonts w:eastAsia="Times New Roman"/>
                <w:sz w:val="24"/>
                <w:szCs w:val="24"/>
                <w:lang w:val="lv-LV" w:eastAsia="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229AC" w:rsidRPr="003E5A6D" w:rsidRDefault="00A229AC" w:rsidP="00A25225">
            <w:pPr>
              <w:ind w:firstLine="709"/>
              <w:jc w:val="both"/>
              <w:rPr>
                <w:sz w:val="24"/>
                <w:szCs w:val="24"/>
                <w:lang w:val="lv-LV"/>
              </w:rPr>
            </w:pPr>
            <w:r w:rsidRPr="003E5A6D">
              <w:rPr>
                <w:sz w:val="24"/>
                <w:szCs w:val="24"/>
                <w:lang w:val="lv-LV"/>
              </w:rPr>
              <w:t>Ministru kabineta 2011.gada 2.augusta noteikumi Nr.613 „Noteikumi par mezanīna aizdevumiem saimnieciskās darbības veicēju konkurētspējas uzlabošanai” (turpmāk - MK noteikumi Nr.613) ir normatīvais akts, kurš nosaka atbalsta piešķiršanas nosacījumus mezanīna aizdevuma veidā saimnieciskās darbības veicēju konkurētspējas uzlabošanai.</w:t>
            </w:r>
          </w:p>
          <w:p w:rsidR="00187140" w:rsidRPr="003E5A6D" w:rsidRDefault="00187140" w:rsidP="00A25225">
            <w:pPr>
              <w:ind w:firstLine="709"/>
              <w:jc w:val="both"/>
              <w:rPr>
                <w:sz w:val="24"/>
                <w:szCs w:val="24"/>
                <w:lang w:val="lv-LV"/>
              </w:rPr>
            </w:pPr>
            <w:r w:rsidRPr="003E5A6D">
              <w:rPr>
                <w:sz w:val="24"/>
                <w:szCs w:val="24"/>
                <w:lang w:val="lv-LV"/>
              </w:rPr>
              <w:t>Ņemot vērā, ka turpmāk anotācijā izklāstīto iemeslu dēļ ir nepieciešams veikt grozījumus MK noteikumos Nr.613, kuru apjoms un saturs esošo noteikumu redakciju padarītu strukturāli sarežģītu un grūti uztveramu, kā arī vadoties no Ministru kabineta 2009.gada</w:t>
            </w:r>
            <w:r w:rsidR="006D3604">
              <w:rPr>
                <w:sz w:val="24"/>
                <w:szCs w:val="24"/>
                <w:lang w:val="lv-LV"/>
              </w:rPr>
              <w:t xml:space="preserve"> 3.</w:t>
            </w:r>
            <w:r w:rsidRPr="003E5A6D">
              <w:rPr>
                <w:sz w:val="24"/>
                <w:szCs w:val="24"/>
                <w:lang w:val="lv-LV"/>
              </w:rPr>
              <w:t>februāra noteikumu Nr.108 „Normatīvo aktu projektu sagatavošanas noteikumi” 140.punktā noteiktā, ja grozījumu normu apjoms pārsniedz pusi no spēkā esošo noteikumu normu apjoma, grozījumu projektu nesagatavo, bet gan sagatavo jaunu noteikumu projektu, ir lietderīgi esošos noteikumus un nepieciešamos grozījumus sagatavot kā jaunu likumprojektu.</w:t>
            </w:r>
          </w:p>
          <w:p w:rsidR="00354ABE" w:rsidRPr="003E5A6D" w:rsidRDefault="00354ABE" w:rsidP="000E53C3">
            <w:pPr>
              <w:ind w:firstLine="709"/>
              <w:jc w:val="both"/>
              <w:rPr>
                <w:sz w:val="24"/>
                <w:szCs w:val="24"/>
                <w:lang w:val="lv-LV"/>
              </w:rPr>
            </w:pPr>
            <w:r w:rsidRPr="003E5A6D">
              <w:rPr>
                <w:sz w:val="24"/>
                <w:szCs w:val="24"/>
                <w:lang w:val="lv-LV"/>
              </w:rPr>
              <w:t xml:space="preserve">MK noteikumu Nr.613 ietvaros pieejamais atbalsta finansējums ir 18 664 271 </w:t>
            </w:r>
            <w:r w:rsidRPr="003E5A6D">
              <w:rPr>
                <w:i/>
                <w:sz w:val="24"/>
                <w:szCs w:val="24"/>
                <w:lang w:val="lv-LV"/>
              </w:rPr>
              <w:t>euro</w:t>
            </w:r>
            <w:r w:rsidRPr="003E5A6D">
              <w:rPr>
                <w:sz w:val="24"/>
                <w:szCs w:val="24"/>
                <w:lang w:val="lv-LV"/>
              </w:rPr>
              <w:t xml:space="preserve">, un laikā uz 2014.gada 31.janvāri ir noslēgti 8 aizdevuma līgumi par kopējo finansējumu 3 245 111 </w:t>
            </w:r>
            <w:r w:rsidRPr="003E5A6D">
              <w:rPr>
                <w:i/>
                <w:sz w:val="24"/>
                <w:szCs w:val="24"/>
                <w:lang w:val="lv-LV"/>
              </w:rPr>
              <w:t>euro</w:t>
            </w:r>
            <w:r w:rsidRPr="003E5A6D">
              <w:rPr>
                <w:sz w:val="24"/>
                <w:szCs w:val="24"/>
                <w:lang w:val="lv-LV"/>
              </w:rPr>
              <w:t>, kas sastāda 17 % no pieejamā kopējā finansējuma.</w:t>
            </w:r>
            <w:r w:rsidR="007A2F02">
              <w:rPr>
                <w:sz w:val="24"/>
                <w:szCs w:val="24"/>
                <w:lang w:val="lv-LV"/>
              </w:rPr>
              <w:t xml:space="preserve"> </w:t>
            </w:r>
            <w:r w:rsidRPr="003E5A6D">
              <w:rPr>
                <w:sz w:val="24"/>
                <w:szCs w:val="24"/>
                <w:lang w:val="lv-LV"/>
              </w:rPr>
              <w:t>Papildus pieejamais finansējums, ko veido % ieņēmumi no noguldījumiem 2.2.1.4.2.aktivitātes „Mezanīna aizdevumi investīcijām komersantu konkurētspējas uzlabošanai”</w:t>
            </w:r>
            <w:r w:rsidR="000E53C3" w:rsidRPr="003E5A6D">
              <w:rPr>
                <w:sz w:val="24"/>
                <w:szCs w:val="24"/>
                <w:lang w:val="lv-LV"/>
              </w:rPr>
              <w:t xml:space="preserve"> </w:t>
            </w:r>
            <w:r w:rsidRPr="003E5A6D">
              <w:rPr>
                <w:sz w:val="24"/>
                <w:szCs w:val="24"/>
                <w:lang w:val="lv-LV"/>
              </w:rPr>
              <w:t>(turpmāk – 2.2.1</w:t>
            </w:r>
            <w:r w:rsidR="00013B61">
              <w:rPr>
                <w:sz w:val="24"/>
                <w:szCs w:val="24"/>
                <w:lang w:val="lv-LV"/>
              </w:rPr>
              <w:t xml:space="preserve">.4.2.aktivitāte) ietvaros, ir </w:t>
            </w:r>
            <w:r w:rsidR="00DF6E16">
              <w:rPr>
                <w:sz w:val="24"/>
                <w:szCs w:val="24"/>
                <w:lang w:val="lv-LV"/>
              </w:rPr>
              <w:t>2 525 419</w:t>
            </w:r>
            <w:r w:rsidRPr="003E5A6D">
              <w:rPr>
                <w:sz w:val="24"/>
                <w:szCs w:val="24"/>
                <w:lang w:val="lv-LV"/>
              </w:rPr>
              <w:t xml:space="preserve"> </w:t>
            </w:r>
            <w:r w:rsidRPr="003E5A6D">
              <w:rPr>
                <w:i/>
                <w:sz w:val="24"/>
                <w:szCs w:val="24"/>
                <w:lang w:val="lv-LV"/>
              </w:rPr>
              <w:t>euro</w:t>
            </w:r>
            <w:r w:rsidRPr="003E5A6D">
              <w:rPr>
                <w:sz w:val="24"/>
                <w:szCs w:val="24"/>
                <w:lang w:val="lv-LV"/>
              </w:rPr>
              <w:t>. Lai nodrošinātu finansējuma apguvi</w:t>
            </w:r>
            <w:r w:rsidR="00A969CC" w:rsidRPr="003E5A6D">
              <w:rPr>
                <w:sz w:val="24"/>
                <w:szCs w:val="24"/>
                <w:lang w:val="lv-LV"/>
              </w:rPr>
              <w:t xml:space="preserve">, </w:t>
            </w:r>
            <w:r w:rsidRPr="003E5A6D">
              <w:rPr>
                <w:sz w:val="24"/>
                <w:szCs w:val="24"/>
                <w:lang w:val="lv-LV"/>
              </w:rPr>
              <w:t>% ieņēmumi</w:t>
            </w:r>
            <w:r w:rsidR="00A969CC" w:rsidRPr="003E5A6D">
              <w:rPr>
                <w:sz w:val="24"/>
                <w:szCs w:val="24"/>
                <w:lang w:val="lv-LV"/>
              </w:rPr>
              <w:t xml:space="preserve"> no noguld</w:t>
            </w:r>
            <w:r w:rsidR="007A2F02">
              <w:rPr>
                <w:sz w:val="24"/>
                <w:szCs w:val="24"/>
                <w:lang w:val="lv-LV"/>
              </w:rPr>
              <w:t>ījumiem</w:t>
            </w:r>
            <w:r w:rsidRPr="003E5A6D">
              <w:rPr>
                <w:sz w:val="24"/>
                <w:szCs w:val="24"/>
                <w:lang w:val="lv-LV"/>
              </w:rPr>
              <w:t xml:space="preserve"> 2.2.1.4.2.aktivitātes ietvaros, kā arī 2.2.1.1.aktivitāt</w:t>
            </w:r>
            <w:r w:rsidR="000E53C3" w:rsidRPr="003E5A6D">
              <w:rPr>
                <w:sz w:val="24"/>
                <w:szCs w:val="24"/>
                <w:lang w:val="lv-LV"/>
              </w:rPr>
              <w:t>ē</w:t>
            </w:r>
            <w:r w:rsidRPr="003E5A6D">
              <w:rPr>
                <w:sz w:val="24"/>
                <w:szCs w:val="24"/>
                <w:lang w:val="lv-LV"/>
              </w:rPr>
              <w:t xml:space="preserve"> „Ieguldījumu fonds investīcijām garantijās, paaugstināta riska aizdevumos, riska kapitāla fondos un cita veida finanšu instrumentos” </w:t>
            </w:r>
            <w:r w:rsidR="00A969CC" w:rsidRPr="003E5A6D">
              <w:rPr>
                <w:sz w:val="24"/>
                <w:szCs w:val="24"/>
                <w:lang w:val="lv-LV"/>
              </w:rPr>
              <w:t xml:space="preserve">(turpmāk – 2.2.1.1.aktivitāte) </w:t>
            </w:r>
            <w:r w:rsidRPr="003E5A6D">
              <w:rPr>
                <w:sz w:val="24"/>
                <w:szCs w:val="24"/>
                <w:lang w:val="lv-LV"/>
              </w:rPr>
              <w:t xml:space="preserve">gūtie % ieņēmumi, kas sastāda </w:t>
            </w:r>
            <w:r w:rsidR="008841EB">
              <w:rPr>
                <w:sz w:val="24"/>
                <w:szCs w:val="24"/>
                <w:lang w:val="lv-LV"/>
              </w:rPr>
              <w:t>8 623 913</w:t>
            </w:r>
            <w:r w:rsidRPr="003E5A6D">
              <w:rPr>
                <w:sz w:val="24"/>
                <w:szCs w:val="24"/>
                <w:lang w:val="lv-LV"/>
              </w:rPr>
              <w:t xml:space="preserve"> </w:t>
            </w:r>
            <w:r w:rsidRPr="003E5A6D">
              <w:rPr>
                <w:i/>
                <w:sz w:val="24"/>
                <w:szCs w:val="24"/>
                <w:lang w:val="lv-LV"/>
              </w:rPr>
              <w:t>euro</w:t>
            </w:r>
            <w:r w:rsidRPr="003E5A6D">
              <w:rPr>
                <w:sz w:val="24"/>
                <w:szCs w:val="24"/>
                <w:lang w:val="lv-LV"/>
              </w:rPr>
              <w:t xml:space="preserve">, ir jārealizē </w:t>
            </w:r>
            <w:r w:rsidR="00A969CC" w:rsidRPr="003E5A6D">
              <w:rPr>
                <w:sz w:val="24"/>
                <w:szCs w:val="24"/>
                <w:lang w:val="lv-LV"/>
              </w:rPr>
              <w:t xml:space="preserve">2.2.1.4.2.aktivitātes ietvaros. </w:t>
            </w:r>
            <w:r w:rsidR="000E53C3" w:rsidRPr="003E5A6D">
              <w:rPr>
                <w:sz w:val="24"/>
                <w:szCs w:val="24"/>
                <w:lang w:val="lv-LV"/>
              </w:rPr>
              <w:t>Lai līdz 2015.gada beigām apgūtu MK noteikumu Nr.613 ietvaros pieejamā finans</w:t>
            </w:r>
            <w:r w:rsidR="007A2F02">
              <w:rPr>
                <w:sz w:val="24"/>
                <w:szCs w:val="24"/>
                <w:lang w:val="lv-LV"/>
              </w:rPr>
              <w:t xml:space="preserve">ējuma, </w:t>
            </w:r>
            <w:r w:rsidR="007A2F02">
              <w:rPr>
                <w:sz w:val="24"/>
                <w:szCs w:val="24"/>
                <w:lang w:val="lv-LV"/>
              </w:rPr>
              <w:lastRenderedPageBreak/>
              <w:t xml:space="preserve">kā arī </w:t>
            </w:r>
            <w:r w:rsidR="000E53C3" w:rsidRPr="003E5A6D">
              <w:rPr>
                <w:sz w:val="24"/>
                <w:szCs w:val="24"/>
                <w:lang w:val="lv-LV"/>
              </w:rPr>
              <w:t xml:space="preserve">2.2.1.4.2.aktivitātes un 2.2.1.1.aktivitātes ietvaros gūtos % ieņēmumus, </w:t>
            </w:r>
            <w:r w:rsidR="00A969CC" w:rsidRPr="003E5A6D">
              <w:rPr>
                <w:sz w:val="24"/>
                <w:szCs w:val="24"/>
                <w:lang w:val="lv-LV"/>
              </w:rPr>
              <w:t>noteikumu projekts</w:t>
            </w:r>
            <w:r w:rsidR="006B6D6C" w:rsidRPr="003E5A6D">
              <w:rPr>
                <w:sz w:val="24"/>
                <w:szCs w:val="24"/>
                <w:lang w:val="lv-LV"/>
              </w:rPr>
              <w:t xml:space="preserve"> </w:t>
            </w:r>
            <w:r w:rsidR="00A969CC" w:rsidRPr="003E5A6D">
              <w:rPr>
                <w:sz w:val="24"/>
                <w:szCs w:val="24"/>
                <w:lang w:val="lv-LV"/>
              </w:rPr>
              <w:t xml:space="preserve">paredz </w:t>
            </w:r>
            <w:r w:rsidR="006B6D6C" w:rsidRPr="003E5A6D">
              <w:rPr>
                <w:sz w:val="24"/>
                <w:szCs w:val="24"/>
                <w:lang w:val="lv-LV"/>
              </w:rPr>
              <w:t>vairāku MK noteikumu Nr.613 normu grozījumus.</w:t>
            </w:r>
          </w:p>
          <w:p w:rsidR="008B5EFB" w:rsidRPr="003E5A6D" w:rsidRDefault="007A2F02" w:rsidP="006B6D6C">
            <w:pPr>
              <w:ind w:firstLine="709"/>
              <w:jc w:val="both"/>
              <w:rPr>
                <w:sz w:val="24"/>
                <w:szCs w:val="24"/>
                <w:lang w:val="lv-LV"/>
              </w:rPr>
            </w:pPr>
            <w:r>
              <w:rPr>
                <w:sz w:val="24"/>
                <w:szCs w:val="24"/>
                <w:lang w:val="lv-LV"/>
              </w:rPr>
              <w:t>S</w:t>
            </w:r>
            <w:r w:rsidR="00A337C5" w:rsidRPr="003E5A6D">
              <w:rPr>
                <w:sz w:val="24"/>
                <w:szCs w:val="24"/>
                <w:lang w:val="lv-LV"/>
              </w:rPr>
              <w:t xml:space="preserve">askaņā ar </w:t>
            </w:r>
            <w:r w:rsidR="00EA6CD3" w:rsidRPr="003E5A6D">
              <w:rPr>
                <w:sz w:val="24"/>
                <w:szCs w:val="24"/>
                <w:lang w:val="lv-LV"/>
              </w:rPr>
              <w:t>MK noteikumi</w:t>
            </w:r>
            <w:r w:rsidR="00A337C5" w:rsidRPr="003E5A6D">
              <w:rPr>
                <w:sz w:val="24"/>
                <w:szCs w:val="24"/>
                <w:lang w:val="lv-LV"/>
              </w:rPr>
              <w:t>em</w:t>
            </w:r>
            <w:r w:rsidR="00EA6CD3" w:rsidRPr="003E5A6D">
              <w:rPr>
                <w:sz w:val="24"/>
                <w:szCs w:val="24"/>
                <w:lang w:val="lv-LV"/>
              </w:rPr>
              <w:t xml:space="preserve"> Nr.613</w:t>
            </w:r>
            <w:r w:rsidR="00A337C5" w:rsidRPr="003E5A6D">
              <w:rPr>
                <w:sz w:val="24"/>
                <w:szCs w:val="24"/>
                <w:lang w:val="lv-LV"/>
              </w:rPr>
              <w:t xml:space="preserve"> līdz šim</w:t>
            </w:r>
            <w:r w:rsidR="00346CE0" w:rsidRPr="003E5A6D">
              <w:rPr>
                <w:sz w:val="24"/>
                <w:szCs w:val="24"/>
                <w:lang w:val="lv-LV"/>
              </w:rPr>
              <w:t xml:space="preserve"> </w:t>
            </w:r>
            <w:r w:rsidR="00D5265D" w:rsidRPr="003E5A6D">
              <w:rPr>
                <w:sz w:val="24"/>
                <w:szCs w:val="24"/>
                <w:lang w:val="lv-LV"/>
              </w:rPr>
              <w:t xml:space="preserve">mezanīna aizdevuma gada procentu likme tiek noteikta, kredītiestādes vai tās meitas sabiedrības ilgtermiņa kredīta vai finanšu līzinga procentu likmei pieskaitot MK noteikumu Nr.613 </w:t>
            </w:r>
            <w:r w:rsidR="00FF6BE9" w:rsidRPr="003E5A6D">
              <w:rPr>
                <w:sz w:val="24"/>
                <w:szCs w:val="24"/>
                <w:lang w:val="lv-LV"/>
              </w:rPr>
              <w:t xml:space="preserve">pielikumā </w:t>
            </w:r>
            <w:r w:rsidR="00A25225" w:rsidRPr="003E5A6D">
              <w:rPr>
                <w:sz w:val="24"/>
                <w:szCs w:val="24"/>
                <w:lang w:val="lv-LV"/>
              </w:rPr>
              <w:t xml:space="preserve">saskaņā ar sabiedrības ar ierobežotu atbilstību „Latvijas Garantiju aģentūra” </w:t>
            </w:r>
            <w:r w:rsidR="00165747" w:rsidRPr="003E5A6D">
              <w:rPr>
                <w:sz w:val="24"/>
                <w:szCs w:val="24"/>
                <w:lang w:val="lv-LV"/>
              </w:rPr>
              <w:t xml:space="preserve">(turpmāk – LGA) </w:t>
            </w:r>
            <w:r w:rsidR="00A25225" w:rsidRPr="003E5A6D">
              <w:rPr>
                <w:sz w:val="24"/>
                <w:szCs w:val="24"/>
                <w:lang w:val="lv-LV"/>
              </w:rPr>
              <w:t>kredīta kvalitātes novērtēšanas sistēmu noteikt</w:t>
            </w:r>
            <w:r w:rsidR="00A337C5" w:rsidRPr="003E5A6D">
              <w:rPr>
                <w:sz w:val="24"/>
                <w:szCs w:val="24"/>
                <w:lang w:val="lv-LV"/>
              </w:rPr>
              <w:t>o</w:t>
            </w:r>
            <w:r w:rsidR="00FF6BE9" w:rsidRPr="003E5A6D">
              <w:rPr>
                <w:sz w:val="24"/>
                <w:szCs w:val="24"/>
                <w:lang w:val="lv-LV"/>
              </w:rPr>
              <w:t xml:space="preserve"> </w:t>
            </w:r>
            <w:r w:rsidR="00D5265D" w:rsidRPr="003E5A6D">
              <w:rPr>
                <w:sz w:val="24"/>
                <w:szCs w:val="24"/>
                <w:lang w:val="lv-LV"/>
              </w:rPr>
              <w:t>palielinājuma likm</w:t>
            </w:r>
            <w:r w:rsidR="00A337C5" w:rsidRPr="003E5A6D">
              <w:rPr>
                <w:sz w:val="24"/>
                <w:szCs w:val="24"/>
                <w:lang w:val="lv-LV"/>
              </w:rPr>
              <w:t>i</w:t>
            </w:r>
            <w:r w:rsidR="00165747" w:rsidRPr="003E5A6D">
              <w:rPr>
                <w:sz w:val="24"/>
                <w:szCs w:val="24"/>
                <w:lang w:val="lv-LV"/>
              </w:rPr>
              <w:t xml:space="preserve"> (MK noteikumu Nr.613 21.punkts)</w:t>
            </w:r>
            <w:r w:rsidR="00A25225" w:rsidRPr="003E5A6D">
              <w:rPr>
                <w:sz w:val="24"/>
                <w:szCs w:val="24"/>
                <w:lang w:val="lv-LV"/>
              </w:rPr>
              <w:t xml:space="preserve">. </w:t>
            </w:r>
            <w:r w:rsidR="00D5265D" w:rsidRPr="003E5A6D">
              <w:rPr>
                <w:sz w:val="24"/>
                <w:szCs w:val="24"/>
                <w:lang w:val="lv-LV"/>
              </w:rPr>
              <w:t>Mezan</w:t>
            </w:r>
            <w:r w:rsidR="00FF6BE9" w:rsidRPr="003E5A6D">
              <w:rPr>
                <w:sz w:val="24"/>
                <w:szCs w:val="24"/>
                <w:lang w:val="lv-LV"/>
              </w:rPr>
              <w:t xml:space="preserve">īna aizdevums ir dārgāks finansējuma avots nekā kredītiestādes vai tās meitas sabiedrības izsniegts ilgtermiņa kredīts vai finanšu līzings, ko nosaka augstāks </w:t>
            </w:r>
            <w:r w:rsidR="00A25225" w:rsidRPr="003E5A6D">
              <w:rPr>
                <w:sz w:val="24"/>
                <w:szCs w:val="24"/>
                <w:lang w:val="lv-LV"/>
              </w:rPr>
              <w:t xml:space="preserve">darījumu </w:t>
            </w:r>
            <w:r w:rsidR="00FF6BE9" w:rsidRPr="003E5A6D">
              <w:rPr>
                <w:sz w:val="24"/>
                <w:szCs w:val="24"/>
                <w:lang w:val="lv-LV"/>
              </w:rPr>
              <w:t xml:space="preserve">risks – mezanīna aizdevums ir subordinēts attiecībā </w:t>
            </w:r>
            <w:r w:rsidR="00A25225" w:rsidRPr="003E5A6D">
              <w:rPr>
                <w:sz w:val="24"/>
                <w:szCs w:val="24"/>
                <w:lang w:val="lv-LV"/>
              </w:rPr>
              <w:t xml:space="preserve">pret kredītiestādes vai tās meitas sabiedrības sniegto aizdevumu un ir pastarpināts ar zemāku nodrošinājuma kārtu nekā kredītiestādes vai tās meitas sabiedrības sniegtais aizdevums. </w:t>
            </w:r>
            <w:r w:rsidR="00B4164D" w:rsidRPr="003E5A6D">
              <w:rPr>
                <w:sz w:val="24"/>
                <w:szCs w:val="24"/>
                <w:lang w:val="lv-LV"/>
              </w:rPr>
              <w:t xml:space="preserve">Tāpat arī </w:t>
            </w:r>
            <w:r w:rsidR="006B6D6C" w:rsidRPr="003E5A6D">
              <w:rPr>
                <w:sz w:val="24"/>
                <w:szCs w:val="24"/>
                <w:lang w:val="lv-LV"/>
              </w:rPr>
              <w:t xml:space="preserve">darījumu strukturēšanas izmaksas, ko veido kredītiestādes vai tās meitas sabiedrības piešķirtā aizdevuma pieteikuma izskatīšanas, aizdevuma noformēšanas vai izsniegšanas komisijas maksa, </w:t>
            </w:r>
            <w:r w:rsidR="00B4164D" w:rsidRPr="003E5A6D">
              <w:rPr>
                <w:sz w:val="24"/>
                <w:szCs w:val="24"/>
                <w:lang w:val="lv-LV"/>
              </w:rPr>
              <w:t xml:space="preserve">pie līdzšinējiem </w:t>
            </w:r>
            <w:r w:rsidR="009F0FC9" w:rsidRPr="003E5A6D">
              <w:rPr>
                <w:sz w:val="24"/>
                <w:szCs w:val="24"/>
                <w:lang w:val="lv-LV"/>
              </w:rPr>
              <w:t xml:space="preserve">darījumu apmēriem, kur maksimālais mezanīna investīciju aizdevumu apmērs ir 996 011 </w:t>
            </w:r>
            <w:r w:rsidR="009F0FC9" w:rsidRPr="003E5A6D">
              <w:rPr>
                <w:i/>
                <w:sz w:val="24"/>
                <w:szCs w:val="24"/>
                <w:lang w:val="lv-LV"/>
              </w:rPr>
              <w:t>euro</w:t>
            </w:r>
            <w:r w:rsidR="009F0FC9" w:rsidRPr="003E5A6D">
              <w:rPr>
                <w:sz w:val="24"/>
                <w:szCs w:val="24"/>
                <w:lang w:val="lv-LV"/>
              </w:rPr>
              <w:t>, var</w:t>
            </w:r>
            <w:r w:rsidR="00B4164D" w:rsidRPr="003E5A6D">
              <w:rPr>
                <w:sz w:val="24"/>
                <w:szCs w:val="24"/>
                <w:lang w:val="lv-LV"/>
              </w:rPr>
              <w:t xml:space="preserve"> sasniegt pat 30 000</w:t>
            </w:r>
            <w:r w:rsidR="009F0FC9" w:rsidRPr="003E5A6D">
              <w:rPr>
                <w:sz w:val="24"/>
                <w:szCs w:val="24"/>
                <w:lang w:val="lv-LV"/>
              </w:rPr>
              <w:t xml:space="preserve"> </w:t>
            </w:r>
            <w:r w:rsidR="009F0FC9" w:rsidRPr="00013B61">
              <w:rPr>
                <w:i/>
                <w:sz w:val="24"/>
                <w:szCs w:val="24"/>
                <w:lang w:val="lv-LV"/>
              </w:rPr>
              <w:t>euro</w:t>
            </w:r>
            <w:r w:rsidR="00B4164D" w:rsidRPr="003E5A6D">
              <w:rPr>
                <w:sz w:val="24"/>
                <w:szCs w:val="24"/>
                <w:lang w:val="lv-LV"/>
              </w:rPr>
              <w:t xml:space="preserve">, kas nereti nosaka saimnieciskā darbības veicēja izvēli mezanīna aizdevumu vietā izmantot alternatīvus finansēšanas avotus. </w:t>
            </w:r>
          </w:p>
          <w:p w:rsidR="005B6095" w:rsidRDefault="000E53C3" w:rsidP="00A25225">
            <w:pPr>
              <w:ind w:firstLine="709"/>
              <w:jc w:val="both"/>
              <w:rPr>
                <w:sz w:val="24"/>
                <w:szCs w:val="24"/>
                <w:lang w:val="lv-LV"/>
              </w:rPr>
            </w:pPr>
            <w:r w:rsidRPr="003E5A6D">
              <w:rPr>
                <w:sz w:val="24"/>
                <w:szCs w:val="24"/>
                <w:lang w:val="lv-LV"/>
              </w:rPr>
              <w:t>Lai samazinātu mezanīna aizdevuma izmaksas</w:t>
            </w:r>
            <w:r w:rsidR="006B6D6C" w:rsidRPr="003E5A6D">
              <w:rPr>
                <w:sz w:val="24"/>
                <w:szCs w:val="24"/>
                <w:lang w:val="lv-LV"/>
              </w:rPr>
              <w:t xml:space="preserve"> saimnieciskās darbības veicējiem</w:t>
            </w:r>
            <w:r w:rsidRPr="003E5A6D">
              <w:rPr>
                <w:sz w:val="24"/>
                <w:szCs w:val="24"/>
                <w:lang w:val="lv-LV"/>
              </w:rPr>
              <w:t xml:space="preserve"> un </w:t>
            </w:r>
            <w:r w:rsidR="006B6D6C" w:rsidRPr="003E5A6D">
              <w:rPr>
                <w:sz w:val="24"/>
                <w:szCs w:val="24"/>
                <w:lang w:val="lv-LV"/>
              </w:rPr>
              <w:t>sekm</w:t>
            </w:r>
            <w:r w:rsidR="007A2F02">
              <w:rPr>
                <w:sz w:val="24"/>
                <w:szCs w:val="24"/>
                <w:lang w:val="lv-LV"/>
              </w:rPr>
              <w:t>ētu</w:t>
            </w:r>
            <w:r w:rsidRPr="003E5A6D">
              <w:rPr>
                <w:sz w:val="24"/>
                <w:szCs w:val="24"/>
                <w:lang w:val="lv-LV"/>
              </w:rPr>
              <w:t xml:space="preserve"> finansējuma</w:t>
            </w:r>
            <w:r w:rsidR="006B6D6C" w:rsidRPr="003E5A6D">
              <w:rPr>
                <w:sz w:val="24"/>
                <w:szCs w:val="24"/>
                <w:lang w:val="lv-LV"/>
              </w:rPr>
              <w:t xml:space="preserve"> </w:t>
            </w:r>
            <w:r w:rsidRPr="003E5A6D">
              <w:rPr>
                <w:sz w:val="24"/>
                <w:szCs w:val="24"/>
                <w:lang w:val="lv-LV"/>
              </w:rPr>
              <w:t>apguvi, noteikumu projekts paredz mezanīna</w:t>
            </w:r>
            <w:r w:rsidR="00013B61">
              <w:rPr>
                <w:sz w:val="24"/>
                <w:szCs w:val="24"/>
                <w:lang w:val="lv-LV"/>
              </w:rPr>
              <w:t xml:space="preserve"> aizdevumu gada procentu likmes</w:t>
            </w:r>
            <w:r w:rsidRPr="003E5A6D">
              <w:rPr>
                <w:sz w:val="24"/>
                <w:szCs w:val="24"/>
                <w:lang w:val="lv-LV"/>
              </w:rPr>
              <w:t xml:space="preserve"> noteikt vienādas ar kredītiestādes vai tās meitas sabiedrības ilgtermiņa kredīta vai finanšu līzinga </w:t>
            </w:r>
            <w:r w:rsidR="00071082" w:rsidRPr="003E5A6D">
              <w:rPr>
                <w:sz w:val="24"/>
                <w:szCs w:val="24"/>
                <w:lang w:val="lv-LV"/>
              </w:rPr>
              <w:t xml:space="preserve">gada </w:t>
            </w:r>
            <w:r w:rsidRPr="003E5A6D">
              <w:rPr>
                <w:sz w:val="24"/>
                <w:szCs w:val="24"/>
                <w:lang w:val="lv-LV"/>
              </w:rPr>
              <w:t xml:space="preserve">procentu likmēm. </w:t>
            </w:r>
          </w:p>
          <w:p w:rsidR="000E53C3" w:rsidRPr="003E5A6D" w:rsidRDefault="000E53C3" w:rsidP="00A25225">
            <w:pPr>
              <w:ind w:firstLine="709"/>
              <w:jc w:val="both"/>
              <w:rPr>
                <w:sz w:val="24"/>
                <w:szCs w:val="24"/>
                <w:lang w:val="lv-LV"/>
              </w:rPr>
            </w:pPr>
            <w:r w:rsidRPr="00A14369">
              <w:rPr>
                <w:sz w:val="24"/>
                <w:szCs w:val="24"/>
                <w:lang w:val="lv-LV"/>
              </w:rPr>
              <w:t xml:space="preserve">Tāpat arī noteikumu projekts nosaka, ka saimnieciskās darbības veicējs atbalstu </w:t>
            </w:r>
            <w:r w:rsidR="00013B61" w:rsidRPr="00A14369">
              <w:rPr>
                <w:sz w:val="24"/>
                <w:szCs w:val="24"/>
                <w:lang w:val="lv-LV"/>
              </w:rPr>
              <w:t xml:space="preserve">100 % apmērā </w:t>
            </w:r>
            <w:r w:rsidR="00071082" w:rsidRPr="00A14369">
              <w:rPr>
                <w:sz w:val="24"/>
                <w:szCs w:val="24"/>
                <w:lang w:val="lv-LV"/>
              </w:rPr>
              <w:t xml:space="preserve">turpmāk </w:t>
            </w:r>
            <w:r w:rsidRPr="00A14369">
              <w:rPr>
                <w:sz w:val="24"/>
                <w:szCs w:val="24"/>
                <w:lang w:val="lv-LV"/>
              </w:rPr>
              <w:t xml:space="preserve">var saņemt arī </w:t>
            </w:r>
            <w:r w:rsidR="006B6D6C" w:rsidRPr="00A14369">
              <w:rPr>
                <w:sz w:val="24"/>
                <w:szCs w:val="24"/>
                <w:lang w:val="lv-LV"/>
              </w:rPr>
              <w:t>kredītiestādes vai tās meitas sabiedrības piešķirtā aizdevuma pieteikuma izskatīšanas, aizdevuma noformēšanas vai izsniegšanas komisijas maksa</w:t>
            </w:r>
            <w:r w:rsidR="00071082" w:rsidRPr="00A14369">
              <w:rPr>
                <w:sz w:val="24"/>
                <w:szCs w:val="24"/>
                <w:lang w:val="lv-LV"/>
              </w:rPr>
              <w:t>s</w:t>
            </w:r>
            <w:r w:rsidR="006B6D6C" w:rsidRPr="00A14369">
              <w:rPr>
                <w:sz w:val="24"/>
                <w:szCs w:val="24"/>
                <w:lang w:val="lv-LV"/>
              </w:rPr>
              <w:t xml:space="preserve"> </w:t>
            </w:r>
            <w:r w:rsidRPr="00A14369">
              <w:rPr>
                <w:sz w:val="24"/>
                <w:szCs w:val="24"/>
                <w:lang w:val="lv-LV"/>
              </w:rPr>
              <w:t>segšanai</w:t>
            </w:r>
            <w:r w:rsidR="002267E7" w:rsidRPr="00A14369">
              <w:rPr>
                <w:sz w:val="24"/>
                <w:szCs w:val="24"/>
                <w:lang w:val="lv-LV"/>
              </w:rPr>
              <w:t xml:space="preserve"> (turpmāk tekstā – darījumu strukturēšanas izmaksas)</w:t>
            </w:r>
            <w:r w:rsidR="00071082" w:rsidRPr="00A14369">
              <w:rPr>
                <w:sz w:val="24"/>
                <w:szCs w:val="24"/>
                <w:lang w:val="lv-LV"/>
              </w:rPr>
              <w:t>, kā arī</w:t>
            </w:r>
            <w:r w:rsidRPr="00A14369">
              <w:rPr>
                <w:sz w:val="24"/>
                <w:szCs w:val="24"/>
                <w:lang w:val="lv-LV"/>
              </w:rPr>
              <w:t xml:space="preserve"> ķīlas reģistrācijas izmaks</w:t>
            </w:r>
            <w:r w:rsidR="00071082" w:rsidRPr="00A14369">
              <w:rPr>
                <w:sz w:val="24"/>
                <w:szCs w:val="24"/>
                <w:lang w:val="lv-LV"/>
              </w:rPr>
              <w:t>u segšanai</w:t>
            </w:r>
            <w:r w:rsidRPr="00A14369">
              <w:rPr>
                <w:sz w:val="24"/>
                <w:szCs w:val="24"/>
                <w:lang w:val="lv-LV"/>
              </w:rPr>
              <w:t xml:space="preserve">, nepārsniedzot 50 000 </w:t>
            </w:r>
            <w:r w:rsidRPr="00A14369">
              <w:rPr>
                <w:i/>
                <w:sz w:val="24"/>
                <w:szCs w:val="24"/>
                <w:lang w:val="lv-LV"/>
              </w:rPr>
              <w:t>euro</w:t>
            </w:r>
            <w:r w:rsidRPr="00A14369">
              <w:rPr>
                <w:sz w:val="24"/>
                <w:szCs w:val="24"/>
                <w:lang w:val="lv-LV"/>
              </w:rPr>
              <w:t xml:space="preserve"> un 3,5 % no  piešķirtā mezanīna aizdevuma investīcijām summas.</w:t>
            </w:r>
            <w:r w:rsidR="006231D7" w:rsidRPr="00A14369">
              <w:rPr>
                <w:sz w:val="24"/>
                <w:szCs w:val="24"/>
                <w:lang w:val="lv-LV"/>
              </w:rPr>
              <w:t xml:space="preserve"> </w:t>
            </w:r>
            <w:r w:rsidR="005B6095" w:rsidRPr="00A14369">
              <w:rPr>
                <w:sz w:val="24"/>
                <w:szCs w:val="24"/>
                <w:lang w:val="lv-LV"/>
              </w:rPr>
              <w:t>Eiropas Komisijas izstrādātās vadlīnijas par finanšu instrumentu ieviešanu</w:t>
            </w:r>
            <w:r w:rsidR="001F7AAD" w:rsidRPr="006559F5">
              <w:rPr>
                <w:sz w:val="24"/>
                <w:szCs w:val="24"/>
                <w:lang w:val="lv-LV"/>
              </w:rPr>
              <w:t xml:space="preserve"> neierobežo šāda atbalsta sniegšanu saimnieciskās darbības veicējam, proti,</w:t>
            </w:r>
            <w:r w:rsidR="005B6095" w:rsidRPr="00A14369">
              <w:rPr>
                <w:sz w:val="24"/>
                <w:szCs w:val="24"/>
                <w:lang w:val="lv-LV"/>
              </w:rPr>
              <w:t xml:space="preserve"> </w:t>
            </w:r>
            <w:r w:rsidR="006231D7" w:rsidRPr="00A96C8D">
              <w:rPr>
                <w:sz w:val="24"/>
                <w:szCs w:val="24"/>
                <w:lang w:val="lv-LV"/>
              </w:rPr>
              <w:t>4.3.punkt</w:t>
            </w:r>
            <w:r w:rsidR="006231D7" w:rsidRPr="00467343">
              <w:rPr>
                <w:sz w:val="24"/>
                <w:szCs w:val="24"/>
                <w:lang w:val="lv-LV"/>
              </w:rPr>
              <w:t xml:space="preserve">ā </w:t>
            </w:r>
            <w:r w:rsidR="001F7AAD" w:rsidRPr="006559F5">
              <w:rPr>
                <w:sz w:val="24"/>
                <w:szCs w:val="24"/>
                <w:lang w:val="lv-LV"/>
              </w:rPr>
              <w:t xml:space="preserve">ir </w:t>
            </w:r>
            <w:r w:rsidR="00F40F20" w:rsidRPr="00A14369">
              <w:rPr>
                <w:sz w:val="24"/>
                <w:szCs w:val="24"/>
                <w:lang w:val="lv-LV"/>
              </w:rPr>
              <w:t>atrunāts</w:t>
            </w:r>
            <w:r w:rsidR="006231D7" w:rsidRPr="00A96C8D">
              <w:rPr>
                <w:sz w:val="24"/>
                <w:szCs w:val="24"/>
                <w:lang w:val="lv-LV"/>
              </w:rPr>
              <w:t>,</w:t>
            </w:r>
            <w:r w:rsidR="006231D7" w:rsidRPr="00467343">
              <w:rPr>
                <w:sz w:val="24"/>
                <w:szCs w:val="24"/>
                <w:lang w:val="lv-LV"/>
              </w:rPr>
              <w:t xml:space="preserve"> ka</w:t>
            </w:r>
            <w:r w:rsidR="00F40F20" w:rsidRPr="00467343">
              <w:rPr>
                <w:sz w:val="24"/>
                <w:szCs w:val="24"/>
                <w:lang w:val="lv-LV"/>
              </w:rPr>
              <w:t xml:space="preserve"> </w:t>
            </w:r>
            <w:r w:rsidR="00F9016C" w:rsidRPr="00467343">
              <w:rPr>
                <w:sz w:val="24"/>
                <w:szCs w:val="24"/>
                <w:lang w:val="lv-LV"/>
              </w:rPr>
              <w:t xml:space="preserve">procentu likmju subsīdijas, garantiju maksas subsīdijas un </w:t>
            </w:r>
            <w:r w:rsidR="00F9016C" w:rsidRPr="006559F5">
              <w:rPr>
                <w:b/>
                <w:sz w:val="24"/>
                <w:szCs w:val="24"/>
                <w:lang w:val="lv-LV"/>
              </w:rPr>
              <w:t>līdzvērtīgi atbalsta pasākumi</w:t>
            </w:r>
            <w:r w:rsidR="00F9016C" w:rsidRPr="00A14369">
              <w:rPr>
                <w:sz w:val="24"/>
                <w:szCs w:val="24"/>
                <w:lang w:val="lv-LV"/>
              </w:rPr>
              <w:t xml:space="preserve">, </w:t>
            </w:r>
            <w:r w:rsidR="001F7AAD" w:rsidRPr="006559F5">
              <w:rPr>
                <w:sz w:val="24"/>
                <w:szCs w:val="24"/>
                <w:lang w:val="lv-LV"/>
              </w:rPr>
              <w:t xml:space="preserve">kas šajā gadījumā būtu minētās darījumu strukturēšanas un ķīlas reģistrācijas izmaksas, </w:t>
            </w:r>
            <w:r w:rsidR="00F9016C" w:rsidRPr="00A14369">
              <w:rPr>
                <w:sz w:val="24"/>
                <w:szCs w:val="24"/>
                <w:lang w:val="lv-LV"/>
              </w:rPr>
              <w:t>var tikt attiecināt</w:t>
            </w:r>
            <w:r w:rsidR="001F7AAD" w:rsidRPr="006559F5">
              <w:rPr>
                <w:sz w:val="24"/>
                <w:szCs w:val="24"/>
                <w:lang w:val="lv-LV"/>
              </w:rPr>
              <w:t>a</w:t>
            </w:r>
            <w:r w:rsidR="00F9016C" w:rsidRPr="00A14369">
              <w:rPr>
                <w:sz w:val="24"/>
                <w:szCs w:val="24"/>
                <w:lang w:val="lv-LV"/>
              </w:rPr>
              <w:t>s kā finansēšanas instrumenta</w:t>
            </w:r>
            <w:r w:rsidR="00F9016C" w:rsidRPr="00A96C8D">
              <w:rPr>
                <w:sz w:val="24"/>
                <w:szCs w:val="24"/>
                <w:lang w:val="lv-LV"/>
              </w:rPr>
              <w:t xml:space="preserve"> </w:t>
            </w:r>
            <w:r w:rsidR="001F7AAD" w:rsidRPr="006559F5">
              <w:rPr>
                <w:sz w:val="24"/>
                <w:szCs w:val="24"/>
                <w:lang w:val="lv-LV"/>
              </w:rPr>
              <w:t>sastāv</w:t>
            </w:r>
            <w:r w:rsidR="00F9016C" w:rsidRPr="00A14369">
              <w:rPr>
                <w:sz w:val="24"/>
                <w:szCs w:val="24"/>
                <w:lang w:val="lv-LV"/>
              </w:rPr>
              <w:t>daļa,</w:t>
            </w:r>
            <w:r w:rsidR="00F9016C" w:rsidRPr="00A96C8D">
              <w:rPr>
                <w:sz w:val="24"/>
                <w:szCs w:val="24"/>
                <w:lang w:val="lv-LV"/>
              </w:rPr>
              <w:t xml:space="preserve"> ja </w:t>
            </w:r>
            <w:r w:rsidR="001F7AAD" w:rsidRPr="006559F5">
              <w:rPr>
                <w:sz w:val="24"/>
                <w:szCs w:val="24"/>
                <w:lang w:val="lv-LV"/>
              </w:rPr>
              <w:t xml:space="preserve">šādas izmaksas </w:t>
            </w:r>
            <w:r w:rsidR="00F9016C" w:rsidRPr="00A14369">
              <w:rPr>
                <w:sz w:val="24"/>
                <w:szCs w:val="24"/>
                <w:lang w:val="lv-LV"/>
              </w:rPr>
              <w:t>tiek sniegt</w:t>
            </w:r>
            <w:r w:rsidR="001F7AAD" w:rsidRPr="006559F5">
              <w:rPr>
                <w:sz w:val="24"/>
                <w:szCs w:val="24"/>
                <w:lang w:val="lv-LV"/>
              </w:rPr>
              <w:t>a</w:t>
            </w:r>
            <w:r w:rsidR="00F9016C" w:rsidRPr="00A14369">
              <w:rPr>
                <w:sz w:val="24"/>
                <w:szCs w:val="24"/>
                <w:lang w:val="lv-LV"/>
              </w:rPr>
              <w:t xml:space="preserve">s kopā </w:t>
            </w:r>
            <w:r w:rsidR="00F9016C" w:rsidRPr="006559F5">
              <w:rPr>
                <w:sz w:val="24"/>
                <w:szCs w:val="24"/>
                <w:lang w:val="lv-LV"/>
              </w:rPr>
              <w:t>ar E</w:t>
            </w:r>
            <w:r w:rsidR="006559F5" w:rsidRPr="006559F5">
              <w:rPr>
                <w:sz w:val="24"/>
                <w:szCs w:val="24"/>
                <w:lang w:val="lv-LV"/>
              </w:rPr>
              <w:t>iropas Reģionālās</w:t>
            </w:r>
            <w:r w:rsidR="006559F5">
              <w:rPr>
                <w:sz w:val="24"/>
                <w:szCs w:val="24"/>
                <w:lang w:val="lv-LV"/>
              </w:rPr>
              <w:t xml:space="preserve"> attīstības fonda</w:t>
            </w:r>
            <w:r w:rsidR="00F9016C" w:rsidRPr="00A14369">
              <w:rPr>
                <w:sz w:val="24"/>
                <w:szCs w:val="24"/>
                <w:lang w:val="lv-LV"/>
              </w:rPr>
              <w:t xml:space="preserve"> finansētu aizdevumu, kas šajā gadījumā ir mezanīna aizdevums</w:t>
            </w:r>
            <w:r w:rsidR="001F7AAD" w:rsidRPr="006559F5">
              <w:rPr>
                <w:sz w:val="24"/>
                <w:szCs w:val="24"/>
                <w:lang w:val="lv-LV"/>
              </w:rPr>
              <w:t xml:space="preserve"> (darījumu strukturēšanas izmaksas un ķīlas reģistrācijas izmaksas ir tieši attiecināmas uz izsniegto mezanīna aizdevumu un šāds atbalsts nevar tikt saņemts, ja netiek piešķirts mezanīna aizdevums).</w:t>
            </w:r>
            <w:r w:rsidR="00F9016C" w:rsidRPr="00A14369">
              <w:rPr>
                <w:sz w:val="24"/>
                <w:szCs w:val="24"/>
                <w:lang w:val="lv-LV"/>
              </w:rPr>
              <w:t xml:space="preserve"> </w:t>
            </w:r>
            <w:r w:rsidR="006559F5">
              <w:rPr>
                <w:sz w:val="24"/>
                <w:szCs w:val="24"/>
                <w:lang w:val="lv-LV"/>
              </w:rPr>
              <w:t>M</w:t>
            </w:r>
            <w:r w:rsidR="006559F5" w:rsidRPr="006559F5">
              <w:rPr>
                <w:sz w:val="24"/>
                <w:szCs w:val="24"/>
                <w:lang w:val="lv-LV"/>
              </w:rPr>
              <w:t xml:space="preserve">aksimālais </w:t>
            </w:r>
            <w:r w:rsidR="006559F5">
              <w:rPr>
                <w:sz w:val="24"/>
                <w:szCs w:val="24"/>
                <w:lang w:val="lv-LV"/>
              </w:rPr>
              <w:t>a</w:t>
            </w:r>
            <w:r w:rsidR="001F7AAD" w:rsidRPr="006559F5">
              <w:rPr>
                <w:sz w:val="24"/>
                <w:szCs w:val="24"/>
                <w:lang w:val="lv-LV"/>
              </w:rPr>
              <w:t xml:space="preserve">tbalsta </w:t>
            </w:r>
            <w:r w:rsidR="006559F5">
              <w:rPr>
                <w:sz w:val="24"/>
                <w:szCs w:val="24"/>
                <w:lang w:val="lv-LV"/>
              </w:rPr>
              <w:t xml:space="preserve">apmērs </w:t>
            </w:r>
            <w:r w:rsidR="001F7AAD" w:rsidRPr="006559F5">
              <w:rPr>
                <w:sz w:val="24"/>
                <w:szCs w:val="24"/>
                <w:lang w:val="lv-LV"/>
              </w:rPr>
              <w:t>d</w:t>
            </w:r>
            <w:r w:rsidR="00F9016C" w:rsidRPr="00A14369">
              <w:rPr>
                <w:sz w:val="24"/>
                <w:szCs w:val="24"/>
                <w:lang w:val="lv-LV"/>
              </w:rPr>
              <w:t xml:space="preserve">arījumu strukturēšanas un ķīlas reģistrācijas </w:t>
            </w:r>
            <w:r w:rsidR="005B6095" w:rsidRPr="00A96C8D">
              <w:rPr>
                <w:sz w:val="24"/>
                <w:szCs w:val="24"/>
                <w:lang w:val="lv-LV"/>
              </w:rPr>
              <w:t>izmaks</w:t>
            </w:r>
            <w:r w:rsidR="001F7AAD" w:rsidRPr="006559F5">
              <w:rPr>
                <w:sz w:val="24"/>
                <w:szCs w:val="24"/>
                <w:lang w:val="lv-LV"/>
              </w:rPr>
              <w:t>ām ir ierobežots, un tas</w:t>
            </w:r>
            <w:r w:rsidR="005B6095" w:rsidRPr="00A14369">
              <w:rPr>
                <w:sz w:val="24"/>
                <w:szCs w:val="24"/>
                <w:lang w:val="lv-LV"/>
              </w:rPr>
              <w:t xml:space="preserve"> nepārsnie</w:t>
            </w:r>
            <w:r w:rsidR="00F9522F" w:rsidRPr="006559F5">
              <w:rPr>
                <w:sz w:val="24"/>
                <w:szCs w:val="24"/>
                <w:lang w:val="lv-LV"/>
              </w:rPr>
              <w:t>gs</w:t>
            </w:r>
            <w:r w:rsidR="005B6095" w:rsidRPr="00A14369">
              <w:rPr>
                <w:sz w:val="24"/>
                <w:szCs w:val="24"/>
                <w:lang w:val="lv-LV"/>
              </w:rPr>
              <w:t xml:space="preserve"> kopējos saimnieciskā darbības veicēja procentu likmes maksājumus par šo noteikumu ietvaros </w:t>
            </w:r>
            <w:r w:rsidR="006559F5">
              <w:rPr>
                <w:sz w:val="24"/>
                <w:szCs w:val="24"/>
                <w:lang w:val="lv-LV"/>
              </w:rPr>
              <w:t>saņemto</w:t>
            </w:r>
            <w:r w:rsidR="005B6095" w:rsidRPr="00A14369">
              <w:rPr>
                <w:sz w:val="24"/>
                <w:szCs w:val="24"/>
                <w:lang w:val="lv-LV"/>
              </w:rPr>
              <w:t xml:space="preserve"> mezanīna aizdevum</w:t>
            </w:r>
            <w:r w:rsidR="00F9016C" w:rsidRPr="00A14369">
              <w:rPr>
                <w:sz w:val="24"/>
                <w:szCs w:val="24"/>
                <w:lang w:val="lv-LV"/>
              </w:rPr>
              <w:t>u</w:t>
            </w:r>
            <w:r w:rsidR="005B6095" w:rsidRPr="00A14369">
              <w:rPr>
                <w:sz w:val="24"/>
                <w:szCs w:val="24"/>
                <w:lang w:val="lv-LV"/>
              </w:rPr>
              <w:t xml:space="preserve">. Līdzīga pieeja </w:t>
            </w:r>
            <w:r w:rsidR="00F9016C" w:rsidRPr="00A14369">
              <w:rPr>
                <w:sz w:val="24"/>
                <w:szCs w:val="24"/>
                <w:lang w:val="lv-LV"/>
              </w:rPr>
              <w:lastRenderedPageBreak/>
              <w:t>1.3.1.2.aktivitātes „Atbalsts pašnodarbinātības un uzņēmējdarbības uzsākšanai” (turpmāk – 1.3.1.2.aktivitāte)</w:t>
            </w:r>
            <w:r w:rsidR="001F7AAD" w:rsidRPr="006559F5">
              <w:rPr>
                <w:sz w:val="24"/>
                <w:szCs w:val="24"/>
                <w:lang w:val="lv-LV"/>
              </w:rPr>
              <w:t xml:space="preserve"> </w:t>
            </w:r>
            <w:r w:rsidR="00F9016C" w:rsidRPr="00A14369">
              <w:rPr>
                <w:sz w:val="24"/>
                <w:szCs w:val="24"/>
                <w:lang w:val="lv-LV"/>
              </w:rPr>
              <w:t>ietvaros</w:t>
            </w:r>
            <w:r w:rsidR="00F9016C" w:rsidRPr="00A96C8D">
              <w:rPr>
                <w:sz w:val="24"/>
                <w:szCs w:val="24"/>
                <w:lang w:val="lv-LV"/>
              </w:rPr>
              <w:t xml:space="preserve"> </w:t>
            </w:r>
            <w:r w:rsidR="005B6095" w:rsidRPr="00467343">
              <w:rPr>
                <w:sz w:val="24"/>
                <w:szCs w:val="24"/>
                <w:lang w:val="lv-LV"/>
              </w:rPr>
              <w:t xml:space="preserve">ir saskaņota ar Eiropas Komisijas Nodarbinātības, sociālo lietu un iekļautības ģenerāldirektorātu (turpmāk – DG EMPL), </w:t>
            </w:r>
            <w:r w:rsidR="00E00218">
              <w:rPr>
                <w:sz w:val="24"/>
                <w:szCs w:val="24"/>
                <w:lang w:val="lv-LV"/>
              </w:rPr>
              <w:t xml:space="preserve">proti, sākotnēji </w:t>
            </w:r>
            <w:r w:rsidR="005B6095" w:rsidRPr="00A14369">
              <w:rPr>
                <w:sz w:val="24"/>
                <w:szCs w:val="24"/>
                <w:lang w:val="lv-LV"/>
              </w:rPr>
              <w:t>DG EMPL norādī</w:t>
            </w:r>
            <w:r w:rsidR="00F9016C" w:rsidRPr="00A14369">
              <w:rPr>
                <w:sz w:val="24"/>
                <w:szCs w:val="24"/>
                <w:lang w:val="lv-LV"/>
              </w:rPr>
              <w:t>j</w:t>
            </w:r>
            <w:r w:rsidR="005B6095" w:rsidRPr="00A14369">
              <w:rPr>
                <w:sz w:val="24"/>
                <w:szCs w:val="24"/>
                <w:lang w:val="lv-LV"/>
              </w:rPr>
              <w:t xml:space="preserve">a uz neattiecināmajām izmaksām, attiecīgi </w:t>
            </w:r>
            <w:r w:rsidR="00F9522F" w:rsidRPr="006559F5">
              <w:rPr>
                <w:sz w:val="24"/>
                <w:szCs w:val="24"/>
                <w:lang w:val="lv-LV"/>
              </w:rPr>
              <w:t xml:space="preserve">nosakot </w:t>
            </w:r>
            <w:r w:rsidR="005B6095" w:rsidRPr="00A14369">
              <w:rPr>
                <w:sz w:val="24"/>
                <w:szCs w:val="24"/>
                <w:lang w:val="lv-LV"/>
              </w:rPr>
              <w:t xml:space="preserve">finanšu korekciju </w:t>
            </w:r>
            <w:r w:rsidR="00F9016C" w:rsidRPr="00A14369">
              <w:rPr>
                <w:sz w:val="24"/>
                <w:szCs w:val="24"/>
                <w:lang w:val="lv-LV"/>
              </w:rPr>
              <w:t>1.3.1.2.aktivitātes</w:t>
            </w:r>
            <w:r w:rsidR="005B6095" w:rsidRPr="00A14369">
              <w:rPr>
                <w:sz w:val="24"/>
                <w:szCs w:val="24"/>
                <w:lang w:val="lv-LV"/>
              </w:rPr>
              <w:t xml:space="preserve"> ietvaros saistī</w:t>
            </w:r>
            <w:r w:rsidR="005B6095" w:rsidRPr="00A96C8D">
              <w:rPr>
                <w:sz w:val="24"/>
                <w:szCs w:val="24"/>
                <w:lang w:val="lv-LV"/>
              </w:rPr>
              <w:t>bā ar granta aizdevuma dzēšanai izmaksām</w:t>
            </w:r>
            <w:r w:rsidR="00F9016C" w:rsidRPr="00A14369">
              <w:rPr>
                <w:sz w:val="24"/>
                <w:szCs w:val="24"/>
                <w:lang w:val="lv-LV"/>
              </w:rPr>
              <w:t xml:space="preserve">, savukārt </w:t>
            </w:r>
            <w:r w:rsidR="005B6095" w:rsidRPr="00A14369">
              <w:rPr>
                <w:sz w:val="24"/>
                <w:szCs w:val="24"/>
                <w:lang w:val="lv-LV"/>
              </w:rPr>
              <w:t>Latvijas puse norādīja, ka</w:t>
            </w:r>
            <w:r w:rsidR="00F9016C" w:rsidRPr="00A14369">
              <w:rPr>
                <w:sz w:val="24"/>
                <w:szCs w:val="24"/>
                <w:lang w:val="lv-LV"/>
              </w:rPr>
              <w:t>,</w:t>
            </w:r>
            <w:r w:rsidR="005B6095" w:rsidRPr="00A14369">
              <w:rPr>
                <w:sz w:val="24"/>
                <w:szCs w:val="24"/>
                <w:lang w:val="lv-LV"/>
              </w:rPr>
              <w:t xml:space="preserve"> tā kā saskaņā ar Regulas Nr.1081/2006 11.panta 1.punktu attiecināmās izmaksas va</w:t>
            </w:r>
            <w:r w:rsidR="00E00218">
              <w:rPr>
                <w:sz w:val="24"/>
                <w:szCs w:val="24"/>
                <w:lang w:val="lv-LV"/>
              </w:rPr>
              <w:t>r būt procentu likmes subsīdija</w:t>
            </w:r>
            <w:r w:rsidR="005B6095" w:rsidRPr="00A14369">
              <w:rPr>
                <w:sz w:val="24"/>
                <w:szCs w:val="24"/>
                <w:lang w:val="lv-LV"/>
              </w:rPr>
              <w:t xml:space="preserve">, tad tā </w:t>
            </w:r>
            <w:proofErr w:type="spellStart"/>
            <w:r w:rsidR="005B6095" w:rsidRPr="00A14369">
              <w:rPr>
                <w:sz w:val="24"/>
                <w:szCs w:val="24"/>
                <w:lang w:val="lv-LV"/>
              </w:rPr>
              <w:t>retroaktīvi</w:t>
            </w:r>
            <w:proofErr w:type="spellEnd"/>
            <w:r w:rsidR="005B6095" w:rsidRPr="00A14369">
              <w:rPr>
                <w:sz w:val="24"/>
                <w:szCs w:val="24"/>
                <w:lang w:val="lv-LV"/>
              </w:rPr>
              <w:t xml:space="preserve"> veica pārrēķinu granta aizdevumu dzēšanai pret procentu likmes subsīdiju (abām ir viens mērķis – samazināt finanšu instrumenta, t.i. aizdevuma, procentu maksājuma slogu aizdevuma saņēmējam) un lūdza DG EMPL iekļaut attiecināmo daļu 1.3.1.2.aktivitātes attiecināmajās izmaksās un to deklarēt. Ar</w:t>
            </w:r>
            <w:r w:rsidR="00555557" w:rsidRPr="006559F5">
              <w:rPr>
                <w:sz w:val="24"/>
                <w:szCs w:val="24"/>
                <w:lang w:val="lv-LV"/>
              </w:rPr>
              <w:t xml:space="preserve"> 2013.gada 2.augusta vēstuli DG </w:t>
            </w:r>
            <w:r w:rsidR="005B6095" w:rsidRPr="00A14369">
              <w:rPr>
                <w:sz w:val="24"/>
                <w:szCs w:val="24"/>
                <w:lang w:val="lv-LV"/>
              </w:rPr>
              <w:t>EMPL tam neiebilda.</w:t>
            </w:r>
            <w:r w:rsidR="002267E7" w:rsidRPr="00A14369">
              <w:rPr>
                <w:sz w:val="24"/>
                <w:szCs w:val="24"/>
                <w:lang w:val="lv-LV"/>
              </w:rPr>
              <w:t xml:space="preserve"> </w:t>
            </w:r>
            <w:r w:rsidR="005D1195" w:rsidRPr="00A14369">
              <w:rPr>
                <w:sz w:val="24"/>
                <w:szCs w:val="24"/>
                <w:lang w:val="lv-LV"/>
              </w:rPr>
              <w:t>Minētais atbalsts tiks</w:t>
            </w:r>
            <w:r w:rsidR="00013B61" w:rsidRPr="00A14369">
              <w:rPr>
                <w:sz w:val="24"/>
                <w:szCs w:val="24"/>
                <w:lang w:val="lv-LV"/>
              </w:rPr>
              <w:t xml:space="preserve"> piešķirts kā </w:t>
            </w:r>
            <w:r w:rsidR="00013B61" w:rsidRPr="00A14369">
              <w:rPr>
                <w:i/>
                <w:sz w:val="24"/>
                <w:szCs w:val="24"/>
                <w:lang w:val="lv-LV"/>
              </w:rPr>
              <w:t xml:space="preserve">de minimis </w:t>
            </w:r>
            <w:r w:rsidR="00013B61" w:rsidRPr="00A14369">
              <w:rPr>
                <w:sz w:val="24"/>
                <w:szCs w:val="24"/>
                <w:lang w:val="lv-LV"/>
              </w:rPr>
              <w:t xml:space="preserve">atbalsts saskaņā ar </w:t>
            </w:r>
            <w:r w:rsidR="00E00218">
              <w:rPr>
                <w:sz w:val="24"/>
                <w:szCs w:val="24"/>
                <w:lang w:val="lv-LV"/>
              </w:rPr>
              <w:t>Komisijas r</w:t>
            </w:r>
            <w:r w:rsidR="00013B61" w:rsidRPr="00A14369">
              <w:rPr>
                <w:sz w:val="24"/>
                <w:szCs w:val="24"/>
                <w:lang w:val="lv-LV"/>
              </w:rPr>
              <w:t>egulu Nr.1407/2013.</w:t>
            </w:r>
            <w:r w:rsidR="00ED18C9">
              <w:rPr>
                <w:sz w:val="24"/>
                <w:szCs w:val="24"/>
                <w:lang w:val="lv-LV"/>
              </w:rPr>
              <w:t xml:space="preserve"> </w:t>
            </w:r>
          </w:p>
          <w:p w:rsidR="00531AFF" w:rsidRPr="003E5A6D" w:rsidRDefault="00D62E09" w:rsidP="00531AFF">
            <w:pPr>
              <w:ind w:firstLine="709"/>
              <w:jc w:val="both"/>
              <w:rPr>
                <w:sz w:val="24"/>
                <w:szCs w:val="24"/>
                <w:lang w:val="lv-LV"/>
              </w:rPr>
            </w:pPr>
            <w:r w:rsidRPr="003E5A6D">
              <w:rPr>
                <w:sz w:val="24"/>
                <w:szCs w:val="24"/>
                <w:lang w:val="lv-LV"/>
              </w:rPr>
              <w:t xml:space="preserve">MK noteikumos Nr.613 </w:t>
            </w:r>
            <w:r w:rsidR="00165747" w:rsidRPr="003E5A6D">
              <w:rPr>
                <w:sz w:val="24"/>
                <w:szCs w:val="24"/>
                <w:lang w:val="lv-LV"/>
              </w:rPr>
              <w:t xml:space="preserve">viena </w:t>
            </w:r>
            <w:r w:rsidR="00E018E1" w:rsidRPr="003E5A6D">
              <w:rPr>
                <w:sz w:val="24"/>
                <w:szCs w:val="24"/>
                <w:lang w:val="lv-LV"/>
              </w:rPr>
              <w:t xml:space="preserve">investīciju </w:t>
            </w:r>
            <w:r w:rsidR="00165747" w:rsidRPr="003E5A6D">
              <w:rPr>
                <w:sz w:val="24"/>
                <w:szCs w:val="24"/>
                <w:lang w:val="lv-LV"/>
              </w:rPr>
              <w:t xml:space="preserve">aizdevuma maksimālais apmērs ir noteikts 996 011 </w:t>
            </w:r>
            <w:r w:rsidR="00165747" w:rsidRPr="003E5A6D">
              <w:rPr>
                <w:i/>
                <w:sz w:val="24"/>
                <w:szCs w:val="24"/>
                <w:lang w:val="lv-LV"/>
              </w:rPr>
              <w:t>euro</w:t>
            </w:r>
            <w:r w:rsidR="00782847" w:rsidRPr="003E5A6D">
              <w:rPr>
                <w:sz w:val="24"/>
                <w:szCs w:val="24"/>
                <w:lang w:val="lv-LV"/>
              </w:rPr>
              <w:t xml:space="preserve"> un tas</w:t>
            </w:r>
            <w:r w:rsidR="00165747" w:rsidRPr="003E5A6D">
              <w:rPr>
                <w:sz w:val="24"/>
                <w:szCs w:val="24"/>
                <w:lang w:val="lv-LV"/>
              </w:rPr>
              <w:t xml:space="preserve"> nepārsniedz 40 % no ieguldījumu projekta attiecināmajām izmaksām (MK noteikumu Nr.613 17.punkts). </w:t>
            </w:r>
            <w:r w:rsidR="00071082" w:rsidRPr="003E5A6D">
              <w:rPr>
                <w:sz w:val="24"/>
                <w:szCs w:val="24"/>
                <w:lang w:val="lv-LV"/>
              </w:rPr>
              <w:t>L</w:t>
            </w:r>
            <w:r w:rsidR="008B5EFB" w:rsidRPr="003E5A6D">
              <w:rPr>
                <w:sz w:val="24"/>
                <w:szCs w:val="24"/>
                <w:lang w:val="lv-LV"/>
              </w:rPr>
              <w:t xml:space="preserve">īdzšinējais maksimālais </w:t>
            </w:r>
            <w:r w:rsidR="00FD5F34" w:rsidRPr="003E5A6D">
              <w:rPr>
                <w:sz w:val="24"/>
                <w:szCs w:val="24"/>
                <w:lang w:val="lv-LV"/>
              </w:rPr>
              <w:t xml:space="preserve">investīciju </w:t>
            </w:r>
            <w:r w:rsidR="008B5EFB" w:rsidRPr="003E5A6D">
              <w:rPr>
                <w:sz w:val="24"/>
                <w:szCs w:val="24"/>
                <w:lang w:val="lv-LV"/>
              </w:rPr>
              <w:t xml:space="preserve">aizdevumu apmērs nav pietiekošs, lai nodrošinātu liela apmēra darījumu strukturēšanu un </w:t>
            </w:r>
            <w:r w:rsidR="00762FC8" w:rsidRPr="003E5A6D">
              <w:rPr>
                <w:sz w:val="24"/>
                <w:szCs w:val="24"/>
                <w:lang w:val="lv-LV"/>
              </w:rPr>
              <w:t xml:space="preserve">sniegtu atbalstu </w:t>
            </w:r>
            <w:r w:rsidR="008B5EFB" w:rsidRPr="003E5A6D">
              <w:rPr>
                <w:sz w:val="24"/>
                <w:szCs w:val="24"/>
                <w:lang w:val="lv-LV"/>
              </w:rPr>
              <w:t>apstrādes nozarē strādājoš</w:t>
            </w:r>
            <w:r w:rsidR="00762FC8" w:rsidRPr="003E5A6D">
              <w:rPr>
                <w:sz w:val="24"/>
                <w:szCs w:val="24"/>
                <w:lang w:val="lv-LV"/>
              </w:rPr>
              <w:t>iem uzņēmumiem finansiāli ietilpīgāku</w:t>
            </w:r>
            <w:r w:rsidR="008B5EFB" w:rsidRPr="003E5A6D">
              <w:rPr>
                <w:sz w:val="24"/>
                <w:szCs w:val="24"/>
                <w:lang w:val="lv-LV"/>
              </w:rPr>
              <w:t xml:space="preserve"> projektu īstenošan</w:t>
            </w:r>
            <w:r w:rsidR="00572180" w:rsidRPr="003E5A6D">
              <w:rPr>
                <w:sz w:val="24"/>
                <w:szCs w:val="24"/>
                <w:lang w:val="lv-LV"/>
              </w:rPr>
              <w:t>ai.</w:t>
            </w:r>
            <w:r w:rsidR="008B5EFB" w:rsidRPr="003E5A6D">
              <w:rPr>
                <w:sz w:val="24"/>
                <w:szCs w:val="24"/>
                <w:lang w:val="lv-LV"/>
              </w:rPr>
              <w:t xml:space="preserve"> </w:t>
            </w:r>
          </w:p>
          <w:p w:rsidR="00531AFF" w:rsidRPr="003E5A6D" w:rsidRDefault="008B5EFB" w:rsidP="00782847">
            <w:pPr>
              <w:ind w:firstLine="709"/>
              <w:jc w:val="both"/>
              <w:rPr>
                <w:sz w:val="24"/>
                <w:szCs w:val="24"/>
                <w:lang w:val="lv-LV"/>
              </w:rPr>
            </w:pPr>
            <w:r w:rsidRPr="003E5A6D">
              <w:rPr>
                <w:sz w:val="24"/>
                <w:szCs w:val="24"/>
                <w:lang w:val="lv-LV"/>
              </w:rPr>
              <w:t xml:space="preserve">Apstrādes rūpniecība ir </w:t>
            </w:r>
            <w:r w:rsidR="00531AFF" w:rsidRPr="003E5A6D">
              <w:rPr>
                <w:sz w:val="24"/>
                <w:szCs w:val="24"/>
                <w:lang w:val="lv-LV"/>
              </w:rPr>
              <w:t>viena no nozīmīgākajām tautsaimniecības nozarēm</w:t>
            </w:r>
            <w:r w:rsidR="00782847" w:rsidRPr="003E5A6D">
              <w:rPr>
                <w:sz w:val="24"/>
                <w:szCs w:val="24"/>
                <w:lang w:val="lv-LV"/>
              </w:rPr>
              <w:t xml:space="preserve"> (īpatsvars iekšzemes kopprodukta struktūrā 2012.gadā sastāda 14,5%)</w:t>
            </w:r>
            <w:r w:rsidR="00531AFF" w:rsidRPr="003E5A6D">
              <w:rPr>
                <w:sz w:val="24"/>
                <w:szCs w:val="24"/>
                <w:lang w:val="lv-LV"/>
              </w:rPr>
              <w:t xml:space="preserve">. Apstrādes rūpniecībā strādājošo uzņēmumu apgrozījuma pieaugumu un uzņēmumu attīstību ietekmē tā konkurētspēja iekšējā un ārējā tirgū, tādejādi iespējas saņemt mezanīna aizdevumu </w:t>
            </w:r>
            <w:r w:rsidR="00762FC8" w:rsidRPr="003E5A6D">
              <w:rPr>
                <w:sz w:val="24"/>
                <w:szCs w:val="24"/>
                <w:lang w:val="lv-LV"/>
              </w:rPr>
              <w:t>finansiāli ietilpīgu</w:t>
            </w:r>
            <w:r w:rsidR="00531AFF" w:rsidRPr="003E5A6D">
              <w:rPr>
                <w:sz w:val="24"/>
                <w:szCs w:val="24"/>
                <w:lang w:val="lv-LV"/>
              </w:rPr>
              <w:t xml:space="preserve"> investīciju projekt</w:t>
            </w:r>
            <w:r w:rsidR="00FD5F34" w:rsidRPr="003E5A6D">
              <w:rPr>
                <w:sz w:val="24"/>
                <w:szCs w:val="24"/>
                <w:lang w:val="lv-LV"/>
              </w:rPr>
              <w:t>u</w:t>
            </w:r>
            <w:r w:rsidR="00531AFF" w:rsidRPr="003E5A6D">
              <w:rPr>
                <w:sz w:val="24"/>
                <w:szCs w:val="24"/>
                <w:lang w:val="lv-LV"/>
              </w:rPr>
              <w:t xml:space="preserve"> īstenošanai ir būtiski, lai nodrošinātu pietiekamu finansējumu uzņēmējdarbības attīstīšanai. </w:t>
            </w:r>
            <w:r w:rsidR="00071082" w:rsidRPr="003E5A6D">
              <w:rPr>
                <w:sz w:val="24"/>
                <w:szCs w:val="24"/>
                <w:lang w:val="lv-LV"/>
              </w:rPr>
              <w:t>N</w:t>
            </w:r>
            <w:r w:rsidRPr="003E5A6D">
              <w:rPr>
                <w:sz w:val="24"/>
                <w:szCs w:val="24"/>
                <w:lang w:val="lv-LV"/>
              </w:rPr>
              <w:t xml:space="preserve">oteikumu projekts paredz līdzšinējo 996 011 </w:t>
            </w:r>
            <w:r w:rsidRPr="003E5A6D">
              <w:rPr>
                <w:i/>
                <w:sz w:val="24"/>
                <w:szCs w:val="24"/>
                <w:lang w:val="lv-LV"/>
              </w:rPr>
              <w:t xml:space="preserve">euro </w:t>
            </w:r>
            <w:r w:rsidRPr="003E5A6D">
              <w:rPr>
                <w:sz w:val="24"/>
                <w:szCs w:val="24"/>
                <w:lang w:val="lv-LV"/>
              </w:rPr>
              <w:t xml:space="preserve">vietā noteikt maksimālo investīciju aizdevumu apmēru </w:t>
            </w:r>
            <w:r w:rsidR="00071082" w:rsidRPr="003E5A6D">
              <w:rPr>
                <w:sz w:val="24"/>
                <w:szCs w:val="24"/>
                <w:lang w:val="lv-LV"/>
              </w:rPr>
              <w:t>5</w:t>
            </w:r>
            <w:r w:rsidRPr="003E5A6D">
              <w:rPr>
                <w:sz w:val="24"/>
                <w:szCs w:val="24"/>
                <w:lang w:val="lv-LV"/>
              </w:rPr>
              <w:t xml:space="preserve"> 000 000 </w:t>
            </w:r>
            <w:r w:rsidRPr="003E5A6D">
              <w:rPr>
                <w:i/>
                <w:sz w:val="24"/>
                <w:szCs w:val="24"/>
                <w:lang w:val="lv-LV"/>
              </w:rPr>
              <w:t>euro</w:t>
            </w:r>
            <w:r w:rsidR="00531AFF" w:rsidRPr="003E5A6D">
              <w:rPr>
                <w:sz w:val="24"/>
                <w:szCs w:val="24"/>
                <w:lang w:val="lv-LV"/>
              </w:rPr>
              <w:t xml:space="preserve"> apmērā</w:t>
            </w:r>
            <w:r w:rsidR="00071082" w:rsidRPr="003E5A6D">
              <w:rPr>
                <w:sz w:val="24"/>
                <w:szCs w:val="24"/>
                <w:lang w:val="lv-LV"/>
              </w:rPr>
              <w:t xml:space="preserve">. Lielāku investīciju aizdevumu strukturēšana sekmēs </w:t>
            </w:r>
            <w:r w:rsidR="008B56DF" w:rsidRPr="003E5A6D">
              <w:rPr>
                <w:sz w:val="24"/>
                <w:szCs w:val="24"/>
                <w:lang w:val="lv-LV"/>
              </w:rPr>
              <w:t xml:space="preserve">2.2.1.4.2.aktivitātē pieejamā </w:t>
            </w:r>
            <w:r w:rsidR="00071082" w:rsidRPr="003E5A6D">
              <w:rPr>
                <w:sz w:val="24"/>
                <w:szCs w:val="24"/>
                <w:lang w:val="lv-LV"/>
              </w:rPr>
              <w:t>finansējuma apguvi.</w:t>
            </w:r>
          </w:p>
          <w:p w:rsidR="003F2C34" w:rsidRPr="003E5A6D" w:rsidRDefault="00BC608E" w:rsidP="00E00218">
            <w:pPr>
              <w:ind w:firstLine="709"/>
              <w:jc w:val="both"/>
              <w:rPr>
                <w:sz w:val="24"/>
                <w:szCs w:val="24"/>
                <w:lang w:val="lv-LV"/>
              </w:rPr>
            </w:pPr>
            <w:r>
              <w:rPr>
                <w:sz w:val="24"/>
                <w:szCs w:val="24"/>
                <w:lang w:val="lv-LV"/>
              </w:rPr>
              <w:t xml:space="preserve">Lai veicinātu 2007.-2013.gada plānošanas perioda finansējuma apguvi, ir jāpaplašina potenciālo mezanīna aizdevumu saņēmēju loks, vienlaikus ievērojot </w:t>
            </w:r>
            <w:r w:rsidR="00E00218" w:rsidRPr="00E00218">
              <w:rPr>
                <w:sz w:val="24"/>
                <w:szCs w:val="24"/>
                <w:lang w:val="lv-LV"/>
              </w:rPr>
              <w:t xml:space="preserve">Komisijas </w:t>
            </w:r>
            <w:r w:rsidRPr="00E00218">
              <w:rPr>
                <w:sz w:val="24"/>
                <w:szCs w:val="24"/>
                <w:lang w:val="lv-LV"/>
              </w:rPr>
              <w:t>Regulā Nr.800/2008 ietvertos</w:t>
            </w:r>
            <w:r w:rsidR="00E00218">
              <w:rPr>
                <w:sz w:val="24"/>
                <w:szCs w:val="24"/>
                <w:lang w:val="lv-LV"/>
              </w:rPr>
              <w:t xml:space="preserve"> ierobežojumus. </w:t>
            </w:r>
            <w:r w:rsidR="002F741D">
              <w:rPr>
                <w:sz w:val="24"/>
                <w:szCs w:val="24"/>
                <w:lang w:val="lv-LV"/>
              </w:rPr>
              <w:t>Noteikumu</w:t>
            </w:r>
            <w:r w:rsidR="008B56DF" w:rsidRPr="003E5A6D">
              <w:rPr>
                <w:sz w:val="24"/>
                <w:szCs w:val="24"/>
                <w:lang w:val="lv-LV"/>
              </w:rPr>
              <w:t xml:space="preserve"> projekts paredz iespējas mezanīna investīciju aizdevumu saņemt </w:t>
            </w:r>
            <w:r w:rsidR="008B56DF" w:rsidRPr="00A14369">
              <w:rPr>
                <w:sz w:val="24"/>
                <w:szCs w:val="24"/>
                <w:lang w:val="lv-LV"/>
              </w:rPr>
              <w:t>tiem saimnieciskās darbības veicējiem, kas nodarbojas ar automobiļu un motociklu remontu</w:t>
            </w:r>
            <w:r w:rsidR="00013B61" w:rsidRPr="00A14369">
              <w:rPr>
                <w:sz w:val="24"/>
                <w:szCs w:val="24"/>
                <w:lang w:val="lv-LV"/>
              </w:rPr>
              <w:t xml:space="preserve"> </w:t>
            </w:r>
            <w:r w:rsidRPr="00A14369">
              <w:rPr>
                <w:sz w:val="24"/>
                <w:szCs w:val="24"/>
                <w:lang w:val="lv-LV"/>
              </w:rPr>
              <w:t>un</w:t>
            </w:r>
            <w:r w:rsidR="00013B61" w:rsidRPr="00A14369">
              <w:rPr>
                <w:sz w:val="24"/>
                <w:szCs w:val="24"/>
                <w:lang w:val="lv-LV"/>
              </w:rPr>
              <w:t xml:space="preserve"> datoru remontu</w:t>
            </w:r>
            <w:r w:rsidR="00BB0BAA" w:rsidRPr="00A14369">
              <w:rPr>
                <w:sz w:val="24"/>
                <w:szCs w:val="24"/>
                <w:lang w:val="lv-LV"/>
              </w:rPr>
              <w:t xml:space="preserve">. </w:t>
            </w:r>
            <w:r w:rsidR="009D0A96" w:rsidRPr="00A14369">
              <w:rPr>
                <w:sz w:val="24"/>
                <w:szCs w:val="24"/>
                <w:lang w:val="lv-LV"/>
              </w:rPr>
              <w:t>Grozījumi atbalstāmo nozaru</w:t>
            </w:r>
            <w:r w:rsidR="009D0A96" w:rsidRPr="009D0A96">
              <w:rPr>
                <w:sz w:val="24"/>
                <w:szCs w:val="24"/>
                <w:lang w:val="lv-LV"/>
              </w:rPr>
              <w:t xml:space="preserve"> un darbību sarakstā </w:t>
            </w:r>
            <w:r w:rsidR="009D0A96">
              <w:rPr>
                <w:sz w:val="24"/>
                <w:szCs w:val="24"/>
                <w:lang w:val="lv-LV"/>
              </w:rPr>
              <w:t>atbilst</w:t>
            </w:r>
            <w:r w:rsidR="009D0A96" w:rsidRPr="009D0A96">
              <w:rPr>
                <w:sz w:val="24"/>
                <w:szCs w:val="24"/>
                <w:lang w:val="lv-LV"/>
              </w:rPr>
              <w:t xml:space="preserve"> darbības programm</w:t>
            </w:r>
            <w:r w:rsidR="009D0A96">
              <w:rPr>
                <w:sz w:val="24"/>
                <w:szCs w:val="24"/>
                <w:lang w:val="lv-LV"/>
              </w:rPr>
              <w:t>ā</w:t>
            </w:r>
            <w:r w:rsidR="009D0A96" w:rsidRPr="009D0A96">
              <w:rPr>
                <w:sz w:val="24"/>
                <w:szCs w:val="24"/>
                <w:lang w:val="lv-LV"/>
              </w:rPr>
              <w:t xml:space="preserve"> „Uzņēmējdarbība un inovācijas” un Valsts stratēģisk</w:t>
            </w:r>
            <w:r w:rsidR="009D0A96">
              <w:rPr>
                <w:sz w:val="24"/>
                <w:szCs w:val="24"/>
                <w:lang w:val="lv-LV"/>
              </w:rPr>
              <w:t>ā</w:t>
            </w:r>
            <w:r w:rsidR="009D0A96" w:rsidRPr="009D0A96">
              <w:rPr>
                <w:sz w:val="24"/>
                <w:szCs w:val="24"/>
                <w:lang w:val="lv-LV"/>
              </w:rPr>
              <w:t xml:space="preserve"> ietvardokument</w:t>
            </w:r>
            <w:r w:rsidR="009D0A96">
              <w:rPr>
                <w:sz w:val="24"/>
                <w:szCs w:val="24"/>
                <w:lang w:val="lv-LV"/>
              </w:rPr>
              <w:t>ā</w:t>
            </w:r>
            <w:r w:rsidR="009D0A96" w:rsidRPr="009D0A96">
              <w:rPr>
                <w:sz w:val="24"/>
                <w:szCs w:val="24"/>
                <w:lang w:val="lv-LV"/>
              </w:rPr>
              <w:t xml:space="preserve"> 2007.-2013.gada periodam</w:t>
            </w:r>
            <w:r w:rsidR="009D0A96">
              <w:rPr>
                <w:sz w:val="24"/>
                <w:szCs w:val="24"/>
                <w:lang w:val="lv-LV"/>
              </w:rPr>
              <w:t xml:space="preserve"> </w:t>
            </w:r>
            <w:r w:rsidR="00E00218">
              <w:rPr>
                <w:sz w:val="24"/>
                <w:szCs w:val="24"/>
                <w:lang w:val="lv-LV"/>
              </w:rPr>
              <w:t xml:space="preserve">(turpmāk – VSID) </w:t>
            </w:r>
            <w:r w:rsidR="009D0A96">
              <w:rPr>
                <w:sz w:val="24"/>
                <w:szCs w:val="24"/>
                <w:lang w:val="lv-LV"/>
              </w:rPr>
              <w:t>noteiktajiem mērķiem</w:t>
            </w:r>
            <w:r w:rsidR="002F741D">
              <w:rPr>
                <w:sz w:val="24"/>
                <w:szCs w:val="24"/>
                <w:lang w:val="lv-LV"/>
              </w:rPr>
              <w:t xml:space="preserve"> un</w:t>
            </w:r>
            <w:r w:rsidR="009D0A96">
              <w:rPr>
                <w:sz w:val="24"/>
                <w:szCs w:val="24"/>
                <w:lang w:val="lv-LV"/>
              </w:rPr>
              <w:t xml:space="preserve"> nodrošin</w:t>
            </w:r>
            <w:r w:rsidR="002F741D">
              <w:rPr>
                <w:sz w:val="24"/>
                <w:szCs w:val="24"/>
                <w:lang w:val="lv-LV"/>
              </w:rPr>
              <w:t>a</w:t>
            </w:r>
            <w:r w:rsidR="009D0A96">
              <w:rPr>
                <w:sz w:val="24"/>
                <w:szCs w:val="24"/>
                <w:lang w:val="lv-LV"/>
              </w:rPr>
              <w:t xml:space="preserve"> </w:t>
            </w:r>
            <w:r w:rsidR="009D0A96" w:rsidRPr="009D0A96">
              <w:rPr>
                <w:sz w:val="24"/>
                <w:szCs w:val="24"/>
                <w:lang w:val="lv-LV"/>
              </w:rPr>
              <w:t>finansējuma pieejamības veicināšan</w:t>
            </w:r>
            <w:r w:rsidR="002F741D">
              <w:rPr>
                <w:sz w:val="24"/>
                <w:szCs w:val="24"/>
                <w:lang w:val="lv-LV"/>
              </w:rPr>
              <w:t>u</w:t>
            </w:r>
            <w:r w:rsidR="009D0A96" w:rsidRPr="009D0A96">
              <w:rPr>
                <w:sz w:val="24"/>
                <w:szCs w:val="24"/>
                <w:lang w:val="lv-LV"/>
              </w:rPr>
              <w:t xml:space="preserve"> komercdarbības attīstībai, </w:t>
            </w:r>
            <w:r w:rsidR="002F741D">
              <w:rPr>
                <w:sz w:val="24"/>
                <w:szCs w:val="24"/>
                <w:lang w:val="lv-LV"/>
              </w:rPr>
              <w:t>sniedz</w:t>
            </w:r>
            <w:r w:rsidR="009D0A96" w:rsidRPr="009D0A96">
              <w:rPr>
                <w:sz w:val="24"/>
                <w:szCs w:val="24"/>
                <w:lang w:val="lv-LV"/>
              </w:rPr>
              <w:t xml:space="preserve"> ieguldījum</w:t>
            </w:r>
            <w:r w:rsidR="002F741D">
              <w:rPr>
                <w:sz w:val="24"/>
                <w:szCs w:val="24"/>
                <w:lang w:val="lv-LV"/>
              </w:rPr>
              <w:t>u</w:t>
            </w:r>
            <w:r w:rsidR="009D0A96" w:rsidRPr="009D0A96">
              <w:rPr>
                <w:sz w:val="24"/>
                <w:szCs w:val="24"/>
                <w:lang w:val="lv-LV"/>
              </w:rPr>
              <w:t xml:space="preserve"> tautsaimniecības efektivitātes un konkurētspējas paaugstināšanai (VSID tematiskā ass Nr.2 „Konkurētspējas palielināšana un virzība uz zināšanu ietilpīgu ekonomiku”).</w:t>
            </w:r>
          </w:p>
          <w:p w:rsidR="003F2C34" w:rsidRPr="003E5A6D" w:rsidRDefault="00E00218" w:rsidP="00782847">
            <w:pPr>
              <w:ind w:firstLine="709"/>
              <w:jc w:val="both"/>
              <w:rPr>
                <w:sz w:val="24"/>
                <w:szCs w:val="24"/>
                <w:lang w:val="lv-LV"/>
              </w:rPr>
            </w:pPr>
            <w:r>
              <w:rPr>
                <w:sz w:val="24"/>
                <w:szCs w:val="24"/>
                <w:lang w:val="lv-LV"/>
              </w:rPr>
              <w:t>Komisijas r</w:t>
            </w:r>
            <w:r w:rsidR="00C26E37" w:rsidRPr="003E5A6D">
              <w:rPr>
                <w:sz w:val="24"/>
                <w:szCs w:val="24"/>
                <w:lang w:val="lv-LV"/>
              </w:rPr>
              <w:t>egulas Nr.800/2008 1.pants  neliedz investīciju aizdevumu sniegšanu augstāk minētajā</w:t>
            </w:r>
            <w:r w:rsidR="008B56DF" w:rsidRPr="003E5A6D">
              <w:rPr>
                <w:sz w:val="24"/>
                <w:szCs w:val="24"/>
                <w:lang w:val="lv-LV"/>
              </w:rPr>
              <w:t>m</w:t>
            </w:r>
            <w:r w:rsidR="00C26E37" w:rsidRPr="003E5A6D">
              <w:rPr>
                <w:sz w:val="24"/>
                <w:szCs w:val="24"/>
                <w:lang w:val="lv-LV"/>
              </w:rPr>
              <w:t xml:space="preserve"> nozarē</w:t>
            </w:r>
            <w:r w:rsidR="008B56DF" w:rsidRPr="003E5A6D">
              <w:rPr>
                <w:sz w:val="24"/>
                <w:szCs w:val="24"/>
                <w:lang w:val="lv-LV"/>
              </w:rPr>
              <w:t>m</w:t>
            </w:r>
            <w:r w:rsidR="00C26E37" w:rsidRPr="003E5A6D">
              <w:rPr>
                <w:sz w:val="24"/>
                <w:szCs w:val="24"/>
                <w:lang w:val="lv-LV"/>
              </w:rPr>
              <w:t xml:space="preserve"> </w:t>
            </w:r>
            <w:r w:rsidR="008B56DF" w:rsidRPr="003E5A6D">
              <w:rPr>
                <w:sz w:val="24"/>
                <w:szCs w:val="24"/>
                <w:lang w:val="lv-LV"/>
              </w:rPr>
              <w:t>un darbībām</w:t>
            </w:r>
            <w:r w:rsidR="00C26E37" w:rsidRPr="003E5A6D">
              <w:rPr>
                <w:sz w:val="24"/>
                <w:szCs w:val="24"/>
                <w:lang w:val="lv-LV"/>
              </w:rPr>
              <w:t xml:space="preserve">. Tāpat </w:t>
            </w:r>
            <w:r w:rsidR="00C26E37" w:rsidRPr="003E5A6D">
              <w:rPr>
                <w:sz w:val="24"/>
                <w:szCs w:val="24"/>
                <w:lang w:val="lv-LV"/>
              </w:rPr>
              <w:lastRenderedPageBreak/>
              <w:t xml:space="preserve">arī </w:t>
            </w:r>
            <w:r>
              <w:rPr>
                <w:sz w:val="24"/>
                <w:szCs w:val="24"/>
                <w:lang w:val="lv-LV"/>
              </w:rPr>
              <w:t>Komisijas r</w:t>
            </w:r>
            <w:r w:rsidR="00C26E37" w:rsidRPr="003E5A6D">
              <w:rPr>
                <w:sz w:val="24"/>
                <w:szCs w:val="24"/>
                <w:lang w:val="lv-LV"/>
              </w:rPr>
              <w:t>egulas Nr.800/2008 2.panta 10.punkts, kas sniedz „materiālo aktīvu” definīciju, un 2.panta 11.punkts, kas sniedz „nemateriālo aktīvu” definīciju, neierobežo investīciju aizdevumu sniegšanu augstāk minētajā</w:t>
            </w:r>
            <w:r w:rsidR="008B56DF" w:rsidRPr="003E5A6D">
              <w:rPr>
                <w:sz w:val="24"/>
                <w:szCs w:val="24"/>
                <w:lang w:val="lv-LV"/>
              </w:rPr>
              <w:t>m</w:t>
            </w:r>
            <w:r w:rsidR="00C26E37" w:rsidRPr="003E5A6D">
              <w:rPr>
                <w:sz w:val="24"/>
                <w:szCs w:val="24"/>
                <w:lang w:val="lv-LV"/>
              </w:rPr>
              <w:t xml:space="preserve"> nozarē</w:t>
            </w:r>
            <w:r w:rsidR="008B56DF" w:rsidRPr="003E5A6D">
              <w:rPr>
                <w:sz w:val="24"/>
                <w:szCs w:val="24"/>
                <w:lang w:val="lv-LV"/>
              </w:rPr>
              <w:t>m un darbībām</w:t>
            </w:r>
            <w:r w:rsidR="00C26E37" w:rsidRPr="003E5A6D">
              <w:rPr>
                <w:sz w:val="24"/>
                <w:szCs w:val="24"/>
                <w:lang w:val="lv-LV"/>
              </w:rPr>
              <w:t xml:space="preserve">. </w:t>
            </w:r>
          </w:p>
          <w:p w:rsidR="00374F73" w:rsidRPr="003E5A6D" w:rsidRDefault="003F2C34" w:rsidP="00074090">
            <w:pPr>
              <w:ind w:firstLine="709"/>
              <w:jc w:val="both"/>
              <w:rPr>
                <w:sz w:val="24"/>
                <w:szCs w:val="24"/>
                <w:lang w:val="lv-LV"/>
              </w:rPr>
            </w:pPr>
            <w:r w:rsidRPr="003E5A6D">
              <w:rPr>
                <w:sz w:val="24"/>
                <w:szCs w:val="24"/>
                <w:lang w:val="lv-LV"/>
              </w:rPr>
              <w:t xml:space="preserve">Atbilstoši MK noteikumu Nr.613 2.punktam mezanīna aizdevums netiek piešķirts apgrozāmo līdzekļu finansēšanai. EM veiktā tirgus nepilnību analīze identificē pastāvošu pieprasījumu pēc apgrozāmajiem līdzekļiem tirgū. Lai sniegtu iespējas </w:t>
            </w:r>
            <w:r w:rsidR="00646A6F" w:rsidRPr="003E5A6D">
              <w:rPr>
                <w:sz w:val="24"/>
                <w:szCs w:val="24"/>
                <w:lang w:val="lv-LV"/>
              </w:rPr>
              <w:t xml:space="preserve">saimnieciskās darbības veicējiem </w:t>
            </w:r>
            <w:r w:rsidRPr="003E5A6D">
              <w:rPr>
                <w:sz w:val="24"/>
                <w:szCs w:val="24"/>
                <w:lang w:val="lv-LV"/>
              </w:rPr>
              <w:t xml:space="preserve">apgrozāmos līdzekļus </w:t>
            </w:r>
            <w:r w:rsidR="00646A6F" w:rsidRPr="003E5A6D">
              <w:rPr>
                <w:sz w:val="24"/>
                <w:szCs w:val="24"/>
                <w:lang w:val="lv-LV"/>
              </w:rPr>
              <w:t xml:space="preserve">saņemt </w:t>
            </w:r>
            <w:r w:rsidRPr="003E5A6D">
              <w:rPr>
                <w:sz w:val="24"/>
                <w:szCs w:val="24"/>
                <w:lang w:val="lv-LV"/>
              </w:rPr>
              <w:t>situācijā, kad kredītiestādes vai tās meitas sabiedrības izsniegt</w:t>
            </w:r>
            <w:r w:rsidR="009F0FC9" w:rsidRPr="003E5A6D">
              <w:rPr>
                <w:sz w:val="24"/>
                <w:szCs w:val="24"/>
                <w:lang w:val="lv-LV"/>
              </w:rPr>
              <w:t>ai</w:t>
            </w:r>
            <w:r w:rsidRPr="003E5A6D">
              <w:rPr>
                <w:sz w:val="24"/>
                <w:szCs w:val="24"/>
                <w:lang w:val="lv-LV"/>
              </w:rPr>
              <w:t xml:space="preserve">s aizdevums apgrozāmo </w:t>
            </w:r>
            <w:r w:rsidRPr="00A14369">
              <w:rPr>
                <w:sz w:val="24"/>
                <w:szCs w:val="24"/>
                <w:lang w:val="lv-LV"/>
              </w:rPr>
              <w:t xml:space="preserve">līdzekļu finansēšanai nav pietiekošs </w:t>
            </w:r>
            <w:r w:rsidR="00646A6F" w:rsidRPr="00A14369">
              <w:rPr>
                <w:sz w:val="24"/>
                <w:szCs w:val="24"/>
                <w:lang w:val="lv-LV"/>
              </w:rPr>
              <w:t>biznesa idejas īstenošanai</w:t>
            </w:r>
            <w:r w:rsidRPr="00A14369">
              <w:rPr>
                <w:sz w:val="24"/>
                <w:szCs w:val="24"/>
                <w:lang w:val="lv-LV"/>
              </w:rPr>
              <w:t>,</w:t>
            </w:r>
            <w:r w:rsidR="009F0FC9" w:rsidRPr="00A14369">
              <w:rPr>
                <w:sz w:val="24"/>
                <w:szCs w:val="24"/>
                <w:lang w:val="lv-LV"/>
              </w:rPr>
              <w:t xml:space="preserve"> noteikumu projekts paredz, ka</w:t>
            </w:r>
            <w:r w:rsidR="00646A6F" w:rsidRPr="00A14369">
              <w:rPr>
                <w:sz w:val="24"/>
                <w:szCs w:val="24"/>
                <w:lang w:val="lv-LV"/>
              </w:rPr>
              <w:t xml:space="preserve"> </w:t>
            </w:r>
            <w:r w:rsidR="009F0FC9" w:rsidRPr="00A14369">
              <w:rPr>
                <w:sz w:val="24"/>
                <w:szCs w:val="24"/>
                <w:lang w:val="lv-LV"/>
              </w:rPr>
              <w:t xml:space="preserve">turpmāk </w:t>
            </w:r>
            <w:r w:rsidR="00646A6F" w:rsidRPr="00A14369">
              <w:rPr>
                <w:sz w:val="24"/>
                <w:szCs w:val="24"/>
                <w:lang w:val="lv-LV"/>
              </w:rPr>
              <w:t xml:space="preserve">mezanīna aizdevumu </w:t>
            </w:r>
            <w:r w:rsidR="00FD5F34" w:rsidRPr="00A14369">
              <w:rPr>
                <w:sz w:val="24"/>
                <w:szCs w:val="24"/>
                <w:lang w:val="lv-LV"/>
              </w:rPr>
              <w:t xml:space="preserve">saimnieciskās darbības veicēji </w:t>
            </w:r>
            <w:r w:rsidR="009F0FC9" w:rsidRPr="00A14369">
              <w:rPr>
                <w:sz w:val="24"/>
                <w:szCs w:val="24"/>
                <w:lang w:val="lv-LV"/>
              </w:rPr>
              <w:t xml:space="preserve">var </w:t>
            </w:r>
            <w:r w:rsidR="00646A6F" w:rsidRPr="00A14369">
              <w:rPr>
                <w:sz w:val="24"/>
                <w:szCs w:val="24"/>
                <w:lang w:val="lv-LV"/>
              </w:rPr>
              <w:t>saņemt arī apgrozāmo līdzekļu finansēšanai</w:t>
            </w:r>
            <w:r w:rsidR="00B80371" w:rsidRPr="00A14369">
              <w:t xml:space="preserve"> </w:t>
            </w:r>
            <w:r w:rsidR="00B80371" w:rsidRPr="00E00218">
              <w:rPr>
                <w:sz w:val="24"/>
                <w:szCs w:val="24"/>
                <w:lang w:val="lv-LV"/>
              </w:rPr>
              <w:t>tādām darbībām, kas ir saistītas ar jauna saimnieciskās darbības veicēja izveidi, esoša saimnieciskās darbības veicēja paplašināšanu, esoša saimnieciskās darbības veicēja produkcijas daudzveidošanu ar jauniem papildu produktiem vai saimnieciskās darbības veicēja vispārējā ražošanas procesa būtisku maiņu. Apgrozāmo līdzekļu aizdevumi tik</w:t>
            </w:r>
            <w:r w:rsidR="00B80371" w:rsidRPr="00A14369">
              <w:rPr>
                <w:sz w:val="24"/>
                <w:szCs w:val="24"/>
                <w:lang w:val="lv-LV"/>
              </w:rPr>
              <w:t>s sniegti tikai tādām darbībām, ko LGA ir atzinusi par ekonomiski dzīvotspējīgām</w:t>
            </w:r>
            <w:r w:rsidR="00646A6F" w:rsidRPr="00A14369">
              <w:rPr>
                <w:sz w:val="24"/>
                <w:szCs w:val="24"/>
                <w:lang w:val="lv-LV"/>
              </w:rPr>
              <w:t xml:space="preserve">. Atbalsts apgrozāmo līdzekļu finansēšanai tiks piešķirts </w:t>
            </w:r>
            <w:r w:rsidR="00416A31" w:rsidRPr="00A14369">
              <w:rPr>
                <w:sz w:val="24"/>
                <w:szCs w:val="24"/>
                <w:lang w:val="lv-LV"/>
              </w:rPr>
              <w:t xml:space="preserve">kā </w:t>
            </w:r>
            <w:r w:rsidR="00416A31" w:rsidRPr="00A14369">
              <w:rPr>
                <w:i/>
                <w:sz w:val="24"/>
                <w:szCs w:val="24"/>
                <w:lang w:val="lv-LV"/>
              </w:rPr>
              <w:t>de minimis</w:t>
            </w:r>
            <w:r w:rsidR="00416A31" w:rsidRPr="00A14369">
              <w:rPr>
                <w:sz w:val="24"/>
                <w:szCs w:val="24"/>
                <w:lang w:val="lv-LV"/>
              </w:rPr>
              <w:t xml:space="preserve"> atbalsts </w:t>
            </w:r>
            <w:r w:rsidR="00646A6F" w:rsidRPr="00A14369">
              <w:rPr>
                <w:sz w:val="24"/>
                <w:szCs w:val="24"/>
                <w:lang w:val="lv-LV"/>
              </w:rPr>
              <w:t>saskaņā ar</w:t>
            </w:r>
            <w:r w:rsidR="00E00218">
              <w:rPr>
                <w:sz w:val="24"/>
                <w:szCs w:val="24"/>
                <w:lang w:val="lv-LV"/>
              </w:rPr>
              <w:t xml:space="preserve"> Komisijas r</w:t>
            </w:r>
            <w:r w:rsidR="00646A6F" w:rsidRPr="00A14369">
              <w:rPr>
                <w:sz w:val="24"/>
                <w:szCs w:val="24"/>
                <w:lang w:val="lv-LV"/>
              </w:rPr>
              <w:t>egulu Nr.1407/2013</w:t>
            </w:r>
            <w:r w:rsidR="00FD5F34" w:rsidRPr="00A14369">
              <w:rPr>
                <w:sz w:val="24"/>
                <w:szCs w:val="24"/>
                <w:lang w:val="lv-LV"/>
              </w:rPr>
              <w:t>.</w:t>
            </w:r>
            <w:r w:rsidR="00FD5F34" w:rsidRPr="003E5A6D">
              <w:rPr>
                <w:sz w:val="24"/>
                <w:szCs w:val="24"/>
                <w:lang w:val="lv-LV"/>
              </w:rPr>
              <w:t xml:space="preserve"> </w:t>
            </w:r>
          </w:p>
          <w:p w:rsidR="00EA6CD3" w:rsidRPr="003E5A6D" w:rsidRDefault="00374F73" w:rsidP="00074090">
            <w:pPr>
              <w:ind w:firstLine="709"/>
              <w:jc w:val="both"/>
              <w:rPr>
                <w:sz w:val="24"/>
                <w:szCs w:val="24"/>
                <w:lang w:val="lv-LV"/>
              </w:rPr>
            </w:pPr>
            <w:r w:rsidRPr="003E5A6D">
              <w:rPr>
                <w:sz w:val="24"/>
                <w:szCs w:val="24"/>
                <w:lang w:val="lv-LV"/>
              </w:rPr>
              <w:t xml:space="preserve">Ņemot vērā, ka arī apgrozāmo līdzekļu aizdevumu strukturēšanas izmaksas, ko veido kredītiestādes vai tās meitas sabiedrības piešķirtā aizdevuma pieteikuma izskatīšanas, aizdevuma noformēšanas vai izsniegšanas komisijas maksa, ir augstas, tad, lai veicinātu pieprasījumu pēc apgrozāmajiem līdzekļiem un sekmētu 2.2.1.4.2.aktivitātē pieejamā finansējuma apguvi, </w:t>
            </w:r>
            <w:r w:rsidR="007E4C1F" w:rsidRPr="003E5A6D">
              <w:rPr>
                <w:sz w:val="24"/>
                <w:szCs w:val="24"/>
                <w:lang w:val="lv-LV"/>
              </w:rPr>
              <w:t>noteikumu projekts paredz</w:t>
            </w:r>
            <w:r w:rsidR="00074090" w:rsidRPr="003E5A6D">
              <w:rPr>
                <w:sz w:val="24"/>
                <w:szCs w:val="24"/>
                <w:lang w:val="lv-LV"/>
              </w:rPr>
              <w:t xml:space="preserve"> iespējas </w:t>
            </w:r>
            <w:r w:rsidRPr="003E5A6D">
              <w:rPr>
                <w:sz w:val="24"/>
                <w:szCs w:val="24"/>
                <w:lang w:val="lv-LV"/>
              </w:rPr>
              <w:t>saimnieciskās darbības veicējam saņemt atbalstu</w:t>
            </w:r>
            <w:r w:rsidR="00013B61">
              <w:rPr>
                <w:sz w:val="24"/>
                <w:szCs w:val="24"/>
                <w:lang w:val="lv-LV"/>
              </w:rPr>
              <w:t xml:space="preserve"> 100 % apmērā</w:t>
            </w:r>
            <w:r w:rsidRPr="003E5A6D">
              <w:rPr>
                <w:sz w:val="24"/>
                <w:szCs w:val="24"/>
                <w:lang w:val="lv-LV"/>
              </w:rPr>
              <w:t xml:space="preserve">, lai </w:t>
            </w:r>
            <w:r w:rsidR="00074090" w:rsidRPr="003E5A6D">
              <w:rPr>
                <w:sz w:val="24"/>
                <w:szCs w:val="24"/>
                <w:lang w:val="lv-LV"/>
              </w:rPr>
              <w:t>segt</w:t>
            </w:r>
            <w:r w:rsidRPr="003E5A6D">
              <w:rPr>
                <w:sz w:val="24"/>
                <w:szCs w:val="24"/>
                <w:lang w:val="lv-LV"/>
              </w:rPr>
              <w:t>u</w:t>
            </w:r>
            <w:r w:rsidR="00074090" w:rsidRPr="003E5A6D">
              <w:rPr>
                <w:sz w:val="24"/>
                <w:szCs w:val="24"/>
                <w:lang w:val="lv-LV"/>
              </w:rPr>
              <w:t xml:space="preserve"> </w:t>
            </w:r>
            <w:r w:rsidR="003E58C7">
              <w:rPr>
                <w:sz w:val="24"/>
                <w:szCs w:val="24"/>
                <w:lang w:val="lv-LV"/>
              </w:rPr>
              <w:t>darījumu strukturēšanas izmaksas,</w:t>
            </w:r>
            <w:r w:rsidRPr="003E5A6D">
              <w:rPr>
                <w:sz w:val="24"/>
                <w:szCs w:val="24"/>
                <w:lang w:val="lv-LV"/>
              </w:rPr>
              <w:t xml:space="preserve"> kā arī, lai segtu </w:t>
            </w:r>
            <w:r w:rsidR="00074090" w:rsidRPr="003E5A6D">
              <w:rPr>
                <w:sz w:val="24"/>
                <w:szCs w:val="24"/>
                <w:lang w:val="lv-LV"/>
              </w:rPr>
              <w:t>ķīlas reģistrācijas izmaksas</w:t>
            </w:r>
            <w:r w:rsidRPr="003E5A6D">
              <w:rPr>
                <w:sz w:val="24"/>
                <w:szCs w:val="24"/>
                <w:lang w:val="lv-LV"/>
              </w:rPr>
              <w:t>. Minētais atbalsts nepārsniedz</w:t>
            </w:r>
            <w:r w:rsidR="006E2082" w:rsidRPr="003E5A6D">
              <w:rPr>
                <w:sz w:val="24"/>
                <w:szCs w:val="24"/>
                <w:lang w:val="lv-LV"/>
              </w:rPr>
              <w:t xml:space="preserve"> 15 000 </w:t>
            </w:r>
            <w:r w:rsidR="006E2082" w:rsidRPr="003E5A6D">
              <w:rPr>
                <w:i/>
                <w:sz w:val="24"/>
                <w:szCs w:val="24"/>
                <w:lang w:val="lv-LV"/>
              </w:rPr>
              <w:t>euro</w:t>
            </w:r>
            <w:r w:rsidR="006E2082" w:rsidRPr="003E5A6D">
              <w:rPr>
                <w:sz w:val="24"/>
                <w:szCs w:val="24"/>
                <w:lang w:val="lv-LV"/>
              </w:rPr>
              <w:t xml:space="preserve"> un  </w:t>
            </w:r>
            <w:r w:rsidR="00C05EF2" w:rsidRPr="003E5A6D">
              <w:rPr>
                <w:sz w:val="24"/>
                <w:szCs w:val="24"/>
                <w:lang w:val="lv-LV"/>
              </w:rPr>
              <w:t>3</w:t>
            </w:r>
            <w:r w:rsidR="006E2082" w:rsidRPr="003E5A6D">
              <w:rPr>
                <w:sz w:val="24"/>
                <w:szCs w:val="24"/>
                <w:lang w:val="lv-LV"/>
              </w:rPr>
              <w:t>,5 % no piešķirtā mezanīna aizdevuma apgrozāmo līdzekļu finansēšanai summas.</w:t>
            </w:r>
            <w:r w:rsidR="00C05EF2" w:rsidRPr="003E5A6D">
              <w:rPr>
                <w:sz w:val="24"/>
                <w:szCs w:val="24"/>
                <w:lang w:val="lv-LV"/>
              </w:rPr>
              <w:t xml:space="preserve"> </w:t>
            </w:r>
          </w:p>
          <w:p w:rsidR="00374F73" w:rsidRPr="00A14369" w:rsidRDefault="00CF4607" w:rsidP="00074090">
            <w:pPr>
              <w:ind w:firstLine="709"/>
              <w:jc w:val="both"/>
              <w:rPr>
                <w:sz w:val="24"/>
                <w:szCs w:val="24"/>
                <w:lang w:val="lv-LV"/>
              </w:rPr>
            </w:pPr>
            <w:r w:rsidRPr="00A14369">
              <w:rPr>
                <w:sz w:val="24"/>
                <w:szCs w:val="24"/>
                <w:lang w:val="lv-LV"/>
              </w:rPr>
              <w:t xml:space="preserve">Ņemot vērā, ka nav pamatoti saimnieciskās darbības veicējiem noteikt </w:t>
            </w:r>
            <w:r w:rsidRPr="00A96C8D">
              <w:rPr>
                <w:sz w:val="24"/>
                <w:szCs w:val="24"/>
                <w:lang w:val="lv-LV"/>
              </w:rPr>
              <w:t>apgroz</w:t>
            </w:r>
            <w:r w:rsidRPr="00467343">
              <w:rPr>
                <w:sz w:val="24"/>
                <w:szCs w:val="24"/>
                <w:lang w:val="lv-LV"/>
              </w:rPr>
              <w:t xml:space="preserve">āmo līdzekļu aizdevumiem </w:t>
            </w:r>
            <w:r w:rsidR="00ED377A" w:rsidRPr="00E00218">
              <w:rPr>
                <w:sz w:val="24"/>
                <w:szCs w:val="24"/>
                <w:lang w:val="lv-LV"/>
              </w:rPr>
              <w:t xml:space="preserve">no investīciju aizdevumiem </w:t>
            </w:r>
            <w:r w:rsidRPr="00A14369">
              <w:rPr>
                <w:sz w:val="24"/>
                <w:szCs w:val="24"/>
                <w:lang w:val="lv-LV"/>
              </w:rPr>
              <w:t xml:space="preserve">atšķirīgus </w:t>
            </w:r>
            <w:r w:rsidRPr="00A96C8D">
              <w:rPr>
                <w:sz w:val="24"/>
                <w:szCs w:val="24"/>
                <w:lang w:val="lv-LV"/>
              </w:rPr>
              <w:t>nozaru un darbību ierobežojumus</w:t>
            </w:r>
            <w:r w:rsidR="00ED377A" w:rsidRPr="00E00218">
              <w:rPr>
                <w:sz w:val="24"/>
                <w:szCs w:val="24"/>
                <w:lang w:val="lv-LV"/>
              </w:rPr>
              <w:t xml:space="preserve">, </w:t>
            </w:r>
            <w:r w:rsidRPr="00A14369">
              <w:rPr>
                <w:sz w:val="24"/>
                <w:szCs w:val="24"/>
                <w:lang w:val="lv-LV"/>
              </w:rPr>
              <w:t xml:space="preserve">Ekonomikas ministrija ir noteikusi apgrozāmo līdzekļu aizdevumiem ar ilgtermiņa investīciju aizdevumiem vienādas ierobežojamās nozares un darbības, </w:t>
            </w:r>
            <w:r w:rsidRPr="00E00218">
              <w:rPr>
                <w:sz w:val="24"/>
                <w:szCs w:val="24"/>
                <w:lang w:val="lv-LV"/>
              </w:rPr>
              <w:t>vienlaikus paredzot ierobežojumu</w:t>
            </w:r>
            <w:r w:rsidRPr="00A14369">
              <w:rPr>
                <w:sz w:val="24"/>
                <w:szCs w:val="24"/>
                <w:lang w:val="lv-LV"/>
              </w:rPr>
              <w:t xml:space="preserve"> tām nozarēm un darbībām, kuras tiek ierobežotas </w:t>
            </w:r>
            <w:r w:rsidRPr="00A96C8D">
              <w:rPr>
                <w:sz w:val="24"/>
                <w:szCs w:val="24"/>
                <w:lang w:val="lv-LV"/>
              </w:rPr>
              <w:t>Komisijas regula</w:t>
            </w:r>
            <w:r w:rsidRPr="00E00218">
              <w:rPr>
                <w:sz w:val="24"/>
                <w:szCs w:val="24"/>
                <w:lang w:val="lv-LV"/>
              </w:rPr>
              <w:t>s</w:t>
            </w:r>
            <w:r w:rsidRPr="00A14369">
              <w:rPr>
                <w:sz w:val="24"/>
                <w:szCs w:val="24"/>
                <w:lang w:val="lv-LV"/>
              </w:rPr>
              <w:t xml:space="preserve"> Nr.1407/2</w:t>
            </w:r>
            <w:r w:rsidRPr="00A96C8D">
              <w:rPr>
                <w:sz w:val="24"/>
                <w:szCs w:val="24"/>
                <w:lang w:val="lv-LV"/>
              </w:rPr>
              <w:t xml:space="preserve">013 </w:t>
            </w:r>
            <w:r w:rsidRPr="00467343">
              <w:rPr>
                <w:sz w:val="24"/>
                <w:szCs w:val="24"/>
                <w:lang w:val="lv-LV"/>
              </w:rPr>
              <w:t xml:space="preserve">ietvaros. </w:t>
            </w:r>
          </w:p>
          <w:p w:rsidR="00C77C68" w:rsidRPr="003E5A6D" w:rsidRDefault="00C05EF2" w:rsidP="00782847">
            <w:pPr>
              <w:ind w:firstLine="709"/>
              <w:jc w:val="both"/>
              <w:rPr>
                <w:sz w:val="24"/>
                <w:szCs w:val="24"/>
                <w:lang w:val="lv-LV"/>
              </w:rPr>
            </w:pPr>
            <w:r w:rsidRPr="00A14369">
              <w:rPr>
                <w:sz w:val="24"/>
                <w:szCs w:val="24"/>
                <w:lang w:val="lv-LV"/>
              </w:rPr>
              <w:t xml:space="preserve">MK noteikumos Nr.613 ir noteikta subsīdijas ekvivalenta aprēķināšana un atbalsta kumulācija atbilstoši investīciju aizdevumu regulējumam – </w:t>
            </w:r>
            <w:r w:rsidR="00F32822">
              <w:rPr>
                <w:sz w:val="24"/>
                <w:szCs w:val="24"/>
                <w:lang w:val="lv-LV"/>
              </w:rPr>
              <w:t>Komisijas r</w:t>
            </w:r>
            <w:r w:rsidRPr="00A14369">
              <w:rPr>
                <w:sz w:val="24"/>
                <w:szCs w:val="24"/>
                <w:lang w:val="lv-LV"/>
              </w:rPr>
              <w:t>egulai Nr.800/2008. Noteikumu projekts paredz apgrozāmo līdzekļu aizdevumu</w:t>
            </w:r>
            <w:r w:rsidR="00217F5B" w:rsidRPr="00A14369">
              <w:rPr>
                <w:sz w:val="24"/>
                <w:szCs w:val="24"/>
                <w:lang w:val="lv-LV"/>
              </w:rPr>
              <w:t xml:space="preserve"> un atbalsta apgrozāmo līdzekļu un investīciju aizdevumu strukturēšanas izmaksu segšanai sniegšanu </w:t>
            </w:r>
            <w:r w:rsidRPr="00A14369">
              <w:rPr>
                <w:sz w:val="24"/>
                <w:szCs w:val="24"/>
                <w:lang w:val="lv-LV"/>
              </w:rPr>
              <w:t xml:space="preserve">kā </w:t>
            </w:r>
            <w:r w:rsidRPr="00A14369">
              <w:rPr>
                <w:i/>
                <w:sz w:val="24"/>
                <w:szCs w:val="24"/>
                <w:lang w:val="lv-LV"/>
              </w:rPr>
              <w:t>de minimis</w:t>
            </w:r>
            <w:r w:rsidRPr="00A14369">
              <w:rPr>
                <w:sz w:val="24"/>
                <w:szCs w:val="24"/>
                <w:lang w:val="lv-LV"/>
              </w:rPr>
              <w:t xml:space="preserve"> atbalstu, </w:t>
            </w:r>
            <w:r w:rsidR="005D06E8" w:rsidRPr="00A14369">
              <w:rPr>
                <w:sz w:val="24"/>
                <w:szCs w:val="24"/>
                <w:lang w:val="lv-LV"/>
              </w:rPr>
              <w:t>tādejādi</w:t>
            </w:r>
            <w:r w:rsidRPr="00A14369">
              <w:rPr>
                <w:sz w:val="24"/>
                <w:szCs w:val="24"/>
                <w:lang w:val="lv-LV"/>
              </w:rPr>
              <w:t xml:space="preserve"> ir veikti</w:t>
            </w:r>
            <w:r w:rsidRPr="003E5A6D">
              <w:rPr>
                <w:sz w:val="24"/>
                <w:szCs w:val="24"/>
                <w:lang w:val="lv-LV"/>
              </w:rPr>
              <w:t xml:space="preserve"> </w:t>
            </w:r>
            <w:r w:rsidR="00F32822">
              <w:rPr>
                <w:sz w:val="24"/>
                <w:szCs w:val="24"/>
                <w:lang w:val="lv-LV"/>
              </w:rPr>
              <w:t>Komisijas r</w:t>
            </w:r>
            <w:r w:rsidRPr="003E5A6D">
              <w:rPr>
                <w:sz w:val="24"/>
                <w:szCs w:val="24"/>
                <w:lang w:val="lv-LV"/>
              </w:rPr>
              <w:t>egulai Nr.1407/2013 atbilstoši grozījumi</w:t>
            </w:r>
            <w:r w:rsidR="005D06E8" w:rsidRPr="003E5A6D">
              <w:rPr>
                <w:sz w:val="24"/>
                <w:szCs w:val="24"/>
                <w:lang w:val="lv-LV"/>
              </w:rPr>
              <w:t>. Papildus ir noteikta</w:t>
            </w:r>
            <w:r w:rsidRPr="003E5A6D">
              <w:rPr>
                <w:sz w:val="24"/>
                <w:szCs w:val="24"/>
                <w:lang w:val="lv-LV"/>
              </w:rPr>
              <w:t xml:space="preserve"> </w:t>
            </w:r>
            <w:r w:rsidR="005D06E8" w:rsidRPr="003E5A6D">
              <w:rPr>
                <w:sz w:val="24"/>
                <w:szCs w:val="24"/>
                <w:lang w:val="lv-LV"/>
              </w:rPr>
              <w:t xml:space="preserve">arī </w:t>
            </w:r>
            <w:r w:rsidRPr="003E5A6D">
              <w:rPr>
                <w:sz w:val="24"/>
                <w:szCs w:val="24"/>
                <w:lang w:val="lv-LV"/>
              </w:rPr>
              <w:t xml:space="preserve">atbalsta uzskaites </w:t>
            </w:r>
            <w:r w:rsidR="005D06E8" w:rsidRPr="003E5A6D">
              <w:rPr>
                <w:sz w:val="24"/>
                <w:szCs w:val="24"/>
                <w:lang w:val="lv-LV"/>
              </w:rPr>
              <w:t>kārtība.</w:t>
            </w:r>
          </w:p>
          <w:p w:rsidR="00304810" w:rsidRDefault="00C05EF2" w:rsidP="00304810">
            <w:pPr>
              <w:ind w:firstLine="709"/>
              <w:jc w:val="both"/>
              <w:rPr>
                <w:sz w:val="24"/>
                <w:szCs w:val="24"/>
                <w:lang w:val="lv-LV"/>
              </w:rPr>
            </w:pPr>
            <w:r w:rsidRPr="009B75D4">
              <w:rPr>
                <w:sz w:val="24"/>
                <w:szCs w:val="24"/>
                <w:lang w:val="lv-LV"/>
              </w:rPr>
              <w:t>Līdzšinēji MK noteikumu</w:t>
            </w:r>
            <w:r w:rsidR="00A23E8B" w:rsidRPr="009B75D4">
              <w:rPr>
                <w:sz w:val="24"/>
                <w:szCs w:val="24"/>
                <w:lang w:val="lv-LV"/>
              </w:rPr>
              <w:t xml:space="preserve"> Nr.613</w:t>
            </w:r>
            <w:r w:rsidRPr="009B75D4">
              <w:rPr>
                <w:sz w:val="24"/>
                <w:szCs w:val="24"/>
                <w:lang w:val="lv-LV"/>
              </w:rPr>
              <w:t xml:space="preserve"> ietvaros pieejamais kopējā finansējuma apmērs ir noteikts 18 664 271 </w:t>
            </w:r>
            <w:r w:rsidRPr="009B75D4">
              <w:rPr>
                <w:i/>
                <w:sz w:val="24"/>
                <w:szCs w:val="24"/>
                <w:lang w:val="lv-LV"/>
              </w:rPr>
              <w:t>euro</w:t>
            </w:r>
            <w:r w:rsidR="00217F5B" w:rsidRPr="009B75D4">
              <w:rPr>
                <w:sz w:val="24"/>
                <w:szCs w:val="24"/>
                <w:lang w:val="lv-LV"/>
              </w:rPr>
              <w:t>.</w:t>
            </w:r>
            <w:r w:rsidRPr="009B75D4">
              <w:rPr>
                <w:sz w:val="24"/>
                <w:szCs w:val="24"/>
                <w:lang w:val="lv-LV"/>
              </w:rPr>
              <w:t xml:space="preserve"> Tiek veikti grozījumi </w:t>
            </w:r>
            <w:r w:rsidR="009B75D4">
              <w:rPr>
                <w:sz w:val="24"/>
                <w:szCs w:val="24"/>
                <w:lang w:val="lv-LV"/>
              </w:rPr>
              <w:t>darbības programm</w:t>
            </w:r>
            <w:r w:rsidR="00396152">
              <w:rPr>
                <w:sz w:val="24"/>
                <w:szCs w:val="24"/>
                <w:lang w:val="lv-LV"/>
              </w:rPr>
              <w:t>as</w:t>
            </w:r>
            <w:r w:rsidR="009B75D4">
              <w:rPr>
                <w:sz w:val="24"/>
                <w:szCs w:val="24"/>
                <w:lang w:val="lv-LV"/>
              </w:rPr>
              <w:t xml:space="preserve"> „Uzņēmējdarbība un inovācijas”</w:t>
            </w:r>
            <w:r w:rsidR="00396152">
              <w:rPr>
                <w:sz w:val="24"/>
                <w:szCs w:val="24"/>
                <w:lang w:val="lv-LV"/>
              </w:rPr>
              <w:t xml:space="preserve"> papildinājumā</w:t>
            </w:r>
            <w:r w:rsidR="003814A5">
              <w:rPr>
                <w:sz w:val="24"/>
                <w:szCs w:val="24"/>
                <w:lang w:val="lv-LV"/>
              </w:rPr>
              <w:t xml:space="preserve"> </w:t>
            </w:r>
            <w:r w:rsidR="003814A5">
              <w:rPr>
                <w:sz w:val="24"/>
                <w:szCs w:val="24"/>
                <w:lang w:val="lv-LV"/>
              </w:rPr>
              <w:lastRenderedPageBreak/>
              <w:t>(turpmāk – DPP)</w:t>
            </w:r>
            <w:r w:rsidRPr="009B75D4">
              <w:rPr>
                <w:sz w:val="24"/>
                <w:szCs w:val="24"/>
                <w:lang w:val="lv-LV"/>
              </w:rPr>
              <w:t>, kas 2.</w:t>
            </w:r>
            <w:r w:rsidRPr="00F32822">
              <w:rPr>
                <w:sz w:val="24"/>
                <w:szCs w:val="24"/>
                <w:lang w:val="lv-LV"/>
              </w:rPr>
              <w:t>2.1.4.2.aktivitātei pieejamā mezanīna aizdevuma apmēra kopējā summu</w:t>
            </w:r>
            <w:r w:rsidR="00217F5B" w:rsidRPr="00F32822">
              <w:rPr>
                <w:sz w:val="24"/>
                <w:szCs w:val="24"/>
                <w:lang w:val="lv-LV"/>
              </w:rPr>
              <w:t xml:space="preserve"> nosaka</w:t>
            </w:r>
            <w:r w:rsidRPr="00F32822">
              <w:rPr>
                <w:sz w:val="24"/>
                <w:szCs w:val="24"/>
                <w:lang w:val="lv-LV"/>
              </w:rPr>
              <w:t xml:space="preserve"> 18 631 222 </w:t>
            </w:r>
            <w:r w:rsidRPr="00F32822">
              <w:rPr>
                <w:i/>
                <w:sz w:val="24"/>
                <w:szCs w:val="24"/>
                <w:lang w:val="lv-LV"/>
              </w:rPr>
              <w:t>euro</w:t>
            </w:r>
            <w:r w:rsidRPr="00F32822">
              <w:rPr>
                <w:sz w:val="24"/>
                <w:szCs w:val="24"/>
                <w:lang w:val="lv-LV"/>
              </w:rPr>
              <w:t xml:space="preserve"> apmērā</w:t>
            </w:r>
            <w:r w:rsidR="008841EB" w:rsidRPr="00F32822">
              <w:rPr>
                <w:sz w:val="24"/>
                <w:szCs w:val="24"/>
                <w:lang w:val="lv-LV"/>
              </w:rPr>
              <w:t xml:space="preserve">, kur Eiropas Reģionālā attīstības fonda finansējums </w:t>
            </w:r>
            <w:r w:rsidR="00F32822" w:rsidRPr="00F32822">
              <w:rPr>
                <w:sz w:val="24"/>
                <w:szCs w:val="24"/>
                <w:lang w:val="lv-LV"/>
              </w:rPr>
              <w:t xml:space="preserve">(turpmāk – ERAF) </w:t>
            </w:r>
            <w:r w:rsidR="008841EB" w:rsidRPr="00F32822">
              <w:rPr>
                <w:sz w:val="24"/>
                <w:szCs w:val="24"/>
                <w:lang w:val="lv-LV"/>
              </w:rPr>
              <w:t xml:space="preserve">– 15 151 685 </w:t>
            </w:r>
            <w:r w:rsidR="008841EB" w:rsidRPr="00F32822">
              <w:rPr>
                <w:i/>
                <w:sz w:val="24"/>
                <w:szCs w:val="24"/>
                <w:lang w:val="lv-LV"/>
              </w:rPr>
              <w:t>euro</w:t>
            </w:r>
            <w:r w:rsidR="008841EB" w:rsidRPr="00F32822">
              <w:rPr>
                <w:sz w:val="24"/>
                <w:szCs w:val="24"/>
                <w:lang w:val="lv-LV"/>
              </w:rPr>
              <w:t xml:space="preserve"> un valsts budžeta finansējums – 3 479 537 </w:t>
            </w:r>
            <w:r w:rsidR="008841EB" w:rsidRPr="00F32822">
              <w:rPr>
                <w:i/>
                <w:sz w:val="24"/>
                <w:szCs w:val="24"/>
                <w:lang w:val="lv-LV"/>
              </w:rPr>
              <w:t>euro</w:t>
            </w:r>
            <w:r w:rsidRPr="00F32822">
              <w:rPr>
                <w:sz w:val="24"/>
                <w:szCs w:val="24"/>
                <w:lang w:val="lv-LV"/>
              </w:rPr>
              <w:t xml:space="preserve">. </w:t>
            </w:r>
            <w:r w:rsidR="00F32822" w:rsidRPr="00F32822">
              <w:rPr>
                <w:sz w:val="24"/>
                <w:szCs w:val="24"/>
                <w:lang w:val="lv-LV"/>
              </w:rPr>
              <w:t xml:space="preserve">Līdzšinēji </w:t>
            </w:r>
            <w:r w:rsidR="00F32822">
              <w:rPr>
                <w:sz w:val="24"/>
                <w:szCs w:val="24"/>
                <w:lang w:val="lv-LV"/>
              </w:rPr>
              <w:t xml:space="preserve">2.2.1.4.2.aktivitātē </w:t>
            </w:r>
            <w:r w:rsidR="00F32822" w:rsidRPr="00F32822">
              <w:rPr>
                <w:sz w:val="24"/>
                <w:szCs w:val="24"/>
                <w:lang w:val="lv-LV"/>
              </w:rPr>
              <w:t xml:space="preserve">pieejamais ERAF finansējums tika samazināts par 33 049 </w:t>
            </w:r>
            <w:r w:rsidR="00F32822" w:rsidRPr="00F32822">
              <w:rPr>
                <w:i/>
                <w:sz w:val="24"/>
                <w:szCs w:val="24"/>
                <w:lang w:val="lv-LV"/>
              </w:rPr>
              <w:t>euro</w:t>
            </w:r>
            <w:r w:rsidR="00F32822" w:rsidRPr="00F32822">
              <w:rPr>
                <w:sz w:val="24"/>
                <w:szCs w:val="24"/>
                <w:lang w:val="lv-LV"/>
              </w:rPr>
              <w:t xml:space="preserve">, un </w:t>
            </w:r>
            <w:r w:rsidR="00F32822">
              <w:rPr>
                <w:sz w:val="24"/>
                <w:szCs w:val="24"/>
                <w:lang w:val="lv-LV"/>
              </w:rPr>
              <w:t xml:space="preserve">tas tika </w:t>
            </w:r>
            <w:r w:rsidR="00F32822" w:rsidRPr="00F32822">
              <w:rPr>
                <w:sz w:val="24"/>
                <w:szCs w:val="24"/>
                <w:lang w:val="lv-LV"/>
              </w:rPr>
              <w:t>pārdalīts uz 2.2.1.3.aktivitāti „Garantijas komersantu konkurētspējas uzlabošanai”</w:t>
            </w:r>
            <w:r w:rsidR="00F32822">
              <w:rPr>
                <w:sz w:val="24"/>
                <w:szCs w:val="24"/>
                <w:lang w:val="lv-LV"/>
              </w:rPr>
              <w:t xml:space="preserve">, ņemot vērā, ka </w:t>
            </w:r>
            <w:r w:rsidR="00F32822" w:rsidRPr="00F32822">
              <w:rPr>
                <w:sz w:val="24"/>
                <w:szCs w:val="24"/>
                <w:lang w:val="lv-LV"/>
              </w:rPr>
              <w:t>Eiropas Komisijas iesniegt</w:t>
            </w:r>
            <w:r w:rsidR="00F32822">
              <w:rPr>
                <w:sz w:val="24"/>
                <w:szCs w:val="24"/>
                <w:lang w:val="lv-LV"/>
              </w:rPr>
              <w:t>ajā</w:t>
            </w:r>
            <w:r w:rsidR="00F32822" w:rsidRPr="00F32822">
              <w:rPr>
                <w:sz w:val="24"/>
                <w:szCs w:val="24"/>
                <w:lang w:val="lv-LV"/>
              </w:rPr>
              <w:t xml:space="preserve"> finanšu plān</w:t>
            </w:r>
            <w:r w:rsidR="00F32822">
              <w:rPr>
                <w:sz w:val="24"/>
                <w:szCs w:val="24"/>
                <w:lang w:val="lv-LV"/>
              </w:rPr>
              <w:t>ā</w:t>
            </w:r>
            <w:r w:rsidR="00571CCF">
              <w:rPr>
                <w:sz w:val="24"/>
                <w:szCs w:val="24"/>
                <w:lang w:val="lv-LV"/>
              </w:rPr>
              <w:t xml:space="preserve">, kas nosaka pieejamo finansējumu darbības programmā „Uzņēmējdarbība un inovācijas” (turpmāk – DP) 2.2.1.pasākuma „Finanšu resursu pieejamība” </w:t>
            </w:r>
            <w:r w:rsidR="005A5A80">
              <w:rPr>
                <w:sz w:val="24"/>
                <w:szCs w:val="24"/>
                <w:lang w:val="lv-LV"/>
              </w:rPr>
              <w:t xml:space="preserve">(turpmāk – 2.2.1.pasākums) </w:t>
            </w:r>
            <w:r w:rsidR="00571CCF">
              <w:rPr>
                <w:sz w:val="24"/>
                <w:szCs w:val="24"/>
                <w:lang w:val="lv-LV"/>
              </w:rPr>
              <w:t>ietvaros,</w:t>
            </w:r>
            <w:r w:rsidR="00F32822">
              <w:rPr>
                <w:sz w:val="24"/>
                <w:szCs w:val="24"/>
                <w:lang w:val="lv-LV"/>
              </w:rPr>
              <w:t xml:space="preserve"> finansējuma apmērs </w:t>
            </w:r>
            <w:r w:rsidR="00571CCF">
              <w:rPr>
                <w:sz w:val="24"/>
                <w:szCs w:val="24"/>
                <w:lang w:val="lv-LV"/>
              </w:rPr>
              <w:t xml:space="preserve">2.2.1.3.aktivitātē </w:t>
            </w:r>
            <w:r w:rsidR="00F32822">
              <w:rPr>
                <w:sz w:val="24"/>
                <w:szCs w:val="24"/>
                <w:lang w:val="lv-LV"/>
              </w:rPr>
              <w:t xml:space="preserve">tika noteikts mazāks, nekā </w:t>
            </w:r>
            <w:r w:rsidR="00571CCF">
              <w:rPr>
                <w:sz w:val="24"/>
                <w:szCs w:val="24"/>
                <w:lang w:val="lv-LV"/>
              </w:rPr>
              <w:t xml:space="preserve">tam ir jābūt </w:t>
            </w:r>
            <w:r w:rsidR="00F32822">
              <w:rPr>
                <w:sz w:val="24"/>
                <w:szCs w:val="24"/>
                <w:lang w:val="lv-LV"/>
              </w:rPr>
              <w:t>faktiski</w:t>
            </w:r>
            <w:r w:rsidR="00571CCF">
              <w:rPr>
                <w:sz w:val="24"/>
                <w:szCs w:val="24"/>
                <w:lang w:val="lv-LV"/>
              </w:rPr>
              <w:t xml:space="preserve"> </w:t>
            </w:r>
            <w:r w:rsidR="005A5A80">
              <w:rPr>
                <w:sz w:val="24"/>
                <w:szCs w:val="24"/>
                <w:lang w:val="lv-LV"/>
              </w:rPr>
              <w:t>atbilstoši</w:t>
            </w:r>
            <w:r w:rsidR="00571CCF">
              <w:rPr>
                <w:sz w:val="24"/>
                <w:szCs w:val="24"/>
                <w:lang w:val="lv-LV"/>
              </w:rPr>
              <w:t xml:space="preserve"> </w:t>
            </w:r>
            <w:r w:rsidR="005A5A80">
              <w:rPr>
                <w:sz w:val="24"/>
                <w:szCs w:val="24"/>
                <w:lang w:val="lv-LV"/>
              </w:rPr>
              <w:t xml:space="preserve">veiktajām </w:t>
            </w:r>
            <w:r w:rsidR="00F32822">
              <w:rPr>
                <w:sz w:val="24"/>
                <w:szCs w:val="24"/>
                <w:lang w:val="lv-LV"/>
              </w:rPr>
              <w:t xml:space="preserve">finanšu </w:t>
            </w:r>
            <w:r w:rsidR="005A5A80">
              <w:rPr>
                <w:sz w:val="24"/>
                <w:szCs w:val="24"/>
                <w:lang w:val="lv-LV"/>
              </w:rPr>
              <w:t>korekcijām</w:t>
            </w:r>
            <w:r w:rsidR="00571CCF">
              <w:rPr>
                <w:sz w:val="24"/>
                <w:szCs w:val="24"/>
                <w:lang w:val="lv-LV"/>
              </w:rPr>
              <w:t>.</w:t>
            </w:r>
            <w:r w:rsidR="00F32822">
              <w:rPr>
                <w:sz w:val="24"/>
                <w:szCs w:val="24"/>
                <w:lang w:val="lv-LV"/>
              </w:rPr>
              <w:t xml:space="preserve"> 2.2.1.3.aktivitāte </w:t>
            </w:r>
            <w:r w:rsidR="00571CCF">
              <w:rPr>
                <w:sz w:val="24"/>
                <w:szCs w:val="24"/>
                <w:lang w:val="lv-LV"/>
              </w:rPr>
              <w:t>ir</w:t>
            </w:r>
            <w:r w:rsidR="00F32822">
              <w:rPr>
                <w:sz w:val="24"/>
                <w:szCs w:val="24"/>
                <w:lang w:val="lv-LV"/>
              </w:rPr>
              <w:t xml:space="preserve"> slēgta 2013.gada 31.decembrī, un 2.2.1.3.aktivitātē </w:t>
            </w:r>
            <w:r w:rsidR="00571CCF">
              <w:rPr>
                <w:sz w:val="24"/>
                <w:szCs w:val="24"/>
                <w:lang w:val="lv-LV"/>
              </w:rPr>
              <w:t>faktiski pieejamais</w:t>
            </w:r>
            <w:r w:rsidR="00F32822">
              <w:rPr>
                <w:sz w:val="24"/>
                <w:szCs w:val="24"/>
                <w:lang w:val="lv-LV"/>
              </w:rPr>
              <w:t xml:space="preserve"> finans</w:t>
            </w:r>
            <w:r w:rsidR="00571CCF">
              <w:rPr>
                <w:sz w:val="24"/>
                <w:szCs w:val="24"/>
                <w:lang w:val="lv-LV"/>
              </w:rPr>
              <w:t>ējums ir apgūts pilnā</w:t>
            </w:r>
            <w:r w:rsidR="00F32822">
              <w:rPr>
                <w:sz w:val="24"/>
                <w:szCs w:val="24"/>
                <w:lang w:val="lv-LV"/>
              </w:rPr>
              <w:t xml:space="preserve"> apmēr</w:t>
            </w:r>
            <w:r w:rsidR="00571CCF">
              <w:rPr>
                <w:sz w:val="24"/>
                <w:szCs w:val="24"/>
                <w:lang w:val="lv-LV"/>
              </w:rPr>
              <w:t>ā,</w:t>
            </w:r>
            <w:r w:rsidR="00F32822">
              <w:rPr>
                <w:sz w:val="24"/>
                <w:szCs w:val="24"/>
                <w:lang w:val="lv-LV"/>
              </w:rPr>
              <w:t xml:space="preserve"> </w:t>
            </w:r>
            <w:r w:rsidR="00571CCF">
              <w:rPr>
                <w:sz w:val="24"/>
                <w:szCs w:val="24"/>
                <w:lang w:val="lv-LV"/>
              </w:rPr>
              <w:t>attiecīgi</w:t>
            </w:r>
            <w:r w:rsidR="00F32822">
              <w:rPr>
                <w:sz w:val="24"/>
                <w:szCs w:val="24"/>
                <w:lang w:val="lv-LV"/>
              </w:rPr>
              <w:t xml:space="preserve"> nav pamatoti samazināt 2.2.1.3.aktivitātē pieejamā finansējuma apm</w:t>
            </w:r>
            <w:r w:rsidR="005A5A80">
              <w:rPr>
                <w:sz w:val="24"/>
                <w:szCs w:val="24"/>
                <w:lang w:val="lv-LV"/>
              </w:rPr>
              <w:t>ēru. Tādejādi,</w:t>
            </w:r>
            <w:r w:rsidR="00F32822">
              <w:rPr>
                <w:sz w:val="24"/>
                <w:szCs w:val="24"/>
                <w:lang w:val="lv-LV"/>
              </w:rPr>
              <w:t xml:space="preserve"> </w:t>
            </w:r>
            <w:r w:rsidR="00571CCF">
              <w:rPr>
                <w:sz w:val="24"/>
                <w:szCs w:val="24"/>
                <w:lang w:val="lv-LV"/>
              </w:rPr>
              <w:t xml:space="preserve">lai nepārsniegtu DP </w:t>
            </w:r>
            <w:r w:rsidR="005A5A80">
              <w:rPr>
                <w:sz w:val="24"/>
                <w:szCs w:val="24"/>
                <w:lang w:val="lv-LV"/>
              </w:rPr>
              <w:t xml:space="preserve">2.2.1.pasākuma ietvaros </w:t>
            </w:r>
            <w:r w:rsidR="00571CCF">
              <w:rPr>
                <w:sz w:val="24"/>
                <w:szCs w:val="24"/>
                <w:lang w:val="lv-LV"/>
              </w:rPr>
              <w:t xml:space="preserve">norādītā </w:t>
            </w:r>
            <w:r w:rsidR="005A5A80">
              <w:rPr>
                <w:sz w:val="24"/>
                <w:szCs w:val="24"/>
                <w:lang w:val="lv-LV"/>
              </w:rPr>
              <w:t xml:space="preserve">pieejamā </w:t>
            </w:r>
            <w:r w:rsidR="00571CCF">
              <w:rPr>
                <w:sz w:val="24"/>
                <w:szCs w:val="24"/>
                <w:lang w:val="lv-LV"/>
              </w:rPr>
              <w:t>finansējuma apm</w:t>
            </w:r>
            <w:r w:rsidR="005A5A80">
              <w:rPr>
                <w:sz w:val="24"/>
                <w:szCs w:val="24"/>
                <w:lang w:val="lv-LV"/>
              </w:rPr>
              <w:t xml:space="preserve">ēru, tika nolemts </w:t>
            </w:r>
            <w:r w:rsidR="00F32822">
              <w:rPr>
                <w:sz w:val="24"/>
                <w:szCs w:val="24"/>
                <w:lang w:val="lv-LV"/>
              </w:rPr>
              <w:t>samazināt 2.2.1.4.2.aktivitātes ietvaros</w:t>
            </w:r>
            <w:r w:rsidR="00571CCF">
              <w:rPr>
                <w:sz w:val="24"/>
                <w:szCs w:val="24"/>
                <w:lang w:val="lv-LV"/>
              </w:rPr>
              <w:t xml:space="preserve"> pieejamā finansējuma apmēru, ņemot vērā kā finansējums 2.2.1.4.2.aktivitātes ietvaros nav apgūts pilnā </w:t>
            </w:r>
            <w:r w:rsidR="00571CCF" w:rsidRPr="005A5A80">
              <w:rPr>
                <w:sz w:val="24"/>
                <w:szCs w:val="24"/>
                <w:lang w:val="lv-LV"/>
              </w:rPr>
              <w:t>apmērā</w:t>
            </w:r>
            <w:r w:rsidR="00F32822" w:rsidRPr="005A5A80">
              <w:rPr>
                <w:sz w:val="24"/>
                <w:szCs w:val="24"/>
                <w:lang w:val="lv-LV"/>
              </w:rPr>
              <w:t xml:space="preserve">. </w:t>
            </w:r>
            <w:r w:rsidR="007161D3" w:rsidRPr="005A5A80">
              <w:rPr>
                <w:sz w:val="24"/>
                <w:szCs w:val="24"/>
                <w:lang w:val="lv-LV"/>
              </w:rPr>
              <w:t xml:space="preserve">Lai nodrošinātu 2007.-2013.gada plānošanas perioda finansējuma apguvi, papildus 18 631 222 </w:t>
            </w:r>
            <w:r w:rsidR="007161D3" w:rsidRPr="005A5A80">
              <w:rPr>
                <w:i/>
                <w:sz w:val="24"/>
                <w:szCs w:val="24"/>
                <w:lang w:val="lv-LV"/>
              </w:rPr>
              <w:t>euro</w:t>
            </w:r>
            <w:r w:rsidR="007161D3" w:rsidRPr="005A5A80">
              <w:rPr>
                <w:sz w:val="24"/>
                <w:szCs w:val="24"/>
                <w:lang w:val="lv-LV"/>
              </w:rPr>
              <w:t xml:space="preserve"> 2.2.1.4.2.aktivitātē ir paredzēts apgūt arī procentu  ieņēmumus, kas gūti 2.2.1.1.aktivitātes „Ieguldījumu fonds investīcijām garantijās, paaugstināta riska aizdevumos, riska kapitāla fondos un cita veida finanšu instrumentos” (turpmāk – 2.2.1.1.aktivitāte) un 2.2.1.4.2.aktivitātes ietvaros. Procentu ieņēmumi 2.2.1.1.aktivitātē laikā uz 2014.gada 27.martu sastāda 8 623 </w:t>
            </w:r>
            <w:r w:rsidR="008841EB" w:rsidRPr="005A5A80">
              <w:rPr>
                <w:sz w:val="24"/>
                <w:szCs w:val="24"/>
                <w:lang w:val="lv-LV"/>
              </w:rPr>
              <w:t>913</w:t>
            </w:r>
            <w:r w:rsidR="007161D3" w:rsidRPr="005A5A80">
              <w:rPr>
                <w:sz w:val="24"/>
                <w:szCs w:val="24"/>
                <w:lang w:val="lv-LV"/>
              </w:rPr>
              <w:t xml:space="preserve"> </w:t>
            </w:r>
            <w:r w:rsidR="007161D3" w:rsidRPr="005A5A80">
              <w:rPr>
                <w:i/>
                <w:sz w:val="24"/>
                <w:szCs w:val="24"/>
                <w:lang w:val="lv-LV"/>
              </w:rPr>
              <w:t xml:space="preserve">euro </w:t>
            </w:r>
            <w:r w:rsidR="007161D3" w:rsidRPr="005A5A80">
              <w:rPr>
                <w:sz w:val="24"/>
                <w:szCs w:val="24"/>
                <w:lang w:val="lv-LV"/>
              </w:rPr>
              <w:t>un procentu ieņēmumi 2.2.1.4.2.aktivitātē  - 2 525 </w:t>
            </w:r>
            <w:r w:rsidR="008841EB" w:rsidRPr="005A5A80">
              <w:rPr>
                <w:sz w:val="24"/>
                <w:szCs w:val="24"/>
                <w:lang w:val="lv-LV"/>
              </w:rPr>
              <w:t>419</w:t>
            </w:r>
            <w:r w:rsidR="007161D3" w:rsidRPr="005A5A80">
              <w:rPr>
                <w:sz w:val="24"/>
                <w:szCs w:val="24"/>
                <w:lang w:val="lv-LV"/>
              </w:rPr>
              <w:t xml:space="preserve"> </w:t>
            </w:r>
            <w:r w:rsidR="007161D3" w:rsidRPr="005A5A80">
              <w:rPr>
                <w:i/>
                <w:sz w:val="24"/>
                <w:szCs w:val="24"/>
                <w:lang w:val="lv-LV"/>
              </w:rPr>
              <w:t>euro</w:t>
            </w:r>
            <w:r w:rsidR="007161D3" w:rsidRPr="005A5A80">
              <w:rPr>
                <w:sz w:val="24"/>
                <w:szCs w:val="24"/>
                <w:lang w:val="lv-LV"/>
              </w:rPr>
              <w:t xml:space="preserve">. Atbilstoši grozījumiem DPP un procentu ieņēmumiem 2.2.1.1.aktivitātē un 2.2.1.4.2.aktivitātē noteikumu projekts nosaka, ka </w:t>
            </w:r>
            <w:r w:rsidR="00B700CC" w:rsidRPr="005A5A80">
              <w:rPr>
                <w:sz w:val="24"/>
                <w:szCs w:val="24"/>
                <w:lang w:val="lv-LV"/>
              </w:rPr>
              <w:t xml:space="preserve">aizdevumu kopējais apmērs ir 29 780 554 </w:t>
            </w:r>
            <w:r w:rsidR="00B700CC" w:rsidRPr="005A5A80">
              <w:rPr>
                <w:i/>
                <w:sz w:val="24"/>
                <w:szCs w:val="24"/>
                <w:lang w:val="lv-LV"/>
              </w:rPr>
              <w:t>euro</w:t>
            </w:r>
            <w:r w:rsidR="00B700CC" w:rsidRPr="005A5A80">
              <w:rPr>
                <w:sz w:val="24"/>
                <w:szCs w:val="24"/>
                <w:lang w:val="lv-LV"/>
              </w:rPr>
              <w:t xml:space="preserve">, </w:t>
            </w:r>
            <w:r w:rsidR="007161D3" w:rsidRPr="005A5A80">
              <w:rPr>
                <w:sz w:val="24"/>
                <w:szCs w:val="24"/>
                <w:lang w:val="lv-LV"/>
              </w:rPr>
              <w:t xml:space="preserve">tajā skaitā ERAF – 15 151 685 </w:t>
            </w:r>
            <w:r w:rsidR="007161D3" w:rsidRPr="005A5A80">
              <w:rPr>
                <w:i/>
                <w:sz w:val="24"/>
                <w:szCs w:val="24"/>
                <w:lang w:val="lv-LV"/>
              </w:rPr>
              <w:t>euro</w:t>
            </w:r>
            <w:r w:rsidR="007161D3" w:rsidRPr="005A5A80">
              <w:rPr>
                <w:sz w:val="24"/>
                <w:szCs w:val="24"/>
                <w:lang w:val="lv-LV"/>
              </w:rPr>
              <w:t xml:space="preserve"> un valsts budžeta finansējums – 3 479 537 </w:t>
            </w:r>
            <w:r w:rsidR="007161D3" w:rsidRPr="005A5A80">
              <w:rPr>
                <w:i/>
                <w:sz w:val="24"/>
                <w:szCs w:val="24"/>
                <w:lang w:val="lv-LV"/>
              </w:rPr>
              <w:t>euro</w:t>
            </w:r>
            <w:r w:rsidR="005A5A80">
              <w:rPr>
                <w:sz w:val="24"/>
                <w:szCs w:val="24"/>
                <w:lang w:val="lv-LV"/>
              </w:rPr>
              <w:t xml:space="preserve">, kā arī </w:t>
            </w:r>
            <w:r w:rsidR="007161D3" w:rsidRPr="005A5A80">
              <w:rPr>
                <w:sz w:val="24"/>
                <w:szCs w:val="24"/>
                <w:lang w:val="lv-LV"/>
              </w:rPr>
              <w:t xml:space="preserve"> pieejamais papildu finansējums, ko veido procentu ieņēmumi no noguldījumiem 2.2.1.1.aktivitātes ietvaros</w:t>
            </w:r>
            <w:r w:rsidR="006D1520">
              <w:rPr>
                <w:sz w:val="24"/>
                <w:szCs w:val="24"/>
                <w:lang w:val="lv-LV"/>
              </w:rPr>
              <w:t>,</w:t>
            </w:r>
            <w:r w:rsidR="007161D3" w:rsidRPr="005A5A80">
              <w:rPr>
                <w:sz w:val="24"/>
                <w:szCs w:val="24"/>
                <w:lang w:val="lv-LV"/>
              </w:rPr>
              <w:t xml:space="preserve"> </w:t>
            </w:r>
            <w:r w:rsidR="005A5A80">
              <w:rPr>
                <w:sz w:val="24"/>
                <w:szCs w:val="24"/>
                <w:lang w:val="lv-LV"/>
              </w:rPr>
              <w:t xml:space="preserve">ir </w:t>
            </w:r>
            <w:r w:rsidR="007161D3" w:rsidRPr="005A5A80">
              <w:rPr>
                <w:sz w:val="24"/>
                <w:szCs w:val="24"/>
                <w:lang w:val="lv-LV"/>
              </w:rPr>
              <w:t>8 623 </w:t>
            </w:r>
            <w:r w:rsidR="00B700CC" w:rsidRPr="005A5A80">
              <w:rPr>
                <w:sz w:val="24"/>
                <w:szCs w:val="24"/>
                <w:lang w:val="lv-LV"/>
              </w:rPr>
              <w:t>913</w:t>
            </w:r>
            <w:r w:rsidR="007161D3" w:rsidRPr="005A5A80">
              <w:rPr>
                <w:sz w:val="24"/>
                <w:szCs w:val="24"/>
                <w:lang w:val="lv-LV"/>
              </w:rPr>
              <w:t xml:space="preserve"> </w:t>
            </w:r>
            <w:r w:rsidR="007161D3" w:rsidRPr="005A5A80">
              <w:rPr>
                <w:i/>
                <w:sz w:val="24"/>
                <w:szCs w:val="24"/>
                <w:lang w:val="lv-LV"/>
              </w:rPr>
              <w:t>euro</w:t>
            </w:r>
            <w:r w:rsidR="007161D3" w:rsidRPr="005A5A80">
              <w:rPr>
                <w:sz w:val="24"/>
                <w:szCs w:val="24"/>
                <w:lang w:val="lv-LV"/>
              </w:rPr>
              <w:t xml:space="preserve"> un 2.2.1.4.2.aktivitātes ietvaros</w:t>
            </w:r>
            <w:r w:rsidR="006D1520">
              <w:rPr>
                <w:sz w:val="24"/>
                <w:szCs w:val="24"/>
                <w:lang w:val="lv-LV"/>
              </w:rPr>
              <w:t xml:space="preserve"> -</w:t>
            </w:r>
            <w:r w:rsidR="005A5A80">
              <w:rPr>
                <w:sz w:val="24"/>
                <w:szCs w:val="24"/>
                <w:lang w:val="lv-LV"/>
              </w:rPr>
              <w:t xml:space="preserve"> </w:t>
            </w:r>
            <w:r w:rsidR="007161D3" w:rsidRPr="005A5A80">
              <w:rPr>
                <w:sz w:val="24"/>
                <w:szCs w:val="24"/>
                <w:lang w:val="lv-LV"/>
              </w:rPr>
              <w:t>2 525 </w:t>
            </w:r>
            <w:r w:rsidR="00B700CC" w:rsidRPr="005A5A80">
              <w:rPr>
                <w:sz w:val="24"/>
                <w:szCs w:val="24"/>
                <w:lang w:val="lv-LV"/>
              </w:rPr>
              <w:t>419</w:t>
            </w:r>
            <w:r w:rsidR="007161D3" w:rsidRPr="005A5A80">
              <w:rPr>
                <w:sz w:val="24"/>
                <w:szCs w:val="24"/>
                <w:lang w:val="lv-LV"/>
              </w:rPr>
              <w:t xml:space="preserve"> </w:t>
            </w:r>
            <w:proofErr w:type="spellStart"/>
            <w:r w:rsidR="007161D3" w:rsidRPr="005A5A80">
              <w:rPr>
                <w:i/>
                <w:sz w:val="24"/>
                <w:szCs w:val="24"/>
                <w:lang w:val="lv-LV"/>
              </w:rPr>
              <w:t>euro</w:t>
            </w:r>
            <w:proofErr w:type="spellEnd"/>
            <w:r w:rsidR="007161D3" w:rsidRPr="005A5A80">
              <w:rPr>
                <w:sz w:val="24"/>
                <w:szCs w:val="24"/>
                <w:lang w:val="lv-LV"/>
              </w:rPr>
              <w:t>.</w:t>
            </w:r>
            <w:r w:rsidR="0077534E">
              <w:rPr>
                <w:sz w:val="24"/>
                <w:szCs w:val="24"/>
                <w:lang w:val="lv-LV"/>
              </w:rPr>
              <w:t xml:space="preserve"> </w:t>
            </w:r>
            <w:r w:rsidR="00C77C68" w:rsidRPr="003E5A6D">
              <w:rPr>
                <w:sz w:val="24"/>
                <w:szCs w:val="24"/>
                <w:lang w:val="lv-LV"/>
              </w:rPr>
              <w:t>MK noteikum</w:t>
            </w:r>
            <w:r w:rsidR="00782847" w:rsidRPr="003E5A6D">
              <w:rPr>
                <w:sz w:val="24"/>
                <w:szCs w:val="24"/>
                <w:lang w:val="lv-LV"/>
              </w:rPr>
              <w:t>os</w:t>
            </w:r>
            <w:r w:rsidR="00C77C68" w:rsidRPr="003E5A6D">
              <w:rPr>
                <w:sz w:val="24"/>
                <w:szCs w:val="24"/>
                <w:lang w:val="lv-LV"/>
              </w:rPr>
              <w:t xml:space="preserve"> Nr.613 </w:t>
            </w:r>
            <w:r w:rsidR="00782847" w:rsidRPr="003E5A6D">
              <w:rPr>
                <w:sz w:val="24"/>
                <w:szCs w:val="24"/>
                <w:lang w:val="lv-LV"/>
              </w:rPr>
              <w:t xml:space="preserve">ir noteikts </w:t>
            </w:r>
            <w:r w:rsidR="00C77C68" w:rsidRPr="003E5A6D">
              <w:rPr>
                <w:sz w:val="24"/>
                <w:szCs w:val="24"/>
                <w:lang w:val="lv-LV"/>
              </w:rPr>
              <w:t>investīcij</w:t>
            </w:r>
            <w:r w:rsidR="00782847" w:rsidRPr="003E5A6D">
              <w:rPr>
                <w:sz w:val="24"/>
                <w:szCs w:val="24"/>
                <w:lang w:val="lv-LV"/>
              </w:rPr>
              <w:t>u aizdevumu sniegšana</w:t>
            </w:r>
            <w:r w:rsidR="005A5A80">
              <w:rPr>
                <w:sz w:val="24"/>
                <w:szCs w:val="24"/>
                <w:lang w:val="lv-LV"/>
              </w:rPr>
              <w:t>s termiņš šo noteikumu ietvaros</w:t>
            </w:r>
            <w:r w:rsidR="00782847" w:rsidRPr="003E5A6D">
              <w:rPr>
                <w:sz w:val="24"/>
                <w:szCs w:val="24"/>
                <w:lang w:val="lv-LV"/>
              </w:rPr>
              <w:t xml:space="preserve"> 2014.gada 30.jūnijs</w:t>
            </w:r>
            <w:r w:rsidR="00C77C68" w:rsidRPr="003E5A6D">
              <w:rPr>
                <w:sz w:val="24"/>
                <w:szCs w:val="24"/>
                <w:lang w:val="lv-LV"/>
              </w:rPr>
              <w:t xml:space="preserve">, kas noteikts atbilstoši </w:t>
            </w:r>
            <w:r w:rsidR="005A5A80">
              <w:rPr>
                <w:sz w:val="24"/>
                <w:szCs w:val="24"/>
                <w:lang w:val="lv-LV"/>
              </w:rPr>
              <w:t>Komisijas r</w:t>
            </w:r>
            <w:r w:rsidR="00C77C68" w:rsidRPr="003E5A6D">
              <w:rPr>
                <w:sz w:val="24"/>
                <w:szCs w:val="24"/>
                <w:lang w:val="lv-LV"/>
              </w:rPr>
              <w:t>egulas Nr.800/2008</w:t>
            </w:r>
            <w:r w:rsidR="005C6B2C" w:rsidRPr="003E5A6D">
              <w:rPr>
                <w:sz w:val="24"/>
                <w:szCs w:val="24"/>
                <w:lang w:val="lv-LV"/>
              </w:rPr>
              <w:t xml:space="preserve"> </w:t>
            </w:r>
            <w:r w:rsidR="00C77C68" w:rsidRPr="003E5A6D">
              <w:rPr>
                <w:sz w:val="24"/>
                <w:szCs w:val="24"/>
                <w:lang w:val="lv-LV"/>
              </w:rPr>
              <w:t>44.panta 3.punkt</w:t>
            </w:r>
            <w:r w:rsidR="005C6B2C" w:rsidRPr="003E5A6D">
              <w:rPr>
                <w:sz w:val="24"/>
                <w:szCs w:val="24"/>
                <w:lang w:val="lv-LV"/>
              </w:rPr>
              <w:t>am</w:t>
            </w:r>
            <w:r w:rsidR="00966814" w:rsidRPr="003E5A6D">
              <w:rPr>
                <w:sz w:val="24"/>
                <w:szCs w:val="24"/>
                <w:lang w:val="lv-LV"/>
              </w:rPr>
              <w:t xml:space="preserve"> (MK noteikumu Nr.613 28.punkts)</w:t>
            </w:r>
            <w:r w:rsidR="00C77C68" w:rsidRPr="003E5A6D">
              <w:rPr>
                <w:sz w:val="24"/>
                <w:szCs w:val="24"/>
                <w:lang w:val="lv-LV"/>
              </w:rPr>
              <w:t>.</w:t>
            </w:r>
            <w:r w:rsidR="005C6B2C" w:rsidRPr="003E5A6D">
              <w:rPr>
                <w:sz w:val="24"/>
                <w:szCs w:val="24"/>
                <w:lang w:val="lv-LV"/>
              </w:rPr>
              <w:t xml:space="preserve"> </w:t>
            </w:r>
            <w:r w:rsidR="00782847" w:rsidRPr="003E5A6D">
              <w:rPr>
                <w:sz w:val="24"/>
                <w:szCs w:val="24"/>
                <w:lang w:val="lv-LV"/>
              </w:rPr>
              <w:t xml:space="preserve">Ar </w:t>
            </w:r>
            <w:r w:rsidR="00B65CF6" w:rsidRPr="003E5A6D">
              <w:rPr>
                <w:sz w:val="24"/>
                <w:szCs w:val="24"/>
                <w:lang w:val="lv-LV"/>
              </w:rPr>
              <w:t>šo noteikumu projektu</w:t>
            </w:r>
            <w:r w:rsidR="00782847" w:rsidRPr="003E5A6D">
              <w:rPr>
                <w:sz w:val="24"/>
                <w:szCs w:val="24"/>
                <w:lang w:val="lv-LV"/>
              </w:rPr>
              <w:t xml:space="preserve"> tiek</w:t>
            </w:r>
            <w:r w:rsidRPr="003E5A6D">
              <w:rPr>
                <w:sz w:val="24"/>
                <w:szCs w:val="24"/>
                <w:lang w:val="lv-LV"/>
              </w:rPr>
              <w:t xml:space="preserve"> paredz</w:t>
            </w:r>
            <w:r w:rsidR="00782847" w:rsidRPr="003E5A6D">
              <w:rPr>
                <w:sz w:val="24"/>
                <w:szCs w:val="24"/>
                <w:lang w:val="lv-LV"/>
              </w:rPr>
              <w:t>ēts, ka atbalsts tiek piešķirts</w:t>
            </w:r>
            <w:r w:rsidRPr="003E5A6D">
              <w:rPr>
                <w:sz w:val="24"/>
                <w:szCs w:val="24"/>
                <w:lang w:val="lv-LV"/>
              </w:rPr>
              <w:t xml:space="preserve"> arī a</w:t>
            </w:r>
            <w:r w:rsidR="005C6B2C" w:rsidRPr="003E5A6D">
              <w:rPr>
                <w:sz w:val="24"/>
                <w:szCs w:val="24"/>
                <w:lang w:val="lv-LV"/>
              </w:rPr>
              <w:t>pgrozāmo līdzekļu aizdevum</w:t>
            </w:r>
            <w:r w:rsidR="00782847" w:rsidRPr="003E5A6D">
              <w:rPr>
                <w:sz w:val="24"/>
                <w:szCs w:val="24"/>
                <w:lang w:val="lv-LV"/>
              </w:rPr>
              <w:t>iem</w:t>
            </w:r>
            <w:r w:rsidRPr="003E5A6D">
              <w:rPr>
                <w:sz w:val="24"/>
                <w:szCs w:val="24"/>
                <w:lang w:val="lv-LV"/>
              </w:rPr>
              <w:t xml:space="preserve"> </w:t>
            </w:r>
            <w:r w:rsidR="00782847" w:rsidRPr="003E5A6D">
              <w:rPr>
                <w:sz w:val="24"/>
                <w:szCs w:val="24"/>
                <w:lang w:val="lv-LV"/>
              </w:rPr>
              <w:t>un to plānots izsniegt</w:t>
            </w:r>
            <w:r w:rsidR="005C6B2C" w:rsidRPr="003E5A6D">
              <w:rPr>
                <w:sz w:val="24"/>
                <w:szCs w:val="24"/>
                <w:lang w:val="lv-LV"/>
              </w:rPr>
              <w:t xml:space="preserve"> </w:t>
            </w:r>
            <w:r w:rsidR="005C6B2C" w:rsidRPr="003E5A6D">
              <w:rPr>
                <w:i/>
                <w:sz w:val="24"/>
                <w:szCs w:val="24"/>
                <w:lang w:val="lv-LV"/>
              </w:rPr>
              <w:t xml:space="preserve">de minimis </w:t>
            </w:r>
            <w:r w:rsidR="005C6B2C" w:rsidRPr="003E5A6D">
              <w:rPr>
                <w:sz w:val="24"/>
                <w:szCs w:val="24"/>
                <w:lang w:val="lv-LV"/>
              </w:rPr>
              <w:t>atbalst</w:t>
            </w:r>
            <w:r w:rsidR="00782847" w:rsidRPr="003E5A6D">
              <w:rPr>
                <w:sz w:val="24"/>
                <w:szCs w:val="24"/>
                <w:lang w:val="lv-LV"/>
              </w:rPr>
              <w:t>a veidā</w:t>
            </w:r>
            <w:r w:rsidR="005C6B2C" w:rsidRPr="003E5A6D">
              <w:rPr>
                <w:sz w:val="24"/>
                <w:szCs w:val="24"/>
                <w:lang w:val="lv-LV"/>
              </w:rPr>
              <w:t xml:space="preserve"> saskaņā ar </w:t>
            </w:r>
            <w:r w:rsidR="005A5A80">
              <w:rPr>
                <w:sz w:val="24"/>
                <w:szCs w:val="24"/>
                <w:lang w:val="lv-LV"/>
              </w:rPr>
              <w:t>Komisijas r</w:t>
            </w:r>
            <w:r w:rsidR="005C6B2C" w:rsidRPr="003E5A6D">
              <w:rPr>
                <w:sz w:val="24"/>
                <w:szCs w:val="24"/>
                <w:lang w:val="lv-LV"/>
              </w:rPr>
              <w:t xml:space="preserve">egulu Nr.1407/2013. </w:t>
            </w:r>
            <w:r w:rsidR="005A5A80">
              <w:rPr>
                <w:sz w:val="24"/>
                <w:szCs w:val="24"/>
                <w:lang w:val="lv-LV"/>
              </w:rPr>
              <w:t>Komisijas r</w:t>
            </w:r>
            <w:r w:rsidR="005C6B2C" w:rsidRPr="003E5A6D">
              <w:rPr>
                <w:sz w:val="24"/>
                <w:szCs w:val="24"/>
                <w:lang w:val="lv-LV"/>
              </w:rPr>
              <w:t>egulas Nr.1407/2013 8.pants nosaka, ka to piemēro no 2014.gada 1.janvāra līdz 2020.gada 31.decembrim, tādejādi E</w:t>
            </w:r>
            <w:r w:rsidR="00782847" w:rsidRPr="003E5A6D">
              <w:rPr>
                <w:sz w:val="24"/>
                <w:szCs w:val="24"/>
                <w:lang w:val="lv-LV"/>
              </w:rPr>
              <w:t>konomikas ministrijai</w:t>
            </w:r>
            <w:r w:rsidR="005C6B2C" w:rsidRPr="003E5A6D">
              <w:rPr>
                <w:sz w:val="24"/>
                <w:szCs w:val="24"/>
                <w:lang w:val="lv-LV"/>
              </w:rPr>
              <w:t xml:space="preserve"> ir tiesiskais pamats, lai apgrozāmo līdzekļu aizdevumu izsniegšanas termiņu noteiktu līdz 2015.gada 31.decembrim, kas ir 2007.-2013.gada plānošanas perioda ietvaros pieejamā finansējuma izmantošanas termiņš.</w:t>
            </w:r>
          </w:p>
          <w:p w:rsidR="00304810" w:rsidRPr="003E5A6D" w:rsidRDefault="00304810" w:rsidP="00783D20">
            <w:pPr>
              <w:ind w:firstLine="709"/>
              <w:jc w:val="both"/>
              <w:rPr>
                <w:sz w:val="24"/>
                <w:szCs w:val="24"/>
                <w:lang w:val="lv-LV"/>
              </w:rPr>
            </w:pPr>
            <w:r>
              <w:rPr>
                <w:sz w:val="24"/>
                <w:szCs w:val="24"/>
                <w:lang w:val="lv-LV"/>
              </w:rPr>
              <w:t>T</w:t>
            </w:r>
            <w:r w:rsidRPr="00304810">
              <w:rPr>
                <w:sz w:val="24"/>
                <w:szCs w:val="24"/>
                <w:lang w:val="lv-LV"/>
              </w:rPr>
              <w:t xml:space="preserve">iesiskās paļāvības princips neizslēdz valsts iespēju </w:t>
            </w:r>
            <w:r>
              <w:rPr>
                <w:sz w:val="24"/>
                <w:szCs w:val="24"/>
                <w:lang w:val="lv-LV"/>
              </w:rPr>
              <w:t xml:space="preserve">veikt </w:t>
            </w:r>
            <w:r w:rsidRPr="00304810">
              <w:rPr>
                <w:sz w:val="24"/>
                <w:szCs w:val="24"/>
                <w:lang w:val="lv-LV"/>
              </w:rPr>
              <w:t>grozī</w:t>
            </w:r>
            <w:r>
              <w:rPr>
                <w:sz w:val="24"/>
                <w:szCs w:val="24"/>
                <w:lang w:val="lv-LV"/>
              </w:rPr>
              <w:t>jumus MK noteikumos Nr.613, aizstājot tos ar jaunu noteikumu projektu. Lai nodrošin</w:t>
            </w:r>
            <w:r w:rsidR="00593343">
              <w:rPr>
                <w:sz w:val="24"/>
                <w:szCs w:val="24"/>
                <w:lang w:val="lv-LV"/>
              </w:rPr>
              <w:t>ātu tiesiskās paļāvības principa ievērošanu,</w:t>
            </w:r>
            <w:r>
              <w:rPr>
                <w:sz w:val="24"/>
                <w:szCs w:val="24"/>
                <w:lang w:val="lv-LV"/>
              </w:rPr>
              <w:t xml:space="preserve"> </w:t>
            </w:r>
            <w:r>
              <w:rPr>
                <w:sz w:val="24"/>
                <w:szCs w:val="24"/>
                <w:lang w:val="lv-LV"/>
              </w:rPr>
              <w:lastRenderedPageBreak/>
              <w:t xml:space="preserve">nemainīsies </w:t>
            </w:r>
            <w:r w:rsidR="00783D20">
              <w:rPr>
                <w:sz w:val="24"/>
                <w:szCs w:val="24"/>
                <w:lang w:val="lv-LV"/>
              </w:rPr>
              <w:t xml:space="preserve">aizdevumu </w:t>
            </w:r>
            <w:r>
              <w:rPr>
                <w:sz w:val="24"/>
                <w:szCs w:val="24"/>
                <w:lang w:val="lv-LV"/>
              </w:rPr>
              <w:t xml:space="preserve">nosacījumi tiem saimnieciskās darbības veicējiem, kas </w:t>
            </w:r>
            <w:r w:rsidR="00783D20">
              <w:rPr>
                <w:sz w:val="24"/>
                <w:szCs w:val="24"/>
                <w:lang w:val="lv-LV"/>
              </w:rPr>
              <w:t xml:space="preserve">mezanīna </w:t>
            </w:r>
            <w:r>
              <w:rPr>
                <w:sz w:val="24"/>
                <w:szCs w:val="24"/>
                <w:lang w:val="lv-LV"/>
              </w:rPr>
              <w:t>aizdevumu saņēmuši līdz š</w:t>
            </w:r>
            <w:r w:rsidR="00783D20">
              <w:rPr>
                <w:sz w:val="24"/>
                <w:szCs w:val="24"/>
                <w:lang w:val="lv-LV"/>
              </w:rPr>
              <w:t>ī</w:t>
            </w:r>
            <w:r>
              <w:rPr>
                <w:sz w:val="24"/>
                <w:szCs w:val="24"/>
                <w:lang w:val="lv-LV"/>
              </w:rPr>
              <w:t xml:space="preserve"> noteikumu projekta spēkā stāšanās brīdim. </w:t>
            </w:r>
          </w:p>
        </w:tc>
      </w:tr>
      <w:tr w:rsidR="00EA6CD3"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255BAC" w:rsidP="00CB6AC4">
            <w:pPr>
              <w:jc w:val="both"/>
              <w:rPr>
                <w:rFonts w:eastAsia="Times New Roman"/>
                <w:sz w:val="24"/>
                <w:szCs w:val="24"/>
                <w:lang w:val="lv-LV" w:eastAsia="lv-LV"/>
              </w:rPr>
            </w:pPr>
            <w:r>
              <w:rPr>
                <w:rFonts w:eastAsia="Times New Roman"/>
                <w:sz w:val="24"/>
                <w:szCs w:val="24"/>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255BAC" w:rsidP="00CB6AC4">
            <w:pPr>
              <w:ind w:firstLine="720"/>
              <w:jc w:val="both"/>
              <w:rPr>
                <w:bCs/>
                <w:sz w:val="24"/>
                <w:szCs w:val="24"/>
                <w:lang w:val="lv-LV"/>
              </w:rPr>
            </w:pPr>
            <w:r>
              <w:rPr>
                <w:iCs/>
                <w:sz w:val="24"/>
                <w:szCs w:val="24"/>
                <w:lang w:val="lv-LV"/>
              </w:rPr>
              <w:t>Ekonomikas ministrija</w:t>
            </w:r>
            <w:r w:rsidR="00EA6CD3" w:rsidRPr="003E5A6D">
              <w:rPr>
                <w:color w:val="000000"/>
                <w:sz w:val="24"/>
                <w:szCs w:val="24"/>
                <w:lang w:val="lv-LV"/>
              </w:rPr>
              <w:t xml:space="preserve"> </w:t>
            </w:r>
          </w:p>
        </w:tc>
      </w:tr>
      <w:tr w:rsidR="00B300C7"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Default="00B300C7" w:rsidP="00CB6AC4">
            <w:pPr>
              <w:jc w:val="both"/>
              <w:rPr>
                <w:rFonts w:eastAsia="Times New Roman"/>
                <w:sz w:val="24"/>
                <w:szCs w:val="24"/>
                <w:lang w:val="lv-LV" w:eastAsia="lv-LV"/>
              </w:rPr>
            </w:pPr>
            <w:r>
              <w:rPr>
                <w:rFonts w:eastAsia="Times New Roman"/>
                <w:sz w:val="24"/>
                <w:szCs w:val="24"/>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Default="00B300C7" w:rsidP="00CB6AC4">
            <w:pPr>
              <w:ind w:firstLine="720"/>
              <w:jc w:val="both"/>
              <w:rPr>
                <w:iCs/>
                <w:sz w:val="24"/>
                <w:szCs w:val="24"/>
                <w:lang w:val="lv-LV"/>
              </w:rPr>
            </w:pPr>
            <w:r>
              <w:rPr>
                <w:iCs/>
                <w:sz w:val="24"/>
                <w:szCs w:val="24"/>
                <w:lang w:val="lv-LV"/>
              </w:rPr>
              <w:t>Nav</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895E41" w:rsidRDefault="00895E41" w:rsidP="00A23E8B">
      <w:pPr>
        <w:pStyle w:val="naisf"/>
        <w:spacing w:before="0" w:after="0"/>
        <w:ind w:firstLine="0"/>
      </w:pPr>
    </w:p>
    <w:p w:rsidR="00ED4255" w:rsidRPr="003E5A6D" w:rsidRDefault="00ED4255"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ind w:firstLine="720"/>
              <w:jc w:val="center"/>
              <w:rPr>
                <w:rFonts w:eastAsia="Times New Roman"/>
                <w:b/>
                <w:sz w:val="24"/>
                <w:szCs w:val="24"/>
                <w:lang w:val="lv-LV" w:eastAsia="lv-LV"/>
              </w:rPr>
            </w:pPr>
            <w:r w:rsidRPr="003E5A6D">
              <w:rPr>
                <w:rFonts w:eastAsia="Times New Roman"/>
                <w:b/>
                <w:sz w:val="24"/>
                <w:szCs w:val="24"/>
                <w:lang w:val="lv-LV" w:eastAsia="lv-LV"/>
              </w:rPr>
              <w:t>II. Tiesību akta projekta ietekme uz sabiedrību</w:t>
            </w:r>
            <w:r w:rsidR="00255BAC">
              <w:rPr>
                <w:rFonts w:eastAsia="Times New Roman"/>
                <w:b/>
                <w:sz w:val="24"/>
                <w:szCs w:val="24"/>
                <w:lang w:val="lv-LV" w:eastAsia="lv-LV"/>
              </w:rPr>
              <w:t>, tautsaimniecības attīstību un administratīvo slogu</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Sabiedrības mērķgrupa</w:t>
            </w:r>
            <w:r w:rsidR="00255BAC">
              <w:rPr>
                <w:rFonts w:eastAsia="Times New Roman"/>
                <w:sz w:val="24"/>
                <w:szCs w:val="24"/>
                <w:lang w:val="lv-LV" w:eastAsia="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646A6F" w:rsidP="00D217AC">
            <w:pPr>
              <w:ind w:firstLine="720"/>
              <w:jc w:val="both"/>
              <w:rPr>
                <w:sz w:val="24"/>
                <w:szCs w:val="24"/>
                <w:lang w:val="lv-LV"/>
              </w:rPr>
            </w:pPr>
            <w:r w:rsidRPr="003E5A6D">
              <w:rPr>
                <w:sz w:val="24"/>
                <w:szCs w:val="24"/>
                <w:lang w:val="lv-LV"/>
              </w:rPr>
              <w:t>Latvijā reģistrēti saimnieciskās darbības veicēji, k</w:t>
            </w:r>
            <w:r w:rsidR="005B476F" w:rsidRPr="003E5A6D">
              <w:rPr>
                <w:sz w:val="24"/>
                <w:szCs w:val="24"/>
                <w:lang w:val="lv-LV"/>
              </w:rPr>
              <w:t xml:space="preserve">uri </w:t>
            </w:r>
            <w:r w:rsidRPr="003E5A6D">
              <w:rPr>
                <w:sz w:val="24"/>
                <w:szCs w:val="24"/>
                <w:lang w:val="lv-LV"/>
              </w:rPr>
              <w:t xml:space="preserve">atbilst </w:t>
            </w:r>
            <w:r w:rsidR="00D217AC">
              <w:rPr>
                <w:sz w:val="24"/>
                <w:szCs w:val="24"/>
                <w:lang w:val="lv-LV"/>
              </w:rPr>
              <w:t>noteikumu projekta</w:t>
            </w:r>
            <w:r w:rsidRPr="003E5A6D">
              <w:rPr>
                <w:sz w:val="24"/>
                <w:szCs w:val="24"/>
                <w:lang w:val="lv-LV"/>
              </w:rPr>
              <w:t xml:space="preserve"> </w:t>
            </w:r>
            <w:r w:rsidR="005B476F" w:rsidRPr="003E5A6D">
              <w:rPr>
                <w:sz w:val="24"/>
                <w:szCs w:val="24"/>
                <w:lang w:val="lv-LV"/>
              </w:rPr>
              <w:t>normām.</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255BAC" w:rsidP="00CB6AC4">
            <w:pPr>
              <w:jc w:val="both"/>
              <w:rPr>
                <w:rFonts w:eastAsia="Times New Roman"/>
                <w:sz w:val="24"/>
                <w:szCs w:val="24"/>
                <w:lang w:val="lv-LV" w:eastAsia="lv-LV"/>
              </w:rPr>
            </w:pPr>
            <w:r>
              <w:rPr>
                <w:rFonts w:eastAsia="Times New Roman"/>
                <w:sz w:val="24"/>
                <w:szCs w:val="24"/>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255BAC" w:rsidP="00A23E8B">
            <w:pPr>
              <w:pStyle w:val="BodyText"/>
              <w:ind w:right="142" w:firstLine="720"/>
              <w:rPr>
                <w:iCs/>
                <w:sz w:val="24"/>
                <w:szCs w:val="24"/>
              </w:rPr>
            </w:pPr>
            <w:r>
              <w:rPr>
                <w:iCs/>
                <w:sz w:val="24"/>
                <w:szCs w:val="24"/>
              </w:rPr>
              <w:t>Projekts šo jomu neskar</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5BAC" w:rsidP="00CB6AC4">
            <w:pPr>
              <w:jc w:val="both"/>
              <w:rPr>
                <w:rFonts w:eastAsia="Times New Roman"/>
                <w:sz w:val="24"/>
                <w:szCs w:val="24"/>
                <w:lang w:val="lv-LV" w:eastAsia="lv-LV"/>
              </w:rPr>
            </w:pPr>
            <w:r>
              <w:rPr>
                <w:rFonts w:eastAsia="Times New Roman"/>
                <w:sz w:val="24"/>
                <w:szCs w:val="24"/>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3E5A6D" w:rsidRDefault="00255BAC" w:rsidP="001D0800">
            <w:pPr>
              <w:pStyle w:val="BodyText"/>
              <w:ind w:right="142" w:firstLine="720"/>
              <w:rPr>
                <w:sz w:val="24"/>
                <w:szCs w:val="24"/>
              </w:rPr>
            </w:pPr>
            <w:r>
              <w:rPr>
                <w:sz w:val="24"/>
                <w:szCs w:val="24"/>
              </w:rPr>
              <w:t>Projekts šo jomu neskar</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A0BC1" w:rsidP="00CB6AC4">
            <w:pPr>
              <w:jc w:val="both"/>
              <w:rPr>
                <w:rFonts w:eastAsia="Times New Roman"/>
                <w:sz w:val="24"/>
                <w:szCs w:val="24"/>
                <w:lang w:val="lv-LV" w:eastAsia="lv-LV"/>
              </w:rPr>
            </w:pPr>
            <w:r>
              <w:rPr>
                <w:rFonts w:eastAsia="Times New Roman"/>
                <w:sz w:val="24"/>
                <w:szCs w:val="24"/>
                <w:lang w:val="lv-LV" w:eastAsia="lv-LV"/>
              </w:rPr>
              <w:t>4</w:t>
            </w:r>
            <w:r w:rsidR="00EA6CD3" w:rsidRPr="003E5A6D">
              <w:rPr>
                <w:rFonts w:eastAsia="Times New Roman"/>
                <w:sz w:val="24"/>
                <w:szCs w:val="24"/>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B300C7"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895E41" w:rsidRPr="003E5A6D" w:rsidRDefault="00895E41">
      <w:pPr>
        <w:rPr>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3E5A6D"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ind w:firstLine="720"/>
              <w:jc w:val="both"/>
              <w:rPr>
                <w:rFonts w:eastAsia="Times New Roman"/>
                <w:b/>
                <w:sz w:val="24"/>
                <w:szCs w:val="24"/>
                <w:lang w:val="lv-LV" w:eastAsia="lv-LV"/>
              </w:rPr>
            </w:pPr>
            <w:r w:rsidRPr="003E5A6D">
              <w:rPr>
                <w:rFonts w:eastAsia="Times New Roman"/>
                <w:b/>
                <w:sz w:val="24"/>
                <w:szCs w:val="24"/>
                <w:lang w:val="lv-LV" w:eastAsia="lv-LV"/>
              </w:rPr>
              <w:t>IV. Tiesību akta projekta ietekme uz spēkā esošo tiesību normu sistēmu</w:t>
            </w:r>
          </w:p>
        </w:tc>
      </w:tr>
      <w:tr w:rsidR="00EA6CD3"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D217AC">
            <w:pPr>
              <w:pStyle w:val="BodyText"/>
              <w:ind w:right="142" w:firstLine="720"/>
              <w:rPr>
                <w:sz w:val="24"/>
                <w:szCs w:val="24"/>
              </w:rPr>
            </w:pPr>
            <w:r w:rsidRPr="003E5A6D">
              <w:rPr>
                <w:sz w:val="24"/>
                <w:szCs w:val="24"/>
              </w:rPr>
              <w:t xml:space="preserve"> </w:t>
            </w:r>
            <w:r w:rsidR="00D217AC">
              <w:rPr>
                <w:sz w:val="24"/>
                <w:szCs w:val="24"/>
              </w:rPr>
              <w:t>Paralēli ar</w:t>
            </w:r>
            <w:r w:rsidRPr="003E5A6D">
              <w:rPr>
                <w:sz w:val="24"/>
                <w:szCs w:val="24"/>
              </w:rPr>
              <w:t xml:space="preserve"> </w:t>
            </w:r>
            <w:r w:rsidR="00D217AC">
              <w:rPr>
                <w:sz w:val="24"/>
                <w:szCs w:val="24"/>
              </w:rPr>
              <w:t xml:space="preserve">noteikumu projektu </w:t>
            </w:r>
            <w:r w:rsidRPr="003E5A6D">
              <w:rPr>
                <w:sz w:val="24"/>
                <w:szCs w:val="24"/>
              </w:rPr>
              <w:t xml:space="preserve">tiek virzīti grozījumi Ministru kabineta 2011.gada 2.augusta noteikumos Nr.614 </w:t>
            </w:r>
            <w:r w:rsidR="002A0BC1">
              <w:rPr>
                <w:sz w:val="24"/>
                <w:szCs w:val="24"/>
              </w:rPr>
              <w:t>„</w:t>
            </w:r>
            <w:r w:rsidRPr="003E5A6D">
              <w:rPr>
                <w:sz w:val="24"/>
                <w:szCs w:val="24"/>
              </w:rPr>
              <w:t>Noteikumi par darbības programmas „Uzņēmējdarbība un inovācijas”</w:t>
            </w:r>
            <w:r w:rsidR="00C85115" w:rsidRPr="003E5A6D">
              <w:rPr>
                <w:sz w:val="24"/>
                <w:szCs w:val="24"/>
              </w:rPr>
              <w:t xml:space="preserve"> </w:t>
            </w:r>
            <w:r w:rsidRPr="003E5A6D">
              <w:rPr>
                <w:sz w:val="24"/>
                <w:szCs w:val="24"/>
              </w:rPr>
              <w:t>papildinājuma 2.2.1.4.2.apakšaktivitāti „Mezanīna aizdevumi investīcijām komersa</w:t>
            </w:r>
            <w:r w:rsidR="00F716EF" w:rsidRPr="003E5A6D">
              <w:rPr>
                <w:sz w:val="24"/>
                <w:szCs w:val="24"/>
              </w:rPr>
              <w:t>ntu konkurētspējas uzlabošanai”</w:t>
            </w:r>
            <w:r w:rsidR="002A0BC1">
              <w:rPr>
                <w:sz w:val="24"/>
                <w:szCs w:val="24"/>
              </w:rPr>
              <w:t>”</w:t>
            </w:r>
            <w:r w:rsidR="00F716EF" w:rsidRPr="003E5A6D">
              <w:rPr>
                <w:sz w:val="24"/>
                <w:szCs w:val="24"/>
              </w:rPr>
              <w:t xml:space="preserve"> un grozījumi </w:t>
            </w:r>
            <w:r w:rsidR="00D217AC">
              <w:rPr>
                <w:sz w:val="24"/>
                <w:szCs w:val="24"/>
              </w:rPr>
              <w:t>DPP.</w:t>
            </w:r>
          </w:p>
        </w:tc>
      </w:tr>
      <w:tr w:rsidR="002A0BC1"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3E5A6D" w:rsidRDefault="002A0BC1" w:rsidP="00CB6AC4">
            <w:pPr>
              <w:jc w:val="both"/>
              <w:rPr>
                <w:rFonts w:eastAsia="Times New Roman"/>
                <w:sz w:val="24"/>
                <w:szCs w:val="24"/>
                <w:lang w:val="lv-LV" w:eastAsia="lv-LV"/>
              </w:rPr>
            </w:pPr>
            <w:r>
              <w:rPr>
                <w:rFonts w:eastAsia="Times New Roman"/>
                <w:sz w:val="24"/>
                <w:szCs w:val="24"/>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3E5A6D" w:rsidRDefault="002A0BC1" w:rsidP="00CB6AC4">
            <w:pPr>
              <w:jc w:val="both"/>
              <w:rPr>
                <w:rFonts w:eastAsia="Times New Roman"/>
                <w:sz w:val="24"/>
                <w:szCs w:val="24"/>
                <w:lang w:val="lv-LV" w:eastAsia="lv-LV"/>
              </w:rPr>
            </w:pPr>
            <w:r>
              <w:rPr>
                <w:rFonts w:eastAsia="Times New Roman"/>
                <w:sz w:val="24"/>
                <w:szCs w:val="24"/>
                <w:lang w:val="lv-LV" w:eastAsia="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3E5A6D" w:rsidRDefault="002A0BC1" w:rsidP="00D217AC">
            <w:pPr>
              <w:pStyle w:val="BodyText"/>
              <w:ind w:right="142" w:firstLine="720"/>
              <w:rPr>
                <w:sz w:val="24"/>
                <w:szCs w:val="24"/>
              </w:rPr>
            </w:pPr>
            <w:r>
              <w:rPr>
                <w:sz w:val="24"/>
                <w:szCs w:val="24"/>
              </w:rPr>
              <w:t>Ekonomikas ministrija</w:t>
            </w:r>
          </w:p>
        </w:tc>
      </w:tr>
      <w:tr w:rsidR="00EA6CD3" w:rsidRPr="003E5A6D"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A0BC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5B476F" w:rsidP="00CB6AC4">
            <w:pPr>
              <w:ind w:firstLine="720"/>
              <w:jc w:val="both"/>
              <w:rPr>
                <w:rFonts w:eastAsia="Times New Roman"/>
                <w:sz w:val="24"/>
                <w:szCs w:val="24"/>
                <w:lang w:val="lv-LV" w:eastAsia="lv-LV"/>
              </w:rPr>
            </w:pPr>
            <w:r w:rsidRPr="003E5A6D">
              <w:rPr>
                <w:rFonts w:eastAsia="Times New Roman"/>
                <w:sz w:val="24"/>
                <w:szCs w:val="24"/>
                <w:lang w:val="lv-LV" w:eastAsia="lv-LV"/>
              </w:rPr>
              <w:t>Pēc noteikumu projekta spēkā stāšanās, tiks veikti grozījumi līgumā ar LGA.</w:t>
            </w:r>
          </w:p>
        </w:tc>
      </w:tr>
    </w:tbl>
    <w:p w:rsidR="00895E41" w:rsidRDefault="00895E41" w:rsidP="00EA6CD3">
      <w:pPr>
        <w:rPr>
          <w:sz w:val="24"/>
          <w:szCs w:val="24"/>
          <w:lang w:val="lv-LV"/>
        </w:rPr>
      </w:pPr>
    </w:p>
    <w:p w:rsidR="00ED4255" w:rsidRPr="003E5A6D" w:rsidRDefault="00ED4255" w:rsidP="00EA6CD3">
      <w:pPr>
        <w:rPr>
          <w:sz w:val="24"/>
          <w:szCs w:val="24"/>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61"/>
        <w:gridCol w:w="1831"/>
        <w:gridCol w:w="537"/>
        <w:gridCol w:w="1303"/>
        <w:gridCol w:w="1380"/>
        <w:gridCol w:w="3532"/>
      </w:tblGrid>
      <w:tr w:rsidR="00EA6CD3" w:rsidRPr="003E5A6D" w:rsidTr="00CB6AC4">
        <w:trPr>
          <w:tblCellSpacing w:w="15" w:type="dxa"/>
        </w:trPr>
        <w:tc>
          <w:tcPr>
            <w:tcW w:w="4966" w:type="pct"/>
            <w:gridSpan w:val="6"/>
            <w:shd w:val="clear" w:color="auto" w:fill="auto"/>
            <w:hideMark/>
          </w:tcPr>
          <w:p w:rsidR="00EA6CD3" w:rsidRPr="003E5A6D" w:rsidRDefault="00EA6CD3" w:rsidP="00CB6AC4">
            <w:pPr>
              <w:jc w:val="center"/>
              <w:rPr>
                <w:rFonts w:eastAsia="Times New Roman"/>
                <w:b/>
                <w:bCs/>
                <w:sz w:val="24"/>
                <w:szCs w:val="24"/>
                <w:lang w:val="lv-LV" w:eastAsia="lv-LV"/>
              </w:rPr>
            </w:pPr>
            <w:r w:rsidRPr="003E5A6D">
              <w:rPr>
                <w:rFonts w:eastAsia="Times New Roman"/>
                <w:b/>
                <w:bCs/>
                <w:sz w:val="24"/>
                <w:szCs w:val="24"/>
                <w:lang w:val="lv-LV" w:eastAsia="lv-LV"/>
              </w:rPr>
              <w:t>V. Tiesību akta projekta atbilstība Latvijas Republikas starptautiskajām saistībām</w:t>
            </w:r>
          </w:p>
        </w:tc>
      </w:tr>
      <w:tr w:rsidR="006D1520" w:rsidRPr="003E5A6D" w:rsidTr="00A14369">
        <w:trPr>
          <w:tblCellSpacing w:w="15" w:type="dxa"/>
        </w:trPr>
        <w:tc>
          <w:tcPr>
            <w:tcW w:w="177" w:type="pct"/>
            <w:shd w:val="clear" w:color="auto" w:fill="auto"/>
            <w:hideMark/>
          </w:tcPr>
          <w:p w:rsidR="00EA6CD3" w:rsidRPr="003E5A6D" w:rsidRDefault="00EA6CD3" w:rsidP="00CB6AC4">
            <w:pPr>
              <w:jc w:val="center"/>
              <w:rPr>
                <w:rFonts w:eastAsia="Times New Roman"/>
                <w:sz w:val="24"/>
                <w:szCs w:val="24"/>
                <w:lang w:val="lv-LV" w:eastAsia="lv-LV"/>
              </w:rPr>
            </w:pPr>
            <w:r w:rsidRPr="003E5A6D">
              <w:rPr>
                <w:rFonts w:eastAsia="Times New Roman"/>
                <w:sz w:val="24"/>
                <w:szCs w:val="24"/>
                <w:lang w:val="lv-LV" w:eastAsia="lv-LV"/>
              </w:rPr>
              <w:t>1.</w:t>
            </w:r>
          </w:p>
        </w:tc>
        <w:tc>
          <w:tcPr>
            <w:tcW w:w="1320" w:type="pct"/>
            <w:gridSpan w:val="2"/>
            <w:shd w:val="clear" w:color="auto" w:fill="auto"/>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Saistības pret Eiropas Savienību</w:t>
            </w:r>
          </w:p>
        </w:tc>
        <w:tc>
          <w:tcPr>
            <w:tcW w:w="3436" w:type="pct"/>
            <w:gridSpan w:val="3"/>
            <w:shd w:val="clear" w:color="auto" w:fill="auto"/>
            <w:hideMark/>
          </w:tcPr>
          <w:p w:rsidR="00EA6CD3" w:rsidRPr="003E5A6D" w:rsidRDefault="00EA6CD3" w:rsidP="00F716EF">
            <w:pPr>
              <w:ind w:firstLine="364"/>
              <w:jc w:val="both"/>
              <w:rPr>
                <w:sz w:val="24"/>
                <w:szCs w:val="24"/>
                <w:lang w:val="lv-LV"/>
              </w:rPr>
            </w:pPr>
            <w:r w:rsidRPr="003E5A6D">
              <w:rPr>
                <w:rFonts w:eastAsia="Times New Roman"/>
                <w:sz w:val="24"/>
                <w:szCs w:val="24"/>
                <w:lang w:val="lv-LV" w:eastAsia="lv-LV"/>
              </w:rPr>
              <w:t xml:space="preserve">Noteikumu projekts paredz </w:t>
            </w:r>
            <w:r w:rsidR="006D1520">
              <w:rPr>
                <w:rFonts w:eastAsia="Times New Roman"/>
                <w:sz w:val="24"/>
                <w:szCs w:val="24"/>
                <w:lang w:val="lv-LV" w:eastAsia="lv-LV"/>
              </w:rPr>
              <w:t xml:space="preserve">Komisijas </w:t>
            </w:r>
            <w:r w:rsidR="006D1520">
              <w:rPr>
                <w:sz w:val="24"/>
                <w:szCs w:val="24"/>
                <w:lang w:val="lv-LV"/>
              </w:rPr>
              <w:t>r</w:t>
            </w:r>
            <w:r w:rsidRPr="003E5A6D">
              <w:rPr>
                <w:sz w:val="24"/>
                <w:szCs w:val="24"/>
                <w:lang w:val="lv-LV"/>
              </w:rPr>
              <w:t xml:space="preserve">egulas Nr.800/2008 </w:t>
            </w:r>
            <w:r w:rsidR="00F716EF" w:rsidRPr="003E5A6D">
              <w:rPr>
                <w:sz w:val="24"/>
                <w:szCs w:val="24"/>
                <w:lang w:val="lv-LV"/>
              </w:rPr>
              <w:t xml:space="preserve">un </w:t>
            </w:r>
            <w:r w:rsidR="006D1520">
              <w:rPr>
                <w:sz w:val="24"/>
                <w:szCs w:val="24"/>
                <w:lang w:val="lv-LV"/>
              </w:rPr>
              <w:t>Komisijas r</w:t>
            </w:r>
            <w:r w:rsidR="00F716EF" w:rsidRPr="003E5A6D">
              <w:rPr>
                <w:sz w:val="24"/>
                <w:szCs w:val="24"/>
                <w:lang w:val="lv-LV"/>
              </w:rPr>
              <w:t>egulas</w:t>
            </w:r>
            <w:r w:rsidRPr="003E5A6D">
              <w:rPr>
                <w:sz w:val="24"/>
                <w:szCs w:val="24"/>
                <w:lang w:val="lv-LV"/>
              </w:rPr>
              <w:t xml:space="preserve"> </w:t>
            </w:r>
            <w:r w:rsidR="00F716EF" w:rsidRPr="003E5A6D">
              <w:rPr>
                <w:sz w:val="24"/>
                <w:szCs w:val="24"/>
                <w:lang w:val="lv-LV"/>
              </w:rPr>
              <w:t>Nr.1407/2013 ietverto nosacījumu ieviešanu.</w:t>
            </w:r>
          </w:p>
        </w:tc>
      </w:tr>
      <w:tr w:rsidR="006D1520" w:rsidRPr="003E5A6D" w:rsidTr="00A14369">
        <w:trPr>
          <w:tblCellSpacing w:w="15" w:type="dxa"/>
        </w:trPr>
        <w:tc>
          <w:tcPr>
            <w:tcW w:w="177" w:type="pct"/>
            <w:shd w:val="clear" w:color="auto" w:fill="auto"/>
            <w:hideMark/>
          </w:tcPr>
          <w:p w:rsidR="00EA6CD3" w:rsidRPr="003E5A6D" w:rsidRDefault="00EA6CD3" w:rsidP="00CB6AC4">
            <w:pPr>
              <w:jc w:val="center"/>
              <w:rPr>
                <w:rFonts w:eastAsia="Times New Roman"/>
                <w:sz w:val="24"/>
                <w:szCs w:val="24"/>
                <w:lang w:val="lv-LV" w:eastAsia="lv-LV"/>
              </w:rPr>
            </w:pPr>
            <w:r w:rsidRPr="003E5A6D">
              <w:rPr>
                <w:rFonts w:eastAsia="Times New Roman"/>
                <w:sz w:val="24"/>
                <w:szCs w:val="24"/>
                <w:lang w:val="lv-LV" w:eastAsia="lv-LV"/>
              </w:rPr>
              <w:t>2.</w:t>
            </w:r>
          </w:p>
        </w:tc>
        <w:tc>
          <w:tcPr>
            <w:tcW w:w="1320" w:type="pct"/>
            <w:gridSpan w:val="2"/>
            <w:shd w:val="clear" w:color="auto" w:fill="auto"/>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Citas starptautiskās saistības</w:t>
            </w:r>
          </w:p>
        </w:tc>
        <w:tc>
          <w:tcPr>
            <w:tcW w:w="3436" w:type="pct"/>
            <w:gridSpan w:val="3"/>
            <w:shd w:val="clear" w:color="auto" w:fill="auto"/>
            <w:hideMark/>
          </w:tcPr>
          <w:p w:rsidR="00EA6CD3" w:rsidRPr="003E5A6D" w:rsidRDefault="00EA6CD3" w:rsidP="00CB6AC4">
            <w:pPr>
              <w:ind w:firstLine="341"/>
              <w:jc w:val="both"/>
              <w:rPr>
                <w:rFonts w:eastAsia="Times New Roman"/>
                <w:sz w:val="24"/>
                <w:szCs w:val="24"/>
                <w:lang w:val="lv-LV" w:eastAsia="lv-LV"/>
              </w:rPr>
            </w:pPr>
            <w:r w:rsidRPr="003E5A6D">
              <w:rPr>
                <w:rFonts w:eastAsia="Times New Roman"/>
                <w:sz w:val="24"/>
                <w:szCs w:val="24"/>
                <w:lang w:val="lv-LV" w:eastAsia="lv-LV"/>
              </w:rPr>
              <w:t>Projekts šo jomu neskar.</w:t>
            </w:r>
          </w:p>
        </w:tc>
      </w:tr>
      <w:tr w:rsidR="006D1520" w:rsidRPr="003E5A6D" w:rsidTr="00A14369">
        <w:trPr>
          <w:tblCellSpacing w:w="15" w:type="dxa"/>
        </w:trPr>
        <w:tc>
          <w:tcPr>
            <w:tcW w:w="177" w:type="pct"/>
            <w:shd w:val="clear" w:color="auto" w:fill="auto"/>
            <w:hideMark/>
          </w:tcPr>
          <w:p w:rsidR="00EA6CD3" w:rsidRPr="003E5A6D" w:rsidRDefault="00EA6CD3" w:rsidP="00CB6AC4">
            <w:pPr>
              <w:jc w:val="center"/>
              <w:rPr>
                <w:rFonts w:eastAsia="Times New Roman"/>
                <w:sz w:val="24"/>
                <w:szCs w:val="24"/>
                <w:lang w:val="lv-LV" w:eastAsia="lv-LV"/>
              </w:rPr>
            </w:pPr>
            <w:r w:rsidRPr="003E5A6D">
              <w:rPr>
                <w:rFonts w:eastAsia="Times New Roman"/>
                <w:sz w:val="24"/>
                <w:szCs w:val="24"/>
                <w:lang w:val="lv-LV" w:eastAsia="lv-LV"/>
              </w:rPr>
              <w:t>3.</w:t>
            </w:r>
          </w:p>
        </w:tc>
        <w:tc>
          <w:tcPr>
            <w:tcW w:w="1320" w:type="pct"/>
            <w:gridSpan w:val="2"/>
            <w:shd w:val="clear" w:color="auto" w:fill="auto"/>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3436" w:type="pct"/>
            <w:gridSpan w:val="3"/>
            <w:shd w:val="clear" w:color="auto" w:fill="auto"/>
            <w:hideMark/>
          </w:tcPr>
          <w:p w:rsidR="00EA6CD3" w:rsidRPr="003E5A6D" w:rsidRDefault="00EA6CD3" w:rsidP="00CB6AC4">
            <w:pPr>
              <w:ind w:firstLine="341"/>
              <w:jc w:val="both"/>
              <w:rPr>
                <w:rFonts w:eastAsia="Times New Roman"/>
                <w:sz w:val="24"/>
                <w:szCs w:val="24"/>
                <w:lang w:val="lv-LV" w:eastAsia="lv-LV"/>
              </w:rPr>
            </w:pPr>
          </w:p>
        </w:tc>
      </w:tr>
      <w:tr w:rsidR="00EA6CD3" w:rsidRPr="003E5A6D" w:rsidTr="00CB6AC4">
        <w:trPr>
          <w:tblCellSpacing w:w="15" w:type="dxa"/>
        </w:trPr>
        <w:tc>
          <w:tcPr>
            <w:tcW w:w="4966" w:type="pct"/>
            <w:gridSpan w:val="6"/>
            <w:shd w:val="clear" w:color="auto" w:fill="auto"/>
            <w:vAlign w:val="center"/>
            <w:hideMark/>
          </w:tcPr>
          <w:p w:rsidR="00EA6CD3" w:rsidRPr="003E5A6D" w:rsidRDefault="00EA6CD3" w:rsidP="00CB6AC4">
            <w:pPr>
              <w:jc w:val="center"/>
              <w:rPr>
                <w:rFonts w:eastAsia="Times New Roman"/>
                <w:b/>
                <w:bCs/>
                <w:sz w:val="24"/>
                <w:szCs w:val="24"/>
                <w:lang w:val="lv-LV" w:eastAsia="lv-LV"/>
              </w:rPr>
            </w:pPr>
            <w:r w:rsidRPr="003E5A6D">
              <w:rPr>
                <w:rFonts w:eastAsia="Times New Roman"/>
                <w:b/>
                <w:bCs/>
                <w:sz w:val="24"/>
                <w:szCs w:val="24"/>
                <w:lang w:val="lv-LV" w:eastAsia="lv-LV"/>
              </w:rPr>
              <w:t>1.tabula</w:t>
            </w:r>
            <w:r w:rsidRPr="003E5A6D">
              <w:rPr>
                <w:rFonts w:eastAsia="Times New Roman"/>
                <w:b/>
                <w:bCs/>
                <w:sz w:val="24"/>
                <w:szCs w:val="24"/>
                <w:lang w:val="lv-LV" w:eastAsia="lv-LV"/>
              </w:rPr>
              <w:br/>
              <w:t>Tiesību akta projekta atbilstība ES tiesību aktiem</w:t>
            </w:r>
          </w:p>
        </w:tc>
      </w:tr>
      <w:tr w:rsidR="00EA6CD3" w:rsidRPr="003E5A6D" w:rsidTr="000D3D56">
        <w:trPr>
          <w:tblCellSpacing w:w="15" w:type="dxa"/>
        </w:trPr>
        <w:tc>
          <w:tcPr>
            <w:tcW w:w="1205" w:type="pct"/>
            <w:gridSpan w:val="2"/>
            <w:shd w:val="clear" w:color="auto" w:fill="auto"/>
            <w:vAlign w:val="center"/>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Attiecīgā ES tiesību akta datums, numurs un nosaukums</w:t>
            </w:r>
          </w:p>
        </w:tc>
        <w:tc>
          <w:tcPr>
            <w:tcW w:w="3744" w:type="pct"/>
            <w:gridSpan w:val="4"/>
            <w:shd w:val="clear" w:color="auto" w:fill="auto"/>
            <w:vAlign w:val="center"/>
            <w:hideMark/>
          </w:tcPr>
          <w:p w:rsidR="00EA6CD3" w:rsidRPr="003E5A6D" w:rsidRDefault="00EA6CD3" w:rsidP="00F716EF">
            <w:pPr>
              <w:spacing w:after="120"/>
              <w:jc w:val="both"/>
              <w:rPr>
                <w:sz w:val="24"/>
                <w:szCs w:val="24"/>
                <w:lang w:val="lv-LV"/>
              </w:rPr>
            </w:pPr>
            <w:r w:rsidRPr="003E5A6D">
              <w:rPr>
                <w:sz w:val="24"/>
                <w:szCs w:val="24"/>
                <w:lang w:val="lv-LV"/>
              </w:rPr>
              <w:t>Komisijas 2008.gada 6.augusta Regula (EK) Nr.800/2008, kas atzīst noteiktas atbalsta kategorijas par saderīgām ar kopējo tirgu, piemērojot Līguma 87. un 88.pantu (visp</w:t>
            </w:r>
            <w:r w:rsidR="00F716EF" w:rsidRPr="003E5A6D">
              <w:rPr>
                <w:sz w:val="24"/>
                <w:szCs w:val="24"/>
                <w:lang w:val="lv-LV"/>
              </w:rPr>
              <w:t>ārējā grupu atbrīvojuma regula).</w:t>
            </w:r>
          </w:p>
          <w:p w:rsidR="0043554A" w:rsidRPr="003E5A6D" w:rsidRDefault="00F716EF" w:rsidP="00074090">
            <w:pPr>
              <w:spacing w:after="120"/>
              <w:jc w:val="both"/>
              <w:rPr>
                <w:sz w:val="24"/>
                <w:szCs w:val="24"/>
                <w:lang w:val="lv-LV"/>
              </w:rPr>
            </w:pPr>
            <w:r w:rsidRPr="003E5A6D">
              <w:rPr>
                <w:sz w:val="24"/>
                <w:szCs w:val="24"/>
                <w:lang w:val="lv-LV"/>
              </w:rPr>
              <w:t>Komisijas 2013.gada 18.decembra Regul</w:t>
            </w:r>
            <w:r w:rsidR="00074090" w:rsidRPr="003E5A6D">
              <w:rPr>
                <w:sz w:val="24"/>
                <w:szCs w:val="24"/>
                <w:lang w:val="lv-LV"/>
              </w:rPr>
              <w:t>a</w:t>
            </w:r>
            <w:r w:rsidRPr="003E5A6D">
              <w:rPr>
                <w:sz w:val="24"/>
                <w:szCs w:val="24"/>
                <w:lang w:val="lv-LV"/>
              </w:rPr>
              <w:t xml:space="preserve"> (EK) Nr.1407/2013 par Līguma 87. un 88.panta piemērošanu </w:t>
            </w:r>
            <w:r w:rsidRPr="00D217AC">
              <w:rPr>
                <w:i/>
                <w:sz w:val="24"/>
                <w:szCs w:val="24"/>
                <w:lang w:val="lv-LV"/>
              </w:rPr>
              <w:t>de minimis</w:t>
            </w:r>
            <w:r w:rsidRPr="003E5A6D">
              <w:rPr>
                <w:sz w:val="24"/>
                <w:szCs w:val="24"/>
                <w:lang w:val="lv-LV"/>
              </w:rPr>
              <w:t xml:space="preserve"> atbalstam</w:t>
            </w:r>
            <w:r w:rsidR="00074090" w:rsidRPr="003E5A6D">
              <w:rPr>
                <w:sz w:val="24"/>
                <w:szCs w:val="24"/>
                <w:lang w:val="lv-LV"/>
              </w:rPr>
              <w:t xml:space="preserve"> (Eiropas Savienības Oficiālais Vēstnesis, 2013.gada 24.decembris, </w:t>
            </w:r>
            <w:proofErr w:type="spellStart"/>
            <w:r w:rsidR="00074090" w:rsidRPr="003E5A6D">
              <w:rPr>
                <w:sz w:val="24"/>
                <w:szCs w:val="24"/>
                <w:lang w:val="lv-LV"/>
              </w:rPr>
              <w:t>Nr</w:t>
            </w:r>
            <w:proofErr w:type="spellEnd"/>
            <w:r w:rsidR="00074090" w:rsidRPr="003E5A6D">
              <w:rPr>
                <w:sz w:val="24"/>
                <w:szCs w:val="24"/>
                <w:lang w:val="lv-LV"/>
              </w:rPr>
              <w:t>. L 352/1).</w:t>
            </w:r>
          </w:p>
        </w:tc>
      </w:tr>
      <w:tr w:rsidR="00EA6CD3" w:rsidRPr="003E5A6D" w:rsidTr="000D3D56">
        <w:trPr>
          <w:tblCellSpacing w:w="15" w:type="dxa"/>
        </w:trPr>
        <w:tc>
          <w:tcPr>
            <w:tcW w:w="1205" w:type="pct"/>
            <w:gridSpan w:val="2"/>
            <w:shd w:val="clear" w:color="auto" w:fill="auto"/>
            <w:vAlign w:val="center"/>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A</w:t>
            </w:r>
          </w:p>
        </w:tc>
        <w:tc>
          <w:tcPr>
            <w:tcW w:w="1020" w:type="pct"/>
            <w:gridSpan w:val="2"/>
            <w:shd w:val="clear" w:color="auto" w:fill="auto"/>
            <w:vAlign w:val="center"/>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B</w:t>
            </w:r>
          </w:p>
        </w:tc>
        <w:tc>
          <w:tcPr>
            <w:tcW w:w="755" w:type="pct"/>
            <w:shd w:val="clear" w:color="auto" w:fill="auto"/>
            <w:vAlign w:val="center"/>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w:t>
            </w:r>
          </w:p>
        </w:tc>
        <w:tc>
          <w:tcPr>
            <w:tcW w:w="1936" w:type="pct"/>
            <w:shd w:val="clear" w:color="auto" w:fill="auto"/>
            <w:vAlign w:val="center"/>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D</w:t>
            </w:r>
          </w:p>
        </w:tc>
      </w:tr>
      <w:tr w:rsidR="00EA6CD3" w:rsidRPr="003E5A6D" w:rsidTr="000D3D56">
        <w:trPr>
          <w:tblCellSpacing w:w="15" w:type="dxa"/>
        </w:trPr>
        <w:tc>
          <w:tcPr>
            <w:tcW w:w="1205" w:type="pct"/>
            <w:gridSpan w:val="2"/>
            <w:shd w:val="clear" w:color="auto" w:fill="auto"/>
            <w:hideMark/>
          </w:tcPr>
          <w:p w:rsidR="00EA6CD3" w:rsidRPr="003E5A6D" w:rsidRDefault="00EA6CD3" w:rsidP="00CB6AC4">
            <w:pPr>
              <w:pStyle w:val="naiskr"/>
              <w:spacing w:before="0" w:after="0"/>
              <w:jc w:val="both"/>
            </w:pPr>
            <w:r w:rsidRPr="003E5A6D">
              <w:t xml:space="preserve">Attiecīgā ES tiesību akta panta numurs (uzskaitot katru tiesību akta </w:t>
            </w:r>
            <w:r w:rsidRPr="003E5A6D">
              <w:br/>
              <w:t>vienību – pantu, daļu, punktu, apakšpunktu)</w:t>
            </w:r>
          </w:p>
        </w:tc>
        <w:tc>
          <w:tcPr>
            <w:tcW w:w="1020" w:type="pct"/>
            <w:gridSpan w:val="2"/>
            <w:shd w:val="clear" w:color="auto" w:fill="auto"/>
            <w:hideMark/>
          </w:tcPr>
          <w:p w:rsidR="00EA6CD3" w:rsidRPr="003E5A6D" w:rsidRDefault="00EA6CD3" w:rsidP="00CB6AC4">
            <w:pPr>
              <w:pStyle w:val="naiskr"/>
              <w:spacing w:before="0" w:after="0"/>
              <w:jc w:val="both"/>
            </w:pPr>
            <w:r w:rsidRPr="003E5A6D">
              <w:t>Projekta vienība, kas pārņem vai ievieš katru šīs tabulas A ailē minēto ES tiesību akta vienību</w:t>
            </w:r>
          </w:p>
        </w:tc>
        <w:tc>
          <w:tcPr>
            <w:tcW w:w="755" w:type="pct"/>
            <w:shd w:val="clear" w:color="auto" w:fill="auto"/>
            <w:hideMark/>
          </w:tcPr>
          <w:p w:rsidR="00EA6CD3" w:rsidRPr="003E5A6D" w:rsidRDefault="00EA6CD3" w:rsidP="00CB6AC4">
            <w:pPr>
              <w:pStyle w:val="naiskr"/>
              <w:spacing w:before="0" w:after="0"/>
              <w:jc w:val="both"/>
            </w:pPr>
            <w:r w:rsidRPr="003E5A6D">
              <w:t>Informācija par to, vai šīs tabulas A ailē minētās ES tiesību akta vienības tiek pārņemtas vai ieviestas pilnībā vai daļēji.</w:t>
            </w:r>
          </w:p>
          <w:p w:rsidR="00EA6CD3" w:rsidRPr="003E5A6D" w:rsidRDefault="00EA6CD3" w:rsidP="00CB6AC4">
            <w:pPr>
              <w:pStyle w:val="naiskr"/>
              <w:spacing w:before="0" w:after="0"/>
              <w:jc w:val="both"/>
            </w:pPr>
            <w:r w:rsidRPr="003E5A6D">
              <w:t>Ja attiecīgā ES tiesību akta vienība tiek pārņemta vai ieviesta daļēji, – sniedz attiecīgu skaidrojumu, kā arī precīzi norāda, kad un kādā veidā ES tiesību akta vienība tiks pārņemta vai ieviesta pilnībā.</w:t>
            </w:r>
          </w:p>
          <w:p w:rsidR="00EA6CD3" w:rsidRPr="003E5A6D" w:rsidRDefault="00EA6CD3" w:rsidP="00CB6AC4">
            <w:pPr>
              <w:pStyle w:val="naiskr"/>
              <w:spacing w:before="0" w:after="0"/>
              <w:jc w:val="both"/>
            </w:pPr>
            <w:r w:rsidRPr="003E5A6D">
              <w:t>Norāda institūciju, kas ir atbildīga par šo saistību izpildi pilnībā</w:t>
            </w:r>
          </w:p>
        </w:tc>
        <w:tc>
          <w:tcPr>
            <w:tcW w:w="1936" w:type="pct"/>
            <w:shd w:val="clear" w:color="auto" w:fill="auto"/>
            <w:hideMark/>
          </w:tcPr>
          <w:p w:rsidR="00EA6CD3" w:rsidRPr="003E5A6D" w:rsidRDefault="00EA6CD3" w:rsidP="00CB6AC4">
            <w:pPr>
              <w:pStyle w:val="naiskr"/>
              <w:spacing w:before="0" w:after="0"/>
              <w:jc w:val="both"/>
            </w:pPr>
            <w:r w:rsidRPr="003E5A6D">
              <w:t>Informācija par to, vai šīs tabulas B ailē minētās projekta vienības paredz stingrākas prasības nekā šīs tabulas A ailē minētās ES tiesību akta vienības.</w:t>
            </w:r>
          </w:p>
          <w:p w:rsidR="00EA6CD3" w:rsidRPr="003E5A6D" w:rsidRDefault="00EA6CD3" w:rsidP="00CB6AC4">
            <w:pPr>
              <w:pStyle w:val="naiskr"/>
              <w:spacing w:before="0" w:after="0"/>
              <w:jc w:val="both"/>
            </w:pPr>
            <w:r w:rsidRPr="003E5A6D">
              <w:t xml:space="preserve">Ja projekts satur stingrākas prasības nekā attiecīgais ES tiesību </w:t>
            </w:r>
            <w:smartTag w:uri="schemas-tilde-lv/tildestengine" w:element="veidnes">
              <w:smartTagPr>
                <w:attr w:name="id" w:val="-1"/>
                <w:attr w:name="baseform" w:val="akts"/>
                <w:attr w:name="text" w:val="akts"/>
              </w:smartTagPr>
              <w:r w:rsidRPr="003E5A6D">
                <w:t>akts</w:t>
              </w:r>
            </w:smartTag>
            <w:r w:rsidRPr="003E5A6D">
              <w:t>, – norāda pamatojumu un samērīgumu.</w:t>
            </w:r>
          </w:p>
          <w:p w:rsidR="00EA6CD3" w:rsidRPr="003E5A6D" w:rsidRDefault="00EA6CD3" w:rsidP="00CB6AC4">
            <w:pPr>
              <w:pStyle w:val="naiskr"/>
              <w:spacing w:before="0" w:after="0"/>
              <w:jc w:val="both"/>
            </w:pPr>
            <w:r w:rsidRPr="003E5A6D">
              <w:t>Norāda iespējamās alternatīvas (</w:t>
            </w:r>
            <w:proofErr w:type="spellStart"/>
            <w:r w:rsidRPr="003E5A6D">
              <w:t>t.sk</w:t>
            </w:r>
            <w:proofErr w:type="spellEnd"/>
            <w:r w:rsidRPr="003E5A6D">
              <w:t>. alternatīvas, kas neparedz tiesiskā regulējuma izstrādi) – kādos gadījumos būtu iespējams izvairīties no stingrāku prasību noteikšanas, nekā paredzēts attiecīgajos ES tiesību aktos</w:t>
            </w:r>
          </w:p>
        </w:tc>
      </w:tr>
      <w:tr w:rsidR="00B32793" w:rsidRPr="003E5A6D" w:rsidTr="000D3D56">
        <w:trPr>
          <w:tblCellSpacing w:w="15" w:type="dxa"/>
        </w:trPr>
        <w:tc>
          <w:tcPr>
            <w:tcW w:w="1205" w:type="pct"/>
            <w:gridSpan w:val="2"/>
            <w:shd w:val="clear" w:color="auto" w:fill="auto"/>
          </w:tcPr>
          <w:p w:rsidR="00B32793" w:rsidRPr="00A14369" w:rsidRDefault="006D1520" w:rsidP="000B492B">
            <w:pPr>
              <w:pStyle w:val="naiskr"/>
              <w:spacing w:before="0" w:after="0"/>
              <w:jc w:val="both"/>
            </w:pPr>
            <w:r>
              <w:t>Komisijas r</w:t>
            </w:r>
            <w:r w:rsidR="00B32793" w:rsidRPr="00A14369">
              <w:t xml:space="preserve">egulas </w:t>
            </w:r>
            <w:r w:rsidR="00B32793" w:rsidRPr="00A14369">
              <w:lastRenderedPageBreak/>
              <w:t xml:space="preserve">Nr.800/2008 </w:t>
            </w:r>
            <w:r w:rsidR="000B492B" w:rsidRPr="00A14369">
              <w:t>2.panta 7.punkts un 8.punkts</w:t>
            </w:r>
          </w:p>
        </w:tc>
        <w:tc>
          <w:tcPr>
            <w:tcW w:w="1020" w:type="pct"/>
            <w:gridSpan w:val="2"/>
            <w:shd w:val="clear" w:color="auto" w:fill="auto"/>
          </w:tcPr>
          <w:p w:rsidR="00B32793" w:rsidRPr="00A14369" w:rsidRDefault="00B32793" w:rsidP="0078045E">
            <w:pPr>
              <w:pStyle w:val="naiskr"/>
              <w:spacing w:before="0" w:after="0"/>
              <w:jc w:val="both"/>
            </w:pPr>
            <w:r w:rsidRPr="00A14369">
              <w:lastRenderedPageBreak/>
              <w:t xml:space="preserve">Noteikumu </w:t>
            </w:r>
            <w:r w:rsidRPr="00A14369">
              <w:lastRenderedPageBreak/>
              <w:t xml:space="preserve">projekta </w:t>
            </w:r>
            <w:r w:rsidR="0078045E" w:rsidRPr="00A14369">
              <w:t>7</w:t>
            </w:r>
            <w:r w:rsidRPr="00A14369">
              <w:t>.punkts</w:t>
            </w:r>
          </w:p>
        </w:tc>
        <w:tc>
          <w:tcPr>
            <w:tcW w:w="755" w:type="pct"/>
            <w:shd w:val="clear" w:color="auto" w:fill="auto"/>
          </w:tcPr>
          <w:p w:rsidR="00B32793" w:rsidRPr="00A14369" w:rsidRDefault="00B32793" w:rsidP="00CB6AC4">
            <w:pPr>
              <w:pStyle w:val="naiskr"/>
              <w:spacing w:before="0" w:after="0"/>
              <w:jc w:val="both"/>
            </w:pPr>
            <w:r w:rsidRPr="00A14369">
              <w:lastRenderedPageBreak/>
              <w:t xml:space="preserve">Ieviests </w:t>
            </w:r>
            <w:r w:rsidRPr="00A14369">
              <w:lastRenderedPageBreak/>
              <w:t>pilnībā</w:t>
            </w:r>
          </w:p>
        </w:tc>
        <w:tc>
          <w:tcPr>
            <w:tcW w:w="1936" w:type="pct"/>
            <w:shd w:val="clear" w:color="auto" w:fill="auto"/>
          </w:tcPr>
          <w:p w:rsidR="00B32793" w:rsidRPr="00A14369" w:rsidRDefault="00B32793" w:rsidP="00CB6AC4">
            <w:pPr>
              <w:pStyle w:val="naiskr"/>
              <w:spacing w:before="0" w:after="0"/>
              <w:jc w:val="both"/>
            </w:pPr>
            <w:r w:rsidRPr="00A14369">
              <w:lastRenderedPageBreak/>
              <w:t>Neparedz stingrākas prasības</w:t>
            </w:r>
          </w:p>
        </w:tc>
      </w:tr>
      <w:tr w:rsidR="000D43D9" w:rsidRPr="003E5A6D" w:rsidTr="000D3D56">
        <w:trPr>
          <w:tblCellSpacing w:w="15" w:type="dxa"/>
        </w:trPr>
        <w:tc>
          <w:tcPr>
            <w:tcW w:w="1205" w:type="pct"/>
            <w:gridSpan w:val="2"/>
            <w:shd w:val="clear" w:color="auto" w:fill="auto"/>
          </w:tcPr>
          <w:p w:rsidR="000D43D9" w:rsidRPr="00A14369" w:rsidRDefault="006D1520" w:rsidP="000D43D9">
            <w:pPr>
              <w:pStyle w:val="naiskr"/>
              <w:spacing w:before="0" w:after="0"/>
              <w:jc w:val="both"/>
            </w:pPr>
            <w:r>
              <w:lastRenderedPageBreak/>
              <w:t>Komisijas r</w:t>
            </w:r>
            <w:r w:rsidR="000D43D9" w:rsidRPr="00A14369">
              <w:t>egula</w:t>
            </w:r>
            <w:r>
              <w:t>s</w:t>
            </w:r>
            <w:r w:rsidR="000D43D9" w:rsidRPr="00A14369">
              <w:t xml:space="preserve"> Nr.1407/2013</w:t>
            </w:r>
          </w:p>
          <w:p w:rsidR="000D43D9" w:rsidRPr="00A14369" w:rsidRDefault="000D43D9" w:rsidP="000D43D9">
            <w:pPr>
              <w:pStyle w:val="naiskr"/>
              <w:spacing w:before="0" w:after="0"/>
              <w:jc w:val="both"/>
            </w:pPr>
            <w:r w:rsidRPr="00A14369">
              <w:t>2.panta 2.punkts</w:t>
            </w:r>
          </w:p>
        </w:tc>
        <w:tc>
          <w:tcPr>
            <w:tcW w:w="1020" w:type="pct"/>
            <w:gridSpan w:val="2"/>
            <w:shd w:val="clear" w:color="auto" w:fill="auto"/>
          </w:tcPr>
          <w:p w:rsidR="000D43D9" w:rsidRPr="00A96C8D" w:rsidRDefault="000D43D9" w:rsidP="0078045E">
            <w:pPr>
              <w:pStyle w:val="naiskr"/>
              <w:spacing w:before="0" w:after="0"/>
              <w:jc w:val="both"/>
            </w:pPr>
            <w:r w:rsidRPr="00A14369">
              <w:t>Noteikumu projekta 8.punkts</w:t>
            </w:r>
          </w:p>
        </w:tc>
        <w:tc>
          <w:tcPr>
            <w:tcW w:w="755" w:type="pct"/>
            <w:shd w:val="clear" w:color="auto" w:fill="auto"/>
          </w:tcPr>
          <w:p w:rsidR="000D43D9" w:rsidRPr="00A14369" w:rsidRDefault="000D43D9" w:rsidP="00CB6AC4">
            <w:pPr>
              <w:pStyle w:val="naiskr"/>
              <w:spacing w:before="0" w:after="0"/>
              <w:jc w:val="both"/>
            </w:pPr>
            <w:r w:rsidRPr="00A14369">
              <w:t>Ieviests pilnībā</w:t>
            </w:r>
          </w:p>
        </w:tc>
        <w:tc>
          <w:tcPr>
            <w:tcW w:w="1936" w:type="pct"/>
            <w:shd w:val="clear" w:color="auto" w:fill="auto"/>
          </w:tcPr>
          <w:p w:rsidR="000D43D9" w:rsidRPr="00A14369" w:rsidRDefault="000D43D9" w:rsidP="00CB6AC4">
            <w:pPr>
              <w:pStyle w:val="naiskr"/>
              <w:spacing w:before="0" w:after="0"/>
              <w:jc w:val="both"/>
            </w:pPr>
            <w:r w:rsidRPr="00A14369">
              <w:t>Neparedz stingrākas prasības</w:t>
            </w:r>
          </w:p>
        </w:tc>
      </w:tr>
      <w:tr w:rsidR="007E4C1F" w:rsidRPr="003E5A6D" w:rsidTr="006D1520">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hideMark/>
          </w:tcPr>
          <w:p w:rsidR="007E4C1F" w:rsidRPr="003E5A6D" w:rsidRDefault="006D1520" w:rsidP="007E4C1F">
            <w:pPr>
              <w:pStyle w:val="naiskr"/>
              <w:spacing w:before="0" w:after="0"/>
              <w:jc w:val="both"/>
            </w:pPr>
            <w:r>
              <w:t>Komisijas r</w:t>
            </w:r>
            <w:r w:rsidR="007E4C1F" w:rsidRPr="003E5A6D">
              <w:t>egula</w:t>
            </w:r>
            <w:r w:rsidR="005F3FC6">
              <w:t>s</w:t>
            </w:r>
          </w:p>
          <w:p w:rsidR="007E4C1F" w:rsidRPr="003E5A6D" w:rsidRDefault="007E4C1F" w:rsidP="007E4C1F">
            <w:pPr>
              <w:pStyle w:val="naiskr"/>
              <w:spacing w:before="0" w:after="0"/>
              <w:jc w:val="both"/>
            </w:pPr>
            <w:r w:rsidRPr="003E5A6D">
              <w:t>Nr.800/2008</w:t>
            </w:r>
            <w:r w:rsidR="0075411D" w:rsidRPr="003E5A6D">
              <w:t xml:space="preserve"> 1.pant</w:t>
            </w:r>
            <w:r w:rsidR="00DB3721">
              <w:t>a 2.punkts un 3.punkts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hideMark/>
          </w:tcPr>
          <w:p w:rsidR="007E4C1F" w:rsidRPr="003E5A6D" w:rsidRDefault="007E4C1F" w:rsidP="00F70443">
            <w:pPr>
              <w:pStyle w:val="naiskr"/>
              <w:spacing w:before="0" w:after="0"/>
              <w:jc w:val="both"/>
            </w:pPr>
            <w:r w:rsidRPr="003E5A6D">
              <w:t xml:space="preserve">Noteikumu projekta </w:t>
            </w:r>
            <w:r w:rsidR="00F70443">
              <w:t>11</w:t>
            </w:r>
            <w:r w:rsidR="0075411D" w:rsidRPr="003E5A6D">
              <w:t>.</w:t>
            </w:r>
            <w:r w:rsidR="00DB3721">
              <w:t xml:space="preserve">1. un 11.2. </w:t>
            </w:r>
            <w:r w:rsidR="0075411D" w:rsidRPr="003E5A6D">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hideMark/>
          </w:tcPr>
          <w:p w:rsidR="007E4C1F" w:rsidRPr="003E5A6D" w:rsidRDefault="007E4C1F"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hideMark/>
          </w:tcPr>
          <w:p w:rsidR="007E4C1F" w:rsidRPr="003E5A6D" w:rsidRDefault="007E4C1F" w:rsidP="007E4C1F">
            <w:pPr>
              <w:pStyle w:val="naiskr"/>
              <w:spacing w:before="0" w:after="0"/>
              <w:jc w:val="both"/>
            </w:pPr>
            <w:r w:rsidRPr="003E5A6D">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F70443">
            <w:pPr>
              <w:pStyle w:val="naiskr"/>
              <w:jc w:val="both"/>
            </w:pPr>
            <w:r>
              <w:t>Komisijas r</w:t>
            </w:r>
            <w:r w:rsidR="00F70443">
              <w:t>egulas</w:t>
            </w:r>
          </w:p>
          <w:p w:rsidR="00F70443" w:rsidRPr="003E5A6D" w:rsidRDefault="00DB3721" w:rsidP="00F70443">
            <w:pPr>
              <w:pStyle w:val="naiskr"/>
              <w:spacing w:before="0" w:after="0"/>
              <w:jc w:val="both"/>
            </w:pPr>
            <w:r>
              <w:t>Nr.800/2008 1.panta 6.punkta a) apakšpunkts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Pr="003E5A6D" w:rsidRDefault="00F70443" w:rsidP="00F70443">
            <w:pPr>
              <w:pStyle w:val="naiskr"/>
              <w:spacing w:before="0" w:after="0"/>
              <w:jc w:val="both"/>
            </w:pPr>
            <w:r w:rsidRPr="00F70443">
              <w:t xml:space="preserve">Noteikumu projekta </w:t>
            </w:r>
            <w:r>
              <w:t>12.1</w:t>
            </w:r>
            <w:r w:rsidRPr="00F70443">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3E5A6D" w:rsidRDefault="00F70443"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3E5A6D" w:rsidRDefault="00F70443" w:rsidP="007E4C1F">
            <w:pPr>
              <w:pStyle w:val="naiskr"/>
              <w:spacing w:before="0" w:after="0"/>
              <w:jc w:val="both"/>
            </w:pPr>
            <w:r w:rsidRPr="00F70443">
              <w:t>Neparedz stingrākas prasības</w:t>
            </w:r>
          </w:p>
        </w:tc>
      </w:tr>
      <w:tr w:rsidR="00DB3721"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DB3721" w:rsidRDefault="006D1520" w:rsidP="00DB3721">
            <w:pPr>
              <w:pStyle w:val="naiskr"/>
              <w:jc w:val="both"/>
            </w:pPr>
            <w:r>
              <w:t>Komisijas r</w:t>
            </w:r>
            <w:r w:rsidR="00DB3721">
              <w:t xml:space="preserve">egulas Nr.800/2008 12.panta 1.punkta a) apakšpunkts </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DB3721" w:rsidRPr="00F70443" w:rsidRDefault="00DB3721" w:rsidP="00DB3721">
            <w:pPr>
              <w:pStyle w:val="naiskr"/>
              <w:spacing w:before="0" w:after="0"/>
              <w:jc w:val="both"/>
            </w:pPr>
            <w:r w:rsidRPr="00F70443">
              <w:t xml:space="preserve">Noteikumu projekta </w:t>
            </w:r>
            <w:r>
              <w:t>13</w:t>
            </w:r>
            <w:r w:rsidRPr="00F70443">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DB3721" w:rsidRPr="00F70443" w:rsidRDefault="00DB3721"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DB3721" w:rsidRPr="00F70443" w:rsidRDefault="00DB3721" w:rsidP="007E4C1F">
            <w:pPr>
              <w:pStyle w:val="naiskr"/>
              <w:spacing w:before="0" w:after="0"/>
              <w:jc w:val="both"/>
            </w:pPr>
            <w:r w:rsidRPr="00F70443">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F70443">
            <w:pPr>
              <w:pStyle w:val="naiskr"/>
              <w:jc w:val="both"/>
            </w:pPr>
            <w:r>
              <w:t>Komisijas r</w:t>
            </w:r>
            <w:r w:rsidR="00F70443">
              <w:t>egulas</w:t>
            </w:r>
          </w:p>
          <w:p w:rsidR="00F70443" w:rsidRDefault="00F70443" w:rsidP="00F70443">
            <w:pPr>
              <w:pStyle w:val="naiskr"/>
              <w:jc w:val="both"/>
            </w:pPr>
            <w:r>
              <w:t>Nr.800/2008 13</w:t>
            </w:r>
            <w:r w:rsidR="00A33B10">
              <w:t>.panta 7.punkts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F70443">
            <w:pPr>
              <w:pStyle w:val="naiskr"/>
              <w:spacing w:before="0" w:after="0"/>
              <w:jc w:val="both"/>
            </w:pPr>
            <w:r w:rsidRPr="00F70443">
              <w:t>Noteikumu projekta 1</w:t>
            </w:r>
            <w:r>
              <w:t>3</w:t>
            </w:r>
            <w:r w:rsidRPr="00F70443">
              <w:t>.1.punkts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F70443" w:rsidRDefault="00F70443" w:rsidP="007E4C1F">
            <w:pPr>
              <w:pStyle w:val="naiskr"/>
              <w:spacing w:before="0" w:after="0"/>
              <w:jc w:val="both"/>
            </w:pPr>
            <w:r w:rsidRPr="00F70443">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F70443">
            <w:pPr>
              <w:pStyle w:val="naiskr"/>
              <w:jc w:val="both"/>
            </w:pPr>
            <w:r>
              <w:t>Komisijas r</w:t>
            </w:r>
            <w:r w:rsidR="00F70443">
              <w:t>egulas</w:t>
            </w:r>
          </w:p>
          <w:p w:rsidR="00F70443" w:rsidRDefault="00F70443" w:rsidP="00A33B10">
            <w:pPr>
              <w:pStyle w:val="naiskr"/>
              <w:jc w:val="both"/>
            </w:pPr>
            <w:r>
              <w:t>Nr.800/2008 12.</w:t>
            </w:r>
            <w:r w:rsidR="00A33B10">
              <w:t>panta 2.punkts</w:t>
            </w:r>
            <w:r>
              <w:t xml:space="preserve"> un </w:t>
            </w:r>
            <w:r w:rsidR="00A33B10">
              <w:t>7</w:t>
            </w:r>
            <w:r>
              <w:t>.pants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F70443">
            <w:pPr>
              <w:pStyle w:val="naiskr"/>
              <w:spacing w:before="0" w:after="0"/>
              <w:jc w:val="both"/>
            </w:pPr>
            <w:r w:rsidRPr="00F70443">
              <w:t>Noteikumu projekta 1</w:t>
            </w:r>
            <w:r>
              <w:t>3</w:t>
            </w:r>
            <w:r w:rsidRPr="00F70443">
              <w:t>.</w:t>
            </w:r>
            <w:r>
              <w:t>2</w:t>
            </w:r>
            <w:r w:rsidRPr="00F70443">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F70443" w:rsidRDefault="00F70443" w:rsidP="007E4C1F">
            <w:pPr>
              <w:pStyle w:val="naiskr"/>
              <w:spacing w:before="0" w:after="0"/>
              <w:jc w:val="both"/>
            </w:pPr>
            <w:r w:rsidRPr="00F70443">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F70443">
            <w:pPr>
              <w:pStyle w:val="naiskr"/>
              <w:jc w:val="both"/>
            </w:pPr>
            <w:r>
              <w:t>Komisijas r</w:t>
            </w:r>
            <w:r w:rsidR="00F70443">
              <w:t>egulas</w:t>
            </w:r>
          </w:p>
          <w:p w:rsidR="00F70443" w:rsidRDefault="00F70443" w:rsidP="00F70443">
            <w:pPr>
              <w:pStyle w:val="naiskr"/>
              <w:jc w:val="both"/>
            </w:pPr>
            <w:r>
              <w:t>Nr.800/2008 13</w:t>
            </w:r>
            <w:r w:rsidR="00A33B10">
              <w:t>.panta 2.punkts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F70443">
            <w:pPr>
              <w:pStyle w:val="naiskr"/>
              <w:spacing w:before="0" w:after="0"/>
              <w:jc w:val="both"/>
            </w:pPr>
            <w:r w:rsidRPr="00F70443">
              <w:t>Noteikumu projekta 13.</w:t>
            </w:r>
            <w:r>
              <w:t>3</w:t>
            </w:r>
            <w:r w:rsidRPr="00F70443">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F70443" w:rsidRDefault="00F70443" w:rsidP="007E4C1F">
            <w:pPr>
              <w:pStyle w:val="naiskr"/>
              <w:spacing w:before="0" w:after="0"/>
              <w:jc w:val="both"/>
            </w:pPr>
            <w:r w:rsidRPr="00F70443">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F70443">
            <w:pPr>
              <w:pStyle w:val="naiskr"/>
              <w:jc w:val="both"/>
            </w:pPr>
            <w:r>
              <w:t>Komisijas r</w:t>
            </w:r>
            <w:r w:rsidR="00F70443">
              <w:t>egulas</w:t>
            </w:r>
          </w:p>
          <w:p w:rsidR="00F70443" w:rsidRDefault="00F70443" w:rsidP="00F70443">
            <w:pPr>
              <w:pStyle w:val="naiskr"/>
              <w:jc w:val="both"/>
            </w:pPr>
            <w:r>
              <w:t>Nr.800/2008 8</w:t>
            </w:r>
            <w:r w:rsidR="00A33B10">
              <w:t>.panta 2.punkts</w:t>
            </w:r>
            <w:r w:rsidR="0001048C">
              <w:t xml:space="preserve"> un 3.punkts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F70443">
            <w:pPr>
              <w:pStyle w:val="naiskr"/>
              <w:spacing w:before="0" w:after="0"/>
              <w:jc w:val="both"/>
            </w:pPr>
            <w:r w:rsidRPr="00F70443">
              <w:t>Noteikumu projekta 13.</w:t>
            </w:r>
            <w:r>
              <w:t>4</w:t>
            </w:r>
            <w:r w:rsidRPr="00F70443">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F70443" w:rsidRDefault="00F70443" w:rsidP="007E4C1F">
            <w:pPr>
              <w:pStyle w:val="naiskr"/>
              <w:spacing w:before="0" w:after="0"/>
              <w:jc w:val="both"/>
            </w:pPr>
            <w:r w:rsidRPr="00F70443">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F70443" w:rsidRDefault="00F70443" w:rsidP="007E4C1F">
            <w:pPr>
              <w:pStyle w:val="naiskr"/>
              <w:spacing w:before="0" w:after="0"/>
              <w:jc w:val="both"/>
            </w:pPr>
            <w:r w:rsidRPr="00F70443">
              <w:t>Neparedz stingrākas prasības</w:t>
            </w:r>
          </w:p>
        </w:tc>
      </w:tr>
      <w:tr w:rsidR="0075411D" w:rsidRPr="003E5A6D" w:rsidTr="006D1520">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75411D" w:rsidRDefault="006D1520" w:rsidP="00B32793">
            <w:pPr>
              <w:pStyle w:val="naiskr"/>
              <w:spacing w:before="0" w:after="0"/>
              <w:jc w:val="both"/>
            </w:pPr>
            <w:r>
              <w:t>Komisijas r</w:t>
            </w:r>
            <w:r w:rsidR="0075411D" w:rsidRPr="003E5A6D">
              <w:t>egula</w:t>
            </w:r>
            <w:r w:rsidR="005F3FC6">
              <w:t>s Nr.</w:t>
            </w:r>
            <w:r w:rsidR="0075411D" w:rsidRPr="003E5A6D">
              <w:t xml:space="preserve">800/2008 </w:t>
            </w:r>
            <w:r w:rsidR="00B32793">
              <w:t>13</w:t>
            </w:r>
            <w:r w:rsidR="0075411D" w:rsidRPr="003E5A6D">
              <w:t>.pants</w:t>
            </w:r>
          </w:p>
          <w:p w:rsidR="00EA0EBB" w:rsidRPr="003E5A6D" w:rsidRDefault="00EA0EBB" w:rsidP="00B32793">
            <w:pPr>
              <w:pStyle w:val="naiskr"/>
              <w:spacing w:before="0" w:after="0"/>
              <w:jc w:val="both"/>
            </w:pP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75411D" w:rsidRPr="003E5A6D" w:rsidRDefault="0075411D" w:rsidP="00F70443">
            <w:pPr>
              <w:pStyle w:val="naiskr"/>
              <w:spacing w:before="0" w:after="0"/>
              <w:jc w:val="both"/>
            </w:pPr>
            <w:r w:rsidRPr="003E5A6D">
              <w:t xml:space="preserve">Noteikumu projekta </w:t>
            </w:r>
            <w:r w:rsidR="00F70443" w:rsidRPr="003E5A6D">
              <w:t>1</w:t>
            </w:r>
            <w:r w:rsidR="00F70443">
              <w:t>4</w:t>
            </w:r>
            <w:r w:rsidRPr="003E5A6D">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75411D" w:rsidRPr="003E5A6D" w:rsidRDefault="0075411D"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75411D" w:rsidRPr="003E5A6D" w:rsidRDefault="0075411D" w:rsidP="007E4C1F">
            <w:pPr>
              <w:pStyle w:val="naiskr"/>
              <w:spacing w:before="0" w:after="0"/>
              <w:jc w:val="both"/>
            </w:pPr>
            <w:r w:rsidRPr="003E5A6D">
              <w:t>Neparedz stingrākas prasības</w:t>
            </w:r>
          </w:p>
        </w:tc>
      </w:tr>
      <w:tr w:rsidR="005F3FC6" w:rsidRPr="003E5A6D" w:rsidTr="006D1520">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5F3FC6" w:rsidRDefault="006D1520" w:rsidP="007E4C1F">
            <w:pPr>
              <w:pStyle w:val="naiskr"/>
              <w:spacing w:before="0" w:after="0"/>
              <w:jc w:val="both"/>
            </w:pPr>
            <w:r>
              <w:t>Komisijas r</w:t>
            </w:r>
            <w:r w:rsidR="005F3FC6">
              <w:t>egula</w:t>
            </w:r>
            <w:r>
              <w:t>s</w:t>
            </w:r>
            <w:r w:rsidR="005F3FC6">
              <w:t xml:space="preserve"> Nr.1407/2013</w:t>
            </w:r>
          </w:p>
          <w:p w:rsidR="005F3FC6" w:rsidRPr="003E5A6D" w:rsidRDefault="005F3FC6" w:rsidP="007E4C1F">
            <w:pPr>
              <w:pStyle w:val="naiskr"/>
              <w:spacing w:before="0" w:after="0"/>
              <w:jc w:val="both"/>
            </w:pPr>
            <w:r>
              <w:t xml:space="preserve">3.panta 2.punkts </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5F3FC6" w:rsidRPr="003E5A6D" w:rsidRDefault="005F3FC6" w:rsidP="00387734">
            <w:pPr>
              <w:pStyle w:val="naiskr"/>
              <w:spacing w:before="0" w:after="0"/>
              <w:jc w:val="both"/>
            </w:pPr>
            <w:r>
              <w:t xml:space="preserve">Noteikumu projekta </w:t>
            </w:r>
            <w:r w:rsidR="00F70443">
              <w:t>16</w:t>
            </w:r>
            <w:r>
              <w:t>.</w:t>
            </w:r>
            <w:r w:rsidR="00F70443">
              <w:t xml:space="preserve"> </w:t>
            </w:r>
            <w:r w:rsidR="00387734">
              <w:t>u</w:t>
            </w:r>
            <w:r w:rsidR="00F70443">
              <w:t>n 16.</w:t>
            </w:r>
            <w:r w:rsidR="00F70443" w:rsidRPr="007A5C51">
              <w:t>1</w:t>
            </w:r>
            <w:r w:rsidR="007A5C51">
              <w:t>.</w:t>
            </w:r>
            <w:r w:rsidR="00F70443">
              <w:t xml:space="preserve"> </w:t>
            </w:r>
            <w:r>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5F3FC6" w:rsidRPr="003E5A6D" w:rsidRDefault="005F3FC6"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5F3FC6" w:rsidRPr="003E5A6D" w:rsidRDefault="005F3FC6" w:rsidP="007E4C1F">
            <w:pPr>
              <w:pStyle w:val="naiskr"/>
              <w:spacing w:before="0" w:after="0"/>
              <w:jc w:val="both"/>
            </w:pPr>
            <w:r w:rsidRPr="003E5A6D">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Pr="0001048C" w:rsidRDefault="006D1520" w:rsidP="007E4C1F">
            <w:pPr>
              <w:pStyle w:val="naiskr"/>
              <w:spacing w:before="0" w:after="0"/>
              <w:jc w:val="both"/>
            </w:pPr>
            <w:r>
              <w:rPr>
                <w:color w:val="000000" w:themeColor="text1"/>
              </w:rPr>
              <w:t>Komisijas r</w:t>
            </w:r>
            <w:r w:rsidR="00E93CFE" w:rsidRPr="000D3D56">
              <w:rPr>
                <w:color w:val="000000" w:themeColor="text1"/>
              </w:rPr>
              <w:t>egulas Nr.1407/2013 1.panta (a), (b), (c), (d), (e) apakšpunkts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Default="00F70443" w:rsidP="00EE4A54">
            <w:pPr>
              <w:pStyle w:val="naiskr"/>
              <w:spacing w:before="0" w:after="0"/>
              <w:jc w:val="both"/>
            </w:pPr>
            <w:r>
              <w:t>Noteikumu projekta 17.punkts</w:t>
            </w:r>
            <w:r w:rsidR="00EE4A54">
              <w:t xml:space="preserve"> un 31.punkts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3E5A6D" w:rsidRDefault="00E93CFE"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3E5A6D" w:rsidRDefault="00E93CFE" w:rsidP="007E4C1F">
            <w:pPr>
              <w:pStyle w:val="naiskr"/>
              <w:spacing w:before="0" w:after="0"/>
              <w:jc w:val="both"/>
            </w:pPr>
            <w:r w:rsidRPr="003E5A6D">
              <w:t>Neparedz stingrākas prasības</w:t>
            </w:r>
          </w:p>
        </w:tc>
      </w:tr>
      <w:tr w:rsidR="00F70443" w:rsidRPr="003E5A6D" w:rsidTr="000D3D56">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F70443" w:rsidRDefault="006D1520" w:rsidP="007E4C1F">
            <w:pPr>
              <w:pStyle w:val="naiskr"/>
              <w:spacing w:before="0" w:after="0"/>
              <w:jc w:val="both"/>
            </w:pPr>
            <w:r>
              <w:lastRenderedPageBreak/>
              <w:t>Komisijas r</w:t>
            </w:r>
            <w:r w:rsidR="00387734">
              <w:t xml:space="preserve">egulas </w:t>
            </w:r>
            <w:r w:rsidR="0001048C">
              <w:t>Nr.800/2008 13.panta 6.punkts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F70443" w:rsidRDefault="00F70443" w:rsidP="00F70443">
            <w:pPr>
              <w:pStyle w:val="naiskr"/>
              <w:spacing w:before="0" w:after="0"/>
              <w:jc w:val="both"/>
            </w:pPr>
            <w:r>
              <w:t>Noteikumu projekta</w:t>
            </w:r>
            <w:r w:rsidR="00E93CFE">
              <w:t xml:space="preserve"> 18.punkts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F70443" w:rsidRPr="003E5A6D" w:rsidRDefault="00E93CFE"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F70443" w:rsidRPr="003E5A6D" w:rsidRDefault="00E93CFE" w:rsidP="007E4C1F">
            <w:pPr>
              <w:pStyle w:val="naiskr"/>
              <w:spacing w:before="0" w:after="0"/>
              <w:jc w:val="both"/>
            </w:pPr>
            <w:r w:rsidRPr="003E5A6D">
              <w:t>Neparedz stingrākas prasības</w:t>
            </w:r>
          </w:p>
        </w:tc>
      </w:tr>
      <w:tr w:rsidR="007E4C1F" w:rsidRPr="003E5A6D" w:rsidTr="006D1520">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hideMark/>
          </w:tcPr>
          <w:p w:rsidR="007E4C1F" w:rsidRPr="003E5A6D" w:rsidRDefault="006D1520" w:rsidP="007E4C1F">
            <w:pPr>
              <w:pStyle w:val="naiskr"/>
              <w:spacing w:before="0" w:after="0"/>
              <w:jc w:val="both"/>
            </w:pPr>
            <w:r>
              <w:t>Komisijas r</w:t>
            </w:r>
            <w:r w:rsidR="007E4C1F" w:rsidRPr="003E5A6D">
              <w:t>egulas Nr.1407/2013 3.panta 2.punkts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hideMark/>
          </w:tcPr>
          <w:p w:rsidR="007E4C1F" w:rsidRPr="003E5A6D" w:rsidRDefault="007E4C1F" w:rsidP="00387734">
            <w:pPr>
              <w:pStyle w:val="naiskr"/>
              <w:spacing w:before="0" w:after="0"/>
              <w:jc w:val="both"/>
            </w:pPr>
            <w:r w:rsidRPr="003E5A6D">
              <w:t xml:space="preserve">Noteikumu projekta </w:t>
            </w:r>
            <w:r w:rsidR="00387734" w:rsidRPr="003E5A6D">
              <w:t>2</w:t>
            </w:r>
            <w:r w:rsidR="00387734">
              <w:t>5</w:t>
            </w:r>
            <w:r w:rsidRPr="003E5A6D">
              <w:t>.punkts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hideMark/>
          </w:tcPr>
          <w:p w:rsidR="007E4C1F" w:rsidRPr="003E5A6D" w:rsidRDefault="007E4C1F" w:rsidP="007E4C1F">
            <w:pPr>
              <w:pStyle w:val="naiskr"/>
              <w:spacing w:before="0" w:after="0"/>
              <w:jc w:val="both"/>
            </w:pPr>
            <w:r w:rsidRPr="003E5A6D">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hideMark/>
          </w:tcPr>
          <w:p w:rsidR="007E4C1F" w:rsidRPr="003E5A6D" w:rsidRDefault="007E4C1F" w:rsidP="007E4C1F">
            <w:pPr>
              <w:pStyle w:val="naiskr"/>
              <w:spacing w:before="0" w:after="0"/>
              <w:jc w:val="both"/>
            </w:pPr>
            <w:r w:rsidRPr="003E5A6D">
              <w:t>Neparedz stingrākas prasības</w:t>
            </w:r>
          </w:p>
        </w:tc>
      </w:tr>
      <w:tr w:rsidR="003D1A86" w:rsidRPr="003E5A6D" w:rsidTr="00A14369">
        <w:trPr>
          <w:tblCellSpacing w:w="15" w:type="dxa"/>
        </w:trPr>
        <w:tc>
          <w:tcPr>
            <w:tcW w:w="1205"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3D1A86" w:rsidRPr="006D1520" w:rsidRDefault="006D1520" w:rsidP="007E4C1F">
            <w:pPr>
              <w:pStyle w:val="naiskr"/>
              <w:spacing w:before="0" w:after="0"/>
              <w:jc w:val="both"/>
            </w:pPr>
            <w:r w:rsidRPr="006D1520">
              <w:t>Komisijas r</w:t>
            </w:r>
            <w:r w:rsidR="003D1A86" w:rsidRPr="006D1520">
              <w:t>egulas Nr.1407/2013 4.panta 3.punkts</w:t>
            </w:r>
          </w:p>
        </w:tc>
        <w:tc>
          <w:tcPr>
            <w:tcW w:w="1020" w:type="pct"/>
            <w:gridSpan w:val="2"/>
            <w:tcBorders>
              <w:top w:val="single" w:sz="6" w:space="0" w:color="C0C0C0"/>
              <w:left w:val="single" w:sz="6" w:space="0" w:color="C0C0C0"/>
              <w:bottom w:val="single" w:sz="6" w:space="0" w:color="C0C0C0"/>
              <w:right w:val="single" w:sz="6" w:space="0" w:color="C0C0C0"/>
            </w:tcBorders>
            <w:shd w:val="clear" w:color="auto" w:fill="auto"/>
          </w:tcPr>
          <w:p w:rsidR="003D1A86" w:rsidRPr="006D1520" w:rsidRDefault="003D1A86" w:rsidP="00387734">
            <w:pPr>
              <w:pStyle w:val="naiskr"/>
              <w:spacing w:before="0" w:after="0"/>
              <w:jc w:val="both"/>
            </w:pPr>
            <w:r w:rsidRPr="006D1520">
              <w:t>Noteikumu projekta 33.punkts</w:t>
            </w:r>
          </w:p>
        </w:tc>
        <w:tc>
          <w:tcPr>
            <w:tcW w:w="755" w:type="pct"/>
            <w:tcBorders>
              <w:top w:val="single" w:sz="6" w:space="0" w:color="C0C0C0"/>
              <w:left w:val="single" w:sz="6" w:space="0" w:color="C0C0C0"/>
              <w:bottom w:val="single" w:sz="6" w:space="0" w:color="C0C0C0"/>
              <w:right w:val="single" w:sz="6" w:space="0" w:color="C0C0C0"/>
            </w:tcBorders>
            <w:shd w:val="clear" w:color="auto" w:fill="auto"/>
          </w:tcPr>
          <w:p w:rsidR="003D1A86" w:rsidRPr="006D1520" w:rsidRDefault="003D1A86" w:rsidP="007E4C1F">
            <w:pPr>
              <w:pStyle w:val="naiskr"/>
              <w:spacing w:before="0" w:after="0"/>
              <w:jc w:val="both"/>
            </w:pPr>
            <w:r w:rsidRPr="006D1520">
              <w:t>Ieviests pilnībā</w:t>
            </w:r>
          </w:p>
        </w:tc>
        <w:tc>
          <w:tcPr>
            <w:tcW w:w="1936" w:type="pct"/>
            <w:tcBorders>
              <w:top w:val="single" w:sz="6" w:space="0" w:color="C0C0C0"/>
              <w:left w:val="single" w:sz="6" w:space="0" w:color="C0C0C0"/>
              <w:bottom w:val="single" w:sz="6" w:space="0" w:color="C0C0C0"/>
              <w:right w:val="thinThickLargeGap" w:sz="6" w:space="0" w:color="C0C0C0"/>
            </w:tcBorders>
            <w:shd w:val="clear" w:color="auto" w:fill="auto"/>
          </w:tcPr>
          <w:p w:rsidR="003D1A86" w:rsidRPr="006D1520" w:rsidRDefault="003D1A86" w:rsidP="007E4C1F">
            <w:pPr>
              <w:pStyle w:val="naiskr"/>
              <w:spacing w:before="0" w:after="0"/>
              <w:jc w:val="both"/>
            </w:pPr>
            <w:r w:rsidRPr="006D1520">
              <w:t>Neparedz stingrākas prasības</w:t>
            </w:r>
          </w:p>
        </w:tc>
      </w:tr>
      <w:tr w:rsidR="00074090" w:rsidRPr="003E5A6D" w:rsidTr="006D1520">
        <w:trPr>
          <w:tblCellSpacing w:w="15" w:type="dxa"/>
        </w:trPr>
        <w:tc>
          <w:tcPr>
            <w:tcW w:w="1205" w:type="pct"/>
            <w:gridSpan w:val="2"/>
            <w:shd w:val="clear" w:color="auto" w:fill="auto"/>
          </w:tcPr>
          <w:p w:rsidR="00074090" w:rsidRPr="006D1520" w:rsidRDefault="006D1520" w:rsidP="0002003C">
            <w:pPr>
              <w:pStyle w:val="naiskr"/>
              <w:spacing w:before="0" w:after="0"/>
              <w:jc w:val="both"/>
              <w:rPr>
                <w:color w:val="000000" w:themeColor="text1"/>
              </w:rPr>
            </w:pPr>
            <w:r>
              <w:rPr>
                <w:color w:val="000000" w:themeColor="text1"/>
              </w:rPr>
              <w:t>Komisijas r</w:t>
            </w:r>
            <w:r w:rsidR="009A692C" w:rsidRPr="006D1520">
              <w:rPr>
                <w:color w:val="000000" w:themeColor="text1"/>
              </w:rPr>
              <w:t xml:space="preserve">egulas Nr.1407/2013 </w:t>
            </w:r>
            <w:r w:rsidR="0002003C">
              <w:rPr>
                <w:color w:val="000000" w:themeColor="text1"/>
              </w:rPr>
              <w:t>6</w:t>
            </w:r>
            <w:r w:rsidR="00D04299" w:rsidRPr="006D1520">
              <w:rPr>
                <w:color w:val="000000" w:themeColor="text1"/>
              </w:rPr>
              <w:t xml:space="preserve">.panta </w:t>
            </w:r>
            <w:r w:rsidR="0002003C">
              <w:rPr>
                <w:color w:val="000000" w:themeColor="text1"/>
              </w:rPr>
              <w:t>3</w:t>
            </w:r>
            <w:r w:rsidR="00D04299" w:rsidRPr="006D1520">
              <w:rPr>
                <w:color w:val="000000" w:themeColor="text1"/>
              </w:rPr>
              <w:t>.punkts</w:t>
            </w:r>
          </w:p>
        </w:tc>
        <w:tc>
          <w:tcPr>
            <w:tcW w:w="1020" w:type="pct"/>
            <w:gridSpan w:val="2"/>
            <w:shd w:val="clear" w:color="auto" w:fill="auto"/>
          </w:tcPr>
          <w:p w:rsidR="00074090" w:rsidRPr="003E5A6D" w:rsidRDefault="009A692C" w:rsidP="00395460">
            <w:pPr>
              <w:pStyle w:val="naiskr"/>
              <w:spacing w:before="0" w:after="0"/>
            </w:pPr>
            <w:r w:rsidRPr="003E5A6D">
              <w:t xml:space="preserve">Noteikumu projekta </w:t>
            </w:r>
            <w:r w:rsidR="00395460" w:rsidRPr="003E5A6D">
              <w:t>3</w:t>
            </w:r>
            <w:r w:rsidR="00395460">
              <w:t>6</w:t>
            </w:r>
            <w:r w:rsidR="0075411D" w:rsidRPr="003E5A6D">
              <w:t>.</w:t>
            </w:r>
            <w:r w:rsidRPr="003E5A6D">
              <w:t>punkts</w:t>
            </w:r>
          </w:p>
        </w:tc>
        <w:tc>
          <w:tcPr>
            <w:tcW w:w="755" w:type="pct"/>
            <w:shd w:val="clear" w:color="auto" w:fill="auto"/>
          </w:tcPr>
          <w:p w:rsidR="00074090" w:rsidRPr="003E5A6D" w:rsidRDefault="009A692C" w:rsidP="00C26333">
            <w:pPr>
              <w:pStyle w:val="naiskr"/>
              <w:spacing w:before="0" w:after="0"/>
            </w:pPr>
            <w:r w:rsidRPr="003E5A6D">
              <w:t>Ieviests pilnībā</w:t>
            </w:r>
          </w:p>
        </w:tc>
        <w:tc>
          <w:tcPr>
            <w:tcW w:w="1936" w:type="pct"/>
            <w:shd w:val="clear" w:color="auto" w:fill="auto"/>
          </w:tcPr>
          <w:p w:rsidR="00074090" w:rsidRPr="003E5A6D" w:rsidRDefault="009A692C" w:rsidP="00C26333">
            <w:pPr>
              <w:pStyle w:val="naiskr"/>
              <w:spacing w:before="0" w:after="0"/>
            </w:pPr>
            <w:r w:rsidRPr="003E5A6D">
              <w:t>Neparedz stingrākas prasības</w:t>
            </w:r>
          </w:p>
        </w:tc>
      </w:tr>
      <w:tr w:rsidR="00392998" w:rsidRPr="003E5A6D" w:rsidTr="000D3D56">
        <w:trPr>
          <w:tblCellSpacing w:w="15" w:type="dxa"/>
        </w:trPr>
        <w:tc>
          <w:tcPr>
            <w:tcW w:w="1205" w:type="pct"/>
            <w:gridSpan w:val="2"/>
            <w:shd w:val="clear" w:color="auto" w:fill="auto"/>
          </w:tcPr>
          <w:p w:rsidR="00392998" w:rsidRPr="000D3D56" w:rsidRDefault="006D1520" w:rsidP="00CB6AC4">
            <w:pPr>
              <w:pStyle w:val="naiskr"/>
              <w:spacing w:before="0" w:after="0"/>
              <w:jc w:val="both"/>
              <w:rPr>
                <w:color w:val="000000" w:themeColor="text1"/>
              </w:rPr>
            </w:pPr>
            <w:r>
              <w:rPr>
                <w:color w:val="000000" w:themeColor="text1"/>
              </w:rPr>
              <w:t>Komisijas r</w:t>
            </w:r>
            <w:r w:rsidR="0001048C" w:rsidRPr="000D3D56">
              <w:rPr>
                <w:color w:val="000000" w:themeColor="text1"/>
              </w:rPr>
              <w:t>egulas Nr.800/2008 5.panta 1.punkta b) apakšpunkts</w:t>
            </w:r>
          </w:p>
        </w:tc>
        <w:tc>
          <w:tcPr>
            <w:tcW w:w="1020" w:type="pct"/>
            <w:gridSpan w:val="2"/>
            <w:shd w:val="clear" w:color="auto" w:fill="auto"/>
          </w:tcPr>
          <w:p w:rsidR="00392998" w:rsidRPr="00A03E32" w:rsidRDefault="00392998" w:rsidP="00395460">
            <w:pPr>
              <w:pStyle w:val="naiskr"/>
              <w:spacing w:before="0" w:after="0"/>
            </w:pPr>
            <w:r w:rsidRPr="00A03E32">
              <w:t>Noteikumu projekta 37.pants</w:t>
            </w:r>
          </w:p>
        </w:tc>
        <w:tc>
          <w:tcPr>
            <w:tcW w:w="755" w:type="pct"/>
            <w:shd w:val="clear" w:color="auto" w:fill="auto"/>
          </w:tcPr>
          <w:p w:rsidR="00392998" w:rsidRPr="00A03E32" w:rsidRDefault="00392998" w:rsidP="00C26333">
            <w:pPr>
              <w:pStyle w:val="naiskr"/>
              <w:spacing w:before="0" w:after="0"/>
            </w:pPr>
            <w:r w:rsidRPr="00A03E32">
              <w:t>Ieviests pilnībā</w:t>
            </w:r>
          </w:p>
        </w:tc>
        <w:tc>
          <w:tcPr>
            <w:tcW w:w="1936" w:type="pct"/>
            <w:shd w:val="clear" w:color="auto" w:fill="auto"/>
          </w:tcPr>
          <w:p w:rsidR="00392998" w:rsidRPr="00A03E32" w:rsidRDefault="00392998" w:rsidP="00C26333">
            <w:pPr>
              <w:pStyle w:val="naiskr"/>
              <w:spacing w:before="0" w:after="0"/>
            </w:pPr>
            <w:r w:rsidRPr="00A03E32">
              <w:t>Neparedz stingrākas prasības</w:t>
            </w:r>
          </w:p>
        </w:tc>
      </w:tr>
      <w:tr w:rsidR="0001048C" w:rsidRPr="003E5A6D" w:rsidTr="000D3D56">
        <w:trPr>
          <w:tblCellSpacing w:w="15" w:type="dxa"/>
        </w:trPr>
        <w:tc>
          <w:tcPr>
            <w:tcW w:w="1205" w:type="pct"/>
            <w:gridSpan w:val="2"/>
            <w:shd w:val="clear" w:color="auto" w:fill="auto"/>
          </w:tcPr>
          <w:p w:rsidR="0001048C" w:rsidRPr="000D3D56" w:rsidRDefault="006D1520" w:rsidP="00CB6AC4">
            <w:pPr>
              <w:pStyle w:val="naiskr"/>
              <w:spacing w:before="0" w:after="0"/>
              <w:jc w:val="both"/>
              <w:rPr>
                <w:color w:val="000000" w:themeColor="text1"/>
              </w:rPr>
            </w:pPr>
            <w:r>
              <w:rPr>
                <w:color w:val="000000" w:themeColor="text1"/>
              </w:rPr>
              <w:t>Komisijas r</w:t>
            </w:r>
            <w:r w:rsidR="0001048C" w:rsidRPr="000D3D56">
              <w:rPr>
                <w:color w:val="000000" w:themeColor="text1"/>
              </w:rPr>
              <w:t>egulas Nr.800/2008 7.panta 3.punkts</w:t>
            </w:r>
          </w:p>
        </w:tc>
        <w:tc>
          <w:tcPr>
            <w:tcW w:w="1020" w:type="pct"/>
            <w:gridSpan w:val="2"/>
            <w:shd w:val="clear" w:color="auto" w:fill="auto"/>
          </w:tcPr>
          <w:p w:rsidR="0001048C" w:rsidRPr="000D3D56" w:rsidRDefault="0001048C" w:rsidP="00395460">
            <w:pPr>
              <w:pStyle w:val="naiskr"/>
              <w:spacing w:before="0" w:after="0"/>
            </w:pPr>
            <w:r w:rsidRPr="000D3D56">
              <w:t>Noteikumu projekta 39.punkts</w:t>
            </w:r>
          </w:p>
        </w:tc>
        <w:tc>
          <w:tcPr>
            <w:tcW w:w="755" w:type="pct"/>
            <w:shd w:val="clear" w:color="auto" w:fill="auto"/>
          </w:tcPr>
          <w:p w:rsidR="0001048C" w:rsidRPr="000D3D56" w:rsidRDefault="0001048C" w:rsidP="00C26333">
            <w:pPr>
              <w:pStyle w:val="naiskr"/>
              <w:spacing w:before="0" w:after="0"/>
            </w:pPr>
            <w:r w:rsidRPr="000D3D56">
              <w:t>Ieviests pilnībā</w:t>
            </w:r>
          </w:p>
        </w:tc>
        <w:tc>
          <w:tcPr>
            <w:tcW w:w="1936" w:type="pct"/>
            <w:shd w:val="clear" w:color="auto" w:fill="auto"/>
          </w:tcPr>
          <w:p w:rsidR="0001048C" w:rsidRPr="000D3D56" w:rsidRDefault="0001048C" w:rsidP="00C26333">
            <w:pPr>
              <w:pStyle w:val="naiskr"/>
              <w:spacing w:before="0" w:after="0"/>
            </w:pPr>
            <w:r w:rsidRPr="000D3D56">
              <w:t>Neparedz stingrākas prasības</w:t>
            </w:r>
          </w:p>
        </w:tc>
      </w:tr>
      <w:tr w:rsidR="00A03E32" w:rsidRPr="003E5A6D" w:rsidTr="000D3D56">
        <w:trPr>
          <w:tblCellSpacing w:w="15" w:type="dxa"/>
        </w:trPr>
        <w:tc>
          <w:tcPr>
            <w:tcW w:w="1205" w:type="pct"/>
            <w:gridSpan w:val="2"/>
            <w:shd w:val="clear" w:color="auto" w:fill="auto"/>
          </w:tcPr>
          <w:p w:rsidR="00A03E32" w:rsidRPr="00A03E32" w:rsidRDefault="006D1520" w:rsidP="00CB6AC4">
            <w:pPr>
              <w:pStyle w:val="naiskr"/>
              <w:spacing w:before="0" w:after="0"/>
              <w:jc w:val="both"/>
              <w:rPr>
                <w:color w:val="000000" w:themeColor="text1"/>
              </w:rPr>
            </w:pPr>
            <w:r>
              <w:t>Komisijas r</w:t>
            </w:r>
            <w:r w:rsidR="00A03E32">
              <w:t>egulas Nr.1407/2013 6.panta 4.punkts</w:t>
            </w:r>
            <w:r w:rsidR="0002003C">
              <w:t xml:space="preserve"> un 5.punkts</w:t>
            </w:r>
          </w:p>
        </w:tc>
        <w:tc>
          <w:tcPr>
            <w:tcW w:w="1020" w:type="pct"/>
            <w:gridSpan w:val="2"/>
            <w:shd w:val="clear" w:color="auto" w:fill="auto"/>
          </w:tcPr>
          <w:p w:rsidR="00A03E32" w:rsidRDefault="00A03E32" w:rsidP="00A03E32">
            <w:pPr>
              <w:pStyle w:val="naiskr"/>
              <w:spacing w:before="0" w:after="0"/>
              <w:rPr>
                <w:highlight w:val="yellow"/>
              </w:rPr>
            </w:pPr>
            <w:r>
              <w:t>Noteikumu projekta 42.punkts</w:t>
            </w:r>
          </w:p>
        </w:tc>
        <w:tc>
          <w:tcPr>
            <w:tcW w:w="755" w:type="pct"/>
            <w:shd w:val="clear" w:color="auto" w:fill="auto"/>
          </w:tcPr>
          <w:p w:rsidR="00A03E32" w:rsidRPr="00792975" w:rsidRDefault="00A03E32" w:rsidP="00C26333">
            <w:pPr>
              <w:pStyle w:val="naiskr"/>
              <w:spacing w:before="0" w:after="0"/>
              <w:rPr>
                <w:highlight w:val="yellow"/>
              </w:rPr>
            </w:pPr>
            <w:r w:rsidRPr="003E5A6D">
              <w:t>Ieviests pilnībā</w:t>
            </w:r>
          </w:p>
        </w:tc>
        <w:tc>
          <w:tcPr>
            <w:tcW w:w="1936" w:type="pct"/>
            <w:shd w:val="clear" w:color="auto" w:fill="auto"/>
          </w:tcPr>
          <w:p w:rsidR="00A03E32" w:rsidRPr="00526563" w:rsidRDefault="00A03E32" w:rsidP="00C26333">
            <w:pPr>
              <w:pStyle w:val="naiskr"/>
              <w:spacing w:before="0" w:after="0"/>
              <w:rPr>
                <w:highlight w:val="yellow"/>
              </w:rPr>
            </w:pPr>
            <w:r w:rsidRPr="003E5A6D">
              <w:t>Neparedz stingrākas prasības</w:t>
            </w:r>
          </w:p>
        </w:tc>
      </w:tr>
      <w:tr w:rsidR="00A03E32" w:rsidRPr="003E5A6D" w:rsidTr="000D3D56">
        <w:trPr>
          <w:tblCellSpacing w:w="15" w:type="dxa"/>
        </w:trPr>
        <w:tc>
          <w:tcPr>
            <w:tcW w:w="1205" w:type="pct"/>
            <w:gridSpan w:val="2"/>
            <w:shd w:val="clear" w:color="auto" w:fill="auto"/>
          </w:tcPr>
          <w:p w:rsidR="00A03E32" w:rsidRPr="000D3D56" w:rsidRDefault="006D1520" w:rsidP="00CB6AC4">
            <w:pPr>
              <w:pStyle w:val="naiskr"/>
              <w:spacing w:before="0" w:after="0"/>
              <w:jc w:val="both"/>
              <w:rPr>
                <w:color w:val="000000" w:themeColor="text1"/>
              </w:rPr>
            </w:pPr>
            <w:r>
              <w:rPr>
                <w:color w:val="000000" w:themeColor="text1"/>
              </w:rPr>
              <w:t>Komisijas r</w:t>
            </w:r>
            <w:r w:rsidR="0002003C" w:rsidRPr="000D3D56">
              <w:rPr>
                <w:color w:val="000000" w:themeColor="text1"/>
              </w:rPr>
              <w:t>egulas Nr.1407/2013 6.panta 4.punkts</w:t>
            </w:r>
          </w:p>
        </w:tc>
        <w:tc>
          <w:tcPr>
            <w:tcW w:w="1020" w:type="pct"/>
            <w:gridSpan w:val="2"/>
            <w:shd w:val="clear" w:color="auto" w:fill="auto"/>
          </w:tcPr>
          <w:p w:rsidR="00A03E32" w:rsidRPr="000D3D56" w:rsidRDefault="00A03E32" w:rsidP="00E50E6F">
            <w:pPr>
              <w:pStyle w:val="naiskr"/>
              <w:spacing w:before="0" w:after="0"/>
            </w:pPr>
            <w:r w:rsidRPr="000D3D56">
              <w:t>Noteikumu projekta 43.punkts</w:t>
            </w:r>
          </w:p>
        </w:tc>
        <w:tc>
          <w:tcPr>
            <w:tcW w:w="755" w:type="pct"/>
            <w:shd w:val="clear" w:color="auto" w:fill="auto"/>
          </w:tcPr>
          <w:p w:rsidR="00A03E32" w:rsidRPr="000D3D56" w:rsidRDefault="00A03E32" w:rsidP="00C26333">
            <w:pPr>
              <w:pStyle w:val="naiskr"/>
              <w:spacing w:before="0" w:after="0"/>
            </w:pPr>
            <w:r w:rsidRPr="000D3D56">
              <w:t>Ieviests pilnībā</w:t>
            </w:r>
          </w:p>
        </w:tc>
        <w:tc>
          <w:tcPr>
            <w:tcW w:w="1936" w:type="pct"/>
            <w:shd w:val="clear" w:color="auto" w:fill="auto"/>
          </w:tcPr>
          <w:p w:rsidR="00A03E32" w:rsidRPr="000D3D56" w:rsidRDefault="00A03E32" w:rsidP="00C26333">
            <w:pPr>
              <w:pStyle w:val="naiskr"/>
              <w:spacing w:before="0" w:after="0"/>
            </w:pPr>
            <w:r w:rsidRPr="000D3D56">
              <w:t>Neparedz stingrākas prasības</w:t>
            </w:r>
          </w:p>
        </w:tc>
      </w:tr>
      <w:tr w:rsidR="00A03E32" w:rsidRPr="003E5A6D" w:rsidTr="000D3D56">
        <w:trPr>
          <w:tblCellSpacing w:w="15" w:type="dxa"/>
        </w:trPr>
        <w:tc>
          <w:tcPr>
            <w:tcW w:w="1205" w:type="pct"/>
            <w:gridSpan w:val="2"/>
            <w:shd w:val="clear" w:color="auto" w:fill="auto"/>
          </w:tcPr>
          <w:p w:rsidR="00A03E32" w:rsidRPr="000D3D56" w:rsidRDefault="006D1520" w:rsidP="00CB6AC4">
            <w:pPr>
              <w:pStyle w:val="naiskr"/>
              <w:spacing w:before="0" w:after="0"/>
              <w:jc w:val="both"/>
              <w:rPr>
                <w:color w:val="000000" w:themeColor="text1"/>
              </w:rPr>
            </w:pPr>
            <w:r>
              <w:rPr>
                <w:color w:val="000000" w:themeColor="text1"/>
              </w:rPr>
              <w:t>Komisijas r</w:t>
            </w:r>
            <w:r w:rsidR="00A03E32" w:rsidRPr="000D3D56">
              <w:rPr>
                <w:color w:val="000000" w:themeColor="text1"/>
              </w:rPr>
              <w:t>egula</w:t>
            </w:r>
            <w:r>
              <w:rPr>
                <w:color w:val="000000" w:themeColor="text1"/>
              </w:rPr>
              <w:t>s</w:t>
            </w:r>
            <w:r w:rsidR="00A03E32" w:rsidRPr="000D3D56">
              <w:rPr>
                <w:color w:val="000000" w:themeColor="text1"/>
              </w:rPr>
              <w:t xml:space="preserve"> 1407/2013 8.pants</w:t>
            </w:r>
          </w:p>
          <w:p w:rsidR="00A03E32" w:rsidRPr="00A03E32" w:rsidRDefault="00A03E32" w:rsidP="00CB6AC4">
            <w:pPr>
              <w:pStyle w:val="naiskr"/>
              <w:spacing w:before="0" w:after="0"/>
              <w:jc w:val="both"/>
              <w:rPr>
                <w:i/>
                <w:color w:val="000000" w:themeColor="text1"/>
              </w:rPr>
            </w:pPr>
            <w:r w:rsidRPr="000D3D56">
              <w:rPr>
                <w:color w:val="000000" w:themeColor="text1"/>
              </w:rPr>
              <w:t>Regula 800/2008 44.panta 3.punkts</w:t>
            </w:r>
          </w:p>
        </w:tc>
        <w:tc>
          <w:tcPr>
            <w:tcW w:w="1020" w:type="pct"/>
            <w:gridSpan w:val="2"/>
            <w:shd w:val="clear" w:color="auto" w:fill="auto"/>
          </w:tcPr>
          <w:p w:rsidR="00A03E32" w:rsidRPr="000D3D56" w:rsidRDefault="00A03E32" w:rsidP="00E50E6F">
            <w:pPr>
              <w:pStyle w:val="naiskr"/>
              <w:spacing w:before="0" w:after="0"/>
            </w:pPr>
            <w:r w:rsidRPr="000D3D56">
              <w:t>Noteikumu projekta 44.punkts</w:t>
            </w:r>
          </w:p>
        </w:tc>
        <w:tc>
          <w:tcPr>
            <w:tcW w:w="755" w:type="pct"/>
            <w:shd w:val="clear" w:color="auto" w:fill="auto"/>
          </w:tcPr>
          <w:p w:rsidR="00A03E32" w:rsidRPr="000D3D56" w:rsidRDefault="00A03E32" w:rsidP="00C26333">
            <w:pPr>
              <w:pStyle w:val="naiskr"/>
              <w:spacing w:before="0" w:after="0"/>
            </w:pPr>
            <w:r w:rsidRPr="000D3D56">
              <w:t>Ieviests pilnībā</w:t>
            </w:r>
          </w:p>
        </w:tc>
        <w:tc>
          <w:tcPr>
            <w:tcW w:w="1936" w:type="pct"/>
            <w:shd w:val="clear" w:color="auto" w:fill="auto"/>
          </w:tcPr>
          <w:p w:rsidR="00A03E32" w:rsidRPr="000D3D56" w:rsidRDefault="00A03E32" w:rsidP="00C26333">
            <w:pPr>
              <w:pStyle w:val="naiskr"/>
              <w:spacing w:before="0" w:after="0"/>
            </w:pPr>
            <w:r w:rsidRPr="000D3D56">
              <w:t>Neparedz stingrākas prasības</w:t>
            </w:r>
          </w:p>
        </w:tc>
      </w:tr>
      <w:tr w:rsidR="00A03E32" w:rsidRPr="003E5A6D" w:rsidTr="000D3D56">
        <w:trPr>
          <w:tblCellSpacing w:w="15" w:type="dxa"/>
        </w:trPr>
        <w:tc>
          <w:tcPr>
            <w:tcW w:w="1205" w:type="pct"/>
            <w:gridSpan w:val="2"/>
            <w:shd w:val="clear" w:color="auto" w:fill="auto"/>
            <w:vAlign w:val="center"/>
            <w:hideMark/>
          </w:tcPr>
          <w:p w:rsidR="00A03E32" w:rsidRPr="003E5A6D" w:rsidRDefault="00A03E32" w:rsidP="00CB6AC4">
            <w:pPr>
              <w:jc w:val="both"/>
              <w:rPr>
                <w:rFonts w:eastAsia="Times New Roman"/>
                <w:sz w:val="24"/>
                <w:szCs w:val="24"/>
                <w:lang w:val="lv-LV" w:eastAsia="lv-LV"/>
              </w:rPr>
            </w:pPr>
            <w:r w:rsidRPr="003E5A6D">
              <w:rPr>
                <w:rFonts w:eastAsia="Times New Roman"/>
                <w:sz w:val="24"/>
                <w:szCs w:val="24"/>
                <w:lang w:val="lv-LV" w:eastAsia="lv-LV"/>
              </w:rPr>
              <w:t>Kā ir izmantota ES tiesību aktā paredzētā rīcības brīvība dalībvalstij pārņemt vai ieviest noteiktas ES tiesību akta normas.</w:t>
            </w:r>
          </w:p>
        </w:tc>
        <w:tc>
          <w:tcPr>
            <w:tcW w:w="3744" w:type="pct"/>
            <w:gridSpan w:val="4"/>
            <w:shd w:val="clear" w:color="auto" w:fill="auto"/>
            <w:hideMark/>
          </w:tcPr>
          <w:p w:rsidR="00A03E32" w:rsidRPr="003E5A6D" w:rsidRDefault="00A03E32" w:rsidP="00416A31">
            <w:pPr>
              <w:autoSpaceDE w:val="0"/>
              <w:autoSpaceDN w:val="0"/>
              <w:adjustRightInd w:val="0"/>
              <w:jc w:val="both"/>
              <w:rPr>
                <w:rFonts w:ascii="EUAlbertina" w:hAnsi="EUAlbertina" w:cs="EUAlbertina"/>
                <w:sz w:val="24"/>
                <w:szCs w:val="24"/>
                <w:lang w:val="lv-LV"/>
              </w:rPr>
            </w:pPr>
            <w:r w:rsidRPr="003E5A6D">
              <w:rPr>
                <w:rFonts w:ascii="EUAlbertina" w:hAnsi="EUAlbertina" w:cs="EUAlbertina"/>
                <w:sz w:val="24"/>
                <w:szCs w:val="24"/>
                <w:lang w:val="lv-LV"/>
              </w:rPr>
              <w:t xml:space="preserve">Lai sniegtu </w:t>
            </w:r>
            <w:r w:rsidRPr="003E5A6D">
              <w:rPr>
                <w:rFonts w:ascii="EUAlbertina" w:hAnsi="EUAlbertina" w:cs="EUAlbertina"/>
                <w:i/>
                <w:sz w:val="24"/>
                <w:szCs w:val="24"/>
                <w:lang w:val="lv-LV"/>
              </w:rPr>
              <w:t>de minimis</w:t>
            </w:r>
            <w:r w:rsidRPr="003E5A6D">
              <w:rPr>
                <w:rFonts w:ascii="EUAlbertina" w:hAnsi="EUAlbertina" w:cs="EUAlbertina"/>
                <w:sz w:val="24"/>
                <w:szCs w:val="24"/>
                <w:lang w:val="lv-LV"/>
              </w:rPr>
              <w:t xml:space="preserve"> valsts atbalstu,  dalībvalstij ir obligāti jāpiemēro </w:t>
            </w:r>
            <w:r w:rsidR="006D1520">
              <w:rPr>
                <w:rFonts w:ascii="EUAlbertina" w:hAnsi="EUAlbertina" w:cs="EUAlbertina"/>
                <w:sz w:val="24"/>
                <w:szCs w:val="24"/>
                <w:lang w:val="lv-LV"/>
              </w:rPr>
              <w:t>Komisijas r</w:t>
            </w:r>
            <w:r w:rsidRPr="003E5A6D">
              <w:rPr>
                <w:rFonts w:ascii="EUAlbertina" w:hAnsi="EUAlbertina" w:cs="EUAlbertina"/>
                <w:sz w:val="24"/>
                <w:szCs w:val="24"/>
                <w:lang w:val="lv-LV"/>
              </w:rPr>
              <w:t>egula Nr.1407/2013.</w:t>
            </w:r>
          </w:p>
          <w:p w:rsidR="00A03E32" w:rsidRPr="003E5A6D" w:rsidRDefault="00A03E32" w:rsidP="00CB6AC4">
            <w:pPr>
              <w:jc w:val="both"/>
              <w:rPr>
                <w:rFonts w:eastAsia="Times New Roman"/>
                <w:sz w:val="24"/>
                <w:szCs w:val="24"/>
                <w:lang w:val="lv-LV" w:eastAsia="lv-LV"/>
              </w:rPr>
            </w:pPr>
          </w:p>
        </w:tc>
      </w:tr>
      <w:tr w:rsidR="00A03E32" w:rsidRPr="003E5A6D" w:rsidTr="000D3D56">
        <w:trPr>
          <w:tblCellSpacing w:w="15" w:type="dxa"/>
        </w:trPr>
        <w:tc>
          <w:tcPr>
            <w:tcW w:w="1205" w:type="pct"/>
            <w:gridSpan w:val="2"/>
            <w:shd w:val="clear" w:color="auto" w:fill="auto"/>
            <w:vAlign w:val="center"/>
            <w:hideMark/>
          </w:tcPr>
          <w:p w:rsidR="00A03E32" w:rsidRPr="003E5A6D" w:rsidRDefault="00A03E32" w:rsidP="00CB6AC4">
            <w:pPr>
              <w:jc w:val="both"/>
              <w:rPr>
                <w:rFonts w:eastAsia="Times New Roman"/>
                <w:sz w:val="24"/>
                <w:szCs w:val="24"/>
                <w:lang w:val="lv-LV" w:eastAsia="lv-LV"/>
              </w:rPr>
            </w:pPr>
            <w:r w:rsidRPr="003E5A6D">
              <w:rPr>
                <w:rFonts w:eastAsia="Times New Roman"/>
                <w:sz w:val="24"/>
                <w:szCs w:val="24"/>
                <w:lang w:val="lv-LV" w:eastAsia="lv-LV"/>
              </w:rPr>
              <w:t xml:space="preserve">Saistības sniegt paziņojumu ES institūcijām un ES dalībvalstīm atbilstoši normatīvajiem aktiem, kas regulē informācijas </w:t>
            </w:r>
            <w:r w:rsidRPr="003E5A6D">
              <w:rPr>
                <w:rFonts w:eastAsia="Times New Roman"/>
                <w:sz w:val="24"/>
                <w:szCs w:val="24"/>
                <w:lang w:val="lv-LV" w:eastAsia="lv-LV"/>
              </w:rPr>
              <w:lastRenderedPageBreak/>
              <w:t>sniegšanu par tehnisko noteikumu, valsts atbalsta piešķiršanas un finanšu noteikumu (attiecībā uz monetāro politiku) projektiem</w:t>
            </w:r>
          </w:p>
        </w:tc>
        <w:tc>
          <w:tcPr>
            <w:tcW w:w="3744" w:type="pct"/>
            <w:gridSpan w:val="4"/>
            <w:shd w:val="clear" w:color="auto" w:fill="auto"/>
            <w:hideMark/>
          </w:tcPr>
          <w:p w:rsidR="00A03E32" w:rsidRPr="003E5A6D" w:rsidRDefault="006D1520" w:rsidP="00CB6AC4">
            <w:pPr>
              <w:jc w:val="both"/>
              <w:rPr>
                <w:rFonts w:eastAsia="Times New Roman"/>
                <w:iCs/>
                <w:sz w:val="24"/>
                <w:szCs w:val="24"/>
                <w:lang w:val="lv-LV" w:eastAsia="lv-LV"/>
              </w:rPr>
            </w:pPr>
            <w:r>
              <w:rPr>
                <w:rFonts w:eastAsia="Times New Roman"/>
                <w:iCs/>
                <w:sz w:val="24"/>
                <w:szCs w:val="24"/>
                <w:lang w:val="lv-LV" w:eastAsia="lv-LV"/>
              </w:rPr>
              <w:lastRenderedPageBreak/>
              <w:t>Atbilstoši Komisijas r</w:t>
            </w:r>
            <w:r w:rsidR="00A03E32" w:rsidRPr="003E5A6D">
              <w:rPr>
                <w:rFonts w:eastAsia="Times New Roman"/>
                <w:iCs/>
                <w:sz w:val="24"/>
                <w:szCs w:val="24"/>
                <w:lang w:val="lv-LV" w:eastAsia="lv-LV"/>
              </w:rPr>
              <w:t xml:space="preserve">egulas </w:t>
            </w:r>
            <w:r>
              <w:rPr>
                <w:rFonts w:eastAsia="Times New Roman"/>
                <w:iCs/>
                <w:sz w:val="24"/>
                <w:szCs w:val="24"/>
                <w:lang w:val="lv-LV" w:eastAsia="lv-LV"/>
              </w:rPr>
              <w:t>Nr.800/2008 9.panta 1.punktam</w:t>
            </w:r>
            <w:r w:rsidR="00A03E32" w:rsidRPr="003E5A6D">
              <w:rPr>
                <w:rFonts w:eastAsia="Times New Roman"/>
                <w:iCs/>
                <w:sz w:val="24"/>
                <w:szCs w:val="24"/>
                <w:lang w:val="lv-LV" w:eastAsia="lv-LV"/>
              </w:rPr>
              <w:t xml:space="preserve"> pēc grozījumu spēkā stāšanās tiks sniegts kopsavilkums Eiropas Komisijai. </w:t>
            </w:r>
          </w:p>
          <w:p w:rsidR="00A03E32" w:rsidRPr="003E5A6D" w:rsidRDefault="00A03E32" w:rsidP="00CB6AC4">
            <w:pPr>
              <w:jc w:val="both"/>
              <w:rPr>
                <w:rFonts w:eastAsia="Times New Roman"/>
                <w:sz w:val="24"/>
                <w:szCs w:val="24"/>
                <w:lang w:val="lv-LV" w:eastAsia="lv-LV"/>
              </w:rPr>
            </w:pPr>
          </w:p>
        </w:tc>
      </w:tr>
      <w:tr w:rsidR="00A03E32" w:rsidRPr="003E5A6D" w:rsidTr="006D1520">
        <w:trPr>
          <w:tblCellSpacing w:w="15" w:type="dxa"/>
        </w:trPr>
        <w:tc>
          <w:tcPr>
            <w:tcW w:w="1205" w:type="pct"/>
            <w:gridSpan w:val="2"/>
            <w:shd w:val="clear" w:color="auto" w:fill="auto"/>
            <w:hideMark/>
          </w:tcPr>
          <w:p w:rsidR="00A03E32" w:rsidRPr="003E5A6D" w:rsidRDefault="00A03E32" w:rsidP="00CB6AC4">
            <w:pPr>
              <w:jc w:val="both"/>
              <w:rPr>
                <w:rFonts w:eastAsia="Times New Roman"/>
                <w:sz w:val="24"/>
                <w:szCs w:val="24"/>
                <w:lang w:val="lv-LV" w:eastAsia="lv-LV"/>
              </w:rPr>
            </w:pPr>
            <w:r w:rsidRPr="003E5A6D">
              <w:rPr>
                <w:rFonts w:eastAsia="Times New Roman"/>
                <w:sz w:val="24"/>
                <w:szCs w:val="24"/>
                <w:lang w:val="lv-LV" w:eastAsia="lv-LV"/>
              </w:rPr>
              <w:lastRenderedPageBreak/>
              <w:t>Cita informācija</w:t>
            </w:r>
          </w:p>
        </w:tc>
        <w:tc>
          <w:tcPr>
            <w:tcW w:w="3744" w:type="pct"/>
            <w:gridSpan w:val="4"/>
            <w:shd w:val="clear" w:color="auto" w:fill="auto"/>
            <w:hideMark/>
          </w:tcPr>
          <w:p w:rsidR="00A14369" w:rsidRPr="006D1520" w:rsidRDefault="00A14369" w:rsidP="00A14369">
            <w:pPr>
              <w:jc w:val="both"/>
              <w:rPr>
                <w:rFonts w:eastAsia="Times New Roman"/>
                <w:sz w:val="24"/>
                <w:szCs w:val="24"/>
                <w:lang w:val="lv-LV" w:eastAsia="lv-LV"/>
              </w:rPr>
            </w:pPr>
            <w:r w:rsidRPr="006D1520">
              <w:rPr>
                <w:rFonts w:eastAsia="Times New Roman"/>
                <w:sz w:val="24"/>
                <w:szCs w:val="24"/>
                <w:lang w:val="lv-LV" w:eastAsia="lv-LV"/>
              </w:rPr>
              <w:t>Izstrādājot noteikumu projektu, papildus ir ņemts vērā Komisijas paziņojums Kopienas pamatnostādn</w:t>
            </w:r>
            <w:r w:rsidR="004A5EEF" w:rsidRPr="006D1520">
              <w:rPr>
                <w:rFonts w:eastAsia="Times New Roman"/>
                <w:sz w:val="24"/>
                <w:szCs w:val="24"/>
                <w:lang w:val="lv-LV" w:eastAsia="lv-LV"/>
              </w:rPr>
              <w:t>es</w:t>
            </w:r>
            <w:r w:rsidRPr="006D1520">
              <w:rPr>
                <w:rFonts w:eastAsia="Times New Roman"/>
                <w:sz w:val="24"/>
                <w:szCs w:val="24"/>
                <w:lang w:val="lv-LV" w:eastAsia="lv-LV"/>
              </w:rPr>
              <w:t xml:space="preserve"> par valsts atbalstu grūtībās nonākušu uzņēmumu glābšanai un pārstrukturēšanai (2004/C 244/02) (turpmāk – Kopienas pamatnostādnes).</w:t>
            </w:r>
          </w:p>
          <w:p w:rsidR="00A14369" w:rsidRPr="006D1520" w:rsidRDefault="00A14369" w:rsidP="004A5EEF">
            <w:pPr>
              <w:jc w:val="both"/>
              <w:rPr>
                <w:rFonts w:eastAsia="Times New Roman"/>
                <w:sz w:val="24"/>
                <w:szCs w:val="24"/>
                <w:lang w:val="lv-LV" w:eastAsia="lv-LV"/>
              </w:rPr>
            </w:pPr>
            <w:r w:rsidRPr="006D1520">
              <w:rPr>
                <w:rFonts w:eastAsia="Times New Roman"/>
                <w:sz w:val="24"/>
                <w:szCs w:val="24"/>
                <w:lang w:val="lv-LV" w:eastAsia="lv-LV"/>
              </w:rPr>
              <w:t>Atbilstoši Kopienas pamatnostādnēm ir izstrādāti šādi noteikumu projekta punkti:</w:t>
            </w:r>
          </w:p>
          <w:p w:rsidR="00A14369" w:rsidRPr="006D1520" w:rsidRDefault="00A14369" w:rsidP="006D1520">
            <w:pPr>
              <w:pStyle w:val="ListParagraph"/>
              <w:numPr>
                <w:ilvl w:val="0"/>
                <w:numId w:val="2"/>
              </w:numPr>
              <w:jc w:val="both"/>
              <w:rPr>
                <w:rFonts w:eastAsia="Times New Roman"/>
                <w:sz w:val="24"/>
                <w:szCs w:val="24"/>
                <w:lang w:val="lv-LV" w:eastAsia="lv-LV"/>
              </w:rPr>
            </w:pPr>
            <w:r w:rsidRPr="006D1520">
              <w:rPr>
                <w:rFonts w:eastAsia="Times New Roman"/>
                <w:sz w:val="24"/>
                <w:szCs w:val="24"/>
                <w:lang w:val="lv-LV" w:eastAsia="lv-LV"/>
              </w:rPr>
              <w:t>Noteikumu projekta 12.3.punkts – atbilstoši Kopienas pamatnostādņu 10.punktam (ieviests pilnībā, neparedz stingrākas prasības);</w:t>
            </w:r>
          </w:p>
          <w:p w:rsidR="00A14369" w:rsidRPr="006D1520" w:rsidRDefault="00A14369" w:rsidP="006D1520">
            <w:pPr>
              <w:pStyle w:val="ListParagraph"/>
              <w:numPr>
                <w:ilvl w:val="0"/>
                <w:numId w:val="2"/>
              </w:numPr>
              <w:jc w:val="both"/>
              <w:rPr>
                <w:rFonts w:eastAsia="Times New Roman"/>
                <w:sz w:val="24"/>
                <w:szCs w:val="24"/>
                <w:lang w:val="lv-LV" w:eastAsia="lv-LV"/>
              </w:rPr>
            </w:pPr>
            <w:r w:rsidRPr="006D1520">
              <w:rPr>
                <w:rFonts w:eastAsia="Times New Roman"/>
                <w:sz w:val="24"/>
                <w:szCs w:val="24"/>
                <w:lang w:val="lv-LV" w:eastAsia="lv-LV"/>
              </w:rPr>
              <w:t>Noteikumu projekta 12.4.punkts – atbilstoši Kopienas pamatnostādņu 10. un 12.punktam (ieviests pilnībā, neparedz stingrākas prasības);</w:t>
            </w:r>
          </w:p>
          <w:p w:rsidR="00A14369" w:rsidRPr="006D1520" w:rsidRDefault="00A14369" w:rsidP="006D1520">
            <w:pPr>
              <w:pStyle w:val="ListParagraph"/>
              <w:numPr>
                <w:ilvl w:val="0"/>
                <w:numId w:val="2"/>
              </w:numPr>
              <w:jc w:val="both"/>
              <w:rPr>
                <w:rFonts w:eastAsia="Times New Roman"/>
                <w:sz w:val="24"/>
                <w:szCs w:val="24"/>
                <w:lang w:val="lv-LV" w:eastAsia="lv-LV"/>
              </w:rPr>
            </w:pPr>
            <w:r w:rsidRPr="006D1520">
              <w:rPr>
                <w:rFonts w:eastAsia="Times New Roman"/>
                <w:sz w:val="24"/>
                <w:szCs w:val="24"/>
                <w:lang w:val="lv-LV" w:eastAsia="lv-LV"/>
              </w:rPr>
              <w:t>Noteikumu projekta 12.5.punkts – atbilstoši Kopienas pamatnostādņu 11.punktam (ieviests pilnībā, neparedz stingrākas prasības);</w:t>
            </w:r>
          </w:p>
          <w:p w:rsidR="00A14369" w:rsidRPr="006D1520" w:rsidRDefault="00A14369" w:rsidP="006D1520">
            <w:pPr>
              <w:pStyle w:val="ListParagraph"/>
              <w:numPr>
                <w:ilvl w:val="0"/>
                <w:numId w:val="2"/>
              </w:numPr>
              <w:jc w:val="both"/>
              <w:rPr>
                <w:rFonts w:eastAsia="Times New Roman"/>
                <w:sz w:val="24"/>
                <w:szCs w:val="24"/>
                <w:lang w:val="lv-LV" w:eastAsia="lv-LV"/>
              </w:rPr>
            </w:pPr>
            <w:r w:rsidRPr="006D1520">
              <w:rPr>
                <w:rFonts w:eastAsia="Times New Roman"/>
                <w:sz w:val="24"/>
                <w:szCs w:val="24"/>
                <w:lang w:val="lv-LV" w:eastAsia="lv-LV"/>
              </w:rPr>
              <w:t>Noteikumu projekta 12.6.punkts – atbilstoši Kopienas pamatnostādņu 10.punktam (ieviests pilnībā, neparedz stingrākas prasības);</w:t>
            </w:r>
          </w:p>
          <w:p w:rsidR="00A14369" w:rsidRPr="006D1520" w:rsidRDefault="00A14369" w:rsidP="006D1520">
            <w:pPr>
              <w:pStyle w:val="ListParagraph"/>
              <w:numPr>
                <w:ilvl w:val="0"/>
                <w:numId w:val="2"/>
              </w:numPr>
              <w:jc w:val="both"/>
              <w:rPr>
                <w:rFonts w:eastAsia="Times New Roman"/>
                <w:sz w:val="24"/>
                <w:szCs w:val="24"/>
                <w:lang w:val="lv-LV" w:eastAsia="lv-LV"/>
              </w:rPr>
            </w:pPr>
            <w:r w:rsidRPr="006D1520">
              <w:rPr>
                <w:rFonts w:eastAsia="Times New Roman"/>
                <w:sz w:val="24"/>
                <w:szCs w:val="24"/>
                <w:lang w:val="lv-LV" w:eastAsia="lv-LV"/>
              </w:rPr>
              <w:t>Noteikumu projekta 32.2.punkts – atbilstoši Kopienas pamatnostādņu 10.punktam (ieviests pilnībā</w:t>
            </w:r>
            <w:r w:rsidR="006D1520">
              <w:rPr>
                <w:rFonts w:eastAsia="Times New Roman"/>
                <w:sz w:val="24"/>
                <w:szCs w:val="24"/>
                <w:lang w:val="lv-LV" w:eastAsia="lv-LV"/>
              </w:rPr>
              <w:t>, neparedz stingrākas prasības).</w:t>
            </w:r>
          </w:p>
          <w:p w:rsidR="00A14369" w:rsidRPr="006D1520" w:rsidRDefault="00A14369" w:rsidP="006D1520">
            <w:pPr>
              <w:ind w:left="360"/>
              <w:jc w:val="both"/>
              <w:rPr>
                <w:rFonts w:eastAsia="Times New Roman"/>
                <w:sz w:val="24"/>
                <w:szCs w:val="24"/>
                <w:lang w:val="lv-LV" w:eastAsia="lv-LV"/>
              </w:rPr>
            </w:pPr>
          </w:p>
          <w:p w:rsidR="00A14369" w:rsidRPr="000D3D56" w:rsidRDefault="00A14369" w:rsidP="006D1520">
            <w:pPr>
              <w:jc w:val="both"/>
              <w:rPr>
                <w:rFonts w:eastAsia="Times New Roman"/>
                <w:sz w:val="24"/>
                <w:szCs w:val="24"/>
                <w:lang w:val="lv-LV" w:eastAsia="lv-LV"/>
              </w:rPr>
            </w:pPr>
            <w:r w:rsidRPr="006D1520">
              <w:rPr>
                <w:rFonts w:eastAsia="Times New Roman"/>
                <w:sz w:val="24"/>
                <w:szCs w:val="24"/>
                <w:lang w:val="lv-LV" w:eastAsia="lv-LV"/>
              </w:rPr>
              <w:t>Atbilstoši valstu reģionālā atbalsta pamatnostādņu 2014.– 2020.gadam 186.punktam ir izstrādāts noteikumu projekta 14.punkts (ieviests pilnībā, neparedz stingrākas prasības).</w:t>
            </w:r>
          </w:p>
        </w:tc>
      </w:tr>
    </w:tbl>
    <w:p w:rsidR="00895E41" w:rsidRDefault="00895E41" w:rsidP="00EA6CD3">
      <w:pPr>
        <w:rPr>
          <w:sz w:val="24"/>
          <w:szCs w:val="24"/>
          <w:lang w:val="lv-LV"/>
        </w:rPr>
      </w:pPr>
    </w:p>
    <w:p w:rsidR="00ED4255" w:rsidRDefault="00ED4255"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rFonts w:eastAsia="Times New Roman"/>
                <w:sz w:val="24"/>
                <w:szCs w:val="24"/>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sz w:val="24"/>
                <w:szCs w:val="24"/>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254901">
            <w:pPr>
              <w:ind w:left="124"/>
              <w:jc w:val="both"/>
              <w:rPr>
                <w:rFonts w:eastAsia="Times New Roman"/>
                <w:sz w:val="24"/>
                <w:szCs w:val="24"/>
                <w:lang w:val="lv-LV" w:eastAsia="lv-LV"/>
              </w:rPr>
            </w:pPr>
            <w:r w:rsidRPr="002A0BC1">
              <w:rPr>
                <w:rFonts w:eastAsia="Times New Roman"/>
                <w:iCs/>
                <w:sz w:val="24"/>
                <w:szCs w:val="24"/>
                <w:lang w:val="lv-LV" w:eastAsia="lv-LV"/>
              </w:rPr>
              <w:t xml:space="preserve">Grozījumi ir labvēlīgāki </w:t>
            </w:r>
            <w:r>
              <w:rPr>
                <w:rFonts w:eastAsia="Times New Roman"/>
                <w:iCs/>
                <w:sz w:val="24"/>
                <w:szCs w:val="24"/>
                <w:lang w:val="lv-LV" w:eastAsia="lv-LV"/>
              </w:rPr>
              <w:t>saimnieciskās darbības veicējiem</w:t>
            </w:r>
            <w:r w:rsidRPr="002A0BC1">
              <w:rPr>
                <w:rFonts w:eastAsia="Times New Roman"/>
                <w:iCs/>
                <w:sz w:val="24"/>
                <w:szCs w:val="24"/>
                <w:lang w:val="lv-LV" w:eastAsia="lv-LV"/>
              </w:rPr>
              <w:t xml:space="preserve"> salīdzinājumā ar spēkā esošajiem </w:t>
            </w:r>
            <w:r>
              <w:rPr>
                <w:rFonts w:eastAsia="Times New Roman"/>
                <w:iCs/>
                <w:sz w:val="24"/>
                <w:szCs w:val="24"/>
                <w:lang w:val="lv-LV" w:eastAsia="lv-LV"/>
              </w:rPr>
              <w:t xml:space="preserve">MK </w:t>
            </w:r>
            <w:r w:rsidRPr="002A0BC1">
              <w:rPr>
                <w:rFonts w:eastAsia="Times New Roman"/>
                <w:iCs/>
                <w:sz w:val="24"/>
                <w:szCs w:val="24"/>
                <w:lang w:val="lv-LV" w:eastAsia="lv-LV"/>
              </w:rPr>
              <w:t>noteikumiem</w:t>
            </w:r>
            <w:r>
              <w:rPr>
                <w:rFonts w:eastAsia="Times New Roman"/>
                <w:iCs/>
                <w:sz w:val="24"/>
                <w:szCs w:val="24"/>
                <w:lang w:val="lv-LV" w:eastAsia="lv-LV"/>
              </w:rPr>
              <w:t xml:space="preserve"> Nr.613</w:t>
            </w:r>
            <w:r w:rsidRPr="002A0BC1">
              <w:rPr>
                <w:rFonts w:eastAsia="Times New Roman"/>
                <w:iCs/>
                <w:sz w:val="24"/>
                <w:szCs w:val="24"/>
                <w:lang w:val="lv-LV" w:eastAsia="lv-LV"/>
              </w:rPr>
              <w:t xml:space="preserve">, tāpēc </w:t>
            </w:r>
            <w:r>
              <w:rPr>
                <w:rFonts w:eastAsia="Times New Roman"/>
                <w:iCs/>
                <w:sz w:val="24"/>
                <w:szCs w:val="24"/>
                <w:lang w:val="lv-LV" w:eastAsia="lv-LV"/>
              </w:rPr>
              <w:t xml:space="preserve">sabiedrības līdzdalība noteikumu projekta </w:t>
            </w:r>
            <w:r w:rsidR="00254901">
              <w:rPr>
                <w:rFonts w:eastAsia="Times New Roman"/>
                <w:iCs/>
                <w:sz w:val="24"/>
                <w:szCs w:val="24"/>
                <w:lang w:val="lv-LV" w:eastAsia="lv-LV"/>
              </w:rPr>
              <w:t>izstrādē</w:t>
            </w:r>
            <w:r>
              <w:rPr>
                <w:rFonts w:eastAsia="Times New Roman"/>
                <w:iCs/>
                <w:sz w:val="24"/>
                <w:szCs w:val="24"/>
                <w:lang w:val="lv-LV" w:eastAsia="lv-LV"/>
              </w:rPr>
              <w:t xml:space="preserve"> </w:t>
            </w:r>
            <w:r w:rsidR="00254901">
              <w:rPr>
                <w:rFonts w:eastAsia="Times New Roman"/>
                <w:iCs/>
                <w:sz w:val="24"/>
                <w:szCs w:val="24"/>
                <w:lang w:val="lv-LV" w:eastAsia="lv-LV"/>
              </w:rPr>
              <w:t>nav</w:t>
            </w:r>
            <w:r>
              <w:rPr>
                <w:rFonts w:eastAsia="Times New Roman"/>
                <w:iCs/>
                <w:sz w:val="24"/>
                <w:szCs w:val="24"/>
                <w:lang w:val="lv-LV" w:eastAsia="lv-LV"/>
              </w:rPr>
              <w:t xml:space="preserve"> nepieciešama.</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rFonts w:eastAsia="Times New Roman"/>
                <w:sz w:val="24"/>
                <w:szCs w:val="24"/>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sz w:val="24"/>
                <w:szCs w:val="24"/>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254901">
            <w:pPr>
              <w:ind w:left="124"/>
              <w:jc w:val="both"/>
              <w:rPr>
                <w:rFonts w:eastAsia="Times New Roman"/>
                <w:iCs/>
                <w:sz w:val="24"/>
                <w:szCs w:val="24"/>
                <w:lang w:val="lv-LV" w:eastAsia="lv-LV"/>
              </w:rPr>
            </w:pPr>
            <w:r w:rsidRPr="002A0BC1">
              <w:rPr>
                <w:rFonts w:eastAsia="Times New Roman"/>
                <w:iCs/>
                <w:sz w:val="24"/>
                <w:szCs w:val="24"/>
                <w:lang w:val="lv-LV" w:eastAsia="lv-LV"/>
              </w:rPr>
              <w:t xml:space="preserve">Grozījumi ir labvēlīgāki </w:t>
            </w:r>
            <w:r>
              <w:rPr>
                <w:rFonts w:eastAsia="Times New Roman"/>
                <w:iCs/>
                <w:sz w:val="24"/>
                <w:szCs w:val="24"/>
                <w:lang w:val="lv-LV" w:eastAsia="lv-LV"/>
              </w:rPr>
              <w:t>saimnieciskās darbības veicējiem</w:t>
            </w:r>
            <w:r w:rsidRPr="002A0BC1">
              <w:rPr>
                <w:rFonts w:eastAsia="Times New Roman"/>
                <w:iCs/>
                <w:sz w:val="24"/>
                <w:szCs w:val="24"/>
                <w:lang w:val="lv-LV" w:eastAsia="lv-LV"/>
              </w:rPr>
              <w:t xml:space="preserve"> salīdzinājumā ar spēkā esošajiem </w:t>
            </w:r>
            <w:r>
              <w:rPr>
                <w:rFonts w:eastAsia="Times New Roman"/>
                <w:iCs/>
                <w:sz w:val="24"/>
                <w:szCs w:val="24"/>
                <w:lang w:val="lv-LV" w:eastAsia="lv-LV"/>
              </w:rPr>
              <w:t>MK noteikumiem Nr.613</w:t>
            </w:r>
            <w:r w:rsidRPr="002A0BC1">
              <w:rPr>
                <w:rFonts w:eastAsia="Times New Roman"/>
                <w:iCs/>
                <w:sz w:val="24"/>
                <w:szCs w:val="24"/>
                <w:lang w:val="lv-LV" w:eastAsia="lv-LV"/>
              </w:rPr>
              <w:t xml:space="preserve">, tāpēc </w:t>
            </w:r>
            <w:r w:rsidR="00254901">
              <w:rPr>
                <w:rFonts w:eastAsia="Times New Roman"/>
                <w:iCs/>
                <w:sz w:val="24"/>
                <w:szCs w:val="24"/>
                <w:lang w:val="lv-LV" w:eastAsia="lv-LV"/>
              </w:rPr>
              <w:t>sabiedrības līdzdalība noteikumu projekta izstrādē nav nepieciešama.</w:t>
            </w:r>
          </w:p>
        </w:tc>
      </w:tr>
      <w:tr w:rsidR="002A0BC1" w:rsidRPr="00AB1A56" w:rsidTr="002A0BC1">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rFonts w:eastAsia="Times New Roman"/>
                <w:sz w:val="24"/>
                <w:szCs w:val="24"/>
                <w:lang w:val="lv-LV" w:eastAsia="lv-LV"/>
              </w:rPr>
              <w:lastRenderedPageBreak/>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sz w:val="24"/>
                <w:szCs w:val="24"/>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54901" w:rsidP="00254901">
            <w:pPr>
              <w:ind w:left="124"/>
              <w:jc w:val="both"/>
              <w:rPr>
                <w:rFonts w:eastAsia="Times New Roman"/>
                <w:b/>
                <w:sz w:val="24"/>
                <w:szCs w:val="24"/>
                <w:lang w:val="lv-LV" w:eastAsia="lv-LV"/>
              </w:rPr>
            </w:pPr>
            <w:r w:rsidRPr="002A0BC1">
              <w:rPr>
                <w:rFonts w:eastAsia="Times New Roman"/>
                <w:iCs/>
                <w:sz w:val="24"/>
                <w:szCs w:val="24"/>
                <w:lang w:val="lv-LV" w:eastAsia="lv-LV"/>
              </w:rPr>
              <w:t xml:space="preserve">Grozījumi ir labvēlīgāki </w:t>
            </w:r>
            <w:r>
              <w:rPr>
                <w:rFonts w:eastAsia="Times New Roman"/>
                <w:iCs/>
                <w:sz w:val="24"/>
                <w:szCs w:val="24"/>
                <w:lang w:val="lv-LV" w:eastAsia="lv-LV"/>
              </w:rPr>
              <w:t>saimnieciskās darbības veicējiem</w:t>
            </w:r>
            <w:r w:rsidRPr="002A0BC1">
              <w:rPr>
                <w:rFonts w:eastAsia="Times New Roman"/>
                <w:iCs/>
                <w:sz w:val="24"/>
                <w:szCs w:val="24"/>
                <w:lang w:val="lv-LV" w:eastAsia="lv-LV"/>
              </w:rPr>
              <w:t xml:space="preserve"> salīdzinājumā ar spēkā esošajiem </w:t>
            </w:r>
            <w:r>
              <w:rPr>
                <w:rFonts w:eastAsia="Times New Roman"/>
                <w:iCs/>
                <w:sz w:val="24"/>
                <w:szCs w:val="24"/>
                <w:lang w:val="lv-LV" w:eastAsia="lv-LV"/>
              </w:rPr>
              <w:t xml:space="preserve">MK </w:t>
            </w:r>
            <w:r w:rsidRPr="002A0BC1">
              <w:rPr>
                <w:rFonts w:eastAsia="Times New Roman"/>
                <w:iCs/>
                <w:sz w:val="24"/>
                <w:szCs w:val="24"/>
                <w:lang w:val="lv-LV" w:eastAsia="lv-LV"/>
              </w:rPr>
              <w:t>noteikumiem</w:t>
            </w:r>
            <w:r>
              <w:rPr>
                <w:rFonts w:eastAsia="Times New Roman"/>
                <w:iCs/>
                <w:sz w:val="24"/>
                <w:szCs w:val="24"/>
                <w:lang w:val="lv-LV" w:eastAsia="lv-LV"/>
              </w:rPr>
              <w:t xml:space="preserve"> Nr.613</w:t>
            </w:r>
            <w:r w:rsidRPr="002A0BC1">
              <w:rPr>
                <w:rFonts w:eastAsia="Times New Roman"/>
                <w:iCs/>
                <w:sz w:val="24"/>
                <w:szCs w:val="24"/>
                <w:lang w:val="lv-LV" w:eastAsia="lv-LV"/>
              </w:rPr>
              <w:t xml:space="preserve">, tāpēc </w:t>
            </w:r>
            <w:r>
              <w:rPr>
                <w:rFonts w:eastAsia="Times New Roman"/>
                <w:iCs/>
                <w:sz w:val="24"/>
                <w:szCs w:val="24"/>
                <w:lang w:val="lv-LV" w:eastAsia="lv-LV"/>
              </w:rPr>
              <w:t>sabiedrības līdzdalība noteikumu projekta izstrādē nav nepieciešama.</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rFonts w:eastAsia="Times New Roman"/>
                <w:sz w:val="24"/>
                <w:szCs w:val="24"/>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rPr>
                <w:rFonts w:eastAsia="Times New Roman"/>
                <w:sz w:val="24"/>
                <w:szCs w:val="24"/>
                <w:lang w:val="lv-LV" w:eastAsia="lv-LV"/>
              </w:rPr>
            </w:pPr>
            <w:r w:rsidRPr="002A0BC1">
              <w:rPr>
                <w:sz w:val="24"/>
                <w:szCs w:val="24"/>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ind w:firstLine="284"/>
              <w:jc w:val="both"/>
              <w:rPr>
                <w:rFonts w:eastAsia="Times New Roman"/>
                <w:sz w:val="24"/>
                <w:szCs w:val="24"/>
                <w:lang w:val="lv-LV" w:eastAsia="lv-LV"/>
              </w:rPr>
            </w:pPr>
            <w:r w:rsidRPr="002A0BC1">
              <w:rPr>
                <w:rFonts w:eastAsia="Times New Roman"/>
                <w:iCs/>
                <w:sz w:val="24"/>
                <w:szCs w:val="24"/>
                <w:lang w:val="lv-LV" w:eastAsia="lv-LV"/>
              </w:rPr>
              <w:t>Nav</w:t>
            </w:r>
          </w:p>
        </w:tc>
      </w:tr>
    </w:tbl>
    <w:p w:rsidR="002A0BC1" w:rsidRDefault="002A0BC1"/>
    <w:p w:rsidR="00ED4255" w:rsidRDefault="00ED4255"/>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EA6CD3" w:rsidRPr="003E5A6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ind w:firstLine="720"/>
              <w:jc w:val="both"/>
              <w:rPr>
                <w:rFonts w:eastAsia="Times New Roman"/>
                <w:b/>
                <w:sz w:val="24"/>
                <w:szCs w:val="24"/>
                <w:lang w:val="lv-LV" w:eastAsia="lv-LV"/>
              </w:rPr>
            </w:pPr>
            <w:r w:rsidRPr="003E5A6D">
              <w:rPr>
                <w:rFonts w:eastAsia="Times New Roman"/>
                <w:b/>
                <w:sz w:val="24"/>
                <w:szCs w:val="24"/>
                <w:lang w:val="lv-LV" w:eastAsia="lv-LV"/>
              </w:rPr>
              <w:t>VII. Tiesību akta projekta izpildes nodrošināšana un tās ietekme uz institūcijām</w:t>
            </w:r>
          </w:p>
        </w:tc>
      </w:tr>
      <w:tr w:rsidR="00EA6CD3" w:rsidRPr="003E5A6D" w:rsidTr="002A0BC1">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ind w:firstLine="720"/>
              <w:jc w:val="both"/>
              <w:rPr>
                <w:rFonts w:eastAsia="Times New Roman"/>
                <w:sz w:val="24"/>
                <w:szCs w:val="24"/>
                <w:lang w:val="lv-LV" w:eastAsia="lv-LV"/>
              </w:rPr>
            </w:pPr>
            <w:r w:rsidRPr="003E5A6D">
              <w:rPr>
                <w:rFonts w:eastAsia="Times New Roman"/>
                <w:sz w:val="24"/>
                <w:szCs w:val="24"/>
                <w:lang w:val="lv-LV" w:eastAsia="lv-LV"/>
              </w:rPr>
              <w:t xml:space="preserve">Ministru kabineta </w:t>
            </w:r>
            <w:r w:rsidRPr="003E5A6D">
              <w:rPr>
                <w:sz w:val="24"/>
                <w:szCs w:val="24"/>
                <w:lang w:val="lv-LV"/>
              </w:rPr>
              <w:t>noteikumu</w:t>
            </w:r>
            <w:r w:rsidRPr="003E5A6D">
              <w:rPr>
                <w:rFonts w:eastAsia="Times New Roman"/>
                <w:sz w:val="24"/>
                <w:szCs w:val="24"/>
                <w:lang w:val="lv-LV" w:eastAsia="lv-LV"/>
              </w:rPr>
              <w:t xml:space="preserve"> projekta izpildi nodrošinās EM un LGA.</w:t>
            </w:r>
          </w:p>
          <w:p w:rsidR="00EA6CD3" w:rsidRPr="003E5A6D" w:rsidRDefault="00EA6CD3" w:rsidP="00CB6AC4">
            <w:pPr>
              <w:ind w:firstLine="720"/>
              <w:jc w:val="both"/>
              <w:rPr>
                <w:rFonts w:eastAsia="Times New Roman"/>
                <w:sz w:val="24"/>
                <w:szCs w:val="24"/>
                <w:lang w:val="lv-LV" w:eastAsia="lv-LV"/>
              </w:rPr>
            </w:pPr>
          </w:p>
        </w:tc>
      </w:tr>
      <w:tr w:rsidR="00EA6CD3" w:rsidRPr="003E5A6D" w:rsidTr="002A0BC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Projekta izpildes ietekme uz pārvaldes funkcijām</w:t>
            </w:r>
            <w:r w:rsidR="00254901">
              <w:rPr>
                <w:rFonts w:eastAsia="Times New Roman"/>
                <w:sz w:val="24"/>
                <w:szCs w:val="24"/>
                <w:lang w:val="lv-LV" w:eastAsia="lv-LV"/>
              </w:rPr>
              <w:t xml:space="preserve">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ind w:firstLine="720"/>
              <w:jc w:val="both"/>
              <w:rPr>
                <w:rFonts w:eastAsia="Times New Roman"/>
                <w:sz w:val="24"/>
                <w:szCs w:val="24"/>
                <w:lang w:val="lv-LV" w:eastAsia="lv-LV"/>
              </w:rPr>
            </w:pPr>
            <w:r w:rsidRPr="003E5A6D">
              <w:rPr>
                <w:rFonts w:eastAsia="Times New Roman"/>
                <w:sz w:val="24"/>
                <w:szCs w:val="24"/>
                <w:lang w:val="lv-LV" w:eastAsia="lv-LV"/>
              </w:rPr>
              <w:t xml:space="preserve">Ministru kabineta </w:t>
            </w:r>
            <w:r w:rsidRPr="003E5A6D">
              <w:rPr>
                <w:sz w:val="24"/>
                <w:szCs w:val="24"/>
                <w:lang w:val="lv-LV"/>
              </w:rPr>
              <w:t>noteikumu</w:t>
            </w:r>
            <w:r w:rsidRPr="003E5A6D">
              <w:rPr>
                <w:rFonts w:eastAsia="Times New Roman"/>
                <w:sz w:val="24"/>
                <w:szCs w:val="24"/>
                <w:lang w:val="lv-LV" w:eastAsia="lv-LV"/>
              </w:rPr>
              <w:t xml:space="preserve"> projekta izpilde tiks nodrošināta EM un LGA esošo funkciju ietvaros.</w:t>
            </w:r>
          </w:p>
          <w:p w:rsidR="00EA6CD3" w:rsidRPr="003E5A6D" w:rsidRDefault="00EA6CD3" w:rsidP="00CB6AC4">
            <w:pPr>
              <w:ind w:firstLine="720"/>
              <w:jc w:val="both"/>
              <w:rPr>
                <w:rFonts w:eastAsia="Times New Roman"/>
                <w:sz w:val="24"/>
                <w:szCs w:val="24"/>
                <w:lang w:val="lv-LV" w:eastAsia="lv-LV"/>
              </w:rPr>
            </w:pPr>
          </w:p>
        </w:tc>
      </w:tr>
      <w:tr w:rsidR="00EA6CD3" w:rsidRPr="003E5A6D" w:rsidTr="002A0BC1">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EA6CD3" w:rsidRPr="003E5A6D" w:rsidRDefault="00EA6CD3" w:rsidP="00EA6CD3">
      <w:pPr>
        <w:tabs>
          <w:tab w:val="left" w:pos="7655"/>
        </w:tabs>
        <w:jc w:val="both"/>
        <w:rPr>
          <w:sz w:val="24"/>
          <w:szCs w:val="24"/>
          <w:lang w:val="lv-LV"/>
        </w:rPr>
      </w:pPr>
    </w:p>
    <w:p w:rsidR="00EA6CD3" w:rsidRPr="003E5A6D" w:rsidRDefault="00EA6CD3" w:rsidP="00EA6CD3">
      <w:pPr>
        <w:tabs>
          <w:tab w:val="left" w:pos="7655"/>
        </w:tabs>
        <w:jc w:val="both"/>
        <w:rPr>
          <w:sz w:val="24"/>
          <w:szCs w:val="24"/>
          <w:lang w:val="lv-LV"/>
        </w:rPr>
      </w:pPr>
      <w:r w:rsidRPr="003E5A6D">
        <w:rPr>
          <w:sz w:val="24"/>
          <w:szCs w:val="24"/>
          <w:lang w:val="lv-LV"/>
        </w:rPr>
        <w:t>Anotācijas III</w:t>
      </w:r>
      <w:r w:rsidRPr="003E5A6D">
        <w:rPr>
          <w:rFonts w:ascii="Times" w:hAnsi="Times"/>
          <w:sz w:val="24"/>
          <w:szCs w:val="24"/>
          <w:lang w:val="lv-LV"/>
        </w:rPr>
        <w:t xml:space="preserve"> </w:t>
      </w:r>
      <w:r w:rsidRPr="003E5A6D">
        <w:rPr>
          <w:sz w:val="24"/>
          <w:szCs w:val="24"/>
          <w:lang w:val="lv-LV"/>
        </w:rPr>
        <w:t>sadaļa –</w:t>
      </w:r>
      <w:r w:rsidR="00EE61BD">
        <w:rPr>
          <w:sz w:val="24"/>
          <w:szCs w:val="24"/>
          <w:lang w:val="lv-LV"/>
        </w:rPr>
        <w:t xml:space="preserve"> noteikumu</w:t>
      </w:r>
      <w:r w:rsidRPr="003E5A6D">
        <w:rPr>
          <w:sz w:val="24"/>
          <w:szCs w:val="24"/>
          <w:lang w:val="lv-LV"/>
        </w:rPr>
        <w:t xml:space="preserve"> </w:t>
      </w:r>
      <w:r w:rsidRPr="003E5A6D">
        <w:rPr>
          <w:iCs/>
          <w:sz w:val="24"/>
          <w:szCs w:val="24"/>
          <w:lang w:val="lv-LV"/>
        </w:rPr>
        <w:t>projekts š</w:t>
      </w:r>
      <w:r w:rsidR="00254901">
        <w:rPr>
          <w:iCs/>
          <w:sz w:val="24"/>
          <w:szCs w:val="24"/>
          <w:lang w:val="lv-LV"/>
        </w:rPr>
        <w:t xml:space="preserve">o </w:t>
      </w:r>
      <w:r w:rsidRPr="003E5A6D">
        <w:rPr>
          <w:iCs/>
          <w:sz w:val="24"/>
          <w:szCs w:val="24"/>
          <w:lang w:val="lv-LV"/>
        </w:rPr>
        <w:t>jom</w:t>
      </w:r>
      <w:r w:rsidR="00254901">
        <w:rPr>
          <w:iCs/>
          <w:sz w:val="24"/>
          <w:szCs w:val="24"/>
          <w:lang w:val="lv-LV"/>
        </w:rPr>
        <w:t>u</w:t>
      </w:r>
      <w:r w:rsidRPr="003E5A6D">
        <w:rPr>
          <w:iCs/>
          <w:sz w:val="24"/>
          <w:szCs w:val="24"/>
          <w:lang w:val="lv-LV"/>
        </w:rPr>
        <w:t xml:space="preserve"> neskar</w:t>
      </w:r>
      <w:r w:rsidRPr="003E5A6D">
        <w:rPr>
          <w:sz w:val="24"/>
          <w:szCs w:val="24"/>
          <w:lang w:val="lv-LV"/>
        </w:rPr>
        <w:t>.</w:t>
      </w:r>
    </w:p>
    <w:p w:rsidR="00EA6CD3" w:rsidRPr="003E5A6D" w:rsidRDefault="00EA6CD3" w:rsidP="00EA6CD3">
      <w:pPr>
        <w:tabs>
          <w:tab w:val="left" w:pos="7655"/>
        </w:tabs>
        <w:rPr>
          <w:sz w:val="24"/>
          <w:szCs w:val="24"/>
          <w:lang w:val="lv-LV"/>
        </w:rPr>
      </w:pPr>
    </w:p>
    <w:p w:rsidR="00EA6CD3" w:rsidRPr="00895E41" w:rsidRDefault="00EA6CD3" w:rsidP="00EA6CD3">
      <w:pPr>
        <w:tabs>
          <w:tab w:val="right" w:pos="9072"/>
        </w:tabs>
        <w:rPr>
          <w:sz w:val="25"/>
          <w:szCs w:val="25"/>
          <w:lang w:val="lv-LV"/>
        </w:rPr>
      </w:pPr>
    </w:p>
    <w:p w:rsidR="00EA6CD3" w:rsidRDefault="00EA6CD3" w:rsidP="00EA6CD3">
      <w:pPr>
        <w:tabs>
          <w:tab w:val="right" w:pos="9072"/>
        </w:tabs>
        <w:rPr>
          <w:sz w:val="25"/>
          <w:szCs w:val="25"/>
          <w:lang w:val="lv-LV"/>
        </w:rPr>
      </w:pPr>
    </w:p>
    <w:p w:rsidR="00D217AC" w:rsidRPr="00895E41" w:rsidRDefault="00D217AC" w:rsidP="00EA6CD3">
      <w:pPr>
        <w:tabs>
          <w:tab w:val="right" w:pos="9072"/>
        </w:tabs>
        <w:rPr>
          <w:sz w:val="25"/>
          <w:szCs w:val="25"/>
          <w:lang w:val="lv-LV"/>
        </w:rPr>
      </w:pPr>
    </w:p>
    <w:p w:rsidR="005464E6" w:rsidRPr="00895E41" w:rsidRDefault="005464E6" w:rsidP="00EA6CD3">
      <w:pPr>
        <w:tabs>
          <w:tab w:val="right" w:pos="9072"/>
        </w:tabs>
        <w:rPr>
          <w:sz w:val="25"/>
          <w:szCs w:val="25"/>
          <w:lang w:val="lv-LV"/>
        </w:rPr>
      </w:pPr>
    </w:p>
    <w:p w:rsidR="00EA6CD3" w:rsidRPr="003E5A6D" w:rsidRDefault="00EA6CD3" w:rsidP="00EA6CD3">
      <w:pPr>
        <w:tabs>
          <w:tab w:val="right" w:pos="9072"/>
        </w:tabs>
        <w:rPr>
          <w:sz w:val="24"/>
          <w:szCs w:val="24"/>
          <w:lang w:val="lv-LV"/>
        </w:rPr>
      </w:pPr>
      <w:r w:rsidRPr="003E5A6D">
        <w:rPr>
          <w:sz w:val="24"/>
          <w:szCs w:val="24"/>
          <w:lang w:val="lv-LV"/>
        </w:rPr>
        <w:t>Ekonomikas ministrs</w:t>
      </w:r>
      <w:r w:rsidRPr="003E5A6D">
        <w:rPr>
          <w:sz w:val="24"/>
          <w:szCs w:val="24"/>
          <w:lang w:val="lv-LV"/>
        </w:rPr>
        <w:tab/>
      </w:r>
      <w:r w:rsidR="00F716EF" w:rsidRPr="003E5A6D">
        <w:rPr>
          <w:sz w:val="24"/>
          <w:szCs w:val="24"/>
          <w:lang w:val="lv-LV"/>
        </w:rPr>
        <w:t>V</w:t>
      </w:r>
      <w:r w:rsidR="00D04299" w:rsidRPr="003E5A6D">
        <w:rPr>
          <w:sz w:val="24"/>
          <w:szCs w:val="24"/>
          <w:lang w:val="lv-LV"/>
        </w:rPr>
        <w:t>.</w:t>
      </w:r>
      <w:r w:rsidR="00F716EF" w:rsidRPr="003E5A6D">
        <w:rPr>
          <w:sz w:val="24"/>
          <w:szCs w:val="24"/>
          <w:lang w:val="lv-LV"/>
        </w:rPr>
        <w:t>Dombrovskis</w:t>
      </w:r>
      <w:r w:rsidRPr="003E5A6D">
        <w:rPr>
          <w:sz w:val="24"/>
          <w:szCs w:val="24"/>
          <w:lang w:val="lv-LV"/>
        </w:rPr>
        <w:tab/>
      </w:r>
      <w:r w:rsidRPr="003E5A6D">
        <w:rPr>
          <w:sz w:val="24"/>
          <w:szCs w:val="24"/>
          <w:lang w:val="lv-LV"/>
        </w:rPr>
        <w:tab/>
      </w:r>
      <w:r w:rsidRPr="003E5A6D">
        <w:rPr>
          <w:sz w:val="24"/>
          <w:szCs w:val="24"/>
          <w:lang w:val="lv-LV"/>
        </w:rPr>
        <w:tab/>
      </w:r>
      <w:r w:rsidRPr="003E5A6D">
        <w:rPr>
          <w:sz w:val="24"/>
          <w:szCs w:val="24"/>
          <w:lang w:val="lv-LV"/>
        </w:rPr>
        <w:tab/>
      </w:r>
      <w:r w:rsidRPr="003E5A6D">
        <w:rPr>
          <w:sz w:val="24"/>
          <w:szCs w:val="24"/>
          <w:lang w:val="lv-LV"/>
        </w:rPr>
        <w:tab/>
      </w:r>
      <w:r w:rsidRPr="003E5A6D">
        <w:rPr>
          <w:sz w:val="24"/>
          <w:szCs w:val="24"/>
          <w:lang w:val="lv-LV"/>
        </w:rPr>
        <w:tab/>
      </w:r>
    </w:p>
    <w:p w:rsidR="00EA6CD3" w:rsidRPr="003E5A6D" w:rsidRDefault="00EA6CD3" w:rsidP="00EA6CD3">
      <w:pPr>
        <w:tabs>
          <w:tab w:val="left" w:pos="8222"/>
        </w:tabs>
        <w:rPr>
          <w:sz w:val="24"/>
          <w:szCs w:val="24"/>
          <w:lang w:val="lv-LV"/>
        </w:rPr>
      </w:pPr>
    </w:p>
    <w:p w:rsidR="00EA6CD3" w:rsidRPr="003E5A6D" w:rsidRDefault="00EA6CD3" w:rsidP="00EA6CD3">
      <w:pPr>
        <w:tabs>
          <w:tab w:val="right" w:pos="9072"/>
        </w:tabs>
        <w:rPr>
          <w:sz w:val="24"/>
          <w:szCs w:val="24"/>
          <w:lang w:val="lv-LV"/>
        </w:rPr>
      </w:pPr>
    </w:p>
    <w:p w:rsidR="00EA6CD3" w:rsidRPr="003E5A6D" w:rsidRDefault="00EA6CD3" w:rsidP="007A5C51">
      <w:pPr>
        <w:tabs>
          <w:tab w:val="right" w:pos="9072"/>
        </w:tabs>
        <w:rPr>
          <w:sz w:val="24"/>
          <w:szCs w:val="24"/>
          <w:lang w:val="lv-LV"/>
        </w:rPr>
      </w:pPr>
      <w:r w:rsidRPr="003E5A6D">
        <w:rPr>
          <w:sz w:val="24"/>
          <w:szCs w:val="24"/>
          <w:lang w:val="lv-LV"/>
        </w:rPr>
        <w:t>Vīza: Valsts sekretār</w:t>
      </w:r>
      <w:r w:rsidR="007A5C51">
        <w:rPr>
          <w:sz w:val="24"/>
          <w:szCs w:val="24"/>
          <w:lang w:val="lv-LV"/>
        </w:rPr>
        <w:t>s</w:t>
      </w:r>
      <w:r w:rsidRPr="003E5A6D">
        <w:rPr>
          <w:sz w:val="24"/>
          <w:szCs w:val="24"/>
          <w:lang w:val="lv-LV"/>
        </w:rPr>
        <w:tab/>
      </w:r>
      <w:r w:rsidR="007A5C51">
        <w:rPr>
          <w:sz w:val="24"/>
          <w:szCs w:val="24"/>
          <w:lang w:val="lv-LV"/>
        </w:rPr>
        <w:t>M.Lazdovskis</w:t>
      </w:r>
    </w:p>
    <w:p w:rsidR="00EA6CD3" w:rsidRDefault="00EA6CD3" w:rsidP="00EA6CD3">
      <w:pPr>
        <w:jc w:val="both"/>
        <w:rPr>
          <w:color w:val="000000"/>
          <w:sz w:val="26"/>
          <w:szCs w:val="26"/>
          <w:lang w:val="lv-LV"/>
        </w:rPr>
      </w:pPr>
    </w:p>
    <w:p w:rsidR="00D217AC" w:rsidRDefault="00D217AC" w:rsidP="00EA6CD3">
      <w:pPr>
        <w:jc w:val="both"/>
        <w:rPr>
          <w:color w:val="000000"/>
          <w:sz w:val="22"/>
          <w:szCs w:val="22"/>
          <w:lang w:val="lv-LV"/>
        </w:rPr>
      </w:pPr>
    </w:p>
    <w:p w:rsidR="00D217AC" w:rsidRDefault="00D217AC" w:rsidP="00EA6CD3">
      <w:pPr>
        <w:jc w:val="both"/>
        <w:rPr>
          <w:color w:val="000000"/>
          <w:sz w:val="22"/>
          <w:szCs w:val="22"/>
          <w:lang w:val="lv-LV"/>
        </w:rPr>
      </w:pPr>
    </w:p>
    <w:p w:rsidR="00D64FFD" w:rsidRDefault="00D64FFD" w:rsidP="00EA6CD3">
      <w:pPr>
        <w:jc w:val="both"/>
        <w:rPr>
          <w:color w:val="000000"/>
          <w:sz w:val="22"/>
          <w:szCs w:val="22"/>
          <w:lang w:val="lv-LV"/>
        </w:rPr>
      </w:pPr>
    </w:p>
    <w:p w:rsidR="00D64FFD" w:rsidRPr="00EE57C3" w:rsidRDefault="00D64FFD" w:rsidP="00EA6CD3">
      <w:pPr>
        <w:jc w:val="both"/>
        <w:rPr>
          <w:color w:val="000000"/>
          <w:sz w:val="22"/>
          <w:szCs w:val="22"/>
          <w:lang w:val="lv-LV"/>
        </w:rPr>
      </w:pPr>
    </w:p>
    <w:p w:rsidR="00EA6CD3" w:rsidRPr="005464E6" w:rsidRDefault="0077534E" w:rsidP="00EA6CD3">
      <w:pPr>
        <w:jc w:val="both"/>
        <w:rPr>
          <w:lang w:val="lv-LV"/>
        </w:rPr>
      </w:pPr>
      <w:r>
        <w:rPr>
          <w:lang w:val="lv-LV"/>
        </w:rPr>
        <w:t>24</w:t>
      </w:r>
      <w:r w:rsidR="007954D3">
        <w:rPr>
          <w:lang w:val="lv-LV"/>
        </w:rPr>
        <w:t>.04</w:t>
      </w:r>
      <w:r w:rsidR="001C0801" w:rsidRPr="005464E6">
        <w:rPr>
          <w:lang w:val="lv-LV"/>
        </w:rPr>
        <w:t>.201</w:t>
      </w:r>
      <w:r w:rsidR="007E4C1F">
        <w:rPr>
          <w:lang w:val="lv-LV"/>
        </w:rPr>
        <w:t>4</w:t>
      </w:r>
      <w:r w:rsidR="00EA6CD3" w:rsidRPr="005464E6">
        <w:rPr>
          <w:lang w:val="lv-LV"/>
        </w:rPr>
        <w:t xml:space="preserve"> </w:t>
      </w:r>
      <w:r w:rsidR="003E58C7">
        <w:rPr>
          <w:lang w:val="lv-LV"/>
        </w:rPr>
        <w:t>22:16</w:t>
      </w:r>
      <w:bookmarkStart w:id="5" w:name="_GoBack"/>
      <w:bookmarkEnd w:id="5"/>
    </w:p>
    <w:p w:rsidR="00D04299" w:rsidRDefault="003D1A86" w:rsidP="00EA6CD3">
      <w:pPr>
        <w:jc w:val="both"/>
        <w:rPr>
          <w:color w:val="000000"/>
          <w:lang w:val="lv-LV"/>
        </w:rPr>
      </w:pPr>
      <w:r>
        <w:rPr>
          <w:color w:val="000000"/>
          <w:lang w:val="lv-LV"/>
        </w:rPr>
        <w:t>2</w:t>
      </w:r>
      <w:r w:rsidR="008764DD">
        <w:rPr>
          <w:color w:val="000000"/>
          <w:lang w:val="lv-LV"/>
        </w:rPr>
        <w:t>9</w:t>
      </w:r>
      <w:r w:rsidR="003E58C7">
        <w:rPr>
          <w:color w:val="000000"/>
          <w:lang w:val="lv-LV"/>
        </w:rPr>
        <w:t>53</w:t>
      </w:r>
    </w:p>
    <w:p w:rsidR="00EA6CD3" w:rsidRPr="005464E6" w:rsidRDefault="00EA6CD3" w:rsidP="00EA6CD3">
      <w:pPr>
        <w:jc w:val="both"/>
        <w:rPr>
          <w:color w:val="000000"/>
          <w:lang w:val="lv-LV"/>
        </w:rPr>
      </w:pPr>
      <w:r w:rsidRPr="005464E6">
        <w:rPr>
          <w:color w:val="000000"/>
          <w:lang w:val="lv-LV"/>
        </w:rPr>
        <w:t>A.Nicmane</w:t>
      </w:r>
    </w:p>
    <w:p w:rsidR="00EA6CD3" w:rsidRPr="005464E6" w:rsidRDefault="00EA6CD3" w:rsidP="00EA6CD3">
      <w:pPr>
        <w:jc w:val="both"/>
        <w:rPr>
          <w:color w:val="000000"/>
          <w:lang w:val="lv-LV"/>
        </w:rPr>
      </w:pPr>
      <w:r w:rsidRPr="005464E6">
        <w:rPr>
          <w:lang w:val="lv-LV"/>
        </w:rPr>
        <w:t>67013203,</w:t>
      </w:r>
      <w:r w:rsidR="00D04299">
        <w:rPr>
          <w:lang w:val="lv-LV"/>
        </w:rPr>
        <w:t xml:space="preserve"> </w:t>
      </w:r>
      <w:r w:rsidRPr="005464E6">
        <w:rPr>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40" w:rsidRDefault="00452140" w:rsidP="006B2FEF">
      <w:r>
        <w:separator/>
      </w:r>
    </w:p>
  </w:endnote>
  <w:endnote w:type="continuationSeparator" w:id="0">
    <w:p w:rsidR="00452140" w:rsidRDefault="00452140"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720501" w:rsidRDefault="006D1520" w:rsidP="00CB6AC4">
    <w:pPr>
      <w:pStyle w:val="Footer"/>
      <w:jc w:val="both"/>
    </w:pPr>
    <w:r>
      <w:rPr>
        <w:rFonts w:eastAsia="Times New Roman"/>
        <w:lang w:val="lv-LV" w:eastAsia="lv-LV"/>
      </w:rPr>
      <w:t>EMANOT_240414</w:t>
    </w:r>
    <w:r w:rsidRPr="00720501">
      <w:rPr>
        <w:rFonts w:eastAsia="Times New Roman"/>
        <w:lang w:val="lv-LV" w:eastAsia="lv-LV"/>
      </w:rPr>
      <w:t>_</w:t>
    </w:r>
    <w:r>
      <w:rPr>
        <w:rFonts w:eastAsia="Times New Roman"/>
        <w:lang w:val="lv-LV" w:eastAsia="lv-LV"/>
      </w:rPr>
      <w:t>MEZANINA_AIZDEVUMI</w:t>
    </w:r>
    <w:r w:rsidRPr="00720501">
      <w:rPr>
        <w:rFonts w:eastAsia="Times New Roman"/>
        <w:lang w:val="lv-LV" w:eastAsia="lv-LV"/>
      </w:rPr>
      <w:t>; Mini</w:t>
    </w:r>
    <w:r>
      <w:rPr>
        <w:rFonts w:eastAsia="Times New Roman"/>
        <w:lang w:val="lv-LV" w:eastAsia="lv-LV"/>
      </w:rPr>
      <w:t>stru kabineta noteikumu projekts</w:t>
    </w:r>
    <w:r w:rsidRPr="00720501">
      <w:rPr>
        <w:rFonts w:eastAsia="Times New Roman"/>
        <w:lang w:val="lv-LV" w:eastAsia="lv-LV"/>
      </w:rPr>
      <w:t xml:space="preserve"> „Noteikumi par mezanīna aizdevumiem saimnieciskās darbības veicēju konkurētspējas uzlabošanai” sākotnējās ietekmes novērtējuma ziņojums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47031A" w:rsidRDefault="00DF6E16" w:rsidP="0047031A">
    <w:pPr>
      <w:pStyle w:val="Footer"/>
      <w:jc w:val="both"/>
    </w:pPr>
    <w:r>
      <w:rPr>
        <w:rFonts w:eastAsia="Times New Roman"/>
        <w:lang w:val="lv-LV" w:eastAsia="lv-LV"/>
      </w:rPr>
      <w:t>EMANOT_24</w:t>
    </w:r>
    <w:r w:rsidR="006D1520">
      <w:rPr>
        <w:rFonts w:eastAsia="Times New Roman"/>
        <w:lang w:val="lv-LV" w:eastAsia="lv-LV"/>
      </w:rPr>
      <w:t>0414</w:t>
    </w:r>
    <w:r w:rsidR="006D1520" w:rsidRPr="00720501">
      <w:rPr>
        <w:rFonts w:eastAsia="Times New Roman"/>
        <w:lang w:val="lv-LV" w:eastAsia="lv-LV"/>
      </w:rPr>
      <w:t>_</w:t>
    </w:r>
    <w:r w:rsidR="006D1520">
      <w:rPr>
        <w:rFonts w:eastAsia="Times New Roman"/>
        <w:lang w:val="lv-LV" w:eastAsia="lv-LV"/>
      </w:rPr>
      <w:t>MEZANINA_AIZDEVUMI</w:t>
    </w:r>
    <w:r w:rsidR="006D1520" w:rsidRPr="00720501">
      <w:rPr>
        <w:rFonts w:eastAsia="Times New Roman"/>
        <w:lang w:val="lv-LV" w:eastAsia="lv-LV"/>
      </w:rPr>
      <w:t>; Mini</w:t>
    </w:r>
    <w:r w:rsidR="006D1520">
      <w:rPr>
        <w:rFonts w:eastAsia="Times New Roman"/>
        <w:lang w:val="lv-LV" w:eastAsia="lv-LV"/>
      </w:rPr>
      <w:t>stru kabineta noteikumu projekts</w:t>
    </w:r>
    <w:r w:rsidR="006D1520" w:rsidRPr="00720501">
      <w:rPr>
        <w:rFonts w:eastAsia="Times New Roman"/>
        <w:lang w:val="lv-LV" w:eastAsia="lv-LV"/>
      </w:rPr>
      <w:t xml:space="preserve"> „Noteikumi par mezanīna aizdevumiem saimnieciskās darbības veicēju konkurētspējas uzlabošanai” sākotnējās ietekmes novērtējuma ziņojums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40" w:rsidRDefault="00452140" w:rsidP="006B2FEF">
      <w:r>
        <w:separator/>
      </w:r>
    </w:p>
  </w:footnote>
  <w:footnote w:type="continuationSeparator" w:id="0">
    <w:p w:rsidR="00452140" w:rsidRDefault="00452140"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6D1520" w:rsidRPr="00B014C2" w:rsidRDefault="006D152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E58C7">
          <w:rPr>
            <w:noProof/>
            <w:sz w:val="24"/>
            <w:szCs w:val="24"/>
          </w:rPr>
          <w:t>11</w:t>
        </w:r>
        <w:r w:rsidRPr="00B014C2">
          <w:rPr>
            <w:sz w:val="24"/>
            <w:szCs w:val="24"/>
          </w:rPr>
          <w:fldChar w:fldCharType="end"/>
        </w:r>
      </w:p>
    </w:sdtContent>
  </w:sdt>
  <w:p w:rsidR="006D1520" w:rsidRDefault="006D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1048C"/>
    <w:rsid w:val="00013B61"/>
    <w:rsid w:val="0002003C"/>
    <w:rsid w:val="000527A4"/>
    <w:rsid w:val="00071082"/>
    <w:rsid w:val="0007330D"/>
    <w:rsid w:val="00074090"/>
    <w:rsid w:val="00080352"/>
    <w:rsid w:val="00095280"/>
    <w:rsid w:val="00096060"/>
    <w:rsid w:val="000964C6"/>
    <w:rsid w:val="000B3449"/>
    <w:rsid w:val="000B492B"/>
    <w:rsid w:val="000C33C1"/>
    <w:rsid w:val="000D3D56"/>
    <w:rsid w:val="000D43D9"/>
    <w:rsid w:val="000D74B9"/>
    <w:rsid w:val="000E53C3"/>
    <w:rsid w:val="00165747"/>
    <w:rsid w:val="00166A8B"/>
    <w:rsid w:val="00172082"/>
    <w:rsid w:val="00186A4D"/>
    <w:rsid w:val="00187140"/>
    <w:rsid w:val="001935C8"/>
    <w:rsid w:val="001A3ED2"/>
    <w:rsid w:val="001C0801"/>
    <w:rsid w:val="001D0800"/>
    <w:rsid w:val="001D7DC1"/>
    <w:rsid w:val="001F7AAD"/>
    <w:rsid w:val="0020468C"/>
    <w:rsid w:val="00217F5B"/>
    <w:rsid w:val="002267E7"/>
    <w:rsid w:val="00254901"/>
    <w:rsid w:val="00255BAC"/>
    <w:rsid w:val="002A0BC1"/>
    <w:rsid w:val="002E1075"/>
    <w:rsid w:val="002E678E"/>
    <w:rsid w:val="002E708A"/>
    <w:rsid w:val="002F741D"/>
    <w:rsid w:val="00304810"/>
    <w:rsid w:val="003061FB"/>
    <w:rsid w:val="00326096"/>
    <w:rsid w:val="00346CE0"/>
    <w:rsid w:val="00354ABE"/>
    <w:rsid w:val="00366AFE"/>
    <w:rsid w:val="00374F73"/>
    <w:rsid w:val="00380AC5"/>
    <w:rsid w:val="003814A5"/>
    <w:rsid w:val="00387734"/>
    <w:rsid w:val="00392998"/>
    <w:rsid w:val="00395460"/>
    <w:rsid w:val="00396152"/>
    <w:rsid w:val="003B32EC"/>
    <w:rsid w:val="003B5F6A"/>
    <w:rsid w:val="003C3D3D"/>
    <w:rsid w:val="003D1A86"/>
    <w:rsid w:val="003E4132"/>
    <w:rsid w:val="003E58C7"/>
    <w:rsid w:val="003E5A6D"/>
    <w:rsid w:val="003F2C34"/>
    <w:rsid w:val="004038BC"/>
    <w:rsid w:val="00416A31"/>
    <w:rsid w:val="00417136"/>
    <w:rsid w:val="00423B46"/>
    <w:rsid w:val="00425AA9"/>
    <w:rsid w:val="00426250"/>
    <w:rsid w:val="00431019"/>
    <w:rsid w:val="004352F7"/>
    <w:rsid w:val="0043554A"/>
    <w:rsid w:val="00442D1E"/>
    <w:rsid w:val="00443016"/>
    <w:rsid w:val="00452140"/>
    <w:rsid w:val="00467343"/>
    <w:rsid w:val="0047031A"/>
    <w:rsid w:val="00483B86"/>
    <w:rsid w:val="004A5EEF"/>
    <w:rsid w:val="004C0738"/>
    <w:rsid w:val="00531AFF"/>
    <w:rsid w:val="00534305"/>
    <w:rsid w:val="005464E6"/>
    <w:rsid w:val="00555557"/>
    <w:rsid w:val="00567FC5"/>
    <w:rsid w:val="00571CCF"/>
    <w:rsid w:val="00572180"/>
    <w:rsid w:val="00592809"/>
    <w:rsid w:val="00593343"/>
    <w:rsid w:val="005A5A80"/>
    <w:rsid w:val="005B476F"/>
    <w:rsid w:val="005B6095"/>
    <w:rsid w:val="005B65B8"/>
    <w:rsid w:val="005C63C7"/>
    <w:rsid w:val="005C6B2C"/>
    <w:rsid w:val="005D06E8"/>
    <w:rsid w:val="005D1195"/>
    <w:rsid w:val="005D688E"/>
    <w:rsid w:val="005F3FC6"/>
    <w:rsid w:val="00614ECD"/>
    <w:rsid w:val="006231D7"/>
    <w:rsid w:val="00626031"/>
    <w:rsid w:val="00646A6F"/>
    <w:rsid w:val="006559F5"/>
    <w:rsid w:val="006729D2"/>
    <w:rsid w:val="006B2FEF"/>
    <w:rsid w:val="006B6D6C"/>
    <w:rsid w:val="006C5ECD"/>
    <w:rsid w:val="006D1520"/>
    <w:rsid w:val="006D2F0C"/>
    <w:rsid w:val="006D3604"/>
    <w:rsid w:val="006E2082"/>
    <w:rsid w:val="006F2362"/>
    <w:rsid w:val="006F47EB"/>
    <w:rsid w:val="006F4DE9"/>
    <w:rsid w:val="006F71C2"/>
    <w:rsid w:val="00700AC3"/>
    <w:rsid w:val="00700E68"/>
    <w:rsid w:val="007161D3"/>
    <w:rsid w:val="00752DBC"/>
    <w:rsid w:val="0075411D"/>
    <w:rsid w:val="00762FC8"/>
    <w:rsid w:val="0077534E"/>
    <w:rsid w:val="0078045E"/>
    <w:rsid w:val="00780B70"/>
    <w:rsid w:val="00782847"/>
    <w:rsid w:val="00783D20"/>
    <w:rsid w:val="007954D3"/>
    <w:rsid w:val="007A2F02"/>
    <w:rsid w:val="007A5C51"/>
    <w:rsid w:val="007B41D7"/>
    <w:rsid w:val="007C1A7D"/>
    <w:rsid w:val="007E4C1F"/>
    <w:rsid w:val="007F0204"/>
    <w:rsid w:val="00814AFC"/>
    <w:rsid w:val="0082350A"/>
    <w:rsid w:val="008764DD"/>
    <w:rsid w:val="008841EB"/>
    <w:rsid w:val="00891C00"/>
    <w:rsid w:val="00895E41"/>
    <w:rsid w:val="008B206C"/>
    <w:rsid w:val="008B56DF"/>
    <w:rsid w:val="008B5EFB"/>
    <w:rsid w:val="008D65D5"/>
    <w:rsid w:val="008D7F23"/>
    <w:rsid w:val="00956C4B"/>
    <w:rsid w:val="00961605"/>
    <w:rsid w:val="00963C88"/>
    <w:rsid w:val="00966814"/>
    <w:rsid w:val="009A692C"/>
    <w:rsid w:val="009B584C"/>
    <w:rsid w:val="009B75D4"/>
    <w:rsid w:val="009D0A96"/>
    <w:rsid w:val="009F0FC9"/>
    <w:rsid w:val="00A03E32"/>
    <w:rsid w:val="00A14369"/>
    <w:rsid w:val="00A229AC"/>
    <w:rsid w:val="00A23E8B"/>
    <w:rsid w:val="00A25225"/>
    <w:rsid w:val="00A26676"/>
    <w:rsid w:val="00A27A02"/>
    <w:rsid w:val="00A337C5"/>
    <w:rsid w:val="00A33B10"/>
    <w:rsid w:val="00A56E9B"/>
    <w:rsid w:val="00A969CC"/>
    <w:rsid w:val="00A96C8D"/>
    <w:rsid w:val="00AD5C75"/>
    <w:rsid w:val="00B15DBA"/>
    <w:rsid w:val="00B2297A"/>
    <w:rsid w:val="00B300C7"/>
    <w:rsid w:val="00B32793"/>
    <w:rsid w:val="00B4164D"/>
    <w:rsid w:val="00B462F7"/>
    <w:rsid w:val="00B65CF6"/>
    <w:rsid w:val="00B700CC"/>
    <w:rsid w:val="00B80371"/>
    <w:rsid w:val="00B837AE"/>
    <w:rsid w:val="00BB0BAA"/>
    <w:rsid w:val="00BC608E"/>
    <w:rsid w:val="00BC69DC"/>
    <w:rsid w:val="00BF15B9"/>
    <w:rsid w:val="00C0447C"/>
    <w:rsid w:val="00C05EF2"/>
    <w:rsid w:val="00C12CF8"/>
    <w:rsid w:val="00C25016"/>
    <w:rsid w:val="00C26333"/>
    <w:rsid w:val="00C264E6"/>
    <w:rsid w:val="00C26E37"/>
    <w:rsid w:val="00C42ACD"/>
    <w:rsid w:val="00C66A4D"/>
    <w:rsid w:val="00C77C68"/>
    <w:rsid w:val="00C85115"/>
    <w:rsid w:val="00CB6AC4"/>
    <w:rsid w:val="00CE5541"/>
    <w:rsid w:val="00CF4607"/>
    <w:rsid w:val="00D04299"/>
    <w:rsid w:val="00D05A7A"/>
    <w:rsid w:val="00D20CC5"/>
    <w:rsid w:val="00D217AC"/>
    <w:rsid w:val="00D41F46"/>
    <w:rsid w:val="00D5265D"/>
    <w:rsid w:val="00D62E09"/>
    <w:rsid w:val="00D64FFD"/>
    <w:rsid w:val="00D84DE0"/>
    <w:rsid w:val="00DA239C"/>
    <w:rsid w:val="00DB3721"/>
    <w:rsid w:val="00DB3D04"/>
    <w:rsid w:val="00DC72F1"/>
    <w:rsid w:val="00DD0953"/>
    <w:rsid w:val="00DD1F77"/>
    <w:rsid w:val="00DF6E16"/>
    <w:rsid w:val="00E00218"/>
    <w:rsid w:val="00E018E1"/>
    <w:rsid w:val="00E116BA"/>
    <w:rsid w:val="00E15447"/>
    <w:rsid w:val="00E40942"/>
    <w:rsid w:val="00E50E6F"/>
    <w:rsid w:val="00E55EC8"/>
    <w:rsid w:val="00E72404"/>
    <w:rsid w:val="00E74A15"/>
    <w:rsid w:val="00E93CFE"/>
    <w:rsid w:val="00EA0EBB"/>
    <w:rsid w:val="00EA6CD3"/>
    <w:rsid w:val="00ED053C"/>
    <w:rsid w:val="00ED18C9"/>
    <w:rsid w:val="00ED377A"/>
    <w:rsid w:val="00ED4255"/>
    <w:rsid w:val="00EE4A54"/>
    <w:rsid w:val="00EE61BD"/>
    <w:rsid w:val="00F066C5"/>
    <w:rsid w:val="00F32822"/>
    <w:rsid w:val="00F40F20"/>
    <w:rsid w:val="00F44B3E"/>
    <w:rsid w:val="00F70443"/>
    <w:rsid w:val="00F7097D"/>
    <w:rsid w:val="00F716EF"/>
    <w:rsid w:val="00F9016C"/>
    <w:rsid w:val="00F9305D"/>
    <w:rsid w:val="00F9522F"/>
    <w:rsid w:val="00FD061B"/>
    <w:rsid w:val="00FD5F34"/>
    <w:rsid w:val="00FF3664"/>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358F-9BC8-4C54-B648-1D3839D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15907</Words>
  <Characters>9067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projekts „Noteikumi par mezanīna aizdevumiem saimnieciskās darbības veicēju konkurētspējas uzlabošanai” sākotnējās ietekmes novērtējuma ziņojums sākotnējās ietekmes novērtējuma ziņojums (anotācija)</vt:lpstr>
    </vt:vector>
  </TitlesOfParts>
  <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mezanīna aizdevumiem saimnieciskās darbības veicēju konkurētspējas uzlabošanai” sākotnējās ietekmes novērtējuma ziņojums sākotnējās ietekmes novērtējuma ziņojums (anotācija)</dc:title>
  <dc:subject>Anotācija</dc:subject>
  <dc:creator>Agita Nicmane</dc:creator>
  <dc:description>Agita.Nicmane@em.gov.lv</dc:description>
  <cp:lastModifiedBy>Agita Nicmane</cp:lastModifiedBy>
  <cp:revision>6</cp:revision>
  <cp:lastPrinted>2014-04-04T06:15:00Z</cp:lastPrinted>
  <dcterms:created xsi:type="dcterms:W3CDTF">2014-04-24T06:49:00Z</dcterms:created>
  <dcterms:modified xsi:type="dcterms:W3CDTF">2014-04-24T19:16:00Z</dcterms:modified>
</cp:coreProperties>
</file>