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62" w:rsidRPr="00335468" w:rsidRDefault="00BB09C5" w:rsidP="00F22471">
      <w:pPr>
        <w:pStyle w:val="BodyText"/>
        <w:jc w:val="center"/>
        <w:rPr>
          <w:b/>
          <w:sz w:val="24"/>
          <w:szCs w:val="24"/>
        </w:rPr>
      </w:pPr>
      <w:bookmarkStart w:id="0" w:name="OLE_LINK3"/>
      <w:bookmarkStart w:id="1" w:name="OLE_LINK1"/>
      <w:bookmarkStart w:id="2" w:name="OLE_LINK2"/>
      <w:r w:rsidRPr="00335468">
        <w:rPr>
          <w:b/>
          <w:sz w:val="24"/>
          <w:szCs w:val="24"/>
        </w:rPr>
        <w:t xml:space="preserve">Ministru kabineta </w:t>
      </w:r>
      <w:r w:rsidR="00C83591" w:rsidRPr="00335468">
        <w:rPr>
          <w:b/>
          <w:sz w:val="24"/>
          <w:szCs w:val="24"/>
        </w:rPr>
        <w:t>noteikumu</w:t>
      </w:r>
      <w:r w:rsidR="001764E7" w:rsidRPr="00335468">
        <w:rPr>
          <w:b/>
          <w:sz w:val="24"/>
          <w:szCs w:val="24"/>
        </w:rPr>
        <w:t xml:space="preserve"> </w:t>
      </w:r>
      <w:r w:rsidRPr="00335468">
        <w:rPr>
          <w:b/>
          <w:sz w:val="24"/>
          <w:szCs w:val="24"/>
        </w:rPr>
        <w:t xml:space="preserve">projekta </w:t>
      </w:r>
      <w:r w:rsidR="00634095" w:rsidRPr="00335468">
        <w:rPr>
          <w:b/>
          <w:sz w:val="24"/>
          <w:szCs w:val="24"/>
        </w:rPr>
        <w:t xml:space="preserve">„Grozījumi Ministru kabineta 2009.gada 31.marta noteikumos Nr.293 „Noteikumi par darbības programmas „Cilvēkresursi un nodarbinātība” papildinājuma 1.3.1.2.aktivitāti „Atbalsts </w:t>
      </w:r>
      <w:proofErr w:type="spellStart"/>
      <w:r w:rsidR="00634095" w:rsidRPr="00335468">
        <w:rPr>
          <w:b/>
          <w:sz w:val="24"/>
          <w:szCs w:val="24"/>
        </w:rPr>
        <w:t>pašnodarbinātības</w:t>
      </w:r>
      <w:proofErr w:type="spellEnd"/>
      <w:r w:rsidR="00634095" w:rsidRPr="00335468">
        <w:rPr>
          <w:b/>
          <w:sz w:val="24"/>
          <w:szCs w:val="24"/>
        </w:rPr>
        <w:t xml:space="preserve"> un uzņēmējdarbības uzsākšanai”” </w:t>
      </w:r>
      <w:r w:rsidR="003000F0" w:rsidRPr="00335468">
        <w:rPr>
          <w:b/>
          <w:sz w:val="24"/>
          <w:szCs w:val="24"/>
        </w:rPr>
        <w:t>sākotnējās ietekmes novērtējuma ziņojums</w:t>
      </w:r>
      <w:r w:rsidR="00E73425" w:rsidRPr="00335468">
        <w:rPr>
          <w:b/>
          <w:sz w:val="24"/>
          <w:szCs w:val="24"/>
        </w:rPr>
        <w:t xml:space="preserve"> </w:t>
      </w:r>
      <w:r w:rsidR="003000F0" w:rsidRPr="00335468">
        <w:rPr>
          <w:b/>
          <w:sz w:val="24"/>
          <w:szCs w:val="24"/>
        </w:rPr>
        <w:t>(</w:t>
      </w:r>
      <w:r w:rsidR="00E73425" w:rsidRPr="00335468">
        <w:rPr>
          <w:b/>
          <w:sz w:val="24"/>
          <w:szCs w:val="24"/>
        </w:rPr>
        <w:t>anotācija</w:t>
      </w:r>
      <w:r w:rsidR="003000F0" w:rsidRPr="00335468">
        <w:rPr>
          <w:b/>
          <w:sz w:val="24"/>
          <w:szCs w:val="24"/>
        </w:rPr>
        <w:t>)</w:t>
      </w:r>
    </w:p>
    <w:p w:rsidR="00B84C4B" w:rsidRPr="00235168" w:rsidRDefault="00B84C4B" w:rsidP="00F22471">
      <w:pPr>
        <w:pStyle w:val="BodyText"/>
        <w:jc w:val="center"/>
        <w:rPr>
          <w:b/>
          <w:sz w:val="26"/>
          <w:szCs w:val="26"/>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45"/>
      </w:tblGrid>
      <w:tr w:rsidR="00A31FDC" w:rsidRPr="00335468" w:rsidTr="00F90307">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A31FDC" w:rsidRPr="00335468" w:rsidRDefault="00A31FDC" w:rsidP="00F22471">
            <w:pPr>
              <w:ind w:firstLine="720"/>
              <w:jc w:val="both"/>
              <w:rPr>
                <w:rFonts w:eastAsia="Times New Roman"/>
                <w:b/>
                <w:sz w:val="24"/>
                <w:szCs w:val="24"/>
                <w:lang w:val="lv-LV" w:eastAsia="lv-LV"/>
              </w:rPr>
            </w:pPr>
            <w:r w:rsidRPr="00335468">
              <w:rPr>
                <w:rFonts w:eastAsia="Times New Roman"/>
                <w:b/>
                <w:sz w:val="24"/>
                <w:szCs w:val="24"/>
                <w:lang w:val="lv-LV" w:eastAsia="lv-LV"/>
              </w:rPr>
              <w:t>I.Tiesību akta projekta izstrādes nepieciešamība</w:t>
            </w:r>
          </w:p>
        </w:tc>
      </w:tr>
      <w:tr w:rsidR="00A31FDC" w:rsidRPr="00335468" w:rsidTr="00A43634">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335468" w:rsidRDefault="00A31FDC" w:rsidP="00F22471">
            <w:pPr>
              <w:jc w:val="both"/>
              <w:rPr>
                <w:rFonts w:eastAsia="Times New Roman"/>
                <w:sz w:val="24"/>
                <w:szCs w:val="24"/>
                <w:lang w:val="lv-LV" w:eastAsia="lv-LV"/>
              </w:rPr>
            </w:pPr>
            <w:r w:rsidRPr="00335468">
              <w:rPr>
                <w:rFonts w:eastAsia="Times New Roman"/>
                <w:sz w:val="24"/>
                <w:szCs w:val="24"/>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335468" w:rsidRDefault="00A31FDC" w:rsidP="00F22471">
            <w:pPr>
              <w:jc w:val="both"/>
              <w:rPr>
                <w:rFonts w:eastAsia="Times New Roman"/>
                <w:sz w:val="24"/>
                <w:szCs w:val="24"/>
                <w:lang w:val="lv-LV" w:eastAsia="lv-LV"/>
              </w:rPr>
            </w:pPr>
            <w:r w:rsidRPr="00335468">
              <w:rPr>
                <w:rFonts w:eastAsia="Times New Roman"/>
                <w:sz w:val="24"/>
                <w:szCs w:val="24"/>
                <w:lang w:val="lv-LV" w:eastAsia="lv-LV"/>
              </w:rPr>
              <w:t>Pamatojums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7E0942" w:rsidRDefault="0001626D" w:rsidP="007243A0">
            <w:pPr>
              <w:jc w:val="both"/>
              <w:rPr>
                <w:sz w:val="24"/>
                <w:szCs w:val="24"/>
                <w:lang w:val="lv-LV"/>
              </w:rPr>
            </w:pPr>
            <w:r w:rsidRPr="00335468">
              <w:rPr>
                <w:sz w:val="24"/>
                <w:szCs w:val="24"/>
                <w:lang w:val="lv-LV"/>
              </w:rPr>
              <w:t>Noteikumu projekts sagatavots, pamatojoties uz</w:t>
            </w:r>
            <w:r w:rsidR="007E0942">
              <w:rPr>
                <w:sz w:val="24"/>
                <w:szCs w:val="24"/>
                <w:lang w:val="lv-LV"/>
              </w:rPr>
              <w:t>:</w:t>
            </w:r>
          </w:p>
          <w:p w:rsidR="00B84C4B" w:rsidRPr="007E0942" w:rsidRDefault="0001626D" w:rsidP="00D01664">
            <w:pPr>
              <w:pStyle w:val="ListParagraph"/>
              <w:numPr>
                <w:ilvl w:val="0"/>
                <w:numId w:val="16"/>
              </w:numPr>
              <w:ind w:left="0" w:firstLine="141"/>
              <w:jc w:val="both"/>
              <w:rPr>
                <w:sz w:val="24"/>
                <w:szCs w:val="24"/>
                <w:lang w:val="lv-LV"/>
              </w:rPr>
            </w:pPr>
            <w:r w:rsidRPr="007E0942">
              <w:rPr>
                <w:sz w:val="24"/>
                <w:szCs w:val="24"/>
                <w:lang w:val="lv-LV"/>
              </w:rPr>
              <w:t>Eiropas Savienī</w:t>
            </w:r>
            <w:r w:rsidR="00340E1F" w:rsidRPr="007E0942">
              <w:rPr>
                <w:sz w:val="24"/>
                <w:szCs w:val="24"/>
                <w:lang w:val="lv-LV"/>
              </w:rPr>
              <w:t xml:space="preserve">bas struktūrfondu un </w:t>
            </w:r>
            <w:r w:rsidRPr="007E0942">
              <w:rPr>
                <w:sz w:val="24"/>
                <w:szCs w:val="24"/>
                <w:lang w:val="lv-LV"/>
              </w:rPr>
              <w:t>Kohēzijas fonda vad</w:t>
            </w:r>
            <w:r w:rsidR="007243A0" w:rsidRPr="007E0942">
              <w:rPr>
                <w:sz w:val="24"/>
                <w:szCs w:val="24"/>
                <w:lang w:val="lv-LV"/>
              </w:rPr>
              <w:t>ības likuma 18.panta 10.punktu</w:t>
            </w:r>
            <w:r w:rsidR="007E0942" w:rsidRPr="007E0942">
              <w:rPr>
                <w:sz w:val="24"/>
                <w:szCs w:val="24"/>
                <w:lang w:val="lv-LV"/>
              </w:rPr>
              <w:t>;</w:t>
            </w:r>
          </w:p>
          <w:p w:rsidR="007E0942" w:rsidRPr="007E0942" w:rsidRDefault="007E0942" w:rsidP="00D01664">
            <w:pPr>
              <w:pStyle w:val="ListParagraph"/>
              <w:numPr>
                <w:ilvl w:val="0"/>
                <w:numId w:val="16"/>
              </w:numPr>
              <w:ind w:left="0" w:firstLine="219"/>
              <w:jc w:val="both"/>
              <w:rPr>
                <w:sz w:val="24"/>
                <w:szCs w:val="24"/>
                <w:lang w:val="lv-LV"/>
              </w:rPr>
            </w:pPr>
            <w:r w:rsidRPr="007E0942">
              <w:rPr>
                <w:sz w:val="24"/>
                <w:szCs w:val="24"/>
                <w:lang w:val="lv-LV"/>
              </w:rPr>
              <w:t>2013. gad</w:t>
            </w:r>
            <w:r>
              <w:rPr>
                <w:sz w:val="24"/>
                <w:szCs w:val="24"/>
                <w:lang w:val="lv-LV"/>
              </w:rPr>
              <w:t>a 18. decembra Komisijas Regulu</w:t>
            </w:r>
            <w:r w:rsidRPr="007E0942">
              <w:rPr>
                <w:sz w:val="24"/>
                <w:szCs w:val="24"/>
                <w:lang w:val="lv-LV"/>
              </w:rPr>
              <w:t xml:space="preserve"> (ES) </w:t>
            </w:r>
            <w:proofErr w:type="spellStart"/>
            <w:r w:rsidRPr="007E0942">
              <w:rPr>
                <w:sz w:val="24"/>
                <w:szCs w:val="24"/>
                <w:lang w:val="lv-LV"/>
              </w:rPr>
              <w:t>Nr</w:t>
            </w:r>
            <w:proofErr w:type="spellEnd"/>
            <w:r w:rsidRPr="007E0942">
              <w:rPr>
                <w:sz w:val="24"/>
                <w:szCs w:val="24"/>
                <w:lang w:val="lv-LV"/>
              </w:rPr>
              <w:t xml:space="preserve">. 1407/2013 par Līguma par Eiropas Savienības darbību 107. un 108. panta piemērošanu </w:t>
            </w:r>
            <w:proofErr w:type="spellStart"/>
            <w:r w:rsidRPr="00D01664">
              <w:rPr>
                <w:i/>
                <w:sz w:val="24"/>
                <w:szCs w:val="24"/>
                <w:lang w:val="lv-LV"/>
              </w:rPr>
              <w:t>de</w:t>
            </w:r>
            <w:proofErr w:type="spellEnd"/>
            <w:r w:rsidRPr="00D01664">
              <w:rPr>
                <w:i/>
                <w:sz w:val="24"/>
                <w:szCs w:val="24"/>
                <w:lang w:val="lv-LV"/>
              </w:rPr>
              <w:t xml:space="preserve"> </w:t>
            </w:r>
            <w:proofErr w:type="spellStart"/>
            <w:r w:rsidRPr="00D01664">
              <w:rPr>
                <w:i/>
                <w:sz w:val="24"/>
                <w:szCs w:val="24"/>
                <w:lang w:val="lv-LV"/>
              </w:rPr>
              <w:t>minimis</w:t>
            </w:r>
            <w:proofErr w:type="spellEnd"/>
            <w:r w:rsidRPr="007E0942">
              <w:rPr>
                <w:sz w:val="24"/>
                <w:szCs w:val="24"/>
                <w:lang w:val="lv-LV"/>
              </w:rPr>
              <w:t xml:space="preserve"> atbalstam (Eiropas Savienības Oficiālais Vēstnesis, 2013. gada 24. decembris, </w:t>
            </w:r>
            <w:proofErr w:type="spellStart"/>
            <w:r w:rsidRPr="007E0942">
              <w:rPr>
                <w:sz w:val="24"/>
                <w:szCs w:val="24"/>
                <w:lang w:val="lv-LV"/>
              </w:rPr>
              <w:t>Nr</w:t>
            </w:r>
            <w:proofErr w:type="spellEnd"/>
            <w:r w:rsidRPr="007E0942">
              <w:rPr>
                <w:sz w:val="24"/>
                <w:szCs w:val="24"/>
                <w:lang w:val="lv-LV"/>
              </w:rPr>
              <w:t>. L 352)</w:t>
            </w:r>
          </w:p>
        </w:tc>
      </w:tr>
      <w:tr w:rsidR="00A31FDC" w:rsidRPr="00335468" w:rsidTr="00A43634">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335468" w:rsidRDefault="00A31FDC" w:rsidP="00F22471">
            <w:pPr>
              <w:jc w:val="both"/>
              <w:rPr>
                <w:rFonts w:eastAsia="Times New Roman"/>
                <w:sz w:val="24"/>
                <w:szCs w:val="24"/>
                <w:lang w:val="lv-LV" w:eastAsia="lv-LV"/>
              </w:rPr>
            </w:pPr>
            <w:r w:rsidRPr="00335468">
              <w:rPr>
                <w:rFonts w:eastAsia="Times New Roman"/>
                <w:sz w:val="24"/>
                <w:szCs w:val="24"/>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335468" w:rsidRDefault="007243A0" w:rsidP="00F22471">
            <w:pPr>
              <w:jc w:val="both"/>
              <w:rPr>
                <w:rFonts w:eastAsia="Times New Roman"/>
                <w:sz w:val="24"/>
                <w:szCs w:val="24"/>
                <w:lang w:val="lv-LV" w:eastAsia="lv-LV"/>
              </w:rPr>
            </w:pPr>
            <w:r w:rsidRPr="00335468">
              <w:rPr>
                <w:rFonts w:eastAsia="Times New Roman"/>
                <w:sz w:val="24"/>
                <w:szCs w:val="24"/>
                <w:lang w:val="lv-LV" w:eastAsia="lv-LV"/>
              </w:rPr>
              <w:t>Pašreizējā situācija un problēmas, kuru risināšanai tiesību akta projekts izstrādāts, tiesiskā regulējuma mērķis un būtība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0B5972" w:rsidRPr="007A5F87" w:rsidRDefault="007D7248" w:rsidP="00C66CCF">
            <w:pPr>
              <w:jc w:val="both"/>
              <w:rPr>
                <w:rFonts w:eastAsia="Times New Roman"/>
                <w:sz w:val="24"/>
                <w:szCs w:val="24"/>
                <w:lang w:val="lv-LV" w:eastAsia="lv-LV"/>
              </w:rPr>
            </w:pPr>
            <w:r w:rsidRPr="007A5F87">
              <w:rPr>
                <w:sz w:val="24"/>
                <w:szCs w:val="24"/>
                <w:lang w:val="lv-LV"/>
              </w:rPr>
              <w:t xml:space="preserve">Saskaņā ar </w:t>
            </w:r>
            <w:r w:rsidR="007E0942" w:rsidRPr="007A5F87">
              <w:rPr>
                <w:sz w:val="24"/>
                <w:szCs w:val="24"/>
                <w:lang w:val="lv-LV"/>
              </w:rPr>
              <w:t xml:space="preserve">2006.gada 11.jūlija </w:t>
            </w:r>
            <w:r w:rsidR="00AD6A13" w:rsidRPr="007A5F87">
              <w:rPr>
                <w:sz w:val="24"/>
                <w:szCs w:val="24"/>
                <w:lang w:val="lv-LV"/>
              </w:rPr>
              <w:t>Padomes</w:t>
            </w:r>
            <w:r w:rsidR="00A706CF" w:rsidRPr="007A5F87">
              <w:rPr>
                <w:sz w:val="24"/>
                <w:szCs w:val="24"/>
                <w:lang w:val="lv-LV"/>
              </w:rPr>
              <w:t xml:space="preserve"> Regulas (EK) Nr.1083/2006, ar ko paredz vispārīgus noteikumus par Eiropas Reģionālās attīstības fondu, Eiropas Sociālo fondu un Kohēzijas fondu un atceļ Regulu (EK) Nr.1260/1999 </w:t>
            </w:r>
            <w:r w:rsidRPr="007A5F87">
              <w:rPr>
                <w:sz w:val="24"/>
                <w:szCs w:val="24"/>
                <w:lang w:val="lv-LV"/>
              </w:rPr>
              <w:t xml:space="preserve">(turpmāk – </w:t>
            </w:r>
            <w:r w:rsidR="00AD6A13" w:rsidRPr="007A5F87">
              <w:rPr>
                <w:sz w:val="24"/>
                <w:szCs w:val="24"/>
                <w:lang w:val="lv-LV"/>
              </w:rPr>
              <w:t>Padomes r</w:t>
            </w:r>
            <w:r w:rsidRPr="007A5F87">
              <w:rPr>
                <w:sz w:val="24"/>
                <w:szCs w:val="24"/>
                <w:lang w:val="lv-LV"/>
              </w:rPr>
              <w:t xml:space="preserve">egula </w:t>
            </w:r>
            <w:r w:rsidR="00A706CF" w:rsidRPr="007A5F87">
              <w:rPr>
                <w:sz w:val="24"/>
                <w:szCs w:val="24"/>
                <w:lang w:val="lv-LV"/>
              </w:rPr>
              <w:t>Nr.1083/2006</w:t>
            </w:r>
            <w:r w:rsidRPr="007A5F87">
              <w:rPr>
                <w:sz w:val="24"/>
                <w:szCs w:val="24"/>
                <w:lang w:val="lv-LV"/>
              </w:rPr>
              <w:t xml:space="preserve">) 56.panta 1.punktu, </w:t>
            </w:r>
            <w:r w:rsidRPr="007A5F87">
              <w:rPr>
                <w:b/>
                <w:sz w:val="24"/>
                <w:szCs w:val="24"/>
                <w:lang w:val="lv-LV"/>
              </w:rPr>
              <w:t>izdevumi</w:t>
            </w:r>
            <w:r w:rsidRPr="007A5F87">
              <w:rPr>
                <w:sz w:val="24"/>
                <w:szCs w:val="24"/>
                <w:lang w:val="lv-LV"/>
              </w:rPr>
              <w:t xml:space="preserve">, tostarp lielajiem projektiem, </w:t>
            </w:r>
            <w:r w:rsidRPr="007A5F87">
              <w:rPr>
                <w:b/>
                <w:sz w:val="24"/>
                <w:szCs w:val="24"/>
                <w:lang w:val="lv-LV"/>
              </w:rPr>
              <w:t>ir atbilstīgi fondu atbalstam,</w:t>
            </w:r>
            <w:r w:rsidRPr="007A5F87">
              <w:rPr>
                <w:sz w:val="24"/>
                <w:szCs w:val="24"/>
                <w:lang w:val="lv-LV"/>
              </w:rPr>
              <w:t xml:space="preserve"> ja tie faktiski veikti laikposmā no dienas, kad darbības programmas iesniegtas </w:t>
            </w:r>
            <w:r w:rsidR="005248A5" w:rsidRPr="007A5F87">
              <w:rPr>
                <w:sz w:val="24"/>
                <w:szCs w:val="24"/>
                <w:lang w:val="lv-LV"/>
              </w:rPr>
              <w:t xml:space="preserve">Komisijai, vai no 2007.gada 1.janvāra- atkarībā no tā, kura diena ir agrāk, </w:t>
            </w:r>
            <w:r w:rsidR="005248A5" w:rsidRPr="007A5F87">
              <w:rPr>
                <w:sz w:val="24"/>
                <w:szCs w:val="24"/>
                <w:u w:val="single"/>
                <w:lang w:val="lv-LV"/>
              </w:rPr>
              <w:t xml:space="preserve">- </w:t>
            </w:r>
            <w:r w:rsidR="005248A5" w:rsidRPr="007A5F87">
              <w:rPr>
                <w:b/>
                <w:sz w:val="24"/>
                <w:szCs w:val="24"/>
                <w:u w:val="single"/>
                <w:lang w:val="lv-LV"/>
              </w:rPr>
              <w:t>līdz 2015.gada 31.decembrim</w:t>
            </w:r>
            <w:r w:rsidR="005248A5" w:rsidRPr="007A5F87">
              <w:rPr>
                <w:b/>
                <w:sz w:val="24"/>
                <w:szCs w:val="24"/>
                <w:lang w:val="lv-LV"/>
              </w:rPr>
              <w:t xml:space="preserve">. </w:t>
            </w:r>
            <w:r w:rsidR="005248A5" w:rsidRPr="007A5F87">
              <w:rPr>
                <w:sz w:val="24"/>
                <w:szCs w:val="24"/>
                <w:lang w:val="lv-LV"/>
              </w:rPr>
              <w:t>Saskaņā ar</w:t>
            </w:r>
            <w:r w:rsidR="005248A5" w:rsidRPr="007A5F87">
              <w:rPr>
                <w:b/>
                <w:sz w:val="24"/>
                <w:szCs w:val="24"/>
                <w:lang w:val="lv-LV"/>
              </w:rPr>
              <w:t xml:space="preserve"> </w:t>
            </w:r>
            <w:r w:rsidR="005248A5" w:rsidRPr="007A5F87">
              <w:rPr>
                <w:sz w:val="24"/>
                <w:szCs w:val="24"/>
                <w:lang w:val="lv-LV"/>
              </w:rPr>
              <w:t xml:space="preserve">Līgumu par projekta īstenošanu starp Latvijas Investīcijas un attīstības aģentūru (turpmāk – LIAA) un </w:t>
            </w:r>
            <w:r w:rsidR="005248A5" w:rsidRPr="007A5F87">
              <w:rPr>
                <w:rFonts w:eastAsia="Times New Roman"/>
                <w:sz w:val="24"/>
                <w:szCs w:val="24"/>
                <w:lang w:val="lv-LV" w:eastAsia="lv-LV"/>
              </w:rPr>
              <w:t xml:space="preserve">VAS „Latvijas Hipotēku un zemes banka” </w:t>
            </w:r>
            <w:r w:rsidR="005248A5" w:rsidRPr="007A5F87">
              <w:rPr>
                <w:rStyle w:val="FootnoteReference"/>
                <w:rFonts w:eastAsia="Times New Roman"/>
                <w:sz w:val="24"/>
                <w:szCs w:val="24"/>
                <w:lang w:val="lv-LV" w:eastAsia="lv-LV"/>
              </w:rPr>
              <w:footnoteReference w:id="1"/>
            </w:r>
            <w:r w:rsidR="005248A5" w:rsidRPr="007A5F87">
              <w:rPr>
                <w:rFonts w:eastAsia="Times New Roman"/>
                <w:sz w:val="24"/>
                <w:szCs w:val="24"/>
                <w:lang w:val="lv-LV" w:eastAsia="lv-LV"/>
              </w:rPr>
              <w:t xml:space="preserve">(turpmāk – </w:t>
            </w:r>
            <w:r w:rsidR="00A706CF" w:rsidRPr="007A5F87">
              <w:rPr>
                <w:rFonts w:eastAsia="Times New Roman"/>
                <w:sz w:val="24"/>
                <w:szCs w:val="24"/>
                <w:lang w:val="lv-LV" w:eastAsia="lv-LV"/>
              </w:rPr>
              <w:t>ALTUM</w:t>
            </w:r>
            <w:r w:rsidR="005248A5" w:rsidRPr="007A5F87">
              <w:rPr>
                <w:rFonts w:eastAsia="Times New Roman"/>
                <w:sz w:val="24"/>
                <w:szCs w:val="24"/>
                <w:lang w:val="lv-LV" w:eastAsia="lv-LV"/>
              </w:rPr>
              <w:t>)</w:t>
            </w:r>
            <w:r w:rsidR="00A706CF" w:rsidRPr="007A5F87">
              <w:rPr>
                <w:rFonts w:eastAsia="Times New Roman"/>
                <w:sz w:val="24"/>
                <w:szCs w:val="24"/>
                <w:lang w:val="lv-LV" w:eastAsia="lv-LV"/>
              </w:rPr>
              <w:t>, kas nosl</w:t>
            </w:r>
            <w:r w:rsidR="00AD6A13" w:rsidRPr="007A5F87">
              <w:rPr>
                <w:rFonts w:eastAsia="Times New Roman"/>
                <w:sz w:val="24"/>
                <w:szCs w:val="24"/>
                <w:lang w:val="lv-LV" w:eastAsia="lv-LV"/>
              </w:rPr>
              <w:t>ēgts 2009.gada 7.augustā,</w:t>
            </w:r>
            <w:r w:rsidR="005248A5" w:rsidRPr="007A5F87">
              <w:rPr>
                <w:rFonts w:eastAsia="Times New Roman"/>
                <w:sz w:val="24"/>
                <w:szCs w:val="24"/>
                <w:lang w:val="lv-LV" w:eastAsia="lv-LV"/>
              </w:rPr>
              <w:t xml:space="preserve"> </w:t>
            </w:r>
            <w:r w:rsidR="005248A5" w:rsidRPr="007A5F87">
              <w:rPr>
                <w:rFonts w:eastAsia="Times New Roman"/>
                <w:b/>
                <w:sz w:val="24"/>
                <w:szCs w:val="24"/>
                <w:lang w:val="lv-LV" w:eastAsia="lv-LV"/>
              </w:rPr>
              <w:t xml:space="preserve">līguma darbības termiņš ir </w:t>
            </w:r>
            <w:r w:rsidR="005248A5" w:rsidRPr="007A5F87">
              <w:rPr>
                <w:rFonts w:eastAsia="Times New Roman"/>
                <w:b/>
                <w:sz w:val="24"/>
                <w:szCs w:val="24"/>
                <w:u w:val="single"/>
                <w:lang w:val="lv-LV" w:eastAsia="lv-LV"/>
              </w:rPr>
              <w:t>līdz 2015.gada 30.jūnijam</w:t>
            </w:r>
            <w:r w:rsidR="00AD6A13" w:rsidRPr="007A5F87">
              <w:rPr>
                <w:rFonts w:eastAsia="Times New Roman"/>
                <w:sz w:val="24"/>
                <w:szCs w:val="24"/>
                <w:lang w:val="lv-LV" w:eastAsia="lv-LV"/>
              </w:rPr>
              <w:t>, tādējādi joprojām notiek projekta īstenošana.</w:t>
            </w:r>
          </w:p>
          <w:p w:rsidR="00B17E05" w:rsidRPr="007A5F87" w:rsidRDefault="000108DE" w:rsidP="00C66CCF">
            <w:pPr>
              <w:jc w:val="both"/>
              <w:rPr>
                <w:sz w:val="24"/>
                <w:szCs w:val="24"/>
                <w:lang w:val="lv-LV"/>
              </w:rPr>
            </w:pPr>
            <w:r w:rsidRPr="007A5F87">
              <w:rPr>
                <w:rFonts w:eastAsia="Times New Roman"/>
                <w:sz w:val="24"/>
                <w:szCs w:val="24"/>
                <w:lang w:val="lv-LV" w:eastAsia="lv-LV"/>
              </w:rPr>
              <w:t xml:space="preserve">Tā kā atbalsts aktivitātes ietvaros tiek piešķirts kā </w:t>
            </w:r>
            <w:proofErr w:type="spellStart"/>
            <w:r w:rsidRPr="007A5F87">
              <w:rPr>
                <w:rFonts w:eastAsia="Times New Roman"/>
                <w:i/>
                <w:sz w:val="24"/>
                <w:szCs w:val="24"/>
                <w:lang w:val="lv-LV" w:eastAsia="lv-LV"/>
              </w:rPr>
              <w:t>de</w:t>
            </w:r>
            <w:proofErr w:type="spellEnd"/>
            <w:r w:rsidRPr="007A5F87">
              <w:rPr>
                <w:rFonts w:eastAsia="Times New Roman"/>
                <w:i/>
                <w:sz w:val="24"/>
                <w:szCs w:val="24"/>
                <w:lang w:val="lv-LV" w:eastAsia="lv-LV"/>
              </w:rPr>
              <w:t xml:space="preserve"> </w:t>
            </w:r>
            <w:proofErr w:type="spellStart"/>
            <w:r w:rsidRPr="007A5F87">
              <w:rPr>
                <w:rFonts w:eastAsia="Times New Roman"/>
                <w:i/>
                <w:sz w:val="24"/>
                <w:szCs w:val="24"/>
                <w:lang w:val="lv-LV" w:eastAsia="lv-LV"/>
              </w:rPr>
              <w:t>minimis</w:t>
            </w:r>
            <w:proofErr w:type="spellEnd"/>
            <w:r w:rsidRPr="007A5F87">
              <w:rPr>
                <w:rFonts w:eastAsia="Times New Roman"/>
                <w:sz w:val="24"/>
                <w:szCs w:val="24"/>
                <w:lang w:val="lv-LV" w:eastAsia="lv-LV"/>
              </w:rPr>
              <w:t xml:space="preserve"> atbalsts, līdz šim </w:t>
            </w:r>
            <w:r w:rsidR="000B5972" w:rsidRPr="007A5F87">
              <w:rPr>
                <w:rFonts w:eastAsia="Times New Roman"/>
                <w:sz w:val="24"/>
                <w:szCs w:val="24"/>
                <w:lang w:val="lv-LV" w:eastAsia="lv-LV"/>
              </w:rPr>
              <w:t xml:space="preserve">atbalsta piešķiršana notika saskaņā ar </w:t>
            </w:r>
            <w:r w:rsidR="007E0942" w:rsidRPr="007A5F87">
              <w:rPr>
                <w:rFonts w:eastAsia="Times New Roman"/>
                <w:sz w:val="24"/>
                <w:szCs w:val="24"/>
                <w:lang w:val="lv-LV" w:eastAsia="lv-LV"/>
              </w:rPr>
              <w:t xml:space="preserve">2006.gada 15.decembra </w:t>
            </w:r>
            <w:r w:rsidR="000B5972" w:rsidRPr="007A5F87">
              <w:rPr>
                <w:rFonts w:eastAsia="Times New Roman"/>
                <w:sz w:val="24"/>
                <w:szCs w:val="24"/>
                <w:lang w:val="lv-LV" w:eastAsia="lv-LV"/>
              </w:rPr>
              <w:t xml:space="preserve">Komisijas Regulu (EK) </w:t>
            </w:r>
            <w:proofErr w:type="spellStart"/>
            <w:r w:rsidR="000B5972" w:rsidRPr="007A5F87">
              <w:rPr>
                <w:rFonts w:eastAsia="Times New Roman"/>
                <w:sz w:val="24"/>
                <w:szCs w:val="24"/>
                <w:lang w:val="lv-LV" w:eastAsia="lv-LV"/>
              </w:rPr>
              <w:t>Nr</w:t>
            </w:r>
            <w:proofErr w:type="spellEnd"/>
            <w:r w:rsidR="000B5972" w:rsidRPr="007A5F87">
              <w:rPr>
                <w:rFonts w:eastAsia="Times New Roman"/>
                <w:sz w:val="24"/>
                <w:szCs w:val="24"/>
                <w:lang w:val="lv-LV" w:eastAsia="lv-LV"/>
              </w:rPr>
              <w:t xml:space="preserve">. 1998/2006 par Līguma 87. un 88. panta piemērošanu </w:t>
            </w:r>
            <w:proofErr w:type="spellStart"/>
            <w:r w:rsidR="000B5972" w:rsidRPr="007A5F87">
              <w:rPr>
                <w:rFonts w:eastAsia="Times New Roman"/>
                <w:i/>
                <w:sz w:val="24"/>
                <w:szCs w:val="24"/>
                <w:lang w:val="lv-LV" w:eastAsia="lv-LV"/>
              </w:rPr>
              <w:t>de</w:t>
            </w:r>
            <w:proofErr w:type="spellEnd"/>
            <w:r w:rsidR="000B5972" w:rsidRPr="007A5F87">
              <w:rPr>
                <w:rFonts w:eastAsia="Times New Roman"/>
                <w:i/>
                <w:sz w:val="24"/>
                <w:szCs w:val="24"/>
                <w:lang w:val="lv-LV" w:eastAsia="lv-LV"/>
              </w:rPr>
              <w:t xml:space="preserve"> </w:t>
            </w:r>
            <w:proofErr w:type="spellStart"/>
            <w:r w:rsidR="000B5972" w:rsidRPr="007A5F87">
              <w:rPr>
                <w:rFonts w:eastAsia="Times New Roman"/>
                <w:i/>
                <w:sz w:val="24"/>
                <w:szCs w:val="24"/>
                <w:lang w:val="lv-LV" w:eastAsia="lv-LV"/>
              </w:rPr>
              <w:t>minimis</w:t>
            </w:r>
            <w:proofErr w:type="spellEnd"/>
            <w:r w:rsidR="000B5972" w:rsidRPr="007A5F87">
              <w:rPr>
                <w:rFonts w:eastAsia="Times New Roman"/>
                <w:sz w:val="24"/>
                <w:szCs w:val="24"/>
                <w:lang w:val="lv-LV" w:eastAsia="lv-LV"/>
              </w:rPr>
              <w:t xml:space="preserve"> atbalstam (turpmāk – Regula 1998/2006).</w:t>
            </w:r>
            <w:r w:rsidR="00556A8D" w:rsidRPr="007A5F87">
              <w:rPr>
                <w:rFonts w:eastAsia="Times New Roman"/>
                <w:sz w:val="24"/>
                <w:szCs w:val="24"/>
                <w:lang w:val="lv-LV" w:eastAsia="lv-LV"/>
              </w:rPr>
              <w:t xml:space="preserve"> Ņemot vērā Regulas Nr.1998/2006 6.pantu, kas nosaka, ka Regulu Nr.1998/2006 piemēro līdz 2013.gada 31.decembrim un 5.panta 3.punktu, </w:t>
            </w:r>
            <w:proofErr w:type="spellStart"/>
            <w:r w:rsidR="00556A8D" w:rsidRPr="007A5F87">
              <w:rPr>
                <w:sz w:val="24"/>
                <w:szCs w:val="24"/>
              </w:rPr>
              <w:t>kas</w:t>
            </w:r>
            <w:proofErr w:type="spellEnd"/>
            <w:r w:rsidR="00556A8D" w:rsidRPr="007A5F87">
              <w:rPr>
                <w:sz w:val="24"/>
                <w:szCs w:val="24"/>
              </w:rPr>
              <w:t xml:space="preserve"> </w:t>
            </w:r>
            <w:proofErr w:type="spellStart"/>
            <w:r w:rsidR="00556A8D" w:rsidRPr="007A5F87">
              <w:rPr>
                <w:sz w:val="24"/>
                <w:szCs w:val="24"/>
              </w:rPr>
              <w:t>nosaka</w:t>
            </w:r>
            <w:proofErr w:type="spellEnd"/>
            <w:r w:rsidR="00556A8D" w:rsidRPr="007A5F87">
              <w:rPr>
                <w:sz w:val="24"/>
                <w:szCs w:val="24"/>
              </w:rPr>
              <w:t xml:space="preserve">, </w:t>
            </w:r>
            <w:proofErr w:type="spellStart"/>
            <w:r w:rsidR="00556A8D" w:rsidRPr="007A5F87">
              <w:rPr>
                <w:sz w:val="24"/>
                <w:szCs w:val="24"/>
              </w:rPr>
              <w:t>ka</w:t>
            </w:r>
            <w:proofErr w:type="spellEnd"/>
            <w:r w:rsidR="00556A8D" w:rsidRPr="007A5F87">
              <w:rPr>
                <w:sz w:val="24"/>
                <w:szCs w:val="24"/>
              </w:rPr>
              <w:t xml:space="preserve"> </w:t>
            </w:r>
            <w:proofErr w:type="spellStart"/>
            <w:r w:rsidR="00556A8D" w:rsidRPr="007A5F87">
              <w:rPr>
                <w:sz w:val="24"/>
                <w:szCs w:val="24"/>
              </w:rPr>
              <w:t>Regulas</w:t>
            </w:r>
            <w:proofErr w:type="spellEnd"/>
            <w:r w:rsidR="00556A8D" w:rsidRPr="007A5F87">
              <w:rPr>
                <w:sz w:val="24"/>
                <w:szCs w:val="24"/>
              </w:rPr>
              <w:t xml:space="preserve"> Nr.1998/2006 </w:t>
            </w:r>
            <w:proofErr w:type="spellStart"/>
            <w:r w:rsidR="00556A8D" w:rsidRPr="007A5F87">
              <w:rPr>
                <w:sz w:val="24"/>
                <w:szCs w:val="24"/>
              </w:rPr>
              <w:t>spēkā</w:t>
            </w:r>
            <w:proofErr w:type="spellEnd"/>
            <w:r w:rsidR="00556A8D" w:rsidRPr="007A5F87">
              <w:rPr>
                <w:sz w:val="24"/>
                <w:szCs w:val="24"/>
              </w:rPr>
              <w:t xml:space="preserve"> </w:t>
            </w:r>
            <w:proofErr w:type="spellStart"/>
            <w:r w:rsidR="00556A8D" w:rsidRPr="007A5F87">
              <w:rPr>
                <w:sz w:val="24"/>
                <w:szCs w:val="24"/>
              </w:rPr>
              <w:t>esamības</w:t>
            </w:r>
            <w:proofErr w:type="spellEnd"/>
            <w:r w:rsidR="00556A8D" w:rsidRPr="007A5F87">
              <w:rPr>
                <w:sz w:val="24"/>
                <w:szCs w:val="24"/>
              </w:rPr>
              <w:t xml:space="preserve"> </w:t>
            </w:r>
            <w:proofErr w:type="spellStart"/>
            <w:r w:rsidR="00556A8D" w:rsidRPr="007A5F87">
              <w:rPr>
                <w:sz w:val="24"/>
                <w:szCs w:val="24"/>
              </w:rPr>
              <w:t>laika</w:t>
            </w:r>
            <w:proofErr w:type="spellEnd"/>
            <w:r w:rsidR="00556A8D" w:rsidRPr="007A5F87">
              <w:rPr>
                <w:sz w:val="24"/>
                <w:szCs w:val="24"/>
              </w:rPr>
              <w:t xml:space="preserve"> </w:t>
            </w:r>
            <w:proofErr w:type="spellStart"/>
            <w:r w:rsidR="00556A8D" w:rsidRPr="007A5F87">
              <w:rPr>
                <w:sz w:val="24"/>
                <w:szCs w:val="24"/>
              </w:rPr>
              <w:t>beigās</w:t>
            </w:r>
            <w:proofErr w:type="spellEnd"/>
            <w:r w:rsidR="00556A8D" w:rsidRPr="007A5F87">
              <w:rPr>
                <w:sz w:val="24"/>
                <w:szCs w:val="24"/>
              </w:rPr>
              <w:t xml:space="preserve"> </w:t>
            </w:r>
            <w:proofErr w:type="spellStart"/>
            <w:r w:rsidR="00556A8D" w:rsidRPr="007A5F87">
              <w:rPr>
                <w:sz w:val="24"/>
                <w:szCs w:val="24"/>
              </w:rPr>
              <w:t>jebkuru</w:t>
            </w:r>
            <w:proofErr w:type="spellEnd"/>
            <w:r w:rsidR="00556A8D" w:rsidRPr="007A5F87">
              <w:rPr>
                <w:sz w:val="24"/>
                <w:szCs w:val="24"/>
              </w:rPr>
              <w:t xml:space="preserve"> </w:t>
            </w:r>
            <w:r w:rsidR="00556A8D" w:rsidRPr="007A5F87">
              <w:rPr>
                <w:i/>
                <w:iCs/>
                <w:sz w:val="24"/>
                <w:szCs w:val="24"/>
              </w:rPr>
              <w:t xml:space="preserve">de </w:t>
            </w:r>
            <w:proofErr w:type="spellStart"/>
            <w:r w:rsidR="00556A8D" w:rsidRPr="007A5F87">
              <w:rPr>
                <w:i/>
                <w:iCs/>
                <w:sz w:val="24"/>
                <w:szCs w:val="24"/>
              </w:rPr>
              <w:t>minimis</w:t>
            </w:r>
            <w:proofErr w:type="spellEnd"/>
            <w:r w:rsidR="00556A8D" w:rsidRPr="007A5F87">
              <w:rPr>
                <w:sz w:val="24"/>
                <w:szCs w:val="24"/>
              </w:rPr>
              <w:t xml:space="preserve"> </w:t>
            </w:r>
            <w:proofErr w:type="spellStart"/>
            <w:r w:rsidR="00556A8D" w:rsidRPr="007A5F87">
              <w:rPr>
                <w:sz w:val="24"/>
                <w:szCs w:val="24"/>
              </w:rPr>
              <w:t>atbalstu</w:t>
            </w:r>
            <w:proofErr w:type="spellEnd"/>
            <w:r w:rsidR="00556A8D" w:rsidRPr="007A5F87">
              <w:rPr>
                <w:sz w:val="24"/>
                <w:szCs w:val="24"/>
              </w:rPr>
              <w:t xml:space="preserve">, </w:t>
            </w:r>
            <w:proofErr w:type="spellStart"/>
            <w:r w:rsidR="00556A8D" w:rsidRPr="007A5F87">
              <w:rPr>
                <w:sz w:val="24"/>
                <w:szCs w:val="24"/>
              </w:rPr>
              <w:t>kurš</w:t>
            </w:r>
            <w:proofErr w:type="spellEnd"/>
            <w:r w:rsidR="00556A8D" w:rsidRPr="007A5F87">
              <w:rPr>
                <w:sz w:val="24"/>
                <w:szCs w:val="24"/>
              </w:rPr>
              <w:t xml:space="preserve"> </w:t>
            </w:r>
            <w:proofErr w:type="spellStart"/>
            <w:r w:rsidR="00556A8D" w:rsidRPr="007A5F87">
              <w:rPr>
                <w:sz w:val="24"/>
                <w:szCs w:val="24"/>
              </w:rPr>
              <w:t>atbilst</w:t>
            </w:r>
            <w:proofErr w:type="spellEnd"/>
            <w:r w:rsidR="00556A8D" w:rsidRPr="007A5F87">
              <w:rPr>
                <w:sz w:val="24"/>
                <w:szCs w:val="24"/>
              </w:rPr>
              <w:t xml:space="preserve"> </w:t>
            </w:r>
            <w:proofErr w:type="spellStart"/>
            <w:r w:rsidR="00556A8D" w:rsidRPr="007A5F87">
              <w:rPr>
                <w:sz w:val="24"/>
                <w:szCs w:val="24"/>
              </w:rPr>
              <w:t>Regulas</w:t>
            </w:r>
            <w:proofErr w:type="spellEnd"/>
            <w:r w:rsidR="00556A8D" w:rsidRPr="007A5F87">
              <w:rPr>
                <w:sz w:val="24"/>
                <w:szCs w:val="24"/>
              </w:rPr>
              <w:t xml:space="preserve"> 1998/2006 </w:t>
            </w:r>
            <w:proofErr w:type="spellStart"/>
            <w:r w:rsidR="00556A8D" w:rsidRPr="007A5F87">
              <w:rPr>
                <w:sz w:val="24"/>
                <w:szCs w:val="24"/>
              </w:rPr>
              <w:t>nosacījumiem</w:t>
            </w:r>
            <w:proofErr w:type="spellEnd"/>
            <w:r w:rsidR="00556A8D" w:rsidRPr="007A5F87">
              <w:rPr>
                <w:sz w:val="24"/>
                <w:szCs w:val="24"/>
              </w:rPr>
              <w:t xml:space="preserve">, </w:t>
            </w:r>
            <w:proofErr w:type="spellStart"/>
            <w:r w:rsidR="00556A8D" w:rsidRPr="007A5F87">
              <w:rPr>
                <w:sz w:val="24"/>
                <w:szCs w:val="24"/>
              </w:rPr>
              <w:t>var</w:t>
            </w:r>
            <w:proofErr w:type="spellEnd"/>
            <w:r w:rsidR="00556A8D" w:rsidRPr="007A5F87">
              <w:rPr>
                <w:sz w:val="24"/>
                <w:szCs w:val="24"/>
              </w:rPr>
              <w:t xml:space="preserve"> </w:t>
            </w:r>
            <w:proofErr w:type="spellStart"/>
            <w:r w:rsidR="00556A8D" w:rsidRPr="007A5F87">
              <w:rPr>
                <w:sz w:val="24"/>
                <w:szCs w:val="24"/>
              </w:rPr>
              <w:t>likumīgi</w:t>
            </w:r>
            <w:proofErr w:type="spellEnd"/>
            <w:r w:rsidR="00556A8D" w:rsidRPr="007A5F87">
              <w:rPr>
                <w:sz w:val="24"/>
                <w:szCs w:val="24"/>
              </w:rPr>
              <w:t xml:space="preserve"> </w:t>
            </w:r>
            <w:proofErr w:type="spellStart"/>
            <w:r w:rsidR="00556A8D" w:rsidRPr="007A5F87">
              <w:rPr>
                <w:sz w:val="24"/>
                <w:szCs w:val="24"/>
              </w:rPr>
              <w:t>īstenot</w:t>
            </w:r>
            <w:proofErr w:type="spellEnd"/>
            <w:r w:rsidR="00556A8D" w:rsidRPr="007A5F87">
              <w:rPr>
                <w:sz w:val="24"/>
                <w:szCs w:val="24"/>
              </w:rPr>
              <w:t xml:space="preserve"> </w:t>
            </w:r>
            <w:proofErr w:type="spellStart"/>
            <w:r w:rsidR="00556A8D" w:rsidRPr="007A5F87">
              <w:rPr>
                <w:sz w:val="24"/>
                <w:szCs w:val="24"/>
              </w:rPr>
              <w:t>turpmākajos</w:t>
            </w:r>
            <w:proofErr w:type="spellEnd"/>
            <w:r w:rsidR="00556A8D" w:rsidRPr="007A5F87">
              <w:rPr>
                <w:sz w:val="24"/>
                <w:szCs w:val="24"/>
              </w:rPr>
              <w:t xml:space="preserve"> </w:t>
            </w:r>
            <w:proofErr w:type="spellStart"/>
            <w:r w:rsidR="00556A8D" w:rsidRPr="007A5F87">
              <w:rPr>
                <w:sz w:val="24"/>
                <w:szCs w:val="24"/>
              </w:rPr>
              <w:t>sešos</w:t>
            </w:r>
            <w:proofErr w:type="spellEnd"/>
            <w:r w:rsidR="00556A8D" w:rsidRPr="007A5F87">
              <w:rPr>
                <w:sz w:val="24"/>
                <w:szCs w:val="24"/>
              </w:rPr>
              <w:t xml:space="preserve"> </w:t>
            </w:r>
            <w:proofErr w:type="spellStart"/>
            <w:r w:rsidR="00556A8D" w:rsidRPr="007A5F87">
              <w:rPr>
                <w:sz w:val="24"/>
                <w:szCs w:val="24"/>
              </w:rPr>
              <w:t>mēnešos</w:t>
            </w:r>
            <w:proofErr w:type="spellEnd"/>
            <w:r w:rsidR="00556A8D" w:rsidRPr="007A5F87">
              <w:rPr>
                <w:sz w:val="24"/>
                <w:szCs w:val="24"/>
              </w:rPr>
              <w:t xml:space="preserve">, </w:t>
            </w:r>
            <w:proofErr w:type="spellStart"/>
            <w:r w:rsidR="00556A8D" w:rsidRPr="007A5F87">
              <w:rPr>
                <w:sz w:val="24"/>
                <w:szCs w:val="24"/>
              </w:rPr>
              <w:t>ar</w:t>
            </w:r>
            <w:proofErr w:type="spellEnd"/>
            <w:r w:rsidR="00556A8D" w:rsidRPr="007A5F87">
              <w:rPr>
                <w:sz w:val="24"/>
                <w:szCs w:val="24"/>
              </w:rPr>
              <w:t xml:space="preserve"> 2013.gada 10.decembra </w:t>
            </w:r>
            <w:proofErr w:type="spellStart"/>
            <w:r w:rsidR="008B4DC1" w:rsidRPr="007A5F87">
              <w:rPr>
                <w:sz w:val="24"/>
                <w:szCs w:val="24"/>
              </w:rPr>
              <w:t>grozījumiem</w:t>
            </w:r>
            <w:proofErr w:type="spellEnd"/>
            <w:r w:rsidR="008B4DC1" w:rsidRPr="007A5F87">
              <w:rPr>
                <w:sz w:val="24"/>
                <w:szCs w:val="24"/>
              </w:rPr>
              <w:t xml:space="preserve"> MK </w:t>
            </w:r>
            <w:proofErr w:type="spellStart"/>
            <w:r w:rsidR="008B4DC1" w:rsidRPr="007A5F87">
              <w:rPr>
                <w:sz w:val="24"/>
                <w:szCs w:val="24"/>
              </w:rPr>
              <w:t>noteikumos</w:t>
            </w:r>
            <w:proofErr w:type="spellEnd"/>
            <w:r w:rsidR="008B4DC1" w:rsidRPr="007A5F87">
              <w:rPr>
                <w:sz w:val="24"/>
                <w:szCs w:val="24"/>
              </w:rPr>
              <w:t xml:space="preserve"> Nr.293,</w:t>
            </w:r>
            <w:r w:rsidR="00A4124F" w:rsidRPr="007A5F87">
              <w:rPr>
                <w:rFonts w:eastAsia="Times New Roman"/>
                <w:sz w:val="24"/>
                <w:szCs w:val="24"/>
                <w:lang w:val="lv-LV" w:eastAsia="lv-LV"/>
              </w:rPr>
              <w:t xml:space="preserve"> </w:t>
            </w:r>
            <w:r w:rsidR="008B4DC1" w:rsidRPr="007A5F87">
              <w:rPr>
                <w:rFonts w:eastAsia="Times New Roman"/>
                <w:sz w:val="24"/>
                <w:szCs w:val="24"/>
                <w:lang w:val="lv-LV" w:eastAsia="lv-LV"/>
              </w:rPr>
              <w:t xml:space="preserve">tika pagarināts aizdevuma un procentu likmes subsīdijas piešķiršanas termiņš līdz 2014.gada 30.jūnijam. </w:t>
            </w:r>
            <w:r w:rsidR="00A4124F" w:rsidRPr="007A5F87">
              <w:rPr>
                <w:sz w:val="24"/>
                <w:szCs w:val="24"/>
                <w:lang w:val="lv-LV"/>
              </w:rPr>
              <w:t xml:space="preserve">Ņemot vērā, ka 2013.gada 18.decembrī stājās spēkā </w:t>
            </w:r>
            <w:r w:rsidRPr="007A5F87">
              <w:rPr>
                <w:sz w:val="24"/>
                <w:szCs w:val="24"/>
                <w:lang w:val="lv-LV"/>
              </w:rPr>
              <w:t xml:space="preserve">jaunais </w:t>
            </w:r>
            <w:proofErr w:type="spellStart"/>
            <w:r w:rsidRPr="007A5F87">
              <w:rPr>
                <w:i/>
                <w:sz w:val="24"/>
                <w:szCs w:val="24"/>
                <w:lang w:val="lv-LV"/>
              </w:rPr>
              <w:t>de</w:t>
            </w:r>
            <w:proofErr w:type="spellEnd"/>
            <w:r w:rsidRPr="007A5F87">
              <w:rPr>
                <w:i/>
                <w:sz w:val="24"/>
                <w:szCs w:val="24"/>
                <w:lang w:val="lv-LV"/>
              </w:rPr>
              <w:t xml:space="preserve"> </w:t>
            </w:r>
            <w:proofErr w:type="spellStart"/>
            <w:r w:rsidRPr="007A5F87">
              <w:rPr>
                <w:i/>
                <w:sz w:val="24"/>
                <w:szCs w:val="24"/>
                <w:lang w:val="lv-LV"/>
              </w:rPr>
              <w:t>minimis</w:t>
            </w:r>
            <w:proofErr w:type="spellEnd"/>
            <w:r w:rsidRPr="007A5F87">
              <w:rPr>
                <w:sz w:val="24"/>
                <w:szCs w:val="24"/>
                <w:lang w:val="lv-LV"/>
              </w:rPr>
              <w:t xml:space="preserve"> atbalsta regulējums </w:t>
            </w:r>
            <w:r w:rsidRPr="007A5F87">
              <w:rPr>
                <w:i/>
                <w:sz w:val="24"/>
                <w:szCs w:val="24"/>
                <w:lang w:val="lv-LV"/>
              </w:rPr>
              <w:t>-</w:t>
            </w:r>
            <w:r w:rsidR="00A4124F" w:rsidRPr="007A5F87">
              <w:rPr>
                <w:sz w:val="24"/>
                <w:szCs w:val="24"/>
                <w:lang w:val="lv-LV"/>
              </w:rPr>
              <w:t xml:space="preserve">  </w:t>
            </w:r>
            <w:r w:rsidR="007E0942" w:rsidRPr="007A5F87">
              <w:rPr>
                <w:sz w:val="24"/>
                <w:szCs w:val="24"/>
              </w:rPr>
              <w:t xml:space="preserve">2013.gada 18.decembra </w:t>
            </w:r>
            <w:proofErr w:type="spellStart"/>
            <w:r w:rsidR="00A4124F" w:rsidRPr="007A5F87">
              <w:rPr>
                <w:sz w:val="24"/>
                <w:szCs w:val="24"/>
              </w:rPr>
              <w:t>Komisijas</w:t>
            </w:r>
            <w:proofErr w:type="spellEnd"/>
            <w:r w:rsidR="00A4124F" w:rsidRPr="007A5F87">
              <w:rPr>
                <w:sz w:val="24"/>
                <w:szCs w:val="24"/>
              </w:rPr>
              <w:t xml:space="preserve"> </w:t>
            </w:r>
            <w:proofErr w:type="spellStart"/>
            <w:r w:rsidR="00A4124F" w:rsidRPr="007A5F87">
              <w:rPr>
                <w:sz w:val="24"/>
                <w:szCs w:val="24"/>
              </w:rPr>
              <w:t>Regula</w:t>
            </w:r>
            <w:proofErr w:type="spellEnd"/>
            <w:r w:rsidR="00A4124F" w:rsidRPr="007A5F87">
              <w:rPr>
                <w:sz w:val="24"/>
                <w:szCs w:val="24"/>
              </w:rPr>
              <w:t xml:space="preserve"> (EK) Nr. 1407/2013 par </w:t>
            </w:r>
            <w:proofErr w:type="spellStart"/>
            <w:r w:rsidR="00A4124F" w:rsidRPr="007A5F87">
              <w:rPr>
                <w:sz w:val="24"/>
                <w:szCs w:val="24"/>
              </w:rPr>
              <w:t>Līguma</w:t>
            </w:r>
            <w:proofErr w:type="spellEnd"/>
            <w:r w:rsidR="00A4124F" w:rsidRPr="007A5F87">
              <w:rPr>
                <w:sz w:val="24"/>
                <w:szCs w:val="24"/>
              </w:rPr>
              <w:t xml:space="preserve"> par </w:t>
            </w:r>
            <w:proofErr w:type="spellStart"/>
            <w:r w:rsidR="00A4124F" w:rsidRPr="007A5F87">
              <w:rPr>
                <w:sz w:val="24"/>
                <w:szCs w:val="24"/>
              </w:rPr>
              <w:t>Eiropas</w:t>
            </w:r>
            <w:proofErr w:type="spellEnd"/>
            <w:r w:rsidR="00A4124F" w:rsidRPr="007A5F87">
              <w:rPr>
                <w:sz w:val="24"/>
                <w:szCs w:val="24"/>
              </w:rPr>
              <w:t xml:space="preserve"> </w:t>
            </w:r>
            <w:proofErr w:type="spellStart"/>
            <w:r w:rsidR="00A4124F" w:rsidRPr="007A5F87">
              <w:rPr>
                <w:sz w:val="24"/>
                <w:szCs w:val="24"/>
              </w:rPr>
              <w:t>Savienības</w:t>
            </w:r>
            <w:proofErr w:type="spellEnd"/>
            <w:r w:rsidR="00A4124F" w:rsidRPr="007A5F87">
              <w:rPr>
                <w:sz w:val="24"/>
                <w:szCs w:val="24"/>
              </w:rPr>
              <w:t xml:space="preserve"> </w:t>
            </w:r>
            <w:proofErr w:type="spellStart"/>
            <w:r w:rsidR="00A4124F" w:rsidRPr="007A5F87">
              <w:rPr>
                <w:sz w:val="24"/>
                <w:szCs w:val="24"/>
              </w:rPr>
              <w:t>darbību</w:t>
            </w:r>
            <w:proofErr w:type="spellEnd"/>
            <w:r w:rsidR="00A4124F" w:rsidRPr="007A5F87">
              <w:rPr>
                <w:sz w:val="24"/>
                <w:szCs w:val="24"/>
              </w:rPr>
              <w:t xml:space="preserve"> 107. </w:t>
            </w:r>
            <w:proofErr w:type="gramStart"/>
            <w:r w:rsidR="00A4124F" w:rsidRPr="007A5F87">
              <w:rPr>
                <w:sz w:val="24"/>
                <w:szCs w:val="24"/>
              </w:rPr>
              <w:t>un</w:t>
            </w:r>
            <w:proofErr w:type="gramEnd"/>
            <w:r w:rsidR="00A4124F" w:rsidRPr="007A5F87">
              <w:rPr>
                <w:sz w:val="24"/>
                <w:szCs w:val="24"/>
              </w:rPr>
              <w:t xml:space="preserve"> 108.panta </w:t>
            </w:r>
            <w:proofErr w:type="spellStart"/>
            <w:r w:rsidR="00A4124F" w:rsidRPr="007A5F87">
              <w:rPr>
                <w:sz w:val="24"/>
                <w:szCs w:val="24"/>
              </w:rPr>
              <w:t>piemērošanu</w:t>
            </w:r>
            <w:proofErr w:type="spellEnd"/>
            <w:r w:rsidR="00A4124F" w:rsidRPr="007A5F87">
              <w:rPr>
                <w:sz w:val="24"/>
                <w:szCs w:val="24"/>
              </w:rPr>
              <w:t xml:space="preserve"> </w:t>
            </w:r>
            <w:r w:rsidR="00A4124F" w:rsidRPr="007A5F87">
              <w:rPr>
                <w:i/>
                <w:sz w:val="24"/>
                <w:szCs w:val="24"/>
              </w:rPr>
              <w:t xml:space="preserve">de </w:t>
            </w:r>
            <w:proofErr w:type="spellStart"/>
            <w:r w:rsidR="00A4124F" w:rsidRPr="007A5F87">
              <w:rPr>
                <w:i/>
                <w:sz w:val="24"/>
                <w:szCs w:val="24"/>
              </w:rPr>
              <w:t>minimis</w:t>
            </w:r>
            <w:proofErr w:type="spellEnd"/>
            <w:r w:rsidR="00A4124F" w:rsidRPr="007A5F87">
              <w:rPr>
                <w:sz w:val="24"/>
                <w:szCs w:val="24"/>
              </w:rPr>
              <w:t xml:space="preserve"> </w:t>
            </w:r>
            <w:proofErr w:type="spellStart"/>
            <w:r w:rsidR="00A4124F" w:rsidRPr="007A5F87">
              <w:rPr>
                <w:sz w:val="24"/>
                <w:szCs w:val="24"/>
              </w:rPr>
              <w:t>atbalstam</w:t>
            </w:r>
            <w:proofErr w:type="spellEnd"/>
            <w:r w:rsidR="00A4124F" w:rsidRPr="007A5F87">
              <w:rPr>
                <w:sz w:val="24"/>
                <w:szCs w:val="24"/>
              </w:rPr>
              <w:t xml:space="preserve"> (</w:t>
            </w:r>
            <w:proofErr w:type="spellStart"/>
            <w:r w:rsidR="00A4124F" w:rsidRPr="007A5F87">
              <w:rPr>
                <w:sz w:val="24"/>
                <w:szCs w:val="24"/>
              </w:rPr>
              <w:t>Eiropas</w:t>
            </w:r>
            <w:proofErr w:type="spellEnd"/>
            <w:r w:rsidR="00A4124F" w:rsidRPr="007A5F87">
              <w:rPr>
                <w:sz w:val="24"/>
                <w:szCs w:val="24"/>
              </w:rPr>
              <w:t xml:space="preserve"> </w:t>
            </w:r>
            <w:proofErr w:type="spellStart"/>
            <w:r w:rsidR="00A4124F" w:rsidRPr="007A5F87">
              <w:rPr>
                <w:sz w:val="24"/>
                <w:szCs w:val="24"/>
              </w:rPr>
              <w:t>Savienības</w:t>
            </w:r>
            <w:proofErr w:type="spellEnd"/>
            <w:r w:rsidR="00A4124F" w:rsidRPr="007A5F87">
              <w:rPr>
                <w:sz w:val="24"/>
                <w:szCs w:val="24"/>
              </w:rPr>
              <w:t xml:space="preserve"> </w:t>
            </w:r>
            <w:proofErr w:type="spellStart"/>
            <w:r w:rsidR="00A4124F" w:rsidRPr="007A5F87">
              <w:rPr>
                <w:sz w:val="24"/>
                <w:szCs w:val="24"/>
              </w:rPr>
              <w:t>Oficiālais</w:t>
            </w:r>
            <w:proofErr w:type="spellEnd"/>
            <w:r w:rsidR="00A4124F" w:rsidRPr="007A5F87">
              <w:rPr>
                <w:sz w:val="24"/>
                <w:szCs w:val="24"/>
              </w:rPr>
              <w:t xml:space="preserve"> </w:t>
            </w:r>
            <w:proofErr w:type="spellStart"/>
            <w:r w:rsidR="00A4124F" w:rsidRPr="007A5F87">
              <w:rPr>
                <w:sz w:val="24"/>
                <w:szCs w:val="24"/>
              </w:rPr>
              <w:t>Vēstnesis</w:t>
            </w:r>
            <w:proofErr w:type="spellEnd"/>
            <w:r w:rsidR="00A4124F" w:rsidRPr="007A5F87">
              <w:rPr>
                <w:sz w:val="24"/>
                <w:szCs w:val="24"/>
              </w:rPr>
              <w:t>, 2013.gada 24.decembris, Nr. L 352) (</w:t>
            </w:r>
            <w:proofErr w:type="spellStart"/>
            <w:r w:rsidR="00A4124F" w:rsidRPr="007A5F87">
              <w:rPr>
                <w:sz w:val="24"/>
                <w:szCs w:val="24"/>
              </w:rPr>
              <w:t>turpmāk</w:t>
            </w:r>
            <w:proofErr w:type="spellEnd"/>
            <w:r w:rsidR="00A4124F" w:rsidRPr="007A5F87">
              <w:rPr>
                <w:sz w:val="24"/>
                <w:szCs w:val="24"/>
              </w:rPr>
              <w:t xml:space="preserve"> – </w:t>
            </w:r>
            <w:proofErr w:type="spellStart"/>
            <w:r w:rsidR="00A4124F" w:rsidRPr="007A5F87">
              <w:rPr>
                <w:sz w:val="24"/>
                <w:szCs w:val="24"/>
              </w:rPr>
              <w:t>Komisijas</w:t>
            </w:r>
            <w:proofErr w:type="spellEnd"/>
            <w:r w:rsidR="00A4124F" w:rsidRPr="007A5F87">
              <w:rPr>
                <w:sz w:val="24"/>
                <w:szCs w:val="24"/>
              </w:rPr>
              <w:t xml:space="preserve"> </w:t>
            </w:r>
            <w:proofErr w:type="spellStart"/>
            <w:r w:rsidR="00A4124F" w:rsidRPr="007A5F87">
              <w:rPr>
                <w:sz w:val="24"/>
                <w:szCs w:val="24"/>
              </w:rPr>
              <w:t>Regula</w:t>
            </w:r>
            <w:proofErr w:type="spellEnd"/>
            <w:r w:rsidR="00A4124F" w:rsidRPr="007A5F87">
              <w:rPr>
                <w:sz w:val="24"/>
                <w:szCs w:val="24"/>
              </w:rPr>
              <w:t xml:space="preserve"> Nr. 1407/2013), </w:t>
            </w:r>
            <w:proofErr w:type="spellStart"/>
            <w:r w:rsidR="00A4124F" w:rsidRPr="007A5F87">
              <w:rPr>
                <w:sz w:val="24"/>
                <w:szCs w:val="24"/>
              </w:rPr>
              <w:t>Ekonomikas</w:t>
            </w:r>
            <w:proofErr w:type="spellEnd"/>
            <w:r w:rsidR="00A4124F" w:rsidRPr="007A5F87">
              <w:rPr>
                <w:sz w:val="24"/>
                <w:szCs w:val="24"/>
              </w:rPr>
              <w:t xml:space="preserve"> </w:t>
            </w:r>
            <w:proofErr w:type="spellStart"/>
            <w:r w:rsidR="00A4124F" w:rsidRPr="007A5F87">
              <w:rPr>
                <w:sz w:val="24"/>
                <w:szCs w:val="24"/>
              </w:rPr>
              <w:t>ministrija</w:t>
            </w:r>
            <w:proofErr w:type="spellEnd"/>
            <w:r w:rsidR="00A4124F" w:rsidRPr="007A5F87">
              <w:rPr>
                <w:sz w:val="24"/>
                <w:szCs w:val="24"/>
              </w:rPr>
              <w:t xml:space="preserve"> </w:t>
            </w:r>
            <w:r w:rsidR="00953598" w:rsidRPr="007A5F87">
              <w:rPr>
                <w:sz w:val="24"/>
                <w:szCs w:val="24"/>
              </w:rPr>
              <w:t>(</w:t>
            </w:r>
            <w:proofErr w:type="spellStart"/>
            <w:r w:rsidR="00953598" w:rsidRPr="007A5F87">
              <w:rPr>
                <w:sz w:val="24"/>
                <w:szCs w:val="24"/>
              </w:rPr>
              <w:t>turpmāk</w:t>
            </w:r>
            <w:proofErr w:type="spellEnd"/>
            <w:r w:rsidR="00953598" w:rsidRPr="007A5F87">
              <w:rPr>
                <w:sz w:val="24"/>
                <w:szCs w:val="24"/>
              </w:rPr>
              <w:t xml:space="preserve"> – EM) </w:t>
            </w:r>
            <w:proofErr w:type="spellStart"/>
            <w:r w:rsidR="00A4124F" w:rsidRPr="007A5F87">
              <w:rPr>
                <w:sz w:val="24"/>
                <w:szCs w:val="24"/>
              </w:rPr>
              <w:t>ir</w:t>
            </w:r>
            <w:proofErr w:type="spellEnd"/>
            <w:r w:rsidR="00A4124F" w:rsidRPr="007A5F87">
              <w:rPr>
                <w:sz w:val="24"/>
                <w:szCs w:val="24"/>
              </w:rPr>
              <w:t xml:space="preserve"> </w:t>
            </w:r>
            <w:proofErr w:type="spellStart"/>
            <w:r w:rsidR="00A4124F" w:rsidRPr="007A5F87">
              <w:rPr>
                <w:sz w:val="24"/>
                <w:szCs w:val="24"/>
              </w:rPr>
              <w:t>veikusi</w:t>
            </w:r>
            <w:proofErr w:type="spellEnd"/>
            <w:r w:rsidR="00A4124F" w:rsidRPr="007A5F87">
              <w:rPr>
                <w:sz w:val="24"/>
                <w:szCs w:val="24"/>
              </w:rPr>
              <w:t xml:space="preserve"> </w:t>
            </w:r>
            <w:proofErr w:type="spellStart"/>
            <w:r w:rsidR="00A4124F" w:rsidRPr="007A5F87">
              <w:rPr>
                <w:sz w:val="24"/>
                <w:szCs w:val="24"/>
              </w:rPr>
              <w:t>grozījumus</w:t>
            </w:r>
            <w:proofErr w:type="spellEnd"/>
            <w:r w:rsidR="00A4124F" w:rsidRPr="007A5F87">
              <w:rPr>
                <w:sz w:val="24"/>
                <w:szCs w:val="24"/>
              </w:rPr>
              <w:t xml:space="preserve"> </w:t>
            </w:r>
            <w:r w:rsidR="00A4124F" w:rsidRPr="007A5F87">
              <w:rPr>
                <w:sz w:val="24"/>
                <w:szCs w:val="24"/>
                <w:lang w:val="lv-LV"/>
              </w:rPr>
              <w:t>MK noteikumos Nr.293, pielāgojot</w:t>
            </w:r>
            <w:r w:rsidRPr="007A5F87">
              <w:rPr>
                <w:sz w:val="24"/>
                <w:szCs w:val="24"/>
                <w:lang w:val="lv-LV"/>
              </w:rPr>
              <w:t xml:space="preserve"> noteikumu regulējumu</w:t>
            </w:r>
            <w:r w:rsidR="00A4124F" w:rsidRPr="007A5F87">
              <w:rPr>
                <w:sz w:val="24"/>
                <w:szCs w:val="24"/>
                <w:lang w:val="lv-LV"/>
              </w:rPr>
              <w:t xml:space="preserve"> </w:t>
            </w:r>
            <w:r w:rsidR="00A4124F" w:rsidRPr="007A5F87">
              <w:rPr>
                <w:sz w:val="24"/>
                <w:szCs w:val="24"/>
                <w:lang w:val="lv-LV"/>
              </w:rPr>
              <w:lastRenderedPageBreak/>
              <w:t xml:space="preserve">Komisijas </w:t>
            </w:r>
            <w:r w:rsidRPr="007A5F87">
              <w:rPr>
                <w:sz w:val="24"/>
                <w:szCs w:val="24"/>
                <w:lang w:val="lv-LV"/>
              </w:rPr>
              <w:t xml:space="preserve">Regulai </w:t>
            </w:r>
            <w:r w:rsidR="00A4124F" w:rsidRPr="007A5F87">
              <w:rPr>
                <w:sz w:val="24"/>
                <w:szCs w:val="24"/>
                <w:lang w:val="lv-LV"/>
              </w:rPr>
              <w:t xml:space="preserve">Nr.1407/2013, kā arī </w:t>
            </w:r>
            <w:r w:rsidR="00A4124F" w:rsidRPr="007A5F87">
              <w:rPr>
                <w:b/>
                <w:sz w:val="24"/>
                <w:szCs w:val="24"/>
                <w:u w:val="single"/>
                <w:lang w:val="lv-LV"/>
              </w:rPr>
              <w:t xml:space="preserve">pagarinājusi </w:t>
            </w:r>
            <w:r w:rsidR="008B4DC1" w:rsidRPr="007A5F87">
              <w:rPr>
                <w:rFonts w:eastAsia="Times New Roman"/>
                <w:b/>
                <w:sz w:val="24"/>
                <w:szCs w:val="24"/>
                <w:u w:val="single"/>
                <w:lang w:val="lv-LV" w:eastAsia="lv-LV"/>
              </w:rPr>
              <w:t xml:space="preserve">aizdevuma un procentu likmes subsīdijas piešķiršanas </w:t>
            </w:r>
            <w:r w:rsidR="00A4124F" w:rsidRPr="007A5F87">
              <w:rPr>
                <w:b/>
                <w:sz w:val="24"/>
                <w:szCs w:val="24"/>
                <w:u w:val="single"/>
                <w:lang w:val="lv-LV"/>
              </w:rPr>
              <w:t>termiņu līdz 2015.gada 30.jūnijam.</w:t>
            </w:r>
            <w:r w:rsidR="00B17E05" w:rsidRPr="007A5F87">
              <w:rPr>
                <w:sz w:val="24"/>
                <w:szCs w:val="24"/>
                <w:lang w:val="lv-LV"/>
              </w:rPr>
              <w:t xml:space="preserve"> </w:t>
            </w:r>
            <w:r w:rsidR="007B31F2" w:rsidRPr="007B31F2">
              <w:rPr>
                <w:sz w:val="24"/>
                <w:szCs w:val="24"/>
                <w:lang w:val="lv-LV"/>
              </w:rPr>
              <w:t xml:space="preserve">Regulas Nr.1407/2013 nosacījumi ir saskanīgi ar Regulas Nr.1998/2006 nosacījumiem, turklāt atšķirībā no Regulas Nr.1998/2006 Regulā Nr.1407/2013 kā  vienīgais ierobežojums atbalsta saņemšanai ir  gadījumā, ja uzņēmumam piemērots maksātnespējas process vai tas neatbilst normatīvajos aktos noteiktiem kritērijiem, lai tam pēc kreditoru pieprasījuma piemērotu kolektīvu maksātnespējas procedūru </w:t>
            </w:r>
            <w:r w:rsidR="00236878" w:rsidRPr="007A5F87">
              <w:rPr>
                <w:sz w:val="24"/>
                <w:szCs w:val="24"/>
              </w:rPr>
              <w:t>(</w:t>
            </w:r>
            <w:proofErr w:type="spellStart"/>
            <w:r w:rsidR="00D01664">
              <w:rPr>
                <w:sz w:val="24"/>
                <w:szCs w:val="24"/>
              </w:rPr>
              <w:t>paredzēts</w:t>
            </w:r>
            <w:proofErr w:type="spellEnd"/>
            <w:r w:rsidR="00D01664">
              <w:rPr>
                <w:sz w:val="24"/>
                <w:szCs w:val="24"/>
              </w:rPr>
              <w:t xml:space="preserve"> MK </w:t>
            </w:r>
            <w:proofErr w:type="spellStart"/>
            <w:r w:rsidR="00D01664">
              <w:rPr>
                <w:sz w:val="24"/>
                <w:szCs w:val="24"/>
              </w:rPr>
              <w:t>notei</w:t>
            </w:r>
            <w:r w:rsidRPr="007A5F87">
              <w:rPr>
                <w:sz w:val="24"/>
                <w:szCs w:val="24"/>
              </w:rPr>
              <w:t>kumu</w:t>
            </w:r>
            <w:proofErr w:type="spellEnd"/>
            <w:r w:rsidRPr="007A5F87">
              <w:rPr>
                <w:sz w:val="24"/>
                <w:szCs w:val="24"/>
              </w:rPr>
              <w:t xml:space="preserve"> Nr.293 </w:t>
            </w:r>
            <w:r w:rsidR="00236878" w:rsidRPr="007A5F87">
              <w:rPr>
                <w:sz w:val="24"/>
                <w:szCs w:val="24"/>
              </w:rPr>
              <w:t>72.1.</w:t>
            </w:r>
            <w:r w:rsidRPr="007A5F87">
              <w:rPr>
                <w:sz w:val="24"/>
                <w:szCs w:val="24"/>
              </w:rPr>
              <w:t>punktā</w:t>
            </w:r>
            <w:r w:rsidR="00236878" w:rsidRPr="007A5F87">
              <w:rPr>
                <w:sz w:val="24"/>
                <w:szCs w:val="24"/>
                <w:lang w:val="lv-LV"/>
              </w:rPr>
              <w:t>).</w:t>
            </w:r>
          </w:p>
          <w:p w:rsidR="00953598" w:rsidRPr="007A5F87" w:rsidRDefault="00953598" w:rsidP="00C66CCF">
            <w:pPr>
              <w:jc w:val="both"/>
              <w:rPr>
                <w:sz w:val="24"/>
                <w:szCs w:val="24"/>
                <w:lang w:val="lv-LV"/>
              </w:rPr>
            </w:pPr>
            <w:r w:rsidRPr="007A5F87">
              <w:rPr>
                <w:sz w:val="24"/>
                <w:szCs w:val="24"/>
                <w:lang w:val="lv-LV"/>
              </w:rPr>
              <w:t xml:space="preserve">Ņemot vērā, ka Regula Nr.1998/2006 ir spēkā līdz 2014.gada 30.jūnijam, ar grozījumiem MK noteikumos Nr.293 EM ierosina, ka attiecīgie MK noteikumu Nr.293 punkti par jauno </w:t>
            </w:r>
            <w:proofErr w:type="spellStart"/>
            <w:r w:rsidRPr="007A5F87">
              <w:rPr>
                <w:i/>
                <w:sz w:val="24"/>
                <w:szCs w:val="24"/>
                <w:lang w:val="lv-LV"/>
              </w:rPr>
              <w:t>de</w:t>
            </w:r>
            <w:proofErr w:type="spellEnd"/>
            <w:r w:rsidRPr="007A5F87">
              <w:rPr>
                <w:i/>
                <w:sz w:val="24"/>
                <w:szCs w:val="24"/>
                <w:lang w:val="lv-LV"/>
              </w:rPr>
              <w:t xml:space="preserve"> </w:t>
            </w:r>
            <w:proofErr w:type="spellStart"/>
            <w:r w:rsidRPr="007A5F87">
              <w:rPr>
                <w:i/>
                <w:sz w:val="24"/>
                <w:szCs w:val="24"/>
                <w:lang w:val="lv-LV"/>
              </w:rPr>
              <w:t>minimis</w:t>
            </w:r>
            <w:proofErr w:type="spellEnd"/>
            <w:r w:rsidRPr="007A5F87">
              <w:rPr>
                <w:sz w:val="24"/>
                <w:szCs w:val="24"/>
                <w:lang w:val="lv-LV"/>
              </w:rPr>
              <w:t xml:space="preserve"> regulas Nr.1407/2013 piemērošanu stājas spēkā 2014.gada 1.jūlijā.</w:t>
            </w:r>
          </w:p>
          <w:p w:rsidR="00AB0653" w:rsidRPr="007A5F87" w:rsidRDefault="000108DE" w:rsidP="00C66CCF">
            <w:pPr>
              <w:jc w:val="both"/>
              <w:rPr>
                <w:sz w:val="24"/>
                <w:szCs w:val="24"/>
                <w:lang w:val="lv-LV"/>
              </w:rPr>
            </w:pPr>
            <w:r w:rsidRPr="007A5F87">
              <w:rPr>
                <w:sz w:val="24"/>
                <w:szCs w:val="24"/>
                <w:lang w:val="lv-LV"/>
              </w:rPr>
              <w:t xml:space="preserve">Periodā līdz 2014.gada </w:t>
            </w:r>
            <w:r w:rsidR="00AB0653" w:rsidRPr="007A5F87">
              <w:rPr>
                <w:sz w:val="24"/>
                <w:szCs w:val="24"/>
                <w:lang w:val="lv-LV"/>
              </w:rPr>
              <w:t>1.</w:t>
            </w:r>
            <w:r w:rsidRPr="007A5F87">
              <w:rPr>
                <w:sz w:val="24"/>
                <w:szCs w:val="24"/>
                <w:lang w:val="lv-LV"/>
              </w:rPr>
              <w:t xml:space="preserve">martam </w:t>
            </w:r>
            <w:r w:rsidR="00AB0653" w:rsidRPr="007A5F87">
              <w:rPr>
                <w:sz w:val="24"/>
                <w:szCs w:val="24"/>
                <w:lang w:val="lv-LV"/>
              </w:rPr>
              <w:t xml:space="preserve">ALTUM bija apstiprinājusi 1204 pieteikumus par kopējo finansējumu 21 739 337 </w:t>
            </w:r>
            <w:proofErr w:type="spellStart"/>
            <w:r w:rsidR="00AB0653" w:rsidRPr="007A5F87">
              <w:rPr>
                <w:i/>
                <w:sz w:val="24"/>
                <w:szCs w:val="24"/>
                <w:lang w:val="lv-LV"/>
              </w:rPr>
              <w:t>euro</w:t>
            </w:r>
            <w:proofErr w:type="spellEnd"/>
            <w:r w:rsidR="00AB0653" w:rsidRPr="007A5F87">
              <w:rPr>
                <w:sz w:val="24"/>
                <w:szCs w:val="24"/>
                <w:lang w:val="lv-LV"/>
              </w:rPr>
              <w:t xml:space="preserve">, kas attiecīgi sadalās 9 332 511 </w:t>
            </w:r>
            <w:proofErr w:type="spellStart"/>
            <w:r w:rsidR="00AB0653" w:rsidRPr="007A5F87">
              <w:rPr>
                <w:i/>
                <w:sz w:val="24"/>
                <w:szCs w:val="24"/>
                <w:lang w:val="lv-LV"/>
              </w:rPr>
              <w:t>euro</w:t>
            </w:r>
            <w:proofErr w:type="spellEnd"/>
            <w:r w:rsidR="00AB0653" w:rsidRPr="007A5F87">
              <w:rPr>
                <w:sz w:val="24"/>
                <w:szCs w:val="24"/>
                <w:lang w:val="lv-LV"/>
              </w:rPr>
              <w:t xml:space="preserve"> Eiropas Sociālā fonda (turpmāk – ESF) finansējums, 1 647</w:t>
            </w:r>
            <w:r w:rsidR="00182276" w:rsidRPr="007A5F87">
              <w:rPr>
                <w:sz w:val="24"/>
                <w:szCs w:val="24"/>
                <w:lang w:val="lv-LV"/>
              </w:rPr>
              <w:t> </w:t>
            </w:r>
            <w:r w:rsidR="00AB0653" w:rsidRPr="007A5F87">
              <w:rPr>
                <w:sz w:val="24"/>
                <w:szCs w:val="24"/>
                <w:lang w:val="lv-LV"/>
              </w:rPr>
              <w:t>897</w:t>
            </w:r>
            <w:r w:rsidR="00182276" w:rsidRPr="007A5F87">
              <w:rPr>
                <w:sz w:val="24"/>
                <w:szCs w:val="24"/>
                <w:lang w:val="lv-LV"/>
              </w:rPr>
              <w:t xml:space="preserve"> </w:t>
            </w:r>
            <w:proofErr w:type="spellStart"/>
            <w:r w:rsidR="00182276" w:rsidRPr="007A5F87">
              <w:rPr>
                <w:i/>
                <w:sz w:val="24"/>
                <w:szCs w:val="24"/>
                <w:lang w:val="lv-LV"/>
              </w:rPr>
              <w:t>euro</w:t>
            </w:r>
            <w:proofErr w:type="spellEnd"/>
            <w:r w:rsidR="00AB0653" w:rsidRPr="007A5F87">
              <w:rPr>
                <w:i/>
                <w:sz w:val="24"/>
                <w:szCs w:val="24"/>
                <w:lang w:val="lv-LV"/>
              </w:rPr>
              <w:t xml:space="preserve"> </w:t>
            </w:r>
            <w:r w:rsidR="00AB0653" w:rsidRPr="007A5F87">
              <w:rPr>
                <w:sz w:val="24"/>
                <w:szCs w:val="24"/>
                <w:lang w:val="lv-LV"/>
              </w:rPr>
              <w:t xml:space="preserve">valsts budžeta finansējums un 10 758 839 </w:t>
            </w:r>
            <w:proofErr w:type="spellStart"/>
            <w:r w:rsidR="00182276" w:rsidRPr="007A5F87">
              <w:rPr>
                <w:i/>
                <w:sz w:val="24"/>
                <w:szCs w:val="24"/>
                <w:lang w:val="lv-LV"/>
              </w:rPr>
              <w:t>euro</w:t>
            </w:r>
            <w:proofErr w:type="spellEnd"/>
            <w:r w:rsidR="00182276" w:rsidRPr="007A5F87">
              <w:rPr>
                <w:i/>
                <w:sz w:val="24"/>
                <w:szCs w:val="24"/>
                <w:lang w:val="lv-LV"/>
              </w:rPr>
              <w:t xml:space="preserve"> </w:t>
            </w:r>
            <w:r w:rsidR="00AB0653" w:rsidRPr="007A5F87">
              <w:rPr>
                <w:sz w:val="24"/>
                <w:szCs w:val="24"/>
                <w:lang w:val="lv-LV"/>
              </w:rPr>
              <w:t>ALTUM finansējums. Nosl</w:t>
            </w:r>
            <w:r w:rsidR="00182276" w:rsidRPr="007A5F87">
              <w:rPr>
                <w:sz w:val="24"/>
                <w:szCs w:val="24"/>
                <w:lang w:val="lv-LV"/>
              </w:rPr>
              <w:t xml:space="preserve">ēgto līgumu skaits </w:t>
            </w:r>
            <w:r w:rsidR="00AB0653" w:rsidRPr="007A5F87">
              <w:rPr>
                <w:sz w:val="24"/>
                <w:szCs w:val="24"/>
                <w:lang w:val="lv-LV"/>
              </w:rPr>
              <w:t xml:space="preserve">sastāda 1149 </w:t>
            </w:r>
            <w:proofErr w:type="spellStart"/>
            <w:r w:rsidR="00182276" w:rsidRPr="007A5F87">
              <w:rPr>
                <w:sz w:val="24"/>
                <w:szCs w:val="24"/>
                <w:lang w:val="lv-LV"/>
              </w:rPr>
              <w:t>gab</w:t>
            </w:r>
            <w:proofErr w:type="spellEnd"/>
            <w:r w:rsidR="00182276" w:rsidRPr="007A5F87">
              <w:rPr>
                <w:sz w:val="24"/>
                <w:szCs w:val="24"/>
                <w:lang w:val="lv-LV"/>
              </w:rPr>
              <w:t xml:space="preserve">. </w:t>
            </w:r>
            <w:r w:rsidR="00AB0653" w:rsidRPr="007A5F87">
              <w:rPr>
                <w:sz w:val="24"/>
                <w:szCs w:val="24"/>
                <w:lang w:val="lv-LV"/>
              </w:rPr>
              <w:t xml:space="preserve">par kopējo finansējumu 20 328 446 </w:t>
            </w:r>
            <w:proofErr w:type="spellStart"/>
            <w:r w:rsidR="00182276" w:rsidRPr="007A5F87">
              <w:rPr>
                <w:i/>
                <w:sz w:val="24"/>
                <w:szCs w:val="24"/>
                <w:lang w:val="lv-LV"/>
              </w:rPr>
              <w:t>euro</w:t>
            </w:r>
            <w:proofErr w:type="spellEnd"/>
            <w:r w:rsidR="00AB0653" w:rsidRPr="007A5F87">
              <w:rPr>
                <w:sz w:val="24"/>
                <w:szCs w:val="24"/>
                <w:lang w:val="lv-LV"/>
              </w:rPr>
              <w:t xml:space="preserve">, </w:t>
            </w:r>
            <w:proofErr w:type="spellStart"/>
            <w:r w:rsidR="00AB0653" w:rsidRPr="007A5F87">
              <w:rPr>
                <w:sz w:val="24"/>
                <w:szCs w:val="24"/>
                <w:lang w:val="lv-LV"/>
              </w:rPr>
              <w:t>t.sk</w:t>
            </w:r>
            <w:proofErr w:type="spellEnd"/>
            <w:r w:rsidR="00AB0653" w:rsidRPr="007A5F87">
              <w:rPr>
                <w:sz w:val="24"/>
                <w:szCs w:val="24"/>
                <w:lang w:val="lv-LV"/>
              </w:rPr>
              <w:t>. 8 738</w:t>
            </w:r>
            <w:r w:rsidR="00182276" w:rsidRPr="007A5F87">
              <w:rPr>
                <w:sz w:val="24"/>
                <w:szCs w:val="24"/>
                <w:lang w:val="lv-LV"/>
              </w:rPr>
              <w:t> </w:t>
            </w:r>
            <w:r w:rsidR="00AB0653" w:rsidRPr="007A5F87">
              <w:rPr>
                <w:sz w:val="24"/>
                <w:szCs w:val="24"/>
                <w:lang w:val="lv-LV"/>
              </w:rPr>
              <w:t>479</w:t>
            </w:r>
            <w:r w:rsidR="00182276" w:rsidRPr="007A5F87">
              <w:rPr>
                <w:sz w:val="24"/>
                <w:szCs w:val="24"/>
                <w:lang w:val="lv-LV"/>
              </w:rPr>
              <w:t xml:space="preserve"> </w:t>
            </w:r>
            <w:proofErr w:type="spellStart"/>
            <w:r w:rsidR="00182276" w:rsidRPr="007A5F87">
              <w:rPr>
                <w:i/>
                <w:sz w:val="24"/>
                <w:szCs w:val="24"/>
                <w:lang w:val="lv-LV"/>
              </w:rPr>
              <w:t>euro</w:t>
            </w:r>
            <w:proofErr w:type="spellEnd"/>
            <w:r w:rsidR="00AB0653" w:rsidRPr="007A5F87">
              <w:rPr>
                <w:sz w:val="24"/>
                <w:szCs w:val="24"/>
                <w:lang w:val="lv-LV"/>
              </w:rPr>
              <w:t xml:space="preserve"> ESF finansējums, 1 543 088</w:t>
            </w:r>
            <w:r w:rsidR="00182276" w:rsidRPr="007A5F87">
              <w:rPr>
                <w:i/>
                <w:sz w:val="24"/>
                <w:szCs w:val="24"/>
                <w:lang w:val="lv-LV"/>
              </w:rPr>
              <w:t xml:space="preserve"> </w:t>
            </w:r>
            <w:proofErr w:type="spellStart"/>
            <w:r w:rsidR="00182276" w:rsidRPr="007A5F87">
              <w:rPr>
                <w:i/>
                <w:sz w:val="24"/>
                <w:szCs w:val="24"/>
                <w:lang w:val="lv-LV"/>
              </w:rPr>
              <w:t>euro</w:t>
            </w:r>
            <w:proofErr w:type="spellEnd"/>
            <w:r w:rsidR="00AB0653" w:rsidRPr="007A5F87">
              <w:rPr>
                <w:sz w:val="24"/>
                <w:szCs w:val="24"/>
                <w:lang w:val="lv-LV"/>
              </w:rPr>
              <w:t xml:space="preserve"> valsts budžeta finansējums un 10 046 879 </w:t>
            </w:r>
            <w:proofErr w:type="spellStart"/>
            <w:r w:rsidR="00182276" w:rsidRPr="007A5F87">
              <w:rPr>
                <w:i/>
                <w:sz w:val="24"/>
                <w:szCs w:val="24"/>
                <w:lang w:val="lv-LV"/>
              </w:rPr>
              <w:t>euro</w:t>
            </w:r>
            <w:proofErr w:type="spellEnd"/>
            <w:r w:rsidR="00182276" w:rsidRPr="007A5F87">
              <w:rPr>
                <w:i/>
                <w:sz w:val="24"/>
                <w:szCs w:val="24"/>
                <w:lang w:val="lv-LV"/>
              </w:rPr>
              <w:t xml:space="preserve"> </w:t>
            </w:r>
            <w:r w:rsidR="00AB0653" w:rsidRPr="007A5F87">
              <w:rPr>
                <w:sz w:val="24"/>
                <w:szCs w:val="24"/>
                <w:lang w:val="lv-LV"/>
              </w:rPr>
              <w:t xml:space="preserve">ALTUM finansējums. Ņemot vērā </w:t>
            </w:r>
            <w:r w:rsidR="00182276" w:rsidRPr="007A5F87">
              <w:rPr>
                <w:sz w:val="24"/>
                <w:szCs w:val="24"/>
                <w:lang w:val="lv-LV"/>
              </w:rPr>
              <w:t>līdzšinējo aizdevumu piešķiršanas tendences</w:t>
            </w:r>
            <w:r w:rsidR="00AB0653" w:rsidRPr="007A5F87">
              <w:rPr>
                <w:sz w:val="24"/>
                <w:szCs w:val="24"/>
                <w:lang w:val="lv-LV"/>
              </w:rPr>
              <w:t xml:space="preserve">, ir pieaugusi interese par aktivitāti, vidēji mēnesī tiek </w:t>
            </w:r>
            <w:r w:rsidR="00182276" w:rsidRPr="007A5F87">
              <w:rPr>
                <w:sz w:val="24"/>
                <w:szCs w:val="24"/>
                <w:lang w:val="lv-LV"/>
              </w:rPr>
              <w:t>piešķirti</w:t>
            </w:r>
            <w:r w:rsidR="00AB0653" w:rsidRPr="007A5F87">
              <w:rPr>
                <w:sz w:val="24"/>
                <w:szCs w:val="24"/>
                <w:lang w:val="lv-LV"/>
              </w:rPr>
              <w:t xml:space="preserve"> </w:t>
            </w:r>
            <w:r w:rsidR="00182276" w:rsidRPr="007A5F87">
              <w:rPr>
                <w:sz w:val="24"/>
                <w:szCs w:val="24"/>
                <w:lang w:val="lv-LV"/>
              </w:rPr>
              <w:t xml:space="preserve">aizdevumi ar procentu likmes subsīdiju vidēji 420 000 </w:t>
            </w:r>
            <w:proofErr w:type="spellStart"/>
            <w:r w:rsidR="00182276" w:rsidRPr="007A5F87">
              <w:rPr>
                <w:i/>
                <w:sz w:val="24"/>
                <w:szCs w:val="24"/>
                <w:lang w:val="lv-LV"/>
              </w:rPr>
              <w:t>euro</w:t>
            </w:r>
            <w:proofErr w:type="spellEnd"/>
            <w:r w:rsidR="00182276" w:rsidRPr="007A5F87">
              <w:rPr>
                <w:sz w:val="24"/>
                <w:szCs w:val="24"/>
                <w:lang w:val="lv-LV"/>
              </w:rPr>
              <w:t xml:space="preserve"> apmērā.</w:t>
            </w:r>
          </w:p>
          <w:p w:rsidR="00AB0653" w:rsidRPr="007A5F87" w:rsidRDefault="00D743CB" w:rsidP="00C66CCF">
            <w:pPr>
              <w:jc w:val="both"/>
              <w:rPr>
                <w:b/>
                <w:sz w:val="24"/>
                <w:szCs w:val="24"/>
                <w:lang w:val="lv-LV"/>
              </w:rPr>
            </w:pPr>
            <w:r w:rsidRPr="007A5F87">
              <w:rPr>
                <w:sz w:val="24"/>
                <w:szCs w:val="24"/>
                <w:lang w:val="lv-LV"/>
              </w:rPr>
              <w:t>Saskaņā ar 2011.gada decembra</w:t>
            </w:r>
            <w:r w:rsidR="00382BA7" w:rsidRPr="007A5F87">
              <w:rPr>
                <w:sz w:val="24"/>
                <w:szCs w:val="24"/>
                <w:lang w:val="lv-LV"/>
              </w:rPr>
              <w:t xml:space="preserve"> Eiropas Komisijas Nodarbinātības, sociālo lietu un </w:t>
            </w:r>
            <w:proofErr w:type="spellStart"/>
            <w:r w:rsidR="00382BA7" w:rsidRPr="007A5F87">
              <w:rPr>
                <w:sz w:val="24"/>
                <w:szCs w:val="24"/>
                <w:lang w:val="lv-LV"/>
              </w:rPr>
              <w:t>iekļautības</w:t>
            </w:r>
            <w:proofErr w:type="spellEnd"/>
            <w:r w:rsidR="00382BA7" w:rsidRPr="007A5F87">
              <w:rPr>
                <w:sz w:val="24"/>
                <w:szCs w:val="24"/>
                <w:lang w:val="lv-LV"/>
              </w:rPr>
              <w:t xml:space="preserve"> ģenerāldirek</w:t>
            </w:r>
            <w:r w:rsidR="00060806" w:rsidRPr="007A5F87">
              <w:rPr>
                <w:sz w:val="24"/>
                <w:szCs w:val="24"/>
                <w:lang w:val="lv-LV"/>
              </w:rPr>
              <w:t>torāta</w:t>
            </w:r>
            <w:r w:rsidRPr="007A5F87">
              <w:rPr>
                <w:sz w:val="24"/>
                <w:szCs w:val="24"/>
                <w:lang w:val="lv-LV"/>
              </w:rPr>
              <w:t xml:space="preserve"> (turpmāk – DG EMPL) veikto</w:t>
            </w:r>
            <w:r w:rsidR="00382BA7" w:rsidRPr="007A5F87">
              <w:rPr>
                <w:sz w:val="24"/>
                <w:szCs w:val="24"/>
                <w:lang w:val="lv-LV"/>
              </w:rPr>
              <w:t xml:space="preserve"> auditu par Eiropas Sociālā fonda līdzfinansētās finanšu vadības instrumentu aktivitātes īstenošanu Latvijā</w:t>
            </w:r>
            <w:r w:rsidRPr="007A5F87">
              <w:rPr>
                <w:sz w:val="24"/>
                <w:szCs w:val="24"/>
                <w:lang w:val="lv-LV"/>
              </w:rPr>
              <w:t>, 2013.gada 2.jūlijā Ministru kabinet</w:t>
            </w:r>
            <w:r w:rsidR="001A69A7" w:rsidRPr="007A5F87">
              <w:rPr>
                <w:sz w:val="24"/>
                <w:szCs w:val="24"/>
                <w:lang w:val="lv-LV"/>
              </w:rPr>
              <w:t>a sēdē</w:t>
            </w:r>
            <w:r w:rsidRPr="007A5F87">
              <w:rPr>
                <w:sz w:val="24"/>
                <w:szCs w:val="24"/>
                <w:lang w:val="lv-LV"/>
              </w:rPr>
              <w:t xml:space="preserve"> </w:t>
            </w:r>
            <w:r w:rsidR="001A69A7" w:rsidRPr="007A5F87">
              <w:rPr>
                <w:sz w:val="24"/>
                <w:szCs w:val="24"/>
                <w:lang w:val="lv-LV"/>
              </w:rPr>
              <w:t xml:space="preserve">(prot.Nr.37, 21.§) </w:t>
            </w:r>
            <w:r w:rsidRPr="007A5F87">
              <w:rPr>
                <w:sz w:val="24"/>
                <w:szCs w:val="24"/>
                <w:lang w:val="lv-LV"/>
              </w:rPr>
              <w:t xml:space="preserve">tika apstiprināts Ministru kabineta noteikumu projekts „Grozījumi Ministru kabineta 2009.gada 31.marta noteikumos Nr.293 „Noteikumi par darbības programmas „Cilvēkresursi un nodarbinātība” papildinājuma 1.3.1.2.aktivitāti „Atbalsts </w:t>
            </w:r>
            <w:proofErr w:type="spellStart"/>
            <w:r w:rsidRPr="007A5F87">
              <w:rPr>
                <w:sz w:val="24"/>
                <w:szCs w:val="24"/>
                <w:lang w:val="lv-LV"/>
              </w:rPr>
              <w:t>pašnodarbinātības</w:t>
            </w:r>
            <w:proofErr w:type="spellEnd"/>
            <w:r w:rsidRPr="007A5F87">
              <w:rPr>
                <w:sz w:val="24"/>
                <w:szCs w:val="24"/>
                <w:lang w:val="lv-LV"/>
              </w:rPr>
              <w:t xml:space="preserve"> un uzņēmējdarbības uzsākšanai”” (turpmāk </w:t>
            </w:r>
            <w:r w:rsidR="00060806" w:rsidRPr="007A5F87">
              <w:rPr>
                <w:sz w:val="24"/>
                <w:szCs w:val="24"/>
                <w:lang w:val="lv-LV"/>
              </w:rPr>
              <w:t>–</w:t>
            </w:r>
            <w:r w:rsidRPr="007A5F87">
              <w:rPr>
                <w:sz w:val="24"/>
                <w:szCs w:val="24"/>
                <w:lang w:val="lv-LV"/>
              </w:rPr>
              <w:t xml:space="preserve"> </w:t>
            </w:r>
            <w:r w:rsidR="00060806" w:rsidRPr="007A5F87">
              <w:rPr>
                <w:sz w:val="24"/>
                <w:szCs w:val="24"/>
                <w:lang w:val="lv-LV"/>
              </w:rPr>
              <w:t>MK noteikumi Nr.293</w:t>
            </w:r>
            <w:r w:rsidRPr="007A5F87">
              <w:rPr>
                <w:sz w:val="24"/>
                <w:szCs w:val="24"/>
                <w:lang w:val="lv-LV"/>
              </w:rPr>
              <w:t xml:space="preserve">). Saskaņā ar DG EMPL audita ieteikumu, no </w:t>
            </w:r>
            <w:r w:rsidR="00060806" w:rsidRPr="007A5F87">
              <w:rPr>
                <w:sz w:val="24"/>
                <w:szCs w:val="24"/>
                <w:lang w:val="lv-LV"/>
              </w:rPr>
              <w:t>1.3.1.2.</w:t>
            </w:r>
            <w:r w:rsidRPr="007A5F87">
              <w:rPr>
                <w:sz w:val="24"/>
                <w:szCs w:val="24"/>
                <w:lang w:val="lv-LV"/>
              </w:rPr>
              <w:t xml:space="preserve">aktivitātes attiecināmajām izmaksām tika izslēgtas </w:t>
            </w:r>
            <w:r w:rsidR="001A69A7" w:rsidRPr="007A5F87">
              <w:rPr>
                <w:sz w:val="24"/>
                <w:szCs w:val="24"/>
                <w:lang w:val="lv-LV"/>
              </w:rPr>
              <w:t xml:space="preserve">granta saimnieciskās darbības nodrošināšanai izmaksas, savukārt </w:t>
            </w:r>
            <w:r w:rsidRPr="007A5F87">
              <w:rPr>
                <w:sz w:val="24"/>
                <w:szCs w:val="24"/>
                <w:lang w:val="lv-LV"/>
              </w:rPr>
              <w:t>gr</w:t>
            </w:r>
            <w:r w:rsidR="001A69A7" w:rsidRPr="007A5F87">
              <w:rPr>
                <w:sz w:val="24"/>
                <w:szCs w:val="24"/>
                <w:lang w:val="lv-LV"/>
              </w:rPr>
              <w:t>ants</w:t>
            </w:r>
            <w:r w:rsidRPr="007A5F87">
              <w:rPr>
                <w:sz w:val="24"/>
                <w:szCs w:val="24"/>
                <w:lang w:val="lv-LV"/>
              </w:rPr>
              <w:t xml:space="preserve"> aizdevumu dzēšanai </w:t>
            </w:r>
            <w:r w:rsidR="001A69A7" w:rsidRPr="007A5F87">
              <w:rPr>
                <w:sz w:val="24"/>
                <w:szCs w:val="24"/>
                <w:lang w:val="lv-LV"/>
              </w:rPr>
              <w:t>tika pārvērsts par procentu likmes subsīdiju</w:t>
            </w:r>
            <w:r w:rsidRPr="007A5F87">
              <w:rPr>
                <w:sz w:val="24"/>
                <w:szCs w:val="24"/>
                <w:lang w:val="lv-LV"/>
              </w:rPr>
              <w:t>.</w:t>
            </w:r>
            <w:r w:rsidR="00A706CF" w:rsidRPr="007A5F87">
              <w:rPr>
                <w:sz w:val="24"/>
                <w:szCs w:val="24"/>
                <w:lang w:val="lv-LV"/>
              </w:rPr>
              <w:t xml:space="preserve"> </w:t>
            </w:r>
            <w:r w:rsidRPr="007A5F87">
              <w:rPr>
                <w:sz w:val="24"/>
                <w:szCs w:val="24"/>
                <w:lang w:val="lv-LV"/>
              </w:rPr>
              <w:t>Tādējādi 1.3.1.2.aktivitātes ietvaros šobrīd  attiecināmās izmaksas ir aizdevuma</w:t>
            </w:r>
            <w:r w:rsidR="001A69A7" w:rsidRPr="007A5F87">
              <w:rPr>
                <w:sz w:val="24"/>
                <w:szCs w:val="24"/>
                <w:lang w:val="lv-LV"/>
              </w:rPr>
              <w:t xml:space="preserve"> un</w:t>
            </w:r>
            <w:r w:rsidRPr="007A5F87">
              <w:rPr>
                <w:sz w:val="24"/>
                <w:szCs w:val="24"/>
                <w:lang w:val="lv-LV"/>
              </w:rPr>
              <w:t xml:space="preserve"> </w:t>
            </w:r>
            <w:r w:rsidR="001A69A7" w:rsidRPr="007A5F87">
              <w:rPr>
                <w:sz w:val="24"/>
                <w:szCs w:val="24"/>
                <w:lang w:val="lv-LV"/>
              </w:rPr>
              <w:t xml:space="preserve">subsidētās </w:t>
            </w:r>
            <w:r w:rsidRPr="007A5F87">
              <w:rPr>
                <w:sz w:val="24"/>
                <w:szCs w:val="24"/>
                <w:lang w:val="lv-LV"/>
              </w:rPr>
              <w:t>p</w:t>
            </w:r>
            <w:r w:rsidR="001A69A7" w:rsidRPr="007A5F87">
              <w:rPr>
                <w:sz w:val="24"/>
                <w:szCs w:val="24"/>
                <w:lang w:val="lv-LV"/>
              </w:rPr>
              <w:t xml:space="preserve">rocenta likmes </w:t>
            </w:r>
            <w:r w:rsidRPr="007A5F87">
              <w:rPr>
                <w:sz w:val="24"/>
                <w:szCs w:val="24"/>
                <w:lang w:val="lv-LV"/>
              </w:rPr>
              <w:t xml:space="preserve"> piešķiršana, kā arī</w:t>
            </w:r>
            <w:r w:rsidR="001A69A7" w:rsidRPr="007A5F87">
              <w:rPr>
                <w:sz w:val="24"/>
                <w:szCs w:val="24"/>
                <w:lang w:val="lv-LV"/>
              </w:rPr>
              <w:t xml:space="preserve">  ALTUM vadības izmaksas</w:t>
            </w:r>
            <w:r w:rsidR="007A5F87">
              <w:rPr>
                <w:sz w:val="24"/>
                <w:szCs w:val="24"/>
                <w:lang w:val="lv-LV"/>
              </w:rPr>
              <w:t>.</w:t>
            </w:r>
            <w:r w:rsidRPr="007A5F87">
              <w:rPr>
                <w:sz w:val="24"/>
                <w:szCs w:val="24"/>
                <w:lang w:val="lv-LV"/>
              </w:rPr>
              <w:t xml:space="preserve"> </w:t>
            </w:r>
            <w:r w:rsidR="001A69A7" w:rsidRPr="007A5F87">
              <w:rPr>
                <w:b/>
                <w:sz w:val="24"/>
                <w:szCs w:val="24"/>
                <w:lang w:val="lv-LV"/>
              </w:rPr>
              <w:t xml:space="preserve">Lai </w:t>
            </w:r>
            <w:r w:rsidR="001E0CE6" w:rsidRPr="007A5F87">
              <w:rPr>
                <w:b/>
                <w:sz w:val="24"/>
                <w:szCs w:val="24"/>
                <w:lang w:val="lv-LV"/>
              </w:rPr>
              <w:t>attie</w:t>
            </w:r>
            <w:r w:rsidR="00CC7CB9" w:rsidRPr="007A5F87">
              <w:rPr>
                <w:b/>
                <w:sz w:val="24"/>
                <w:szCs w:val="24"/>
                <w:lang w:val="lv-LV"/>
              </w:rPr>
              <w:t>cināmo izmaksu summa pilnā apmēr</w:t>
            </w:r>
            <w:r w:rsidR="001E0CE6" w:rsidRPr="007A5F87">
              <w:rPr>
                <w:b/>
                <w:sz w:val="24"/>
                <w:szCs w:val="24"/>
                <w:lang w:val="lv-LV"/>
              </w:rPr>
              <w:t xml:space="preserve">ā varētu tikt deklarēta </w:t>
            </w:r>
            <w:r w:rsidR="00C66CCF" w:rsidRPr="007A5F87">
              <w:rPr>
                <w:sz w:val="24"/>
                <w:szCs w:val="24"/>
                <w:lang w:val="lv-LV"/>
              </w:rPr>
              <w:t xml:space="preserve">saskaņā ar </w:t>
            </w:r>
            <w:r w:rsidR="00CC377D" w:rsidRPr="007A5F87">
              <w:rPr>
                <w:sz w:val="24"/>
                <w:szCs w:val="24"/>
                <w:lang w:val="lv-LV"/>
              </w:rPr>
              <w:t>Padomes</w:t>
            </w:r>
            <w:r w:rsidR="00335468" w:rsidRPr="007A5F87">
              <w:rPr>
                <w:sz w:val="24"/>
                <w:szCs w:val="24"/>
                <w:lang w:val="lv-LV"/>
              </w:rPr>
              <w:t xml:space="preserve"> </w:t>
            </w:r>
            <w:r w:rsidR="00CC377D" w:rsidRPr="007A5F87">
              <w:rPr>
                <w:sz w:val="24"/>
                <w:szCs w:val="24"/>
                <w:lang w:val="lv-LV"/>
              </w:rPr>
              <w:t>r</w:t>
            </w:r>
            <w:r w:rsidR="00C66CCF" w:rsidRPr="007A5F87">
              <w:rPr>
                <w:sz w:val="24"/>
                <w:szCs w:val="24"/>
                <w:lang w:val="lv-LV"/>
              </w:rPr>
              <w:t>egulas Nr.1083/2006 78.panta 6.punktu</w:t>
            </w:r>
            <w:r w:rsidR="00C66CCF" w:rsidRPr="007A5F87">
              <w:rPr>
                <w:b/>
                <w:sz w:val="24"/>
                <w:szCs w:val="24"/>
                <w:lang w:val="lv-LV"/>
              </w:rPr>
              <w:t>, nepieciešams atrunāt precīzi, ka aizdevuma fondā</w:t>
            </w:r>
            <w:r w:rsidR="00C66CCF" w:rsidRPr="007A5F87">
              <w:rPr>
                <w:sz w:val="24"/>
                <w:szCs w:val="24"/>
                <w:lang w:val="lv-LV"/>
              </w:rPr>
              <w:t xml:space="preserve">, kas izveidots atbilstoši Komisijas 2006.gada 8.decembra Regulas (EK) </w:t>
            </w:r>
            <w:proofErr w:type="spellStart"/>
            <w:r w:rsidR="00C66CCF" w:rsidRPr="007A5F87">
              <w:rPr>
                <w:sz w:val="24"/>
                <w:szCs w:val="24"/>
                <w:lang w:val="lv-LV"/>
              </w:rPr>
              <w:t>Nr</w:t>
            </w:r>
            <w:proofErr w:type="spellEnd"/>
            <w:r w:rsidR="00C66CCF" w:rsidRPr="007A5F87">
              <w:rPr>
                <w:sz w:val="24"/>
                <w:szCs w:val="24"/>
                <w:lang w:val="lv-LV"/>
              </w:rPr>
              <w:t xml:space="preserve">. 1828/2006, kas paredz noteikumus par to, kā īstenot Padomes Regulu (EK) </w:t>
            </w:r>
            <w:proofErr w:type="spellStart"/>
            <w:r w:rsidR="00C66CCF" w:rsidRPr="007A5F87">
              <w:rPr>
                <w:sz w:val="24"/>
                <w:szCs w:val="24"/>
                <w:lang w:val="lv-LV"/>
              </w:rPr>
              <w:t>Nr</w:t>
            </w:r>
            <w:proofErr w:type="spellEnd"/>
            <w:r w:rsidR="00C66CCF" w:rsidRPr="007A5F87">
              <w:rPr>
                <w:sz w:val="24"/>
                <w:szCs w:val="24"/>
                <w:lang w:val="lv-LV"/>
              </w:rPr>
              <w:t xml:space="preserve">. 1083/2006, ar ko paredz vispārīgus noteikumus par Eiropas Reģionālās attīstības fondu, Eiropas Sociālo fondu un Kohēzijas fondu, un Eiropas Parlamenta un Padomes Regulu (EK) </w:t>
            </w:r>
            <w:proofErr w:type="spellStart"/>
            <w:r w:rsidR="00C66CCF" w:rsidRPr="007A5F87">
              <w:rPr>
                <w:sz w:val="24"/>
                <w:szCs w:val="24"/>
                <w:lang w:val="lv-LV"/>
              </w:rPr>
              <w:t>Nr</w:t>
            </w:r>
            <w:proofErr w:type="spellEnd"/>
            <w:r w:rsidR="00C66CCF" w:rsidRPr="007A5F87">
              <w:rPr>
                <w:sz w:val="24"/>
                <w:szCs w:val="24"/>
                <w:lang w:val="lv-LV"/>
              </w:rPr>
              <w:t>. 1080/2006 par Eiropas Reģionālās attīstības fondu</w:t>
            </w:r>
            <w:r w:rsidR="00060806" w:rsidRPr="007A5F87">
              <w:rPr>
                <w:sz w:val="24"/>
                <w:szCs w:val="24"/>
                <w:lang w:val="lv-LV"/>
              </w:rPr>
              <w:t xml:space="preserve">, </w:t>
            </w:r>
            <w:r w:rsidR="00C66CCF" w:rsidRPr="007A5F87">
              <w:rPr>
                <w:sz w:val="24"/>
                <w:szCs w:val="24"/>
                <w:lang w:val="lv-LV"/>
              </w:rPr>
              <w:lastRenderedPageBreak/>
              <w:t xml:space="preserve">43.panta prasībām, </w:t>
            </w:r>
            <w:r w:rsidR="00C66CCF" w:rsidRPr="007A5F87">
              <w:rPr>
                <w:b/>
                <w:sz w:val="24"/>
                <w:szCs w:val="24"/>
                <w:lang w:val="lv-LV"/>
              </w:rPr>
              <w:t>ietilpst gan aizdevum</w:t>
            </w:r>
            <w:r w:rsidR="00CC7CB9" w:rsidRPr="007A5F87">
              <w:rPr>
                <w:b/>
                <w:sz w:val="24"/>
                <w:szCs w:val="24"/>
                <w:lang w:val="lv-LV"/>
              </w:rPr>
              <w:t>i</w:t>
            </w:r>
            <w:r w:rsidR="00C66CCF" w:rsidRPr="007A5F87">
              <w:rPr>
                <w:b/>
                <w:sz w:val="24"/>
                <w:szCs w:val="24"/>
                <w:lang w:val="lv-LV"/>
              </w:rPr>
              <w:t xml:space="preserve"> un procentu likmes subsīdijas izmaksas, gan ALTUM vadības izmaksas.</w:t>
            </w:r>
          </w:p>
          <w:p w:rsidR="007A5F87" w:rsidRDefault="007A5F87" w:rsidP="00D01664">
            <w:pPr>
              <w:jc w:val="both"/>
              <w:rPr>
                <w:sz w:val="24"/>
                <w:szCs w:val="24"/>
              </w:rPr>
            </w:pPr>
            <w:r w:rsidRPr="00D01664">
              <w:rPr>
                <w:sz w:val="24"/>
                <w:szCs w:val="24"/>
                <w:lang w:val="lv-LV"/>
              </w:rPr>
              <w:t xml:space="preserve">Ņemot vērā, ka Regulas Nr.1407/2013 4.panta 3.punkta a) daļa nosaka, ka lielo uzņēmumu gadījumā, saņēmējam jābūt situācijā, kas pielīdzināma vismaz B-kredītreitingam, bet 1.3.1.2.aktivitātes mērķa grupa nav lielie komersanti, ir papildināti MK noteikumu Nr.293 grozījumi, nosakot, ka </w:t>
            </w:r>
            <w:proofErr w:type="spellStart"/>
            <w:r w:rsidRPr="00D01664">
              <w:rPr>
                <w:sz w:val="24"/>
                <w:szCs w:val="24"/>
              </w:rPr>
              <w:t>aktivitātes</w:t>
            </w:r>
            <w:proofErr w:type="spellEnd"/>
            <w:r w:rsidRPr="00D01664">
              <w:rPr>
                <w:sz w:val="24"/>
                <w:szCs w:val="24"/>
              </w:rPr>
              <w:t xml:space="preserve"> </w:t>
            </w:r>
            <w:proofErr w:type="spellStart"/>
            <w:r w:rsidRPr="00D01664">
              <w:rPr>
                <w:sz w:val="24"/>
                <w:szCs w:val="24"/>
              </w:rPr>
              <w:t>ietvaros</w:t>
            </w:r>
            <w:proofErr w:type="spellEnd"/>
            <w:r w:rsidRPr="00D01664">
              <w:rPr>
                <w:sz w:val="24"/>
                <w:szCs w:val="24"/>
              </w:rPr>
              <w:t xml:space="preserve"> </w:t>
            </w:r>
            <w:proofErr w:type="spellStart"/>
            <w:r w:rsidRPr="00D01664">
              <w:rPr>
                <w:sz w:val="24"/>
                <w:szCs w:val="24"/>
              </w:rPr>
              <w:t>uz</w:t>
            </w:r>
            <w:proofErr w:type="spellEnd"/>
            <w:r w:rsidRPr="00D01664">
              <w:rPr>
                <w:sz w:val="24"/>
                <w:szCs w:val="24"/>
              </w:rPr>
              <w:t xml:space="preserve"> </w:t>
            </w:r>
            <w:proofErr w:type="spellStart"/>
            <w:r w:rsidRPr="00D01664">
              <w:rPr>
                <w:sz w:val="24"/>
                <w:szCs w:val="24"/>
              </w:rPr>
              <w:t>atbalstu</w:t>
            </w:r>
            <w:proofErr w:type="spellEnd"/>
            <w:r w:rsidRPr="00D01664">
              <w:rPr>
                <w:sz w:val="24"/>
                <w:szCs w:val="24"/>
              </w:rPr>
              <w:t xml:space="preserve"> </w:t>
            </w:r>
            <w:proofErr w:type="spellStart"/>
            <w:r w:rsidRPr="00D01664">
              <w:rPr>
                <w:sz w:val="24"/>
                <w:szCs w:val="24"/>
              </w:rPr>
              <w:t>nevar</w:t>
            </w:r>
            <w:proofErr w:type="spellEnd"/>
            <w:r w:rsidRPr="00D01664">
              <w:rPr>
                <w:sz w:val="24"/>
                <w:szCs w:val="24"/>
              </w:rPr>
              <w:t xml:space="preserve"> </w:t>
            </w:r>
            <w:proofErr w:type="spellStart"/>
            <w:r w:rsidRPr="00D01664">
              <w:rPr>
                <w:sz w:val="24"/>
                <w:szCs w:val="24"/>
              </w:rPr>
              <w:t>pretendēt</w:t>
            </w:r>
            <w:proofErr w:type="spellEnd"/>
            <w:r w:rsidRPr="00D01664">
              <w:rPr>
                <w:sz w:val="24"/>
                <w:szCs w:val="24"/>
              </w:rPr>
              <w:t xml:space="preserve">  </w:t>
            </w:r>
            <w:proofErr w:type="spellStart"/>
            <w:r w:rsidRPr="00D01664">
              <w:rPr>
                <w:sz w:val="24"/>
                <w:szCs w:val="24"/>
              </w:rPr>
              <w:t>lielie</w:t>
            </w:r>
            <w:proofErr w:type="spellEnd"/>
            <w:r w:rsidRPr="00D01664">
              <w:rPr>
                <w:sz w:val="24"/>
                <w:szCs w:val="24"/>
              </w:rPr>
              <w:t xml:space="preserve"> </w:t>
            </w:r>
            <w:proofErr w:type="spellStart"/>
            <w:r w:rsidRPr="00D01664">
              <w:rPr>
                <w:sz w:val="24"/>
                <w:szCs w:val="24"/>
              </w:rPr>
              <w:t>saimnieciskās</w:t>
            </w:r>
            <w:proofErr w:type="spellEnd"/>
            <w:r w:rsidRPr="00D01664">
              <w:rPr>
                <w:sz w:val="24"/>
                <w:szCs w:val="24"/>
              </w:rPr>
              <w:t xml:space="preserve"> </w:t>
            </w:r>
            <w:proofErr w:type="spellStart"/>
            <w:r w:rsidRPr="00D01664">
              <w:rPr>
                <w:sz w:val="24"/>
                <w:szCs w:val="24"/>
              </w:rPr>
              <w:t>darbības</w:t>
            </w:r>
            <w:proofErr w:type="spellEnd"/>
            <w:r w:rsidRPr="00D01664">
              <w:rPr>
                <w:sz w:val="24"/>
                <w:szCs w:val="24"/>
              </w:rPr>
              <w:t xml:space="preserve"> </w:t>
            </w:r>
            <w:proofErr w:type="spellStart"/>
            <w:r w:rsidRPr="00D01664">
              <w:rPr>
                <w:sz w:val="24"/>
                <w:szCs w:val="24"/>
              </w:rPr>
              <w:t>veicēji</w:t>
            </w:r>
            <w:proofErr w:type="spellEnd"/>
            <w:r w:rsidRPr="00D01664">
              <w:rPr>
                <w:sz w:val="24"/>
                <w:szCs w:val="24"/>
              </w:rPr>
              <w:t xml:space="preserve">, </w:t>
            </w:r>
            <w:proofErr w:type="spellStart"/>
            <w:r w:rsidRPr="00D01664">
              <w:rPr>
                <w:sz w:val="24"/>
                <w:szCs w:val="24"/>
              </w:rPr>
              <w:t>kas</w:t>
            </w:r>
            <w:proofErr w:type="spellEnd"/>
            <w:r w:rsidRPr="00D01664">
              <w:rPr>
                <w:sz w:val="24"/>
                <w:szCs w:val="24"/>
              </w:rPr>
              <w:t xml:space="preserve"> </w:t>
            </w:r>
            <w:proofErr w:type="spellStart"/>
            <w:r w:rsidRPr="00D01664">
              <w:rPr>
                <w:sz w:val="24"/>
                <w:szCs w:val="24"/>
              </w:rPr>
              <w:t>neatbilst</w:t>
            </w:r>
            <w:proofErr w:type="spellEnd"/>
            <w:r w:rsidRPr="00D01664">
              <w:rPr>
                <w:sz w:val="24"/>
                <w:szCs w:val="24"/>
              </w:rPr>
              <w:t xml:space="preserve"> </w:t>
            </w:r>
            <w:proofErr w:type="spellStart"/>
            <w:r w:rsidRPr="00D01664">
              <w:rPr>
                <w:sz w:val="24"/>
                <w:szCs w:val="24"/>
              </w:rPr>
              <w:t>Eiropas</w:t>
            </w:r>
            <w:proofErr w:type="spellEnd"/>
            <w:r w:rsidRPr="00D01664">
              <w:rPr>
                <w:sz w:val="24"/>
                <w:szCs w:val="24"/>
              </w:rPr>
              <w:t xml:space="preserve"> </w:t>
            </w:r>
            <w:proofErr w:type="spellStart"/>
            <w:r w:rsidRPr="00D01664">
              <w:rPr>
                <w:sz w:val="24"/>
                <w:szCs w:val="24"/>
              </w:rPr>
              <w:t>Komisijas</w:t>
            </w:r>
            <w:proofErr w:type="spellEnd"/>
            <w:r w:rsidRPr="00D01664">
              <w:rPr>
                <w:sz w:val="24"/>
                <w:szCs w:val="24"/>
              </w:rPr>
              <w:t xml:space="preserve"> 2008.gada 6.augusta </w:t>
            </w:r>
            <w:proofErr w:type="spellStart"/>
            <w:r w:rsidRPr="00D01664">
              <w:rPr>
                <w:sz w:val="24"/>
                <w:szCs w:val="24"/>
              </w:rPr>
              <w:t>Regulas</w:t>
            </w:r>
            <w:proofErr w:type="spellEnd"/>
            <w:r w:rsidRPr="00D01664">
              <w:rPr>
                <w:sz w:val="24"/>
                <w:szCs w:val="24"/>
              </w:rPr>
              <w:t xml:space="preserve"> (EK) Nr.800/2008, </w:t>
            </w:r>
            <w:proofErr w:type="spellStart"/>
            <w:r w:rsidRPr="00D01664">
              <w:rPr>
                <w:sz w:val="24"/>
                <w:szCs w:val="24"/>
              </w:rPr>
              <w:t>kas</w:t>
            </w:r>
            <w:proofErr w:type="spellEnd"/>
            <w:r w:rsidRPr="00D01664">
              <w:rPr>
                <w:sz w:val="24"/>
                <w:szCs w:val="24"/>
              </w:rPr>
              <w:t xml:space="preserve"> </w:t>
            </w:r>
            <w:proofErr w:type="spellStart"/>
            <w:r w:rsidRPr="00D01664">
              <w:rPr>
                <w:sz w:val="24"/>
                <w:szCs w:val="24"/>
              </w:rPr>
              <w:t>atzīst</w:t>
            </w:r>
            <w:proofErr w:type="spellEnd"/>
            <w:r w:rsidRPr="00D01664">
              <w:rPr>
                <w:sz w:val="24"/>
                <w:szCs w:val="24"/>
              </w:rPr>
              <w:t xml:space="preserve"> </w:t>
            </w:r>
            <w:proofErr w:type="spellStart"/>
            <w:r w:rsidRPr="00D01664">
              <w:rPr>
                <w:sz w:val="24"/>
                <w:szCs w:val="24"/>
              </w:rPr>
              <w:t>noteiktas</w:t>
            </w:r>
            <w:proofErr w:type="spellEnd"/>
            <w:r w:rsidRPr="00D01664">
              <w:rPr>
                <w:sz w:val="24"/>
                <w:szCs w:val="24"/>
              </w:rPr>
              <w:t xml:space="preserve"> </w:t>
            </w:r>
            <w:proofErr w:type="spellStart"/>
            <w:r w:rsidRPr="00D01664">
              <w:rPr>
                <w:sz w:val="24"/>
                <w:szCs w:val="24"/>
              </w:rPr>
              <w:t>atbalsta</w:t>
            </w:r>
            <w:proofErr w:type="spellEnd"/>
            <w:r w:rsidRPr="00D01664">
              <w:rPr>
                <w:sz w:val="24"/>
                <w:szCs w:val="24"/>
              </w:rPr>
              <w:t xml:space="preserve"> </w:t>
            </w:r>
            <w:proofErr w:type="spellStart"/>
            <w:r w:rsidRPr="00D01664">
              <w:rPr>
                <w:sz w:val="24"/>
                <w:szCs w:val="24"/>
              </w:rPr>
              <w:t>kategorijas</w:t>
            </w:r>
            <w:proofErr w:type="spellEnd"/>
            <w:r w:rsidRPr="00D01664">
              <w:rPr>
                <w:sz w:val="24"/>
                <w:szCs w:val="24"/>
              </w:rPr>
              <w:t xml:space="preserve"> par </w:t>
            </w:r>
            <w:proofErr w:type="spellStart"/>
            <w:r w:rsidRPr="00D01664">
              <w:rPr>
                <w:sz w:val="24"/>
                <w:szCs w:val="24"/>
              </w:rPr>
              <w:t>saderīgām</w:t>
            </w:r>
            <w:proofErr w:type="spellEnd"/>
            <w:r w:rsidRPr="00D01664">
              <w:rPr>
                <w:sz w:val="24"/>
                <w:szCs w:val="24"/>
              </w:rPr>
              <w:t xml:space="preserve"> </w:t>
            </w:r>
            <w:proofErr w:type="spellStart"/>
            <w:r w:rsidRPr="00D01664">
              <w:rPr>
                <w:sz w:val="24"/>
                <w:szCs w:val="24"/>
              </w:rPr>
              <w:t>ar</w:t>
            </w:r>
            <w:proofErr w:type="spellEnd"/>
            <w:r w:rsidRPr="00D01664">
              <w:rPr>
                <w:sz w:val="24"/>
                <w:szCs w:val="24"/>
              </w:rPr>
              <w:t xml:space="preserve"> </w:t>
            </w:r>
            <w:proofErr w:type="spellStart"/>
            <w:r w:rsidRPr="00D01664">
              <w:rPr>
                <w:sz w:val="24"/>
                <w:szCs w:val="24"/>
              </w:rPr>
              <w:t>kopējo</w:t>
            </w:r>
            <w:proofErr w:type="spellEnd"/>
            <w:r w:rsidRPr="00D01664">
              <w:rPr>
                <w:sz w:val="24"/>
                <w:szCs w:val="24"/>
              </w:rPr>
              <w:t xml:space="preserve"> </w:t>
            </w:r>
            <w:proofErr w:type="spellStart"/>
            <w:r w:rsidRPr="00D01664">
              <w:rPr>
                <w:sz w:val="24"/>
                <w:szCs w:val="24"/>
              </w:rPr>
              <w:t>tirgu</w:t>
            </w:r>
            <w:proofErr w:type="spellEnd"/>
            <w:r w:rsidRPr="00D01664">
              <w:rPr>
                <w:sz w:val="24"/>
                <w:szCs w:val="24"/>
              </w:rPr>
              <w:t xml:space="preserve">, </w:t>
            </w:r>
            <w:proofErr w:type="spellStart"/>
            <w:r w:rsidRPr="00D01664">
              <w:rPr>
                <w:sz w:val="24"/>
                <w:szCs w:val="24"/>
              </w:rPr>
              <w:t>piemērojot</w:t>
            </w:r>
            <w:proofErr w:type="spellEnd"/>
            <w:r w:rsidRPr="00D01664">
              <w:rPr>
                <w:sz w:val="24"/>
                <w:szCs w:val="24"/>
              </w:rPr>
              <w:t xml:space="preserve"> </w:t>
            </w:r>
            <w:proofErr w:type="spellStart"/>
            <w:r w:rsidRPr="00D01664">
              <w:rPr>
                <w:sz w:val="24"/>
                <w:szCs w:val="24"/>
              </w:rPr>
              <w:t>Līguma</w:t>
            </w:r>
            <w:proofErr w:type="spellEnd"/>
            <w:r w:rsidRPr="00D01664">
              <w:rPr>
                <w:sz w:val="24"/>
                <w:szCs w:val="24"/>
              </w:rPr>
              <w:t xml:space="preserve"> 87. </w:t>
            </w:r>
            <w:proofErr w:type="gramStart"/>
            <w:r w:rsidRPr="00D01664">
              <w:rPr>
                <w:sz w:val="24"/>
                <w:szCs w:val="24"/>
              </w:rPr>
              <w:t>un</w:t>
            </w:r>
            <w:proofErr w:type="gramEnd"/>
            <w:r w:rsidRPr="00D01664">
              <w:rPr>
                <w:sz w:val="24"/>
                <w:szCs w:val="24"/>
              </w:rPr>
              <w:t xml:space="preserve"> 88.pantu (</w:t>
            </w:r>
            <w:proofErr w:type="spellStart"/>
            <w:r w:rsidRPr="00D01664">
              <w:rPr>
                <w:sz w:val="24"/>
                <w:szCs w:val="24"/>
              </w:rPr>
              <w:t>vispārējā</w:t>
            </w:r>
            <w:proofErr w:type="spellEnd"/>
            <w:r w:rsidRPr="00D01664">
              <w:rPr>
                <w:sz w:val="24"/>
                <w:szCs w:val="24"/>
              </w:rPr>
              <w:t xml:space="preserve"> </w:t>
            </w:r>
            <w:proofErr w:type="spellStart"/>
            <w:r w:rsidRPr="00D01664">
              <w:rPr>
                <w:sz w:val="24"/>
                <w:szCs w:val="24"/>
              </w:rPr>
              <w:t>grupu</w:t>
            </w:r>
            <w:proofErr w:type="spellEnd"/>
            <w:r w:rsidRPr="00D01664">
              <w:rPr>
                <w:sz w:val="24"/>
                <w:szCs w:val="24"/>
              </w:rPr>
              <w:t xml:space="preserve"> </w:t>
            </w:r>
            <w:proofErr w:type="spellStart"/>
            <w:r w:rsidRPr="00D01664">
              <w:rPr>
                <w:sz w:val="24"/>
                <w:szCs w:val="24"/>
              </w:rPr>
              <w:t>atbrīvojuma</w:t>
            </w:r>
            <w:proofErr w:type="spellEnd"/>
            <w:r w:rsidRPr="00D01664">
              <w:rPr>
                <w:sz w:val="24"/>
                <w:szCs w:val="24"/>
              </w:rPr>
              <w:t xml:space="preserve"> </w:t>
            </w:r>
            <w:proofErr w:type="spellStart"/>
            <w:r w:rsidRPr="00D01664">
              <w:rPr>
                <w:sz w:val="24"/>
                <w:szCs w:val="24"/>
              </w:rPr>
              <w:t>regula</w:t>
            </w:r>
            <w:proofErr w:type="spellEnd"/>
            <w:r w:rsidRPr="00D01664">
              <w:rPr>
                <w:sz w:val="24"/>
                <w:szCs w:val="24"/>
              </w:rPr>
              <w:t xml:space="preserve">) 1.pielikumā </w:t>
            </w:r>
            <w:proofErr w:type="spellStart"/>
            <w:r w:rsidRPr="00D01664">
              <w:rPr>
                <w:sz w:val="24"/>
                <w:szCs w:val="24"/>
              </w:rPr>
              <w:t>vai</w:t>
            </w:r>
            <w:proofErr w:type="spellEnd"/>
            <w:r w:rsidRPr="00D01664">
              <w:rPr>
                <w:sz w:val="24"/>
                <w:szCs w:val="24"/>
              </w:rPr>
              <w:t xml:space="preserve"> </w:t>
            </w:r>
            <w:proofErr w:type="spellStart"/>
            <w:r w:rsidRPr="00D01664">
              <w:rPr>
                <w:sz w:val="24"/>
                <w:szCs w:val="24"/>
              </w:rPr>
              <w:t>regulā</w:t>
            </w:r>
            <w:proofErr w:type="spellEnd"/>
            <w:r w:rsidRPr="00D01664">
              <w:rPr>
                <w:sz w:val="24"/>
                <w:szCs w:val="24"/>
              </w:rPr>
              <w:t xml:space="preserve">, </w:t>
            </w:r>
            <w:proofErr w:type="spellStart"/>
            <w:r w:rsidRPr="00D01664">
              <w:rPr>
                <w:sz w:val="24"/>
                <w:szCs w:val="24"/>
              </w:rPr>
              <w:t>kas</w:t>
            </w:r>
            <w:proofErr w:type="spellEnd"/>
            <w:r w:rsidRPr="00D01664">
              <w:rPr>
                <w:sz w:val="24"/>
                <w:szCs w:val="24"/>
              </w:rPr>
              <w:t xml:space="preserve"> to </w:t>
            </w:r>
            <w:proofErr w:type="spellStart"/>
            <w:r w:rsidRPr="00D01664">
              <w:rPr>
                <w:sz w:val="24"/>
                <w:szCs w:val="24"/>
              </w:rPr>
              <w:t>aizstāj</w:t>
            </w:r>
            <w:proofErr w:type="spellEnd"/>
            <w:r w:rsidRPr="00D01664">
              <w:rPr>
                <w:sz w:val="24"/>
                <w:szCs w:val="24"/>
              </w:rPr>
              <w:t xml:space="preserve">, </w:t>
            </w:r>
            <w:proofErr w:type="spellStart"/>
            <w:r w:rsidRPr="00D01664">
              <w:rPr>
                <w:sz w:val="24"/>
                <w:szCs w:val="24"/>
              </w:rPr>
              <w:t>minētajai</w:t>
            </w:r>
            <w:proofErr w:type="spellEnd"/>
            <w:r w:rsidRPr="00D01664">
              <w:rPr>
                <w:sz w:val="24"/>
                <w:szCs w:val="24"/>
              </w:rPr>
              <w:t xml:space="preserve"> </w:t>
            </w:r>
            <w:proofErr w:type="spellStart"/>
            <w:r w:rsidRPr="00D01664">
              <w:rPr>
                <w:sz w:val="24"/>
                <w:szCs w:val="24"/>
              </w:rPr>
              <w:t>mazo</w:t>
            </w:r>
            <w:proofErr w:type="spellEnd"/>
            <w:r w:rsidRPr="00D01664">
              <w:rPr>
                <w:sz w:val="24"/>
                <w:szCs w:val="24"/>
              </w:rPr>
              <w:t xml:space="preserve"> un </w:t>
            </w:r>
            <w:proofErr w:type="spellStart"/>
            <w:r w:rsidRPr="00D01664">
              <w:rPr>
                <w:sz w:val="24"/>
                <w:szCs w:val="24"/>
              </w:rPr>
              <w:t>vidējo</w:t>
            </w:r>
            <w:proofErr w:type="spellEnd"/>
            <w:r w:rsidRPr="00D01664">
              <w:rPr>
                <w:sz w:val="24"/>
                <w:szCs w:val="24"/>
              </w:rPr>
              <w:t xml:space="preserve"> </w:t>
            </w:r>
            <w:proofErr w:type="spellStart"/>
            <w:r w:rsidRPr="00D01664">
              <w:rPr>
                <w:sz w:val="24"/>
                <w:szCs w:val="24"/>
              </w:rPr>
              <w:t>uzņēmumu</w:t>
            </w:r>
            <w:proofErr w:type="spellEnd"/>
            <w:r w:rsidRPr="00D01664">
              <w:rPr>
                <w:sz w:val="24"/>
                <w:szCs w:val="24"/>
              </w:rPr>
              <w:t xml:space="preserve"> </w:t>
            </w:r>
            <w:proofErr w:type="spellStart"/>
            <w:r w:rsidRPr="00D01664">
              <w:rPr>
                <w:sz w:val="24"/>
                <w:szCs w:val="24"/>
              </w:rPr>
              <w:t>noteiktajai</w:t>
            </w:r>
            <w:proofErr w:type="spellEnd"/>
            <w:r w:rsidRPr="00D01664">
              <w:rPr>
                <w:sz w:val="24"/>
                <w:szCs w:val="24"/>
              </w:rPr>
              <w:t xml:space="preserve"> </w:t>
            </w:r>
            <w:proofErr w:type="spellStart"/>
            <w:r w:rsidRPr="00D01664">
              <w:rPr>
                <w:sz w:val="24"/>
                <w:szCs w:val="24"/>
              </w:rPr>
              <w:t>definīcijai</w:t>
            </w:r>
            <w:proofErr w:type="spellEnd"/>
            <w:r w:rsidRPr="00D01664">
              <w:rPr>
                <w:sz w:val="24"/>
                <w:szCs w:val="24"/>
              </w:rPr>
              <w:t>.</w:t>
            </w:r>
          </w:p>
          <w:p w:rsidR="00D01664" w:rsidRPr="007A5F87" w:rsidRDefault="00D01664" w:rsidP="00D01664">
            <w:pPr>
              <w:jc w:val="both"/>
              <w:rPr>
                <w:sz w:val="24"/>
                <w:szCs w:val="24"/>
                <w:lang w:val="lv-LV"/>
              </w:rPr>
            </w:pPr>
            <w:r w:rsidRPr="007A5F87">
              <w:rPr>
                <w:sz w:val="24"/>
                <w:szCs w:val="24"/>
                <w:lang w:val="lv-LV"/>
              </w:rPr>
              <w:t>Ņemot vērā, ka ar 2014.gada 1.janvāri valsts A/S „Latvijas Hipotēku un zemes banka” tika mainīts nosaukums uz ALTUM, noteikumu projektā ir grozīts 1</w:t>
            </w:r>
            <w:r w:rsidRPr="00D01664">
              <w:rPr>
                <w:sz w:val="24"/>
                <w:szCs w:val="24"/>
                <w:lang w:val="lv-LV"/>
              </w:rPr>
              <w:t>.3.1.2.aktivitātes finansējuma saņēmēja nosaukums.</w:t>
            </w:r>
          </w:p>
        </w:tc>
      </w:tr>
      <w:tr w:rsidR="00A31FDC" w:rsidRPr="00335468" w:rsidTr="00A43634">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335468" w:rsidRDefault="00A31FDC" w:rsidP="00F22471">
            <w:pPr>
              <w:jc w:val="both"/>
              <w:rPr>
                <w:rFonts w:eastAsia="Times New Roman"/>
                <w:sz w:val="24"/>
                <w:szCs w:val="24"/>
                <w:lang w:val="lv-LV" w:eastAsia="lv-LV"/>
              </w:rPr>
            </w:pPr>
            <w:r w:rsidRPr="00335468">
              <w:rPr>
                <w:rFonts w:eastAsia="Times New Roman"/>
                <w:sz w:val="24"/>
                <w:szCs w:val="24"/>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335468" w:rsidRDefault="007243A0" w:rsidP="00F22471">
            <w:pPr>
              <w:jc w:val="both"/>
              <w:rPr>
                <w:rFonts w:eastAsia="Times New Roman"/>
                <w:sz w:val="24"/>
                <w:szCs w:val="24"/>
                <w:lang w:val="lv-LV" w:eastAsia="lv-LV"/>
              </w:rPr>
            </w:pPr>
            <w:r w:rsidRPr="00335468">
              <w:rPr>
                <w:rFonts w:eastAsia="Times New Roman"/>
                <w:sz w:val="24"/>
                <w:szCs w:val="24"/>
                <w:lang w:val="lv-LV" w:eastAsia="lv-LV"/>
              </w:rPr>
              <w:t>Projekta izstrādē iesaistītās institūcijas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A5F87" w:rsidRDefault="00A31FDC" w:rsidP="00DF5D85">
            <w:pPr>
              <w:jc w:val="both"/>
              <w:rPr>
                <w:bCs/>
                <w:sz w:val="24"/>
                <w:szCs w:val="24"/>
                <w:lang w:val="lv-LV"/>
              </w:rPr>
            </w:pPr>
            <w:r w:rsidRPr="007A5F87">
              <w:rPr>
                <w:iCs/>
                <w:sz w:val="24"/>
                <w:szCs w:val="24"/>
                <w:lang w:val="lv-LV"/>
              </w:rPr>
              <w:t>Projekts šo jomu neskar</w:t>
            </w:r>
            <w:r w:rsidRPr="007A5F87">
              <w:rPr>
                <w:color w:val="000000"/>
                <w:sz w:val="24"/>
                <w:szCs w:val="24"/>
                <w:lang w:val="lv-LV"/>
              </w:rPr>
              <w:t xml:space="preserve">. </w:t>
            </w:r>
          </w:p>
        </w:tc>
      </w:tr>
      <w:tr w:rsidR="00D95EF7" w:rsidRPr="00335468" w:rsidTr="00A43634">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D95EF7" w:rsidRPr="00335468" w:rsidRDefault="007243A0" w:rsidP="00F22471">
            <w:pPr>
              <w:jc w:val="both"/>
              <w:rPr>
                <w:rFonts w:eastAsia="Times New Roman"/>
                <w:sz w:val="24"/>
                <w:szCs w:val="24"/>
                <w:lang w:val="lv-LV" w:eastAsia="lv-LV"/>
              </w:rPr>
            </w:pPr>
            <w:r w:rsidRPr="00335468">
              <w:rPr>
                <w:rFonts w:eastAsia="Times New Roman"/>
                <w:sz w:val="24"/>
                <w:szCs w:val="24"/>
                <w:lang w:val="lv-LV" w:eastAsia="lv-LV"/>
              </w:rPr>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tcPr>
          <w:p w:rsidR="00D95EF7" w:rsidRPr="00335468" w:rsidRDefault="007243A0" w:rsidP="00F22471">
            <w:pPr>
              <w:jc w:val="both"/>
              <w:rPr>
                <w:rFonts w:eastAsia="Times New Roman"/>
                <w:sz w:val="24"/>
                <w:szCs w:val="24"/>
                <w:lang w:val="lv-LV" w:eastAsia="lv-LV"/>
              </w:rPr>
            </w:pPr>
            <w:r w:rsidRPr="00335468">
              <w:rPr>
                <w:rFonts w:eastAsia="Times New Roman"/>
                <w:sz w:val="24"/>
                <w:szCs w:val="24"/>
                <w:lang w:val="lv-LV" w:eastAsia="lv-LV"/>
              </w:rPr>
              <w:t>Cita informācija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tcPr>
          <w:p w:rsidR="00D95EF7" w:rsidRPr="007A5F87" w:rsidRDefault="00BF2E4B" w:rsidP="00D95EF7">
            <w:pPr>
              <w:jc w:val="both"/>
              <w:rPr>
                <w:iCs/>
                <w:sz w:val="24"/>
                <w:szCs w:val="24"/>
                <w:lang w:val="lv-LV"/>
              </w:rPr>
            </w:pPr>
            <w:r w:rsidRPr="007A5F87">
              <w:rPr>
                <w:iCs/>
                <w:sz w:val="24"/>
                <w:szCs w:val="24"/>
                <w:lang w:val="lv-LV"/>
              </w:rPr>
              <w:t>Nav</w:t>
            </w:r>
          </w:p>
        </w:tc>
      </w:tr>
    </w:tbl>
    <w:p w:rsidR="00C97F6E" w:rsidRPr="00335468" w:rsidRDefault="00C97F6E" w:rsidP="00F22471">
      <w:pPr>
        <w:jc w:val="both"/>
        <w:rPr>
          <w:rFonts w:eastAsia="Times New Roman"/>
          <w:sz w:val="24"/>
          <w:szCs w:val="24"/>
          <w:lang w:val="lv-LV" w:eastAsia="lv-LV"/>
        </w:rPr>
        <w:sectPr w:rsidR="00C97F6E" w:rsidRPr="00335468" w:rsidSect="00B014C2">
          <w:headerReference w:type="default" r:id="rId9"/>
          <w:footerReference w:type="default" r:id="rId10"/>
          <w:footerReference w:type="first" r:id="rId11"/>
          <w:pgSz w:w="11906" w:h="16838"/>
          <w:pgMar w:top="1418" w:right="1134" w:bottom="1134" w:left="1701" w:header="709" w:footer="709" w:gutter="0"/>
          <w:cols w:space="708"/>
          <w:titlePg/>
          <w:docGrid w:linePitch="360"/>
        </w:sectPr>
      </w:pPr>
    </w:p>
    <w:p w:rsidR="00C97F6E" w:rsidRPr="00335468" w:rsidRDefault="00C97F6E" w:rsidP="00F22471">
      <w:pPr>
        <w:jc w:val="both"/>
        <w:rPr>
          <w:rFonts w:eastAsia="Times New Roman"/>
          <w:sz w:val="24"/>
          <w:szCs w:val="24"/>
          <w:lang w:val="lv-LV" w:eastAsia="lv-LV"/>
        </w:rPr>
      </w:pPr>
    </w:p>
    <w:p w:rsidR="007243A0" w:rsidRPr="00335468" w:rsidRDefault="007243A0" w:rsidP="00BF2E4B">
      <w:pPr>
        <w:jc w:val="center"/>
        <w:rPr>
          <w:rFonts w:eastAsia="Times New Roman"/>
          <w:b/>
          <w:sz w:val="24"/>
          <w:szCs w:val="24"/>
          <w:lang w:val="lv-LV" w:eastAsia="lv-LV"/>
        </w:rPr>
        <w:sectPr w:rsidR="007243A0" w:rsidRPr="00335468" w:rsidSect="00C97F6E">
          <w:type w:val="continuous"/>
          <w:pgSz w:w="11906" w:h="16838"/>
          <w:pgMar w:top="1418" w:right="1134" w:bottom="1134" w:left="1701" w:header="709" w:footer="709" w:gutter="0"/>
          <w:cols w:space="708"/>
          <w:titlePg/>
          <w:docGrid w:linePitch="360"/>
        </w:sectPr>
      </w:pPr>
    </w:p>
    <w:tbl>
      <w:tblPr>
        <w:tblW w:w="0" w:type="auto"/>
        <w:tblCellSpacing w:w="0" w:type="dxa"/>
        <w:tblBorders>
          <w:top w:val="thickThinLargeGap" w:sz="6" w:space="0" w:color="D9D9D9"/>
          <w:left w:val="thickThinLargeGap" w:sz="6" w:space="0" w:color="D9D9D9"/>
          <w:bottom w:val="thickThinLargeGap" w:sz="6" w:space="0" w:color="D9D9D9"/>
          <w:right w:val="thickThinLargeGap" w:sz="6" w:space="0" w:color="D9D9D9"/>
          <w:insideH w:val="thickThinLargeGap" w:sz="6" w:space="0" w:color="D9D9D9"/>
          <w:insideV w:val="thickThinLargeGap" w:sz="6" w:space="0" w:color="D9D9D9"/>
        </w:tblBorders>
        <w:tblCellMar>
          <w:left w:w="0" w:type="dxa"/>
          <w:right w:w="0" w:type="dxa"/>
        </w:tblCellMar>
        <w:tblLook w:val="04A0" w:firstRow="1" w:lastRow="0" w:firstColumn="1" w:lastColumn="0" w:noHBand="0" w:noVBand="1"/>
      </w:tblPr>
      <w:tblGrid>
        <w:gridCol w:w="400"/>
        <w:gridCol w:w="1645"/>
        <w:gridCol w:w="7146"/>
      </w:tblGrid>
      <w:tr w:rsidR="00A706CF" w:rsidRPr="00335468" w:rsidTr="0073286D">
        <w:trPr>
          <w:tblCellSpacing w:w="0" w:type="dxa"/>
        </w:trPr>
        <w:tc>
          <w:tcPr>
            <w:tcW w:w="9191" w:type="dxa"/>
            <w:gridSpan w:val="3"/>
            <w:hideMark/>
          </w:tcPr>
          <w:p w:rsidR="00A706CF" w:rsidRPr="00335468" w:rsidRDefault="00A706CF" w:rsidP="0073286D">
            <w:pPr>
              <w:ind w:firstLine="709"/>
              <w:jc w:val="both"/>
              <w:rPr>
                <w:rFonts w:eastAsia="Times New Roman"/>
                <w:b/>
                <w:bCs/>
                <w:sz w:val="24"/>
                <w:szCs w:val="24"/>
                <w:lang w:val="lv-LV" w:eastAsia="lv-LV"/>
              </w:rPr>
            </w:pPr>
            <w:r w:rsidRPr="00335468">
              <w:rPr>
                <w:rFonts w:eastAsia="Times New Roman"/>
                <w:b/>
                <w:bCs/>
                <w:sz w:val="24"/>
                <w:szCs w:val="24"/>
                <w:lang w:val="lv-LV" w:eastAsia="lv-LV"/>
              </w:rPr>
              <w:lastRenderedPageBreak/>
              <w:t> V. Tiesību akta projekta atbilstība Latvijas Republikas starptautiskajām saistībām</w:t>
            </w:r>
          </w:p>
        </w:tc>
      </w:tr>
      <w:tr w:rsidR="00A706CF" w:rsidRPr="00335468" w:rsidTr="007108E1">
        <w:trPr>
          <w:trHeight w:val="4698"/>
          <w:tblCellSpacing w:w="0" w:type="dxa"/>
        </w:trPr>
        <w:tc>
          <w:tcPr>
            <w:tcW w:w="400" w:type="dxa"/>
            <w:hideMark/>
          </w:tcPr>
          <w:p w:rsidR="00A706CF" w:rsidRPr="00335468" w:rsidRDefault="00A706CF" w:rsidP="0073286D">
            <w:pPr>
              <w:rPr>
                <w:rFonts w:eastAsia="Times New Roman"/>
                <w:sz w:val="24"/>
                <w:szCs w:val="24"/>
                <w:lang w:val="lv-LV" w:eastAsia="lv-LV"/>
              </w:rPr>
            </w:pPr>
            <w:r w:rsidRPr="00335468">
              <w:rPr>
                <w:rFonts w:eastAsia="Times New Roman"/>
                <w:sz w:val="24"/>
                <w:szCs w:val="24"/>
                <w:lang w:val="lv-LV" w:eastAsia="lv-LV"/>
              </w:rPr>
              <w:t> 1.</w:t>
            </w:r>
          </w:p>
        </w:tc>
        <w:tc>
          <w:tcPr>
            <w:tcW w:w="1645" w:type="dxa"/>
            <w:hideMark/>
          </w:tcPr>
          <w:p w:rsidR="00A706CF" w:rsidRPr="00335468" w:rsidRDefault="00A706CF" w:rsidP="0073286D">
            <w:pPr>
              <w:rPr>
                <w:rFonts w:eastAsia="Times New Roman"/>
                <w:sz w:val="24"/>
                <w:szCs w:val="24"/>
                <w:lang w:val="lv-LV" w:eastAsia="lv-LV"/>
              </w:rPr>
            </w:pPr>
            <w:r w:rsidRPr="00335468">
              <w:rPr>
                <w:rFonts w:eastAsia="Times New Roman"/>
                <w:sz w:val="24"/>
                <w:szCs w:val="24"/>
                <w:lang w:val="lv-LV" w:eastAsia="lv-LV"/>
              </w:rPr>
              <w:t> Saistības pret Eiropas Savienību</w:t>
            </w:r>
          </w:p>
        </w:tc>
        <w:tc>
          <w:tcPr>
            <w:tcW w:w="7146" w:type="dxa"/>
            <w:hideMark/>
          </w:tcPr>
          <w:p w:rsidR="00A706CF" w:rsidRPr="00335468" w:rsidRDefault="00A706CF" w:rsidP="0073286D">
            <w:pPr>
              <w:jc w:val="both"/>
              <w:rPr>
                <w:rFonts w:eastAsia="Times New Roman"/>
                <w:sz w:val="24"/>
                <w:szCs w:val="24"/>
                <w:lang w:val="lv-LV" w:eastAsia="lv-LV"/>
              </w:rPr>
            </w:pPr>
            <w:r w:rsidRPr="00335468">
              <w:rPr>
                <w:rFonts w:eastAsia="Times New Roman"/>
                <w:sz w:val="24"/>
                <w:szCs w:val="24"/>
                <w:lang w:val="lv-LV" w:eastAsia="lv-LV"/>
              </w:rPr>
              <w:t>Ar tiesību akta projektu tiek ieviests:</w:t>
            </w:r>
          </w:p>
          <w:p w:rsidR="00A706CF" w:rsidRPr="00335468" w:rsidRDefault="00335468" w:rsidP="00335468">
            <w:pPr>
              <w:pStyle w:val="ListParagraph"/>
              <w:numPr>
                <w:ilvl w:val="0"/>
                <w:numId w:val="4"/>
              </w:numPr>
              <w:ind w:left="223"/>
              <w:jc w:val="both"/>
              <w:rPr>
                <w:rFonts w:eastAsia="Times New Roman"/>
                <w:sz w:val="24"/>
                <w:szCs w:val="24"/>
                <w:lang w:val="lv-LV" w:eastAsia="lv-LV"/>
              </w:rPr>
            </w:pPr>
            <w:r>
              <w:rPr>
                <w:sz w:val="24"/>
                <w:szCs w:val="24"/>
                <w:lang w:val="lv-LV"/>
              </w:rPr>
              <w:t xml:space="preserve">- </w:t>
            </w:r>
            <w:r w:rsidR="00AD6A13" w:rsidRPr="00335468">
              <w:rPr>
                <w:sz w:val="24"/>
                <w:szCs w:val="24"/>
                <w:lang w:val="lv-LV"/>
              </w:rPr>
              <w:t>Padomes 2006.gada 11.jūlija Regula (EK) Nr.1083/2006, ar ko paredz vispārīgus noteikumus par Eiropas Reģionālās attīstības fondu, Eiropas Sociālo fondu un Kohēzijas fondu un atceļ Regulu (EK) Nr.1260/1999 (turpmāk – Padomes regula Nr.1083/2006);</w:t>
            </w:r>
          </w:p>
          <w:p w:rsidR="00AD6A13" w:rsidRPr="00B451F4" w:rsidRDefault="00335468" w:rsidP="00335468">
            <w:pPr>
              <w:pStyle w:val="ListParagraph"/>
              <w:numPr>
                <w:ilvl w:val="0"/>
                <w:numId w:val="4"/>
              </w:numPr>
              <w:ind w:left="223"/>
              <w:jc w:val="both"/>
              <w:rPr>
                <w:rFonts w:eastAsia="Times New Roman"/>
                <w:sz w:val="24"/>
                <w:szCs w:val="24"/>
                <w:lang w:val="lv-LV" w:eastAsia="lv-LV"/>
              </w:rPr>
            </w:pPr>
            <w:r>
              <w:rPr>
                <w:sz w:val="24"/>
                <w:szCs w:val="24"/>
                <w:lang w:val="lv-LV"/>
              </w:rPr>
              <w:t xml:space="preserve">- </w:t>
            </w:r>
            <w:r w:rsidR="00AD6A13" w:rsidRPr="00335468">
              <w:rPr>
                <w:sz w:val="24"/>
                <w:szCs w:val="24"/>
                <w:lang w:val="lv-LV"/>
              </w:rPr>
              <w:t xml:space="preserve">Komisijas 2006.gada 8.decembra Regula (EK) </w:t>
            </w:r>
            <w:proofErr w:type="spellStart"/>
            <w:r w:rsidR="00AD6A13" w:rsidRPr="00335468">
              <w:rPr>
                <w:sz w:val="24"/>
                <w:szCs w:val="24"/>
                <w:lang w:val="lv-LV"/>
              </w:rPr>
              <w:t>Nr</w:t>
            </w:r>
            <w:proofErr w:type="spellEnd"/>
            <w:r w:rsidR="00AD6A13" w:rsidRPr="00335468">
              <w:rPr>
                <w:sz w:val="24"/>
                <w:szCs w:val="24"/>
                <w:lang w:val="lv-LV"/>
              </w:rPr>
              <w:t xml:space="preserve">. 1828/2006, kas paredz noteikumus par to, kā īstenot Padomes Regulu (EK) </w:t>
            </w:r>
            <w:proofErr w:type="spellStart"/>
            <w:r w:rsidR="00AD6A13" w:rsidRPr="00335468">
              <w:rPr>
                <w:sz w:val="24"/>
                <w:szCs w:val="24"/>
                <w:lang w:val="lv-LV"/>
              </w:rPr>
              <w:t>Nr</w:t>
            </w:r>
            <w:proofErr w:type="spellEnd"/>
            <w:r w:rsidR="00AD6A13" w:rsidRPr="00335468">
              <w:rPr>
                <w:sz w:val="24"/>
                <w:szCs w:val="24"/>
                <w:lang w:val="lv-LV"/>
              </w:rPr>
              <w:t xml:space="preserve">. 1083/2006, ar ko paredz vispārīgus noteikumus par Eiropas Reģionālās attīstības fondu, Eiropas Sociālo fondu un Kohēzijas fondu, un Eiropas Parlamenta un Padomes Regulu (EK) </w:t>
            </w:r>
            <w:proofErr w:type="spellStart"/>
            <w:r w:rsidR="00AD6A13" w:rsidRPr="00335468">
              <w:rPr>
                <w:sz w:val="24"/>
                <w:szCs w:val="24"/>
                <w:lang w:val="lv-LV"/>
              </w:rPr>
              <w:t>Nr</w:t>
            </w:r>
            <w:proofErr w:type="spellEnd"/>
            <w:r w:rsidR="00AD6A13" w:rsidRPr="00335468">
              <w:rPr>
                <w:sz w:val="24"/>
                <w:szCs w:val="24"/>
                <w:lang w:val="lv-LV"/>
              </w:rPr>
              <w:t xml:space="preserve">. 1080/2006 par Eiropas Reģionālās attīstības fondu (turpmāk </w:t>
            </w:r>
            <w:r w:rsidR="00B451F4">
              <w:rPr>
                <w:sz w:val="24"/>
                <w:szCs w:val="24"/>
                <w:lang w:val="lv-LV"/>
              </w:rPr>
              <w:t>–Komisijas regula Nr.1828/2006);</w:t>
            </w:r>
          </w:p>
          <w:p w:rsidR="00B451F4" w:rsidRPr="00D01664" w:rsidRDefault="00B451F4" w:rsidP="007E0942">
            <w:pPr>
              <w:pStyle w:val="ListParagraph"/>
              <w:numPr>
                <w:ilvl w:val="0"/>
                <w:numId w:val="4"/>
              </w:numPr>
              <w:ind w:left="223"/>
              <w:jc w:val="both"/>
              <w:rPr>
                <w:rFonts w:eastAsia="Times New Roman"/>
                <w:sz w:val="24"/>
                <w:szCs w:val="24"/>
                <w:lang w:val="lv-LV" w:eastAsia="lv-LV"/>
              </w:rPr>
            </w:pPr>
            <w:r>
              <w:rPr>
                <w:sz w:val="24"/>
                <w:szCs w:val="24"/>
                <w:lang w:val="lv-LV"/>
              </w:rPr>
              <w:t xml:space="preserve"> </w:t>
            </w:r>
            <w:r w:rsidRPr="00B17E05">
              <w:rPr>
                <w:sz w:val="24"/>
                <w:szCs w:val="24"/>
                <w:lang w:val="lv-LV"/>
              </w:rPr>
              <w:t xml:space="preserve">- </w:t>
            </w:r>
            <w:r w:rsidR="007E0942" w:rsidRPr="00B17E05">
              <w:rPr>
                <w:sz w:val="24"/>
                <w:szCs w:val="24"/>
              </w:rPr>
              <w:t xml:space="preserve">2013.gada 18.decembra </w:t>
            </w:r>
            <w:proofErr w:type="spellStart"/>
            <w:r w:rsidR="00850127" w:rsidRPr="00B17E05">
              <w:rPr>
                <w:sz w:val="24"/>
                <w:szCs w:val="24"/>
              </w:rPr>
              <w:t>Komisijas</w:t>
            </w:r>
            <w:proofErr w:type="spellEnd"/>
            <w:r w:rsidR="00850127" w:rsidRPr="00B17E05">
              <w:rPr>
                <w:sz w:val="24"/>
                <w:szCs w:val="24"/>
              </w:rPr>
              <w:t xml:space="preserve"> </w:t>
            </w:r>
            <w:proofErr w:type="spellStart"/>
            <w:r w:rsidR="00850127" w:rsidRPr="00B17E05">
              <w:rPr>
                <w:sz w:val="24"/>
                <w:szCs w:val="24"/>
              </w:rPr>
              <w:t>Regulu</w:t>
            </w:r>
            <w:proofErr w:type="spellEnd"/>
            <w:r w:rsidR="00850127" w:rsidRPr="00B17E05">
              <w:rPr>
                <w:sz w:val="24"/>
                <w:szCs w:val="24"/>
              </w:rPr>
              <w:t xml:space="preserve"> (EK) Nr. 1407/2013 par </w:t>
            </w:r>
            <w:proofErr w:type="spellStart"/>
            <w:r w:rsidR="00850127" w:rsidRPr="00B17E05">
              <w:rPr>
                <w:sz w:val="24"/>
                <w:szCs w:val="24"/>
              </w:rPr>
              <w:t>Līguma</w:t>
            </w:r>
            <w:proofErr w:type="spellEnd"/>
            <w:r w:rsidR="00850127" w:rsidRPr="00B17E05">
              <w:rPr>
                <w:sz w:val="24"/>
                <w:szCs w:val="24"/>
              </w:rPr>
              <w:t xml:space="preserve"> par </w:t>
            </w:r>
            <w:proofErr w:type="spellStart"/>
            <w:r w:rsidR="00850127" w:rsidRPr="00B17E05">
              <w:rPr>
                <w:sz w:val="24"/>
                <w:szCs w:val="24"/>
              </w:rPr>
              <w:t>Eiropas</w:t>
            </w:r>
            <w:proofErr w:type="spellEnd"/>
            <w:r w:rsidR="00850127" w:rsidRPr="00B17E05">
              <w:rPr>
                <w:sz w:val="24"/>
                <w:szCs w:val="24"/>
              </w:rPr>
              <w:t xml:space="preserve"> </w:t>
            </w:r>
            <w:proofErr w:type="spellStart"/>
            <w:r w:rsidR="00850127" w:rsidRPr="00B17E05">
              <w:rPr>
                <w:sz w:val="24"/>
                <w:szCs w:val="24"/>
              </w:rPr>
              <w:t>Savienības</w:t>
            </w:r>
            <w:proofErr w:type="spellEnd"/>
            <w:r w:rsidR="00850127" w:rsidRPr="00B17E05">
              <w:rPr>
                <w:sz w:val="24"/>
                <w:szCs w:val="24"/>
              </w:rPr>
              <w:t xml:space="preserve"> </w:t>
            </w:r>
            <w:proofErr w:type="spellStart"/>
            <w:r w:rsidR="00850127" w:rsidRPr="00B17E05">
              <w:rPr>
                <w:sz w:val="24"/>
                <w:szCs w:val="24"/>
              </w:rPr>
              <w:t>darbību</w:t>
            </w:r>
            <w:proofErr w:type="spellEnd"/>
            <w:r w:rsidR="00850127" w:rsidRPr="00B17E05">
              <w:rPr>
                <w:sz w:val="24"/>
                <w:szCs w:val="24"/>
              </w:rPr>
              <w:t xml:space="preserve"> 107. un 108.panta </w:t>
            </w:r>
            <w:proofErr w:type="spellStart"/>
            <w:r w:rsidR="00850127" w:rsidRPr="00B17E05">
              <w:rPr>
                <w:sz w:val="24"/>
                <w:szCs w:val="24"/>
              </w:rPr>
              <w:t>piemērošanu</w:t>
            </w:r>
            <w:proofErr w:type="spellEnd"/>
            <w:r w:rsidR="00850127" w:rsidRPr="00B17E05">
              <w:rPr>
                <w:sz w:val="24"/>
                <w:szCs w:val="24"/>
              </w:rPr>
              <w:t xml:space="preserve"> </w:t>
            </w:r>
            <w:r w:rsidR="00850127" w:rsidRPr="00B17E05">
              <w:rPr>
                <w:i/>
                <w:sz w:val="24"/>
                <w:szCs w:val="24"/>
              </w:rPr>
              <w:t xml:space="preserve">de </w:t>
            </w:r>
            <w:proofErr w:type="spellStart"/>
            <w:r w:rsidR="00850127" w:rsidRPr="00B17E05">
              <w:rPr>
                <w:i/>
                <w:sz w:val="24"/>
                <w:szCs w:val="24"/>
              </w:rPr>
              <w:t>minimis</w:t>
            </w:r>
            <w:proofErr w:type="spellEnd"/>
            <w:r w:rsidR="00850127" w:rsidRPr="00B17E05">
              <w:rPr>
                <w:sz w:val="24"/>
                <w:szCs w:val="24"/>
              </w:rPr>
              <w:t xml:space="preserve"> </w:t>
            </w:r>
            <w:proofErr w:type="spellStart"/>
            <w:r w:rsidR="00850127" w:rsidRPr="00B17E05">
              <w:rPr>
                <w:sz w:val="24"/>
                <w:szCs w:val="24"/>
              </w:rPr>
              <w:t>atbalstam</w:t>
            </w:r>
            <w:proofErr w:type="spellEnd"/>
            <w:r w:rsidR="00850127" w:rsidRPr="00B17E05">
              <w:rPr>
                <w:sz w:val="24"/>
                <w:szCs w:val="24"/>
              </w:rPr>
              <w:t xml:space="preserve"> (</w:t>
            </w:r>
            <w:proofErr w:type="spellStart"/>
            <w:r w:rsidR="00850127" w:rsidRPr="00B17E05">
              <w:rPr>
                <w:sz w:val="24"/>
                <w:szCs w:val="24"/>
              </w:rPr>
              <w:t>Eiropas</w:t>
            </w:r>
            <w:proofErr w:type="spellEnd"/>
            <w:r w:rsidR="00850127" w:rsidRPr="00B17E05">
              <w:rPr>
                <w:sz w:val="24"/>
                <w:szCs w:val="24"/>
              </w:rPr>
              <w:t xml:space="preserve"> </w:t>
            </w:r>
            <w:proofErr w:type="spellStart"/>
            <w:r w:rsidR="00850127" w:rsidRPr="00B17E05">
              <w:rPr>
                <w:sz w:val="24"/>
                <w:szCs w:val="24"/>
              </w:rPr>
              <w:t>Savienības</w:t>
            </w:r>
            <w:proofErr w:type="spellEnd"/>
            <w:r w:rsidR="00850127" w:rsidRPr="00B17E05">
              <w:rPr>
                <w:sz w:val="24"/>
                <w:szCs w:val="24"/>
              </w:rPr>
              <w:t xml:space="preserve"> </w:t>
            </w:r>
            <w:proofErr w:type="spellStart"/>
            <w:r w:rsidR="00850127" w:rsidRPr="00B17E05">
              <w:rPr>
                <w:sz w:val="24"/>
                <w:szCs w:val="24"/>
              </w:rPr>
              <w:t>Oficiālais</w:t>
            </w:r>
            <w:proofErr w:type="spellEnd"/>
            <w:r w:rsidR="00850127" w:rsidRPr="00B17E05">
              <w:rPr>
                <w:sz w:val="24"/>
                <w:szCs w:val="24"/>
              </w:rPr>
              <w:t xml:space="preserve"> </w:t>
            </w:r>
            <w:proofErr w:type="spellStart"/>
            <w:r w:rsidR="00850127" w:rsidRPr="00B17E05">
              <w:rPr>
                <w:sz w:val="24"/>
                <w:szCs w:val="24"/>
              </w:rPr>
              <w:t>Vēstnesis</w:t>
            </w:r>
            <w:proofErr w:type="spellEnd"/>
            <w:r w:rsidR="00850127" w:rsidRPr="00B17E05">
              <w:rPr>
                <w:sz w:val="24"/>
                <w:szCs w:val="24"/>
              </w:rPr>
              <w:t>, 2013.gada 24</w:t>
            </w:r>
            <w:r w:rsidR="00850127" w:rsidRPr="00D01664">
              <w:rPr>
                <w:sz w:val="24"/>
                <w:szCs w:val="24"/>
              </w:rPr>
              <w:t>.decembris, Nr. L 352</w:t>
            </w:r>
            <w:r w:rsidRPr="00D01664">
              <w:rPr>
                <w:sz w:val="24"/>
                <w:szCs w:val="24"/>
              </w:rPr>
              <w:t>) (</w:t>
            </w:r>
            <w:proofErr w:type="spellStart"/>
            <w:r w:rsidRPr="00D01664">
              <w:rPr>
                <w:sz w:val="24"/>
                <w:szCs w:val="24"/>
              </w:rPr>
              <w:t>turpmā</w:t>
            </w:r>
            <w:r w:rsidR="00850127" w:rsidRPr="00D01664">
              <w:rPr>
                <w:sz w:val="24"/>
                <w:szCs w:val="24"/>
              </w:rPr>
              <w:t>k</w:t>
            </w:r>
            <w:proofErr w:type="spellEnd"/>
            <w:r w:rsidR="00850127" w:rsidRPr="00D01664">
              <w:rPr>
                <w:sz w:val="24"/>
                <w:szCs w:val="24"/>
              </w:rPr>
              <w:t xml:space="preserve"> – </w:t>
            </w:r>
            <w:proofErr w:type="spellStart"/>
            <w:r w:rsidR="00850127" w:rsidRPr="00D01664">
              <w:rPr>
                <w:sz w:val="24"/>
                <w:szCs w:val="24"/>
              </w:rPr>
              <w:t>Komisijas</w:t>
            </w:r>
            <w:proofErr w:type="spellEnd"/>
            <w:r w:rsidR="00850127" w:rsidRPr="00D01664">
              <w:rPr>
                <w:sz w:val="24"/>
                <w:szCs w:val="24"/>
              </w:rPr>
              <w:t xml:space="preserve"> </w:t>
            </w:r>
            <w:proofErr w:type="spellStart"/>
            <w:r w:rsidR="00850127" w:rsidRPr="00D01664">
              <w:rPr>
                <w:sz w:val="24"/>
                <w:szCs w:val="24"/>
              </w:rPr>
              <w:t>r</w:t>
            </w:r>
            <w:r w:rsidRPr="00D01664">
              <w:rPr>
                <w:sz w:val="24"/>
                <w:szCs w:val="24"/>
              </w:rPr>
              <w:t>egul</w:t>
            </w:r>
            <w:r w:rsidR="007A5F87" w:rsidRPr="00D01664">
              <w:rPr>
                <w:sz w:val="24"/>
                <w:szCs w:val="24"/>
              </w:rPr>
              <w:t>a</w:t>
            </w:r>
            <w:proofErr w:type="spellEnd"/>
            <w:r w:rsidR="007A5F87" w:rsidRPr="00D01664">
              <w:rPr>
                <w:sz w:val="24"/>
                <w:szCs w:val="24"/>
              </w:rPr>
              <w:t xml:space="preserve"> Nr. 1407/2013);</w:t>
            </w:r>
          </w:p>
          <w:p w:rsidR="007A5F87" w:rsidRPr="00B17E05" w:rsidRDefault="007A5F87" w:rsidP="007E0942">
            <w:pPr>
              <w:pStyle w:val="ListParagraph"/>
              <w:numPr>
                <w:ilvl w:val="0"/>
                <w:numId w:val="4"/>
              </w:numPr>
              <w:ind w:left="223"/>
              <w:jc w:val="both"/>
              <w:rPr>
                <w:rFonts w:eastAsia="Times New Roman"/>
                <w:sz w:val="24"/>
                <w:szCs w:val="24"/>
                <w:lang w:val="lv-LV" w:eastAsia="lv-LV"/>
              </w:rPr>
            </w:pPr>
            <w:r w:rsidRPr="00D01664">
              <w:rPr>
                <w:sz w:val="24"/>
                <w:szCs w:val="24"/>
              </w:rPr>
              <w:t xml:space="preserve"> - </w:t>
            </w:r>
            <w:proofErr w:type="spellStart"/>
            <w:r w:rsidRPr="00D01664">
              <w:rPr>
                <w:sz w:val="24"/>
                <w:szCs w:val="24"/>
              </w:rPr>
              <w:t>Eiropas</w:t>
            </w:r>
            <w:proofErr w:type="spellEnd"/>
            <w:r w:rsidRPr="00D01664">
              <w:rPr>
                <w:sz w:val="24"/>
                <w:szCs w:val="24"/>
              </w:rPr>
              <w:t xml:space="preserve"> </w:t>
            </w:r>
            <w:proofErr w:type="spellStart"/>
            <w:r w:rsidRPr="00D01664">
              <w:rPr>
                <w:sz w:val="24"/>
                <w:szCs w:val="24"/>
              </w:rPr>
              <w:t>Komisijas</w:t>
            </w:r>
            <w:proofErr w:type="spellEnd"/>
            <w:r w:rsidRPr="00D01664">
              <w:rPr>
                <w:sz w:val="24"/>
                <w:szCs w:val="24"/>
              </w:rPr>
              <w:t xml:space="preserve"> 2008.gada 6.augusta </w:t>
            </w:r>
            <w:proofErr w:type="spellStart"/>
            <w:r w:rsidRPr="00D01664">
              <w:rPr>
                <w:sz w:val="24"/>
                <w:szCs w:val="24"/>
              </w:rPr>
              <w:t>Regulas</w:t>
            </w:r>
            <w:proofErr w:type="spellEnd"/>
            <w:r w:rsidRPr="00D01664">
              <w:rPr>
                <w:sz w:val="24"/>
                <w:szCs w:val="24"/>
              </w:rPr>
              <w:t xml:space="preserve"> (EK) Nr.800/2008, </w:t>
            </w:r>
            <w:proofErr w:type="spellStart"/>
            <w:r w:rsidRPr="00D01664">
              <w:rPr>
                <w:sz w:val="24"/>
                <w:szCs w:val="24"/>
              </w:rPr>
              <w:t>kas</w:t>
            </w:r>
            <w:proofErr w:type="spellEnd"/>
            <w:r w:rsidRPr="00D01664">
              <w:rPr>
                <w:sz w:val="24"/>
                <w:szCs w:val="24"/>
              </w:rPr>
              <w:t xml:space="preserve"> </w:t>
            </w:r>
            <w:proofErr w:type="spellStart"/>
            <w:r w:rsidRPr="00D01664">
              <w:rPr>
                <w:sz w:val="24"/>
                <w:szCs w:val="24"/>
              </w:rPr>
              <w:t>atzīst</w:t>
            </w:r>
            <w:proofErr w:type="spellEnd"/>
            <w:r w:rsidRPr="00D01664">
              <w:rPr>
                <w:sz w:val="24"/>
                <w:szCs w:val="24"/>
              </w:rPr>
              <w:t xml:space="preserve"> </w:t>
            </w:r>
            <w:proofErr w:type="spellStart"/>
            <w:r w:rsidRPr="00D01664">
              <w:rPr>
                <w:sz w:val="24"/>
                <w:szCs w:val="24"/>
              </w:rPr>
              <w:t>noteiktas</w:t>
            </w:r>
            <w:proofErr w:type="spellEnd"/>
            <w:r w:rsidRPr="00D01664">
              <w:rPr>
                <w:sz w:val="24"/>
                <w:szCs w:val="24"/>
              </w:rPr>
              <w:t xml:space="preserve"> </w:t>
            </w:r>
            <w:proofErr w:type="spellStart"/>
            <w:r w:rsidRPr="00D01664">
              <w:rPr>
                <w:sz w:val="24"/>
                <w:szCs w:val="24"/>
              </w:rPr>
              <w:t>atbalsta</w:t>
            </w:r>
            <w:proofErr w:type="spellEnd"/>
            <w:r w:rsidRPr="00D01664">
              <w:rPr>
                <w:sz w:val="24"/>
                <w:szCs w:val="24"/>
              </w:rPr>
              <w:t xml:space="preserve"> </w:t>
            </w:r>
            <w:proofErr w:type="spellStart"/>
            <w:r w:rsidRPr="00D01664">
              <w:rPr>
                <w:sz w:val="24"/>
                <w:szCs w:val="24"/>
              </w:rPr>
              <w:t>kategorijas</w:t>
            </w:r>
            <w:proofErr w:type="spellEnd"/>
            <w:r w:rsidRPr="00D01664">
              <w:rPr>
                <w:sz w:val="24"/>
                <w:szCs w:val="24"/>
              </w:rPr>
              <w:t xml:space="preserve"> par </w:t>
            </w:r>
            <w:proofErr w:type="spellStart"/>
            <w:r w:rsidRPr="00D01664">
              <w:rPr>
                <w:sz w:val="24"/>
                <w:szCs w:val="24"/>
              </w:rPr>
              <w:t>saderīgām</w:t>
            </w:r>
            <w:proofErr w:type="spellEnd"/>
            <w:r w:rsidRPr="00D01664">
              <w:rPr>
                <w:sz w:val="24"/>
                <w:szCs w:val="24"/>
              </w:rPr>
              <w:t xml:space="preserve"> </w:t>
            </w:r>
            <w:proofErr w:type="spellStart"/>
            <w:r w:rsidRPr="00D01664">
              <w:rPr>
                <w:sz w:val="24"/>
                <w:szCs w:val="24"/>
              </w:rPr>
              <w:t>ar</w:t>
            </w:r>
            <w:proofErr w:type="spellEnd"/>
            <w:r w:rsidRPr="00D01664">
              <w:rPr>
                <w:sz w:val="24"/>
                <w:szCs w:val="24"/>
              </w:rPr>
              <w:t xml:space="preserve"> </w:t>
            </w:r>
            <w:proofErr w:type="spellStart"/>
            <w:r w:rsidRPr="00D01664">
              <w:rPr>
                <w:sz w:val="24"/>
                <w:szCs w:val="24"/>
              </w:rPr>
              <w:t>kopējo</w:t>
            </w:r>
            <w:proofErr w:type="spellEnd"/>
            <w:r w:rsidRPr="00D01664">
              <w:rPr>
                <w:sz w:val="24"/>
                <w:szCs w:val="24"/>
              </w:rPr>
              <w:t xml:space="preserve"> </w:t>
            </w:r>
            <w:proofErr w:type="spellStart"/>
            <w:r w:rsidRPr="00D01664">
              <w:rPr>
                <w:sz w:val="24"/>
                <w:szCs w:val="24"/>
              </w:rPr>
              <w:t>tirgu</w:t>
            </w:r>
            <w:proofErr w:type="spellEnd"/>
            <w:r w:rsidRPr="00D01664">
              <w:rPr>
                <w:sz w:val="24"/>
                <w:szCs w:val="24"/>
              </w:rPr>
              <w:t xml:space="preserve">, </w:t>
            </w:r>
            <w:proofErr w:type="spellStart"/>
            <w:r w:rsidRPr="00D01664">
              <w:rPr>
                <w:sz w:val="24"/>
                <w:szCs w:val="24"/>
              </w:rPr>
              <w:t>piemērojot</w:t>
            </w:r>
            <w:proofErr w:type="spellEnd"/>
            <w:r w:rsidRPr="00D01664">
              <w:rPr>
                <w:sz w:val="24"/>
                <w:szCs w:val="24"/>
              </w:rPr>
              <w:t xml:space="preserve"> </w:t>
            </w:r>
            <w:proofErr w:type="spellStart"/>
            <w:r w:rsidRPr="00D01664">
              <w:rPr>
                <w:sz w:val="24"/>
                <w:szCs w:val="24"/>
              </w:rPr>
              <w:t>Līguma</w:t>
            </w:r>
            <w:proofErr w:type="spellEnd"/>
            <w:r w:rsidRPr="00D01664">
              <w:rPr>
                <w:sz w:val="24"/>
                <w:szCs w:val="24"/>
              </w:rPr>
              <w:t xml:space="preserve"> 87. </w:t>
            </w:r>
            <w:proofErr w:type="gramStart"/>
            <w:r w:rsidRPr="00D01664">
              <w:rPr>
                <w:sz w:val="24"/>
                <w:szCs w:val="24"/>
              </w:rPr>
              <w:t>un</w:t>
            </w:r>
            <w:proofErr w:type="gramEnd"/>
            <w:r w:rsidRPr="00D01664">
              <w:rPr>
                <w:sz w:val="24"/>
                <w:szCs w:val="24"/>
              </w:rPr>
              <w:t xml:space="preserve"> 88.pantu (</w:t>
            </w:r>
            <w:proofErr w:type="spellStart"/>
            <w:r w:rsidRPr="00D01664">
              <w:rPr>
                <w:sz w:val="24"/>
                <w:szCs w:val="24"/>
              </w:rPr>
              <w:t>vispārējā</w:t>
            </w:r>
            <w:proofErr w:type="spellEnd"/>
            <w:r w:rsidRPr="00D01664">
              <w:rPr>
                <w:sz w:val="24"/>
                <w:szCs w:val="24"/>
              </w:rPr>
              <w:t xml:space="preserve"> </w:t>
            </w:r>
            <w:proofErr w:type="spellStart"/>
            <w:r w:rsidRPr="00D01664">
              <w:rPr>
                <w:sz w:val="24"/>
                <w:szCs w:val="24"/>
              </w:rPr>
              <w:t>grupu</w:t>
            </w:r>
            <w:proofErr w:type="spellEnd"/>
            <w:r w:rsidRPr="00D01664">
              <w:rPr>
                <w:sz w:val="24"/>
                <w:szCs w:val="24"/>
              </w:rPr>
              <w:t xml:space="preserve"> </w:t>
            </w:r>
            <w:proofErr w:type="spellStart"/>
            <w:r w:rsidRPr="00D01664">
              <w:rPr>
                <w:sz w:val="24"/>
                <w:szCs w:val="24"/>
              </w:rPr>
              <w:t>atbrīvojuma</w:t>
            </w:r>
            <w:proofErr w:type="spellEnd"/>
            <w:r w:rsidRPr="00D01664">
              <w:rPr>
                <w:sz w:val="24"/>
                <w:szCs w:val="24"/>
              </w:rPr>
              <w:t xml:space="preserve"> </w:t>
            </w:r>
            <w:proofErr w:type="spellStart"/>
            <w:r w:rsidRPr="00D01664">
              <w:rPr>
                <w:sz w:val="24"/>
                <w:szCs w:val="24"/>
              </w:rPr>
              <w:t>regula</w:t>
            </w:r>
            <w:proofErr w:type="spellEnd"/>
            <w:r w:rsidRPr="00D01664">
              <w:rPr>
                <w:sz w:val="24"/>
                <w:szCs w:val="24"/>
              </w:rPr>
              <w:t>) (</w:t>
            </w:r>
            <w:proofErr w:type="spellStart"/>
            <w:r w:rsidRPr="00D01664">
              <w:rPr>
                <w:sz w:val="24"/>
                <w:szCs w:val="24"/>
              </w:rPr>
              <w:t>turpmāk</w:t>
            </w:r>
            <w:proofErr w:type="spellEnd"/>
            <w:r w:rsidRPr="00D01664">
              <w:rPr>
                <w:sz w:val="24"/>
                <w:szCs w:val="24"/>
              </w:rPr>
              <w:t xml:space="preserve"> – </w:t>
            </w:r>
            <w:proofErr w:type="spellStart"/>
            <w:r w:rsidRPr="00D01664">
              <w:rPr>
                <w:sz w:val="24"/>
                <w:szCs w:val="24"/>
              </w:rPr>
              <w:t>Komisijas</w:t>
            </w:r>
            <w:proofErr w:type="spellEnd"/>
            <w:r w:rsidRPr="00D01664">
              <w:rPr>
                <w:sz w:val="24"/>
                <w:szCs w:val="24"/>
              </w:rPr>
              <w:t xml:space="preserve"> </w:t>
            </w:r>
            <w:proofErr w:type="spellStart"/>
            <w:r w:rsidRPr="00D01664">
              <w:rPr>
                <w:sz w:val="24"/>
                <w:szCs w:val="24"/>
              </w:rPr>
              <w:t>regula</w:t>
            </w:r>
            <w:proofErr w:type="spellEnd"/>
            <w:r w:rsidRPr="00D01664">
              <w:rPr>
                <w:sz w:val="24"/>
                <w:szCs w:val="24"/>
              </w:rPr>
              <w:t xml:space="preserve"> Nr.800/2008).</w:t>
            </w:r>
          </w:p>
        </w:tc>
      </w:tr>
      <w:tr w:rsidR="00A706CF" w:rsidRPr="00335468" w:rsidTr="0073286D">
        <w:trPr>
          <w:tblCellSpacing w:w="0" w:type="dxa"/>
        </w:trPr>
        <w:tc>
          <w:tcPr>
            <w:tcW w:w="400" w:type="dxa"/>
            <w:hideMark/>
          </w:tcPr>
          <w:p w:rsidR="00A706CF" w:rsidRPr="00335468" w:rsidRDefault="00A706CF" w:rsidP="0073286D">
            <w:pPr>
              <w:rPr>
                <w:rFonts w:eastAsia="Times New Roman"/>
                <w:sz w:val="24"/>
                <w:szCs w:val="24"/>
                <w:lang w:val="lv-LV" w:eastAsia="lv-LV"/>
              </w:rPr>
            </w:pPr>
            <w:r w:rsidRPr="00335468">
              <w:rPr>
                <w:rFonts w:eastAsia="Times New Roman"/>
                <w:sz w:val="24"/>
                <w:szCs w:val="24"/>
                <w:lang w:val="lv-LV" w:eastAsia="lv-LV"/>
              </w:rPr>
              <w:t> 2.</w:t>
            </w:r>
          </w:p>
        </w:tc>
        <w:tc>
          <w:tcPr>
            <w:tcW w:w="1645" w:type="dxa"/>
            <w:hideMark/>
          </w:tcPr>
          <w:p w:rsidR="00A706CF" w:rsidRPr="00335468" w:rsidRDefault="00A706CF" w:rsidP="0073286D">
            <w:pPr>
              <w:rPr>
                <w:rFonts w:eastAsia="Times New Roman"/>
                <w:sz w:val="24"/>
                <w:szCs w:val="24"/>
                <w:lang w:val="lv-LV" w:eastAsia="lv-LV"/>
              </w:rPr>
            </w:pPr>
            <w:r w:rsidRPr="00335468">
              <w:rPr>
                <w:rFonts w:eastAsia="Times New Roman"/>
                <w:sz w:val="24"/>
                <w:szCs w:val="24"/>
                <w:lang w:val="lv-LV" w:eastAsia="lv-LV"/>
              </w:rPr>
              <w:t xml:space="preserve"> Citas starptautiskās </w:t>
            </w:r>
            <w:r w:rsidRPr="00335468">
              <w:rPr>
                <w:rFonts w:eastAsia="Times New Roman"/>
                <w:sz w:val="24"/>
                <w:szCs w:val="24"/>
                <w:lang w:val="lv-LV" w:eastAsia="lv-LV"/>
              </w:rPr>
              <w:lastRenderedPageBreak/>
              <w:t>saistības</w:t>
            </w:r>
          </w:p>
        </w:tc>
        <w:tc>
          <w:tcPr>
            <w:tcW w:w="7146" w:type="dxa"/>
            <w:hideMark/>
          </w:tcPr>
          <w:p w:rsidR="00A706CF" w:rsidRPr="00335468" w:rsidRDefault="00A706CF" w:rsidP="0073286D">
            <w:pPr>
              <w:ind w:firstLine="689"/>
              <w:rPr>
                <w:rFonts w:eastAsia="Times New Roman"/>
                <w:sz w:val="24"/>
                <w:szCs w:val="24"/>
                <w:lang w:val="lv-LV" w:eastAsia="lv-LV"/>
              </w:rPr>
            </w:pPr>
            <w:r w:rsidRPr="00335468">
              <w:rPr>
                <w:sz w:val="24"/>
                <w:szCs w:val="24"/>
                <w:lang w:val="lv-LV"/>
              </w:rPr>
              <w:lastRenderedPageBreak/>
              <w:t>Projekts šo jomu neskar.</w:t>
            </w:r>
          </w:p>
        </w:tc>
      </w:tr>
      <w:tr w:rsidR="00A706CF" w:rsidRPr="00335468" w:rsidTr="0073286D">
        <w:trPr>
          <w:tblCellSpacing w:w="0" w:type="dxa"/>
        </w:trPr>
        <w:tc>
          <w:tcPr>
            <w:tcW w:w="400" w:type="dxa"/>
            <w:hideMark/>
          </w:tcPr>
          <w:p w:rsidR="00A706CF" w:rsidRPr="00335468" w:rsidRDefault="00A706CF" w:rsidP="0073286D">
            <w:pPr>
              <w:rPr>
                <w:rFonts w:eastAsia="Times New Roman"/>
                <w:sz w:val="24"/>
                <w:szCs w:val="24"/>
                <w:lang w:val="lv-LV" w:eastAsia="lv-LV"/>
              </w:rPr>
            </w:pPr>
            <w:r w:rsidRPr="00335468">
              <w:rPr>
                <w:rFonts w:eastAsia="Times New Roman"/>
                <w:sz w:val="24"/>
                <w:szCs w:val="24"/>
                <w:lang w:val="lv-LV" w:eastAsia="lv-LV"/>
              </w:rPr>
              <w:lastRenderedPageBreak/>
              <w:t> 3.</w:t>
            </w:r>
          </w:p>
        </w:tc>
        <w:tc>
          <w:tcPr>
            <w:tcW w:w="1645" w:type="dxa"/>
            <w:hideMark/>
          </w:tcPr>
          <w:p w:rsidR="00A706CF" w:rsidRPr="00335468" w:rsidRDefault="00A706CF" w:rsidP="0073286D">
            <w:pPr>
              <w:rPr>
                <w:sz w:val="24"/>
                <w:szCs w:val="24"/>
                <w:lang w:val="lv-LV"/>
              </w:rPr>
            </w:pPr>
            <w:r w:rsidRPr="00335468">
              <w:rPr>
                <w:sz w:val="24"/>
                <w:szCs w:val="24"/>
                <w:lang w:val="lv-LV"/>
              </w:rPr>
              <w:t> Cita informācija</w:t>
            </w:r>
          </w:p>
        </w:tc>
        <w:tc>
          <w:tcPr>
            <w:tcW w:w="7146" w:type="dxa"/>
            <w:hideMark/>
          </w:tcPr>
          <w:p w:rsidR="00A706CF" w:rsidRPr="00335468" w:rsidRDefault="00AD6A13" w:rsidP="0073286D">
            <w:pPr>
              <w:jc w:val="both"/>
              <w:rPr>
                <w:rFonts w:eastAsia="Times New Roman"/>
                <w:sz w:val="24"/>
                <w:szCs w:val="24"/>
                <w:lang w:val="lv-LV" w:eastAsia="lv-LV"/>
              </w:rPr>
            </w:pPr>
            <w:r w:rsidRPr="00335468">
              <w:rPr>
                <w:rFonts w:eastAsia="Times New Roman"/>
                <w:sz w:val="24"/>
                <w:szCs w:val="24"/>
                <w:lang w:val="lv-LV" w:eastAsia="lv-LV"/>
              </w:rPr>
              <w:t>Projekts šo jomu neskar.</w:t>
            </w:r>
          </w:p>
          <w:p w:rsidR="00A706CF" w:rsidRPr="00335468" w:rsidRDefault="00A706CF" w:rsidP="0073286D">
            <w:pPr>
              <w:jc w:val="both"/>
              <w:rPr>
                <w:rFonts w:eastAsia="Times New Roman"/>
                <w:sz w:val="24"/>
                <w:szCs w:val="24"/>
                <w:lang w:val="lv-LV" w:eastAsia="lv-LV"/>
              </w:rPr>
            </w:pPr>
          </w:p>
        </w:tc>
      </w:tr>
    </w:tbl>
    <w:p w:rsidR="00A706CF" w:rsidRPr="00335468" w:rsidRDefault="00A706CF" w:rsidP="00A706CF">
      <w:pPr>
        <w:ind w:firstLine="468"/>
        <w:jc w:val="both"/>
        <w:rPr>
          <w:rFonts w:eastAsia="Times New Roman"/>
          <w:sz w:val="24"/>
          <w:szCs w:val="24"/>
          <w:lang w:val="lv-LV" w:eastAsia="lv-LV"/>
        </w:rPr>
      </w:pPr>
      <w:r w:rsidRPr="00335468">
        <w:rPr>
          <w:rFonts w:eastAsia="Times New Roman"/>
          <w:sz w:val="24"/>
          <w:szCs w:val="24"/>
          <w:lang w:val="lv-LV" w:eastAsia="lv-LV"/>
        </w:rPr>
        <w:t> </w:t>
      </w:r>
    </w:p>
    <w:tbl>
      <w:tblPr>
        <w:tblW w:w="0" w:type="auto"/>
        <w:tblCellSpacing w:w="0" w:type="dxa"/>
        <w:tblBorders>
          <w:top w:val="thickThinLargeGap" w:sz="6" w:space="0" w:color="D9D9D9"/>
          <w:left w:val="thickThinLargeGap" w:sz="6" w:space="0" w:color="D9D9D9"/>
          <w:bottom w:val="thickThinLargeGap" w:sz="6" w:space="0" w:color="D9D9D9"/>
          <w:right w:val="thickThinLargeGap" w:sz="6" w:space="0" w:color="D9D9D9"/>
          <w:insideH w:val="thickThinLargeGap" w:sz="6" w:space="0" w:color="D9D9D9"/>
          <w:insideV w:val="thickThinLargeGap" w:sz="6" w:space="0" w:color="D9D9D9"/>
        </w:tblBorders>
        <w:tblLayout w:type="fixed"/>
        <w:tblCellMar>
          <w:left w:w="0" w:type="dxa"/>
          <w:right w:w="0" w:type="dxa"/>
        </w:tblCellMar>
        <w:tblLook w:val="04A0" w:firstRow="1" w:lastRow="0" w:firstColumn="1" w:lastColumn="0" w:noHBand="0" w:noVBand="1"/>
      </w:tblPr>
      <w:tblGrid>
        <w:gridCol w:w="2003"/>
        <w:gridCol w:w="2452"/>
        <w:gridCol w:w="2703"/>
        <w:gridCol w:w="2033"/>
      </w:tblGrid>
      <w:tr w:rsidR="00A706CF" w:rsidRPr="00335468" w:rsidTr="0073286D">
        <w:trPr>
          <w:trHeight w:val="525"/>
          <w:tblCellSpacing w:w="0" w:type="dxa"/>
        </w:trPr>
        <w:tc>
          <w:tcPr>
            <w:tcW w:w="9191" w:type="dxa"/>
            <w:gridSpan w:val="4"/>
            <w:vAlign w:val="center"/>
            <w:hideMark/>
          </w:tcPr>
          <w:p w:rsidR="00A706CF" w:rsidRPr="00335468" w:rsidRDefault="00A706CF" w:rsidP="0073286D">
            <w:pPr>
              <w:jc w:val="center"/>
              <w:rPr>
                <w:rFonts w:eastAsia="Times New Roman"/>
                <w:b/>
                <w:bCs/>
                <w:sz w:val="24"/>
                <w:szCs w:val="24"/>
                <w:lang w:val="lv-LV" w:eastAsia="lv-LV"/>
              </w:rPr>
            </w:pPr>
            <w:r w:rsidRPr="00335468">
              <w:rPr>
                <w:rFonts w:eastAsia="Times New Roman"/>
                <w:b/>
                <w:bCs/>
                <w:sz w:val="24"/>
                <w:szCs w:val="24"/>
                <w:lang w:val="lv-LV" w:eastAsia="lv-LV"/>
              </w:rPr>
              <w:t> 1.tabula</w:t>
            </w:r>
          </w:p>
          <w:p w:rsidR="00A706CF" w:rsidRPr="00335468" w:rsidRDefault="00A706CF" w:rsidP="0073286D">
            <w:pPr>
              <w:jc w:val="center"/>
              <w:rPr>
                <w:rFonts w:eastAsia="Times New Roman"/>
                <w:b/>
                <w:bCs/>
                <w:sz w:val="24"/>
                <w:szCs w:val="24"/>
                <w:lang w:val="lv-LV" w:eastAsia="lv-LV"/>
              </w:rPr>
            </w:pPr>
            <w:r w:rsidRPr="00335468">
              <w:rPr>
                <w:rFonts w:eastAsia="Times New Roman"/>
                <w:b/>
                <w:bCs/>
                <w:sz w:val="24"/>
                <w:szCs w:val="24"/>
                <w:lang w:val="lv-LV" w:eastAsia="lv-LV"/>
              </w:rPr>
              <w:t>Tiesību akta projekta atbilstība ES tiesību aktiem</w:t>
            </w:r>
          </w:p>
        </w:tc>
      </w:tr>
      <w:tr w:rsidR="00A706CF" w:rsidRPr="00335468" w:rsidTr="0073286D">
        <w:trPr>
          <w:trHeight w:val="1256"/>
          <w:tblCellSpacing w:w="0" w:type="dxa"/>
        </w:trPr>
        <w:tc>
          <w:tcPr>
            <w:tcW w:w="2003" w:type="dxa"/>
            <w:vAlign w:val="center"/>
            <w:hideMark/>
          </w:tcPr>
          <w:p w:rsidR="00A706CF" w:rsidRPr="00335468" w:rsidRDefault="00A706CF" w:rsidP="0073286D">
            <w:pPr>
              <w:jc w:val="center"/>
              <w:rPr>
                <w:rFonts w:eastAsia="Times New Roman"/>
                <w:sz w:val="24"/>
                <w:szCs w:val="24"/>
                <w:lang w:val="lv-LV" w:eastAsia="lv-LV"/>
              </w:rPr>
            </w:pPr>
            <w:r w:rsidRPr="00335468">
              <w:rPr>
                <w:rFonts w:eastAsia="Times New Roman"/>
                <w:sz w:val="24"/>
                <w:szCs w:val="24"/>
                <w:lang w:val="lv-LV" w:eastAsia="lv-LV"/>
              </w:rPr>
              <w:t> Attiecīgā ES tiesību akta datums, numurs un nosaukums</w:t>
            </w:r>
          </w:p>
        </w:tc>
        <w:tc>
          <w:tcPr>
            <w:tcW w:w="7188" w:type="dxa"/>
            <w:gridSpan w:val="3"/>
            <w:vAlign w:val="center"/>
            <w:hideMark/>
          </w:tcPr>
          <w:p w:rsidR="00A706CF" w:rsidRPr="00335468" w:rsidRDefault="00A706CF" w:rsidP="00335468">
            <w:pPr>
              <w:jc w:val="both"/>
              <w:rPr>
                <w:rFonts w:eastAsia="Times New Roman"/>
                <w:sz w:val="24"/>
                <w:szCs w:val="24"/>
                <w:lang w:val="lv-LV" w:eastAsia="lv-LV"/>
              </w:rPr>
            </w:pPr>
            <w:r w:rsidRPr="00335468">
              <w:rPr>
                <w:rFonts w:eastAsia="Times New Roman"/>
                <w:sz w:val="24"/>
                <w:szCs w:val="24"/>
                <w:lang w:val="lv-LV" w:eastAsia="lv-LV"/>
              </w:rPr>
              <w:t> Ar normatīvo aktu tiek ieviestas šāda Eiropas Savienības tiesību akta prasības:</w:t>
            </w:r>
          </w:p>
          <w:p w:rsidR="00A706CF" w:rsidRPr="00335468" w:rsidRDefault="00CC377D" w:rsidP="00335468">
            <w:pPr>
              <w:pStyle w:val="ListParagraph"/>
              <w:numPr>
                <w:ilvl w:val="0"/>
                <w:numId w:val="4"/>
              </w:numPr>
              <w:jc w:val="both"/>
              <w:rPr>
                <w:rFonts w:eastAsia="Times New Roman"/>
                <w:sz w:val="24"/>
                <w:szCs w:val="24"/>
                <w:lang w:val="lv-LV" w:eastAsia="lv-LV"/>
              </w:rPr>
            </w:pPr>
            <w:r w:rsidRPr="00335468">
              <w:rPr>
                <w:rFonts w:eastAsia="Times New Roman"/>
                <w:sz w:val="24"/>
                <w:szCs w:val="24"/>
                <w:lang w:val="lv-LV" w:eastAsia="lv-LV"/>
              </w:rPr>
              <w:t>Padomes</w:t>
            </w:r>
            <w:r w:rsidR="00AD6A13" w:rsidRPr="00335468">
              <w:rPr>
                <w:rFonts w:eastAsia="Times New Roman"/>
                <w:sz w:val="24"/>
                <w:szCs w:val="24"/>
                <w:lang w:val="lv-LV" w:eastAsia="lv-LV"/>
              </w:rPr>
              <w:t xml:space="preserve"> Regula Nr.1083</w:t>
            </w:r>
            <w:r w:rsidR="00A706CF" w:rsidRPr="00335468">
              <w:rPr>
                <w:rFonts w:eastAsia="Times New Roman"/>
                <w:sz w:val="24"/>
                <w:szCs w:val="24"/>
                <w:lang w:val="lv-LV" w:eastAsia="lv-LV"/>
              </w:rPr>
              <w:t>/2006;</w:t>
            </w:r>
          </w:p>
          <w:p w:rsidR="00A706CF" w:rsidRDefault="00CC377D" w:rsidP="00335468">
            <w:pPr>
              <w:pStyle w:val="ListParagraph"/>
              <w:numPr>
                <w:ilvl w:val="0"/>
                <w:numId w:val="4"/>
              </w:numPr>
              <w:jc w:val="both"/>
              <w:rPr>
                <w:sz w:val="24"/>
                <w:szCs w:val="24"/>
                <w:lang w:val="lv-LV"/>
              </w:rPr>
            </w:pPr>
            <w:r w:rsidRPr="00335468">
              <w:rPr>
                <w:sz w:val="24"/>
                <w:szCs w:val="24"/>
                <w:lang w:val="lv-LV"/>
              </w:rPr>
              <w:t>Komisijas</w:t>
            </w:r>
            <w:r w:rsidR="00B451F4">
              <w:rPr>
                <w:sz w:val="24"/>
                <w:szCs w:val="24"/>
                <w:lang w:val="lv-LV"/>
              </w:rPr>
              <w:t xml:space="preserve"> R</w:t>
            </w:r>
            <w:r w:rsidR="00AD6A13" w:rsidRPr="00335468">
              <w:rPr>
                <w:sz w:val="24"/>
                <w:szCs w:val="24"/>
                <w:lang w:val="lv-LV"/>
              </w:rPr>
              <w:t>egula Nr.1828</w:t>
            </w:r>
            <w:r w:rsidR="00335468">
              <w:rPr>
                <w:sz w:val="24"/>
                <w:szCs w:val="24"/>
                <w:lang w:val="lv-LV"/>
              </w:rPr>
              <w:t>/2006</w:t>
            </w:r>
            <w:r w:rsidR="00B451F4">
              <w:rPr>
                <w:sz w:val="24"/>
                <w:szCs w:val="24"/>
                <w:lang w:val="lv-LV"/>
              </w:rPr>
              <w:t>;</w:t>
            </w:r>
          </w:p>
          <w:p w:rsidR="00B451F4" w:rsidRDefault="007A5F87" w:rsidP="00335468">
            <w:pPr>
              <w:pStyle w:val="ListParagraph"/>
              <w:numPr>
                <w:ilvl w:val="0"/>
                <w:numId w:val="4"/>
              </w:numPr>
              <w:jc w:val="both"/>
              <w:rPr>
                <w:sz w:val="24"/>
                <w:szCs w:val="24"/>
                <w:lang w:val="lv-LV"/>
              </w:rPr>
            </w:pPr>
            <w:r>
              <w:rPr>
                <w:sz w:val="24"/>
                <w:szCs w:val="24"/>
                <w:lang w:val="lv-LV"/>
              </w:rPr>
              <w:t>Komisijas Regula Nr.1407/2013;</w:t>
            </w:r>
          </w:p>
          <w:p w:rsidR="007A5F87" w:rsidRPr="00335468" w:rsidRDefault="007A5F87" w:rsidP="00335468">
            <w:pPr>
              <w:pStyle w:val="ListParagraph"/>
              <w:numPr>
                <w:ilvl w:val="0"/>
                <w:numId w:val="4"/>
              </w:numPr>
              <w:jc w:val="both"/>
              <w:rPr>
                <w:sz w:val="24"/>
                <w:szCs w:val="24"/>
                <w:lang w:val="lv-LV"/>
              </w:rPr>
            </w:pPr>
            <w:proofErr w:type="spellStart"/>
            <w:r w:rsidRPr="00D01664">
              <w:rPr>
                <w:sz w:val="24"/>
                <w:szCs w:val="24"/>
              </w:rPr>
              <w:t>Komisijas</w:t>
            </w:r>
            <w:proofErr w:type="spellEnd"/>
            <w:r w:rsidRPr="00D01664">
              <w:rPr>
                <w:sz w:val="24"/>
                <w:szCs w:val="24"/>
              </w:rPr>
              <w:t xml:space="preserve"> </w:t>
            </w:r>
            <w:proofErr w:type="spellStart"/>
            <w:r w:rsidRPr="00D01664">
              <w:rPr>
                <w:sz w:val="24"/>
                <w:szCs w:val="24"/>
              </w:rPr>
              <w:t>regula</w:t>
            </w:r>
            <w:proofErr w:type="spellEnd"/>
            <w:r w:rsidRPr="00D01664">
              <w:rPr>
                <w:sz w:val="24"/>
                <w:szCs w:val="24"/>
              </w:rPr>
              <w:t xml:space="preserve"> Nr.800/2008</w:t>
            </w:r>
          </w:p>
        </w:tc>
      </w:tr>
      <w:tr w:rsidR="00A706CF" w:rsidRPr="00335468" w:rsidTr="0073286D">
        <w:trPr>
          <w:trHeight w:val="166"/>
          <w:tblCellSpacing w:w="0" w:type="dxa"/>
        </w:trPr>
        <w:tc>
          <w:tcPr>
            <w:tcW w:w="2003" w:type="dxa"/>
            <w:vAlign w:val="center"/>
            <w:hideMark/>
          </w:tcPr>
          <w:p w:rsidR="00A706CF" w:rsidRPr="00335468" w:rsidRDefault="00A706CF" w:rsidP="0073286D">
            <w:pPr>
              <w:jc w:val="center"/>
              <w:rPr>
                <w:rFonts w:eastAsia="Times New Roman"/>
                <w:sz w:val="24"/>
                <w:szCs w:val="24"/>
                <w:lang w:val="lv-LV" w:eastAsia="lv-LV"/>
              </w:rPr>
            </w:pPr>
            <w:r w:rsidRPr="00335468">
              <w:rPr>
                <w:rFonts w:eastAsia="Times New Roman"/>
                <w:sz w:val="24"/>
                <w:szCs w:val="24"/>
                <w:lang w:val="lv-LV" w:eastAsia="lv-LV"/>
              </w:rPr>
              <w:t> A</w:t>
            </w:r>
          </w:p>
        </w:tc>
        <w:tc>
          <w:tcPr>
            <w:tcW w:w="2452" w:type="dxa"/>
            <w:vAlign w:val="center"/>
            <w:hideMark/>
          </w:tcPr>
          <w:p w:rsidR="00A706CF" w:rsidRPr="00335468" w:rsidRDefault="00A706CF" w:rsidP="0073286D">
            <w:pPr>
              <w:jc w:val="center"/>
              <w:rPr>
                <w:rFonts w:eastAsia="Times New Roman"/>
                <w:sz w:val="24"/>
                <w:szCs w:val="24"/>
                <w:lang w:val="lv-LV" w:eastAsia="lv-LV"/>
              </w:rPr>
            </w:pPr>
            <w:r w:rsidRPr="00335468">
              <w:rPr>
                <w:rFonts w:eastAsia="Times New Roman"/>
                <w:sz w:val="24"/>
                <w:szCs w:val="24"/>
                <w:lang w:val="lv-LV" w:eastAsia="lv-LV"/>
              </w:rPr>
              <w:t> B</w:t>
            </w:r>
          </w:p>
        </w:tc>
        <w:tc>
          <w:tcPr>
            <w:tcW w:w="2703" w:type="dxa"/>
            <w:vAlign w:val="center"/>
            <w:hideMark/>
          </w:tcPr>
          <w:p w:rsidR="00A706CF" w:rsidRPr="00335468" w:rsidRDefault="00A706CF" w:rsidP="0073286D">
            <w:pPr>
              <w:jc w:val="center"/>
              <w:rPr>
                <w:rFonts w:eastAsia="Times New Roman"/>
                <w:sz w:val="24"/>
                <w:szCs w:val="24"/>
                <w:lang w:val="lv-LV" w:eastAsia="lv-LV"/>
              </w:rPr>
            </w:pPr>
            <w:r w:rsidRPr="00335468">
              <w:rPr>
                <w:rFonts w:eastAsia="Times New Roman"/>
                <w:sz w:val="24"/>
                <w:szCs w:val="24"/>
                <w:lang w:val="lv-LV" w:eastAsia="lv-LV"/>
              </w:rPr>
              <w:t> C</w:t>
            </w:r>
          </w:p>
        </w:tc>
        <w:tc>
          <w:tcPr>
            <w:tcW w:w="2033" w:type="dxa"/>
            <w:vAlign w:val="center"/>
            <w:hideMark/>
          </w:tcPr>
          <w:p w:rsidR="00A706CF" w:rsidRPr="00335468" w:rsidRDefault="00A706CF" w:rsidP="0073286D">
            <w:pPr>
              <w:jc w:val="center"/>
              <w:rPr>
                <w:rFonts w:eastAsia="Times New Roman"/>
                <w:sz w:val="24"/>
                <w:szCs w:val="24"/>
                <w:lang w:val="lv-LV" w:eastAsia="lv-LV"/>
              </w:rPr>
            </w:pPr>
            <w:r w:rsidRPr="00335468">
              <w:rPr>
                <w:rFonts w:eastAsia="Times New Roman"/>
                <w:sz w:val="24"/>
                <w:szCs w:val="24"/>
                <w:lang w:val="lv-LV" w:eastAsia="lv-LV"/>
              </w:rPr>
              <w:t> D</w:t>
            </w:r>
          </w:p>
        </w:tc>
      </w:tr>
      <w:tr w:rsidR="00A706CF" w:rsidRPr="00335468" w:rsidTr="0073286D">
        <w:trPr>
          <w:trHeight w:val="2917"/>
          <w:tblCellSpacing w:w="0" w:type="dxa"/>
        </w:trPr>
        <w:tc>
          <w:tcPr>
            <w:tcW w:w="2003" w:type="dxa"/>
            <w:hideMark/>
          </w:tcPr>
          <w:p w:rsidR="00A706CF" w:rsidRPr="00335468" w:rsidRDefault="00A706CF" w:rsidP="0073286D">
            <w:pPr>
              <w:rPr>
                <w:rFonts w:eastAsia="Times New Roman"/>
                <w:sz w:val="24"/>
                <w:szCs w:val="24"/>
                <w:lang w:val="lv-LV" w:eastAsia="lv-LV"/>
              </w:rPr>
            </w:pPr>
            <w:r w:rsidRPr="00335468">
              <w:rPr>
                <w:rFonts w:eastAsia="Times New Roman"/>
                <w:sz w:val="24"/>
                <w:szCs w:val="24"/>
                <w:lang w:val="lv-LV" w:eastAsia="lv-LV"/>
              </w:rPr>
              <w:t> Attiecīgā ES tiesību akta panta numurs (uzskaitot katru tiesību akta</w:t>
            </w:r>
            <w:r w:rsidRPr="00335468">
              <w:rPr>
                <w:rFonts w:eastAsia="Times New Roman"/>
                <w:sz w:val="24"/>
                <w:szCs w:val="24"/>
                <w:lang w:val="lv-LV" w:eastAsia="lv-LV"/>
              </w:rPr>
              <w:br/>
              <w:t>vienību – pantu, daļu, punktu, apakšpunktu)</w:t>
            </w:r>
          </w:p>
        </w:tc>
        <w:tc>
          <w:tcPr>
            <w:tcW w:w="2452" w:type="dxa"/>
            <w:hideMark/>
          </w:tcPr>
          <w:p w:rsidR="00A706CF" w:rsidRPr="00335468" w:rsidRDefault="00A706CF" w:rsidP="0073286D">
            <w:pPr>
              <w:rPr>
                <w:rFonts w:eastAsia="Times New Roman"/>
                <w:sz w:val="24"/>
                <w:szCs w:val="24"/>
                <w:lang w:val="lv-LV" w:eastAsia="lv-LV"/>
              </w:rPr>
            </w:pPr>
            <w:r w:rsidRPr="00335468">
              <w:rPr>
                <w:rFonts w:eastAsia="Times New Roman"/>
                <w:sz w:val="24"/>
                <w:szCs w:val="24"/>
                <w:lang w:val="lv-LV" w:eastAsia="lv-LV"/>
              </w:rPr>
              <w:t> Projekta vienība, kas pārņem vai ievieš katru šīs tabulas A ailē minēto ES tiesību akta vienību</w:t>
            </w:r>
          </w:p>
        </w:tc>
        <w:tc>
          <w:tcPr>
            <w:tcW w:w="2703" w:type="dxa"/>
            <w:hideMark/>
          </w:tcPr>
          <w:p w:rsidR="00A706CF" w:rsidRPr="00335468" w:rsidRDefault="00A706CF" w:rsidP="0073286D">
            <w:pPr>
              <w:rPr>
                <w:rFonts w:eastAsia="Times New Roman"/>
                <w:sz w:val="24"/>
                <w:szCs w:val="24"/>
                <w:lang w:val="lv-LV" w:eastAsia="lv-LV"/>
              </w:rPr>
            </w:pPr>
            <w:r w:rsidRPr="00335468">
              <w:rPr>
                <w:rFonts w:eastAsia="Times New Roman"/>
                <w:sz w:val="24"/>
                <w:szCs w:val="24"/>
                <w:lang w:val="lv-LV" w:eastAsia="lv-LV"/>
              </w:rPr>
              <w:t> Informācija par to, vai šīs tabulas A ailē minētās ES tiesību akta vienības tiek pārņemtas vai ieviestas pilnībā vai daļēji.</w:t>
            </w:r>
          </w:p>
          <w:p w:rsidR="00A706CF" w:rsidRPr="00335468" w:rsidRDefault="00A706CF" w:rsidP="0073286D">
            <w:pPr>
              <w:rPr>
                <w:rFonts w:eastAsia="Times New Roman"/>
                <w:sz w:val="24"/>
                <w:szCs w:val="24"/>
                <w:lang w:val="lv-LV" w:eastAsia="lv-LV"/>
              </w:rPr>
            </w:pPr>
            <w:r w:rsidRPr="00335468">
              <w:rPr>
                <w:rFonts w:eastAsia="Times New Roman"/>
                <w:sz w:val="24"/>
                <w:szCs w:val="24"/>
                <w:lang w:val="lv-LV" w:eastAsia="lv-LV"/>
              </w:rPr>
              <w:t> </w:t>
            </w:r>
          </w:p>
          <w:p w:rsidR="00A706CF" w:rsidRPr="00335468" w:rsidRDefault="00A706CF" w:rsidP="0073286D">
            <w:pPr>
              <w:rPr>
                <w:rFonts w:eastAsia="Times New Roman"/>
                <w:sz w:val="24"/>
                <w:szCs w:val="24"/>
                <w:lang w:val="lv-LV" w:eastAsia="lv-LV"/>
              </w:rPr>
            </w:pPr>
            <w:r w:rsidRPr="00335468">
              <w:rPr>
                <w:rFonts w:eastAsia="Times New Roman"/>
                <w:sz w:val="24"/>
                <w:szCs w:val="24"/>
                <w:lang w:val="lv-LV" w:eastAsia="lv-LV"/>
              </w:rPr>
              <w:t>Ja attiecīgā ES tiesību akta vienība tiek pārņemta vai ieviesta daļēji, – sniedz attiecīgu skaidrojumu, kā arī precīzi norāda, kad un kādā veidā ES tiesību akta vienība tiks pārņemta vai ieviesta pilnībā.</w:t>
            </w:r>
          </w:p>
          <w:p w:rsidR="00A706CF" w:rsidRPr="00335468" w:rsidRDefault="00A706CF" w:rsidP="0073286D">
            <w:pPr>
              <w:rPr>
                <w:rFonts w:eastAsia="Times New Roman"/>
                <w:sz w:val="24"/>
                <w:szCs w:val="24"/>
                <w:lang w:val="lv-LV" w:eastAsia="lv-LV"/>
              </w:rPr>
            </w:pPr>
            <w:r w:rsidRPr="00335468">
              <w:rPr>
                <w:rFonts w:eastAsia="Times New Roman"/>
                <w:sz w:val="24"/>
                <w:szCs w:val="24"/>
                <w:lang w:val="lv-LV" w:eastAsia="lv-LV"/>
              </w:rPr>
              <w:t> </w:t>
            </w:r>
          </w:p>
          <w:p w:rsidR="00A706CF" w:rsidRPr="00335468" w:rsidRDefault="00A706CF" w:rsidP="0073286D">
            <w:pPr>
              <w:rPr>
                <w:rFonts w:eastAsia="Times New Roman"/>
                <w:sz w:val="24"/>
                <w:szCs w:val="24"/>
                <w:lang w:val="lv-LV" w:eastAsia="lv-LV"/>
              </w:rPr>
            </w:pPr>
            <w:r w:rsidRPr="00335468">
              <w:rPr>
                <w:rFonts w:eastAsia="Times New Roman"/>
                <w:sz w:val="24"/>
                <w:szCs w:val="24"/>
                <w:lang w:val="lv-LV" w:eastAsia="lv-LV"/>
              </w:rPr>
              <w:t>Norāda institūciju, kas ir atbildīga par šo saistību izpildi pilnībā</w:t>
            </w:r>
          </w:p>
        </w:tc>
        <w:tc>
          <w:tcPr>
            <w:tcW w:w="2033" w:type="dxa"/>
            <w:hideMark/>
          </w:tcPr>
          <w:p w:rsidR="00A706CF" w:rsidRPr="00335468" w:rsidRDefault="00A706CF" w:rsidP="0073286D">
            <w:pPr>
              <w:rPr>
                <w:rFonts w:eastAsia="Times New Roman"/>
                <w:sz w:val="24"/>
                <w:szCs w:val="24"/>
                <w:lang w:val="lv-LV" w:eastAsia="lv-LV"/>
              </w:rPr>
            </w:pPr>
            <w:r w:rsidRPr="00335468">
              <w:rPr>
                <w:rFonts w:eastAsia="Times New Roman"/>
                <w:sz w:val="24"/>
                <w:szCs w:val="24"/>
                <w:lang w:val="lv-LV" w:eastAsia="lv-LV"/>
              </w:rPr>
              <w:t> Informācija par to, vai šīs tabulas B ailē minētās projekta vienības paredz stingrākas prasības nekā šīs tabulas A ailē minētās ES tiesību akta vienības.</w:t>
            </w:r>
          </w:p>
          <w:p w:rsidR="00A706CF" w:rsidRPr="00335468" w:rsidRDefault="00A706CF" w:rsidP="0073286D">
            <w:pPr>
              <w:rPr>
                <w:rFonts w:eastAsia="Times New Roman"/>
                <w:sz w:val="24"/>
                <w:szCs w:val="24"/>
                <w:lang w:val="lv-LV" w:eastAsia="lv-LV"/>
              </w:rPr>
            </w:pPr>
            <w:r w:rsidRPr="00335468">
              <w:rPr>
                <w:rFonts w:eastAsia="Times New Roman"/>
                <w:sz w:val="24"/>
                <w:szCs w:val="24"/>
                <w:lang w:val="lv-LV" w:eastAsia="lv-LV"/>
              </w:rPr>
              <w:t> </w:t>
            </w:r>
          </w:p>
          <w:p w:rsidR="00A706CF" w:rsidRPr="00335468" w:rsidRDefault="00A706CF" w:rsidP="0073286D">
            <w:pPr>
              <w:rPr>
                <w:rFonts w:eastAsia="Times New Roman"/>
                <w:sz w:val="24"/>
                <w:szCs w:val="24"/>
                <w:lang w:val="lv-LV" w:eastAsia="lv-LV"/>
              </w:rPr>
            </w:pPr>
            <w:r w:rsidRPr="00335468">
              <w:rPr>
                <w:rFonts w:eastAsia="Times New Roman"/>
                <w:sz w:val="24"/>
                <w:szCs w:val="24"/>
                <w:lang w:val="lv-LV" w:eastAsia="lv-LV"/>
              </w:rPr>
              <w:t>Ja projekts satur stingrākas prasības nekā attiecīgais ES tiesību akts, – norāda pamatojumu un samērīgumu.</w:t>
            </w:r>
          </w:p>
          <w:p w:rsidR="00A706CF" w:rsidRPr="00335468" w:rsidRDefault="00A706CF" w:rsidP="0073286D">
            <w:pPr>
              <w:rPr>
                <w:rFonts w:eastAsia="Times New Roman"/>
                <w:sz w:val="24"/>
                <w:szCs w:val="24"/>
                <w:lang w:val="lv-LV" w:eastAsia="lv-LV"/>
              </w:rPr>
            </w:pPr>
            <w:r w:rsidRPr="00335468">
              <w:rPr>
                <w:rFonts w:eastAsia="Times New Roman"/>
                <w:sz w:val="24"/>
                <w:szCs w:val="24"/>
                <w:lang w:val="lv-LV" w:eastAsia="lv-LV"/>
              </w:rPr>
              <w:t> </w:t>
            </w:r>
          </w:p>
          <w:p w:rsidR="00A706CF" w:rsidRPr="00335468" w:rsidRDefault="00A706CF" w:rsidP="0073286D">
            <w:pPr>
              <w:rPr>
                <w:rFonts w:eastAsia="Times New Roman"/>
                <w:sz w:val="24"/>
                <w:szCs w:val="24"/>
                <w:lang w:val="lv-LV" w:eastAsia="lv-LV"/>
              </w:rPr>
            </w:pPr>
            <w:r w:rsidRPr="00335468">
              <w:rPr>
                <w:rFonts w:eastAsia="Times New Roman"/>
                <w:sz w:val="24"/>
                <w:szCs w:val="24"/>
                <w:lang w:val="lv-LV" w:eastAsia="lv-LV"/>
              </w:rPr>
              <w:t>Norāda iespējamās alternatīvas (</w:t>
            </w:r>
            <w:proofErr w:type="spellStart"/>
            <w:r w:rsidRPr="00335468">
              <w:rPr>
                <w:rFonts w:eastAsia="Times New Roman"/>
                <w:sz w:val="24"/>
                <w:szCs w:val="24"/>
                <w:lang w:val="lv-LV" w:eastAsia="lv-LV"/>
              </w:rPr>
              <w:t>t.sk</w:t>
            </w:r>
            <w:proofErr w:type="spellEnd"/>
            <w:r w:rsidRPr="00335468">
              <w:rPr>
                <w:rFonts w:eastAsia="Times New Roman"/>
                <w:sz w:val="24"/>
                <w:szCs w:val="24"/>
                <w:lang w:val="lv-LV" w:eastAsia="lv-LV"/>
              </w:rPr>
              <w:t>. alternatīvas, kas neparedz tiesiskā regulējuma izstrādi) – kādos gadījumos būtu iespējams izvairīties no stingrāku prasību noteikšanas, nekā paredzēts attiecīgajos ES tiesību aktos</w:t>
            </w:r>
          </w:p>
        </w:tc>
      </w:tr>
      <w:tr w:rsidR="00D01664" w:rsidRPr="00335468" w:rsidTr="0073286D">
        <w:trPr>
          <w:trHeight w:val="590"/>
          <w:tblCellSpacing w:w="0" w:type="dxa"/>
        </w:trPr>
        <w:tc>
          <w:tcPr>
            <w:tcW w:w="2003" w:type="dxa"/>
          </w:tcPr>
          <w:p w:rsidR="00D01664" w:rsidRPr="00D01664" w:rsidRDefault="00D01664" w:rsidP="0073286D">
            <w:pPr>
              <w:pStyle w:val="naisf"/>
              <w:spacing w:before="0" w:after="0"/>
              <w:ind w:firstLine="0"/>
              <w:rPr>
                <w:i/>
              </w:rPr>
            </w:pPr>
            <w:r w:rsidRPr="00D01664">
              <w:rPr>
                <w:i/>
              </w:rPr>
              <w:lastRenderedPageBreak/>
              <w:t>Komisijas regulas Nr.800/2008 1.pielikums</w:t>
            </w:r>
          </w:p>
        </w:tc>
        <w:tc>
          <w:tcPr>
            <w:tcW w:w="2452" w:type="dxa"/>
          </w:tcPr>
          <w:p w:rsidR="00D01664" w:rsidRPr="00D01664" w:rsidRDefault="00D01664" w:rsidP="00CC377D">
            <w:pPr>
              <w:jc w:val="both"/>
              <w:rPr>
                <w:rFonts w:eastAsia="Times New Roman"/>
                <w:i/>
                <w:sz w:val="24"/>
                <w:szCs w:val="24"/>
                <w:lang w:val="lv-LV"/>
              </w:rPr>
            </w:pPr>
            <w:r w:rsidRPr="00D01664">
              <w:rPr>
                <w:rFonts w:eastAsia="Times New Roman"/>
                <w:i/>
                <w:sz w:val="24"/>
                <w:szCs w:val="24"/>
                <w:lang w:val="lv-LV"/>
              </w:rPr>
              <w:t>MK noteikumu 1.1.punkts</w:t>
            </w:r>
          </w:p>
        </w:tc>
        <w:tc>
          <w:tcPr>
            <w:tcW w:w="2703" w:type="dxa"/>
          </w:tcPr>
          <w:p w:rsidR="00D01664" w:rsidRPr="00335468" w:rsidRDefault="00D01664" w:rsidP="009C267E">
            <w:pPr>
              <w:pStyle w:val="naisf"/>
              <w:spacing w:before="0" w:after="0"/>
              <w:rPr>
                <w:i/>
              </w:rPr>
            </w:pPr>
            <w:r w:rsidRPr="00335468">
              <w:rPr>
                <w:i/>
              </w:rPr>
              <w:t>ieviesta pilnībā</w:t>
            </w:r>
          </w:p>
        </w:tc>
        <w:tc>
          <w:tcPr>
            <w:tcW w:w="2033" w:type="dxa"/>
          </w:tcPr>
          <w:p w:rsidR="00D01664" w:rsidRPr="00335468" w:rsidRDefault="00D01664" w:rsidP="009C267E">
            <w:pPr>
              <w:pStyle w:val="naisf"/>
              <w:spacing w:before="0" w:after="0"/>
              <w:ind w:firstLine="0"/>
              <w:rPr>
                <w:i/>
              </w:rPr>
            </w:pPr>
            <w:r w:rsidRPr="00335468">
              <w:rPr>
                <w:i/>
              </w:rPr>
              <w:t>neparedz stingrākas prasības</w:t>
            </w:r>
          </w:p>
        </w:tc>
      </w:tr>
      <w:tr w:rsidR="00D01664" w:rsidRPr="00335468" w:rsidTr="0073286D">
        <w:trPr>
          <w:trHeight w:val="590"/>
          <w:tblCellSpacing w:w="0" w:type="dxa"/>
        </w:trPr>
        <w:tc>
          <w:tcPr>
            <w:tcW w:w="2003" w:type="dxa"/>
            <w:hideMark/>
          </w:tcPr>
          <w:p w:rsidR="00D01664" w:rsidRPr="00D01664" w:rsidRDefault="00D01664" w:rsidP="0073286D">
            <w:pPr>
              <w:pStyle w:val="naisf"/>
              <w:spacing w:before="0" w:after="0"/>
              <w:ind w:firstLine="0"/>
              <w:rPr>
                <w:i/>
              </w:rPr>
            </w:pPr>
            <w:r w:rsidRPr="00D01664">
              <w:rPr>
                <w:i/>
              </w:rPr>
              <w:t>Padomes regulas Nr.1083/2006 78.panta 6.punkts</w:t>
            </w:r>
          </w:p>
        </w:tc>
        <w:tc>
          <w:tcPr>
            <w:tcW w:w="2452" w:type="dxa"/>
            <w:hideMark/>
          </w:tcPr>
          <w:p w:rsidR="00D01664" w:rsidRPr="00D01664" w:rsidRDefault="00D01664" w:rsidP="00CC377D">
            <w:pPr>
              <w:jc w:val="both"/>
              <w:rPr>
                <w:rFonts w:eastAsia="Times New Roman"/>
                <w:i/>
                <w:sz w:val="24"/>
                <w:szCs w:val="24"/>
                <w:lang w:val="lv-LV"/>
              </w:rPr>
            </w:pPr>
            <w:r w:rsidRPr="00D01664">
              <w:rPr>
                <w:rFonts w:eastAsia="Times New Roman"/>
                <w:i/>
                <w:sz w:val="24"/>
                <w:szCs w:val="24"/>
                <w:lang w:val="lv-LV"/>
              </w:rPr>
              <w:t xml:space="preserve">Noteikumu projekta 1.2.punkts (Ar ko groza MK noteikumu Nr.293 </w:t>
            </w:r>
            <w:r w:rsidRPr="00D01664">
              <w:rPr>
                <w:i/>
                <w:sz w:val="24"/>
                <w:szCs w:val="24"/>
              </w:rPr>
              <w:t xml:space="preserve">10. </w:t>
            </w:r>
            <w:r w:rsidRPr="00D01664">
              <w:rPr>
                <w:rFonts w:eastAsia="Times New Roman"/>
                <w:i/>
                <w:sz w:val="24"/>
                <w:szCs w:val="24"/>
                <w:lang w:val="lv-LV"/>
              </w:rPr>
              <w:t>punktu).</w:t>
            </w:r>
          </w:p>
        </w:tc>
        <w:tc>
          <w:tcPr>
            <w:tcW w:w="2703" w:type="dxa"/>
            <w:hideMark/>
          </w:tcPr>
          <w:p w:rsidR="00D01664" w:rsidRPr="00335468" w:rsidRDefault="00D01664" w:rsidP="0073286D">
            <w:pPr>
              <w:pStyle w:val="naisf"/>
              <w:spacing w:before="0" w:after="0"/>
              <w:rPr>
                <w:i/>
              </w:rPr>
            </w:pPr>
            <w:r w:rsidRPr="00335468">
              <w:rPr>
                <w:i/>
              </w:rPr>
              <w:t>ieviesta pilnībā</w:t>
            </w:r>
          </w:p>
        </w:tc>
        <w:tc>
          <w:tcPr>
            <w:tcW w:w="2033" w:type="dxa"/>
            <w:hideMark/>
          </w:tcPr>
          <w:p w:rsidR="00D01664" w:rsidRPr="00335468" w:rsidRDefault="00D01664" w:rsidP="00335468">
            <w:pPr>
              <w:pStyle w:val="naisf"/>
              <w:spacing w:before="0" w:after="0"/>
              <w:ind w:firstLine="0"/>
              <w:rPr>
                <w:i/>
              </w:rPr>
            </w:pPr>
            <w:r w:rsidRPr="00335468">
              <w:rPr>
                <w:i/>
              </w:rPr>
              <w:t>neparedz stingrākas prasības</w:t>
            </w:r>
          </w:p>
        </w:tc>
      </w:tr>
      <w:tr w:rsidR="00D01664" w:rsidRPr="00335468" w:rsidTr="007108E1">
        <w:trPr>
          <w:trHeight w:val="360"/>
          <w:tblCellSpacing w:w="0" w:type="dxa"/>
        </w:trPr>
        <w:tc>
          <w:tcPr>
            <w:tcW w:w="2003" w:type="dxa"/>
          </w:tcPr>
          <w:p w:rsidR="00D01664" w:rsidRPr="00D01664" w:rsidRDefault="00D01664" w:rsidP="00850ACA">
            <w:pPr>
              <w:jc w:val="both"/>
              <w:rPr>
                <w:rFonts w:eastAsia="Times New Roman"/>
                <w:i/>
                <w:sz w:val="24"/>
                <w:szCs w:val="24"/>
                <w:lang w:val="lv-LV" w:eastAsia="lv-LV"/>
              </w:rPr>
            </w:pPr>
            <w:r w:rsidRPr="00D01664">
              <w:rPr>
                <w:rFonts w:eastAsia="Times New Roman"/>
                <w:i/>
                <w:sz w:val="24"/>
                <w:szCs w:val="24"/>
                <w:lang w:val="lv-LV" w:eastAsia="lv-LV"/>
              </w:rPr>
              <w:t>Komisijas regulas Nr.1828/2006 43.pants</w:t>
            </w:r>
          </w:p>
        </w:tc>
        <w:tc>
          <w:tcPr>
            <w:tcW w:w="2452" w:type="dxa"/>
          </w:tcPr>
          <w:p w:rsidR="00D01664" w:rsidRPr="00D01664" w:rsidRDefault="00D01664" w:rsidP="00850ACA">
            <w:pPr>
              <w:jc w:val="both"/>
              <w:rPr>
                <w:rFonts w:eastAsia="Times New Roman"/>
                <w:sz w:val="24"/>
                <w:szCs w:val="24"/>
                <w:lang w:val="lv-LV"/>
              </w:rPr>
            </w:pPr>
            <w:r w:rsidRPr="00D01664">
              <w:rPr>
                <w:rFonts w:eastAsia="Times New Roman"/>
                <w:i/>
                <w:sz w:val="24"/>
                <w:szCs w:val="24"/>
                <w:lang w:val="lv-LV"/>
              </w:rPr>
              <w:t xml:space="preserve">Noteikumu projekta 1.2.punkts (Ar ko groza MK noteikumu Nr.293 </w:t>
            </w:r>
            <w:r w:rsidRPr="00D01664">
              <w:rPr>
                <w:i/>
                <w:sz w:val="24"/>
                <w:szCs w:val="24"/>
              </w:rPr>
              <w:t xml:space="preserve">10. </w:t>
            </w:r>
            <w:r w:rsidRPr="00D01664">
              <w:rPr>
                <w:rFonts w:eastAsia="Times New Roman"/>
                <w:i/>
                <w:sz w:val="24"/>
                <w:szCs w:val="24"/>
                <w:lang w:val="lv-LV"/>
              </w:rPr>
              <w:t>punktu).</w:t>
            </w:r>
          </w:p>
        </w:tc>
        <w:tc>
          <w:tcPr>
            <w:tcW w:w="2703" w:type="dxa"/>
          </w:tcPr>
          <w:p w:rsidR="00D01664" w:rsidRPr="00335468" w:rsidRDefault="00D01664" w:rsidP="00850ACA">
            <w:pPr>
              <w:pStyle w:val="naisf"/>
              <w:spacing w:before="0" w:after="0"/>
              <w:rPr>
                <w:i/>
              </w:rPr>
            </w:pPr>
            <w:r w:rsidRPr="00335468">
              <w:rPr>
                <w:i/>
              </w:rPr>
              <w:t>ieviesta pilnībā</w:t>
            </w:r>
          </w:p>
        </w:tc>
        <w:tc>
          <w:tcPr>
            <w:tcW w:w="2033" w:type="dxa"/>
          </w:tcPr>
          <w:p w:rsidR="00D01664" w:rsidRPr="00335468" w:rsidRDefault="00D01664" w:rsidP="00850ACA">
            <w:pPr>
              <w:pStyle w:val="naisf"/>
              <w:spacing w:before="0" w:after="0"/>
              <w:ind w:firstLine="0"/>
              <w:rPr>
                <w:i/>
              </w:rPr>
            </w:pPr>
            <w:r w:rsidRPr="00335468">
              <w:rPr>
                <w:i/>
              </w:rPr>
              <w:t>neparedz stingrākas prasības</w:t>
            </w:r>
          </w:p>
        </w:tc>
      </w:tr>
      <w:tr w:rsidR="00D01664" w:rsidRPr="00335468" w:rsidTr="007108E1">
        <w:trPr>
          <w:trHeight w:val="360"/>
          <w:tblCellSpacing w:w="0" w:type="dxa"/>
        </w:trPr>
        <w:tc>
          <w:tcPr>
            <w:tcW w:w="2003" w:type="dxa"/>
          </w:tcPr>
          <w:p w:rsidR="00D01664" w:rsidRPr="00D01664" w:rsidRDefault="00D01664" w:rsidP="007108E1">
            <w:pPr>
              <w:jc w:val="both"/>
              <w:rPr>
                <w:rFonts w:eastAsia="Times New Roman"/>
                <w:i/>
                <w:sz w:val="24"/>
                <w:szCs w:val="24"/>
                <w:lang w:val="lv-LV" w:eastAsia="lv-LV"/>
              </w:rPr>
            </w:pPr>
            <w:r w:rsidRPr="00D01664">
              <w:rPr>
                <w:rFonts w:eastAsia="Times New Roman"/>
                <w:i/>
                <w:sz w:val="24"/>
                <w:szCs w:val="24"/>
                <w:lang w:val="lv-LV" w:eastAsia="lv-LV"/>
              </w:rPr>
              <w:t>Komisijas regulas Nr.1407/2013 3.panta 2., 3., un 4.punkts</w:t>
            </w:r>
          </w:p>
        </w:tc>
        <w:tc>
          <w:tcPr>
            <w:tcW w:w="2452" w:type="dxa"/>
          </w:tcPr>
          <w:p w:rsidR="00D01664" w:rsidRPr="00D01664" w:rsidRDefault="00D01664" w:rsidP="007108E1">
            <w:pPr>
              <w:jc w:val="both"/>
              <w:rPr>
                <w:rFonts w:eastAsia="Times New Roman"/>
                <w:sz w:val="24"/>
                <w:szCs w:val="24"/>
                <w:lang w:val="lv-LV"/>
              </w:rPr>
            </w:pPr>
            <w:r w:rsidRPr="00D01664">
              <w:rPr>
                <w:rFonts w:eastAsia="Times New Roman"/>
                <w:i/>
                <w:sz w:val="24"/>
                <w:szCs w:val="24"/>
                <w:lang w:val="lv-LV"/>
              </w:rPr>
              <w:t xml:space="preserve">Noteikumu projekta 1.5.punkts (Ar ko groza MK noteikumu Nr.293 </w:t>
            </w:r>
            <w:r w:rsidRPr="00D01664">
              <w:rPr>
                <w:i/>
                <w:sz w:val="24"/>
                <w:szCs w:val="24"/>
              </w:rPr>
              <w:t xml:space="preserve">24. </w:t>
            </w:r>
            <w:r w:rsidRPr="00D01664">
              <w:rPr>
                <w:rFonts w:eastAsia="Times New Roman"/>
                <w:i/>
                <w:sz w:val="24"/>
                <w:szCs w:val="24"/>
                <w:lang w:val="lv-LV"/>
              </w:rPr>
              <w:t>punktu).</w:t>
            </w:r>
          </w:p>
        </w:tc>
        <w:tc>
          <w:tcPr>
            <w:tcW w:w="2703" w:type="dxa"/>
          </w:tcPr>
          <w:p w:rsidR="00D01664" w:rsidRPr="00B17E05" w:rsidRDefault="00D01664" w:rsidP="00E141AE">
            <w:pPr>
              <w:pStyle w:val="naisf"/>
              <w:spacing w:before="0" w:after="0"/>
              <w:rPr>
                <w:i/>
              </w:rPr>
            </w:pPr>
            <w:r w:rsidRPr="00B17E05">
              <w:rPr>
                <w:i/>
              </w:rPr>
              <w:t>ieviesta pilnībā</w:t>
            </w:r>
          </w:p>
        </w:tc>
        <w:tc>
          <w:tcPr>
            <w:tcW w:w="2033" w:type="dxa"/>
          </w:tcPr>
          <w:p w:rsidR="00D01664" w:rsidRPr="00B17E05" w:rsidRDefault="00D01664" w:rsidP="00E141AE">
            <w:pPr>
              <w:pStyle w:val="naisf"/>
              <w:spacing w:before="0" w:after="0"/>
              <w:ind w:firstLine="0"/>
              <w:rPr>
                <w:i/>
              </w:rPr>
            </w:pPr>
            <w:r w:rsidRPr="00B17E05">
              <w:rPr>
                <w:i/>
              </w:rPr>
              <w:t>neparedz stingrākas prasības</w:t>
            </w:r>
          </w:p>
        </w:tc>
      </w:tr>
      <w:tr w:rsidR="00D01664" w:rsidRPr="00335468" w:rsidTr="007108E1">
        <w:trPr>
          <w:trHeight w:val="360"/>
          <w:tblCellSpacing w:w="0" w:type="dxa"/>
        </w:trPr>
        <w:tc>
          <w:tcPr>
            <w:tcW w:w="2003" w:type="dxa"/>
          </w:tcPr>
          <w:p w:rsidR="00D01664" w:rsidRPr="00D01664" w:rsidRDefault="00D01664" w:rsidP="007108E1">
            <w:pPr>
              <w:jc w:val="both"/>
              <w:rPr>
                <w:rFonts w:eastAsia="Times New Roman"/>
                <w:i/>
                <w:sz w:val="24"/>
                <w:szCs w:val="24"/>
                <w:lang w:val="lv-LV" w:eastAsia="lv-LV"/>
              </w:rPr>
            </w:pPr>
            <w:r w:rsidRPr="00D01664">
              <w:rPr>
                <w:rFonts w:eastAsia="Times New Roman"/>
                <w:i/>
                <w:sz w:val="24"/>
                <w:szCs w:val="24"/>
                <w:lang w:val="lv-LV" w:eastAsia="lv-LV"/>
              </w:rPr>
              <w:t xml:space="preserve">Komisijas regulas Nr.1407/2013 2.panta 2.punkts </w:t>
            </w:r>
          </w:p>
        </w:tc>
        <w:tc>
          <w:tcPr>
            <w:tcW w:w="2452" w:type="dxa"/>
          </w:tcPr>
          <w:p w:rsidR="00D01664" w:rsidRPr="00D01664" w:rsidRDefault="00D01664" w:rsidP="0073286D">
            <w:pPr>
              <w:jc w:val="both"/>
              <w:rPr>
                <w:rFonts w:eastAsia="Times New Roman"/>
                <w:sz w:val="24"/>
                <w:szCs w:val="24"/>
                <w:lang w:val="lv-LV"/>
              </w:rPr>
            </w:pPr>
            <w:r w:rsidRPr="00D01664">
              <w:rPr>
                <w:rFonts w:eastAsia="Times New Roman"/>
                <w:i/>
                <w:sz w:val="24"/>
                <w:szCs w:val="24"/>
                <w:lang w:val="lv-LV"/>
              </w:rPr>
              <w:t xml:space="preserve">Noteikumu projekta 1.6.punkts (Ar ko groza MK noteikumu Nr.293 </w:t>
            </w:r>
            <w:r w:rsidRPr="00D01664">
              <w:rPr>
                <w:i/>
                <w:sz w:val="24"/>
                <w:szCs w:val="24"/>
              </w:rPr>
              <w:t xml:space="preserve">26. </w:t>
            </w:r>
            <w:r w:rsidRPr="00D01664">
              <w:rPr>
                <w:rFonts w:eastAsia="Times New Roman"/>
                <w:i/>
                <w:sz w:val="24"/>
                <w:szCs w:val="24"/>
                <w:lang w:val="lv-LV"/>
              </w:rPr>
              <w:t>punktu).</w:t>
            </w:r>
          </w:p>
        </w:tc>
        <w:tc>
          <w:tcPr>
            <w:tcW w:w="2703" w:type="dxa"/>
          </w:tcPr>
          <w:p w:rsidR="00D01664" w:rsidRPr="00B17E05" w:rsidRDefault="00D01664" w:rsidP="00E141AE">
            <w:pPr>
              <w:pStyle w:val="naisf"/>
              <w:spacing w:before="0" w:after="0"/>
              <w:rPr>
                <w:i/>
              </w:rPr>
            </w:pPr>
            <w:r w:rsidRPr="00B17E05">
              <w:rPr>
                <w:i/>
              </w:rPr>
              <w:t>ieviesta pilnībā</w:t>
            </w:r>
          </w:p>
        </w:tc>
        <w:tc>
          <w:tcPr>
            <w:tcW w:w="2033" w:type="dxa"/>
          </w:tcPr>
          <w:p w:rsidR="00D01664" w:rsidRPr="00B17E05" w:rsidRDefault="00D01664" w:rsidP="00E141AE">
            <w:pPr>
              <w:pStyle w:val="naisf"/>
              <w:spacing w:before="0" w:after="0"/>
              <w:ind w:firstLine="0"/>
              <w:rPr>
                <w:i/>
              </w:rPr>
            </w:pPr>
            <w:r w:rsidRPr="00B17E05">
              <w:rPr>
                <w:i/>
              </w:rPr>
              <w:t>neparedz stingrākas prasības</w:t>
            </w:r>
          </w:p>
        </w:tc>
      </w:tr>
      <w:tr w:rsidR="00D01664" w:rsidRPr="00335468" w:rsidTr="007108E1">
        <w:trPr>
          <w:trHeight w:val="360"/>
          <w:tblCellSpacing w:w="0" w:type="dxa"/>
        </w:trPr>
        <w:tc>
          <w:tcPr>
            <w:tcW w:w="2003" w:type="dxa"/>
          </w:tcPr>
          <w:p w:rsidR="00D01664" w:rsidRPr="00D01664" w:rsidRDefault="00D01664" w:rsidP="00486FE1">
            <w:pPr>
              <w:jc w:val="both"/>
              <w:rPr>
                <w:rFonts w:eastAsia="Times New Roman"/>
                <w:i/>
                <w:sz w:val="24"/>
                <w:szCs w:val="24"/>
                <w:lang w:val="lv-LV" w:eastAsia="lv-LV"/>
              </w:rPr>
            </w:pPr>
            <w:r w:rsidRPr="00D01664">
              <w:rPr>
                <w:rFonts w:eastAsia="Times New Roman"/>
                <w:i/>
                <w:sz w:val="24"/>
                <w:szCs w:val="24"/>
                <w:lang w:val="lv-LV" w:eastAsia="lv-LV"/>
              </w:rPr>
              <w:t xml:space="preserve">Komisijas regulas Nr.1407/2013 8.pants </w:t>
            </w:r>
          </w:p>
        </w:tc>
        <w:tc>
          <w:tcPr>
            <w:tcW w:w="2452" w:type="dxa"/>
          </w:tcPr>
          <w:p w:rsidR="00D01664" w:rsidRPr="00D01664" w:rsidRDefault="00D01664" w:rsidP="00486FE1">
            <w:pPr>
              <w:jc w:val="both"/>
              <w:rPr>
                <w:rFonts w:eastAsia="Times New Roman"/>
                <w:sz w:val="24"/>
                <w:szCs w:val="24"/>
                <w:lang w:val="lv-LV"/>
              </w:rPr>
            </w:pPr>
            <w:r w:rsidRPr="00D01664">
              <w:rPr>
                <w:rFonts w:eastAsia="Times New Roman"/>
                <w:i/>
                <w:sz w:val="24"/>
                <w:szCs w:val="24"/>
                <w:lang w:val="lv-LV"/>
              </w:rPr>
              <w:t xml:space="preserve">Noteikumu projekta 1.8.punkts (Ar ko groza MK noteikumu Nr.293 </w:t>
            </w:r>
            <w:r w:rsidRPr="00D01664">
              <w:rPr>
                <w:i/>
                <w:sz w:val="24"/>
                <w:szCs w:val="24"/>
              </w:rPr>
              <w:t xml:space="preserve">67. </w:t>
            </w:r>
            <w:r w:rsidRPr="00D01664">
              <w:rPr>
                <w:rFonts w:eastAsia="Times New Roman"/>
                <w:i/>
                <w:sz w:val="24"/>
                <w:szCs w:val="24"/>
                <w:lang w:val="lv-LV"/>
              </w:rPr>
              <w:t>punktu).</w:t>
            </w:r>
          </w:p>
        </w:tc>
        <w:tc>
          <w:tcPr>
            <w:tcW w:w="2703" w:type="dxa"/>
          </w:tcPr>
          <w:p w:rsidR="00D01664" w:rsidRPr="00B17E05" w:rsidRDefault="00D01664" w:rsidP="00E141AE">
            <w:pPr>
              <w:pStyle w:val="naisf"/>
              <w:spacing w:before="0" w:after="0"/>
              <w:rPr>
                <w:i/>
              </w:rPr>
            </w:pPr>
            <w:r w:rsidRPr="00B17E05">
              <w:rPr>
                <w:i/>
              </w:rPr>
              <w:t>ieviesta pilnībā</w:t>
            </w:r>
          </w:p>
        </w:tc>
        <w:tc>
          <w:tcPr>
            <w:tcW w:w="2033" w:type="dxa"/>
          </w:tcPr>
          <w:p w:rsidR="00D01664" w:rsidRPr="00B17E05" w:rsidRDefault="00D01664" w:rsidP="00E141AE">
            <w:pPr>
              <w:pStyle w:val="naisf"/>
              <w:spacing w:before="0" w:after="0"/>
              <w:ind w:firstLine="0"/>
              <w:rPr>
                <w:i/>
              </w:rPr>
            </w:pPr>
            <w:r w:rsidRPr="00B17E05">
              <w:rPr>
                <w:i/>
              </w:rPr>
              <w:t>neparedz stingrākas prasības</w:t>
            </w:r>
          </w:p>
        </w:tc>
      </w:tr>
      <w:tr w:rsidR="00D01664" w:rsidRPr="00335468" w:rsidTr="007108E1">
        <w:trPr>
          <w:trHeight w:val="360"/>
          <w:tblCellSpacing w:w="0" w:type="dxa"/>
        </w:trPr>
        <w:tc>
          <w:tcPr>
            <w:tcW w:w="2003" w:type="dxa"/>
          </w:tcPr>
          <w:p w:rsidR="00D01664" w:rsidRPr="00D01664" w:rsidRDefault="00D01664" w:rsidP="00E141AE">
            <w:pPr>
              <w:jc w:val="both"/>
              <w:rPr>
                <w:rFonts w:eastAsia="Times New Roman"/>
                <w:i/>
                <w:sz w:val="24"/>
                <w:szCs w:val="24"/>
                <w:lang w:val="lv-LV" w:eastAsia="lv-LV"/>
              </w:rPr>
            </w:pPr>
            <w:r w:rsidRPr="00D01664">
              <w:rPr>
                <w:rFonts w:eastAsia="Times New Roman"/>
                <w:i/>
                <w:sz w:val="24"/>
                <w:szCs w:val="24"/>
                <w:lang w:val="lv-LV" w:eastAsia="lv-LV"/>
              </w:rPr>
              <w:t>Komisijas regulas Nr.1407/20136 6.pants 1.punkts</w:t>
            </w:r>
          </w:p>
        </w:tc>
        <w:tc>
          <w:tcPr>
            <w:tcW w:w="2452" w:type="dxa"/>
          </w:tcPr>
          <w:p w:rsidR="00D01664" w:rsidRPr="00D01664" w:rsidRDefault="00D01664" w:rsidP="00E141AE">
            <w:pPr>
              <w:jc w:val="both"/>
              <w:rPr>
                <w:rFonts w:eastAsia="Times New Roman"/>
                <w:sz w:val="24"/>
                <w:szCs w:val="24"/>
                <w:lang w:val="lv-LV"/>
              </w:rPr>
            </w:pPr>
            <w:r w:rsidRPr="00D01664">
              <w:rPr>
                <w:rFonts w:eastAsia="Times New Roman"/>
                <w:i/>
                <w:sz w:val="24"/>
                <w:szCs w:val="24"/>
                <w:lang w:val="lv-LV"/>
              </w:rPr>
              <w:t xml:space="preserve">Noteikumu projekta 1.9.punkts (Ar ko groza MK noteikumu Nr.293 </w:t>
            </w:r>
            <w:r w:rsidRPr="00D01664">
              <w:rPr>
                <w:i/>
                <w:sz w:val="24"/>
                <w:szCs w:val="24"/>
              </w:rPr>
              <w:t xml:space="preserve">70. </w:t>
            </w:r>
            <w:r w:rsidRPr="00D01664">
              <w:rPr>
                <w:rFonts w:eastAsia="Times New Roman"/>
                <w:i/>
                <w:sz w:val="24"/>
                <w:szCs w:val="24"/>
                <w:lang w:val="lv-LV"/>
              </w:rPr>
              <w:t>punktu).</w:t>
            </w:r>
          </w:p>
        </w:tc>
        <w:tc>
          <w:tcPr>
            <w:tcW w:w="2703" w:type="dxa"/>
          </w:tcPr>
          <w:p w:rsidR="00D01664" w:rsidRPr="00B17E05" w:rsidRDefault="00D01664" w:rsidP="00E141AE">
            <w:pPr>
              <w:pStyle w:val="naisf"/>
              <w:spacing w:before="0" w:after="0"/>
              <w:rPr>
                <w:i/>
              </w:rPr>
            </w:pPr>
            <w:r w:rsidRPr="00B17E05">
              <w:rPr>
                <w:i/>
              </w:rPr>
              <w:t>ieviesta pilnībā</w:t>
            </w:r>
          </w:p>
        </w:tc>
        <w:tc>
          <w:tcPr>
            <w:tcW w:w="2033" w:type="dxa"/>
          </w:tcPr>
          <w:p w:rsidR="00D01664" w:rsidRPr="00B17E05" w:rsidRDefault="00D01664" w:rsidP="00E141AE">
            <w:pPr>
              <w:pStyle w:val="naisf"/>
              <w:spacing w:before="0" w:after="0"/>
              <w:ind w:firstLine="0"/>
              <w:rPr>
                <w:i/>
              </w:rPr>
            </w:pPr>
            <w:r w:rsidRPr="00B17E05">
              <w:rPr>
                <w:i/>
              </w:rPr>
              <w:t>neparedz stingrākas prasības</w:t>
            </w:r>
          </w:p>
        </w:tc>
      </w:tr>
      <w:tr w:rsidR="00D01664" w:rsidRPr="00335468" w:rsidTr="007108E1">
        <w:trPr>
          <w:trHeight w:val="360"/>
          <w:tblCellSpacing w:w="0" w:type="dxa"/>
        </w:trPr>
        <w:tc>
          <w:tcPr>
            <w:tcW w:w="2003" w:type="dxa"/>
          </w:tcPr>
          <w:p w:rsidR="00D01664" w:rsidRPr="00D01664" w:rsidRDefault="00D01664" w:rsidP="00D17AB0">
            <w:pPr>
              <w:jc w:val="both"/>
              <w:rPr>
                <w:rFonts w:eastAsia="Times New Roman"/>
                <w:i/>
                <w:sz w:val="24"/>
                <w:szCs w:val="24"/>
                <w:lang w:val="lv-LV" w:eastAsia="lv-LV"/>
              </w:rPr>
            </w:pPr>
            <w:r w:rsidRPr="00D01664">
              <w:rPr>
                <w:rFonts w:eastAsia="Times New Roman"/>
                <w:i/>
                <w:sz w:val="24"/>
                <w:szCs w:val="24"/>
                <w:lang w:val="lv-LV" w:eastAsia="lv-LV"/>
              </w:rPr>
              <w:t xml:space="preserve">Komisijas regulas Nr.1407/2013 1.pants </w:t>
            </w:r>
          </w:p>
        </w:tc>
        <w:tc>
          <w:tcPr>
            <w:tcW w:w="2452" w:type="dxa"/>
          </w:tcPr>
          <w:p w:rsidR="00D01664" w:rsidRPr="00D01664" w:rsidRDefault="00D01664" w:rsidP="00D17AB0">
            <w:pPr>
              <w:jc w:val="both"/>
              <w:rPr>
                <w:rFonts w:eastAsia="Times New Roman"/>
                <w:sz w:val="24"/>
                <w:szCs w:val="24"/>
                <w:lang w:val="lv-LV"/>
              </w:rPr>
            </w:pPr>
            <w:r w:rsidRPr="00D01664">
              <w:rPr>
                <w:rFonts w:eastAsia="Times New Roman"/>
                <w:i/>
                <w:sz w:val="24"/>
                <w:szCs w:val="24"/>
                <w:lang w:val="lv-LV"/>
              </w:rPr>
              <w:t xml:space="preserve">Noteikumu projekta 1.10.punkts (Ar ko groza MK noteikumu Nr.293 </w:t>
            </w:r>
            <w:r w:rsidRPr="00D01664">
              <w:rPr>
                <w:i/>
                <w:sz w:val="24"/>
                <w:szCs w:val="24"/>
              </w:rPr>
              <w:t xml:space="preserve">71.1. </w:t>
            </w:r>
            <w:r w:rsidRPr="00D01664">
              <w:rPr>
                <w:rFonts w:eastAsia="Times New Roman"/>
                <w:i/>
                <w:sz w:val="24"/>
                <w:szCs w:val="24"/>
                <w:lang w:val="lv-LV"/>
              </w:rPr>
              <w:t>punktu).</w:t>
            </w:r>
          </w:p>
        </w:tc>
        <w:tc>
          <w:tcPr>
            <w:tcW w:w="2703" w:type="dxa"/>
          </w:tcPr>
          <w:p w:rsidR="00D01664" w:rsidRPr="00B17E05" w:rsidRDefault="00D01664" w:rsidP="00E141AE">
            <w:pPr>
              <w:pStyle w:val="naisf"/>
              <w:spacing w:before="0" w:after="0"/>
              <w:rPr>
                <w:i/>
              </w:rPr>
            </w:pPr>
            <w:r w:rsidRPr="00B17E05">
              <w:rPr>
                <w:i/>
              </w:rPr>
              <w:t>ieviesta pilnībā</w:t>
            </w:r>
          </w:p>
        </w:tc>
        <w:tc>
          <w:tcPr>
            <w:tcW w:w="2033" w:type="dxa"/>
          </w:tcPr>
          <w:p w:rsidR="00D01664" w:rsidRPr="00B17E05" w:rsidRDefault="00D01664" w:rsidP="00E141AE">
            <w:pPr>
              <w:pStyle w:val="naisf"/>
              <w:spacing w:before="0" w:after="0"/>
              <w:ind w:firstLine="0"/>
              <w:rPr>
                <w:i/>
              </w:rPr>
            </w:pPr>
            <w:r w:rsidRPr="00B17E05">
              <w:rPr>
                <w:i/>
              </w:rPr>
              <w:t>neparedz stingrākas prasības</w:t>
            </w:r>
          </w:p>
        </w:tc>
      </w:tr>
      <w:tr w:rsidR="00D01664" w:rsidRPr="00335468" w:rsidTr="007108E1">
        <w:trPr>
          <w:trHeight w:val="360"/>
          <w:tblCellSpacing w:w="0" w:type="dxa"/>
        </w:trPr>
        <w:tc>
          <w:tcPr>
            <w:tcW w:w="2003" w:type="dxa"/>
          </w:tcPr>
          <w:p w:rsidR="00D01664" w:rsidRPr="00D01664" w:rsidRDefault="00D01664" w:rsidP="00E141AE">
            <w:pPr>
              <w:jc w:val="both"/>
              <w:rPr>
                <w:rFonts w:eastAsia="Times New Roman"/>
                <w:i/>
                <w:sz w:val="24"/>
                <w:szCs w:val="24"/>
                <w:lang w:val="lv-LV" w:eastAsia="lv-LV"/>
              </w:rPr>
            </w:pPr>
            <w:r w:rsidRPr="00D01664">
              <w:rPr>
                <w:rFonts w:eastAsia="Times New Roman"/>
                <w:i/>
                <w:sz w:val="24"/>
                <w:szCs w:val="24"/>
                <w:lang w:val="lv-LV" w:eastAsia="lv-LV"/>
              </w:rPr>
              <w:t xml:space="preserve">Komisijas regulas Nr.1407/2013 4.panta 3.punkta a) daļa </w:t>
            </w:r>
          </w:p>
        </w:tc>
        <w:tc>
          <w:tcPr>
            <w:tcW w:w="2452" w:type="dxa"/>
          </w:tcPr>
          <w:p w:rsidR="00D01664" w:rsidRPr="00D01664" w:rsidRDefault="00D01664" w:rsidP="00E141AE">
            <w:pPr>
              <w:jc w:val="both"/>
              <w:rPr>
                <w:rFonts w:eastAsia="Times New Roman"/>
                <w:sz w:val="24"/>
                <w:szCs w:val="24"/>
                <w:lang w:val="lv-LV"/>
              </w:rPr>
            </w:pPr>
            <w:r w:rsidRPr="00D01664">
              <w:rPr>
                <w:rFonts w:eastAsia="Times New Roman"/>
                <w:i/>
                <w:sz w:val="24"/>
                <w:szCs w:val="24"/>
                <w:lang w:val="lv-LV"/>
              </w:rPr>
              <w:t xml:space="preserve">Noteikumu projekta 1.11.punkts (Ar ko groza MK noteikumu Nr.293 </w:t>
            </w:r>
            <w:r w:rsidRPr="00D01664">
              <w:rPr>
                <w:i/>
                <w:sz w:val="24"/>
                <w:szCs w:val="24"/>
              </w:rPr>
              <w:t xml:space="preserve">72. </w:t>
            </w:r>
            <w:r w:rsidRPr="00D01664">
              <w:rPr>
                <w:rFonts w:eastAsia="Times New Roman"/>
                <w:i/>
                <w:sz w:val="24"/>
                <w:szCs w:val="24"/>
                <w:lang w:val="lv-LV"/>
              </w:rPr>
              <w:t>punktu).</w:t>
            </w:r>
          </w:p>
        </w:tc>
        <w:tc>
          <w:tcPr>
            <w:tcW w:w="2703" w:type="dxa"/>
          </w:tcPr>
          <w:p w:rsidR="00D01664" w:rsidRPr="00B17E05" w:rsidRDefault="00D01664" w:rsidP="00E141AE">
            <w:pPr>
              <w:pStyle w:val="naisf"/>
              <w:spacing w:before="0" w:after="0"/>
              <w:rPr>
                <w:i/>
              </w:rPr>
            </w:pPr>
            <w:r w:rsidRPr="00B17E05">
              <w:rPr>
                <w:i/>
              </w:rPr>
              <w:t>ieviesta pilnībā</w:t>
            </w:r>
          </w:p>
        </w:tc>
        <w:tc>
          <w:tcPr>
            <w:tcW w:w="2033" w:type="dxa"/>
          </w:tcPr>
          <w:p w:rsidR="00D01664" w:rsidRPr="00B17E05" w:rsidRDefault="00D01664" w:rsidP="00E141AE">
            <w:pPr>
              <w:pStyle w:val="naisf"/>
              <w:spacing w:before="0" w:after="0"/>
              <w:ind w:firstLine="0"/>
              <w:rPr>
                <w:i/>
              </w:rPr>
            </w:pPr>
            <w:r w:rsidRPr="00B17E05">
              <w:rPr>
                <w:i/>
              </w:rPr>
              <w:t>neparedz stingrākas prasības</w:t>
            </w:r>
          </w:p>
        </w:tc>
      </w:tr>
      <w:tr w:rsidR="00D01664" w:rsidRPr="00335468" w:rsidTr="0073286D">
        <w:trPr>
          <w:trHeight w:val="282"/>
          <w:tblCellSpacing w:w="0" w:type="dxa"/>
        </w:trPr>
        <w:tc>
          <w:tcPr>
            <w:tcW w:w="2003" w:type="dxa"/>
            <w:vAlign w:val="center"/>
            <w:hideMark/>
          </w:tcPr>
          <w:p w:rsidR="00D01664" w:rsidRPr="00335468" w:rsidRDefault="00D01664" w:rsidP="0073286D">
            <w:pPr>
              <w:rPr>
                <w:rFonts w:eastAsia="Times New Roman"/>
                <w:sz w:val="24"/>
                <w:szCs w:val="24"/>
                <w:lang w:val="lv-LV" w:eastAsia="lv-LV"/>
              </w:rPr>
            </w:pPr>
            <w:r w:rsidRPr="00335468">
              <w:rPr>
                <w:rFonts w:eastAsia="Times New Roman"/>
                <w:sz w:val="24"/>
                <w:szCs w:val="24"/>
                <w:lang w:val="lv-LV" w:eastAsia="lv-LV"/>
              </w:rPr>
              <w:t> Kā ir izmantota ES tiesību aktā paredzētā rīcības brīvība dalībvalstij pārņemt vai ieviest noteiktas ES tiesību akta normas.</w:t>
            </w:r>
          </w:p>
          <w:p w:rsidR="00D01664" w:rsidRPr="00335468" w:rsidRDefault="00D01664" w:rsidP="0073286D">
            <w:pPr>
              <w:rPr>
                <w:rFonts w:eastAsia="Times New Roman"/>
                <w:sz w:val="24"/>
                <w:szCs w:val="24"/>
                <w:lang w:val="lv-LV" w:eastAsia="lv-LV"/>
              </w:rPr>
            </w:pPr>
            <w:r w:rsidRPr="00335468">
              <w:rPr>
                <w:rFonts w:eastAsia="Times New Roman"/>
                <w:sz w:val="24"/>
                <w:szCs w:val="24"/>
                <w:lang w:val="lv-LV" w:eastAsia="lv-LV"/>
              </w:rPr>
              <w:t>Kādēļ?</w:t>
            </w:r>
          </w:p>
        </w:tc>
        <w:tc>
          <w:tcPr>
            <w:tcW w:w="7188" w:type="dxa"/>
            <w:gridSpan w:val="3"/>
            <w:hideMark/>
          </w:tcPr>
          <w:p w:rsidR="00D01664" w:rsidRPr="00850127" w:rsidRDefault="00D01664" w:rsidP="0073286D">
            <w:pPr>
              <w:rPr>
                <w:rFonts w:eastAsia="Times New Roman"/>
                <w:i/>
                <w:sz w:val="24"/>
                <w:szCs w:val="24"/>
                <w:lang w:val="lv-LV" w:eastAsia="lv-LV"/>
              </w:rPr>
            </w:pPr>
            <w:r w:rsidRPr="00335468">
              <w:rPr>
                <w:rFonts w:eastAsia="Times New Roman"/>
                <w:sz w:val="24"/>
                <w:szCs w:val="24"/>
                <w:lang w:val="lv-LV" w:eastAsia="lv-LV"/>
              </w:rPr>
              <w:t> </w:t>
            </w:r>
            <w:r w:rsidRPr="00850127">
              <w:rPr>
                <w:rFonts w:eastAsia="Times New Roman"/>
                <w:i/>
                <w:sz w:val="24"/>
                <w:szCs w:val="24"/>
                <w:lang w:val="lv-LV" w:eastAsia="lv-LV"/>
              </w:rPr>
              <w:t>Projekts šo jomu neskar.</w:t>
            </w:r>
          </w:p>
        </w:tc>
      </w:tr>
      <w:tr w:rsidR="00D01664" w:rsidRPr="00335468" w:rsidTr="0073286D">
        <w:trPr>
          <w:trHeight w:val="916"/>
          <w:tblCellSpacing w:w="0" w:type="dxa"/>
        </w:trPr>
        <w:tc>
          <w:tcPr>
            <w:tcW w:w="2003" w:type="dxa"/>
            <w:vAlign w:val="center"/>
            <w:hideMark/>
          </w:tcPr>
          <w:p w:rsidR="00D01664" w:rsidRPr="00335468" w:rsidRDefault="00D01664" w:rsidP="0073286D">
            <w:pPr>
              <w:rPr>
                <w:rFonts w:eastAsia="Times New Roman"/>
                <w:sz w:val="24"/>
                <w:szCs w:val="24"/>
                <w:lang w:val="lv-LV" w:eastAsia="lv-LV"/>
              </w:rPr>
            </w:pPr>
            <w:r w:rsidRPr="00335468">
              <w:rPr>
                <w:rFonts w:eastAsia="Times New Roman"/>
                <w:sz w:val="24"/>
                <w:szCs w:val="24"/>
                <w:lang w:val="lv-LV" w:eastAsia="lv-LV"/>
              </w:rPr>
              <w:lastRenderedPageBreak/>
              <w:t>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188" w:type="dxa"/>
            <w:gridSpan w:val="3"/>
            <w:hideMark/>
          </w:tcPr>
          <w:p w:rsidR="00D01664" w:rsidRPr="00850127" w:rsidRDefault="00D01664" w:rsidP="0073286D">
            <w:pPr>
              <w:jc w:val="both"/>
              <w:rPr>
                <w:rFonts w:eastAsia="Times New Roman"/>
                <w:i/>
                <w:sz w:val="24"/>
                <w:szCs w:val="24"/>
                <w:lang w:val="lv-LV" w:eastAsia="lv-LV"/>
              </w:rPr>
            </w:pPr>
            <w:r w:rsidRPr="00850127">
              <w:rPr>
                <w:rFonts w:eastAsia="Times New Roman"/>
                <w:i/>
                <w:sz w:val="24"/>
                <w:szCs w:val="24"/>
                <w:lang w:val="lv-LV" w:eastAsia="lv-LV"/>
              </w:rPr>
              <w:t>Projekts šo jomu neskar.</w:t>
            </w:r>
          </w:p>
        </w:tc>
      </w:tr>
      <w:tr w:rsidR="00D01664" w:rsidRPr="00335468" w:rsidTr="00B451F4">
        <w:trPr>
          <w:trHeight w:val="249"/>
          <w:tblCellSpacing w:w="0" w:type="dxa"/>
        </w:trPr>
        <w:tc>
          <w:tcPr>
            <w:tcW w:w="2003" w:type="dxa"/>
            <w:hideMark/>
          </w:tcPr>
          <w:p w:rsidR="00D01664" w:rsidRPr="00335468" w:rsidRDefault="00D01664" w:rsidP="0073286D">
            <w:pPr>
              <w:rPr>
                <w:rFonts w:eastAsia="Times New Roman"/>
                <w:sz w:val="24"/>
                <w:szCs w:val="24"/>
                <w:lang w:val="lv-LV" w:eastAsia="lv-LV"/>
              </w:rPr>
            </w:pPr>
            <w:r w:rsidRPr="00335468">
              <w:rPr>
                <w:rFonts w:eastAsia="Times New Roman"/>
                <w:sz w:val="24"/>
                <w:szCs w:val="24"/>
                <w:lang w:val="lv-LV" w:eastAsia="lv-LV"/>
              </w:rPr>
              <w:t> Cita informācija</w:t>
            </w:r>
          </w:p>
        </w:tc>
        <w:tc>
          <w:tcPr>
            <w:tcW w:w="7188" w:type="dxa"/>
            <w:gridSpan w:val="3"/>
            <w:hideMark/>
          </w:tcPr>
          <w:p w:rsidR="00D01664" w:rsidRPr="00850127" w:rsidRDefault="00D01664" w:rsidP="0073286D">
            <w:pPr>
              <w:rPr>
                <w:rFonts w:eastAsia="Times New Roman"/>
                <w:i/>
                <w:sz w:val="24"/>
                <w:szCs w:val="24"/>
                <w:lang w:val="lv-LV" w:eastAsia="lv-LV"/>
              </w:rPr>
            </w:pPr>
            <w:r w:rsidRPr="00335468">
              <w:rPr>
                <w:rFonts w:eastAsia="Times New Roman"/>
                <w:sz w:val="24"/>
                <w:szCs w:val="24"/>
                <w:lang w:val="lv-LV" w:eastAsia="lv-LV"/>
              </w:rPr>
              <w:t> </w:t>
            </w:r>
            <w:r w:rsidRPr="00850127">
              <w:rPr>
                <w:i/>
                <w:sz w:val="24"/>
                <w:szCs w:val="24"/>
                <w:lang w:val="lv-LV"/>
              </w:rPr>
              <w:t>Nav.</w:t>
            </w:r>
          </w:p>
        </w:tc>
      </w:tr>
    </w:tbl>
    <w:p w:rsidR="00A706CF" w:rsidRPr="00335468" w:rsidRDefault="00A706CF" w:rsidP="00A706CF">
      <w:pPr>
        <w:ind w:firstLine="468"/>
        <w:jc w:val="both"/>
        <w:rPr>
          <w:rFonts w:eastAsia="Times New Roman"/>
          <w:sz w:val="24"/>
          <w:szCs w:val="24"/>
          <w:lang w:val="lv-LV" w:eastAsia="lv-LV"/>
        </w:rPr>
      </w:pPr>
      <w:r w:rsidRPr="00335468">
        <w:rPr>
          <w:rFonts w:eastAsia="Times New Roman"/>
          <w:sz w:val="24"/>
          <w:szCs w:val="24"/>
          <w:lang w:val="lv-LV" w:eastAsia="lv-LV"/>
        </w:rPr>
        <w:t> </w:t>
      </w:r>
    </w:p>
    <w:tbl>
      <w:tblPr>
        <w:tblW w:w="0" w:type="auto"/>
        <w:tblCellSpacing w:w="0" w:type="dxa"/>
        <w:tblBorders>
          <w:top w:val="thickThinLargeGap" w:sz="2" w:space="0" w:color="C0C0C0"/>
          <w:left w:val="thickThinLargeGap" w:sz="2" w:space="0" w:color="C0C0C0"/>
          <w:bottom w:val="thickThinLargeGap" w:sz="2" w:space="0" w:color="C0C0C0"/>
          <w:right w:val="thickThinLargeGap" w:sz="2" w:space="0" w:color="C0C0C0"/>
          <w:insideH w:val="thickThinLargeGap" w:sz="2" w:space="0" w:color="C0C0C0"/>
          <w:insideV w:val="thickThinLargeGap" w:sz="2" w:space="0" w:color="C0C0C0"/>
        </w:tblBorders>
        <w:tblCellMar>
          <w:left w:w="0" w:type="dxa"/>
          <w:right w:w="0" w:type="dxa"/>
        </w:tblCellMar>
        <w:tblLook w:val="04A0" w:firstRow="1" w:lastRow="0" w:firstColumn="1" w:lastColumn="0" w:noHBand="0" w:noVBand="1"/>
      </w:tblPr>
      <w:tblGrid>
        <w:gridCol w:w="2602"/>
        <w:gridCol w:w="992"/>
        <w:gridCol w:w="1607"/>
        <w:gridCol w:w="3914"/>
      </w:tblGrid>
      <w:tr w:rsidR="00A706CF" w:rsidRPr="00335468" w:rsidTr="0073286D">
        <w:trPr>
          <w:trHeight w:val="796"/>
          <w:tblCellSpacing w:w="0" w:type="dxa"/>
        </w:trPr>
        <w:tc>
          <w:tcPr>
            <w:tcW w:w="9115" w:type="dxa"/>
            <w:gridSpan w:val="4"/>
            <w:vAlign w:val="center"/>
            <w:hideMark/>
          </w:tcPr>
          <w:p w:rsidR="00A706CF" w:rsidRPr="00335468" w:rsidRDefault="00A706CF" w:rsidP="0073286D">
            <w:pPr>
              <w:jc w:val="center"/>
              <w:rPr>
                <w:rFonts w:eastAsia="Times New Roman"/>
                <w:b/>
                <w:bCs/>
                <w:sz w:val="24"/>
                <w:szCs w:val="24"/>
                <w:lang w:val="lv-LV"/>
              </w:rPr>
            </w:pPr>
            <w:r w:rsidRPr="00335468">
              <w:rPr>
                <w:rFonts w:eastAsia="Times New Roman"/>
                <w:b/>
                <w:bCs/>
                <w:sz w:val="24"/>
                <w:szCs w:val="24"/>
                <w:lang w:val="lv-LV"/>
              </w:rPr>
              <w:t> 2.tabula</w:t>
            </w:r>
          </w:p>
          <w:p w:rsidR="00A706CF" w:rsidRPr="00335468" w:rsidRDefault="00A706CF" w:rsidP="0073286D">
            <w:pPr>
              <w:jc w:val="center"/>
              <w:rPr>
                <w:rFonts w:eastAsia="Times New Roman"/>
                <w:b/>
                <w:bCs/>
                <w:sz w:val="24"/>
                <w:szCs w:val="24"/>
                <w:lang w:val="lv-LV"/>
              </w:rPr>
            </w:pPr>
            <w:r w:rsidRPr="00335468">
              <w:rPr>
                <w:rFonts w:eastAsia="Times New Roman"/>
                <w:b/>
                <w:bCs/>
                <w:sz w:val="24"/>
                <w:szCs w:val="24"/>
                <w:lang w:val="lv-LV"/>
              </w:rPr>
              <w:t>Ar tiesību akta projektu uzņemtās saistības, kas izriet no starptautiskajiem tiesību aktiem vai starptautiskas institūcijas vai organizācijas dokumentiem</w:t>
            </w:r>
          </w:p>
          <w:p w:rsidR="00A706CF" w:rsidRPr="00335468" w:rsidRDefault="00A706CF" w:rsidP="0073286D">
            <w:pPr>
              <w:jc w:val="center"/>
              <w:rPr>
                <w:rFonts w:eastAsia="Times New Roman"/>
                <w:b/>
                <w:bCs/>
                <w:sz w:val="24"/>
                <w:szCs w:val="24"/>
                <w:lang w:val="lv-LV"/>
              </w:rPr>
            </w:pPr>
            <w:r w:rsidRPr="00335468">
              <w:rPr>
                <w:rFonts w:eastAsia="Times New Roman"/>
                <w:b/>
                <w:bCs/>
                <w:sz w:val="24"/>
                <w:szCs w:val="24"/>
                <w:lang w:val="lv-LV"/>
              </w:rPr>
              <w:t>Pasākumi šo saistību izpildei</w:t>
            </w:r>
          </w:p>
        </w:tc>
      </w:tr>
      <w:tr w:rsidR="00A706CF" w:rsidRPr="00335468" w:rsidTr="00B451F4">
        <w:trPr>
          <w:trHeight w:val="1393"/>
          <w:tblCellSpacing w:w="0" w:type="dxa"/>
        </w:trPr>
        <w:tc>
          <w:tcPr>
            <w:tcW w:w="3594" w:type="dxa"/>
            <w:gridSpan w:val="2"/>
            <w:vAlign w:val="center"/>
            <w:hideMark/>
          </w:tcPr>
          <w:p w:rsidR="00A706CF" w:rsidRPr="00335468" w:rsidRDefault="00A706CF" w:rsidP="0073286D">
            <w:pPr>
              <w:rPr>
                <w:rFonts w:eastAsia="Times New Roman"/>
                <w:sz w:val="24"/>
                <w:szCs w:val="24"/>
                <w:lang w:val="lv-LV"/>
              </w:rPr>
            </w:pPr>
            <w:r w:rsidRPr="00335468">
              <w:rPr>
                <w:rFonts w:eastAsia="Times New Roman"/>
                <w:sz w:val="24"/>
                <w:szCs w:val="24"/>
                <w:lang w:val="lv-LV"/>
              </w:rPr>
              <w:t> Attiecīgā starptautiskā tiesību akta vai starptautiskas institūcijas vai organizācijas dokumenta (turpmāk – starptautiskais dokuments) datums, numurs un nosaukums</w:t>
            </w:r>
          </w:p>
        </w:tc>
        <w:tc>
          <w:tcPr>
            <w:tcW w:w="5521" w:type="dxa"/>
            <w:gridSpan w:val="2"/>
            <w:hideMark/>
          </w:tcPr>
          <w:p w:rsidR="00A706CF" w:rsidRPr="00335468" w:rsidRDefault="00A706CF" w:rsidP="0073286D">
            <w:pPr>
              <w:rPr>
                <w:rFonts w:eastAsia="Times New Roman"/>
                <w:sz w:val="24"/>
                <w:szCs w:val="24"/>
                <w:lang w:val="lv-LV"/>
              </w:rPr>
            </w:pPr>
            <w:r w:rsidRPr="00335468">
              <w:rPr>
                <w:rFonts w:eastAsia="Times New Roman"/>
                <w:sz w:val="24"/>
                <w:szCs w:val="24"/>
                <w:lang w:val="lv-LV"/>
              </w:rPr>
              <w:t> Aizpilda, ja ar projektu izpildītas vai tiek uzņemtas saistības, kas izriet no vairāk nekā viena starptautiskā dokumenta, – jānorāda tā pati informācija, kas prasīta instrukcijas 57.1.apakšpunktā un jau tikusi norādīta arī V sadaļas 2.punkta ietvaros</w:t>
            </w:r>
          </w:p>
        </w:tc>
      </w:tr>
      <w:tr w:rsidR="00A706CF" w:rsidRPr="00335468" w:rsidTr="0073286D">
        <w:trPr>
          <w:trHeight w:val="343"/>
          <w:tblCellSpacing w:w="0" w:type="dxa"/>
        </w:trPr>
        <w:tc>
          <w:tcPr>
            <w:tcW w:w="2602" w:type="dxa"/>
            <w:vAlign w:val="center"/>
            <w:hideMark/>
          </w:tcPr>
          <w:p w:rsidR="00A706CF" w:rsidRPr="00335468" w:rsidRDefault="00A706CF" w:rsidP="0073286D">
            <w:pPr>
              <w:jc w:val="center"/>
              <w:rPr>
                <w:rFonts w:eastAsia="Times New Roman"/>
                <w:sz w:val="24"/>
                <w:szCs w:val="24"/>
                <w:lang w:val="lv-LV"/>
              </w:rPr>
            </w:pPr>
            <w:r w:rsidRPr="00335468">
              <w:rPr>
                <w:rFonts w:eastAsia="Times New Roman"/>
                <w:sz w:val="24"/>
                <w:szCs w:val="24"/>
                <w:lang w:val="lv-LV"/>
              </w:rPr>
              <w:t> A</w:t>
            </w:r>
          </w:p>
        </w:tc>
        <w:tc>
          <w:tcPr>
            <w:tcW w:w="2599" w:type="dxa"/>
            <w:gridSpan w:val="2"/>
            <w:vAlign w:val="center"/>
            <w:hideMark/>
          </w:tcPr>
          <w:p w:rsidR="00A706CF" w:rsidRPr="00335468" w:rsidRDefault="00A706CF" w:rsidP="0073286D">
            <w:pPr>
              <w:jc w:val="center"/>
              <w:rPr>
                <w:rFonts w:eastAsia="Times New Roman"/>
                <w:sz w:val="24"/>
                <w:szCs w:val="24"/>
                <w:lang w:val="lv-LV"/>
              </w:rPr>
            </w:pPr>
            <w:r w:rsidRPr="00335468">
              <w:rPr>
                <w:rFonts w:eastAsia="Times New Roman"/>
                <w:sz w:val="24"/>
                <w:szCs w:val="24"/>
                <w:lang w:val="lv-LV"/>
              </w:rPr>
              <w:t> B</w:t>
            </w:r>
          </w:p>
        </w:tc>
        <w:tc>
          <w:tcPr>
            <w:tcW w:w="3914" w:type="dxa"/>
            <w:vAlign w:val="center"/>
            <w:hideMark/>
          </w:tcPr>
          <w:p w:rsidR="00A706CF" w:rsidRPr="00335468" w:rsidRDefault="00A706CF" w:rsidP="0073286D">
            <w:pPr>
              <w:jc w:val="center"/>
              <w:rPr>
                <w:rFonts w:eastAsia="Times New Roman"/>
                <w:sz w:val="24"/>
                <w:szCs w:val="24"/>
                <w:lang w:val="lv-LV"/>
              </w:rPr>
            </w:pPr>
            <w:r w:rsidRPr="00335468">
              <w:rPr>
                <w:rFonts w:eastAsia="Times New Roman"/>
                <w:sz w:val="24"/>
                <w:szCs w:val="24"/>
                <w:lang w:val="lv-LV"/>
              </w:rPr>
              <w:t> C</w:t>
            </w:r>
          </w:p>
        </w:tc>
      </w:tr>
      <w:tr w:rsidR="00A706CF" w:rsidRPr="00335468" w:rsidTr="00B451F4">
        <w:trPr>
          <w:trHeight w:val="1362"/>
          <w:tblCellSpacing w:w="0" w:type="dxa"/>
        </w:trPr>
        <w:tc>
          <w:tcPr>
            <w:tcW w:w="2602" w:type="dxa"/>
            <w:hideMark/>
          </w:tcPr>
          <w:p w:rsidR="00A706CF" w:rsidRPr="00335468" w:rsidRDefault="00A706CF" w:rsidP="0073286D">
            <w:pPr>
              <w:rPr>
                <w:rFonts w:eastAsia="Times New Roman"/>
                <w:sz w:val="24"/>
                <w:szCs w:val="24"/>
                <w:lang w:val="lv-LV"/>
              </w:rPr>
            </w:pPr>
            <w:r w:rsidRPr="00335468">
              <w:rPr>
                <w:rFonts w:eastAsia="Times New Roman"/>
                <w:sz w:val="24"/>
                <w:szCs w:val="24"/>
                <w:lang w:val="lv-LV"/>
              </w:rPr>
              <w:t> Starptautiskās saistības (pēc būtības), kas izriet no norādītā starptautiskā dokumenta.</w:t>
            </w:r>
          </w:p>
          <w:p w:rsidR="00A706CF" w:rsidRPr="00335468" w:rsidRDefault="00A706CF" w:rsidP="0073286D">
            <w:pPr>
              <w:rPr>
                <w:rFonts w:eastAsia="Times New Roman"/>
                <w:sz w:val="24"/>
                <w:szCs w:val="24"/>
                <w:lang w:val="lv-LV"/>
              </w:rPr>
            </w:pPr>
            <w:r w:rsidRPr="00335468">
              <w:rPr>
                <w:rFonts w:eastAsia="Times New Roman"/>
                <w:sz w:val="24"/>
                <w:szCs w:val="24"/>
                <w:lang w:val="lv-LV"/>
              </w:rPr>
              <w:t> </w:t>
            </w:r>
          </w:p>
          <w:p w:rsidR="00A706CF" w:rsidRPr="00335468" w:rsidRDefault="00A706CF" w:rsidP="0073286D">
            <w:pPr>
              <w:rPr>
                <w:rFonts w:eastAsia="Times New Roman"/>
                <w:sz w:val="24"/>
                <w:szCs w:val="24"/>
                <w:lang w:val="lv-LV"/>
              </w:rPr>
            </w:pPr>
            <w:r w:rsidRPr="00335468">
              <w:rPr>
                <w:rFonts w:eastAsia="Times New Roman"/>
                <w:sz w:val="24"/>
                <w:szCs w:val="24"/>
                <w:lang w:val="lv-LV"/>
              </w:rPr>
              <w:t>Konkrēti veicamie pasākumi vai uzdevumi, kas nepieciešami šo starptautisko saistību izpildei</w:t>
            </w:r>
          </w:p>
        </w:tc>
        <w:tc>
          <w:tcPr>
            <w:tcW w:w="2599" w:type="dxa"/>
            <w:gridSpan w:val="2"/>
            <w:hideMark/>
          </w:tcPr>
          <w:p w:rsidR="00A706CF" w:rsidRPr="00335468" w:rsidRDefault="00A706CF" w:rsidP="0073286D">
            <w:pPr>
              <w:rPr>
                <w:rFonts w:eastAsia="Times New Roman"/>
                <w:sz w:val="24"/>
                <w:szCs w:val="24"/>
                <w:lang w:val="lv-LV"/>
              </w:rPr>
            </w:pPr>
            <w:r w:rsidRPr="00335468">
              <w:rPr>
                <w:rFonts w:eastAsia="Times New Roman"/>
                <w:sz w:val="24"/>
                <w:szCs w:val="24"/>
                <w:lang w:val="lv-LV"/>
              </w:rPr>
              <w:t> Ja pasākumi vai uzdevumi, ar ko tiks izpildītas starptautiskās saistības, tiek noteikti projektā, norāda attiecīgo projekta vienību.</w:t>
            </w:r>
          </w:p>
          <w:p w:rsidR="00A706CF" w:rsidRPr="00335468" w:rsidRDefault="00A706CF" w:rsidP="0073286D">
            <w:pPr>
              <w:rPr>
                <w:rFonts w:eastAsia="Times New Roman"/>
                <w:sz w:val="24"/>
                <w:szCs w:val="24"/>
                <w:lang w:val="lv-LV"/>
              </w:rPr>
            </w:pPr>
            <w:r w:rsidRPr="00335468">
              <w:rPr>
                <w:rFonts w:eastAsia="Times New Roman"/>
                <w:sz w:val="24"/>
                <w:szCs w:val="24"/>
                <w:lang w:val="lv-LV"/>
              </w:rPr>
              <w:t> </w:t>
            </w:r>
          </w:p>
          <w:p w:rsidR="00A706CF" w:rsidRPr="00335468" w:rsidRDefault="00A706CF" w:rsidP="0073286D">
            <w:pPr>
              <w:rPr>
                <w:rFonts w:eastAsia="Times New Roman"/>
                <w:sz w:val="24"/>
                <w:szCs w:val="24"/>
                <w:lang w:val="lv-LV"/>
              </w:rPr>
            </w:pPr>
            <w:r w:rsidRPr="00335468">
              <w:rPr>
                <w:rFonts w:eastAsia="Times New Roman"/>
                <w:sz w:val="24"/>
                <w:szCs w:val="24"/>
                <w:lang w:val="lv-LV"/>
              </w:rPr>
              <w:t>Vai arī norāda dokumentu, kurā sniegts izvērsts skaidrojums, kādā veidā tiks nodrošināta starptautisko saistību izpilde</w:t>
            </w:r>
          </w:p>
        </w:tc>
        <w:tc>
          <w:tcPr>
            <w:tcW w:w="3914" w:type="dxa"/>
            <w:hideMark/>
          </w:tcPr>
          <w:p w:rsidR="00A706CF" w:rsidRPr="00335468" w:rsidRDefault="00A706CF" w:rsidP="0073286D">
            <w:pPr>
              <w:rPr>
                <w:rFonts w:eastAsia="Times New Roman"/>
                <w:sz w:val="24"/>
                <w:szCs w:val="24"/>
                <w:lang w:val="lv-LV"/>
              </w:rPr>
            </w:pPr>
            <w:r w:rsidRPr="00335468">
              <w:rPr>
                <w:rFonts w:eastAsia="Times New Roman"/>
                <w:sz w:val="24"/>
                <w:szCs w:val="24"/>
                <w:lang w:val="lv-LV"/>
              </w:rPr>
              <w:t> Informācija par to, vai starptautiskās saistības, kas minētas šīs tabulas A ailē, tiek izpildītas pilnībā vai daļēji.</w:t>
            </w:r>
          </w:p>
          <w:p w:rsidR="00A706CF" w:rsidRPr="00335468" w:rsidRDefault="00A706CF" w:rsidP="0073286D">
            <w:pPr>
              <w:rPr>
                <w:rFonts w:eastAsia="Times New Roman"/>
                <w:sz w:val="24"/>
                <w:szCs w:val="24"/>
                <w:lang w:val="lv-LV"/>
              </w:rPr>
            </w:pPr>
            <w:r w:rsidRPr="00335468">
              <w:rPr>
                <w:rFonts w:eastAsia="Times New Roman"/>
                <w:sz w:val="24"/>
                <w:szCs w:val="24"/>
                <w:lang w:val="lv-LV"/>
              </w:rPr>
              <w:t> </w:t>
            </w:r>
          </w:p>
          <w:p w:rsidR="00A706CF" w:rsidRPr="00335468" w:rsidRDefault="00A706CF" w:rsidP="0073286D">
            <w:pPr>
              <w:rPr>
                <w:rFonts w:eastAsia="Times New Roman"/>
                <w:sz w:val="24"/>
                <w:szCs w:val="24"/>
                <w:lang w:val="lv-LV"/>
              </w:rPr>
            </w:pPr>
            <w:r w:rsidRPr="00335468">
              <w:rPr>
                <w:rFonts w:eastAsia="Times New Roman"/>
                <w:sz w:val="24"/>
                <w:szCs w:val="24"/>
                <w:lang w:val="lv-LV"/>
              </w:rPr>
              <w:t>Ja attiecīgās starptautiskās saistības tiek izpildītas daļēji, sniedz attiecīgu skaidrojumu, kā arī precīzi norāda, kad un kādā veidā starptautiskās saistības tiks izpildītas pilnībā.</w:t>
            </w:r>
          </w:p>
          <w:p w:rsidR="00A706CF" w:rsidRPr="00335468" w:rsidRDefault="00A706CF" w:rsidP="0073286D">
            <w:pPr>
              <w:rPr>
                <w:rFonts w:eastAsia="Times New Roman"/>
                <w:sz w:val="24"/>
                <w:szCs w:val="24"/>
                <w:lang w:val="lv-LV"/>
              </w:rPr>
            </w:pPr>
            <w:r w:rsidRPr="00335468">
              <w:rPr>
                <w:rFonts w:eastAsia="Times New Roman"/>
                <w:sz w:val="24"/>
                <w:szCs w:val="24"/>
                <w:lang w:val="lv-LV"/>
              </w:rPr>
              <w:t> </w:t>
            </w:r>
          </w:p>
          <w:p w:rsidR="00A706CF" w:rsidRPr="00335468" w:rsidRDefault="00A706CF" w:rsidP="0073286D">
            <w:pPr>
              <w:rPr>
                <w:rFonts w:eastAsia="Times New Roman"/>
                <w:sz w:val="24"/>
                <w:szCs w:val="24"/>
                <w:lang w:val="lv-LV"/>
              </w:rPr>
            </w:pPr>
            <w:r w:rsidRPr="00335468">
              <w:rPr>
                <w:rFonts w:eastAsia="Times New Roman"/>
                <w:sz w:val="24"/>
                <w:szCs w:val="24"/>
                <w:lang w:val="lv-LV"/>
              </w:rPr>
              <w:t>Norāda institūciju, kas ir atbildīga par šo saistību izpildi pilnībā</w:t>
            </w:r>
          </w:p>
        </w:tc>
      </w:tr>
      <w:tr w:rsidR="00A706CF" w:rsidRPr="00335468" w:rsidTr="0073286D">
        <w:trPr>
          <w:trHeight w:val="282"/>
          <w:tblCellSpacing w:w="0" w:type="dxa"/>
        </w:trPr>
        <w:tc>
          <w:tcPr>
            <w:tcW w:w="2602" w:type="dxa"/>
            <w:hideMark/>
          </w:tcPr>
          <w:p w:rsidR="00A706CF" w:rsidRPr="00335468" w:rsidRDefault="00A706CF" w:rsidP="0073286D">
            <w:pPr>
              <w:rPr>
                <w:rFonts w:eastAsia="Times New Roman"/>
                <w:i/>
                <w:sz w:val="24"/>
                <w:szCs w:val="24"/>
                <w:lang w:val="lv-LV"/>
              </w:rPr>
            </w:pPr>
            <w:r w:rsidRPr="00335468">
              <w:rPr>
                <w:rFonts w:eastAsia="Times New Roman"/>
                <w:i/>
                <w:sz w:val="24"/>
                <w:szCs w:val="24"/>
                <w:lang w:val="lv-LV"/>
              </w:rPr>
              <w:t xml:space="preserve"> Projekts šo jomu neskar.</w:t>
            </w:r>
          </w:p>
        </w:tc>
        <w:tc>
          <w:tcPr>
            <w:tcW w:w="2599" w:type="dxa"/>
            <w:gridSpan w:val="2"/>
            <w:hideMark/>
          </w:tcPr>
          <w:p w:rsidR="00A706CF" w:rsidRPr="00335468" w:rsidRDefault="00A706CF" w:rsidP="0073286D">
            <w:pPr>
              <w:rPr>
                <w:rFonts w:eastAsia="Times New Roman"/>
                <w:i/>
                <w:sz w:val="24"/>
                <w:szCs w:val="24"/>
                <w:lang w:val="lv-LV"/>
              </w:rPr>
            </w:pPr>
            <w:r w:rsidRPr="00335468">
              <w:rPr>
                <w:rFonts w:eastAsia="Times New Roman"/>
                <w:i/>
                <w:sz w:val="24"/>
                <w:szCs w:val="24"/>
                <w:lang w:val="lv-LV"/>
              </w:rPr>
              <w:t xml:space="preserve"> Projekts šo jomu neskar.</w:t>
            </w:r>
          </w:p>
        </w:tc>
        <w:tc>
          <w:tcPr>
            <w:tcW w:w="3914" w:type="dxa"/>
            <w:hideMark/>
          </w:tcPr>
          <w:p w:rsidR="00A706CF" w:rsidRPr="00335468" w:rsidRDefault="00A706CF" w:rsidP="0073286D">
            <w:pPr>
              <w:rPr>
                <w:rFonts w:eastAsia="Times New Roman"/>
                <w:i/>
                <w:sz w:val="24"/>
                <w:szCs w:val="24"/>
                <w:lang w:val="lv-LV"/>
              </w:rPr>
            </w:pPr>
            <w:r w:rsidRPr="00335468">
              <w:rPr>
                <w:rFonts w:eastAsia="Times New Roman"/>
                <w:i/>
                <w:sz w:val="24"/>
                <w:szCs w:val="24"/>
                <w:lang w:val="lv-LV"/>
              </w:rPr>
              <w:t xml:space="preserve"> Projekts šo jomu neskar.</w:t>
            </w:r>
          </w:p>
        </w:tc>
      </w:tr>
      <w:tr w:rsidR="00A706CF" w:rsidRPr="00335468" w:rsidTr="0073286D">
        <w:trPr>
          <w:trHeight w:val="1079"/>
          <w:tblCellSpacing w:w="0" w:type="dxa"/>
        </w:trPr>
        <w:tc>
          <w:tcPr>
            <w:tcW w:w="2602" w:type="dxa"/>
            <w:vAlign w:val="center"/>
            <w:hideMark/>
          </w:tcPr>
          <w:p w:rsidR="00A706CF" w:rsidRPr="00335468" w:rsidRDefault="00A706CF" w:rsidP="0073286D">
            <w:pPr>
              <w:rPr>
                <w:rFonts w:eastAsia="Times New Roman"/>
                <w:sz w:val="24"/>
                <w:szCs w:val="24"/>
                <w:lang w:val="lv-LV"/>
              </w:rPr>
            </w:pPr>
            <w:r w:rsidRPr="00335468">
              <w:rPr>
                <w:rFonts w:eastAsia="Times New Roman"/>
                <w:sz w:val="24"/>
                <w:szCs w:val="24"/>
                <w:lang w:val="lv-LV"/>
              </w:rPr>
              <w:lastRenderedPageBreak/>
              <w:t> Vai starptautiskajā dokumentā paredzētās saistības nav pretrunā ar jau esošajām Latvijas Republikas starptautiskajām saistībām</w:t>
            </w:r>
          </w:p>
        </w:tc>
        <w:tc>
          <w:tcPr>
            <w:tcW w:w="6513" w:type="dxa"/>
            <w:gridSpan w:val="3"/>
            <w:hideMark/>
          </w:tcPr>
          <w:p w:rsidR="00A706CF" w:rsidRPr="00850127" w:rsidRDefault="00A706CF" w:rsidP="0073286D">
            <w:pPr>
              <w:rPr>
                <w:rFonts w:eastAsia="Times New Roman"/>
                <w:i/>
                <w:sz w:val="24"/>
                <w:szCs w:val="24"/>
                <w:lang w:val="lv-LV"/>
              </w:rPr>
            </w:pPr>
            <w:r w:rsidRPr="00335468">
              <w:rPr>
                <w:rFonts w:eastAsia="Times New Roman"/>
                <w:sz w:val="24"/>
                <w:szCs w:val="24"/>
                <w:lang w:val="lv-LV"/>
              </w:rPr>
              <w:t> </w:t>
            </w:r>
            <w:r w:rsidRPr="00850127">
              <w:rPr>
                <w:rFonts w:eastAsia="Times New Roman"/>
                <w:i/>
                <w:sz w:val="24"/>
                <w:szCs w:val="24"/>
                <w:lang w:val="lv-LV"/>
              </w:rPr>
              <w:t>Projekts šo jomu neskar.</w:t>
            </w:r>
          </w:p>
        </w:tc>
      </w:tr>
      <w:tr w:rsidR="00A706CF" w:rsidRPr="00335468" w:rsidTr="0073286D">
        <w:trPr>
          <w:trHeight w:val="337"/>
          <w:tblCellSpacing w:w="0" w:type="dxa"/>
        </w:trPr>
        <w:tc>
          <w:tcPr>
            <w:tcW w:w="2602" w:type="dxa"/>
            <w:hideMark/>
          </w:tcPr>
          <w:p w:rsidR="00A706CF" w:rsidRPr="00335468" w:rsidRDefault="00A706CF" w:rsidP="0073286D">
            <w:pPr>
              <w:rPr>
                <w:rFonts w:eastAsia="Times New Roman"/>
                <w:sz w:val="24"/>
                <w:szCs w:val="24"/>
                <w:lang w:val="lv-LV"/>
              </w:rPr>
            </w:pPr>
            <w:r w:rsidRPr="00335468">
              <w:rPr>
                <w:rFonts w:eastAsia="Times New Roman"/>
                <w:sz w:val="24"/>
                <w:szCs w:val="24"/>
                <w:lang w:val="lv-LV"/>
              </w:rPr>
              <w:t> Cita informācija</w:t>
            </w:r>
          </w:p>
        </w:tc>
        <w:tc>
          <w:tcPr>
            <w:tcW w:w="6513" w:type="dxa"/>
            <w:gridSpan w:val="3"/>
            <w:hideMark/>
          </w:tcPr>
          <w:p w:rsidR="00A706CF" w:rsidRPr="00850127" w:rsidRDefault="00A706CF" w:rsidP="0073286D">
            <w:pPr>
              <w:rPr>
                <w:rFonts w:eastAsia="Times New Roman"/>
                <w:i/>
                <w:sz w:val="24"/>
                <w:szCs w:val="24"/>
                <w:lang w:val="lv-LV"/>
              </w:rPr>
            </w:pPr>
            <w:r w:rsidRPr="00335468">
              <w:rPr>
                <w:rFonts w:eastAsia="Times New Roman"/>
                <w:sz w:val="24"/>
                <w:szCs w:val="24"/>
                <w:lang w:val="lv-LV"/>
              </w:rPr>
              <w:t xml:space="preserve"> </w:t>
            </w:r>
            <w:r w:rsidRPr="00850127">
              <w:rPr>
                <w:rFonts w:eastAsia="Times New Roman"/>
                <w:i/>
                <w:sz w:val="24"/>
                <w:szCs w:val="24"/>
                <w:lang w:val="lv-LV"/>
              </w:rPr>
              <w:t>Nav.</w:t>
            </w:r>
          </w:p>
        </w:tc>
      </w:tr>
    </w:tbl>
    <w:p w:rsidR="00C9779A" w:rsidRPr="00335468" w:rsidRDefault="00C9779A" w:rsidP="00C9779A">
      <w:pPr>
        <w:rPr>
          <w:sz w:val="24"/>
          <w:szCs w:val="24"/>
          <w:lang w:val="lv-LV"/>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2854"/>
        <w:gridCol w:w="5488"/>
      </w:tblGrid>
      <w:tr w:rsidR="003A7D89" w:rsidRPr="00335468" w:rsidTr="00F90307">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335468" w:rsidRDefault="003A7D89" w:rsidP="00F22471">
            <w:pPr>
              <w:ind w:firstLine="720"/>
              <w:jc w:val="both"/>
              <w:rPr>
                <w:rFonts w:eastAsia="Times New Roman"/>
                <w:b/>
                <w:sz w:val="24"/>
                <w:szCs w:val="24"/>
                <w:lang w:val="lv-LV" w:eastAsia="lv-LV"/>
              </w:rPr>
            </w:pPr>
            <w:r w:rsidRPr="00335468">
              <w:rPr>
                <w:rFonts w:eastAsia="Times New Roman"/>
                <w:b/>
                <w:sz w:val="24"/>
                <w:szCs w:val="24"/>
                <w:lang w:val="lv-LV" w:eastAsia="lv-LV"/>
              </w:rPr>
              <w:t>VII. Tiesību akta projekta izpildes nodrošināšana un tās ietekme uz institūcijām</w:t>
            </w:r>
          </w:p>
        </w:tc>
      </w:tr>
      <w:tr w:rsidR="003A7D89" w:rsidRPr="00335468" w:rsidTr="006C15FA">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335468" w:rsidRDefault="003A7D89" w:rsidP="00F22471">
            <w:pPr>
              <w:jc w:val="both"/>
              <w:rPr>
                <w:rFonts w:eastAsia="Times New Roman"/>
                <w:sz w:val="24"/>
                <w:szCs w:val="24"/>
                <w:lang w:val="lv-LV" w:eastAsia="lv-LV"/>
              </w:rPr>
            </w:pPr>
            <w:r w:rsidRPr="00335468">
              <w:rPr>
                <w:rFonts w:eastAsia="Times New Roman"/>
                <w:sz w:val="24"/>
                <w:szCs w:val="24"/>
                <w:lang w:val="lv-LV" w:eastAsia="lv-LV"/>
              </w:rPr>
              <w:t>1.</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335468" w:rsidRDefault="003A7D89" w:rsidP="00F22471">
            <w:pPr>
              <w:jc w:val="both"/>
              <w:rPr>
                <w:rFonts w:eastAsia="Times New Roman"/>
                <w:sz w:val="24"/>
                <w:szCs w:val="24"/>
                <w:lang w:val="lv-LV" w:eastAsia="lv-LV"/>
              </w:rPr>
            </w:pPr>
            <w:r w:rsidRPr="00335468">
              <w:rPr>
                <w:rFonts w:eastAsia="Times New Roman"/>
                <w:sz w:val="24"/>
                <w:szCs w:val="24"/>
                <w:lang w:val="lv-LV" w:eastAsia="lv-LV"/>
              </w:rPr>
              <w:t>Projekta izpildē iesaistītās institūcijas</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B84C4B" w:rsidRPr="00335468" w:rsidRDefault="00BF2E4B" w:rsidP="00D743CB">
            <w:pPr>
              <w:jc w:val="both"/>
              <w:rPr>
                <w:rFonts w:eastAsia="Times New Roman"/>
                <w:sz w:val="24"/>
                <w:szCs w:val="24"/>
                <w:lang w:val="lv-LV" w:eastAsia="lv-LV"/>
              </w:rPr>
            </w:pPr>
            <w:r w:rsidRPr="00335468">
              <w:rPr>
                <w:rFonts w:eastAsia="Times New Roman"/>
                <w:sz w:val="24"/>
                <w:szCs w:val="24"/>
                <w:lang w:val="lv-LV" w:eastAsia="lv-LV"/>
              </w:rPr>
              <w:t>Eiropas Savienības fondu vadībā iesaistītās institūcijas</w:t>
            </w:r>
          </w:p>
        </w:tc>
      </w:tr>
      <w:tr w:rsidR="003A7D89" w:rsidRPr="00335468" w:rsidTr="00BF2E4B">
        <w:trPr>
          <w:trHeight w:val="60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335468" w:rsidRDefault="003A7D89" w:rsidP="00F22471">
            <w:pPr>
              <w:jc w:val="both"/>
              <w:rPr>
                <w:rFonts w:eastAsia="Times New Roman"/>
                <w:sz w:val="24"/>
                <w:szCs w:val="24"/>
                <w:lang w:val="lv-LV" w:eastAsia="lv-LV"/>
              </w:rPr>
            </w:pPr>
            <w:r w:rsidRPr="00335468">
              <w:rPr>
                <w:rFonts w:eastAsia="Times New Roman"/>
                <w:sz w:val="24"/>
                <w:szCs w:val="24"/>
                <w:lang w:val="lv-LV" w:eastAsia="lv-LV"/>
              </w:rPr>
              <w:t>2.</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335468" w:rsidRDefault="003A7D89" w:rsidP="00F22471">
            <w:pPr>
              <w:jc w:val="both"/>
              <w:rPr>
                <w:rFonts w:eastAsia="Times New Roman"/>
                <w:sz w:val="24"/>
                <w:szCs w:val="24"/>
                <w:lang w:val="lv-LV" w:eastAsia="lv-LV"/>
              </w:rPr>
            </w:pPr>
            <w:r w:rsidRPr="00335468">
              <w:rPr>
                <w:rFonts w:eastAsia="Times New Roman"/>
                <w:sz w:val="24"/>
                <w:szCs w:val="24"/>
                <w:lang w:val="lv-LV" w:eastAsia="lv-LV"/>
              </w:rPr>
              <w:t>Projekta izpildes ietekme uz pārvaldes funkcijām</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B84C4B" w:rsidRPr="00335468" w:rsidRDefault="00BF2E4B" w:rsidP="00D743CB">
            <w:pPr>
              <w:jc w:val="both"/>
              <w:rPr>
                <w:rFonts w:eastAsia="Times New Roman"/>
                <w:sz w:val="24"/>
                <w:szCs w:val="24"/>
                <w:lang w:val="lv-LV" w:eastAsia="lv-LV"/>
              </w:rPr>
            </w:pPr>
            <w:r w:rsidRPr="00335468">
              <w:rPr>
                <w:rFonts w:eastAsia="Times New Roman"/>
                <w:sz w:val="24"/>
                <w:szCs w:val="24"/>
                <w:lang w:val="lv-LV" w:eastAsia="lv-LV"/>
              </w:rPr>
              <w:t>Projekts šo jomu neskar</w:t>
            </w:r>
          </w:p>
        </w:tc>
      </w:tr>
      <w:tr w:rsidR="003A7D89" w:rsidRPr="00335468"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335468" w:rsidRDefault="003A7D89" w:rsidP="00F22471">
            <w:pPr>
              <w:jc w:val="both"/>
              <w:rPr>
                <w:rFonts w:eastAsia="Times New Roman"/>
                <w:sz w:val="24"/>
                <w:szCs w:val="24"/>
                <w:lang w:val="lv-LV" w:eastAsia="lv-LV"/>
              </w:rPr>
            </w:pPr>
            <w:r w:rsidRPr="00335468">
              <w:rPr>
                <w:rFonts w:eastAsia="Times New Roman"/>
                <w:sz w:val="24"/>
                <w:szCs w:val="24"/>
                <w:lang w:val="lv-LV" w:eastAsia="lv-LV"/>
              </w:rPr>
              <w:t>3.</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335468" w:rsidRDefault="003A7D89" w:rsidP="00F22471">
            <w:pPr>
              <w:jc w:val="both"/>
              <w:rPr>
                <w:rFonts w:eastAsia="Times New Roman"/>
                <w:sz w:val="24"/>
                <w:szCs w:val="24"/>
                <w:lang w:val="lv-LV" w:eastAsia="lv-LV"/>
              </w:rPr>
            </w:pPr>
            <w:r w:rsidRPr="00335468">
              <w:rPr>
                <w:rFonts w:eastAsia="Times New Roman"/>
                <w:sz w:val="24"/>
                <w:szCs w:val="24"/>
                <w:lang w:val="lv-LV" w:eastAsia="lv-LV"/>
              </w:rPr>
              <w:t>Projekta izpildes ietekme uz pārvaldes institucionālo struktūru. Jaunu institūciju izveide</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335468" w:rsidRDefault="00E96F9B" w:rsidP="00D743CB">
            <w:pPr>
              <w:jc w:val="both"/>
              <w:rPr>
                <w:rFonts w:eastAsia="Times New Roman"/>
                <w:sz w:val="24"/>
                <w:szCs w:val="24"/>
                <w:lang w:val="lv-LV" w:eastAsia="lv-LV"/>
              </w:rPr>
            </w:pPr>
            <w:r w:rsidRPr="00335468">
              <w:rPr>
                <w:sz w:val="24"/>
                <w:szCs w:val="24"/>
                <w:lang w:val="lv-LV"/>
              </w:rPr>
              <w:t>MK</w:t>
            </w:r>
            <w:r w:rsidR="003A7D89" w:rsidRPr="00335468">
              <w:rPr>
                <w:sz w:val="24"/>
                <w:szCs w:val="24"/>
                <w:lang w:val="lv-LV"/>
              </w:rPr>
              <w:t xml:space="preserve"> </w:t>
            </w:r>
            <w:r w:rsidR="00A46462" w:rsidRPr="00335468">
              <w:rPr>
                <w:sz w:val="24"/>
                <w:szCs w:val="24"/>
                <w:lang w:val="lv-LV"/>
              </w:rPr>
              <w:t>noteikumu</w:t>
            </w:r>
            <w:r w:rsidR="003A7D89" w:rsidRPr="00335468">
              <w:rPr>
                <w:sz w:val="24"/>
                <w:szCs w:val="24"/>
                <w:lang w:val="lv-LV"/>
              </w:rPr>
              <w:t xml:space="preserve"> projekta izpildei nav nepieciešams izveidot jaunas institūcijas</w:t>
            </w:r>
            <w:r w:rsidR="003A7D89" w:rsidRPr="00335468">
              <w:rPr>
                <w:rFonts w:eastAsia="Times New Roman"/>
                <w:sz w:val="24"/>
                <w:szCs w:val="24"/>
                <w:lang w:val="lv-LV" w:eastAsia="lv-LV"/>
              </w:rPr>
              <w:t>.</w:t>
            </w:r>
          </w:p>
        </w:tc>
      </w:tr>
      <w:tr w:rsidR="003A7D89" w:rsidRPr="00335468"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335468" w:rsidRDefault="003A7D89" w:rsidP="00F22471">
            <w:pPr>
              <w:jc w:val="both"/>
              <w:rPr>
                <w:rFonts w:eastAsia="Times New Roman"/>
                <w:sz w:val="24"/>
                <w:szCs w:val="24"/>
                <w:lang w:val="lv-LV" w:eastAsia="lv-LV"/>
              </w:rPr>
            </w:pPr>
            <w:r w:rsidRPr="00335468">
              <w:rPr>
                <w:rFonts w:eastAsia="Times New Roman"/>
                <w:sz w:val="24"/>
                <w:szCs w:val="24"/>
                <w:lang w:val="lv-LV" w:eastAsia="lv-LV"/>
              </w:rPr>
              <w:t>4.</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335468" w:rsidRDefault="003A7D89" w:rsidP="00F22471">
            <w:pPr>
              <w:jc w:val="both"/>
              <w:rPr>
                <w:rFonts w:eastAsia="Times New Roman"/>
                <w:sz w:val="24"/>
                <w:szCs w:val="24"/>
                <w:lang w:val="lv-LV" w:eastAsia="lv-LV"/>
              </w:rPr>
            </w:pPr>
            <w:r w:rsidRPr="00335468">
              <w:rPr>
                <w:rFonts w:eastAsia="Times New Roman"/>
                <w:sz w:val="24"/>
                <w:szCs w:val="24"/>
                <w:lang w:val="lv-LV" w:eastAsia="lv-LV"/>
              </w:rPr>
              <w:t>Projekta izpildes ietekmes uz pārvaldes institucionālo struktūru. Esošu institūciju likvidācija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335468" w:rsidRDefault="00E96F9B" w:rsidP="00D743CB">
            <w:pPr>
              <w:jc w:val="both"/>
              <w:rPr>
                <w:sz w:val="24"/>
                <w:szCs w:val="24"/>
                <w:lang w:val="lv-LV"/>
              </w:rPr>
            </w:pPr>
            <w:r w:rsidRPr="00335468">
              <w:rPr>
                <w:sz w:val="24"/>
                <w:szCs w:val="24"/>
                <w:lang w:val="lv-LV"/>
              </w:rPr>
              <w:t>MK</w:t>
            </w:r>
            <w:r w:rsidR="003A7D89" w:rsidRPr="00335468">
              <w:rPr>
                <w:sz w:val="24"/>
                <w:szCs w:val="24"/>
                <w:lang w:val="lv-LV"/>
              </w:rPr>
              <w:t xml:space="preserve"> </w:t>
            </w:r>
            <w:r w:rsidR="00A46462" w:rsidRPr="00335468">
              <w:rPr>
                <w:sz w:val="24"/>
                <w:szCs w:val="24"/>
                <w:lang w:val="lv-LV"/>
              </w:rPr>
              <w:t>noteikumu</w:t>
            </w:r>
            <w:r w:rsidR="003A7D89" w:rsidRPr="00335468">
              <w:rPr>
                <w:sz w:val="24"/>
                <w:szCs w:val="24"/>
                <w:lang w:val="lv-LV"/>
              </w:rPr>
              <w:t xml:space="preserve"> projekta izpildei nav nepieciešams likvidēt esošās institūcijas</w:t>
            </w:r>
            <w:r w:rsidR="003A7D89" w:rsidRPr="00335468">
              <w:rPr>
                <w:rFonts w:eastAsia="Times New Roman"/>
                <w:sz w:val="24"/>
                <w:szCs w:val="24"/>
                <w:lang w:val="lv-LV" w:eastAsia="lv-LV"/>
              </w:rPr>
              <w:t>.</w:t>
            </w:r>
          </w:p>
        </w:tc>
      </w:tr>
      <w:tr w:rsidR="003A7D89" w:rsidRPr="00335468" w:rsidTr="004522D7">
        <w:trPr>
          <w:trHeight w:val="508"/>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335468" w:rsidRDefault="003A7D89" w:rsidP="00F22471">
            <w:pPr>
              <w:jc w:val="both"/>
              <w:rPr>
                <w:rFonts w:eastAsia="Times New Roman"/>
                <w:sz w:val="24"/>
                <w:szCs w:val="24"/>
                <w:lang w:val="lv-LV" w:eastAsia="lv-LV"/>
              </w:rPr>
            </w:pPr>
            <w:r w:rsidRPr="00335468">
              <w:rPr>
                <w:rFonts w:eastAsia="Times New Roman"/>
                <w:sz w:val="24"/>
                <w:szCs w:val="24"/>
                <w:lang w:val="lv-LV" w:eastAsia="lv-LV"/>
              </w:rPr>
              <w:t>5.</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335468" w:rsidRDefault="003A7D89" w:rsidP="00F22471">
            <w:pPr>
              <w:jc w:val="both"/>
              <w:rPr>
                <w:rFonts w:eastAsia="Times New Roman"/>
                <w:sz w:val="24"/>
                <w:szCs w:val="24"/>
                <w:lang w:val="lv-LV" w:eastAsia="lv-LV"/>
              </w:rPr>
            </w:pPr>
            <w:r w:rsidRPr="00335468">
              <w:rPr>
                <w:rFonts w:eastAsia="Times New Roman"/>
                <w:sz w:val="24"/>
                <w:szCs w:val="24"/>
                <w:lang w:val="lv-LV" w:eastAsia="lv-LV"/>
              </w:rPr>
              <w:t>Projekta izpildes ietekmes uz pārvaldes institucionālo struktūru. Esošu institūciju reorganizācija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335468" w:rsidRDefault="00E96F9B" w:rsidP="00D743CB">
            <w:pPr>
              <w:jc w:val="both"/>
              <w:rPr>
                <w:rFonts w:eastAsia="Times New Roman"/>
                <w:sz w:val="24"/>
                <w:szCs w:val="24"/>
                <w:lang w:val="lv-LV" w:eastAsia="lv-LV"/>
              </w:rPr>
            </w:pPr>
            <w:r w:rsidRPr="00335468">
              <w:rPr>
                <w:rFonts w:eastAsia="Times New Roman"/>
                <w:sz w:val="24"/>
                <w:szCs w:val="24"/>
                <w:lang w:val="lv-LV" w:eastAsia="lv-LV"/>
              </w:rPr>
              <w:t>MK</w:t>
            </w:r>
            <w:r w:rsidR="003A7D89" w:rsidRPr="00335468">
              <w:rPr>
                <w:rFonts w:eastAsia="Times New Roman"/>
                <w:sz w:val="24"/>
                <w:szCs w:val="24"/>
                <w:lang w:val="lv-LV" w:eastAsia="lv-LV"/>
              </w:rPr>
              <w:t xml:space="preserve"> </w:t>
            </w:r>
            <w:r w:rsidR="00A46462" w:rsidRPr="00335468">
              <w:rPr>
                <w:sz w:val="24"/>
                <w:szCs w:val="24"/>
                <w:lang w:val="lv-LV"/>
              </w:rPr>
              <w:t>noteikumu</w:t>
            </w:r>
            <w:r w:rsidR="003A7D89" w:rsidRPr="00335468">
              <w:rPr>
                <w:sz w:val="24"/>
                <w:szCs w:val="24"/>
                <w:lang w:val="lv-LV"/>
              </w:rPr>
              <w:t xml:space="preserve"> projekta izpildei nav nepieciešams reorganizēt esošās institūcijas</w:t>
            </w:r>
            <w:r w:rsidR="003A7D89" w:rsidRPr="00335468">
              <w:rPr>
                <w:rFonts w:eastAsia="Times New Roman"/>
                <w:sz w:val="24"/>
                <w:szCs w:val="24"/>
                <w:lang w:val="lv-LV" w:eastAsia="lv-LV"/>
              </w:rPr>
              <w:t>.</w:t>
            </w:r>
          </w:p>
          <w:p w:rsidR="00B84C4B" w:rsidRPr="00335468" w:rsidRDefault="00B84C4B" w:rsidP="00742BAF">
            <w:pPr>
              <w:jc w:val="both"/>
              <w:rPr>
                <w:rFonts w:eastAsia="Times New Roman"/>
                <w:sz w:val="24"/>
                <w:szCs w:val="24"/>
                <w:lang w:val="lv-LV" w:eastAsia="lv-LV"/>
              </w:rPr>
            </w:pPr>
          </w:p>
        </w:tc>
      </w:tr>
      <w:tr w:rsidR="003A7D89" w:rsidRPr="00335468" w:rsidTr="004522D7">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335468" w:rsidRDefault="003A7D89" w:rsidP="00F22471">
            <w:pPr>
              <w:jc w:val="both"/>
              <w:rPr>
                <w:rFonts w:eastAsia="Times New Roman"/>
                <w:sz w:val="24"/>
                <w:szCs w:val="24"/>
                <w:lang w:val="lv-LV" w:eastAsia="lv-LV"/>
              </w:rPr>
            </w:pPr>
            <w:r w:rsidRPr="00335468">
              <w:rPr>
                <w:rFonts w:eastAsia="Times New Roman"/>
                <w:sz w:val="24"/>
                <w:szCs w:val="24"/>
                <w:lang w:val="lv-LV" w:eastAsia="lv-LV"/>
              </w:rPr>
              <w:t>6.</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335468" w:rsidRDefault="003A7D89" w:rsidP="00F22471">
            <w:pPr>
              <w:jc w:val="both"/>
              <w:rPr>
                <w:rFonts w:eastAsia="Times New Roman"/>
                <w:sz w:val="24"/>
                <w:szCs w:val="24"/>
                <w:lang w:val="lv-LV" w:eastAsia="lv-LV"/>
              </w:rPr>
            </w:pPr>
            <w:r w:rsidRPr="00335468">
              <w:rPr>
                <w:rFonts w:eastAsia="Times New Roman"/>
                <w:sz w:val="24"/>
                <w:szCs w:val="24"/>
                <w:lang w:val="lv-LV" w:eastAsia="lv-LV"/>
              </w:rPr>
              <w:t>Cita informācija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335468" w:rsidRDefault="003A7D89" w:rsidP="00C66CCF">
            <w:pPr>
              <w:jc w:val="both"/>
              <w:rPr>
                <w:rFonts w:eastAsia="Times New Roman"/>
                <w:sz w:val="24"/>
                <w:szCs w:val="24"/>
                <w:lang w:val="lv-LV" w:eastAsia="lv-LV"/>
              </w:rPr>
            </w:pPr>
            <w:r w:rsidRPr="00335468">
              <w:rPr>
                <w:rFonts w:eastAsia="Times New Roman"/>
                <w:sz w:val="24"/>
                <w:szCs w:val="24"/>
                <w:lang w:val="lv-LV" w:eastAsia="lv-LV"/>
              </w:rPr>
              <w:t>Nav.</w:t>
            </w:r>
          </w:p>
        </w:tc>
      </w:tr>
    </w:tbl>
    <w:p w:rsidR="009D5C1D" w:rsidRPr="00335468" w:rsidRDefault="009D5C1D" w:rsidP="00F22471">
      <w:pPr>
        <w:tabs>
          <w:tab w:val="left" w:pos="7655"/>
        </w:tabs>
        <w:rPr>
          <w:sz w:val="24"/>
          <w:szCs w:val="24"/>
          <w:lang w:val="lv-LV"/>
        </w:rPr>
      </w:pPr>
    </w:p>
    <w:p w:rsidR="00A706CF" w:rsidRPr="00335468" w:rsidRDefault="00A706CF" w:rsidP="00BC5BA9">
      <w:pPr>
        <w:rPr>
          <w:rFonts w:eastAsia="Times New Roman"/>
          <w:b/>
          <w:sz w:val="24"/>
          <w:szCs w:val="24"/>
          <w:lang w:val="lv-LV" w:eastAsia="lv-LV"/>
        </w:rPr>
        <w:sectPr w:rsidR="00A706CF" w:rsidRPr="00335468" w:rsidSect="00C97F6E">
          <w:type w:val="continuous"/>
          <w:pgSz w:w="11906" w:h="16838"/>
          <w:pgMar w:top="1418" w:right="1134" w:bottom="1134" w:left="1701" w:header="709" w:footer="709" w:gutter="0"/>
          <w:cols w:space="708"/>
          <w:titlePg/>
          <w:docGrid w:linePitch="360"/>
        </w:sectPr>
      </w:pPr>
      <w:r w:rsidRPr="00335468">
        <w:rPr>
          <w:rFonts w:eastAsia="Times New Roman"/>
          <w:b/>
          <w:sz w:val="24"/>
          <w:szCs w:val="24"/>
          <w:lang w:val="lv-LV" w:eastAsia="lv-LV"/>
        </w:rPr>
        <w:t>Anotācijas II, III, IV, VI sadaļa – projekts šo jomu neskar</w:t>
      </w:r>
    </w:p>
    <w:p w:rsidR="007243A0" w:rsidRDefault="007243A0" w:rsidP="00A43665">
      <w:pPr>
        <w:tabs>
          <w:tab w:val="right" w:pos="9072"/>
        </w:tabs>
        <w:rPr>
          <w:sz w:val="26"/>
          <w:szCs w:val="26"/>
          <w:lang w:val="lv-LV"/>
        </w:rPr>
      </w:pPr>
    </w:p>
    <w:p w:rsidR="00335468" w:rsidRDefault="00335468" w:rsidP="00A43665">
      <w:pPr>
        <w:tabs>
          <w:tab w:val="right" w:pos="9072"/>
        </w:tabs>
        <w:rPr>
          <w:sz w:val="26"/>
          <w:szCs w:val="26"/>
          <w:lang w:val="lv-LV"/>
        </w:rPr>
      </w:pPr>
    </w:p>
    <w:p w:rsidR="00335468" w:rsidRDefault="00335468" w:rsidP="00A43665">
      <w:pPr>
        <w:tabs>
          <w:tab w:val="right" w:pos="9072"/>
        </w:tabs>
        <w:rPr>
          <w:sz w:val="26"/>
          <w:szCs w:val="26"/>
          <w:lang w:val="lv-LV"/>
        </w:rPr>
      </w:pPr>
    </w:p>
    <w:p w:rsidR="00335468" w:rsidRPr="00235168" w:rsidRDefault="00335468" w:rsidP="00A43665">
      <w:pPr>
        <w:tabs>
          <w:tab w:val="right" w:pos="9072"/>
        </w:tabs>
        <w:rPr>
          <w:sz w:val="26"/>
          <w:szCs w:val="26"/>
          <w:lang w:val="lv-LV"/>
        </w:rPr>
      </w:pPr>
    </w:p>
    <w:p w:rsidR="00522B62" w:rsidRPr="00335468" w:rsidRDefault="00E73425" w:rsidP="00A43665">
      <w:pPr>
        <w:tabs>
          <w:tab w:val="right" w:pos="9072"/>
        </w:tabs>
        <w:rPr>
          <w:sz w:val="24"/>
          <w:szCs w:val="24"/>
          <w:lang w:val="lv-LV"/>
        </w:rPr>
      </w:pPr>
      <w:r w:rsidRPr="00335468">
        <w:rPr>
          <w:sz w:val="24"/>
          <w:szCs w:val="24"/>
          <w:lang w:val="lv-LV"/>
        </w:rPr>
        <w:t>Ekonomikas ministrs</w:t>
      </w:r>
      <w:r w:rsidR="00A43665" w:rsidRPr="00335468">
        <w:rPr>
          <w:sz w:val="24"/>
          <w:szCs w:val="24"/>
          <w:lang w:val="lv-LV"/>
        </w:rPr>
        <w:tab/>
      </w:r>
      <w:proofErr w:type="spellStart"/>
      <w:r w:rsidR="00BF2E4B" w:rsidRPr="00335468">
        <w:rPr>
          <w:sz w:val="24"/>
          <w:szCs w:val="24"/>
          <w:lang w:val="lv-LV"/>
        </w:rPr>
        <w:t>V.Dombrovskis</w:t>
      </w:r>
      <w:proofErr w:type="spellEnd"/>
      <w:r w:rsidR="00A43665" w:rsidRPr="00335468">
        <w:rPr>
          <w:sz w:val="24"/>
          <w:szCs w:val="24"/>
          <w:lang w:val="lv-LV"/>
        </w:rPr>
        <w:tab/>
      </w:r>
      <w:r w:rsidR="00A43665" w:rsidRPr="00335468">
        <w:rPr>
          <w:sz w:val="24"/>
          <w:szCs w:val="24"/>
          <w:lang w:val="lv-LV"/>
        </w:rPr>
        <w:tab/>
      </w:r>
      <w:r w:rsidR="00A43665" w:rsidRPr="00335468">
        <w:rPr>
          <w:sz w:val="24"/>
          <w:szCs w:val="24"/>
          <w:lang w:val="lv-LV"/>
        </w:rPr>
        <w:tab/>
      </w:r>
      <w:r w:rsidR="00A43665" w:rsidRPr="00335468">
        <w:rPr>
          <w:sz w:val="24"/>
          <w:szCs w:val="24"/>
          <w:lang w:val="lv-LV"/>
        </w:rPr>
        <w:tab/>
      </w:r>
      <w:r w:rsidR="00A43665" w:rsidRPr="00335468">
        <w:rPr>
          <w:sz w:val="24"/>
          <w:szCs w:val="24"/>
          <w:lang w:val="lv-LV"/>
        </w:rPr>
        <w:tab/>
      </w:r>
    </w:p>
    <w:p w:rsidR="007243A0" w:rsidRPr="00335468" w:rsidRDefault="007243A0" w:rsidP="008E5F7D">
      <w:pPr>
        <w:tabs>
          <w:tab w:val="right" w:pos="9072"/>
        </w:tabs>
        <w:rPr>
          <w:sz w:val="24"/>
          <w:szCs w:val="24"/>
          <w:lang w:val="lv-LV"/>
        </w:rPr>
      </w:pPr>
    </w:p>
    <w:p w:rsidR="00BF2E4B" w:rsidRPr="00335468" w:rsidRDefault="00BF2E4B" w:rsidP="008E5F7D">
      <w:pPr>
        <w:tabs>
          <w:tab w:val="right" w:pos="9072"/>
        </w:tabs>
        <w:rPr>
          <w:sz w:val="24"/>
          <w:szCs w:val="24"/>
          <w:lang w:val="lv-LV"/>
        </w:rPr>
      </w:pPr>
    </w:p>
    <w:p w:rsidR="007A5F87" w:rsidRDefault="00B74BCA" w:rsidP="007A5F87">
      <w:pPr>
        <w:jc w:val="both"/>
        <w:rPr>
          <w:sz w:val="24"/>
          <w:szCs w:val="24"/>
        </w:rPr>
      </w:pPr>
      <w:r w:rsidRPr="00335468">
        <w:rPr>
          <w:sz w:val="24"/>
          <w:szCs w:val="24"/>
          <w:lang w:val="lv-LV"/>
        </w:rPr>
        <w:t>Vīza</w:t>
      </w:r>
      <w:r w:rsidR="007A5F87">
        <w:rPr>
          <w:sz w:val="24"/>
          <w:szCs w:val="24"/>
        </w:rPr>
        <w:t>:</w:t>
      </w:r>
      <w:proofErr w:type="spellStart"/>
      <w:r w:rsidR="007A5F87" w:rsidRPr="00CE20E1">
        <w:rPr>
          <w:sz w:val="24"/>
          <w:szCs w:val="24"/>
        </w:rPr>
        <w:t>Valsts</w:t>
      </w:r>
      <w:proofErr w:type="spellEnd"/>
      <w:r w:rsidR="007A5F87" w:rsidRPr="00CE20E1">
        <w:rPr>
          <w:sz w:val="24"/>
          <w:szCs w:val="24"/>
        </w:rPr>
        <w:t xml:space="preserve"> </w:t>
      </w:r>
      <w:proofErr w:type="spellStart"/>
      <w:r w:rsidR="007A5F87" w:rsidRPr="00CE20E1">
        <w:rPr>
          <w:sz w:val="24"/>
          <w:szCs w:val="24"/>
        </w:rPr>
        <w:t>sekretār</w:t>
      </w:r>
      <w:r w:rsidR="007A5F87">
        <w:rPr>
          <w:sz w:val="24"/>
          <w:szCs w:val="24"/>
        </w:rPr>
        <w:t>s</w:t>
      </w:r>
      <w:proofErr w:type="spellEnd"/>
      <w:r w:rsidR="007A5F87">
        <w:rPr>
          <w:sz w:val="24"/>
          <w:szCs w:val="24"/>
        </w:rPr>
        <w:t xml:space="preserve"> </w:t>
      </w:r>
      <w:r w:rsidR="007A5F87" w:rsidRPr="00CE20E1">
        <w:rPr>
          <w:sz w:val="24"/>
          <w:szCs w:val="24"/>
        </w:rPr>
        <w:t xml:space="preserve"> </w:t>
      </w:r>
      <w:r w:rsidR="007A5F87">
        <w:rPr>
          <w:sz w:val="24"/>
          <w:szCs w:val="24"/>
        </w:rPr>
        <w:tab/>
      </w:r>
      <w:r w:rsidR="007A5F87">
        <w:rPr>
          <w:sz w:val="24"/>
          <w:szCs w:val="24"/>
        </w:rPr>
        <w:tab/>
      </w:r>
      <w:r w:rsidR="007A5F87">
        <w:rPr>
          <w:sz w:val="24"/>
          <w:szCs w:val="24"/>
        </w:rPr>
        <w:tab/>
      </w:r>
      <w:r w:rsidR="007A5F87">
        <w:rPr>
          <w:sz w:val="24"/>
          <w:szCs w:val="24"/>
        </w:rPr>
        <w:tab/>
      </w:r>
      <w:r w:rsidR="007A5F87">
        <w:rPr>
          <w:sz w:val="24"/>
          <w:szCs w:val="24"/>
        </w:rPr>
        <w:tab/>
      </w:r>
      <w:r w:rsidR="007A5F87">
        <w:rPr>
          <w:sz w:val="24"/>
          <w:szCs w:val="24"/>
        </w:rPr>
        <w:tab/>
      </w:r>
      <w:r w:rsidR="007A5F87">
        <w:rPr>
          <w:sz w:val="24"/>
          <w:szCs w:val="24"/>
        </w:rPr>
        <w:tab/>
        <w:t xml:space="preserve">                   </w:t>
      </w:r>
      <w:proofErr w:type="spellStart"/>
      <w:r w:rsidR="007A5F87">
        <w:rPr>
          <w:sz w:val="24"/>
          <w:szCs w:val="24"/>
        </w:rPr>
        <w:t>M.Lazdovskis</w:t>
      </w:r>
      <w:proofErr w:type="spellEnd"/>
    </w:p>
    <w:p w:rsidR="007A5F87" w:rsidRPr="00CE20E1" w:rsidRDefault="007A5F87" w:rsidP="007A5F87">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243A0" w:rsidRPr="00335468" w:rsidRDefault="007243A0" w:rsidP="00F22471">
      <w:pPr>
        <w:jc w:val="both"/>
        <w:rPr>
          <w:color w:val="000000"/>
          <w:sz w:val="24"/>
          <w:szCs w:val="24"/>
          <w:lang w:val="lv-LV"/>
        </w:rPr>
      </w:pPr>
    </w:p>
    <w:p w:rsidR="007E0942" w:rsidRDefault="007E0942" w:rsidP="00F22471">
      <w:pPr>
        <w:jc w:val="both"/>
        <w:rPr>
          <w:color w:val="000000"/>
          <w:sz w:val="28"/>
          <w:szCs w:val="28"/>
          <w:lang w:val="lv-LV"/>
        </w:rPr>
      </w:pPr>
    </w:p>
    <w:p w:rsidR="00BF2F17" w:rsidRPr="00D743CB" w:rsidRDefault="004C2284" w:rsidP="00F22471">
      <w:pPr>
        <w:jc w:val="both"/>
        <w:rPr>
          <w:sz w:val="22"/>
          <w:szCs w:val="22"/>
        </w:rPr>
      </w:pPr>
      <w:r w:rsidRPr="00D743CB">
        <w:rPr>
          <w:sz w:val="22"/>
          <w:szCs w:val="22"/>
        </w:rPr>
        <w:fldChar w:fldCharType="begin"/>
      </w:r>
      <w:r w:rsidR="00BF2F17" w:rsidRPr="00D743CB">
        <w:rPr>
          <w:sz w:val="22"/>
          <w:szCs w:val="22"/>
          <w:lang w:val="lv-LV"/>
        </w:rPr>
        <w:instrText xml:space="preserve"> TIME \@ "dd.MM.yyyy. H:mm" </w:instrText>
      </w:r>
      <w:r w:rsidRPr="00D743CB">
        <w:rPr>
          <w:sz w:val="22"/>
          <w:szCs w:val="22"/>
        </w:rPr>
        <w:fldChar w:fldCharType="separate"/>
      </w:r>
      <w:r w:rsidR="00D01664">
        <w:rPr>
          <w:noProof/>
          <w:sz w:val="22"/>
          <w:szCs w:val="22"/>
          <w:lang w:val="lv-LV"/>
        </w:rPr>
        <w:t>02.04.2014. 10:43</w:t>
      </w:r>
      <w:r w:rsidRPr="00D743CB">
        <w:rPr>
          <w:sz w:val="22"/>
          <w:szCs w:val="22"/>
        </w:rPr>
        <w:fldChar w:fldCharType="end"/>
      </w:r>
    </w:p>
    <w:p w:rsidR="00BF2F17" w:rsidRPr="00D743CB" w:rsidRDefault="00DF5D85" w:rsidP="00F22471">
      <w:pPr>
        <w:jc w:val="both"/>
        <w:rPr>
          <w:sz w:val="22"/>
          <w:szCs w:val="22"/>
        </w:rPr>
      </w:pPr>
      <w:r w:rsidRPr="00D743CB">
        <w:rPr>
          <w:sz w:val="22"/>
          <w:szCs w:val="22"/>
        </w:rPr>
        <w:fldChar w:fldCharType="begin"/>
      </w:r>
      <w:r w:rsidRPr="00D743CB">
        <w:rPr>
          <w:sz w:val="22"/>
          <w:szCs w:val="22"/>
        </w:rPr>
        <w:instrText xml:space="preserve"> NUMWORDS   \* MERGEFORMAT </w:instrText>
      </w:r>
      <w:r w:rsidRPr="00D743CB">
        <w:rPr>
          <w:sz w:val="22"/>
          <w:szCs w:val="22"/>
        </w:rPr>
        <w:fldChar w:fldCharType="separate"/>
      </w:r>
      <w:r w:rsidR="00D01664">
        <w:rPr>
          <w:noProof/>
          <w:sz w:val="22"/>
          <w:szCs w:val="22"/>
        </w:rPr>
        <w:t>1863</w:t>
      </w:r>
      <w:r w:rsidRPr="00D743CB">
        <w:rPr>
          <w:noProof/>
          <w:sz w:val="22"/>
          <w:szCs w:val="22"/>
        </w:rPr>
        <w:fldChar w:fldCharType="end"/>
      </w:r>
      <w:bookmarkStart w:id="6" w:name="_GoBack"/>
      <w:bookmarkEnd w:id="6"/>
    </w:p>
    <w:p w:rsidR="00643B54" w:rsidRPr="00D743CB" w:rsidRDefault="00634095" w:rsidP="00F22471">
      <w:pPr>
        <w:jc w:val="both"/>
        <w:rPr>
          <w:color w:val="000000"/>
          <w:sz w:val="22"/>
          <w:szCs w:val="22"/>
          <w:lang w:val="lv-LV"/>
        </w:rPr>
      </w:pPr>
      <w:r w:rsidRPr="00D743CB">
        <w:rPr>
          <w:color w:val="000000"/>
          <w:sz w:val="22"/>
          <w:szCs w:val="22"/>
          <w:lang w:val="lv-LV"/>
        </w:rPr>
        <w:t>E.Dlohi</w:t>
      </w:r>
    </w:p>
    <w:p w:rsidR="00097583" w:rsidRPr="00D743CB" w:rsidRDefault="00B74BCA" w:rsidP="00F22471">
      <w:pPr>
        <w:jc w:val="both"/>
        <w:rPr>
          <w:color w:val="000000"/>
          <w:sz w:val="22"/>
          <w:szCs w:val="22"/>
          <w:lang w:val="lv-LV"/>
        </w:rPr>
      </w:pPr>
      <w:r w:rsidRPr="00D743CB">
        <w:rPr>
          <w:sz w:val="22"/>
          <w:szCs w:val="22"/>
          <w:lang w:val="lv-LV"/>
        </w:rPr>
        <w:t>67013</w:t>
      </w:r>
      <w:r w:rsidR="00634095" w:rsidRPr="00D743CB">
        <w:rPr>
          <w:sz w:val="22"/>
          <w:szCs w:val="22"/>
          <w:lang w:val="lv-LV"/>
        </w:rPr>
        <w:t>082</w:t>
      </w:r>
      <w:r w:rsidR="00386053" w:rsidRPr="00D743CB">
        <w:rPr>
          <w:sz w:val="22"/>
          <w:szCs w:val="22"/>
          <w:lang w:val="lv-LV"/>
        </w:rPr>
        <w:t>,</w:t>
      </w:r>
      <w:r w:rsidRPr="00D743CB">
        <w:rPr>
          <w:sz w:val="22"/>
          <w:szCs w:val="22"/>
          <w:lang w:val="lv-LV"/>
        </w:rPr>
        <w:t xml:space="preserve"> </w:t>
      </w:r>
      <w:hyperlink r:id="rId12" w:history="1">
        <w:r w:rsidR="00634095" w:rsidRPr="00D743CB">
          <w:rPr>
            <w:rStyle w:val="Hyperlink"/>
            <w:sz w:val="22"/>
            <w:szCs w:val="22"/>
            <w:lang w:val="lv-LV"/>
          </w:rPr>
          <w:t>Elina.Dlohi@em.gov.lv</w:t>
        </w:r>
      </w:hyperlink>
    </w:p>
    <w:sectPr w:rsidR="00097583" w:rsidRPr="00D743CB" w:rsidSect="00C97F6E">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DDA" w:rsidRDefault="008A1DDA" w:rsidP="00B014C2">
      <w:r>
        <w:separator/>
      </w:r>
    </w:p>
  </w:endnote>
  <w:endnote w:type="continuationSeparator" w:id="0">
    <w:p w:rsidR="008A1DDA" w:rsidRDefault="008A1DDA"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AB" w:rsidRPr="00335468" w:rsidRDefault="007243A0" w:rsidP="00DF5D85">
    <w:pPr>
      <w:pStyle w:val="BodyText"/>
      <w:rPr>
        <w:sz w:val="22"/>
        <w:szCs w:val="22"/>
      </w:rPr>
    </w:pPr>
    <w:r w:rsidRPr="00335468">
      <w:rPr>
        <w:sz w:val="22"/>
        <w:szCs w:val="22"/>
      </w:rPr>
      <w:t>EMAnot_</w:t>
    </w:r>
    <w:r w:rsidR="00D01664">
      <w:rPr>
        <w:sz w:val="22"/>
        <w:szCs w:val="22"/>
      </w:rPr>
      <w:t>02</w:t>
    </w:r>
    <w:r w:rsidRPr="00335468">
      <w:rPr>
        <w:sz w:val="22"/>
        <w:szCs w:val="22"/>
      </w:rPr>
      <w:t>0</w:t>
    </w:r>
    <w:r w:rsidR="00D01664">
      <w:rPr>
        <w:sz w:val="22"/>
        <w:szCs w:val="22"/>
      </w:rPr>
      <w:t>4</w:t>
    </w:r>
    <w:r w:rsidRPr="00335468">
      <w:rPr>
        <w:sz w:val="22"/>
        <w:szCs w:val="22"/>
      </w:rPr>
      <w:t xml:space="preserve">14_groz293; Ministru kabineta noteikumu projekta „Grozījumi Ministru kabineta 2009.gada 31.marta noteikumos Nr.293 „Noteikumi par darbības programmas „Cilvēkresursi un nodarbinātība” papildinājuma 1.3.1.2.aktivitāti „Atbalsts </w:t>
    </w:r>
    <w:proofErr w:type="spellStart"/>
    <w:r w:rsidRPr="00335468">
      <w:rPr>
        <w:sz w:val="22"/>
        <w:szCs w:val="22"/>
      </w:rPr>
      <w:t>pašnodarbinātības</w:t>
    </w:r>
    <w:proofErr w:type="spellEnd"/>
    <w:r w:rsidRPr="00335468">
      <w:rPr>
        <w:sz w:val="22"/>
        <w:szCs w:val="22"/>
      </w:rPr>
      <w:t xml:space="preserve"> un uzņēmējdarbības uzsākšanai”” sākotnējās ietekmes novērtējuma ziņojums (anotācija</w:t>
    </w:r>
    <w:r w:rsidR="000275AB" w:rsidRPr="00335468">
      <w:rPr>
        <w:sz w:val="22"/>
        <w:szCs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AB" w:rsidRPr="00335468" w:rsidRDefault="007243A0" w:rsidP="00D7256E">
    <w:pPr>
      <w:pStyle w:val="BodyText"/>
      <w:rPr>
        <w:sz w:val="22"/>
        <w:szCs w:val="22"/>
      </w:rPr>
    </w:pPr>
    <w:r w:rsidRPr="00335468">
      <w:rPr>
        <w:sz w:val="22"/>
        <w:szCs w:val="22"/>
      </w:rPr>
      <w:t>EMAnot_</w:t>
    </w:r>
    <w:r w:rsidR="00D01664">
      <w:rPr>
        <w:sz w:val="22"/>
        <w:szCs w:val="22"/>
      </w:rPr>
      <w:t>02</w:t>
    </w:r>
    <w:r w:rsidRPr="00335468">
      <w:rPr>
        <w:sz w:val="22"/>
        <w:szCs w:val="22"/>
      </w:rPr>
      <w:t>0</w:t>
    </w:r>
    <w:r w:rsidR="00D01664">
      <w:rPr>
        <w:sz w:val="22"/>
        <w:szCs w:val="22"/>
      </w:rPr>
      <w:t>4</w:t>
    </w:r>
    <w:r w:rsidR="000275AB" w:rsidRPr="00335468">
      <w:rPr>
        <w:sz w:val="22"/>
        <w:szCs w:val="22"/>
      </w:rPr>
      <w:t>1</w:t>
    </w:r>
    <w:r w:rsidRPr="00335468">
      <w:rPr>
        <w:sz w:val="22"/>
        <w:szCs w:val="22"/>
      </w:rPr>
      <w:t>4</w:t>
    </w:r>
    <w:r w:rsidR="000275AB" w:rsidRPr="00335468">
      <w:rPr>
        <w:sz w:val="22"/>
        <w:szCs w:val="22"/>
      </w:rPr>
      <w:t xml:space="preserve">_groz293; </w:t>
    </w:r>
    <w:bookmarkStart w:id="3" w:name="OLE_LINK12"/>
    <w:bookmarkStart w:id="4" w:name="OLE_LINK13"/>
    <w:bookmarkStart w:id="5" w:name="_Hlk259447629"/>
    <w:r w:rsidR="000275AB" w:rsidRPr="00335468">
      <w:rPr>
        <w:sz w:val="22"/>
        <w:szCs w:val="22"/>
      </w:rPr>
      <w:t xml:space="preserve">Ministru kabineta noteikumu projekta „Grozījumi Ministru kabineta 2009.gada 31.marta noteikumos Nr.293 „Noteikumi par darbības programmas „Cilvēkresursi un nodarbinātība” papildinājuma 1.3.1.2.aktivitāti „Atbalsts </w:t>
    </w:r>
    <w:proofErr w:type="spellStart"/>
    <w:r w:rsidR="000275AB" w:rsidRPr="00335468">
      <w:rPr>
        <w:sz w:val="22"/>
        <w:szCs w:val="22"/>
      </w:rPr>
      <w:t>pašnodarbinātības</w:t>
    </w:r>
    <w:proofErr w:type="spellEnd"/>
    <w:r w:rsidR="000275AB" w:rsidRPr="00335468">
      <w:rPr>
        <w:sz w:val="22"/>
        <w:szCs w:val="22"/>
      </w:rPr>
      <w:t xml:space="preserve"> un uzņēmējdarbības uzsākšanai”” sākotnējās ietekmes novērtējuma ziņojums (anotācija)</w:t>
    </w:r>
    <w:bookmarkEnd w:id="3"/>
    <w:bookmarkEnd w:id="4"/>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DDA" w:rsidRDefault="008A1DDA" w:rsidP="00B014C2">
      <w:r>
        <w:separator/>
      </w:r>
    </w:p>
  </w:footnote>
  <w:footnote w:type="continuationSeparator" w:id="0">
    <w:p w:rsidR="008A1DDA" w:rsidRDefault="008A1DDA" w:rsidP="00B014C2">
      <w:r>
        <w:continuationSeparator/>
      </w:r>
    </w:p>
  </w:footnote>
  <w:footnote w:id="1">
    <w:p w:rsidR="005248A5" w:rsidRPr="0073286D" w:rsidRDefault="005248A5" w:rsidP="005248A5">
      <w:pPr>
        <w:pStyle w:val="FootnoteText"/>
        <w:rPr>
          <w:lang w:val="lv-LV"/>
        </w:rPr>
      </w:pPr>
      <w:r>
        <w:rPr>
          <w:rStyle w:val="FootnoteReference"/>
        </w:rPr>
        <w:footnoteRef/>
      </w:r>
      <w:r>
        <w:t xml:space="preserve"> </w:t>
      </w:r>
      <w:proofErr w:type="spellStart"/>
      <w:r>
        <w:t>Ar</w:t>
      </w:r>
      <w:proofErr w:type="spellEnd"/>
      <w:r>
        <w:t xml:space="preserve"> 2014.gada 1.janvāri VAS </w:t>
      </w:r>
      <w:r>
        <w:rPr>
          <w:lang w:val="lv-LV"/>
        </w:rPr>
        <w:t>„</w:t>
      </w:r>
      <w:proofErr w:type="spellStart"/>
      <w:r w:rsidRPr="00DA1E82">
        <w:t>L</w:t>
      </w:r>
      <w:r>
        <w:t>atvijas</w:t>
      </w:r>
      <w:proofErr w:type="spellEnd"/>
      <w:r>
        <w:t xml:space="preserve"> </w:t>
      </w:r>
      <w:proofErr w:type="spellStart"/>
      <w:r>
        <w:t>Hipotēku</w:t>
      </w:r>
      <w:proofErr w:type="spellEnd"/>
      <w:r>
        <w:t xml:space="preserve"> un </w:t>
      </w:r>
      <w:proofErr w:type="spellStart"/>
      <w:r>
        <w:t>zemes</w:t>
      </w:r>
      <w:proofErr w:type="spellEnd"/>
      <w:r>
        <w:t xml:space="preserve"> </w:t>
      </w:r>
      <w:proofErr w:type="spellStart"/>
      <w:r>
        <w:t>banka</w:t>
      </w:r>
      <w:proofErr w:type="spellEnd"/>
      <w:r>
        <w:rPr>
          <w:lang w:val="lv-LV"/>
        </w:rPr>
        <w:t>”</w:t>
      </w:r>
      <w:r w:rsidRPr="00DA1E82">
        <w:t xml:space="preserve"> (LHZB) </w:t>
      </w:r>
      <w:proofErr w:type="spellStart"/>
      <w:r w:rsidRPr="00DA1E82">
        <w:t>nosaukums</w:t>
      </w:r>
      <w:proofErr w:type="spellEnd"/>
      <w:r w:rsidRPr="00DA1E82">
        <w:t xml:space="preserve"> </w:t>
      </w:r>
      <w:proofErr w:type="spellStart"/>
      <w:r w:rsidRPr="00DA1E82">
        <w:t>mainīts</w:t>
      </w:r>
      <w:proofErr w:type="spellEnd"/>
      <w:r w:rsidRPr="00DA1E82">
        <w:t xml:space="preserve"> </w:t>
      </w:r>
      <w:proofErr w:type="spellStart"/>
      <w:r w:rsidRPr="00DA1E82">
        <w:t>uz</w:t>
      </w:r>
      <w:proofErr w:type="spellEnd"/>
      <w:r w:rsidRPr="00DA1E82">
        <w:t xml:space="preserve"> VAS „</w:t>
      </w:r>
      <w:proofErr w:type="spellStart"/>
      <w:r w:rsidRPr="00DA1E82">
        <w:t>Latvijas</w:t>
      </w:r>
      <w:proofErr w:type="spellEnd"/>
      <w:r w:rsidRPr="00DA1E82">
        <w:t xml:space="preserve"> </w:t>
      </w:r>
      <w:proofErr w:type="spellStart"/>
      <w:r w:rsidRPr="00DA1E82">
        <w:t>attīstības</w:t>
      </w:r>
      <w:proofErr w:type="spellEnd"/>
      <w:r w:rsidRPr="00DA1E82">
        <w:t xml:space="preserve"> </w:t>
      </w:r>
      <w:proofErr w:type="spellStart"/>
      <w:r w:rsidRPr="00DA1E82">
        <w:t>finanšu</w:t>
      </w:r>
      <w:proofErr w:type="spellEnd"/>
      <w:r w:rsidRPr="00DA1E82">
        <w:t xml:space="preserve"> </w:t>
      </w:r>
      <w:proofErr w:type="spellStart"/>
      <w:r w:rsidRPr="00DA1E82">
        <w:t>institūcija</w:t>
      </w:r>
      <w:proofErr w:type="spellEnd"/>
      <w:r w:rsidRPr="00DA1E82">
        <w:t xml:space="preserve"> „</w:t>
      </w:r>
      <w:proofErr w:type="spellStart"/>
      <w:r w:rsidRPr="00DA1E82">
        <w:t>Altum</w:t>
      </w:r>
      <w:proofErr w:type="spellEnd"/>
      <w:r w:rsidRPr="00DA1E82">
        <w:t>” (ALTUM</w:t>
      </w:r>
      <w:r>
        <w:t>)</w:t>
      </w:r>
    </w:p>
    <w:p w:rsidR="005248A5" w:rsidRPr="00335468" w:rsidRDefault="005248A5">
      <w:pPr>
        <w:pStyle w:val="FootnoteText"/>
        <w:rPr>
          <w:lang w:val="lv-LV"/>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0275AB" w:rsidRPr="00B014C2" w:rsidRDefault="004C2284">
        <w:pPr>
          <w:pStyle w:val="Header"/>
          <w:jc w:val="center"/>
          <w:rPr>
            <w:sz w:val="24"/>
            <w:szCs w:val="24"/>
          </w:rPr>
        </w:pPr>
        <w:r w:rsidRPr="00B014C2">
          <w:rPr>
            <w:sz w:val="24"/>
            <w:szCs w:val="24"/>
          </w:rPr>
          <w:fldChar w:fldCharType="begin"/>
        </w:r>
        <w:r w:rsidR="000275AB" w:rsidRPr="00B014C2">
          <w:rPr>
            <w:sz w:val="24"/>
            <w:szCs w:val="24"/>
          </w:rPr>
          <w:instrText xml:space="preserve"> PAGE   \* MERGEFORMAT </w:instrText>
        </w:r>
        <w:r w:rsidRPr="00B014C2">
          <w:rPr>
            <w:sz w:val="24"/>
            <w:szCs w:val="24"/>
          </w:rPr>
          <w:fldChar w:fldCharType="separate"/>
        </w:r>
        <w:r w:rsidR="00D01664">
          <w:rPr>
            <w:noProof/>
            <w:sz w:val="24"/>
            <w:szCs w:val="24"/>
          </w:rPr>
          <w:t>7</w:t>
        </w:r>
        <w:r w:rsidRPr="00B014C2">
          <w:rPr>
            <w:sz w:val="24"/>
            <w:szCs w:val="24"/>
          </w:rPr>
          <w:fldChar w:fldCharType="end"/>
        </w:r>
      </w:p>
    </w:sdtContent>
  </w:sdt>
  <w:p w:rsidR="000275AB" w:rsidRDefault="000275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16980861"/>
    <w:multiLevelType w:val="hybridMultilevel"/>
    <w:tmpl w:val="6C2651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912446"/>
    <w:multiLevelType w:val="hybridMultilevel"/>
    <w:tmpl w:val="05CA9674"/>
    <w:lvl w:ilvl="0" w:tplc="D2743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D4F1B9B"/>
    <w:multiLevelType w:val="hybridMultilevel"/>
    <w:tmpl w:val="2DFCA1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1FD230B"/>
    <w:multiLevelType w:val="hybridMultilevel"/>
    <w:tmpl w:val="56AC9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2F42DDC"/>
    <w:multiLevelType w:val="hybridMultilevel"/>
    <w:tmpl w:val="5CB03484"/>
    <w:lvl w:ilvl="0" w:tplc="FB2C8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2EEE26CF"/>
    <w:multiLevelType w:val="hybridMultilevel"/>
    <w:tmpl w:val="32B4AF9C"/>
    <w:lvl w:ilvl="0" w:tplc="E7B0E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1A43636"/>
    <w:multiLevelType w:val="hybridMultilevel"/>
    <w:tmpl w:val="BE8E03F0"/>
    <w:lvl w:ilvl="0" w:tplc="335A49F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nsid w:val="6E300641"/>
    <w:multiLevelType w:val="hybridMultilevel"/>
    <w:tmpl w:val="CBAAB1CE"/>
    <w:lvl w:ilvl="0" w:tplc="C492AE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4">
    <w:nsid w:val="795C0C91"/>
    <w:multiLevelType w:val="hybridMultilevel"/>
    <w:tmpl w:val="E91A353C"/>
    <w:lvl w:ilvl="0" w:tplc="833C27D2">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15">
    <w:nsid w:val="7F1645FE"/>
    <w:multiLevelType w:val="hybridMultilevel"/>
    <w:tmpl w:val="25243A60"/>
    <w:lvl w:ilvl="0" w:tplc="90C8AF22">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3"/>
  </w:num>
  <w:num w:numId="2">
    <w:abstractNumId w:val="7"/>
  </w:num>
  <w:num w:numId="3">
    <w:abstractNumId w:val="11"/>
  </w:num>
  <w:num w:numId="4">
    <w:abstractNumId w:val="1"/>
  </w:num>
  <w:num w:numId="5">
    <w:abstractNumId w:val="0"/>
  </w:num>
  <w:num w:numId="6">
    <w:abstractNumId w:val="9"/>
  </w:num>
  <w:num w:numId="7">
    <w:abstractNumId w:val="15"/>
  </w:num>
  <w:num w:numId="8">
    <w:abstractNumId w:val="6"/>
  </w:num>
  <w:num w:numId="9">
    <w:abstractNumId w:val="10"/>
  </w:num>
  <w:num w:numId="10">
    <w:abstractNumId w:val="12"/>
  </w:num>
  <w:num w:numId="11">
    <w:abstractNumId w:val="3"/>
  </w:num>
  <w:num w:numId="12">
    <w:abstractNumId w:val="8"/>
  </w:num>
  <w:num w:numId="13">
    <w:abstractNumId w:val="14"/>
  </w:num>
  <w:num w:numId="14">
    <w:abstractNumId w:val="2"/>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C45"/>
    <w:rsid w:val="000108DE"/>
    <w:rsid w:val="0001186C"/>
    <w:rsid w:val="000120A0"/>
    <w:rsid w:val="00014006"/>
    <w:rsid w:val="0001626D"/>
    <w:rsid w:val="0001764D"/>
    <w:rsid w:val="00020A02"/>
    <w:rsid w:val="000214DF"/>
    <w:rsid w:val="00026BA7"/>
    <w:rsid w:val="00026C03"/>
    <w:rsid w:val="000275AB"/>
    <w:rsid w:val="0002762A"/>
    <w:rsid w:val="00031099"/>
    <w:rsid w:val="000320DD"/>
    <w:rsid w:val="0003693D"/>
    <w:rsid w:val="00036E03"/>
    <w:rsid w:val="0004167C"/>
    <w:rsid w:val="000445F3"/>
    <w:rsid w:val="00047EF5"/>
    <w:rsid w:val="00050184"/>
    <w:rsid w:val="00050EA4"/>
    <w:rsid w:val="00052380"/>
    <w:rsid w:val="000564DA"/>
    <w:rsid w:val="00060806"/>
    <w:rsid w:val="00060D39"/>
    <w:rsid w:val="000643D5"/>
    <w:rsid w:val="00071114"/>
    <w:rsid w:val="000729ED"/>
    <w:rsid w:val="00072ECD"/>
    <w:rsid w:val="00081C1D"/>
    <w:rsid w:val="00081F44"/>
    <w:rsid w:val="00083704"/>
    <w:rsid w:val="000847AE"/>
    <w:rsid w:val="0008484B"/>
    <w:rsid w:val="0008486C"/>
    <w:rsid w:val="00086412"/>
    <w:rsid w:val="00087524"/>
    <w:rsid w:val="00091DBA"/>
    <w:rsid w:val="00097583"/>
    <w:rsid w:val="000A164A"/>
    <w:rsid w:val="000A402E"/>
    <w:rsid w:val="000A4AED"/>
    <w:rsid w:val="000A5FB9"/>
    <w:rsid w:val="000B0719"/>
    <w:rsid w:val="000B08FC"/>
    <w:rsid w:val="000B10BD"/>
    <w:rsid w:val="000B2AE3"/>
    <w:rsid w:val="000B5972"/>
    <w:rsid w:val="000D0388"/>
    <w:rsid w:val="000D19C8"/>
    <w:rsid w:val="000D2F05"/>
    <w:rsid w:val="000D4DC9"/>
    <w:rsid w:val="000D6DF2"/>
    <w:rsid w:val="000E2F17"/>
    <w:rsid w:val="000E409F"/>
    <w:rsid w:val="000E4277"/>
    <w:rsid w:val="000F0232"/>
    <w:rsid w:val="000F6C72"/>
    <w:rsid w:val="000F6E9E"/>
    <w:rsid w:val="001000B5"/>
    <w:rsid w:val="001002E4"/>
    <w:rsid w:val="0010079A"/>
    <w:rsid w:val="0010385C"/>
    <w:rsid w:val="00103FE1"/>
    <w:rsid w:val="0010410B"/>
    <w:rsid w:val="001047E8"/>
    <w:rsid w:val="00115E25"/>
    <w:rsid w:val="00120651"/>
    <w:rsid w:val="0012067B"/>
    <w:rsid w:val="00120C26"/>
    <w:rsid w:val="001232D1"/>
    <w:rsid w:val="001254CC"/>
    <w:rsid w:val="001267F1"/>
    <w:rsid w:val="001305B3"/>
    <w:rsid w:val="00130D33"/>
    <w:rsid w:val="00131980"/>
    <w:rsid w:val="00131C62"/>
    <w:rsid w:val="00134E0F"/>
    <w:rsid w:val="001428EB"/>
    <w:rsid w:val="00142A69"/>
    <w:rsid w:val="00142AC2"/>
    <w:rsid w:val="00142CBB"/>
    <w:rsid w:val="00144D39"/>
    <w:rsid w:val="00153C1A"/>
    <w:rsid w:val="00155953"/>
    <w:rsid w:val="001611D0"/>
    <w:rsid w:val="0017312C"/>
    <w:rsid w:val="001733BE"/>
    <w:rsid w:val="0017472D"/>
    <w:rsid w:val="001764E7"/>
    <w:rsid w:val="00182276"/>
    <w:rsid w:val="00182537"/>
    <w:rsid w:val="00182CC4"/>
    <w:rsid w:val="001831F7"/>
    <w:rsid w:val="00184308"/>
    <w:rsid w:val="00184C02"/>
    <w:rsid w:val="00184E37"/>
    <w:rsid w:val="00186895"/>
    <w:rsid w:val="001871BB"/>
    <w:rsid w:val="00190498"/>
    <w:rsid w:val="00191102"/>
    <w:rsid w:val="00191B2C"/>
    <w:rsid w:val="00194800"/>
    <w:rsid w:val="00196D43"/>
    <w:rsid w:val="001971A4"/>
    <w:rsid w:val="001973A7"/>
    <w:rsid w:val="001A082F"/>
    <w:rsid w:val="001A2ABA"/>
    <w:rsid w:val="001A3B25"/>
    <w:rsid w:val="001A3C19"/>
    <w:rsid w:val="001A69A7"/>
    <w:rsid w:val="001B0C97"/>
    <w:rsid w:val="001B262F"/>
    <w:rsid w:val="001B3236"/>
    <w:rsid w:val="001B4EB9"/>
    <w:rsid w:val="001B5566"/>
    <w:rsid w:val="001B5F59"/>
    <w:rsid w:val="001B6F62"/>
    <w:rsid w:val="001B7875"/>
    <w:rsid w:val="001C1BFF"/>
    <w:rsid w:val="001C1C5C"/>
    <w:rsid w:val="001C2D96"/>
    <w:rsid w:val="001C5831"/>
    <w:rsid w:val="001C6A1F"/>
    <w:rsid w:val="001D02A2"/>
    <w:rsid w:val="001D2EDB"/>
    <w:rsid w:val="001D39D9"/>
    <w:rsid w:val="001D416F"/>
    <w:rsid w:val="001D46D6"/>
    <w:rsid w:val="001D5E9C"/>
    <w:rsid w:val="001D76FC"/>
    <w:rsid w:val="001E0CE6"/>
    <w:rsid w:val="001E3BD0"/>
    <w:rsid w:val="001E5031"/>
    <w:rsid w:val="001E7BB7"/>
    <w:rsid w:val="001F02C1"/>
    <w:rsid w:val="001F6151"/>
    <w:rsid w:val="001F7527"/>
    <w:rsid w:val="00200612"/>
    <w:rsid w:val="00205FEE"/>
    <w:rsid w:val="0021241F"/>
    <w:rsid w:val="00213D6A"/>
    <w:rsid w:val="002149CB"/>
    <w:rsid w:val="00216B96"/>
    <w:rsid w:val="00221058"/>
    <w:rsid w:val="00221205"/>
    <w:rsid w:val="00221561"/>
    <w:rsid w:val="00221CAE"/>
    <w:rsid w:val="00224C7C"/>
    <w:rsid w:val="0023085A"/>
    <w:rsid w:val="00230FB6"/>
    <w:rsid w:val="00231EB0"/>
    <w:rsid w:val="00232FEF"/>
    <w:rsid w:val="00233657"/>
    <w:rsid w:val="00233F7A"/>
    <w:rsid w:val="0023462C"/>
    <w:rsid w:val="00234C58"/>
    <w:rsid w:val="00234DDC"/>
    <w:rsid w:val="00235168"/>
    <w:rsid w:val="00236878"/>
    <w:rsid w:val="00245D09"/>
    <w:rsid w:val="00247529"/>
    <w:rsid w:val="002507A0"/>
    <w:rsid w:val="002523D8"/>
    <w:rsid w:val="002543B5"/>
    <w:rsid w:val="0025484B"/>
    <w:rsid w:val="00257EAE"/>
    <w:rsid w:val="00261B9F"/>
    <w:rsid w:val="0026446F"/>
    <w:rsid w:val="00265C1B"/>
    <w:rsid w:val="002701D0"/>
    <w:rsid w:val="002702EB"/>
    <w:rsid w:val="00271EC3"/>
    <w:rsid w:val="00280A6B"/>
    <w:rsid w:val="00284232"/>
    <w:rsid w:val="00285613"/>
    <w:rsid w:val="00285CAB"/>
    <w:rsid w:val="0028698C"/>
    <w:rsid w:val="00287254"/>
    <w:rsid w:val="00290331"/>
    <w:rsid w:val="0029306A"/>
    <w:rsid w:val="002954D4"/>
    <w:rsid w:val="00295C0F"/>
    <w:rsid w:val="00297E4A"/>
    <w:rsid w:val="002A0052"/>
    <w:rsid w:val="002A0CEE"/>
    <w:rsid w:val="002A276D"/>
    <w:rsid w:val="002B30A6"/>
    <w:rsid w:val="002B34B0"/>
    <w:rsid w:val="002B4D01"/>
    <w:rsid w:val="002B667D"/>
    <w:rsid w:val="002B768A"/>
    <w:rsid w:val="002C0E0E"/>
    <w:rsid w:val="002C20C8"/>
    <w:rsid w:val="002C4039"/>
    <w:rsid w:val="002D259E"/>
    <w:rsid w:val="002D3E95"/>
    <w:rsid w:val="002D43D4"/>
    <w:rsid w:val="002D7C26"/>
    <w:rsid w:val="002E1D56"/>
    <w:rsid w:val="002E3CFA"/>
    <w:rsid w:val="002E6122"/>
    <w:rsid w:val="002E7059"/>
    <w:rsid w:val="002E7201"/>
    <w:rsid w:val="002E7530"/>
    <w:rsid w:val="002E7962"/>
    <w:rsid w:val="002E7BEF"/>
    <w:rsid w:val="002F063C"/>
    <w:rsid w:val="002F423D"/>
    <w:rsid w:val="002F4553"/>
    <w:rsid w:val="002F6D2C"/>
    <w:rsid w:val="003000F0"/>
    <w:rsid w:val="003124BE"/>
    <w:rsid w:val="00314594"/>
    <w:rsid w:val="00314A13"/>
    <w:rsid w:val="00315BB0"/>
    <w:rsid w:val="00320EB0"/>
    <w:rsid w:val="00321E80"/>
    <w:rsid w:val="00322A15"/>
    <w:rsid w:val="00324F11"/>
    <w:rsid w:val="00330AF0"/>
    <w:rsid w:val="003312F2"/>
    <w:rsid w:val="00335468"/>
    <w:rsid w:val="00335837"/>
    <w:rsid w:val="00335C2E"/>
    <w:rsid w:val="003365BB"/>
    <w:rsid w:val="003369C8"/>
    <w:rsid w:val="003372CD"/>
    <w:rsid w:val="00340E1F"/>
    <w:rsid w:val="00341D01"/>
    <w:rsid w:val="0034284E"/>
    <w:rsid w:val="00344B27"/>
    <w:rsid w:val="0034724B"/>
    <w:rsid w:val="0034794E"/>
    <w:rsid w:val="003479DF"/>
    <w:rsid w:val="00356364"/>
    <w:rsid w:val="0035647E"/>
    <w:rsid w:val="00356CDF"/>
    <w:rsid w:val="00357B86"/>
    <w:rsid w:val="00360437"/>
    <w:rsid w:val="00360962"/>
    <w:rsid w:val="003611ED"/>
    <w:rsid w:val="00361DA6"/>
    <w:rsid w:val="00362D30"/>
    <w:rsid w:val="003707C8"/>
    <w:rsid w:val="0037466C"/>
    <w:rsid w:val="00376A40"/>
    <w:rsid w:val="00382BA7"/>
    <w:rsid w:val="00383500"/>
    <w:rsid w:val="00384799"/>
    <w:rsid w:val="00385DB0"/>
    <w:rsid w:val="00386053"/>
    <w:rsid w:val="00391942"/>
    <w:rsid w:val="00396D2E"/>
    <w:rsid w:val="003A5545"/>
    <w:rsid w:val="003A56E6"/>
    <w:rsid w:val="003A5F98"/>
    <w:rsid w:val="003A7D89"/>
    <w:rsid w:val="003B04FD"/>
    <w:rsid w:val="003B060D"/>
    <w:rsid w:val="003B2464"/>
    <w:rsid w:val="003B3003"/>
    <w:rsid w:val="003B3450"/>
    <w:rsid w:val="003B4994"/>
    <w:rsid w:val="003B5399"/>
    <w:rsid w:val="003B590B"/>
    <w:rsid w:val="003C1C94"/>
    <w:rsid w:val="003C406A"/>
    <w:rsid w:val="003C5329"/>
    <w:rsid w:val="003D342E"/>
    <w:rsid w:val="003D3A14"/>
    <w:rsid w:val="003E0167"/>
    <w:rsid w:val="003E0BD3"/>
    <w:rsid w:val="003E284A"/>
    <w:rsid w:val="003E2968"/>
    <w:rsid w:val="003E3604"/>
    <w:rsid w:val="003E6CB3"/>
    <w:rsid w:val="003F0C4F"/>
    <w:rsid w:val="003F17ED"/>
    <w:rsid w:val="003F4E09"/>
    <w:rsid w:val="00401C5F"/>
    <w:rsid w:val="00402B2B"/>
    <w:rsid w:val="00404C10"/>
    <w:rsid w:val="00404D4B"/>
    <w:rsid w:val="00406C83"/>
    <w:rsid w:val="004074FD"/>
    <w:rsid w:val="00410EC7"/>
    <w:rsid w:val="00410FEE"/>
    <w:rsid w:val="00414CC7"/>
    <w:rsid w:val="00415C03"/>
    <w:rsid w:val="00416C3A"/>
    <w:rsid w:val="00420FC8"/>
    <w:rsid w:val="0042129F"/>
    <w:rsid w:val="004232D7"/>
    <w:rsid w:val="0042395B"/>
    <w:rsid w:val="0042472B"/>
    <w:rsid w:val="00431CB5"/>
    <w:rsid w:val="00434ACC"/>
    <w:rsid w:val="00435CDA"/>
    <w:rsid w:val="00436083"/>
    <w:rsid w:val="00436E46"/>
    <w:rsid w:val="00436E6A"/>
    <w:rsid w:val="004413C4"/>
    <w:rsid w:val="004426FC"/>
    <w:rsid w:val="00442884"/>
    <w:rsid w:val="00443B04"/>
    <w:rsid w:val="0044567A"/>
    <w:rsid w:val="004465FC"/>
    <w:rsid w:val="004522D7"/>
    <w:rsid w:val="004527EA"/>
    <w:rsid w:val="00457B62"/>
    <w:rsid w:val="00457CC8"/>
    <w:rsid w:val="00460A29"/>
    <w:rsid w:val="00472EF3"/>
    <w:rsid w:val="00475A76"/>
    <w:rsid w:val="004775F4"/>
    <w:rsid w:val="00484C10"/>
    <w:rsid w:val="00485E0B"/>
    <w:rsid w:val="00486BD6"/>
    <w:rsid w:val="00487753"/>
    <w:rsid w:val="0049013B"/>
    <w:rsid w:val="00491F0A"/>
    <w:rsid w:val="004960FB"/>
    <w:rsid w:val="00497086"/>
    <w:rsid w:val="004A0E4C"/>
    <w:rsid w:val="004A22E5"/>
    <w:rsid w:val="004A554F"/>
    <w:rsid w:val="004B18A4"/>
    <w:rsid w:val="004B1FE7"/>
    <w:rsid w:val="004B77C0"/>
    <w:rsid w:val="004C1463"/>
    <w:rsid w:val="004C2284"/>
    <w:rsid w:val="004D4997"/>
    <w:rsid w:val="004D54CD"/>
    <w:rsid w:val="004D6EF0"/>
    <w:rsid w:val="004D790D"/>
    <w:rsid w:val="004E01F5"/>
    <w:rsid w:val="004E0339"/>
    <w:rsid w:val="004E3075"/>
    <w:rsid w:val="004E7B96"/>
    <w:rsid w:val="004F0E94"/>
    <w:rsid w:val="004F178A"/>
    <w:rsid w:val="004F2331"/>
    <w:rsid w:val="004F2B79"/>
    <w:rsid w:val="00501F08"/>
    <w:rsid w:val="00502247"/>
    <w:rsid w:val="00503D5C"/>
    <w:rsid w:val="00505A0D"/>
    <w:rsid w:val="00505B7D"/>
    <w:rsid w:val="00506DDA"/>
    <w:rsid w:val="00510235"/>
    <w:rsid w:val="00511ADB"/>
    <w:rsid w:val="0051358D"/>
    <w:rsid w:val="00513AF6"/>
    <w:rsid w:val="00517C20"/>
    <w:rsid w:val="00522B62"/>
    <w:rsid w:val="005248A5"/>
    <w:rsid w:val="00524D01"/>
    <w:rsid w:val="005254AB"/>
    <w:rsid w:val="00530C47"/>
    <w:rsid w:val="00531687"/>
    <w:rsid w:val="00532532"/>
    <w:rsid w:val="00532EE4"/>
    <w:rsid w:val="00532FEB"/>
    <w:rsid w:val="00537A29"/>
    <w:rsid w:val="005422C3"/>
    <w:rsid w:val="00542739"/>
    <w:rsid w:val="00542F49"/>
    <w:rsid w:val="00543052"/>
    <w:rsid w:val="0054469D"/>
    <w:rsid w:val="00546599"/>
    <w:rsid w:val="00546E77"/>
    <w:rsid w:val="00554A7A"/>
    <w:rsid w:val="00556A8D"/>
    <w:rsid w:val="005631C8"/>
    <w:rsid w:val="0056506A"/>
    <w:rsid w:val="005663B6"/>
    <w:rsid w:val="0056795E"/>
    <w:rsid w:val="00570B3E"/>
    <w:rsid w:val="005747E7"/>
    <w:rsid w:val="0057501D"/>
    <w:rsid w:val="00576AEE"/>
    <w:rsid w:val="00576D8A"/>
    <w:rsid w:val="00580317"/>
    <w:rsid w:val="0058086F"/>
    <w:rsid w:val="0058249F"/>
    <w:rsid w:val="0058679B"/>
    <w:rsid w:val="005877DA"/>
    <w:rsid w:val="00593CA6"/>
    <w:rsid w:val="0059700D"/>
    <w:rsid w:val="00597137"/>
    <w:rsid w:val="00597231"/>
    <w:rsid w:val="005A1D6F"/>
    <w:rsid w:val="005A2A2D"/>
    <w:rsid w:val="005A37FF"/>
    <w:rsid w:val="005A6E2E"/>
    <w:rsid w:val="005A777C"/>
    <w:rsid w:val="005B29DE"/>
    <w:rsid w:val="005B4307"/>
    <w:rsid w:val="005C251D"/>
    <w:rsid w:val="005C6DDB"/>
    <w:rsid w:val="005D1220"/>
    <w:rsid w:val="005D3658"/>
    <w:rsid w:val="005D4522"/>
    <w:rsid w:val="005D6171"/>
    <w:rsid w:val="005E4730"/>
    <w:rsid w:val="005E713D"/>
    <w:rsid w:val="005F09EC"/>
    <w:rsid w:val="005F3202"/>
    <w:rsid w:val="00607722"/>
    <w:rsid w:val="00610DDF"/>
    <w:rsid w:val="00614602"/>
    <w:rsid w:val="006218A6"/>
    <w:rsid w:val="00625D54"/>
    <w:rsid w:val="00626F78"/>
    <w:rsid w:val="00630367"/>
    <w:rsid w:val="006309F5"/>
    <w:rsid w:val="00630BAA"/>
    <w:rsid w:val="00631039"/>
    <w:rsid w:val="00634095"/>
    <w:rsid w:val="00636440"/>
    <w:rsid w:val="00641379"/>
    <w:rsid w:val="00643B54"/>
    <w:rsid w:val="006456BB"/>
    <w:rsid w:val="00647402"/>
    <w:rsid w:val="00650716"/>
    <w:rsid w:val="006512F4"/>
    <w:rsid w:val="00651669"/>
    <w:rsid w:val="006543B3"/>
    <w:rsid w:val="00654C63"/>
    <w:rsid w:val="00663763"/>
    <w:rsid w:val="00664C33"/>
    <w:rsid w:val="00665020"/>
    <w:rsid w:val="00667BAB"/>
    <w:rsid w:val="006711E1"/>
    <w:rsid w:val="006722B5"/>
    <w:rsid w:val="00672A2F"/>
    <w:rsid w:val="00673175"/>
    <w:rsid w:val="00674BA7"/>
    <w:rsid w:val="00676770"/>
    <w:rsid w:val="0068051B"/>
    <w:rsid w:val="00681496"/>
    <w:rsid w:val="00682B64"/>
    <w:rsid w:val="0068409B"/>
    <w:rsid w:val="00684EA2"/>
    <w:rsid w:val="006910BE"/>
    <w:rsid w:val="00696AC4"/>
    <w:rsid w:val="006A3A28"/>
    <w:rsid w:val="006A668E"/>
    <w:rsid w:val="006A6AD4"/>
    <w:rsid w:val="006A7488"/>
    <w:rsid w:val="006A7638"/>
    <w:rsid w:val="006B0E03"/>
    <w:rsid w:val="006C114F"/>
    <w:rsid w:val="006C15FA"/>
    <w:rsid w:val="006C54A9"/>
    <w:rsid w:val="006D0B9B"/>
    <w:rsid w:val="006D1F62"/>
    <w:rsid w:val="006D23AE"/>
    <w:rsid w:val="006D30BF"/>
    <w:rsid w:val="006D662F"/>
    <w:rsid w:val="006D69A4"/>
    <w:rsid w:val="006E07AC"/>
    <w:rsid w:val="006E09B6"/>
    <w:rsid w:val="006E0ECB"/>
    <w:rsid w:val="006E1F97"/>
    <w:rsid w:val="006E3949"/>
    <w:rsid w:val="006F02CA"/>
    <w:rsid w:val="006F0C19"/>
    <w:rsid w:val="006F24A8"/>
    <w:rsid w:val="006F56C1"/>
    <w:rsid w:val="007049BD"/>
    <w:rsid w:val="007058E9"/>
    <w:rsid w:val="0070678E"/>
    <w:rsid w:val="00706EC2"/>
    <w:rsid w:val="007108E1"/>
    <w:rsid w:val="00720EE5"/>
    <w:rsid w:val="00721401"/>
    <w:rsid w:val="007217E4"/>
    <w:rsid w:val="00721D6C"/>
    <w:rsid w:val="00721E50"/>
    <w:rsid w:val="007243A0"/>
    <w:rsid w:val="00725107"/>
    <w:rsid w:val="00725B16"/>
    <w:rsid w:val="007278CF"/>
    <w:rsid w:val="00732C19"/>
    <w:rsid w:val="00732F77"/>
    <w:rsid w:val="007363F2"/>
    <w:rsid w:val="00737AB8"/>
    <w:rsid w:val="00742BAF"/>
    <w:rsid w:val="00743E33"/>
    <w:rsid w:val="00744513"/>
    <w:rsid w:val="0075648C"/>
    <w:rsid w:val="00763941"/>
    <w:rsid w:val="00767185"/>
    <w:rsid w:val="00767E0F"/>
    <w:rsid w:val="007715A2"/>
    <w:rsid w:val="00771E40"/>
    <w:rsid w:val="0077435A"/>
    <w:rsid w:val="00781C31"/>
    <w:rsid w:val="00790E90"/>
    <w:rsid w:val="00791433"/>
    <w:rsid w:val="007918C0"/>
    <w:rsid w:val="00793496"/>
    <w:rsid w:val="00793A6B"/>
    <w:rsid w:val="00794B98"/>
    <w:rsid w:val="00797D6F"/>
    <w:rsid w:val="007A0D95"/>
    <w:rsid w:val="007A14D0"/>
    <w:rsid w:val="007A2498"/>
    <w:rsid w:val="007A5F87"/>
    <w:rsid w:val="007B0767"/>
    <w:rsid w:val="007B31F2"/>
    <w:rsid w:val="007B461A"/>
    <w:rsid w:val="007C1582"/>
    <w:rsid w:val="007C2960"/>
    <w:rsid w:val="007C2992"/>
    <w:rsid w:val="007C62F5"/>
    <w:rsid w:val="007C7357"/>
    <w:rsid w:val="007C7B92"/>
    <w:rsid w:val="007D054D"/>
    <w:rsid w:val="007D14B7"/>
    <w:rsid w:val="007D45FD"/>
    <w:rsid w:val="007D6721"/>
    <w:rsid w:val="007D6900"/>
    <w:rsid w:val="007D7248"/>
    <w:rsid w:val="007D7A8A"/>
    <w:rsid w:val="007E0403"/>
    <w:rsid w:val="007E0942"/>
    <w:rsid w:val="007E0A01"/>
    <w:rsid w:val="007E1DC0"/>
    <w:rsid w:val="007E4A42"/>
    <w:rsid w:val="007E63F8"/>
    <w:rsid w:val="007E7623"/>
    <w:rsid w:val="007F0242"/>
    <w:rsid w:val="007F0C15"/>
    <w:rsid w:val="00810BB4"/>
    <w:rsid w:val="00812990"/>
    <w:rsid w:val="00814B24"/>
    <w:rsid w:val="00815CC0"/>
    <w:rsid w:val="008173C3"/>
    <w:rsid w:val="00817839"/>
    <w:rsid w:val="00823419"/>
    <w:rsid w:val="00823C4F"/>
    <w:rsid w:val="0082492B"/>
    <w:rsid w:val="008253A7"/>
    <w:rsid w:val="008265EF"/>
    <w:rsid w:val="00827407"/>
    <w:rsid w:val="00836318"/>
    <w:rsid w:val="00836455"/>
    <w:rsid w:val="00837E38"/>
    <w:rsid w:val="00840961"/>
    <w:rsid w:val="008444BD"/>
    <w:rsid w:val="00844DC6"/>
    <w:rsid w:val="00850127"/>
    <w:rsid w:val="00851D2A"/>
    <w:rsid w:val="008535B7"/>
    <w:rsid w:val="00855B83"/>
    <w:rsid w:val="00860387"/>
    <w:rsid w:val="00861366"/>
    <w:rsid w:val="00861F33"/>
    <w:rsid w:val="008620C5"/>
    <w:rsid w:val="00864EFE"/>
    <w:rsid w:val="008657D2"/>
    <w:rsid w:val="00866076"/>
    <w:rsid w:val="00874C25"/>
    <w:rsid w:val="0087682B"/>
    <w:rsid w:val="00877FED"/>
    <w:rsid w:val="00880F80"/>
    <w:rsid w:val="008822A5"/>
    <w:rsid w:val="008833AC"/>
    <w:rsid w:val="0088512F"/>
    <w:rsid w:val="00885C85"/>
    <w:rsid w:val="00890CFA"/>
    <w:rsid w:val="00891DAA"/>
    <w:rsid w:val="00891EFC"/>
    <w:rsid w:val="0089622A"/>
    <w:rsid w:val="00897C16"/>
    <w:rsid w:val="008A1DDA"/>
    <w:rsid w:val="008A4831"/>
    <w:rsid w:val="008A492C"/>
    <w:rsid w:val="008A4C41"/>
    <w:rsid w:val="008A515D"/>
    <w:rsid w:val="008A615D"/>
    <w:rsid w:val="008A6918"/>
    <w:rsid w:val="008A69DC"/>
    <w:rsid w:val="008B4856"/>
    <w:rsid w:val="008B4DC1"/>
    <w:rsid w:val="008B7C3D"/>
    <w:rsid w:val="008C2886"/>
    <w:rsid w:val="008D1537"/>
    <w:rsid w:val="008D17E5"/>
    <w:rsid w:val="008D6725"/>
    <w:rsid w:val="008D78FF"/>
    <w:rsid w:val="008E476F"/>
    <w:rsid w:val="008E54FE"/>
    <w:rsid w:val="008E5F7D"/>
    <w:rsid w:val="008E6217"/>
    <w:rsid w:val="008F41DB"/>
    <w:rsid w:val="008F48C1"/>
    <w:rsid w:val="008F4C9D"/>
    <w:rsid w:val="008F5394"/>
    <w:rsid w:val="008F636C"/>
    <w:rsid w:val="008F6397"/>
    <w:rsid w:val="0090048A"/>
    <w:rsid w:val="009041C1"/>
    <w:rsid w:val="0090449A"/>
    <w:rsid w:val="00904A06"/>
    <w:rsid w:val="0090536A"/>
    <w:rsid w:val="00911D0C"/>
    <w:rsid w:val="00914CB3"/>
    <w:rsid w:val="00916328"/>
    <w:rsid w:val="00917324"/>
    <w:rsid w:val="00920CC5"/>
    <w:rsid w:val="009223CF"/>
    <w:rsid w:val="009223E3"/>
    <w:rsid w:val="0092468A"/>
    <w:rsid w:val="009260C5"/>
    <w:rsid w:val="00930CFF"/>
    <w:rsid w:val="00932B78"/>
    <w:rsid w:val="00933744"/>
    <w:rsid w:val="0094012A"/>
    <w:rsid w:val="00940388"/>
    <w:rsid w:val="009429B7"/>
    <w:rsid w:val="00944903"/>
    <w:rsid w:val="009450CF"/>
    <w:rsid w:val="00945AEE"/>
    <w:rsid w:val="0094732D"/>
    <w:rsid w:val="00947CF8"/>
    <w:rsid w:val="009520C3"/>
    <w:rsid w:val="00953598"/>
    <w:rsid w:val="0095680E"/>
    <w:rsid w:val="0095696B"/>
    <w:rsid w:val="00962693"/>
    <w:rsid w:val="00962CEA"/>
    <w:rsid w:val="00971B45"/>
    <w:rsid w:val="00972275"/>
    <w:rsid w:val="00977A1D"/>
    <w:rsid w:val="0098472B"/>
    <w:rsid w:val="00992DA4"/>
    <w:rsid w:val="0099344A"/>
    <w:rsid w:val="00994A10"/>
    <w:rsid w:val="00995388"/>
    <w:rsid w:val="00996D7F"/>
    <w:rsid w:val="009A164D"/>
    <w:rsid w:val="009A19C7"/>
    <w:rsid w:val="009A38AD"/>
    <w:rsid w:val="009A4558"/>
    <w:rsid w:val="009A6C4D"/>
    <w:rsid w:val="009A712C"/>
    <w:rsid w:val="009B0DB2"/>
    <w:rsid w:val="009B2F66"/>
    <w:rsid w:val="009C1ADF"/>
    <w:rsid w:val="009C2CF9"/>
    <w:rsid w:val="009C5919"/>
    <w:rsid w:val="009C6996"/>
    <w:rsid w:val="009C7064"/>
    <w:rsid w:val="009C7B1F"/>
    <w:rsid w:val="009D10C0"/>
    <w:rsid w:val="009D3A3F"/>
    <w:rsid w:val="009D46D6"/>
    <w:rsid w:val="009D5C1D"/>
    <w:rsid w:val="009D6B85"/>
    <w:rsid w:val="009E116E"/>
    <w:rsid w:val="009E182A"/>
    <w:rsid w:val="009E1AEA"/>
    <w:rsid w:val="009E2B24"/>
    <w:rsid w:val="009E388E"/>
    <w:rsid w:val="009E4C1F"/>
    <w:rsid w:val="009E532D"/>
    <w:rsid w:val="009E5351"/>
    <w:rsid w:val="009E604D"/>
    <w:rsid w:val="009F1B35"/>
    <w:rsid w:val="009F37B4"/>
    <w:rsid w:val="009F3B93"/>
    <w:rsid w:val="009F4D79"/>
    <w:rsid w:val="00A01864"/>
    <w:rsid w:val="00A045ED"/>
    <w:rsid w:val="00A14437"/>
    <w:rsid w:val="00A14502"/>
    <w:rsid w:val="00A15971"/>
    <w:rsid w:val="00A246DC"/>
    <w:rsid w:val="00A271B4"/>
    <w:rsid w:val="00A30576"/>
    <w:rsid w:val="00A30F97"/>
    <w:rsid w:val="00A31FDC"/>
    <w:rsid w:val="00A32343"/>
    <w:rsid w:val="00A326B1"/>
    <w:rsid w:val="00A3336D"/>
    <w:rsid w:val="00A34AC6"/>
    <w:rsid w:val="00A34F24"/>
    <w:rsid w:val="00A37DC3"/>
    <w:rsid w:val="00A4124F"/>
    <w:rsid w:val="00A425FC"/>
    <w:rsid w:val="00A43634"/>
    <w:rsid w:val="00A43665"/>
    <w:rsid w:val="00A441B5"/>
    <w:rsid w:val="00A454E0"/>
    <w:rsid w:val="00A46462"/>
    <w:rsid w:val="00A47339"/>
    <w:rsid w:val="00A47536"/>
    <w:rsid w:val="00A51399"/>
    <w:rsid w:val="00A520CC"/>
    <w:rsid w:val="00A52BA6"/>
    <w:rsid w:val="00A5445A"/>
    <w:rsid w:val="00A552DA"/>
    <w:rsid w:val="00A6113D"/>
    <w:rsid w:val="00A6164F"/>
    <w:rsid w:val="00A6235A"/>
    <w:rsid w:val="00A62805"/>
    <w:rsid w:val="00A6716E"/>
    <w:rsid w:val="00A700D6"/>
    <w:rsid w:val="00A706CF"/>
    <w:rsid w:val="00A805C2"/>
    <w:rsid w:val="00A806F1"/>
    <w:rsid w:val="00A87BE9"/>
    <w:rsid w:val="00A9241A"/>
    <w:rsid w:val="00A95893"/>
    <w:rsid w:val="00A963C3"/>
    <w:rsid w:val="00A96F94"/>
    <w:rsid w:val="00AA127F"/>
    <w:rsid w:val="00AA230A"/>
    <w:rsid w:val="00AA5C4F"/>
    <w:rsid w:val="00AA712A"/>
    <w:rsid w:val="00AA7E8A"/>
    <w:rsid w:val="00AB0653"/>
    <w:rsid w:val="00AB1A94"/>
    <w:rsid w:val="00AB248D"/>
    <w:rsid w:val="00AB2915"/>
    <w:rsid w:val="00AB2B24"/>
    <w:rsid w:val="00AB488D"/>
    <w:rsid w:val="00AB5B30"/>
    <w:rsid w:val="00AB5FC3"/>
    <w:rsid w:val="00AB6101"/>
    <w:rsid w:val="00AC0231"/>
    <w:rsid w:val="00AC07D2"/>
    <w:rsid w:val="00AC6009"/>
    <w:rsid w:val="00AD0DF6"/>
    <w:rsid w:val="00AD2826"/>
    <w:rsid w:val="00AD4944"/>
    <w:rsid w:val="00AD5849"/>
    <w:rsid w:val="00AD6A13"/>
    <w:rsid w:val="00AD7CF0"/>
    <w:rsid w:val="00AE05F1"/>
    <w:rsid w:val="00AE1659"/>
    <w:rsid w:val="00AE4EB6"/>
    <w:rsid w:val="00AE51EC"/>
    <w:rsid w:val="00AE6E0C"/>
    <w:rsid w:val="00AF1E99"/>
    <w:rsid w:val="00B00407"/>
    <w:rsid w:val="00B014C2"/>
    <w:rsid w:val="00B033B8"/>
    <w:rsid w:val="00B0347F"/>
    <w:rsid w:val="00B04FAA"/>
    <w:rsid w:val="00B121E8"/>
    <w:rsid w:val="00B13499"/>
    <w:rsid w:val="00B1662F"/>
    <w:rsid w:val="00B17E05"/>
    <w:rsid w:val="00B17ED5"/>
    <w:rsid w:val="00B20342"/>
    <w:rsid w:val="00B20D39"/>
    <w:rsid w:val="00B221CA"/>
    <w:rsid w:val="00B274BB"/>
    <w:rsid w:val="00B30133"/>
    <w:rsid w:val="00B37577"/>
    <w:rsid w:val="00B451F4"/>
    <w:rsid w:val="00B45711"/>
    <w:rsid w:val="00B46B34"/>
    <w:rsid w:val="00B5655C"/>
    <w:rsid w:val="00B56EB8"/>
    <w:rsid w:val="00B57637"/>
    <w:rsid w:val="00B60083"/>
    <w:rsid w:val="00B60EEC"/>
    <w:rsid w:val="00B6151B"/>
    <w:rsid w:val="00B6163A"/>
    <w:rsid w:val="00B62197"/>
    <w:rsid w:val="00B63BE0"/>
    <w:rsid w:val="00B6474E"/>
    <w:rsid w:val="00B65CFA"/>
    <w:rsid w:val="00B70F42"/>
    <w:rsid w:val="00B74BCA"/>
    <w:rsid w:val="00B756EA"/>
    <w:rsid w:val="00B75B65"/>
    <w:rsid w:val="00B7774A"/>
    <w:rsid w:val="00B81E82"/>
    <w:rsid w:val="00B82499"/>
    <w:rsid w:val="00B84C4B"/>
    <w:rsid w:val="00B85C22"/>
    <w:rsid w:val="00B866E5"/>
    <w:rsid w:val="00B91EA5"/>
    <w:rsid w:val="00B931D1"/>
    <w:rsid w:val="00B943B1"/>
    <w:rsid w:val="00BA0A22"/>
    <w:rsid w:val="00BA14F4"/>
    <w:rsid w:val="00BA2E9B"/>
    <w:rsid w:val="00BA7189"/>
    <w:rsid w:val="00BB09C5"/>
    <w:rsid w:val="00BB1C9B"/>
    <w:rsid w:val="00BB2330"/>
    <w:rsid w:val="00BB4180"/>
    <w:rsid w:val="00BB6E67"/>
    <w:rsid w:val="00BB7960"/>
    <w:rsid w:val="00BC06E8"/>
    <w:rsid w:val="00BC4144"/>
    <w:rsid w:val="00BC4472"/>
    <w:rsid w:val="00BC51A3"/>
    <w:rsid w:val="00BC5BA9"/>
    <w:rsid w:val="00BC66EB"/>
    <w:rsid w:val="00BD1934"/>
    <w:rsid w:val="00BD1A48"/>
    <w:rsid w:val="00BD4752"/>
    <w:rsid w:val="00BD63E9"/>
    <w:rsid w:val="00BE0EC8"/>
    <w:rsid w:val="00BE4892"/>
    <w:rsid w:val="00BE649D"/>
    <w:rsid w:val="00BE6E9C"/>
    <w:rsid w:val="00BF13E2"/>
    <w:rsid w:val="00BF249C"/>
    <w:rsid w:val="00BF2E4B"/>
    <w:rsid w:val="00BF2F17"/>
    <w:rsid w:val="00BF4361"/>
    <w:rsid w:val="00BF6568"/>
    <w:rsid w:val="00C02217"/>
    <w:rsid w:val="00C044F2"/>
    <w:rsid w:val="00C11C6A"/>
    <w:rsid w:val="00C16A63"/>
    <w:rsid w:val="00C16F7D"/>
    <w:rsid w:val="00C1739F"/>
    <w:rsid w:val="00C20A0F"/>
    <w:rsid w:val="00C20EF9"/>
    <w:rsid w:val="00C21A1E"/>
    <w:rsid w:val="00C24F0A"/>
    <w:rsid w:val="00C25337"/>
    <w:rsid w:val="00C307D2"/>
    <w:rsid w:val="00C31A26"/>
    <w:rsid w:val="00C327A5"/>
    <w:rsid w:val="00C32F05"/>
    <w:rsid w:val="00C33F2C"/>
    <w:rsid w:val="00C34377"/>
    <w:rsid w:val="00C34941"/>
    <w:rsid w:val="00C37B14"/>
    <w:rsid w:val="00C40FDA"/>
    <w:rsid w:val="00C44943"/>
    <w:rsid w:val="00C44C95"/>
    <w:rsid w:val="00C4549D"/>
    <w:rsid w:val="00C45AB4"/>
    <w:rsid w:val="00C5082A"/>
    <w:rsid w:val="00C52C5E"/>
    <w:rsid w:val="00C5549D"/>
    <w:rsid w:val="00C61BDC"/>
    <w:rsid w:val="00C61FF9"/>
    <w:rsid w:val="00C627A2"/>
    <w:rsid w:val="00C65525"/>
    <w:rsid w:val="00C6637E"/>
    <w:rsid w:val="00C66CCF"/>
    <w:rsid w:val="00C7152A"/>
    <w:rsid w:val="00C728A7"/>
    <w:rsid w:val="00C7500F"/>
    <w:rsid w:val="00C751EA"/>
    <w:rsid w:val="00C75A4F"/>
    <w:rsid w:val="00C772EA"/>
    <w:rsid w:val="00C8212B"/>
    <w:rsid w:val="00C83591"/>
    <w:rsid w:val="00C83878"/>
    <w:rsid w:val="00C84027"/>
    <w:rsid w:val="00C85068"/>
    <w:rsid w:val="00C86127"/>
    <w:rsid w:val="00C87B1B"/>
    <w:rsid w:val="00C93C55"/>
    <w:rsid w:val="00C95CFC"/>
    <w:rsid w:val="00C9779A"/>
    <w:rsid w:val="00C97C3E"/>
    <w:rsid w:val="00C97F6E"/>
    <w:rsid w:val="00CA0169"/>
    <w:rsid w:val="00CA0B16"/>
    <w:rsid w:val="00CA0E9F"/>
    <w:rsid w:val="00CA181C"/>
    <w:rsid w:val="00CA34C6"/>
    <w:rsid w:val="00CA4ADF"/>
    <w:rsid w:val="00CA6526"/>
    <w:rsid w:val="00CA7E59"/>
    <w:rsid w:val="00CB1829"/>
    <w:rsid w:val="00CB189E"/>
    <w:rsid w:val="00CB19CB"/>
    <w:rsid w:val="00CB204F"/>
    <w:rsid w:val="00CB45B6"/>
    <w:rsid w:val="00CB5D7B"/>
    <w:rsid w:val="00CB6882"/>
    <w:rsid w:val="00CB7A76"/>
    <w:rsid w:val="00CC2408"/>
    <w:rsid w:val="00CC377D"/>
    <w:rsid w:val="00CC4F60"/>
    <w:rsid w:val="00CC691B"/>
    <w:rsid w:val="00CC76C2"/>
    <w:rsid w:val="00CC7CB9"/>
    <w:rsid w:val="00CD40FD"/>
    <w:rsid w:val="00CD4E1C"/>
    <w:rsid w:val="00CE09F6"/>
    <w:rsid w:val="00CE128B"/>
    <w:rsid w:val="00CE46A5"/>
    <w:rsid w:val="00CF0131"/>
    <w:rsid w:val="00CF05DA"/>
    <w:rsid w:val="00CF370C"/>
    <w:rsid w:val="00CF4D9E"/>
    <w:rsid w:val="00CF50F6"/>
    <w:rsid w:val="00CF5C7C"/>
    <w:rsid w:val="00D0079F"/>
    <w:rsid w:val="00D01664"/>
    <w:rsid w:val="00D03BE9"/>
    <w:rsid w:val="00D11E93"/>
    <w:rsid w:val="00D12D69"/>
    <w:rsid w:val="00D12F6E"/>
    <w:rsid w:val="00D215C9"/>
    <w:rsid w:val="00D23D51"/>
    <w:rsid w:val="00D23E53"/>
    <w:rsid w:val="00D24EDC"/>
    <w:rsid w:val="00D277E5"/>
    <w:rsid w:val="00D315BC"/>
    <w:rsid w:val="00D31657"/>
    <w:rsid w:val="00D31FAE"/>
    <w:rsid w:val="00D419F1"/>
    <w:rsid w:val="00D478F2"/>
    <w:rsid w:val="00D50452"/>
    <w:rsid w:val="00D56DA8"/>
    <w:rsid w:val="00D62CCB"/>
    <w:rsid w:val="00D71175"/>
    <w:rsid w:val="00D7155A"/>
    <w:rsid w:val="00D71706"/>
    <w:rsid w:val="00D7256E"/>
    <w:rsid w:val="00D72F3D"/>
    <w:rsid w:val="00D74282"/>
    <w:rsid w:val="00D743CB"/>
    <w:rsid w:val="00D8286C"/>
    <w:rsid w:val="00D83021"/>
    <w:rsid w:val="00D94F4A"/>
    <w:rsid w:val="00D95EF7"/>
    <w:rsid w:val="00DA0A55"/>
    <w:rsid w:val="00DA33A5"/>
    <w:rsid w:val="00DA3D82"/>
    <w:rsid w:val="00DA4F89"/>
    <w:rsid w:val="00DA61A3"/>
    <w:rsid w:val="00DA6973"/>
    <w:rsid w:val="00DA775F"/>
    <w:rsid w:val="00DB0477"/>
    <w:rsid w:val="00DB1642"/>
    <w:rsid w:val="00DB28DC"/>
    <w:rsid w:val="00DB35ED"/>
    <w:rsid w:val="00DB7168"/>
    <w:rsid w:val="00DC0A98"/>
    <w:rsid w:val="00DC1068"/>
    <w:rsid w:val="00DC2009"/>
    <w:rsid w:val="00DC27BB"/>
    <w:rsid w:val="00DC2AFF"/>
    <w:rsid w:val="00DC614F"/>
    <w:rsid w:val="00DC7ACA"/>
    <w:rsid w:val="00DD0266"/>
    <w:rsid w:val="00DD21C0"/>
    <w:rsid w:val="00DD42C2"/>
    <w:rsid w:val="00DD5665"/>
    <w:rsid w:val="00DE01CE"/>
    <w:rsid w:val="00DE0762"/>
    <w:rsid w:val="00DE67FC"/>
    <w:rsid w:val="00DF00C1"/>
    <w:rsid w:val="00DF05BB"/>
    <w:rsid w:val="00DF0637"/>
    <w:rsid w:val="00DF0A7E"/>
    <w:rsid w:val="00DF4BCE"/>
    <w:rsid w:val="00DF5302"/>
    <w:rsid w:val="00DF5D85"/>
    <w:rsid w:val="00E03A78"/>
    <w:rsid w:val="00E07DF2"/>
    <w:rsid w:val="00E147E0"/>
    <w:rsid w:val="00E22906"/>
    <w:rsid w:val="00E22D5A"/>
    <w:rsid w:val="00E22EBE"/>
    <w:rsid w:val="00E25884"/>
    <w:rsid w:val="00E26AAA"/>
    <w:rsid w:val="00E30C56"/>
    <w:rsid w:val="00E3385D"/>
    <w:rsid w:val="00E360B7"/>
    <w:rsid w:val="00E43842"/>
    <w:rsid w:val="00E44062"/>
    <w:rsid w:val="00E4416C"/>
    <w:rsid w:val="00E45FE7"/>
    <w:rsid w:val="00E51BA8"/>
    <w:rsid w:val="00E51BE9"/>
    <w:rsid w:val="00E52FCD"/>
    <w:rsid w:val="00E54741"/>
    <w:rsid w:val="00E56A1F"/>
    <w:rsid w:val="00E5743D"/>
    <w:rsid w:val="00E62150"/>
    <w:rsid w:val="00E6447F"/>
    <w:rsid w:val="00E65F36"/>
    <w:rsid w:val="00E65F64"/>
    <w:rsid w:val="00E671E2"/>
    <w:rsid w:val="00E70B81"/>
    <w:rsid w:val="00E73425"/>
    <w:rsid w:val="00E73C02"/>
    <w:rsid w:val="00E7628E"/>
    <w:rsid w:val="00E77577"/>
    <w:rsid w:val="00E8006C"/>
    <w:rsid w:val="00E90C7E"/>
    <w:rsid w:val="00E921F7"/>
    <w:rsid w:val="00E9274F"/>
    <w:rsid w:val="00E96F9B"/>
    <w:rsid w:val="00EA2820"/>
    <w:rsid w:val="00EA6137"/>
    <w:rsid w:val="00EB03F5"/>
    <w:rsid w:val="00EB263C"/>
    <w:rsid w:val="00EB4862"/>
    <w:rsid w:val="00EC09FD"/>
    <w:rsid w:val="00EC1C10"/>
    <w:rsid w:val="00EC1CD1"/>
    <w:rsid w:val="00EC4103"/>
    <w:rsid w:val="00ED175B"/>
    <w:rsid w:val="00ED29AD"/>
    <w:rsid w:val="00ED377B"/>
    <w:rsid w:val="00ED49F3"/>
    <w:rsid w:val="00EE35DE"/>
    <w:rsid w:val="00EE4E64"/>
    <w:rsid w:val="00EE4FC3"/>
    <w:rsid w:val="00EE63ED"/>
    <w:rsid w:val="00EF26A5"/>
    <w:rsid w:val="00EF335B"/>
    <w:rsid w:val="00EF4B50"/>
    <w:rsid w:val="00EF662A"/>
    <w:rsid w:val="00EF6CB9"/>
    <w:rsid w:val="00EF6E5B"/>
    <w:rsid w:val="00EF7435"/>
    <w:rsid w:val="00EF7A99"/>
    <w:rsid w:val="00F017F1"/>
    <w:rsid w:val="00F02F53"/>
    <w:rsid w:val="00F10EB1"/>
    <w:rsid w:val="00F12786"/>
    <w:rsid w:val="00F14553"/>
    <w:rsid w:val="00F154DF"/>
    <w:rsid w:val="00F15932"/>
    <w:rsid w:val="00F17FB6"/>
    <w:rsid w:val="00F20476"/>
    <w:rsid w:val="00F20A3B"/>
    <w:rsid w:val="00F210C4"/>
    <w:rsid w:val="00F213B5"/>
    <w:rsid w:val="00F2244C"/>
    <w:rsid w:val="00F22471"/>
    <w:rsid w:val="00F23AB0"/>
    <w:rsid w:val="00F24053"/>
    <w:rsid w:val="00F25271"/>
    <w:rsid w:val="00F25DD3"/>
    <w:rsid w:val="00F27161"/>
    <w:rsid w:val="00F33C48"/>
    <w:rsid w:val="00F33E2D"/>
    <w:rsid w:val="00F45FC6"/>
    <w:rsid w:val="00F52FB8"/>
    <w:rsid w:val="00F543D6"/>
    <w:rsid w:val="00F55D66"/>
    <w:rsid w:val="00F573E5"/>
    <w:rsid w:val="00F64547"/>
    <w:rsid w:val="00F65DC0"/>
    <w:rsid w:val="00F65EC5"/>
    <w:rsid w:val="00F67545"/>
    <w:rsid w:val="00F713FD"/>
    <w:rsid w:val="00F73E4D"/>
    <w:rsid w:val="00F73FBF"/>
    <w:rsid w:val="00F768B2"/>
    <w:rsid w:val="00F80221"/>
    <w:rsid w:val="00F81BA5"/>
    <w:rsid w:val="00F82D25"/>
    <w:rsid w:val="00F86F4B"/>
    <w:rsid w:val="00F90307"/>
    <w:rsid w:val="00F9294A"/>
    <w:rsid w:val="00F92A3D"/>
    <w:rsid w:val="00F97A74"/>
    <w:rsid w:val="00FA2DB4"/>
    <w:rsid w:val="00FA371D"/>
    <w:rsid w:val="00FA6053"/>
    <w:rsid w:val="00FA6507"/>
    <w:rsid w:val="00FA6DB0"/>
    <w:rsid w:val="00FA7C2F"/>
    <w:rsid w:val="00FB0E25"/>
    <w:rsid w:val="00FB4555"/>
    <w:rsid w:val="00FC02DA"/>
    <w:rsid w:val="00FC4CC7"/>
    <w:rsid w:val="00FD3BBA"/>
    <w:rsid w:val="00FD4326"/>
    <w:rsid w:val="00FD7D7A"/>
    <w:rsid w:val="00FE2734"/>
    <w:rsid w:val="00FF1D9A"/>
    <w:rsid w:val="00FF3E15"/>
    <w:rsid w:val="00FF4A85"/>
    <w:rsid w:val="00FF5C79"/>
    <w:rsid w:val="00FF6971"/>
    <w:rsid w:val="00FF7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semiHidden/>
    <w:unhideWhenUsed/>
    <w:rsid w:val="00E360B7"/>
  </w:style>
  <w:style w:type="character" w:customStyle="1" w:styleId="CommentTextChar">
    <w:name w:val="Comment Text Char"/>
    <w:basedOn w:val="DefaultParagraphFont"/>
    <w:link w:val="CommentText"/>
    <w:uiPriority w:val="99"/>
    <w:semiHidden/>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5248A5"/>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basedOn w:val="DefaultParagraphFont"/>
    <w:link w:val="FootnoteText"/>
    <w:uiPriority w:val="99"/>
    <w:rsid w:val="005248A5"/>
    <w:rPr>
      <w:rFonts w:eastAsia="Calibri" w:cs="Times New Roman"/>
      <w:sz w:val="20"/>
      <w:szCs w:val="20"/>
      <w:lang w:val="en-AU"/>
    </w:rPr>
  </w:style>
  <w:style w:type="character" w:styleId="FootnoteReference">
    <w:name w:val="footnote reference"/>
    <w:basedOn w:val="DefaultParagraphFont"/>
    <w:uiPriority w:val="99"/>
    <w:semiHidden/>
    <w:unhideWhenUsed/>
    <w:rsid w:val="005248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semiHidden/>
    <w:unhideWhenUsed/>
    <w:rsid w:val="00E360B7"/>
  </w:style>
  <w:style w:type="character" w:customStyle="1" w:styleId="CommentTextChar">
    <w:name w:val="Comment Text Char"/>
    <w:basedOn w:val="DefaultParagraphFont"/>
    <w:link w:val="CommentText"/>
    <w:uiPriority w:val="99"/>
    <w:semiHidden/>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5248A5"/>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basedOn w:val="DefaultParagraphFont"/>
    <w:link w:val="FootnoteText"/>
    <w:uiPriority w:val="99"/>
    <w:rsid w:val="005248A5"/>
    <w:rPr>
      <w:rFonts w:eastAsia="Calibri" w:cs="Times New Roman"/>
      <w:sz w:val="20"/>
      <w:szCs w:val="20"/>
      <w:lang w:val="en-AU"/>
    </w:rPr>
  </w:style>
  <w:style w:type="character" w:styleId="FootnoteReference">
    <w:name w:val="footnote reference"/>
    <w:basedOn w:val="DefaultParagraphFont"/>
    <w:uiPriority w:val="99"/>
    <w:semiHidden/>
    <w:unhideWhenUsed/>
    <w:rsid w:val="005248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456726768">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626005937">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227649641">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lina.Dlohi@em.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04BFF-009F-470E-9739-5294B28C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1898</Words>
  <Characters>12913</Characters>
  <Application>Microsoft Office Word</Application>
  <DocSecurity>0</DocSecurity>
  <Lines>496</Lines>
  <Paragraphs>170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31.marta noteikumos Nr.293 „Noteikumi par darbības programmas „Cilvēkresursi un nodarbinātība” papildinājuma 1.3.1.2.aktivitāti „Atbalsts pašnodarbinātības un uzņēmējdarbības uzsā</vt:lpstr>
    </vt:vector>
  </TitlesOfParts>
  <Company>LR Ekonomikas ministrija</Company>
  <LinksUpToDate>false</LinksUpToDate>
  <CharactersWithSpaces>14641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31.marta noteikumos Nr.293 „Noteikumi par darbības programmas „Cilvēkresursi un nodarbinātība” papildinājuma 1.3.1.2.aktivitāti „Atbalsts pašnodarbinātības un uzņēmējdarbības uzsākšanai”” sākotnējās ietekmes novērtējuma ziņojums (anotācija)</dc:title>
  <dc:subject>Ministru kabineta noteikumu projekta sākotnējās ietekmes novērtējuma ziņojums (anotācija)</dc:subject>
  <dc:creator>Elīna Dlohi</dc:creator>
  <dc:description>67013082, Elina.Dlohi@em.gov.lv</dc:description>
  <cp:lastModifiedBy>Elīna Dlohi</cp:lastModifiedBy>
  <cp:revision>5</cp:revision>
  <cp:lastPrinted>2014-04-02T07:43:00Z</cp:lastPrinted>
  <dcterms:created xsi:type="dcterms:W3CDTF">2014-03-20T09:32:00Z</dcterms:created>
  <dcterms:modified xsi:type="dcterms:W3CDTF">2014-04-02T07:43:00Z</dcterms:modified>
</cp:coreProperties>
</file>