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755C" w:rsidRPr="00A02ACA" w:rsidRDefault="00D66C4C" w:rsidP="005234F2">
      <w:pPr>
        <w:jc w:val="center"/>
        <w:rPr>
          <w:b/>
          <w:bCs/>
        </w:rPr>
      </w:pPr>
      <w:bookmarkStart w:id="0" w:name="_GoBack"/>
      <w:bookmarkEnd w:id="0"/>
      <w:r w:rsidRPr="00A02ACA">
        <w:rPr>
          <w:b/>
          <w:bCs/>
        </w:rPr>
        <w:t>Likumprojekta „Grozījumi Elektroenerģijas tirgus likumā” sākotnējās ietekmes novērtējuma ziņojums (anotācija)</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42"/>
        <w:gridCol w:w="2619"/>
        <w:gridCol w:w="6270"/>
      </w:tblGrid>
      <w:tr w:rsidR="00D07F03" w:rsidRPr="00A02ACA" w:rsidTr="00D07F03">
        <w:trPr>
          <w:trHeight w:val="40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D07F03" w:rsidRPr="00A02ACA" w:rsidRDefault="00D07F03" w:rsidP="00D07F03">
            <w:pPr>
              <w:spacing w:before="100" w:beforeAutospacing="1" w:after="100" w:afterAutospacing="1" w:line="360" w:lineRule="auto"/>
              <w:ind w:firstLine="300"/>
              <w:jc w:val="center"/>
              <w:rPr>
                <w:b/>
                <w:bCs/>
              </w:rPr>
            </w:pPr>
            <w:r w:rsidRPr="00A02ACA">
              <w:rPr>
                <w:b/>
                <w:bCs/>
              </w:rPr>
              <w:t>I. Tiesību akta projekta izstrādes nepieciešamība</w:t>
            </w:r>
          </w:p>
        </w:tc>
      </w:tr>
      <w:tr w:rsidR="00D07F03" w:rsidRPr="00A02ACA" w:rsidTr="007F0246">
        <w:trPr>
          <w:trHeight w:val="405"/>
        </w:trPr>
        <w:tc>
          <w:tcPr>
            <w:tcW w:w="133" w:type="pct"/>
            <w:tcBorders>
              <w:top w:val="outset" w:sz="6" w:space="0" w:color="414142"/>
              <w:left w:val="outset" w:sz="6" w:space="0" w:color="414142"/>
              <w:bottom w:val="outset" w:sz="6" w:space="0" w:color="414142"/>
              <w:right w:val="outset" w:sz="6" w:space="0" w:color="414142"/>
            </w:tcBorders>
            <w:hideMark/>
          </w:tcPr>
          <w:p w:rsidR="00D07F03" w:rsidRPr="00A02ACA" w:rsidRDefault="00D07F03" w:rsidP="00F621BF">
            <w:pPr>
              <w:spacing w:before="100" w:beforeAutospacing="1" w:after="100" w:afterAutospacing="1" w:line="360" w:lineRule="auto"/>
              <w:jc w:val="center"/>
            </w:pPr>
            <w:r w:rsidRPr="00A02ACA">
              <w:t>1.</w:t>
            </w:r>
          </w:p>
        </w:tc>
        <w:tc>
          <w:tcPr>
            <w:tcW w:w="1434" w:type="pct"/>
            <w:tcBorders>
              <w:top w:val="outset" w:sz="6" w:space="0" w:color="414142"/>
              <w:left w:val="outset" w:sz="6" w:space="0" w:color="414142"/>
              <w:bottom w:val="outset" w:sz="6" w:space="0" w:color="414142"/>
              <w:right w:val="outset" w:sz="6" w:space="0" w:color="414142"/>
            </w:tcBorders>
            <w:hideMark/>
          </w:tcPr>
          <w:p w:rsidR="00D07F03" w:rsidRPr="00A02ACA" w:rsidRDefault="00D07F03" w:rsidP="00D07F03">
            <w:r w:rsidRPr="00A02ACA">
              <w:t>Pamatojums</w:t>
            </w:r>
          </w:p>
        </w:tc>
        <w:tc>
          <w:tcPr>
            <w:tcW w:w="3433" w:type="pct"/>
            <w:tcBorders>
              <w:top w:val="outset" w:sz="6" w:space="0" w:color="414142"/>
              <w:left w:val="outset" w:sz="6" w:space="0" w:color="414142"/>
              <w:bottom w:val="outset" w:sz="6" w:space="0" w:color="414142"/>
              <w:right w:val="outset" w:sz="6" w:space="0" w:color="414142"/>
            </w:tcBorders>
            <w:hideMark/>
          </w:tcPr>
          <w:p w:rsidR="0001793A" w:rsidRPr="0001793A" w:rsidRDefault="00D66C4C" w:rsidP="0001793A">
            <w:pPr>
              <w:pStyle w:val="Default"/>
              <w:jc w:val="both"/>
              <w:rPr>
                <w:rFonts w:ascii="Times New Roman" w:hAnsi="Times New Roman" w:cs="Times New Roman"/>
              </w:rPr>
            </w:pPr>
            <w:r w:rsidRPr="0001793A">
              <w:rPr>
                <w:rFonts w:ascii="Times New Roman" w:hAnsi="Times New Roman" w:cs="Times New Roman"/>
              </w:rPr>
              <w:t xml:space="preserve">Likumprojekts „Grozījumi Elektroenerģijas tirgus likumā” (turpmāk - Likumprojekts) sagatavots </w:t>
            </w:r>
            <w:r w:rsidR="0001793A" w:rsidRPr="0001793A">
              <w:rPr>
                <w:rStyle w:val="Strong"/>
                <w:rFonts w:ascii="Times New Roman" w:hAnsi="Times New Roman"/>
                <w:b w:val="0"/>
              </w:rPr>
              <w:t xml:space="preserve">atbilstoši </w:t>
            </w:r>
            <w:r w:rsidR="0001793A" w:rsidRPr="0001793A">
              <w:rPr>
                <w:rFonts w:ascii="Times New Roman" w:hAnsi="Times New Roman" w:cs="Times New Roman"/>
                <w:bCs/>
              </w:rPr>
              <w:t>Deklarācijas par Laimdotas Straujumas vadītā Ministru kabineta iecerēto darbību (apstiprināta Saeimas 2014. gada 5. novembra sēdē)</w:t>
            </w:r>
            <w:r w:rsidR="0001793A" w:rsidRPr="0001793A">
              <w:rPr>
                <w:rFonts w:ascii="Times New Roman" w:hAnsi="Times New Roman" w:cs="Times New Roman"/>
              </w:rPr>
              <w:t xml:space="preserve"> 53. punktam</w:t>
            </w:r>
            <w:r w:rsidR="0001793A" w:rsidRPr="0001793A">
              <w:rPr>
                <w:rFonts w:ascii="Times New Roman" w:hAnsi="Times New Roman" w:cs="Times New Roman"/>
                <w:bCs/>
              </w:rPr>
              <w:t>, kurā noteikts, ka s</w:t>
            </w:r>
            <w:r w:rsidR="0001793A" w:rsidRPr="0001793A">
              <w:rPr>
                <w:rFonts w:ascii="Times New Roman" w:hAnsi="Times New Roman" w:cs="Times New Roman"/>
              </w:rPr>
              <w:t>amazināsim elektroenerģijas cenu negatīvo ietekmi  uz energointensīvu eksporta uzņēmumu konkurētspēju.</w:t>
            </w:r>
          </w:p>
          <w:p w:rsidR="00D07F03" w:rsidRPr="00A02ACA" w:rsidRDefault="00D66C4C" w:rsidP="0001793A">
            <w:pPr>
              <w:ind w:right="142" w:firstLine="340"/>
              <w:jc w:val="both"/>
            </w:pPr>
            <w:r w:rsidRPr="00A02ACA">
              <w:t>Likumprojekts izstrādāts, pamatojoties uz Ministru kabineta 2013. gada 9. aprīļa sēdē izskatītā informatīvā ziņojuma „Rīcības plāns elektroenerģijas kopējās cenas pieauguma risku ierobežošanai” (TA-683, prot. Nr.18, 35. §) 1. pielikuma „Plānotā rīcība elektroenerģijas kopējas cenas pieauguma risku ierobežošanai” (turpmāk – Rīcības plāns) 4.</w:t>
            </w:r>
            <w:r w:rsidR="0001793A">
              <w:t> </w:t>
            </w:r>
            <w:r w:rsidRPr="00A02ACA">
              <w:t>punktā paredzētajiem pasākumiem par atsevišķu vēja elektrostaciju un hidroelektrostaciju atbalsta intensitātes un perioda izvērtēšanu elektroenerģijas kopējās cenas pieauguma risku ierobežošanai, kā arī uz Ministri kabineta 2013.</w:t>
            </w:r>
            <w:r w:rsidR="0001793A">
              <w:t> </w:t>
            </w:r>
            <w:r w:rsidRPr="00A02ACA">
              <w:t>gada 13.</w:t>
            </w:r>
            <w:r w:rsidR="0001793A">
              <w:t> </w:t>
            </w:r>
            <w:r w:rsidRPr="00A02ACA">
              <w:t>augusta sēdē izskatītā informatīvā ziņojumā „Komplekss risinājums elektroenerģijas tirgus problemātikai” (TA-2089, prot. Nr.44, 156. §) ietvertajiem un Ministru kabinetā atbalstītajiem risinājumiem, kas cita starpā paredzēja publiskā tirgotāja funkciju pildītāja maiņu un publiskā tirgotāja pienākumu maiņu.</w:t>
            </w:r>
          </w:p>
        </w:tc>
      </w:tr>
      <w:tr w:rsidR="0008549E" w:rsidRPr="00A02ACA" w:rsidTr="007F0246">
        <w:trPr>
          <w:trHeight w:val="465"/>
        </w:trPr>
        <w:tc>
          <w:tcPr>
            <w:tcW w:w="133" w:type="pct"/>
            <w:tcBorders>
              <w:top w:val="outset" w:sz="6" w:space="0" w:color="414142"/>
              <w:left w:val="outset" w:sz="6" w:space="0" w:color="414142"/>
              <w:bottom w:val="outset" w:sz="6" w:space="0" w:color="414142"/>
              <w:right w:val="outset" w:sz="6" w:space="0" w:color="414142"/>
            </w:tcBorders>
            <w:hideMark/>
          </w:tcPr>
          <w:p w:rsidR="0008549E" w:rsidRPr="00A02ACA" w:rsidRDefault="0008549E" w:rsidP="00F621BF">
            <w:pPr>
              <w:spacing w:before="100" w:beforeAutospacing="1" w:after="100" w:afterAutospacing="1" w:line="360" w:lineRule="auto"/>
              <w:jc w:val="center"/>
            </w:pPr>
            <w:r w:rsidRPr="00A02ACA">
              <w:t>2.</w:t>
            </w:r>
          </w:p>
        </w:tc>
        <w:tc>
          <w:tcPr>
            <w:tcW w:w="1434" w:type="pct"/>
            <w:tcBorders>
              <w:top w:val="outset" w:sz="6" w:space="0" w:color="414142"/>
              <w:left w:val="outset" w:sz="6" w:space="0" w:color="414142"/>
              <w:bottom w:val="outset" w:sz="6" w:space="0" w:color="414142"/>
              <w:right w:val="outset" w:sz="6" w:space="0" w:color="414142"/>
            </w:tcBorders>
            <w:hideMark/>
          </w:tcPr>
          <w:p w:rsidR="0008549E" w:rsidRPr="00A02ACA" w:rsidRDefault="0008549E" w:rsidP="00D07F03">
            <w:r w:rsidRPr="00A02ACA">
              <w:t>Pašreizējā situācija un problēmas, kuru risināšanai tiesību akta projekts izstrādāts, tiesiskā regulējuma mērķis un būtība</w:t>
            </w:r>
          </w:p>
        </w:tc>
        <w:tc>
          <w:tcPr>
            <w:tcW w:w="3433" w:type="pct"/>
            <w:tcBorders>
              <w:top w:val="outset" w:sz="6" w:space="0" w:color="414142"/>
              <w:left w:val="outset" w:sz="6" w:space="0" w:color="414142"/>
              <w:bottom w:val="outset" w:sz="6" w:space="0" w:color="414142"/>
              <w:right w:val="outset" w:sz="6" w:space="0" w:color="414142"/>
            </w:tcBorders>
            <w:hideMark/>
          </w:tcPr>
          <w:p w:rsidR="00D66C4C" w:rsidRPr="00790E9C" w:rsidRDefault="00D66C4C" w:rsidP="00C367BF">
            <w:pPr>
              <w:pStyle w:val="naislab"/>
              <w:spacing w:before="0" w:after="0"/>
              <w:ind w:firstLine="340"/>
              <w:jc w:val="both"/>
              <w:rPr>
                <w:color w:val="000000"/>
              </w:rPr>
            </w:pPr>
            <w:r w:rsidRPr="00790E9C">
              <w:rPr>
                <w:color w:val="000000"/>
              </w:rPr>
              <w:t>Eiropas Komisijas 2013. gada 24. janvāra argumentētais atzinums pārkāpuma procedūras lietā Nr.2011/0261 nosaka, ka valsts tiesību aktos vēl nav transponēti  Eiropas Parlamenta un Padomes 2009. gada 23. aprīļa Direktīvas 2009/28/EK par atjaunojamo energoresursu izmantošanas veicināšanu un ar ko groza un sekojoši atceļ Direktīvas 2001/77/EK un 2003/30/EK (turpmāk - Direktīva 2009/28/EK) 2.</w:t>
            </w:r>
            <w:r w:rsidR="0001793A" w:rsidRPr="00790E9C">
              <w:rPr>
                <w:color w:val="000000"/>
              </w:rPr>
              <w:t> </w:t>
            </w:r>
            <w:r w:rsidRPr="00790E9C">
              <w:rPr>
                <w:color w:val="000000"/>
              </w:rPr>
              <w:t>panta j) daļas noteikumi, t.i. nav izcelsmes apliecinājuma definīcijas.  Pārējās  Direktīvas 2009/28/EK 2.panta j) daļas  prasības pārņemtas šādos normatīvajos aktos:</w:t>
            </w:r>
          </w:p>
          <w:p w:rsidR="00D66C4C" w:rsidRPr="00790E9C" w:rsidRDefault="00D66C4C" w:rsidP="00C367BF">
            <w:pPr>
              <w:pStyle w:val="naislab"/>
              <w:numPr>
                <w:ilvl w:val="0"/>
                <w:numId w:val="36"/>
              </w:numPr>
              <w:spacing w:before="0" w:after="0"/>
              <w:jc w:val="both"/>
              <w:rPr>
                <w:color w:val="000000"/>
              </w:rPr>
            </w:pPr>
            <w:r w:rsidRPr="00790E9C">
              <w:rPr>
                <w:color w:val="000000"/>
              </w:rPr>
              <w:t xml:space="preserve">Elektroenerģijas tirgus likuma </w:t>
            </w:r>
            <w:r w:rsidR="00F96208" w:rsidRPr="00790E9C">
              <w:rPr>
                <w:color w:val="000000"/>
              </w:rPr>
              <w:t xml:space="preserve">(turpmāk – ETL) </w:t>
            </w:r>
            <w:r w:rsidRPr="00790E9C">
              <w:rPr>
                <w:color w:val="000000"/>
              </w:rPr>
              <w:t>29.panta piektā daļa, 29.</w:t>
            </w:r>
            <w:r w:rsidRPr="00790E9C">
              <w:rPr>
                <w:color w:val="000000"/>
                <w:vertAlign w:val="superscript"/>
              </w:rPr>
              <w:t>1</w:t>
            </w:r>
            <w:r w:rsidRPr="00790E9C">
              <w:rPr>
                <w:color w:val="000000"/>
              </w:rPr>
              <w:t xml:space="preserve"> panta piektā daļa, 29.</w:t>
            </w:r>
            <w:r w:rsidRPr="00790E9C">
              <w:rPr>
                <w:color w:val="000000"/>
                <w:vertAlign w:val="superscript"/>
              </w:rPr>
              <w:t xml:space="preserve">2 </w:t>
            </w:r>
            <w:r w:rsidRPr="00790E9C">
              <w:rPr>
                <w:color w:val="000000"/>
              </w:rPr>
              <w:t>pants, 32.panta ceturtā daļa;</w:t>
            </w:r>
            <w:r w:rsidR="00FD2ED7" w:rsidRPr="00790E9C">
              <w:rPr>
                <w:color w:val="000000"/>
              </w:rPr>
              <w:t xml:space="preserve"> </w:t>
            </w:r>
          </w:p>
          <w:p w:rsidR="00D66C4C" w:rsidRPr="00790E9C" w:rsidRDefault="00D66C4C" w:rsidP="00D66C4C">
            <w:pPr>
              <w:pStyle w:val="naislab"/>
              <w:numPr>
                <w:ilvl w:val="0"/>
                <w:numId w:val="36"/>
              </w:numPr>
              <w:spacing w:after="0"/>
              <w:jc w:val="both"/>
              <w:rPr>
                <w:color w:val="000000"/>
              </w:rPr>
            </w:pPr>
            <w:r w:rsidRPr="00790E9C">
              <w:rPr>
                <w:color w:val="000000"/>
              </w:rPr>
              <w:t xml:space="preserve">Ministru kabineta 2011. gada 22. novembra noteikumu </w:t>
            </w:r>
            <w:r w:rsidR="0005379F" w:rsidRPr="00790E9C">
              <w:rPr>
                <w:color w:val="000000"/>
              </w:rPr>
              <w:t>Nr.</w:t>
            </w:r>
            <w:r w:rsidRPr="00790E9C">
              <w:rPr>
                <w:color w:val="000000"/>
              </w:rPr>
              <w:t>900 „Noteikumi par izcelsmes apliecinājuma saņemšanu elektroenerģijai, kas ražota, izmantojot atjaunojamos energoresursus” 1., 2., 3., 4., un 7. punkts;</w:t>
            </w:r>
          </w:p>
          <w:p w:rsidR="00D66C4C" w:rsidRPr="00790E9C" w:rsidRDefault="00D66C4C" w:rsidP="00D66C4C">
            <w:pPr>
              <w:pStyle w:val="naislab"/>
              <w:numPr>
                <w:ilvl w:val="0"/>
                <w:numId w:val="37"/>
              </w:numPr>
              <w:spacing w:before="0" w:after="0"/>
              <w:jc w:val="both"/>
              <w:rPr>
                <w:color w:val="000000"/>
              </w:rPr>
            </w:pPr>
            <w:r w:rsidRPr="00790E9C">
              <w:rPr>
                <w:color w:val="000000"/>
              </w:rPr>
              <w:t>Sabiedrisko pakalpojumu regulēšanas komisijas padomes 2012. gada 8. februāra lēmums Nr.1/2 „Noteikumi par informāciju elektroenerģijas galalietotājiem”.</w:t>
            </w:r>
          </w:p>
          <w:p w:rsidR="00C367BF" w:rsidRPr="00790E9C" w:rsidRDefault="00F96208" w:rsidP="00D66C4C">
            <w:pPr>
              <w:pStyle w:val="naislab"/>
              <w:spacing w:before="0" w:after="0"/>
              <w:ind w:firstLine="340"/>
              <w:jc w:val="both"/>
              <w:rPr>
                <w:color w:val="000000"/>
              </w:rPr>
            </w:pPr>
            <w:r w:rsidRPr="00790E9C">
              <w:rPr>
                <w:color w:val="000000"/>
              </w:rPr>
              <w:t xml:space="preserve">Tā kā enerģijas ražošanas koģenerācijas procesā nav saistīta </w:t>
            </w:r>
            <w:r w:rsidRPr="00790E9C">
              <w:rPr>
                <w:color w:val="000000"/>
              </w:rPr>
              <w:lastRenderedPageBreak/>
              <w:t>tikai ar elektroenerģijas ražošanu termins „koģenerācija” tiek izslēgts no  ETL, lai papildinātu Enerģētikas likumā esošos terminus</w:t>
            </w:r>
            <w:r w:rsidR="008E772C" w:rsidRPr="00790E9C">
              <w:rPr>
                <w:color w:val="000000"/>
              </w:rPr>
              <w:t>.</w:t>
            </w:r>
          </w:p>
          <w:p w:rsidR="00DD1D28" w:rsidRPr="00E84716" w:rsidRDefault="00DD1D28" w:rsidP="00D66C4C">
            <w:pPr>
              <w:pStyle w:val="naislab"/>
              <w:spacing w:before="0" w:after="0"/>
              <w:ind w:firstLine="340"/>
              <w:jc w:val="both"/>
            </w:pPr>
            <w:r w:rsidRPr="00790E9C">
              <w:rPr>
                <w:color w:val="000000"/>
              </w:rPr>
              <w:t>Saskaņā ar</w:t>
            </w:r>
            <w:r w:rsidR="004C3D0C" w:rsidRPr="00790E9C">
              <w:rPr>
                <w:color w:val="000000"/>
              </w:rPr>
              <w:t xml:space="preserve"> </w:t>
            </w:r>
            <w:r w:rsidR="00BC4015" w:rsidRPr="00790E9C">
              <w:rPr>
                <w:color w:val="000000"/>
              </w:rPr>
              <w:t xml:space="preserve">Ministru kabineta 2009.gada 10.marta noteikumu Nr.221 „Noteikumi par </w:t>
            </w:r>
            <w:r w:rsidR="00A02ACA" w:rsidRPr="00790E9C">
              <w:rPr>
                <w:color w:val="000000"/>
              </w:rPr>
              <w:t>elektroenerģijas</w:t>
            </w:r>
            <w:r w:rsidR="00BC4015" w:rsidRPr="00790E9C">
              <w:rPr>
                <w:color w:val="000000"/>
              </w:rPr>
              <w:t xml:space="preserve"> ra</w:t>
            </w:r>
            <w:r w:rsidR="00A02ACA" w:rsidRPr="00790E9C">
              <w:rPr>
                <w:color w:val="000000"/>
              </w:rPr>
              <w:t>žo</w:t>
            </w:r>
            <w:r w:rsidR="00BC4015" w:rsidRPr="00790E9C">
              <w:rPr>
                <w:color w:val="000000"/>
              </w:rPr>
              <w:t xml:space="preserve">šanu un cenu noteikšanu, ražojot elektroenerģiju koģenerācijā” </w:t>
            </w:r>
            <w:r w:rsidR="0018369B" w:rsidRPr="00790E9C">
              <w:rPr>
                <w:color w:val="000000"/>
              </w:rPr>
              <w:t xml:space="preserve">(turpmāk – MK noteikumi Nr.221) </w:t>
            </w:r>
            <w:r w:rsidR="00BC4015" w:rsidRPr="00790E9C">
              <w:rPr>
                <w:color w:val="000000"/>
              </w:rPr>
              <w:t>34.punktā</w:t>
            </w:r>
            <w:r w:rsidR="004C3D0C" w:rsidRPr="00790E9C">
              <w:rPr>
                <w:color w:val="000000"/>
              </w:rPr>
              <w:t xml:space="preserve">, </w:t>
            </w:r>
            <w:r w:rsidR="00BC4015" w:rsidRPr="00790E9C">
              <w:rPr>
                <w:color w:val="000000"/>
              </w:rPr>
              <w:t xml:space="preserve"> Ministru kabineta 2009.gada 16.marta noteikum</w:t>
            </w:r>
            <w:r w:rsidR="004C3D0C" w:rsidRPr="00790E9C">
              <w:rPr>
                <w:color w:val="000000"/>
              </w:rPr>
              <w:t>u</w:t>
            </w:r>
            <w:r w:rsidR="00BC4015" w:rsidRPr="00790E9C">
              <w:rPr>
                <w:color w:val="000000"/>
              </w:rPr>
              <w:t xml:space="preserve"> Nr.262 „Noteikumi par elektroenerģijas ražošanu, izmantojot atjaunojamos energoresursus, un cenu noteikšana kārtību”</w:t>
            </w:r>
            <w:r w:rsidR="004C3D0C" w:rsidRPr="00790E9C">
              <w:rPr>
                <w:color w:val="000000"/>
              </w:rPr>
              <w:t xml:space="preserve"> </w:t>
            </w:r>
            <w:r w:rsidR="0018369B" w:rsidRPr="00790E9C">
              <w:rPr>
                <w:color w:val="000000"/>
              </w:rPr>
              <w:t xml:space="preserve">(turpmāk – MK noteikumi Nr.262) </w:t>
            </w:r>
            <w:r w:rsidR="004C3D0C" w:rsidRPr="00790E9C">
              <w:rPr>
                <w:color w:val="000000"/>
              </w:rPr>
              <w:t>59.punktā un Ministru kabineta 2014.</w:t>
            </w:r>
            <w:r w:rsidR="0001793A" w:rsidRPr="00790E9C">
              <w:rPr>
                <w:color w:val="000000"/>
              </w:rPr>
              <w:t> </w:t>
            </w:r>
            <w:r w:rsidR="004C3D0C" w:rsidRPr="00790E9C">
              <w:rPr>
                <w:color w:val="000000"/>
              </w:rPr>
              <w:t xml:space="preserve">gada </w:t>
            </w:r>
            <w:r w:rsidR="00790E9C" w:rsidRPr="00790E9C">
              <w:rPr>
                <w:color w:val="000000"/>
              </w:rPr>
              <w:t>21</w:t>
            </w:r>
            <w:r w:rsidR="004C3D0C" w:rsidRPr="00790E9C">
              <w:rPr>
                <w:color w:val="000000"/>
              </w:rPr>
              <w:t>.</w:t>
            </w:r>
            <w:r w:rsidR="0001793A" w:rsidRPr="00790E9C">
              <w:rPr>
                <w:color w:val="000000"/>
              </w:rPr>
              <w:t> </w:t>
            </w:r>
            <w:r w:rsidR="004C3D0C" w:rsidRPr="00790E9C">
              <w:rPr>
                <w:color w:val="000000"/>
              </w:rPr>
              <w:t xml:space="preserve">janvāra noteikumu </w:t>
            </w:r>
            <w:r w:rsidR="00790E9C" w:rsidRPr="00790E9C">
              <w:rPr>
                <w:color w:val="000000"/>
              </w:rPr>
              <w:t xml:space="preserve">Nr.50 </w:t>
            </w:r>
            <w:r w:rsidR="004C3D0C" w:rsidRPr="00C35B73">
              <w:t>„</w:t>
            </w:r>
            <w:r w:rsidR="00A02ACA" w:rsidRPr="00C35B73">
              <w:t>Elektroenerģijas</w:t>
            </w:r>
            <w:r w:rsidR="004C3D0C" w:rsidRPr="00C35B73">
              <w:t xml:space="preserve"> tirdzniecības un lietošanas noteikumi” </w:t>
            </w:r>
            <w:r w:rsidR="00790E9C" w:rsidRPr="00C35B73">
              <w:t xml:space="preserve">(turpmāk – MK noteikumi Nr.50) </w:t>
            </w:r>
            <w:r w:rsidR="004C3D0C" w:rsidRPr="00C35B73">
              <w:t xml:space="preserve">105.punktā </w:t>
            </w:r>
            <w:r w:rsidR="00A02ACA" w:rsidRPr="00C35B73">
              <w:t>noteikto</w:t>
            </w:r>
            <w:r w:rsidR="00D745C6" w:rsidRPr="00C35B73">
              <w:t xml:space="preserve"> </w:t>
            </w:r>
            <w:r w:rsidRPr="00C35B73">
              <w:t xml:space="preserve">pārvades sistēmas operators </w:t>
            </w:r>
            <w:r w:rsidR="004C3D0C" w:rsidRPr="00C35B73">
              <w:t xml:space="preserve"> -</w:t>
            </w:r>
            <w:r w:rsidR="00F410A8" w:rsidRPr="00C35B73">
              <w:t xml:space="preserve"> </w:t>
            </w:r>
            <w:r w:rsidR="004C3D0C" w:rsidRPr="00C35B73">
              <w:t>AS</w:t>
            </w:r>
            <w:r w:rsidRPr="00C35B73">
              <w:t xml:space="preserve"> „Augstsprieguma tīkls”, ir iesaistīt</w:t>
            </w:r>
            <w:r w:rsidR="00D745C6" w:rsidRPr="00C35B73">
              <w:t>s</w:t>
            </w:r>
            <w:r w:rsidRPr="00C35B73">
              <w:t xml:space="preserve"> obligātās iepirkumu komponentes (turpmāk – OIK) iekasēšanā no elektroenerģijas pārvades sistēmai pieslēgtajiem lietotājiem</w:t>
            </w:r>
            <w:r w:rsidR="00E71807" w:rsidRPr="00C35B73">
              <w:t>,</w:t>
            </w:r>
            <w:r w:rsidRPr="00C35B73">
              <w:t xml:space="preserve"> un pārvades sistēmas operatoram ir </w:t>
            </w:r>
            <w:r w:rsidR="004C3D0C" w:rsidRPr="00C35B73">
              <w:t xml:space="preserve"> noteikts </w:t>
            </w:r>
            <w:r w:rsidRPr="00C35B73">
              <w:t xml:space="preserve">pienākums norēķināties ar publisko tirgotāju par lietotāju elektroenerģijas patēriņam atbilstošajām </w:t>
            </w:r>
            <w:r w:rsidR="00D745C6" w:rsidRPr="00C35B73">
              <w:t>OIK</w:t>
            </w:r>
            <w:r w:rsidRPr="00C35B73">
              <w:t xml:space="preserve"> neatkarīgi no tā, vai maksājums no elektro</w:t>
            </w:r>
            <w:r w:rsidR="00D745C6" w:rsidRPr="00C35B73">
              <w:t>enerģijas lietotāja ir saņemts. T</w:t>
            </w:r>
            <w:r w:rsidRPr="00C35B73">
              <w:t>as savukārt rada papildus finanšu risku un tādējādi var apdraudēt pārvades sistēmas operatora</w:t>
            </w:r>
            <w:r w:rsidR="000977A3" w:rsidRPr="00C35B73">
              <w:t xml:space="preserve"> finansiālo </w:t>
            </w:r>
            <w:r w:rsidR="00A02ACA" w:rsidRPr="00C35B73">
              <w:t>stabilitāti</w:t>
            </w:r>
            <w:r w:rsidR="000977A3" w:rsidRPr="00C35B73">
              <w:t xml:space="preserve"> un</w:t>
            </w:r>
            <w:r w:rsidRPr="00C35B73">
              <w:t xml:space="preserve"> likumā noteikto funkcij</w:t>
            </w:r>
            <w:r w:rsidR="00D745C6" w:rsidRPr="00C35B73">
              <w:t xml:space="preserve">u sekmīgu un neatkarīgu izpildi, attiecīgi radot </w:t>
            </w:r>
            <w:r w:rsidR="000977A3" w:rsidRPr="00C35B73">
              <w:t>energoapgādes drošības riskus. Likumproj</w:t>
            </w:r>
            <w:r w:rsidR="004C3D0C" w:rsidRPr="00C35B73">
              <w:t>ekt</w:t>
            </w:r>
            <w:r w:rsidR="00FD2ED7" w:rsidRPr="00C35B73">
              <w:t xml:space="preserve">ā, precizējot </w:t>
            </w:r>
            <w:r w:rsidR="0018369B" w:rsidRPr="00C35B73">
              <w:t xml:space="preserve">regulējumu attiecībā uz pārvades sistēmas pakalpojumu tarifu, </w:t>
            </w:r>
            <w:r w:rsidR="000977A3" w:rsidRPr="00C35B73">
              <w:t xml:space="preserve">Sabiedrisko pakalpojumu regulēšanas komisijai </w:t>
            </w:r>
            <w:r w:rsidR="0018369B" w:rsidRPr="00C35B73">
              <w:t xml:space="preserve">tiek dotas </w:t>
            </w:r>
            <w:r w:rsidR="000977A3" w:rsidRPr="00C35B73">
              <w:t>tiesības iekļaut elektroenerģijas pārvades sistēmas pakalpojumu tarifos izmaksas, kas saistītas ar obligātās iepirkumu komponentes iekasēšanu, administrēšanu un norēķināšanās pienākuma izpildi ar publisko tirgotāju</w:t>
            </w:r>
            <w:r w:rsidR="00F410A8" w:rsidRPr="00C35B73">
              <w:t>.</w:t>
            </w:r>
          </w:p>
          <w:p w:rsidR="00E84716" w:rsidRPr="00790E9C" w:rsidRDefault="00E84716" w:rsidP="00E84716">
            <w:pPr>
              <w:pStyle w:val="naislab"/>
              <w:ind w:firstLine="340"/>
              <w:jc w:val="both"/>
              <w:rPr>
                <w:color w:val="000000"/>
              </w:rPr>
            </w:pPr>
            <w:r w:rsidRPr="00790E9C">
              <w:rPr>
                <w:color w:val="000000"/>
              </w:rPr>
              <w:t>AS</w:t>
            </w:r>
            <w:r w:rsidR="00790E9C" w:rsidRPr="00790E9C">
              <w:rPr>
                <w:color w:val="000000"/>
              </w:rPr>
              <w:t xml:space="preserve"> „Augstsprieguma tīkls” </w:t>
            </w:r>
            <w:r w:rsidRPr="00790E9C">
              <w:rPr>
                <w:color w:val="000000"/>
              </w:rPr>
              <w:t xml:space="preserve"> apgrozījums, kas saistīts ar MK noteikumu Nr.50 105.punktā noteikto pienākumu izpildi -  OIK iekasēšanu no visiem elektroenerģijas galalietotājiem, gadā veido orientējoši 7 200 </w:t>
            </w:r>
            <w:proofErr w:type="spellStart"/>
            <w:r w:rsidRPr="00790E9C">
              <w:rPr>
                <w:color w:val="000000"/>
              </w:rPr>
              <w:t>tūkst</w:t>
            </w:r>
            <w:proofErr w:type="spellEnd"/>
            <w:r w:rsidRPr="00790E9C">
              <w:rPr>
                <w:color w:val="000000"/>
              </w:rPr>
              <w:t>.</w:t>
            </w:r>
            <w:r w:rsidR="00C35B73">
              <w:rPr>
                <w:color w:val="000000"/>
              </w:rPr>
              <w:t xml:space="preserve"> </w:t>
            </w:r>
            <w:r w:rsidRPr="00790E9C">
              <w:rPr>
                <w:color w:val="000000"/>
              </w:rPr>
              <w:t xml:space="preserve">EUR (600 </w:t>
            </w:r>
            <w:proofErr w:type="spellStart"/>
            <w:r w:rsidRPr="00790E9C">
              <w:rPr>
                <w:color w:val="000000"/>
              </w:rPr>
              <w:t>tūkst</w:t>
            </w:r>
            <w:proofErr w:type="spellEnd"/>
            <w:r w:rsidRPr="00790E9C">
              <w:rPr>
                <w:color w:val="000000"/>
              </w:rPr>
              <w:t>.</w:t>
            </w:r>
            <w:r w:rsidR="00C35B73">
              <w:rPr>
                <w:color w:val="000000"/>
              </w:rPr>
              <w:t xml:space="preserve"> </w:t>
            </w:r>
            <w:r w:rsidRPr="00790E9C">
              <w:rPr>
                <w:color w:val="000000"/>
              </w:rPr>
              <w:t xml:space="preserve">EUR mēnesī). </w:t>
            </w:r>
          </w:p>
          <w:p w:rsidR="00E84716" w:rsidRPr="00790E9C" w:rsidRDefault="00E84716" w:rsidP="00E84716">
            <w:pPr>
              <w:pStyle w:val="naislab"/>
              <w:ind w:firstLine="340"/>
              <w:jc w:val="both"/>
              <w:rPr>
                <w:color w:val="000000"/>
              </w:rPr>
            </w:pPr>
            <w:r w:rsidRPr="00790E9C">
              <w:rPr>
                <w:color w:val="000000"/>
              </w:rPr>
              <w:t>Līdz šim AS</w:t>
            </w:r>
            <w:r w:rsidR="00790E9C" w:rsidRPr="00790E9C">
              <w:rPr>
                <w:color w:val="000000"/>
              </w:rPr>
              <w:t xml:space="preserve"> „Augstsprieguma tīkls”</w:t>
            </w:r>
            <w:r w:rsidRPr="00790E9C">
              <w:rPr>
                <w:color w:val="000000"/>
              </w:rPr>
              <w:t xml:space="preserve"> ir saņēmis visus OIK maksājumus no </w:t>
            </w:r>
            <w:r w:rsidR="00790E9C" w:rsidRPr="00790E9C">
              <w:rPr>
                <w:color w:val="000000"/>
              </w:rPr>
              <w:t xml:space="preserve">tiem </w:t>
            </w:r>
            <w:r w:rsidRPr="00790E9C">
              <w:rPr>
                <w:color w:val="000000"/>
              </w:rPr>
              <w:t xml:space="preserve">elektroenerģijas galalietotājiem, </w:t>
            </w:r>
            <w:r w:rsidR="00790E9C" w:rsidRPr="00790E9C">
              <w:rPr>
                <w:color w:val="000000"/>
              </w:rPr>
              <w:t xml:space="preserve">kuri nav deleģējuši </w:t>
            </w:r>
            <w:r w:rsidR="008D1DB8" w:rsidRPr="00790E9C">
              <w:rPr>
                <w:color w:val="000000"/>
              </w:rPr>
              <w:t xml:space="preserve">norēķinus </w:t>
            </w:r>
            <w:r w:rsidR="00790E9C" w:rsidRPr="00790E9C">
              <w:rPr>
                <w:color w:val="000000"/>
              </w:rPr>
              <w:t xml:space="preserve">elektroenerģijas tirgotājiem, </w:t>
            </w:r>
            <w:r w:rsidRPr="00790E9C">
              <w:rPr>
                <w:color w:val="000000"/>
              </w:rPr>
              <w:t>tādējādi AS</w:t>
            </w:r>
            <w:r w:rsidR="00790E9C" w:rsidRPr="00790E9C">
              <w:rPr>
                <w:color w:val="000000"/>
              </w:rPr>
              <w:t xml:space="preserve"> „Augstsprieguma tīkls”</w:t>
            </w:r>
            <w:r w:rsidRPr="00790E9C">
              <w:rPr>
                <w:color w:val="000000"/>
              </w:rPr>
              <w:t xml:space="preserve"> nav radušās papildu izmaksas, kas saistītas ar normatīvajos </w:t>
            </w:r>
            <w:r w:rsidR="00EE30EE">
              <w:rPr>
                <w:color w:val="000000"/>
              </w:rPr>
              <w:t>aktos</w:t>
            </w:r>
            <w:r w:rsidRPr="00790E9C">
              <w:rPr>
                <w:color w:val="000000"/>
              </w:rPr>
              <w:t xml:space="preserve"> noteikto pienākumu izpildi, un tieša ietekme uz elektroenerģijas pārvades sistēmas pakalpojumu tarifiem nav bijusi.</w:t>
            </w:r>
          </w:p>
          <w:p w:rsidR="00E84716" w:rsidRPr="00790E9C" w:rsidRDefault="00E84716" w:rsidP="00E84716">
            <w:pPr>
              <w:pStyle w:val="naislab"/>
              <w:ind w:firstLine="340"/>
              <w:jc w:val="both"/>
              <w:rPr>
                <w:color w:val="000000"/>
              </w:rPr>
            </w:pPr>
            <w:r w:rsidRPr="00790E9C">
              <w:rPr>
                <w:color w:val="000000"/>
              </w:rPr>
              <w:t>Tomēr, izvērtējot AS</w:t>
            </w:r>
            <w:r w:rsidR="00790E9C" w:rsidRPr="00790E9C">
              <w:rPr>
                <w:color w:val="000000"/>
              </w:rPr>
              <w:t xml:space="preserve"> „Augstsprieguma tīkls”</w:t>
            </w:r>
            <w:r w:rsidRPr="00790E9C">
              <w:rPr>
                <w:color w:val="000000"/>
              </w:rPr>
              <w:t xml:space="preserve"> administrējamā OIK apjomu, kā arī AS</w:t>
            </w:r>
            <w:r w:rsidR="00790E9C" w:rsidRPr="00790E9C">
              <w:rPr>
                <w:color w:val="000000"/>
              </w:rPr>
              <w:t xml:space="preserve"> „Augstsprieguma tīkls”</w:t>
            </w:r>
            <w:r w:rsidRPr="00790E9C">
              <w:rPr>
                <w:color w:val="000000"/>
              </w:rPr>
              <w:t xml:space="preserve"> pamatkapitāla apjomu 5 691 </w:t>
            </w:r>
            <w:proofErr w:type="spellStart"/>
            <w:r w:rsidRPr="00790E9C">
              <w:rPr>
                <w:color w:val="000000"/>
              </w:rPr>
              <w:t>tūkst</w:t>
            </w:r>
            <w:proofErr w:type="spellEnd"/>
            <w:r w:rsidRPr="00790E9C">
              <w:rPr>
                <w:color w:val="000000"/>
              </w:rPr>
              <w:t>.</w:t>
            </w:r>
            <w:r w:rsidR="00EE30EE">
              <w:rPr>
                <w:color w:val="000000"/>
              </w:rPr>
              <w:t xml:space="preserve"> </w:t>
            </w:r>
            <w:r w:rsidRPr="00790E9C">
              <w:rPr>
                <w:color w:val="000000"/>
              </w:rPr>
              <w:t>EUR, secināms, ka minēto pienākumu izpilde var radīt AS</w:t>
            </w:r>
            <w:r w:rsidR="00790E9C" w:rsidRPr="00790E9C">
              <w:rPr>
                <w:color w:val="000000"/>
              </w:rPr>
              <w:t xml:space="preserve"> „Augstsprieguma tīkls”</w:t>
            </w:r>
            <w:r w:rsidRPr="00790E9C">
              <w:rPr>
                <w:color w:val="000000"/>
              </w:rPr>
              <w:t xml:space="preserve"> finanšu risku</w:t>
            </w:r>
            <w:r w:rsidR="00EE30EE">
              <w:rPr>
                <w:color w:val="000000"/>
              </w:rPr>
              <w:t>s, no kuriem kā būtiskākais mina</w:t>
            </w:r>
            <w:r w:rsidRPr="00790E9C">
              <w:rPr>
                <w:color w:val="000000"/>
              </w:rPr>
              <w:t>ms debitoru risks.</w:t>
            </w:r>
          </w:p>
          <w:p w:rsidR="00E84716" w:rsidRPr="00790E9C" w:rsidRDefault="00E84716" w:rsidP="00E84716">
            <w:pPr>
              <w:pStyle w:val="naislab"/>
              <w:ind w:firstLine="340"/>
              <w:jc w:val="both"/>
              <w:rPr>
                <w:color w:val="000000"/>
              </w:rPr>
            </w:pPr>
            <w:r w:rsidRPr="00790E9C">
              <w:rPr>
                <w:color w:val="000000"/>
              </w:rPr>
              <w:t>Likumprojektā ietvertie grozījumi ietekmi uz elektroenerģijas pārvades sistēmas pakalpojumu tarifiem atstātu gadījumā, ja kāds no elektroenerģijas galalietotājiem neveiktu OIK maksājumus AS</w:t>
            </w:r>
            <w:r w:rsidR="00790E9C" w:rsidRPr="00790E9C">
              <w:rPr>
                <w:color w:val="000000"/>
              </w:rPr>
              <w:t xml:space="preserve"> „Augstsprieguma tīkls”</w:t>
            </w:r>
            <w:r w:rsidRPr="00790E9C">
              <w:rPr>
                <w:color w:val="000000"/>
              </w:rPr>
              <w:t xml:space="preserve">, šādā gadījumā </w:t>
            </w:r>
            <w:r w:rsidRPr="00790E9C">
              <w:rPr>
                <w:color w:val="000000"/>
              </w:rPr>
              <w:lastRenderedPageBreak/>
              <w:t>pārvadītās elektroenerģijas vienības cenas pieaugums vērtējams orientējoši 1% apjomā.</w:t>
            </w:r>
          </w:p>
          <w:p w:rsidR="00E84716" w:rsidRPr="00790E9C" w:rsidRDefault="00E84716" w:rsidP="00E84716">
            <w:pPr>
              <w:pStyle w:val="naislab"/>
              <w:spacing w:before="0" w:after="0"/>
              <w:ind w:firstLine="340"/>
              <w:jc w:val="both"/>
              <w:rPr>
                <w:color w:val="000000"/>
              </w:rPr>
            </w:pPr>
            <w:r w:rsidRPr="00790E9C">
              <w:rPr>
                <w:color w:val="000000"/>
              </w:rPr>
              <w:t>Ievērojot to, ka elektroenerģijas pārvades sistēmas pakalpojumu tarifi kopējā elektroenerģijas gala cenā, kura veidojas no elektroenerģijas cenas un sistēmas pakalpojumiem (pārvades un sadales) neveido būtisku daļu (orientējoši 10%), ierosinātie grozījum</w:t>
            </w:r>
            <w:r w:rsidR="00EE30EE">
              <w:rPr>
                <w:color w:val="000000"/>
              </w:rPr>
              <w:t>i</w:t>
            </w:r>
            <w:r w:rsidRPr="00790E9C">
              <w:rPr>
                <w:color w:val="000000"/>
              </w:rPr>
              <w:t xml:space="preserve"> </w:t>
            </w:r>
            <w:r w:rsidR="00EE30EE">
              <w:rPr>
                <w:color w:val="000000"/>
              </w:rPr>
              <w:t>ETL</w:t>
            </w:r>
            <w:r w:rsidRPr="00790E9C">
              <w:rPr>
                <w:color w:val="000000"/>
              </w:rPr>
              <w:t xml:space="preserve"> neatstātu būtisku ietekmi uz elektroenerģijas gala tarifiem</w:t>
            </w:r>
            <w:r w:rsidR="00330A42" w:rsidRPr="00790E9C">
              <w:rPr>
                <w:color w:val="000000"/>
              </w:rPr>
              <w:t>, vienlaikus nodrošinot AS</w:t>
            </w:r>
            <w:r w:rsidR="00790E9C" w:rsidRPr="00790E9C">
              <w:rPr>
                <w:color w:val="000000"/>
              </w:rPr>
              <w:t xml:space="preserve"> „Augstsprieguma tīkls”</w:t>
            </w:r>
            <w:r w:rsidR="00330A42" w:rsidRPr="00790E9C">
              <w:rPr>
                <w:color w:val="000000"/>
              </w:rPr>
              <w:t xml:space="preserve"> stabilitāti.</w:t>
            </w:r>
          </w:p>
          <w:p w:rsidR="008E772C" w:rsidRPr="00790E9C" w:rsidRDefault="008E772C" w:rsidP="008E772C">
            <w:pPr>
              <w:pStyle w:val="naislab"/>
              <w:spacing w:before="0" w:after="0"/>
              <w:ind w:firstLine="340"/>
              <w:jc w:val="both"/>
              <w:rPr>
                <w:color w:val="000000"/>
              </w:rPr>
            </w:pPr>
            <w:r w:rsidRPr="00790E9C">
              <w:rPr>
                <w:color w:val="000000"/>
              </w:rPr>
              <w:t>2013. gada 6. un 7. novembra ārkārtas sēdē Saeima pieņēma likumu „Grozījumu Elektroenerģijas tirgus likumā” (turpmāk – Likums). Likuma 11. pantā paredzēto ETL pārejas noteikumu 36. punktā ir noteikts, ka no 2014. gada 1. aprīļa publiskā tirgotāja pienākumus pilda komersanta, kuram 2014. gada 31. martā ir spēkā esoša elektroenerģijas tirdzniecības licence, meitas sabiedrība, kas reģistrēta elektroenerģijas tirgotāju reģistrā. Tā kā Likums neparedz grozījumus ETL 32. un 32.</w:t>
            </w:r>
            <w:r w:rsidRPr="00790E9C">
              <w:rPr>
                <w:color w:val="000000"/>
                <w:vertAlign w:val="superscript"/>
              </w:rPr>
              <w:t>1</w:t>
            </w:r>
            <w:r w:rsidRPr="00790E9C">
              <w:rPr>
                <w:color w:val="000000"/>
              </w:rPr>
              <w:t xml:space="preserve">  pantā, kuros noteiktas prasības attiecībā uz publiskā tirgotāja licencēšanu, pašreizējais regulējums attiecībā uz publisko tirgotāju paredz, ka tā darbība vienlaikus tiek gan licencēta, gan reģistrēta. </w:t>
            </w:r>
          </w:p>
          <w:p w:rsidR="008E772C" w:rsidRPr="00790E9C" w:rsidRDefault="008E772C" w:rsidP="008E772C">
            <w:pPr>
              <w:ind w:firstLine="340"/>
              <w:jc w:val="both"/>
              <w:rPr>
                <w:color w:val="000000"/>
              </w:rPr>
            </w:pPr>
            <w:r w:rsidRPr="00790E9C">
              <w:rPr>
                <w:color w:val="000000"/>
              </w:rPr>
              <w:t>Turklāt publiskā tirgotāja darbības regulējums paredz tam tādas pašas elektroenerģijas tirdzniecības iespējas kā pārējiem elektroenerģijas tirgotājiem. Tas rada nevienlīdzīgas konkurences riskus, jo, lai novērstu obligātā iepirkuma komponentes maksājumu pieaugumu, atbilstoši likumam „Par valsts budžetu 2014. gadam” paredzēta valsts budžeta mērķdotācijas piešķiršana publiskajam tirgotājam.</w:t>
            </w:r>
          </w:p>
          <w:p w:rsidR="008E772C" w:rsidRPr="00790E9C" w:rsidRDefault="008E772C" w:rsidP="008E772C">
            <w:pPr>
              <w:ind w:firstLine="340"/>
              <w:jc w:val="both"/>
              <w:rPr>
                <w:color w:val="000000"/>
              </w:rPr>
            </w:pPr>
            <w:r w:rsidRPr="00790E9C">
              <w:rPr>
                <w:color w:val="000000"/>
              </w:rPr>
              <w:t>Likumprojekts, precizējot publiskā tirgotāja termina skaidrojumu, izslēdzot 32. panta otro daļu, kurā noteikta publiskā tirgotāja licencēšanas kārtība, un  precizējot 32.</w:t>
            </w:r>
            <w:r w:rsidRPr="00790E9C">
              <w:rPr>
                <w:color w:val="000000"/>
                <w:vertAlign w:val="superscript"/>
              </w:rPr>
              <w:t>1 </w:t>
            </w:r>
            <w:r w:rsidRPr="00790E9C">
              <w:rPr>
                <w:color w:val="000000"/>
              </w:rPr>
              <w:t xml:space="preserve">panta  pirmo daļu, nosakot, ka publiskais tirgotājs var uzsākt elektroenerģijas tirdzniecību, ja tas reģistrēts elektroenerģijas tirgotāju reģistrā, novērš situāciju, kad sabiedrisko pakalpojumu sniedzēja darbība tiek  vienlaikus regulēta divējādi. </w:t>
            </w:r>
          </w:p>
          <w:p w:rsidR="008E772C" w:rsidRPr="00A02ACA" w:rsidRDefault="008E772C" w:rsidP="008E772C">
            <w:pPr>
              <w:ind w:firstLine="340"/>
              <w:jc w:val="both"/>
            </w:pPr>
            <w:r w:rsidRPr="00790E9C">
              <w:rPr>
                <w:color w:val="000000"/>
              </w:rPr>
              <w:t>Likumprojekts precīzi nosaka publiskā tirgotāja tirdzniecības iespējas, tas ir, paredz, ka tas iepērk un pārdot tikai obligātā iepirkuma ietvaros saražoto elektroenerģiju</w:t>
            </w:r>
            <w:r w:rsidR="00982611">
              <w:rPr>
                <w:color w:val="000000"/>
              </w:rPr>
              <w:t>.</w:t>
            </w:r>
            <w:r w:rsidR="00982611" w:rsidRPr="00790E9C">
              <w:rPr>
                <w:color w:val="000000"/>
              </w:rPr>
              <w:t xml:space="preserve"> </w:t>
            </w:r>
            <w:r w:rsidRPr="00A02ACA">
              <w:t xml:space="preserve">Saskaņā ar Eiropas Parlamenta un Padomes 2009.gada 13.jūlija Direktīvas 2009/72/EK par kopīgiem noteikumiem attiecībā uz elektroenerģijas iekšējo tirgu un par Direktīvas 2003/54 /EK atcelšanu (turpmāk </w:t>
            </w:r>
            <w:r w:rsidR="00782025" w:rsidRPr="00A02ACA">
              <w:t xml:space="preserve">- </w:t>
            </w:r>
            <w:r w:rsidRPr="00A02ACA">
              <w:t xml:space="preserve">Direktīva 2009/72/EK) 26.panta trešo daļu, ja sadales sistēmas operators ir daļa no vertikāli integrēta uzņēmuma, dalībvalstis nodrošina, ka regulatīvās iestādes vai citas kompetentas struktūras veic sadales sistēmas operatora darbības uzraudzību, lai tas nevarētu ļaunprātīgi izmantot vertikālo integrāciju, kropļojot konkurenci; jo īpaši vertikāli integrēti sadales sistēmu operatori nedrīkst saziņā un zīmola veidošanā maldināt attiecībā uz vertikāli integrētā uzņēmuma piegādes struktūras atsevišķo identitāti. </w:t>
            </w:r>
          </w:p>
          <w:p w:rsidR="008E772C" w:rsidRPr="00A02ACA" w:rsidRDefault="008E772C" w:rsidP="008E772C">
            <w:pPr>
              <w:jc w:val="both"/>
            </w:pPr>
            <w:r w:rsidRPr="00A02ACA">
              <w:t xml:space="preserve">Lielākajā daļā Eiropas Savienības dalībvalstu normatīvajos </w:t>
            </w:r>
            <w:r w:rsidRPr="00A02ACA">
              <w:lastRenderedPageBreak/>
              <w:t>aktos ir ietverta iepriekšminē</w:t>
            </w:r>
            <w:r w:rsidR="00782025" w:rsidRPr="00A02ACA">
              <w:t>tā Direktīvas 2009/72/EK prasība</w:t>
            </w:r>
            <w:r w:rsidRPr="00A02ACA">
              <w:t>. Turklāt atsevišķas valstis ir pievērsušas īpašu uzmanību tam, lai sadales sistēmas operatora, kas ietilpst vertikāli integrēta elektroapgādes komersanta sastāvā, zīmoli būtiski atšķirtos no vertikāli integrētā elektroapgādes komersanta  un tā sastāvā ietilpstošo uzņēmumu zīmoliem.</w:t>
            </w:r>
          </w:p>
          <w:p w:rsidR="008E772C" w:rsidRPr="00A02ACA" w:rsidRDefault="008E772C" w:rsidP="008E772C">
            <w:pPr>
              <w:ind w:firstLine="340"/>
              <w:jc w:val="both"/>
            </w:pPr>
            <w:r w:rsidRPr="00A02ACA">
              <w:t xml:space="preserve">Izvērtējot AS „Sadales tīkls” atbilstību ETL noteiktajām neatkarības prasībām un Direktīvas 2009/72/EK prasībā, konstatēts, ka AS „Sadales tīkls”, kas ir vertikāli integrētā elektroapgādes komersanta Latvenergo koncerna sastāvā, pielietotais logo ir līdzīgs AS „Latvenergo” logo, kas var maldināt lietotājus par komersanta identitāti.  Ar Likumprojektu </w:t>
            </w:r>
          </w:p>
          <w:p w:rsidR="008E772C" w:rsidRPr="00790E9C" w:rsidRDefault="008E772C" w:rsidP="008E772C">
            <w:pPr>
              <w:jc w:val="both"/>
              <w:rPr>
                <w:color w:val="000000"/>
              </w:rPr>
            </w:pPr>
            <w:r w:rsidRPr="00790E9C">
              <w:rPr>
                <w:color w:val="000000"/>
              </w:rPr>
              <w:t>tiek papildināti ETL 19.panta otrajā daļā</w:t>
            </w:r>
            <w:r w:rsidR="0003676E" w:rsidRPr="00790E9C">
              <w:rPr>
                <w:color w:val="000000"/>
              </w:rPr>
              <w:t xml:space="preserve"> noteiktie</w:t>
            </w:r>
            <w:r w:rsidRPr="00790E9C">
              <w:rPr>
                <w:color w:val="000000"/>
              </w:rPr>
              <w:t xml:space="preserve"> sadales sistēmas neatkarības nosacījumi ar prasību, kas paredz atšķirīgu sadales sistēmas operatora un  vertikāli integrēta uzņēmuma, kura sastāvā atrodas sadales sistēmas operators, zīmolu izmantošanu.  </w:t>
            </w:r>
            <w:r w:rsidR="00792A31" w:rsidRPr="00790E9C">
              <w:rPr>
                <w:color w:val="000000"/>
              </w:rPr>
              <w:t>Minēta norma</w:t>
            </w:r>
            <w:r w:rsidRPr="00790E9C">
              <w:rPr>
                <w:color w:val="000000"/>
              </w:rPr>
              <w:t xml:space="preserve"> </w:t>
            </w:r>
            <w:r w:rsidR="00792A31" w:rsidRPr="00790E9C">
              <w:rPr>
                <w:color w:val="000000"/>
              </w:rPr>
              <w:t xml:space="preserve">stāsies spēkā 2016.gada 1.janvārī, nodrošinot </w:t>
            </w:r>
            <w:r w:rsidR="00A02ACA" w:rsidRPr="00790E9C">
              <w:rPr>
                <w:color w:val="000000"/>
              </w:rPr>
              <w:t>pietiekamu</w:t>
            </w:r>
            <w:r w:rsidR="00792A31" w:rsidRPr="00790E9C">
              <w:rPr>
                <w:color w:val="000000"/>
              </w:rPr>
              <w:t xml:space="preserve"> laiku AS „Sadales tīkls” nepieciešamo izmaiņu </w:t>
            </w:r>
            <w:r w:rsidR="00726744" w:rsidRPr="00790E9C">
              <w:rPr>
                <w:color w:val="000000"/>
              </w:rPr>
              <w:t xml:space="preserve">attiecībā uz zīmolu </w:t>
            </w:r>
            <w:r w:rsidR="00792A31" w:rsidRPr="00790E9C">
              <w:rPr>
                <w:color w:val="000000"/>
              </w:rPr>
              <w:t>īstenošanai</w:t>
            </w:r>
            <w:r w:rsidR="00726744" w:rsidRPr="00790E9C">
              <w:rPr>
                <w:color w:val="000000"/>
              </w:rPr>
              <w:t>.</w:t>
            </w:r>
          </w:p>
          <w:p w:rsidR="00AC26E7" w:rsidRPr="00790E9C" w:rsidRDefault="0003676E" w:rsidP="0003676E">
            <w:pPr>
              <w:ind w:firstLine="340"/>
              <w:jc w:val="both"/>
              <w:rPr>
                <w:color w:val="000000"/>
              </w:rPr>
            </w:pPr>
            <w:r w:rsidRPr="00790E9C">
              <w:rPr>
                <w:color w:val="000000"/>
              </w:rPr>
              <w:t xml:space="preserve">ETL 21.pants, kam saskaņā ar Pārejas noteikumu 4.punktu jāstājas spēkā 2015.gada 1.janvārī, nosaka, ka </w:t>
            </w:r>
            <w:r w:rsidR="001C00F9" w:rsidRPr="00790E9C">
              <w:rPr>
                <w:color w:val="000000"/>
              </w:rPr>
              <w:t>s</w:t>
            </w:r>
            <w:r w:rsidRPr="00790E9C">
              <w:rPr>
                <w:color w:val="000000"/>
              </w:rPr>
              <w:t xml:space="preserve">adales sistēmas operators, pildot savus pienākumus, var lietot tikai paša īpašumā esošus vai nomātus pamatlīdzekļus.  </w:t>
            </w:r>
          </w:p>
          <w:p w:rsidR="0003676E" w:rsidRPr="00790E9C" w:rsidRDefault="0003676E" w:rsidP="0003676E">
            <w:pPr>
              <w:ind w:firstLine="340"/>
              <w:jc w:val="both"/>
              <w:rPr>
                <w:color w:val="000000"/>
              </w:rPr>
            </w:pPr>
            <w:r w:rsidRPr="00790E9C">
              <w:rPr>
                <w:color w:val="000000"/>
              </w:rPr>
              <w:t xml:space="preserve">Sadales sistēmas operatori, jo īpaši </w:t>
            </w:r>
            <w:r w:rsidR="001C00F9" w:rsidRPr="00790E9C">
              <w:rPr>
                <w:color w:val="000000"/>
              </w:rPr>
              <w:t xml:space="preserve">Latvijā </w:t>
            </w:r>
            <w:r w:rsidRPr="00790E9C">
              <w:rPr>
                <w:color w:val="000000"/>
              </w:rPr>
              <w:t xml:space="preserve">lielākais sadales operators AS „Sadales tīkls”, izpildot tiem </w:t>
            </w:r>
            <w:r w:rsidR="00AC26E7" w:rsidRPr="00790E9C">
              <w:rPr>
                <w:color w:val="000000"/>
              </w:rPr>
              <w:t xml:space="preserve">ETL un citos normatīvajos aktos </w:t>
            </w:r>
            <w:r w:rsidRPr="00790E9C">
              <w:rPr>
                <w:color w:val="000000"/>
              </w:rPr>
              <w:t xml:space="preserve">noteiktās prasības nodrošināt sistēmas darbību, apkalpošanu, drošumu, sistēmas vadību un attīstību, kā arī sistēmas ilglaicīgu spēju nodrošināt elektroenerģijas transportēšanu atbilstoši prognozētajam pieprasījumam, elektroenerģijas sadalei izmanto arī </w:t>
            </w:r>
            <w:r w:rsidR="00AC26E7" w:rsidRPr="00790E9C">
              <w:rPr>
                <w:color w:val="000000"/>
              </w:rPr>
              <w:t>lietotāju iekšējos tīklus (piemēram, no ievada daudzdzīvokļu ēkā līdz  elektroenerģ</w:t>
            </w:r>
            <w:r w:rsidR="004216B4" w:rsidRPr="00790E9C">
              <w:rPr>
                <w:color w:val="000000"/>
              </w:rPr>
              <w:t>ijas komercuzskaites mēraparāt</w:t>
            </w:r>
            <w:r w:rsidR="00AC26E7" w:rsidRPr="00790E9C">
              <w:rPr>
                <w:color w:val="000000"/>
              </w:rPr>
              <w:t>am)</w:t>
            </w:r>
            <w:r w:rsidR="004216B4" w:rsidRPr="00790E9C">
              <w:rPr>
                <w:color w:val="000000"/>
              </w:rPr>
              <w:t xml:space="preserve"> </w:t>
            </w:r>
            <w:r w:rsidR="00AC26E7" w:rsidRPr="00790E9C">
              <w:rPr>
                <w:color w:val="000000"/>
              </w:rPr>
              <w:t xml:space="preserve">un </w:t>
            </w:r>
            <w:r w:rsidRPr="00790E9C">
              <w:rPr>
                <w:color w:val="000000"/>
              </w:rPr>
              <w:t>bezīpašnieka tīklus. Situācija ar bezīpašnieka tīkliem ir veidojusies vēsturiski un iespēju robežās AS „Sadales tīkls” veic nepieciešamās darbības, lai šos tīklus iegūtu īpašumā (saskaņā ar Civillikuma 930.pantu bezīpašnieka lietas piekrīt valstij). Procesa virzība notiek pakāpeniski caur tiesu, un ir laikietilpīga. Līdz ar to jautājumu par  bezīpašnieka tīkliem nav iespējams sakārtot līdz 2014. gada beigām, kā arī attiecīgi šos tīklus aizstāt (izbūvēt) ar jauniem elektrotīkliem, kas arī notiek pakāpeniski atbilstoši to tehniskajam stāvoklim. Ņemot vērā</w:t>
            </w:r>
            <w:r w:rsidR="00AC26E7" w:rsidRPr="00790E9C">
              <w:rPr>
                <w:color w:val="000000"/>
              </w:rPr>
              <w:t>, ka minētajai normai nav</w:t>
            </w:r>
            <w:r w:rsidRPr="00790E9C">
              <w:rPr>
                <w:color w:val="000000"/>
              </w:rPr>
              <w:t xml:space="preserve"> </w:t>
            </w:r>
            <w:r w:rsidR="00AC26E7" w:rsidRPr="00790E9C">
              <w:rPr>
                <w:color w:val="000000"/>
              </w:rPr>
              <w:t xml:space="preserve">praktiskas nozīmes, tā </w:t>
            </w:r>
            <w:r w:rsidR="00903914" w:rsidRPr="00790E9C">
              <w:rPr>
                <w:color w:val="000000"/>
              </w:rPr>
              <w:t>ar Likumprojektu tiek izslēgta.</w:t>
            </w:r>
          </w:p>
          <w:p w:rsidR="00FE2BEC" w:rsidRPr="00790E9C" w:rsidRDefault="0003676E" w:rsidP="008A4200">
            <w:pPr>
              <w:ind w:firstLine="340"/>
              <w:jc w:val="both"/>
              <w:rPr>
                <w:color w:val="000000"/>
              </w:rPr>
            </w:pPr>
            <w:r w:rsidRPr="00790E9C">
              <w:rPr>
                <w:color w:val="000000"/>
              </w:rPr>
              <w:t xml:space="preserve"> </w:t>
            </w:r>
            <w:r w:rsidR="00D66C4C" w:rsidRPr="00790E9C">
              <w:rPr>
                <w:color w:val="000000"/>
              </w:rPr>
              <w:t>Atbalsta termiņa ierobežojums enerģijas ražošanai</w:t>
            </w:r>
            <w:r w:rsidR="001C00F9" w:rsidRPr="00790E9C">
              <w:rPr>
                <w:color w:val="000000"/>
              </w:rPr>
              <w:t>, izmantojot atjaunojamos energoresursus (turpmāk - AER)</w:t>
            </w:r>
            <w:r w:rsidR="00D66C4C" w:rsidRPr="00790E9C">
              <w:rPr>
                <w:color w:val="000000"/>
              </w:rPr>
              <w:t xml:space="preserve"> un enerģijas ražošanai koģenerācijā ir viens no elementiem, kas nodrošina ne tikai atbalsta mehānisma pārskatāmību un investīciju drošību elektroenerģijas ražotājiem, investoriem, iekārtu ražotājiem un piegādātājiem, bet arī ir veids, kā nodrošināt, ka atbalsts ir saprātīgs, nerada cenu pieauguma riskus elektroenerģijas lietotājiem. </w:t>
            </w:r>
          </w:p>
          <w:p w:rsidR="00D66C4C" w:rsidRPr="00790E9C" w:rsidRDefault="00C367BF" w:rsidP="00D66C4C">
            <w:pPr>
              <w:pStyle w:val="naislab"/>
              <w:spacing w:before="0" w:after="0"/>
              <w:ind w:firstLine="340"/>
              <w:jc w:val="both"/>
              <w:rPr>
                <w:color w:val="000000"/>
              </w:rPr>
            </w:pPr>
            <w:r w:rsidRPr="00790E9C">
              <w:rPr>
                <w:color w:val="000000"/>
              </w:rPr>
              <w:t>Ilgums</w:t>
            </w:r>
            <w:r w:rsidR="00D66C4C" w:rsidRPr="00790E9C">
              <w:rPr>
                <w:color w:val="000000"/>
              </w:rPr>
              <w:t xml:space="preserve">, uz kādu tiek piešķiras tiesības pārdot saražoto </w:t>
            </w:r>
            <w:r w:rsidR="00D66C4C" w:rsidRPr="00790E9C">
              <w:rPr>
                <w:color w:val="000000"/>
              </w:rPr>
              <w:lastRenderedPageBreak/>
              <w:t>elektroenerģiju obligātā iepirkuma ietvaros vai saņemt garantēto maksu par uzstādīto elektrisko jaudu, ir noteikts MK noteikum</w:t>
            </w:r>
            <w:r w:rsidR="008D69DB" w:rsidRPr="00790E9C">
              <w:rPr>
                <w:color w:val="000000"/>
              </w:rPr>
              <w:t>os Nr.221</w:t>
            </w:r>
            <w:r w:rsidR="00D66C4C" w:rsidRPr="00790E9C">
              <w:rPr>
                <w:color w:val="000000"/>
              </w:rPr>
              <w:t xml:space="preserve">, kas izdoti saskaņā ar </w:t>
            </w:r>
            <w:r w:rsidR="00F96208" w:rsidRPr="00790E9C">
              <w:rPr>
                <w:color w:val="000000"/>
              </w:rPr>
              <w:t xml:space="preserve"> </w:t>
            </w:r>
            <w:r w:rsidR="00D66C4C" w:rsidRPr="00790E9C">
              <w:rPr>
                <w:color w:val="000000"/>
              </w:rPr>
              <w:t>ETL 28. panta otro un septīto daļu un 28.</w:t>
            </w:r>
            <w:r w:rsidR="00D66C4C" w:rsidRPr="00790E9C">
              <w:rPr>
                <w:color w:val="000000"/>
                <w:vertAlign w:val="superscript"/>
              </w:rPr>
              <w:t xml:space="preserve">1 </w:t>
            </w:r>
            <w:r w:rsidR="00D66C4C" w:rsidRPr="00790E9C">
              <w:rPr>
                <w:color w:val="000000"/>
              </w:rPr>
              <w:t>panta otro un piekto daļu un MK noteikum</w:t>
            </w:r>
            <w:r w:rsidR="008D69DB" w:rsidRPr="00790E9C">
              <w:rPr>
                <w:color w:val="000000"/>
              </w:rPr>
              <w:t>os Nr.262</w:t>
            </w:r>
            <w:r w:rsidR="00D66C4C" w:rsidRPr="00790E9C">
              <w:rPr>
                <w:color w:val="000000"/>
              </w:rPr>
              <w:t>, kas izdoti saskaņā ar ETL 29. panta otro un ceturto daļu un 29.</w:t>
            </w:r>
            <w:r w:rsidR="00D66C4C" w:rsidRPr="00790E9C">
              <w:rPr>
                <w:color w:val="000000"/>
                <w:vertAlign w:val="superscript"/>
              </w:rPr>
              <w:t>1</w:t>
            </w:r>
            <w:r w:rsidR="00D66C4C" w:rsidRPr="00790E9C">
              <w:rPr>
                <w:color w:val="000000"/>
              </w:rPr>
              <w:t xml:space="preserve"> panta otro daļu.</w:t>
            </w:r>
          </w:p>
          <w:p w:rsidR="00D66C4C" w:rsidRPr="00790E9C" w:rsidRDefault="00D66C4C" w:rsidP="00D66C4C">
            <w:pPr>
              <w:ind w:firstLine="340"/>
              <w:jc w:val="both"/>
              <w:rPr>
                <w:color w:val="000000"/>
              </w:rPr>
            </w:pPr>
            <w:r w:rsidRPr="00790E9C">
              <w:rPr>
                <w:color w:val="000000"/>
              </w:rPr>
              <w:t>Patreizējais ETL regulējums tiem ražotājiem, kuru koģenerācijas stacijas vai elektrostacijas, kurās elektroenerģijas ražošanai izmanto AER, ir uzsākušas elektroenerģijas ražošanu pirms ETL stāšanās spēkā, paredz divas iespējas:</w:t>
            </w:r>
          </w:p>
          <w:p w:rsidR="00D66C4C" w:rsidRPr="00790E9C" w:rsidRDefault="00D66C4C" w:rsidP="00D66C4C">
            <w:pPr>
              <w:pStyle w:val="ListParagraph"/>
              <w:numPr>
                <w:ilvl w:val="0"/>
                <w:numId w:val="35"/>
              </w:numPr>
              <w:spacing w:after="0" w:line="240" w:lineRule="auto"/>
              <w:jc w:val="both"/>
              <w:rPr>
                <w:rFonts w:ascii="Times New Roman" w:hAnsi="Times New Roman"/>
                <w:color w:val="000000"/>
                <w:sz w:val="24"/>
                <w:szCs w:val="24"/>
                <w:lang w:val="lv-LV"/>
              </w:rPr>
            </w:pPr>
            <w:r w:rsidRPr="00790E9C">
              <w:rPr>
                <w:rFonts w:ascii="Times New Roman" w:hAnsi="Times New Roman"/>
                <w:color w:val="000000"/>
                <w:sz w:val="24"/>
                <w:szCs w:val="24"/>
                <w:lang w:val="lv-LV"/>
              </w:rPr>
              <w:t>Pārdot elektroenerģiju publiskajam tirgotājam atbilstoši tiem nosacījumiem par darbības režīmu, iepirkuma vai atbalsta termiņiem un cenu, kādi uz tiem attiecās ETL spēkā stāšanās brīdī (28. panta ceturtā daļa, 30. panta pirmā daļa);</w:t>
            </w:r>
          </w:p>
          <w:p w:rsidR="00D66C4C" w:rsidRPr="00790E9C" w:rsidRDefault="00D66C4C" w:rsidP="00D66C4C">
            <w:pPr>
              <w:pStyle w:val="ListParagraph"/>
              <w:numPr>
                <w:ilvl w:val="0"/>
                <w:numId w:val="35"/>
              </w:numPr>
              <w:spacing w:after="0" w:line="240" w:lineRule="auto"/>
              <w:jc w:val="both"/>
              <w:rPr>
                <w:rFonts w:ascii="Times New Roman" w:hAnsi="Times New Roman"/>
                <w:color w:val="000000"/>
                <w:sz w:val="24"/>
                <w:szCs w:val="24"/>
                <w:lang w:val="lv-LV"/>
              </w:rPr>
            </w:pPr>
            <w:r w:rsidRPr="00790E9C">
              <w:rPr>
                <w:rFonts w:ascii="Times New Roman" w:hAnsi="Times New Roman"/>
                <w:color w:val="000000"/>
                <w:sz w:val="24"/>
                <w:szCs w:val="24"/>
                <w:lang w:val="lv-LV"/>
              </w:rPr>
              <w:t>Saskaņā ar ETL 30. panta pirmo prim daļu, izmantot ETL 29. pantā noteikto un iegūt tiesības pārdot saražoto elektroenerģiju saražoto elektroenerģiju obligāti iepērkamā elektroenerģijas apjoma veidā, ja elektroenerģija ražošanā izmantoti AER.</w:t>
            </w:r>
          </w:p>
          <w:p w:rsidR="00D66C4C" w:rsidRPr="00790E9C" w:rsidRDefault="00D66C4C" w:rsidP="00D66C4C">
            <w:pPr>
              <w:pStyle w:val="naislab"/>
              <w:spacing w:before="0" w:after="0"/>
              <w:ind w:firstLine="340"/>
              <w:jc w:val="both"/>
              <w:rPr>
                <w:color w:val="000000"/>
              </w:rPr>
            </w:pPr>
            <w:r w:rsidRPr="00790E9C">
              <w:rPr>
                <w:color w:val="000000"/>
              </w:rPr>
              <w:t xml:space="preserve">Tā kā regulējums līdz ETL spēkā stāšanās brīdim neparedzēja atbalsta termiņa ierobežojumus, ETL 28. panta ceturtā daļā un 30. panta pirmajā daļā minētiem ražotājiem tiesības saņemt par tirgus cenu augstāku maksu par saražoto elektroenerģiju </w:t>
            </w:r>
            <w:r w:rsidRPr="00790E9C">
              <w:rPr>
                <w:color w:val="000000"/>
                <w:u w:val="single"/>
              </w:rPr>
              <w:t>nav terminētas</w:t>
            </w:r>
            <w:r w:rsidRPr="00790E9C">
              <w:rPr>
                <w:color w:val="000000"/>
              </w:rPr>
              <w:t xml:space="preserve">, kas, salīdzinot ar citiem ražotājiem piemēroto atbalstu, rada nevienlīdzīgu situāciju un pārsubsidēšanas risku, draudot radīt konkurences kropļojumus, kā arī ir pretrunā ar atbalsta sniegšanas labo praksi. </w:t>
            </w:r>
          </w:p>
          <w:p w:rsidR="00D66C4C" w:rsidRPr="00790E9C" w:rsidRDefault="00D66C4C" w:rsidP="00D66C4C">
            <w:pPr>
              <w:pStyle w:val="naislab"/>
              <w:spacing w:before="0" w:after="0"/>
              <w:ind w:firstLine="340"/>
              <w:jc w:val="both"/>
              <w:rPr>
                <w:color w:val="000000"/>
              </w:rPr>
            </w:pPr>
            <w:r w:rsidRPr="00790E9C">
              <w:rPr>
                <w:color w:val="000000"/>
              </w:rPr>
              <w:t>Šāds elektroenerģijas iepirkuma tiesiskais regulējums tiek piemērots 14 vēja elektrostacijām, kuras elektroenerģijas ražošanu uzsāka līdz 2002. gada decembrim.  Neviens ražotājs, kura koģenerācijas stacija uzsākusi elektroenerģijas ražošanu pirms ETL stāšanās spēkā, nav izmantojis  ETL 28. panta ceturtajā daļā paredzētās tiesības.</w:t>
            </w:r>
          </w:p>
          <w:p w:rsidR="00D66C4C" w:rsidRPr="00790E9C" w:rsidRDefault="00D66C4C" w:rsidP="00D66C4C">
            <w:pPr>
              <w:ind w:firstLine="340"/>
              <w:jc w:val="both"/>
              <w:rPr>
                <w:color w:val="000000"/>
              </w:rPr>
            </w:pPr>
            <w:r w:rsidRPr="00790E9C">
              <w:rPr>
                <w:color w:val="000000"/>
              </w:rPr>
              <w:t xml:space="preserve">14 vēja elektrostaciju kopējā uzstādītā elektriskā jauda ir 23,9 MW. 2013. gadā atbalsta apjoms virs tirgus cenas šīm elektrostacijām bija 1 813 754,33 LVL jeb 2  580 739,90 EUR (1,23 % no kopējā atbalsta apjoma virs tirgus cenas). </w:t>
            </w:r>
          </w:p>
          <w:tbl>
            <w:tblPr>
              <w:tblW w:w="0" w:type="auto"/>
              <w:tblInd w:w="108" w:type="dxa"/>
              <w:tblCellMar>
                <w:left w:w="0" w:type="dxa"/>
                <w:right w:w="0" w:type="dxa"/>
              </w:tblCellMar>
              <w:tblLook w:val="04A0" w:firstRow="1" w:lastRow="0" w:firstColumn="1" w:lastColumn="0" w:noHBand="0" w:noVBand="1"/>
            </w:tblPr>
            <w:tblGrid>
              <w:gridCol w:w="2084"/>
              <w:gridCol w:w="1224"/>
              <w:gridCol w:w="1398"/>
              <w:gridCol w:w="1376"/>
            </w:tblGrid>
            <w:tr w:rsidR="00D66C4C" w:rsidRPr="00A02ACA" w:rsidTr="00AC1AF1">
              <w:trPr>
                <w:trHeight w:val="603"/>
              </w:trPr>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66C4C" w:rsidRPr="00790E9C" w:rsidRDefault="00D66C4C" w:rsidP="00D66C4C">
                  <w:pPr>
                    <w:ind w:left="34"/>
                    <w:jc w:val="center"/>
                    <w:rPr>
                      <w:rFonts w:eastAsia="Calibri"/>
                      <w:b/>
                      <w:bCs/>
                      <w:color w:val="000000"/>
                    </w:rPr>
                  </w:pPr>
                  <w:r w:rsidRPr="00790E9C">
                    <w:rPr>
                      <w:b/>
                      <w:bCs/>
                      <w:color w:val="000000"/>
                    </w:rPr>
                    <w:t>Nosaukums</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66C4C" w:rsidRPr="00790E9C" w:rsidRDefault="00D66C4C" w:rsidP="00D66C4C">
                  <w:pPr>
                    <w:ind w:left="34"/>
                    <w:jc w:val="center"/>
                    <w:rPr>
                      <w:rFonts w:eastAsia="Calibri"/>
                      <w:b/>
                      <w:bCs/>
                      <w:color w:val="000000"/>
                    </w:rPr>
                  </w:pPr>
                  <w:r w:rsidRPr="00790E9C">
                    <w:rPr>
                      <w:b/>
                      <w:bCs/>
                      <w:color w:val="000000"/>
                    </w:rPr>
                    <w:t>Uzstādītā jauda, MW</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66C4C" w:rsidRPr="00790E9C" w:rsidRDefault="00D66C4C" w:rsidP="00D66C4C">
                  <w:pPr>
                    <w:ind w:left="34"/>
                    <w:jc w:val="center"/>
                    <w:rPr>
                      <w:rFonts w:eastAsia="Calibri"/>
                      <w:b/>
                      <w:bCs/>
                      <w:color w:val="000000"/>
                    </w:rPr>
                  </w:pPr>
                  <w:r w:rsidRPr="00790E9C">
                    <w:rPr>
                      <w:b/>
                      <w:bCs/>
                      <w:color w:val="000000"/>
                    </w:rPr>
                    <w:t>Darbības uzsākšanas datums</w:t>
                  </w:r>
                </w:p>
              </w:tc>
              <w:tc>
                <w:tcPr>
                  <w:tcW w:w="0" w:type="auto"/>
                  <w:tcBorders>
                    <w:top w:val="single" w:sz="8" w:space="0" w:color="auto"/>
                    <w:left w:val="nil"/>
                    <w:bottom w:val="single" w:sz="8" w:space="0" w:color="auto"/>
                    <w:right w:val="single" w:sz="8" w:space="0" w:color="auto"/>
                  </w:tcBorders>
                </w:tcPr>
                <w:p w:rsidR="00D66C4C" w:rsidRPr="00790E9C" w:rsidRDefault="00D66C4C" w:rsidP="00B33A94">
                  <w:pPr>
                    <w:ind w:left="34"/>
                    <w:jc w:val="center"/>
                    <w:rPr>
                      <w:b/>
                      <w:bCs/>
                      <w:color w:val="000000"/>
                    </w:rPr>
                  </w:pPr>
                  <w:r w:rsidRPr="00790E9C">
                    <w:rPr>
                      <w:b/>
                      <w:bCs/>
                      <w:color w:val="000000"/>
                    </w:rPr>
                    <w:t>Atbalsta apjoms virs tirgus cenas 201</w:t>
                  </w:r>
                  <w:r w:rsidR="00B33A94" w:rsidRPr="00790E9C">
                    <w:rPr>
                      <w:b/>
                      <w:bCs/>
                      <w:color w:val="000000"/>
                    </w:rPr>
                    <w:t>3</w:t>
                  </w:r>
                  <w:r w:rsidRPr="00790E9C">
                    <w:rPr>
                      <w:b/>
                      <w:bCs/>
                      <w:color w:val="000000"/>
                    </w:rPr>
                    <w:t>.gadā, LVL/EUR</w:t>
                  </w:r>
                </w:p>
              </w:tc>
            </w:tr>
            <w:tr w:rsidR="00D66C4C" w:rsidRPr="00A02ACA" w:rsidTr="00AC1AF1">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66C4C" w:rsidRPr="00790E9C" w:rsidRDefault="00D66C4C" w:rsidP="00D66C4C">
                  <w:pPr>
                    <w:ind w:left="34"/>
                    <w:rPr>
                      <w:rFonts w:eastAsia="Calibri"/>
                      <w:color w:val="000000"/>
                    </w:rPr>
                  </w:pPr>
                  <w:r w:rsidRPr="00790E9C">
                    <w:rPr>
                      <w:color w:val="000000"/>
                    </w:rPr>
                    <w:t>BALTNORVENT, SIA, Latvijas Vācijas kopuzņ. Alsungas VES</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D66C4C" w:rsidRPr="00790E9C" w:rsidRDefault="00D66C4C" w:rsidP="00D66C4C">
                  <w:pPr>
                    <w:ind w:left="34"/>
                    <w:jc w:val="right"/>
                    <w:rPr>
                      <w:rFonts w:eastAsia="Calibri"/>
                      <w:color w:val="000000"/>
                    </w:rPr>
                  </w:pPr>
                  <w:r w:rsidRPr="00790E9C">
                    <w:rPr>
                      <w:color w:val="000000"/>
                    </w:rPr>
                    <w:t>2,00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D66C4C" w:rsidRPr="00790E9C" w:rsidRDefault="00D66C4C" w:rsidP="00D66C4C">
                  <w:pPr>
                    <w:ind w:left="34"/>
                    <w:jc w:val="right"/>
                    <w:rPr>
                      <w:rFonts w:eastAsia="Calibri"/>
                      <w:color w:val="000000"/>
                    </w:rPr>
                  </w:pPr>
                  <w:r w:rsidRPr="00790E9C">
                    <w:rPr>
                      <w:color w:val="000000"/>
                    </w:rPr>
                    <w:t>29.11.2002</w:t>
                  </w:r>
                </w:p>
              </w:tc>
              <w:tc>
                <w:tcPr>
                  <w:tcW w:w="0" w:type="auto"/>
                  <w:tcBorders>
                    <w:top w:val="nil"/>
                    <w:left w:val="nil"/>
                    <w:bottom w:val="single" w:sz="8" w:space="0" w:color="auto"/>
                    <w:right w:val="single" w:sz="8" w:space="0" w:color="auto"/>
                  </w:tcBorders>
                  <w:vAlign w:val="center"/>
                </w:tcPr>
                <w:p w:rsidR="00D66C4C" w:rsidRPr="00A02ACA" w:rsidRDefault="00D66C4C" w:rsidP="00D66C4C">
                  <w:pPr>
                    <w:jc w:val="right"/>
                  </w:pPr>
                  <w:r w:rsidRPr="00A02ACA">
                    <w:t>83 437,18/</w:t>
                  </w:r>
                </w:p>
                <w:p w:rsidR="00D66C4C" w:rsidRPr="00A02ACA" w:rsidRDefault="00D66C4C" w:rsidP="00D66C4C">
                  <w:pPr>
                    <w:jc w:val="right"/>
                  </w:pPr>
                  <w:r w:rsidRPr="00A02ACA">
                    <w:t>118 720,41</w:t>
                  </w:r>
                </w:p>
              </w:tc>
            </w:tr>
            <w:tr w:rsidR="00D66C4C" w:rsidRPr="00A02ACA" w:rsidTr="00AC1AF1">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66C4C" w:rsidRPr="00790E9C" w:rsidRDefault="00D66C4C" w:rsidP="00D66C4C">
                  <w:pPr>
                    <w:ind w:left="34"/>
                    <w:rPr>
                      <w:rFonts w:eastAsia="Calibri"/>
                      <w:color w:val="000000"/>
                    </w:rPr>
                  </w:pPr>
                  <w:r w:rsidRPr="00790E9C">
                    <w:rPr>
                      <w:color w:val="000000"/>
                    </w:rPr>
                    <w:t>SIA „BK Enerģija”</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D66C4C" w:rsidRPr="00790E9C" w:rsidRDefault="00D66C4C" w:rsidP="00D66C4C">
                  <w:pPr>
                    <w:ind w:left="34"/>
                    <w:jc w:val="right"/>
                    <w:rPr>
                      <w:rFonts w:eastAsia="Calibri"/>
                      <w:color w:val="000000"/>
                    </w:rPr>
                  </w:pPr>
                  <w:r w:rsidRPr="00790E9C">
                    <w:rPr>
                      <w:color w:val="000000"/>
                    </w:rPr>
                    <w:t>1,95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D66C4C" w:rsidRPr="00790E9C" w:rsidRDefault="00D66C4C" w:rsidP="00D66C4C">
                  <w:pPr>
                    <w:ind w:left="34"/>
                    <w:jc w:val="right"/>
                    <w:rPr>
                      <w:rFonts w:eastAsia="Calibri"/>
                      <w:color w:val="000000"/>
                    </w:rPr>
                  </w:pPr>
                  <w:r w:rsidRPr="00790E9C">
                    <w:rPr>
                      <w:color w:val="000000"/>
                    </w:rPr>
                    <w:t>15.11.2002</w:t>
                  </w:r>
                </w:p>
              </w:tc>
              <w:tc>
                <w:tcPr>
                  <w:tcW w:w="0" w:type="auto"/>
                  <w:tcBorders>
                    <w:top w:val="nil"/>
                    <w:left w:val="nil"/>
                    <w:bottom w:val="single" w:sz="8" w:space="0" w:color="auto"/>
                    <w:right w:val="single" w:sz="8" w:space="0" w:color="auto"/>
                  </w:tcBorders>
                  <w:vAlign w:val="center"/>
                </w:tcPr>
                <w:p w:rsidR="00D66C4C" w:rsidRPr="00A02ACA" w:rsidRDefault="00D66C4C" w:rsidP="00D66C4C">
                  <w:pPr>
                    <w:jc w:val="right"/>
                  </w:pPr>
                  <w:r w:rsidRPr="00A02ACA">
                    <w:t>192 780,19/ 274 301,50</w:t>
                  </w:r>
                </w:p>
              </w:tc>
            </w:tr>
            <w:tr w:rsidR="00D66C4C" w:rsidRPr="00A02ACA" w:rsidTr="00AC1AF1">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66C4C" w:rsidRPr="00790E9C" w:rsidRDefault="00D66C4C" w:rsidP="00D66C4C">
                  <w:pPr>
                    <w:ind w:left="34"/>
                    <w:rPr>
                      <w:color w:val="000000"/>
                    </w:rPr>
                  </w:pPr>
                  <w:r w:rsidRPr="00790E9C">
                    <w:rPr>
                      <w:color w:val="000000"/>
                    </w:rPr>
                    <w:t xml:space="preserve">Liepājas speciālās </w:t>
                  </w:r>
                </w:p>
                <w:p w:rsidR="00D66C4C" w:rsidRPr="00790E9C" w:rsidRDefault="00D66C4C" w:rsidP="00D66C4C">
                  <w:pPr>
                    <w:ind w:left="34"/>
                    <w:rPr>
                      <w:rFonts w:eastAsia="Calibri"/>
                      <w:color w:val="000000"/>
                    </w:rPr>
                  </w:pPr>
                  <w:r w:rsidRPr="00790E9C">
                    <w:rPr>
                      <w:color w:val="000000"/>
                    </w:rPr>
                    <w:lastRenderedPageBreak/>
                    <w:t>ekonomiskās zonas AS „Kursa”</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D66C4C" w:rsidRPr="00790E9C" w:rsidRDefault="00D66C4C" w:rsidP="00D66C4C">
                  <w:pPr>
                    <w:ind w:left="34"/>
                    <w:jc w:val="right"/>
                    <w:rPr>
                      <w:rFonts w:eastAsia="Calibri"/>
                      <w:color w:val="000000"/>
                    </w:rPr>
                  </w:pPr>
                  <w:r w:rsidRPr="00790E9C">
                    <w:rPr>
                      <w:color w:val="000000"/>
                    </w:rPr>
                    <w:lastRenderedPageBreak/>
                    <w:t>0,15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D66C4C" w:rsidRPr="00790E9C" w:rsidRDefault="00D66C4C" w:rsidP="00D66C4C">
                  <w:pPr>
                    <w:ind w:left="34"/>
                    <w:jc w:val="right"/>
                    <w:rPr>
                      <w:rFonts w:eastAsia="Calibri"/>
                      <w:color w:val="000000"/>
                    </w:rPr>
                  </w:pPr>
                  <w:r w:rsidRPr="00790E9C">
                    <w:rPr>
                      <w:color w:val="000000"/>
                    </w:rPr>
                    <w:t>13.02.1998</w:t>
                  </w:r>
                </w:p>
              </w:tc>
              <w:tc>
                <w:tcPr>
                  <w:tcW w:w="0" w:type="auto"/>
                  <w:tcBorders>
                    <w:top w:val="nil"/>
                    <w:left w:val="nil"/>
                    <w:bottom w:val="single" w:sz="8" w:space="0" w:color="auto"/>
                    <w:right w:val="single" w:sz="8" w:space="0" w:color="auto"/>
                  </w:tcBorders>
                  <w:vAlign w:val="center"/>
                </w:tcPr>
                <w:p w:rsidR="00D66C4C" w:rsidRPr="00A02ACA" w:rsidRDefault="00D66C4C" w:rsidP="00D66C4C">
                  <w:pPr>
                    <w:jc w:val="right"/>
                  </w:pPr>
                  <w:r w:rsidRPr="00A02ACA">
                    <w:t>4 228,25/</w:t>
                  </w:r>
                </w:p>
                <w:p w:rsidR="00D66C4C" w:rsidRPr="00A02ACA" w:rsidRDefault="00D66C4C" w:rsidP="00D66C4C">
                  <w:pPr>
                    <w:jc w:val="right"/>
                  </w:pPr>
                  <w:r w:rsidRPr="00A02ACA">
                    <w:lastRenderedPageBreak/>
                    <w:t>6016,25</w:t>
                  </w:r>
                </w:p>
              </w:tc>
            </w:tr>
            <w:tr w:rsidR="00D66C4C" w:rsidRPr="00A02ACA" w:rsidTr="00AC1AF1">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66C4C" w:rsidRPr="00790E9C" w:rsidRDefault="00D66C4C" w:rsidP="00D66C4C">
                  <w:pPr>
                    <w:ind w:left="34"/>
                    <w:rPr>
                      <w:rFonts w:eastAsia="Calibri"/>
                      <w:color w:val="000000"/>
                    </w:rPr>
                  </w:pPr>
                  <w:r w:rsidRPr="00790E9C">
                    <w:rPr>
                      <w:color w:val="000000"/>
                    </w:rPr>
                    <w:lastRenderedPageBreak/>
                    <w:t>SIA „Vēja parks 10”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D66C4C" w:rsidRPr="00790E9C" w:rsidRDefault="00D66C4C" w:rsidP="00D66C4C">
                  <w:pPr>
                    <w:ind w:left="34"/>
                    <w:jc w:val="right"/>
                    <w:rPr>
                      <w:rFonts w:eastAsia="Calibri"/>
                      <w:color w:val="000000"/>
                    </w:rPr>
                  </w:pPr>
                  <w:r w:rsidRPr="00790E9C">
                    <w:rPr>
                      <w:color w:val="000000"/>
                    </w:rPr>
                    <w:t>1,80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D66C4C" w:rsidRPr="00790E9C" w:rsidRDefault="00D66C4C" w:rsidP="00D66C4C">
                  <w:pPr>
                    <w:ind w:left="34"/>
                    <w:jc w:val="right"/>
                    <w:rPr>
                      <w:rFonts w:eastAsia="Calibri"/>
                      <w:color w:val="000000"/>
                    </w:rPr>
                  </w:pPr>
                  <w:r w:rsidRPr="00790E9C">
                    <w:rPr>
                      <w:color w:val="000000"/>
                    </w:rPr>
                    <w:t>26.09.2002</w:t>
                  </w:r>
                </w:p>
              </w:tc>
              <w:tc>
                <w:tcPr>
                  <w:tcW w:w="0" w:type="auto"/>
                  <w:tcBorders>
                    <w:top w:val="nil"/>
                    <w:left w:val="nil"/>
                    <w:bottom w:val="single" w:sz="8" w:space="0" w:color="auto"/>
                    <w:right w:val="single" w:sz="8" w:space="0" w:color="auto"/>
                  </w:tcBorders>
                  <w:vAlign w:val="center"/>
                </w:tcPr>
                <w:p w:rsidR="00D66C4C" w:rsidRPr="00A02ACA" w:rsidRDefault="00D66C4C" w:rsidP="00D66C4C">
                  <w:pPr>
                    <w:jc w:val="right"/>
                  </w:pPr>
                  <w:r w:rsidRPr="00A02ACA">
                    <w:t>137 543,27/</w:t>
                  </w:r>
                </w:p>
                <w:p w:rsidR="00D66C4C" w:rsidRPr="00A02ACA" w:rsidRDefault="00D66C4C" w:rsidP="00D66C4C">
                  <w:pPr>
                    <w:jc w:val="right"/>
                  </w:pPr>
                  <w:r w:rsidRPr="00A02ACA">
                    <w:t>195 706,44</w:t>
                  </w:r>
                </w:p>
              </w:tc>
            </w:tr>
            <w:tr w:rsidR="00D66C4C" w:rsidRPr="00A02ACA" w:rsidTr="00AC1AF1">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66C4C" w:rsidRPr="00790E9C" w:rsidRDefault="00D66C4C" w:rsidP="00D66C4C">
                  <w:pPr>
                    <w:ind w:left="34"/>
                    <w:rPr>
                      <w:rFonts w:eastAsia="Calibri"/>
                      <w:color w:val="000000"/>
                    </w:rPr>
                  </w:pPr>
                  <w:r w:rsidRPr="00790E9C">
                    <w:rPr>
                      <w:color w:val="000000"/>
                    </w:rPr>
                    <w:t>SIA „Vēja parks 11”</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D66C4C" w:rsidRPr="00790E9C" w:rsidRDefault="00D66C4C" w:rsidP="00D66C4C">
                  <w:pPr>
                    <w:ind w:left="34"/>
                    <w:jc w:val="right"/>
                    <w:rPr>
                      <w:rFonts w:eastAsia="Calibri"/>
                      <w:color w:val="000000"/>
                    </w:rPr>
                  </w:pPr>
                  <w:r w:rsidRPr="00790E9C">
                    <w:rPr>
                      <w:color w:val="000000"/>
                    </w:rPr>
                    <w:t>1,80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D66C4C" w:rsidRPr="00790E9C" w:rsidRDefault="00D66C4C" w:rsidP="00D66C4C">
                  <w:pPr>
                    <w:ind w:left="34"/>
                    <w:jc w:val="right"/>
                    <w:rPr>
                      <w:rFonts w:eastAsia="Calibri"/>
                      <w:color w:val="000000"/>
                    </w:rPr>
                  </w:pPr>
                  <w:r w:rsidRPr="00790E9C">
                    <w:rPr>
                      <w:color w:val="000000"/>
                    </w:rPr>
                    <w:t>07.11.2002</w:t>
                  </w:r>
                </w:p>
              </w:tc>
              <w:tc>
                <w:tcPr>
                  <w:tcW w:w="0" w:type="auto"/>
                  <w:tcBorders>
                    <w:top w:val="nil"/>
                    <w:left w:val="nil"/>
                    <w:bottom w:val="single" w:sz="8" w:space="0" w:color="auto"/>
                    <w:right w:val="single" w:sz="8" w:space="0" w:color="auto"/>
                  </w:tcBorders>
                  <w:vAlign w:val="center"/>
                </w:tcPr>
                <w:p w:rsidR="00D66C4C" w:rsidRPr="00A02ACA" w:rsidRDefault="00D66C4C" w:rsidP="00D66C4C">
                  <w:pPr>
                    <w:jc w:val="right"/>
                  </w:pPr>
                  <w:r w:rsidRPr="00A02ACA">
                    <w:t>140 938,89/</w:t>
                  </w:r>
                </w:p>
                <w:p w:rsidR="00D66C4C" w:rsidRPr="00A02ACA" w:rsidRDefault="00D66C4C" w:rsidP="00D66C4C">
                  <w:pPr>
                    <w:jc w:val="right"/>
                  </w:pPr>
                  <w:r w:rsidRPr="00A02ACA">
                    <w:t>200 537,98</w:t>
                  </w:r>
                </w:p>
              </w:tc>
            </w:tr>
            <w:tr w:rsidR="00D66C4C" w:rsidRPr="00A02ACA" w:rsidTr="00AC1AF1">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66C4C" w:rsidRPr="00790E9C" w:rsidRDefault="00D66C4C" w:rsidP="00D66C4C">
                  <w:pPr>
                    <w:ind w:left="34"/>
                    <w:rPr>
                      <w:rFonts w:eastAsia="Calibri"/>
                      <w:color w:val="000000"/>
                    </w:rPr>
                  </w:pPr>
                  <w:r w:rsidRPr="00790E9C">
                    <w:rPr>
                      <w:color w:val="000000"/>
                    </w:rPr>
                    <w:t>SIA „Vēja parks 12”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D66C4C" w:rsidRPr="00790E9C" w:rsidRDefault="00D66C4C" w:rsidP="00D66C4C">
                  <w:pPr>
                    <w:ind w:left="34"/>
                    <w:jc w:val="right"/>
                    <w:rPr>
                      <w:rFonts w:eastAsia="Calibri"/>
                      <w:color w:val="000000"/>
                    </w:rPr>
                  </w:pPr>
                  <w:r w:rsidRPr="00790E9C">
                    <w:rPr>
                      <w:color w:val="000000"/>
                    </w:rPr>
                    <w:t>1,80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D66C4C" w:rsidRPr="00790E9C" w:rsidRDefault="00D66C4C" w:rsidP="00D66C4C">
                  <w:pPr>
                    <w:ind w:left="34"/>
                    <w:jc w:val="right"/>
                    <w:rPr>
                      <w:rFonts w:eastAsia="Calibri"/>
                      <w:color w:val="000000"/>
                    </w:rPr>
                  </w:pPr>
                  <w:r w:rsidRPr="00790E9C">
                    <w:rPr>
                      <w:color w:val="000000"/>
                    </w:rPr>
                    <w:t>07.11.2002</w:t>
                  </w:r>
                </w:p>
              </w:tc>
              <w:tc>
                <w:tcPr>
                  <w:tcW w:w="0" w:type="auto"/>
                  <w:tcBorders>
                    <w:top w:val="nil"/>
                    <w:left w:val="nil"/>
                    <w:bottom w:val="single" w:sz="8" w:space="0" w:color="auto"/>
                    <w:right w:val="single" w:sz="8" w:space="0" w:color="auto"/>
                  </w:tcBorders>
                  <w:vAlign w:val="center"/>
                </w:tcPr>
                <w:p w:rsidR="00D66C4C" w:rsidRPr="00A02ACA" w:rsidRDefault="00D66C4C" w:rsidP="00D66C4C">
                  <w:pPr>
                    <w:jc w:val="right"/>
                  </w:pPr>
                  <w:r w:rsidRPr="00A02ACA">
                    <w:t>143 990,44/</w:t>
                  </w:r>
                </w:p>
                <w:p w:rsidR="00D66C4C" w:rsidRPr="00A02ACA" w:rsidRDefault="00D66C4C" w:rsidP="00D66C4C">
                  <w:pPr>
                    <w:jc w:val="right"/>
                  </w:pPr>
                  <w:r w:rsidRPr="00A02ACA">
                    <w:t>204 879,94</w:t>
                  </w:r>
                </w:p>
              </w:tc>
            </w:tr>
            <w:tr w:rsidR="00D66C4C" w:rsidRPr="00A02ACA" w:rsidTr="00AC1AF1">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66C4C" w:rsidRPr="00790E9C" w:rsidRDefault="00D66C4C" w:rsidP="00D66C4C">
                  <w:pPr>
                    <w:ind w:left="34"/>
                    <w:rPr>
                      <w:rFonts w:eastAsia="Calibri"/>
                      <w:color w:val="000000"/>
                    </w:rPr>
                  </w:pPr>
                  <w:r w:rsidRPr="00790E9C">
                    <w:rPr>
                      <w:color w:val="000000"/>
                    </w:rPr>
                    <w:t>SIA „Vēja parks 13”</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D66C4C" w:rsidRPr="00790E9C" w:rsidRDefault="00D66C4C" w:rsidP="00D66C4C">
                  <w:pPr>
                    <w:ind w:left="34"/>
                    <w:jc w:val="right"/>
                    <w:rPr>
                      <w:rFonts w:eastAsia="Calibri"/>
                      <w:color w:val="000000"/>
                    </w:rPr>
                  </w:pPr>
                  <w:r w:rsidRPr="00790E9C">
                    <w:rPr>
                      <w:color w:val="000000"/>
                    </w:rPr>
                    <w:t>1,80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D66C4C" w:rsidRPr="00790E9C" w:rsidRDefault="00D66C4C" w:rsidP="00D66C4C">
                  <w:pPr>
                    <w:ind w:left="34"/>
                    <w:jc w:val="right"/>
                    <w:rPr>
                      <w:rFonts w:eastAsia="Calibri"/>
                      <w:color w:val="000000"/>
                    </w:rPr>
                  </w:pPr>
                  <w:r w:rsidRPr="00790E9C">
                    <w:rPr>
                      <w:color w:val="000000"/>
                    </w:rPr>
                    <w:t>26.09.2002</w:t>
                  </w:r>
                </w:p>
              </w:tc>
              <w:tc>
                <w:tcPr>
                  <w:tcW w:w="0" w:type="auto"/>
                  <w:tcBorders>
                    <w:top w:val="nil"/>
                    <w:left w:val="nil"/>
                    <w:bottom w:val="single" w:sz="8" w:space="0" w:color="auto"/>
                    <w:right w:val="single" w:sz="8" w:space="0" w:color="auto"/>
                  </w:tcBorders>
                  <w:vAlign w:val="center"/>
                </w:tcPr>
                <w:p w:rsidR="00D66C4C" w:rsidRPr="00A02ACA" w:rsidRDefault="00D66C4C" w:rsidP="00D66C4C">
                  <w:pPr>
                    <w:jc w:val="right"/>
                  </w:pPr>
                  <w:r w:rsidRPr="00A02ACA">
                    <w:t>133 486,46/</w:t>
                  </w:r>
                </w:p>
                <w:p w:rsidR="00D66C4C" w:rsidRPr="00A02ACA" w:rsidRDefault="00D66C4C" w:rsidP="00D66C4C">
                  <w:pPr>
                    <w:jc w:val="right"/>
                  </w:pPr>
                  <w:r w:rsidRPr="00A02ACA">
                    <w:t>189 934,12</w:t>
                  </w:r>
                </w:p>
              </w:tc>
            </w:tr>
            <w:tr w:rsidR="00D66C4C" w:rsidRPr="00A02ACA" w:rsidTr="00AC1AF1">
              <w:trPr>
                <w:trHeight w:val="647"/>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66C4C" w:rsidRPr="00790E9C" w:rsidRDefault="00D66C4C" w:rsidP="00D66C4C">
                  <w:pPr>
                    <w:ind w:left="34"/>
                    <w:rPr>
                      <w:rFonts w:eastAsia="Calibri"/>
                      <w:color w:val="000000"/>
                    </w:rPr>
                  </w:pPr>
                  <w:r w:rsidRPr="00790E9C">
                    <w:rPr>
                      <w:color w:val="000000"/>
                    </w:rPr>
                    <w:t>SIA „Vēja parks 14”</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D66C4C" w:rsidRPr="00790E9C" w:rsidRDefault="00D66C4C" w:rsidP="00D66C4C">
                  <w:pPr>
                    <w:ind w:left="34"/>
                    <w:jc w:val="right"/>
                    <w:rPr>
                      <w:rFonts w:eastAsia="Calibri"/>
                      <w:color w:val="000000"/>
                    </w:rPr>
                  </w:pPr>
                  <w:r w:rsidRPr="00790E9C">
                    <w:rPr>
                      <w:color w:val="000000"/>
                    </w:rPr>
                    <w:t>1,80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D66C4C" w:rsidRPr="00790E9C" w:rsidRDefault="00D66C4C" w:rsidP="00D66C4C">
                  <w:pPr>
                    <w:ind w:left="34"/>
                    <w:jc w:val="right"/>
                    <w:rPr>
                      <w:rFonts w:eastAsia="Calibri"/>
                      <w:color w:val="000000"/>
                    </w:rPr>
                  </w:pPr>
                  <w:r w:rsidRPr="00790E9C">
                    <w:rPr>
                      <w:color w:val="000000"/>
                    </w:rPr>
                    <w:t>26.09.2002</w:t>
                  </w:r>
                </w:p>
              </w:tc>
              <w:tc>
                <w:tcPr>
                  <w:tcW w:w="0" w:type="auto"/>
                  <w:tcBorders>
                    <w:top w:val="nil"/>
                    <w:left w:val="nil"/>
                    <w:bottom w:val="single" w:sz="8" w:space="0" w:color="auto"/>
                    <w:right w:val="single" w:sz="8" w:space="0" w:color="auto"/>
                  </w:tcBorders>
                  <w:vAlign w:val="center"/>
                </w:tcPr>
                <w:p w:rsidR="00D66C4C" w:rsidRPr="00A02ACA" w:rsidRDefault="00D66C4C" w:rsidP="00D66C4C">
                  <w:pPr>
                    <w:jc w:val="right"/>
                  </w:pPr>
                  <w:r w:rsidRPr="00A02ACA">
                    <w:t>136 980,98/</w:t>
                  </w:r>
                </w:p>
                <w:p w:rsidR="00D66C4C" w:rsidRPr="00A02ACA" w:rsidRDefault="00D66C4C" w:rsidP="00D66C4C">
                  <w:pPr>
                    <w:jc w:val="right"/>
                  </w:pPr>
                  <w:r w:rsidRPr="00A02ACA">
                    <w:t>194 906,38</w:t>
                  </w:r>
                </w:p>
              </w:tc>
            </w:tr>
            <w:tr w:rsidR="00D66C4C" w:rsidRPr="00A02ACA" w:rsidTr="00AC1AF1">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66C4C" w:rsidRPr="00790E9C" w:rsidRDefault="00D66C4C" w:rsidP="00D66C4C">
                  <w:pPr>
                    <w:ind w:left="34"/>
                    <w:rPr>
                      <w:rFonts w:eastAsia="Calibri"/>
                      <w:color w:val="000000"/>
                    </w:rPr>
                  </w:pPr>
                  <w:r w:rsidRPr="00790E9C">
                    <w:rPr>
                      <w:color w:val="000000"/>
                    </w:rPr>
                    <w:t>SIA „Vēja parks 15”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D66C4C" w:rsidRPr="00790E9C" w:rsidRDefault="00D66C4C" w:rsidP="00D66C4C">
                  <w:pPr>
                    <w:ind w:left="34"/>
                    <w:jc w:val="right"/>
                    <w:rPr>
                      <w:rFonts w:eastAsia="Calibri"/>
                      <w:color w:val="000000"/>
                    </w:rPr>
                  </w:pPr>
                  <w:r w:rsidRPr="00790E9C">
                    <w:rPr>
                      <w:color w:val="000000"/>
                    </w:rPr>
                    <w:t>1,80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D66C4C" w:rsidRPr="00790E9C" w:rsidRDefault="00D66C4C" w:rsidP="00D66C4C">
                  <w:pPr>
                    <w:ind w:left="34"/>
                    <w:jc w:val="right"/>
                    <w:rPr>
                      <w:rFonts w:eastAsia="Calibri"/>
                      <w:color w:val="000000"/>
                    </w:rPr>
                  </w:pPr>
                  <w:r w:rsidRPr="00790E9C">
                    <w:rPr>
                      <w:color w:val="000000"/>
                    </w:rPr>
                    <w:t>26.09.2002</w:t>
                  </w:r>
                </w:p>
              </w:tc>
              <w:tc>
                <w:tcPr>
                  <w:tcW w:w="0" w:type="auto"/>
                  <w:tcBorders>
                    <w:top w:val="nil"/>
                    <w:left w:val="nil"/>
                    <w:bottom w:val="single" w:sz="8" w:space="0" w:color="auto"/>
                    <w:right w:val="single" w:sz="8" w:space="0" w:color="auto"/>
                  </w:tcBorders>
                  <w:vAlign w:val="center"/>
                </w:tcPr>
                <w:p w:rsidR="00D66C4C" w:rsidRPr="00A02ACA" w:rsidRDefault="00D66C4C" w:rsidP="00D66C4C">
                  <w:pPr>
                    <w:jc w:val="right"/>
                  </w:pPr>
                  <w:r w:rsidRPr="00A02ACA">
                    <w:t>137 123,49/</w:t>
                  </w:r>
                </w:p>
                <w:p w:rsidR="00D66C4C" w:rsidRPr="00A02ACA" w:rsidRDefault="00D66C4C" w:rsidP="00D66C4C">
                  <w:pPr>
                    <w:jc w:val="right"/>
                  </w:pPr>
                  <w:r w:rsidRPr="00A02ACA">
                    <w:t>195 109,14</w:t>
                  </w:r>
                </w:p>
              </w:tc>
            </w:tr>
            <w:tr w:rsidR="00D66C4C" w:rsidRPr="00A02ACA" w:rsidTr="00AC1AF1">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66C4C" w:rsidRPr="00790E9C" w:rsidRDefault="00D66C4C" w:rsidP="00D66C4C">
                  <w:pPr>
                    <w:ind w:left="34"/>
                    <w:rPr>
                      <w:rFonts w:eastAsia="Calibri"/>
                      <w:color w:val="000000"/>
                    </w:rPr>
                  </w:pPr>
                  <w:r w:rsidRPr="00790E9C">
                    <w:rPr>
                      <w:color w:val="000000"/>
                    </w:rPr>
                    <w:t>SIA „Vēja parks 16”</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D66C4C" w:rsidRPr="00790E9C" w:rsidRDefault="00D66C4C" w:rsidP="00D66C4C">
                  <w:pPr>
                    <w:ind w:left="34"/>
                    <w:jc w:val="right"/>
                    <w:rPr>
                      <w:rFonts w:eastAsia="Calibri"/>
                      <w:color w:val="000000"/>
                    </w:rPr>
                  </w:pPr>
                  <w:r w:rsidRPr="00790E9C">
                    <w:rPr>
                      <w:color w:val="000000"/>
                    </w:rPr>
                    <w:t>1,80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D66C4C" w:rsidRPr="00790E9C" w:rsidRDefault="00D66C4C" w:rsidP="00D66C4C">
                  <w:pPr>
                    <w:ind w:left="34"/>
                    <w:jc w:val="right"/>
                    <w:rPr>
                      <w:rFonts w:eastAsia="Calibri"/>
                      <w:color w:val="000000"/>
                    </w:rPr>
                  </w:pPr>
                  <w:r w:rsidRPr="00790E9C">
                    <w:rPr>
                      <w:color w:val="000000"/>
                    </w:rPr>
                    <w:t>26.09.2002</w:t>
                  </w:r>
                </w:p>
              </w:tc>
              <w:tc>
                <w:tcPr>
                  <w:tcW w:w="0" w:type="auto"/>
                  <w:tcBorders>
                    <w:top w:val="nil"/>
                    <w:left w:val="nil"/>
                    <w:bottom w:val="single" w:sz="8" w:space="0" w:color="auto"/>
                    <w:right w:val="single" w:sz="8" w:space="0" w:color="auto"/>
                  </w:tcBorders>
                  <w:vAlign w:val="center"/>
                </w:tcPr>
                <w:p w:rsidR="00D66C4C" w:rsidRPr="00A02ACA" w:rsidRDefault="00D66C4C" w:rsidP="00D66C4C">
                  <w:pPr>
                    <w:jc w:val="right"/>
                  </w:pPr>
                  <w:r w:rsidRPr="00A02ACA">
                    <w:t>137 764,13/</w:t>
                  </w:r>
                </w:p>
                <w:p w:rsidR="00D66C4C" w:rsidRPr="00A02ACA" w:rsidRDefault="00D66C4C" w:rsidP="00D66C4C">
                  <w:pPr>
                    <w:jc w:val="right"/>
                  </w:pPr>
                  <w:r w:rsidRPr="00A02ACA">
                    <w:t>196 020,70</w:t>
                  </w:r>
                </w:p>
              </w:tc>
            </w:tr>
            <w:tr w:rsidR="00D66C4C" w:rsidRPr="00A02ACA" w:rsidTr="00AC1AF1">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66C4C" w:rsidRPr="00790E9C" w:rsidRDefault="00D66C4C" w:rsidP="00D66C4C">
                  <w:pPr>
                    <w:ind w:left="34"/>
                    <w:rPr>
                      <w:rFonts w:eastAsia="Calibri"/>
                      <w:color w:val="000000"/>
                    </w:rPr>
                  </w:pPr>
                  <w:r w:rsidRPr="00790E9C">
                    <w:rPr>
                      <w:color w:val="000000"/>
                    </w:rPr>
                    <w:t>SIA „Vēja parks 17”</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D66C4C" w:rsidRPr="00790E9C" w:rsidRDefault="00D66C4C" w:rsidP="00D66C4C">
                  <w:pPr>
                    <w:ind w:left="34"/>
                    <w:jc w:val="right"/>
                    <w:rPr>
                      <w:rFonts w:eastAsia="Calibri"/>
                      <w:color w:val="000000"/>
                    </w:rPr>
                  </w:pPr>
                  <w:r w:rsidRPr="00790E9C">
                    <w:rPr>
                      <w:color w:val="000000"/>
                    </w:rPr>
                    <w:t>1,80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D66C4C" w:rsidRPr="00790E9C" w:rsidRDefault="00D66C4C" w:rsidP="00D66C4C">
                  <w:pPr>
                    <w:ind w:left="34"/>
                    <w:jc w:val="right"/>
                    <w:rPr>
                      <w:rFonts w:eastAsia="Calibri"/>
                      <w:color w:val="000000"/>
                    </w:rPr>
                  </w:pPr>
                  <w:r w:rsidRPr="00790E9C">
                    <w:rPr>
                      <w:color w:val="000000"/>
                    </w:rPr>
                    <w:t>26.09.2002</w:t>
                  </w:r>
                </w:p>
              </w:tc>
              <w:tc>
                <w:tcPr>
                  <w:tcW w:w="0" w:type="auto"/>
                  <w:tcBorders>
                    <w:top w:val="nil"/>
                    <w:left w:val="nil"/>
                    <w:bottom w:val="single" w:sz="8" w:space="0" w:color="auto"/>
                    <w:right w:val="single" w:sz="8" w:space="0" w:color="auto"/>
                  </w:tcBorders>
                  <w:vAlign w:val="center"/>
                </w:tcPr>
                <w:p w:rsidR="00D66C4C" w:rsidRPr="00A02ACA" w:rsidRDefault="00D66C4C" w:rsidP="00D66C4C">
                  <w:pPr>
                    <w:jc w:val="right"/>
                  </w:pPr>
                  <w:r w:rsidRPr="00A02ACA">
                    <w:t>139 395,71/</w:t>
                  </w:r>
                </w:p>
                <w:p w:rsidR="00D66C4C" w:rsidRPr="00A02ACA" w:rsidRDefault="00D66C4C" w:rsidP="00D66C4C">
                  <w:pPr>
                    <w:jc w:val="right"/>
                  </w:pPr>
                  <w:r w:rsidRPr="00A02ACA">
                    <w:t>198 342,23</w:t>
                  </w:r>
                </w:p>
              </w:tc>
            </w:tr>
            <w:tr w:rsidR="00D66C4C" w:rsidRPr="00A02ACA" w:rsidTr="00AC1AF1">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66C4C" w:rsidRPr="00790E9C" w:rsidRDefault="00D66C4C" w:rsidP="00D66C4C">
                  <w:pPr>
                    <w:ind w:left="34"/>
                    <w:rPr>
                      <w:rFonts w:eastAsia="Calibri"/>
                      <w:color w:val="000000"/>
                    </w:rPr>
                  </w:pPr>
                  <w:r w:rsidRPr="00790E9C">
                    <w:rPr>
                      <w:color w:val="000000"/>
                    </w:rPr>
                    <w:t>SIA „Vēja parks 18”</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D66C4C" w:rsidRPr="00790E9C" w:rsidRDefault="00D66C4C" w:rsidP="00D66C4C">
                  <w:pPr>
                    <w:ind w:left="34"/>
                    <w:jc w:val="right"/>
                    <w:rPr>
                      <w:rFonts w:eastAsia="Calibri"/>
                      <w:color w:val="000000"/>
                    </w:rPr>
                  </w:pPr>
                  <w:r w:rsidRPr="00790E9C">
                    <w:rPr>
                      <w:color w:val="000000"/>
                    </w:rPr>
                    <w:t>1,80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D66C4C" w:rsidRPr="00790E9C" w:rsidRDefault="00D66C4C" w:rsidP="00D66C4C">
                  <w:pPr>
                    <w:ind w:left="34"/>
                    <w:jc w:val="right"/>
                    <w:rPr>
                      <w:rFonts w:eastAsia="Calibri"/>
                      <w:color w:val="000000"/>
                    </w:rPr>
                  </w:pPr>
                  <w:r w:rsidRPr="00790E9C">
                    <w:rPr>
                      <w:color w:val="000000"/>
                    </w:rPr>
                    <w:t>07.11.2002</w:t>
                  </w:r>
                </w:p>
              </w:tc>
              <w:tc>
                <w:tcPr>
                  <w:tcW w:w="0" w:type="auto"/>
                  <w:tcBorders>
                    <w:top w:val="nil"/>
                    <w:left w:val="nil"/>
                    <w:bottom w:val="single" w:sz="8" w:space="0" w:color="auto"/>
                    <w:right w:val="single" w:sz="8" w:space="0" w:color="auto"/>
                  </w:tcBorders>
                  <w:vAlign w:val="center"/>
                </w:tcPr>
                <w:p w:rsidR="00D66C4C" w:rsidRPr="00A02ACA" w:rsidRDefault="00D66C4C" w:rsidP="00D66C4C">
                  <w:pPr>
                    <w:jc w:val="right"/>
                  </w:pPr>
                  <w:r w:rsidRPr="00A02ACA">
                    <w:t>142 869,28/</w:t>
                  </w:r>
                </w:p>
                <w:p w:rsidR="00D66C4C" w:rsidRPr="00A02ACA" w:rsidRDefault="00D66C4C" w:rsidP="00D66C4C">
                  <w:pPr>
                    <w:jc w:val="right"/>
                  </w:pPr>
                  <w:r w:rsidRPr="00A02ACA">
                    <w:t>203 284,67</w:t>
                  </w:r>
                </w:p>
              </w:tc>
            </w:tr>
            <w:tr w:rsidR="00D66C4C" w:rsidRPr="00A02ACA" w:rsidTr="00AC1AF1">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66C4C" w:rsidRPr="00790E9C" w:rsidRDefault="00D66C4C" w:rsidP="00D66C4C">
                  <w:pPr>
                    <w:ind w:left="34"/>
                    <w:rPr>
                      <w:rFonts w:eastAsia="Calibri"/>
                      <w:color w:val="000000"/>
                    </w:rPr>
                  </w:pPr>
                  <w:r w:rsidRPr="00790E9C">
                    <w:rPr>
                      <w:color w:val="000000"/>
                    </w:rPr>
                    <w:t>SIA „Vēja parks 19”</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D66C4C" w:rsidRPr="00790E9C" w:rsidRDefault="00D66C4C" w:rsidP="00D66C4C">
                  <w:pPr>
                    <w:ind w:left="34"/>
                    <w:jc w:val="right"/>
                    <w:rPr>
                      <w:rFonts w:eastAsia="Calibri"/>
                      <w:color w:val="000000"/>
                    </w:rPr>
                  </w:pPr>
                  <w:r w:rsidRPr="00790E9C">
                    <w:rPr>
                      <w:color w:val="000000"/>
                    </w:rPr>
                    <w:t>1,80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D66C4C" w:rsidRPr="00790E9C" w:rsidRDefault="00D66C4C" w:rsidP="00D66C4C">
                  <w:pPr>
                    <w:ind w:left="34"/>
                    <w:jc w:val="right"/>
                    <w:rPr>
                      <w:rFonts w:eastAsia="Calibri"/>
                      <w:color w:val="000000"/>
                    </w:rPr>
                  </w:pPr>
                  <w:r w:rsidRPr="00790E9C">
                    <w:rPr>
                      <w:color w:val="000000"/>
                    </w:rPr>
                    <w:t>07.11.2002</w:t>
                  </w:r>
                </w:p>
              </w:tc>
              <w:tc>
                <w:tcPr>
                  <w:tcW w:w="0" w:type="auto"/>
                  <w:tcBorders>
                    <w:top w:val="nil"/>
                    <w:left w:val="nil"/>
                    <w:bottom w:val="single" w:sz="8" w:space="0" w:color="auto"/>
                    <w:right w:val="single" w:sz="8" w:space="0" w:color="auto"/>
                  </w:tcBorders>
                  <w:vAlign w:val="center"/>
                </w:tcPr>
                <w:p w:rsidR="00D66C4C" w:rsidRPr="00A02ACA" w:rsidRDefault="00D66C4C" w:rsidP="00D66C4C">
                  <w:pPr>
                    <w:jc w:val="right"/>
                  </w:pPr>
                  <w:r w:rsidRPr="00A02ACA">
                    <w:t>146 431,53/ 208 353,30</w:t>
                  </w:r>
                </w:p>
              </w:tc>
            </w:tr>
            <w:tr w:rsidR="00D66C4C" w:rsidRPr="00A02ACA" w:rsidTr="00AC1AF1">
              <w:tc>
                <w:tcPr>
                  <w:tcW w:w="0" w:type="auto"/>
                  <w:tcBorders>
                    <w:top w:val="single" w:sz="8" w:space="0" w:color="auto"/>
                    <w:left w:val="single" w:sz="8" w:space="0" w:color="auto"/>
                    <w:bottom w:val="single" w:sz="4" w:space="0" w:color="auto"/>
                    <w:right w:val="single" w:sz="4" w:space="0" w:color="auto"/>
                  </w:tcBorders>
                  <w:tcMar>
                    <w:top w:w="0" w:type="dxa"/>
                    <w:left w:w="108" w:type="dxa"/>
                    <w:bottom w:w="0" w:type="dxa"/>
                    <w:right w:w="108" w:type="dxa"/>
                  </w:tcMar>
                  <w:vAlign w:val="center"/>
                  <w:hideMark/>
                </w:tcPr>
                <w:p w:rsidR="00D66C4C" w:rsidRPr="00790E9C" w:rsidRDefault="00D66C4C" w:rsidP="00D66C4C">
                  <w:pPr>
                    <w:ind w:left="34"/>
                    <w:rPr>
                      <w:rFonts w:eastAsia="Calibri"/>
                      <w:color w:val="000000"/>
                    </w:rPr>
                  </w:pPr>
                  <w:r w:rsidRPr="00790E9C">
                    <w:rPr>
                      <w:color w:val="000000"/>
                    </w:rPr>
                    <w:t>SIA „Vēja parks 20”</w:t>
                  </w:r>
                </w:p>
              </w:tc>
              <w:tc>
                <w:tcPr>
                  <w:tcW w:w="0" w:type="auto"/>
                  <w:tcBorders>
                    <w:top w:val="single" w:sz="8"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66C4C" w:rsidRPr="00790E9C" w:rsidRDefault="00D66C4C" w:rsidP="00D66C4C">
                  <w:pPr>
                    <w:ind w:left="34"/>
                    <w:jc w:val="right"/>
                    <w:rPr>
                      <w:rFonts w:eastAsia="Calibri"/>
                      <w:color w:val="000000"/>
                    </w:rPr>
                  </w:pPr>
                  <w:r w:rsidRPr="00790E9C">
                    <w:rPr>
                      <w:color w:val="000000"/>
                    </w:rPr>
                    <w:t>1,80</w:t>
                  </w:r>
                </w:p>
              </w:tc>
              <w:tc>
                <w:tcPr>
                  <w:tcW w:w="0" w:type="auto"/>
                  <w:tcBorders>
                    <w:top w:val="single" w:sz="8"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66C4C" w:rsidRPr="00790E9C" w:rsidRDefault="00D66C4C" w:rsidP="00D66C4C">
                  <w:pPr>
                    <w:ind w:left="34"/>
                    <w:jc w:val="right"/>
                    <w:rPr>
                      <w:rFonts w:eastAsia="Calibri"/>
                      <w:color w:val="000000"/>
                    </w:rPr>
                  </w:pPr>
                  <w:r w:rsidRPr="00790E9C">
                    <w:rPr>
                      <w:color w:val="000000"/>
                    </w:rPr>
                    <w:t>07.11.2002</w:t>
                  </w:r>
                </w:p>
              </w:tc>
              <w:tc>
                <w:tcPr>
                  <w:tcW w:w="0" w:type="auto"/>
                  <w:tcBorders>
                    <w:top w:val="single" w:sz="8" w:space="0" w:color="auto"/>
                    <w:left w:val="single" w:sz="4" w:space="0" w:color="auto"/>
                    <w:bottom w:val="single" w:sz="4" w:space="0" w:color="auto"/>
                    <w:right w:val="single" w:sz="8" w:space="0" w:color="auto"/>
                  </w:tcBorders>
                  <w:vAlign w:val="center"/>
                </w:tcPr>
                <w:p w:rsidR="00D66C4C" w:rsidRPr="00A02ACA" w:rsidRDefault="00D66C4C" w:rsidP="00D66C4C">
                  <w:pPr>
                    <w:jc w:val="right"/>
                  </w:pPr>
                  <w:r w:rsidRPr="00A02ACA">
                    <w:t>136 784,53/</w:t>
                  </w:r>
                </w:p>
                <w:p w:rsidR="00D66C4C" w:rsidRPr="00A02ACA" w:rsidRDefault="00D66C4C" w:rsidP="00D66C4C">
                  <w:pPr>
                    <w:jc w:val="right"/>
                  </w:pPr>
                  <w:r w:rsidRPr="00A02ACA">
                    <w:t>194 626,85</w:t>
                  </w:r>
                </w:p>
              </w:tc>
            </w:tr>
            <w:tr w:rsidR="00D66C4C" w:rsidRPr="00A02ACA" w:rsidTr="00AC1AF1">
              <w:tc>
                <w:tcPr>
                  <w:tcW w:w="0" w:type="auto"/>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vAlign w:val="center"/>
                </w:tcPr>
                <w:p w:rsidR="00D66C4C" w:rsidRPr="00790E9C" w:rsidRDefault="00D66C4C" w:rsidP="00D66C4C">
                  <w:pPr>
                    <w:ind w:left="34"/>
                    <w:jc w:val="right"/>
                    <w:rPr>
                      <w:b/>
                      <w:color w:val="000000"/>
                    </w:rPr>
                  </w:pPr>
                  <w:r w:rsidRPr="00790E9C">
                    <w:rPr>
                      <w:b/>
                      <w:color w:val="000000"/>
                    </w:rPr>
                    <w:t xml:space="preserve">Kopā </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66C4C" w:rsidRPr="00790E9C" w:rsidRDefault="00D66C4C" w:rsidP="00D66C4C">
                  <w:pPr>
                    <w:ind w:left="34"/>
                    <w:jc w:val="right"/>
                    <w:rPr>
                      <w:b/>
                      <w:color w:val="000000"/>
                    </w:rPr>
                  </w:pPr>
                  <w:r w:rsidRPr="00790E9C">
                    <w:rPr>
                      <w:b/>
                      <w:color w:val="000000"/>
                    </w:rPr>
                    <w:t xml:space="preserve">23,9 </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66C4C" w:rsidRPr="00790E9C" w:rsidRDefault="00D66C4C" w:rsidP="00D66C4C">
                  <w:pPr>
                    <w:ind w:left="34"/>
                    <w:jc w:val="right"/>
                    <w:rPr>
                      <w:b/>
                      <w:color w:val="000000"/>
                    </w:rPr>
                  </w:pPr>
                </w:p>
              </w:tc>
              <w:tc>
                <w:tcPr>
                  <w:tcW w:w="0" w:type="auto"/>
                  <w:tcBorders>
                    <w:top w:val="single" w:sz="4" w:space="0" w:color="auto"/>
                    <w:left w:val="single" w:sz="4" w:space="0" w:color="auto"/>
                    <w:bottom w:val="single" w:sz="4" w:space="0" w:color="auto"/>
                    <w:right w:val="single" w:sz="8" w:space="0" w:color="auto"/>
                  </w:tcBorders>
                  <w:vAlign w:val="center"/>
                </w:tcPr>
                <w:p w:rsidR="00D66C4C" w:rsidRPr="00790E9C" w:rsidRDefault="00D66C4C" w:rsidP="00D66C4C">
                  <w:pPr>
                    <w:ind w:left="34"/>
                    <w:jc w:val="right"/>
                    <w:rPr>
                      <w:b/>
                      <w:color w:val="000000"/>
                    </w:rPr>
                  </w:pPr>
                  <w:r w:rsidRPr="00790E9C">
                    <w:rPr>
                      <w:b/>
                      <w:color w:val="000000"/>
                    </w:rPr>
                    <w:t>1 813 754,33/</w:t>
                  </w:r>
                </w:p>
                <w:p w:rsidR="00D66C4C" w:rsidRPr="00790E9C" w:rsidRDefault="00D66C4C" w:rsidP="00D66C4C">
                  <w:pPr>
                    <w:ind w:left="34"/>
                    <w:jc w:val="right"/>
                    <w:rPr>
                      <w:b/>
                      <w:color w:val="000000"/>
                    </w:rPr>
                  </w:pPr>
                  <w:r w:rsidRPr="00790E9C">
                    <w:rPr>
                      <w:b/>
                      <w:color w:val="000000"/>
                    </w:rPr>
                    <w:t>2 580 739,90</w:t>
                  </w:r>
                </w:p>
              </w:tc>
            </w:tr>
            <w:tr w:rsidR="00D66C4C" w:rsidRPr="00A02ACA" w:rsidTr="00AC1AF1">
              <w:tc>
                <w:tcPr>
                  <w:tcW w:w="0" w:type="auto"/>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vAlign w:val="bottom"/>
                </w:tcPr>
                <w:p w:rsidR="00D66C4C" w:rsidRPr="00790E9C" w:rsidRDefault="00D66C4C" w:rsidP="00D66C4C">
                  <w:pPr>
                    <w:ind w:left="34"/>
                    <w:jc w:val="right"/>
                    <w:rPr>
                      <w:b/>
                      <w:color w:val="000000"/>
                    </w:rPr>
                  </w:pPr>
                  <w:r w:rsidRPr="00790E9C">
                    <w:rPr>
                      <w:b/>
                      <w:color w:val="000000"/>
                    </w:rPr>
                    <w:t xml:space="preserve">% no kopējā atbalsta apjoma virs tirgus cenas   </w:t>
                  </w:r>
                </w:p>
              </w:tc>
              <w:tc>
                <w:tcPr>
                  <w:tcW w:w="0" w:type="auto"/>
                  <w:tcBorders>
                    <w:top w:val="single" w:sz="4" w:space="0" w:color="auto"/>
                    <w:left w:val="single" w:sz="4" w:space="0" w:color="auto"/>
                    <w:bottom w:val="single" w:sz="8" w:space="0" w:color="auto"/>
                    <w:right w:val="single" w:sz="4" w:space="0" w:color="auto"/>
                  </w:tcBorders>
                  <w:tcMar>
                    <w:top w:w="0" w:type="dxa"/>
                    <w:left w:w="108" w:type="dxa"/>
                    <w:bottom w:w="0" w:type="dxa"/>
                    <w:right w:w="108" w:type="dxa"/>
                  </w:tcMar>
                </w:tcPr>
                <w:p w:rsidR="00D66C4C" w:rsidRPr="00790E9C" w:rsidRDefault="00D66C4C" w:rsidP="00D66C4C">
                  <w:pPr>
                    <w:ind w:left="34"/>
                    <w:jc w:val="center"/>
                    <w:rPr>
                      <w:b/>
                      <w:color w:val="000000"/>
                    </w:rPr>
                  </w:pPr>
                </w:p>
              </w:tc>
              <w:tc>
                <w:tcPr>
                  <w:tcW w:w="0" w:type="auto"/>
                  <w:tcBorders>
                    <w:top w:val="single" w:sz="4" w:space="0" w:color="auto"/>
                    <w:left w:val="single" w:sz="4" w:space="0" w:color="auto"/>
                    <w:bottom w:val="single" w:sz="8" w:space="0" w:color="auto"/>
                    <w:right w:val="single" w:sz="4" w:space="0" w:color="auto"/>
                  </w:tcBorders>
                  <w:tcMar>
                    <w:top w:w="0" w:type="dxa"/>
                    <w:left w:w="108" w:type="dxa"/>
                    <w:bottom w:w="0" w:type="dxa"/>
                    <w:right w:w="108" w:type="dxa"/>
                  </w:tcMar>
                </w:tcPr>
                <w:p w:rsidR="00D66C4C" w:rsidRPr="00790E9C" w:rsidRDefault="00D66C4C" w:rsidP="00D66C4C">
                  <w:pPr>
                    <w:ind w:left="34"/>
                    <w:jc w:val="center"/>
                    <w:rPr>
                      <w:b/>
                      <w:color w:val="000000"/>
                    </w:rPr>
                  </w:pPr>
                </w:p>
              </w:tc>
              <w:tc>
                <w:tcPr>
                  <w:tcW w:w="0" w:type="auto"/>
                  <w:tcBorders>
                    <w:top w:val="single" w:sz="4" w:space="0" w:color="auto"/>
                    <w:left w:val="single" w:sz="4" w:space="0" w:color="auto"/>
                    <w:bottom w:val="single" w:sz="8" w:space="0" w:color="auto"/>
                    <w:right w:val="single" w:sz="8" w:space="0" w:color="auto"/>
                  </w:tcBorders>
                  <w:vAlign w:val="center"/>
                </w:tcPr>
                <w:p w:rsidR="00D66C4C" w:rsidRPr="00790E9C" w:rsidRDefault="00D66C4C" w:rsidP="00D66C4C">
                  <w:pPr>
                    <w:ind w:left="34"/>
                    <w:jc w:val="center"/>
                    <w:rPr>
                      <w:b/>
                      <w:color w:val="000000"/>
                    </w:rPr>
                  </w:pPr>
                  <w:r w:rsidRPr="00790E9C">
                    <w:rPr>
                      <w:b/>
                      <w:color w:val="000000"/>
                    </w:rPr>
                    <w:t>1,23</w:t>
                  </w:r>
                </w:p>
              </w:tc>
            </w:tr>
          </w:tbl>
          <w:p w:rsidR="00D66C4C" w:rsidRPr="00790E9C" w:rsidRDefault="00D66C4C" w:rsidP="00D66C4C">
            <w:pPr>
              <w:pStyle w:val="naislab"/>
              <w:spacing w:before="0" w:after="0"/>
              <w:jc w:val="both"/>
              <w:rPr>
                <w:color w:val="000000"/>
              </w:rPr>
            </w:pPr>
          </w:p>
          <w:p w:rsidR="00D66C4C" w:rsidRPr="00790E9C" w:rsidRDefault="00C0751D" w:rsidP="00D66C4C">
            <w:pPr>
              <w:pStyle w:val="naislab"/>
              <w:spacing w:before="0" w:after="0"/>
              <w:ind w:firstLine="340"/>
              <w:jc w:val="both"/>
              <w:rPr>
                <w:color w:val="000000"/>
              </w:rPr>
            </w:pPr>
            <w:r w:rsidRPr="00C0751D">
              <w:rPr>
                <w:color w:val="000000"/>
              </w:rPr>
              <w:t>2014. gada 20.martā Saeimā pieņemtais likumprojekts „Grozījumi Elektroenerģijas tirgus likumā” paredz, ka Latvijā  elektroenerģijas tirgus pilnībā tiek atvērts 2015. gada 1. janvārī. Ar minētajiem grozījumiem likumā netika mainīts no likuma 30.panta pirmās daļas izrietošais Regulatora pienākums apstiprināt elektroenerģijas tirdzniecības vidējo tarifu saistītajiem lietotājiem, kas piemērojams kā (vēsturiskais) elektroenerģijas realizācijas vidējais tarifs attiecībā uz likuma  30.panta pirmajā daļā noteiktajiem kritērijiem atbilstošajiem elektroenerģijas ražotājiem. Ņemot vērā minēto, ka pēc 2015. gada 1. janvāra nepastāvēs saistītie lietotāji un visi lietotāji iepirks elektroenerģiju par vienošanās cenu, pilnībā atvērta tirgus apstākļos nav iespējams tiesiski pamatoti noteikt ETL 30. panta pirmajā daļā minēto, turklāt, šobrīd neterminētu, cenu, par kādu 30.panta pirmajā daļā minētie ražotāji pārdod elektroenerģiju publiskajam tirgotājam.</w:t>
            </w:r>
          </w:p>
          <w:p w:rsidR="00DC1BE6" w:rsidRPr="00790E9C" w:rsidRDefault="00DC1BE6" w:rsidP="00DC1BE6">
            <w:pPr>
              <w:ind w:firstLine="340"/>
              <w:jc w:val="both"/>
              <w:rPr>
                <w:color w:val="000000"/>
              </w:rPr>
            </w:pPr>
            <w:r w:rsidRPr="00790E9C">
              <w:rPr>
                <w:color w:val="000000"/>
              </w:rPr>
              <w:t>Likumprojekts ir vērsts uz enerģijas ražošanas</w:t>
            </w:r>
            <w:r w:rsidR="001C00F9" w:rsidRPr="00790E9C">
              <w:rPr>
                <w:color w:val="000000"/>
              </w:rPr>
              <w:t>, izmantojot AER</w:t>
            </w:r>
            <w:r w:rsidR="004216B4" w:rsidRPr="00790E9C">
              <w:rPr>
                <w:color w:val="000000"/>
              </w:rPr>
              <w:t>,</w:t>
            </w:r>
            <w:r w:rsidRPr="00790E9C">
              <w:rPr>
                <w:color w:val="000000"/>
              </w:rPr>
              <w:t xml:space="preserve"> un enerģijas ražošanas koģenerācijā atbalsta tiesiskā ietvara sakārtošanu. </w:t>
            </w:r>
            <w:r w:rsidR="00D66C4C" w:rsidRPr="00790E9C">
              <w:rPr>
                <w:color w:val="000000"/>
              </w:rPr>
              <w:t xml:space="preserve">Ar </w:t>
            </w:r>
            <w:r w:rsidRPr="00790E9C">
              <w:rPr>
                <w:color w:val="000000"/>
              </w:rPr>
              <w:t xml:space="preserve">to </w:t>
            </w:r>
            <w:r w:rsidR="00D66C4C" w:rsidRPr="00790E9C">
              <w:rPr>
                <w:color w:val="000000"/>
              </w:rPr>
              <w:t xml:space="preserve">paredzēts ieviest tiesisko regulējumu, atbilstoši Rīcības plānā paredzētajam, lai novērstu situāciju, ka </w:t>
            </w:r>
            <w:r w:rsidR="00D66C4C" w:rsidRPr="00790E9C">
              <w:rPr>
                <w:color w:val="000000"/>
              </w:rPr>
              <w:lastRenderedPageBreak/>
              <w:t>dažiem komersantiem atbalsts nav terminētas, kas, salīdzinot ar cita veida ražotājiem piemēroto atbalstu, rada nevienlīdzīgu situāciju un pārsubsidēšanas risku, draudot radīt konkurences kropļojumus.</w:t>
            </w:r>
            <w:r w:rsidR="00CC0B47" w:rsidRPr="00790E9C">
              <w:rPr>
                <w:color w:val="000000"/>
              </w:rPr>
              <w:t xml:space="preserve"> Ierobežots atbalsta ilgums samazinātu kopējās </w:t>
            </w:r>
            <w:r w:rsidR="00CC0B47" w:rsidRPr="00790E9C">
              <w:rPr>
                <w:i/>
                <w:color w:val="000000"/>
              </w:rPr>
              <w:t>feed-in</w:t>
            </w:r>
            <w:r w:rsidR="00CC0B47" w:rsidRPr="00790E9C">
              <w:rPr>
                <w:rStyle w:val="FootnoteReference"/>
                <w:i/>
                <w:color w:val="000000"/>
              </w:rPr>
              <w:footnoteReference w:id="1"/>
            </w:r>
            <w:r w:rsidR="00CC0B47" w:rsidRPr="00790E9C">
              <w:rPr>
                <w:color w:val="000000"/>
              </w:rPr>
              <w:t xml:space="preserve"> tarifa sistēmas izmaksas. </w:t>
            </w:r>
          </w:p>
          <w:p w:rsidR="00D66C4C" w:rsidRPr="00790E9C" w:rsidRDefault="00D66C4C" w:rsidP="00DC1BE6">
            <w:pPr>
              <w:ind w:firstLine="340"/>
              <w:jc w:val="both"/>
              <w:rPr>
                <w:color w:val="000000"/>
              </w:rPr>
            </w:pPr>
            <w:r w:rsidRPr="00790E9C">
              <w:rPr>
                <w:color w:val="000000"/>
              </w:rPr>
              <w:t xml:space="preserve">Ņemot vērā, ka </w:t>
            </w:r>
            <w:r w:rsidR="00E14AE0" w:rsidRPr="00790E9C">
              <w:rPr>
                <w:color w:val="000000"/>
              </w:rPr>
              <w:t xml:space="preserve">nav tādu </w:t>
            </w:r>
            <w:r w:rsidRPr="00790E9C">
              <w:rPr>
                <w:color w:val="000000"/>
              </w:rPr>
              <w:t>ražotāj</w:t>
            </w:r>
            <w:r w:rsidR="00E14AE0" w:rsidRPr="00790E9C">
              <w:rPr>
                <w:color w:val="000000"/>
              </w:rPr>
              <w:t>u</w:t>
            </w:r>
            <w:r w:rsidRPr="00790E9C">
              <w:rPr>
                <w:color w:val="000000"/>
              </w:rPr>
              <w:t>, kur</w:t>
            </w:r>
            <w:r w:rsidR="00E14AE0" w:rsidRPr="00790E9C">
              <w:rPr>
                <w:color w:val="000000"/>
              </w:rPr>
              <w:t>u</w:t>
            </w:r>
            <w:r w:rsidRPr="00790E9C">
              <w:rPr>
                <w:color w:val="000000"/>
              </w:rPr>
              <w:t xml:space="preserve"> koģenerācijas stacija</w:t>
            </w:r>
            <w:r w:rsidR="00E14AE0" w:rsidRPr="00790E9C">
              <w:rPr>
                <w:color w:val="000000"/>
              </w:rPr>
              <w:t>s</w:t>
            </w:r>
            <w:r w:rsidRPr="00790E9C">
              <w:rPr>
                <w:color w:val="000000"/>
              </w:rPr>
              <w:t xml:space="preserve"> uzsāku</w:t>
            </w:r>
            <w:r w:rsidR="00E14AE0" w:rsidRPr="00790E9C">
              <w:rPr>
                <w:color w:val="000000"/>
              </w:rPr>
              <w:t>šas</w:t>
            </w:r>
            <w:r w:rsidRPr="00790E9C">
              <w:rPr>
                <w:color w:val="000000"/>
              </w:rPr>
              <w:t xml:space="preserve"> elektroenerģijas ražošanu pirms ETL stāšanās spēkā</w:t>
            </w:r>
            <w:r w:rsidR="00CC44B6" w:rsidRPr="00790E9C">
              <w:rPr>
                <w:color w:val="000000"/>
              </w:rPr>
              <w:t xml:space="preserve"> un kuri</w:t>
            </w:r>
            <w:r w:rsidRPr="00790E9C">
              <w:rPr>
                <w:color w:val="000000"/>
              </w:rPr>
              <w:t xml:space="preserve"> izmantoj</w:t>
            </w:r>
            <w:r w:rsidR="00CC44B6" w:rsidRPr="00790E9C">
              <w:rPr>
                <w:color w:val="000000"/>
              </w:rPr>
              <w:t>uši</w:t>
            </w:r>
            <w:r w:rsidRPr="00790E9C">
              <w:rPr>
                <w:color w:val="000000"/>
              </w:rPr>
              <w:t xml:space="preserve"> ETL 28. panta ceturtajā daļā paredzētās tiesības, ar Likumprojektu tiek paredzēts izslēgt ETL 28. panta ceturto daļu.</w:t>
            </w:r>
          </w:p>
          <w:p w:rsidR="00054270" w:rsidRPr="00EE30EE" w:rsidRDefault="00CC0B47" w:rsidP="007C5A0B">
            <w:pPr>
              <w:pStyle w:val="naislab"/>
              <w:ind w:firstLine="340"/>
              <w:jc w:val="both"/>
              <w:rPr>
                <w:color w:val="000000"/>
              </w:rPr>
            </w:pPr>
            <w:r w:rsidRPr="00790E9C">
              <w:rPr>
                <w:color w:val="000000"/>
              </w:rPr>
              <w:t>Starptautiskie pētījumi un pieredze liecina, ka visefektīvākie ir mehānismi, kuri garantē atbalsta sniegšanu 20 gadu periodam</w:t>
            </w:r>
            <w:r w:rsidR="0001793A" w:rsidRPr="00790E9C">
              <w:rPr>
                <w:color w:val="000000"/>
              </w:rPr>
              <w:t>. Tāpat 20 gadu atbalsta termiņš ir noteikts citiem elektroenerģijas ražotājiem, tai skaitā vēja elektrostacijas, kas atbalstu šobrīd saņem saskaņā ar MK noteikumos Nr.262 noteiktajiem cenu un darbības kritērijiem.</w:t>
            </w:r>
            <w:r w:rsidR="0001793A" w:rsidRPr="00790E9C" w:rsidDel="0001793A">
              <w:rPr>
                <w:color w:val="000000"/>
              </w:rPr>
              <w:t xml:space="preserve"> </w:t>
            </w:r>
            <w:r w:rsidR="0001793A" w:rsidRPr="00790E9C">
              <w:rPr>
                <w:color w:val="000000"/>
              </w:rPr>
              <w:t xml:space="preserve">Tādēļ </w:t>
            </w:r>
            <w:r w:rsidR="00D66C4C" w:rsidRPr="00790E9C">
              <w:rPr>
                <w:color w:val="000000"/>
              </w:rPr>
              <w:t>Likumprojekts nosaka, ka ETL 30. panta pirmajā daļa minētie ražotāji, kas pārdod elektroenerģiju publiskajam tirgotājam atbilstoši tiem nosacījumiem par darbības režīmu, iepirkuma vai atbalsta termiņiem un cenu, kādi uz tiem attiecās ETL spēkā stāšanās brīdī un kuriem nebija noteikts atbalsta saņemšanas beigu termiņš, ar 201</w:t>
            </w:r>
            <w:r w:rsidR="000125A0" w:rsidRPr="00790E9C">
              <w:rPr>
                <w:color w:val="000000"/>
              </w:rPr>
              <w:t>5</w:t>
            </w:r>
            <w:r w:rsidR="00D66C4C" w:rsidRPr="00790E9C">
              <w:rPr>
                <w:color w:val="000000"/>
              </w:rPr>
              <w:t>. gada 1. </w:t>
            </w:r>
            <w:r w:rsidR="004D2710" w:rsidRPr="00790E9C">
              <w:rPr>
                <w:color w:val="000000"/>
              </w:rPr>
              <w:t>j</w:t>
            </w:r>
            <w:r w:rsidR="00D66C4C" w:rsidRPr="00790E9C">
              <w:rPr>
                <w:color w:val="000000"/>
              </w:rPr>
              <w:t>anvāri</w:t>
            </w:r>
            <w:r w:rsidR="004D2710" w:rsidRPr="00790E9C">
              <w:rPr>
                <w:color w:val="000000"/>
              </w:rPr>
              <w:t>, bet ne ilgāk kā 20 gadus no elektrostacijas ekspluatācijas uzsākšanas dienas</w:t>
            </w:r>
            <w:r w:rsidR="00A43D83" w:rsidRPr="00790E9C">
              <w:rPr>
                <w:color w:val="000000"/>
              </w:rPr>
              <w:t>,</w:t>
            </w:r>
            <w:r w:rsidR="004D2710" w:rsidRPr="00790E9C">
              <w:rPr>
                <w:color w:val="000000"/>
              </w:rPr>
              <w:t xml:space="preserve"> </w:t>
            </w:r>
            <w:r w:rsidR="00D66C4C" w:rsidRPr="00790E9C">
              <w:rPr>
                <w:color w:val="000000"/>
              </w:rPr>
              <w:t xml:space="preserve">pārdot saražoto elektroenerģiju par cenu </w:t>
            </w:r>
            <w:r w:rsidR="000125A0" w:rsidRPr="00790E9C">
              <w:rPr>
                <w:color w:val="000000"/>
              </w:rPr>
              <w:t xml:space="preserve">0,1112 EUR/kWh, </w:t>
            </w:r>
            <w:r w:rsidR="00A43D83" w:rsidRPr="00EE30EE">
              <w:rPr>
                <w:color w:val="000000"/>
              </w:rPr>
              <w:t xml:space="preserve">tas ir, </w:t>
            </w:r>
            <w:r w:rsidR="00552D29" w:rsidRPr="00EE30EE">
              <w:rPr>
                <w:color w:val="000000"/>
              </w:rPr>
              <w:t>minētajiem ražotājiem</w:t>
            </w:r>
            <w:r w:rsidR="000F62C8" w:rsidRPr="00EE30EE">
              <w:rPr>
                <w:color w:val="000000"/>
              </w:rPr>
              <w:t xml:space="preserve"> tiek</w:t>
            </w:r>
            <w:r w:rsidR="00A43D83" w:rsidRPr="00EE30EE">
              <w:rPr>
                <w:color w:val="000000"/>
              </w:rPr>
              <w:t xml:space="preserve"> saglabāta </w:t>
            </w:r>
            <w:r w:rsidR="00552D29" w:rsidRPr="00EE30EE">
              <w:rPr>
                <w:color w:val="000000"/>
              </w:rPr>
              <w:t xml:space="preserve">obligātā iepirkumā </w:t>
            </w:r>
            <w:r w:rsidR="00EE30EE" w:rsidRPr="00EE30EE">
              <w:rPr>
                <w:color w:val="000000"/>
              </w:rPr>
              <w:t>iepērkamās elektroenerģijas cena</w:t>
            </w:r>
            <w:r w:rsidR="00552D29" w:rsidRPr="00EE30EE">
              <w:rPr>
                <w:color w:val="000000"/>
              </w:rPr>
              <w:t xml:space="preserve">, kas atbilst </w:t>
            </w:r>
            <w:r w:rsidR="00726744" w:rsidRPr="00EE30EE">
              <w:rPr>
                <w:color w:val="000000"/>
              </w:rPr>
              <w:t xml:space="preserve"> </w:t>
            </w:r>
            <w:r w:rsidR="007C5A0B" w:rsidRPr="00EE30EE">
              <w:rPr>
                <w:color w:val="000000"/>
              </w:rPr>
              <w:t>ar Sabiedrisko pakalpojumu regulēšanas komisijas padomes 2014.gada 28.augusta lēmumu Nr.221 apstiprin</w:t>
            </w:r>
            <w:r w:rsidR="00552D29" w:rsidRPr="00EE30EE">
              <w:rPr>
                <w:color w:val="000000"/>
              </w:rPr>
              <w:t>ātajam</w:t>
            </w:r>
            <w:r w:rsidR="007C5A0B" w:rsidRPr="00EE30EE">
              <w:rPr>
                <w:color w:val="000000"/>
              </w:rPr>
              <w:t xml:space="preserve"> </w:t>
            </w:r>
            <w:r w:rsidR="00552D29" w:rsidRPr="00EE30EE">
              <w:rPr>
                <w:color w:val="000000"/>
              </w:rPr>
              <w:t xml:space="preserve">no 2014.gada 1.oktobra piemērojamam </w:t>
            </w:r>
            <w:r w:rsidR="007C5A0B" w:rsidRPr="00EE30EE">
              <w:rPr>
                <w:color w:val="000000"/>
              </w:rPr>
              <w:t>elekt</w:t>
            </w:r>
            <w:r w:rsidR="00552D29" w:rsidRPr="00EE30EE">
              <w:rPr>
                <w:color w:val="000000"/>
              </w:rPr>
              <w:t>roenerģijas tirdzniecības vidējam tarifam</w:t>
            </w:r>
            <w:r w:rsidR="000F62C8" w:rsidRPr="00EE30EE">
              <w:rPr>
                <w:color w:val="000000"/>
              </w:rPr>
              <w:t xml:space="preserve"> saistītajiem lietotājiem.</w:t>
            </w:r>
            <w:r w:rsidR="0076386E" w:rsidRPr="00EE30EE">
              <w:rPr>
                <w:color w:val="000000"/>
              </w:rPr>
              <w:t xml:space="preserve"> Sabiedrisko pakalpojumu regulēšanas komisija elektroenerģijas tirdzniecības vidējo tarifu saistītajiem lietotājiem apstiprina </w:t>
            </w:r>
            <w:r w:rsidR="002E4AE2" w:rsidRPr="00EE30EE">
              <w:rPr>
                <w:color w:val="000000"/>
              </w:rPr>
              <w:t>gadam</w:t>
            </w:r>
            <w:r w:rsidR="00EE30EE">
              <w:rPr>
                <w:color w:val="000000"/>
              </w:rPr>
              <w:t>,</w:t>
            </w:r>
            <w:r w:rsidR="002E4AE2" w:rsidRPr="00EE30EE">
              <w:rPr>
                <w:color w:val="000000"/>
              </w:rPr>
              <w:t xml:space="preserve"> un tas stājas spēkā attiecīgā gada 1.aprīlī. Ņemot vērā, ka ražotāji, kas pārdod elektroenerģiju publiskajam tirgotājam atbilstoši tiem nosacījumiem par darbības režīmu, iepirkuma vai atbalsta termiņiem un cenu, kādi uz tiem attiecās ETL spēkā stāšanās brīdī</w:t>
            </w:r>
            <w:r w:rsidR="006840CE" w:rsidRPr="00EE30EE">
              <w:rPr>
                <w:color w:val="000000"/>
              </w:rPr>
              <w:t xml:space="preserve">, bez regulējuma izmaiņām būtu pārdevuši saražoto elektroenerģiju  par cenu 0,1112 EUR/kWh vismaz līdz 2015.gada 1.aprīlim un turpmākajos gados atbalsts netiks samazināts, </w:t>
            </w:r>
            <w:r w:rsidR="002E4AE2" w:rsidRPr="00EE30EE">
              <w:rPr>
                <w:color w:val="000000"/>
              </w:rPr>
              <w:t>attiecīgiem ražotājiem ir nodrošināts saprātīgs pārejas periods un nosacījumi, lai tie varētu pienācīgi sagatavoties</w:t>
            </w:r>
            <w:r w:rsidR="006840CE" w:rsidRPr="00EE30EE">
              <w:rPr>
                <w:color w:val="000000"/>
              </w:rPr>
              <w:t xml:space="preserve"> jaunā regulējuma spēkā stāšanā br</w:t>
            </w:r>
            <w:r w:rsidR="00C35B73" w:rsidRPr="00EE30EE">
              <w:rPr>
                <w:color w:val="000000"/>
              </w:rPr>
              <w:t>īdim, kā arī nodrošināta tiesiskās paļāvības principa ievērošana.</w:t>
            </w:r>
            <w:r w:rsidR="002E4AE2" w:rsidRPr="00EE30EE">
              <w:rPr>
                <w:color w:val="000000"/>
              </w:rPr>
              <w:t xml:space="preserve">  </w:t>
            </w:r>
          </w:p>
          <w:p w:rsidR="00AC26E7" w:rsidRPr="00A02ACA" w:rsidRDefault="0001793A" w:rsidP="00EE30EE">
            <w:pPr>
              <w:pStyle w:val="naislab"/>
              <w:ind w:firstLine="340"/>
              <w:jc w:val="both"/>
            </w:pPr>
            <w:r w:rsidRPr="00790E9C">
              <w:rPr>
                <w:color w:val="000000"/>
              </w:rPr>
              <w:t xml:space="preserve">Ar Likumprojektu arī tiks novērta situācija, ka gadījumā, ja ETL 30.panta pirmajā daļā minētajiem ražotājiem pēc elektroenerģijas tirgus atvēršanas 2015.gada 1.janvārī Sabiedrisko pakalpojumu regulēšanas komisija nenoteikts cenu, </w:t>
            </w:r>
            <w:r w:rsidRPr="00790E9C">
              <w:rPr>
                <w:color w:val="000000"/>
              </w:rPr>
              <w:lastRenderedPageBreak/>
              <w:t>par kādu tie pārdod elektroenerģiju publiskajam tirgotājam, pastāv augsts konstitucionālās sūdzības LR Satversmes tiesā risks, ko radītu situācija, kad nepastāvētu tiesiskais regulējums, kas noteiktu cenas noteikšanas principus ETL 30.panta pirmajā daļā minētajiem ražotājiem.</w:t>
            </w:r>
          </w:p>
        </w:tc>
      </w:tr>
      <w:tr w:rsidR="0008549E" w:rsidRPr="00A02ACA" w:rsidTr="007F0246">
        <w:trPr>
          <w:trHeight w:val="465"/>
        </w:trPr>
        <w:tc>
          <w:tcPr>
            <w:tcW w:w="133" w:type="pct"/>
            <w:tcBorders>
              <w:top w:val="outset" w:sz="6" w:space="0" w:color="414142"/>
              <w:left w:val="outset" w:sz="6" w:space="0" w:color="414142"/>
              <w:bottom w:val="outset" w:sz="6" w:space="0" w:color="414142"/>
              <w:right w:val="outset" w:sz="6" w:space="0" w:color="414142"/>
            </w:tcBorders>
            <w:hideMark/>
          </w:tcPr>
          <w:p w:rsidR="0008549E" w:rsidRPr="00A02ACA" w:rsidRDefault="0008549E" w:rsidP="00F621BF">
            <w:pPr>
              <w:spacing w:before="100" w:beforeAutospacing="1" w:after="100" w:afterAutospacing="1" w:line="360" w:lineRule="auto"/>
              <w:jc w:val="center"/>
            </w:pPr>
            <w:r w:rsidRPr="00A02ACA">
              <w:lastRenderedPageBreak/>
              <w:t>3.</w:t>
            </w:r>
          </w:p>
        </w:tc>
        <w:tc>
          <w:tcPr>
            <w:tcW w:w="1434" w:type="pct"/>
            <w:tcBorders>
              <w:top w:val="outset" w:sz="6" w:space="0" w:color="414142"/>
              <w:left w:val="outset" w:sz="6" w:space="0" w:color="414142"/>
              <w:bottom w:val="outset" w:sz="6" w:space="0" w:color="414142"/>
              <w:right w:val="outset" w:sz="6" w:space="0" w:color="414142"/>
            </w:tcBorders>
            <w:hideMark/>
          </w:tcPr>
          <w:p w:rsidR="0008549E" w:rsidRPr="00A02ACA" w:rsidRDefault="0008549E" w:rsidP="00D07F03">
            <w:r w:rsidRPr="00A02ACA">
              <w:t>Projekta izstrādē iesaistītās institūcijas</w:t>
            </w:r>
          </w:p>
        </w:tc>
        <w:tc>
          <w:tcPr>
            <w:tcW w:w="3433" w:type="pct"/>
            <w:tcBorders>
              <w:top w:val="outset" w:sz="6" w:space="0" w:color="414142"/>
              <w:left w:val="outset" w:sz="6" w:space="0" w:color="414142"/>
              <w:bottom w:val="outset" w:sz="6" w:space="0" w:color="414142"/>
              <w:right w:val="outset" w:sz="6" w:space="0" w:color="414142"/>
            </w:tcBorders>
            <w:hideMark/>
          </w:tcPr>
          <w:p w:rsidR="0008549E" w:rsidRPr="00A02ACA" w:rsidRDefault="00622FBB" w:rsidP="00343A19">
            <w:pPr>
              <w:spacing w:before="75" w:after="75"/>
              <w:jc w:val="both"/>
            </w:pPr>
            <w:r w:rsidRPr="00A02ACA">
              <w:t>Vēja elektrostaciju, kuras uzsākušas elektroenerģijas ražošanu pirms ETL stāšanās spēkā, pārstāvji</w:t>
            </w:r>
            <w:r w:rsidR="00343A19" w:rsidRPr="00A02ACA">
              <w:t>, Sabiedrisko pakalpojumu regulēšanas komisija</w:t>
            </w:r>
          </w:p>
        </w:tc>
      </w:tr>
      <w:tr w:rsidR="0008549E" w:rsidRPr="00A02ACA" w:rsidTr="007F0246">
        <w:tc>
          <w:tcPr>
            <w:tcW w:w="133" w:type="pct"/>
            <w:tcBorders>
              <w:top w:val="outset" w:sz="6" w:space="0" w:color="414142"/>
              <w:left w:val="outset" w:sz="6" w:space="0" w:color="414142"/>
              <w:bottom w:val="outset" w:sz="6" w:space="0" w:color="414142"/>
              <w:right w:val="outset" w:sz="6" w:space="0" w:color="414142"/>
            </w:tcBorders>
            <w:hideMark/>
          </w:tcPr>
          <w:p w:rsidR="0008549E" w:rsidRPr="00A02ACA" w:rsidRDefault="0008549E" w:rsidP="00F621BF">
            <w:pPr>
              <w:spacing w:before="100" w:beforeAutospacing="1" w:after="100" w:afterAutospacing="1" w:line="360" w:lineRule="auto"/>
              <w:jc w:val="center"/>
            </w:pPr>
            <w:r w:rsidRPr="00A02ACA">
              <w:t>4.</w:t>
            </w:r>
          </w:p>
        </w:tc>
        <w:tc>
          <w:tcPr>
            <w:tcW w:w="1434" w:type="pct"/>
            <w:tcBorders>
              <w:top w:val="outset" w:sz="6" w:space="0" w:color="414142"/>
              <w:left w:val="outset" w:sz="6" w:space="0" w:color="414142"/>
              <w:bottom w:val="outset" w:sz="6" w:space="0" w:color="414142"/>
              <w:right w:val="outset" w:sz="6" w:space="0" w:color="414142"/>
            </w:tcBorders>
            <w:hideMark/>
          </w:tcPr>
          <w:p w:rsidR="0008549E" w:rsidRPr="00A02ACA" w:rsidRDefault="0008549E" w:rsidP="00D07F03">
            <w:r w:rsidRPr="00A02ACA">
              <w:t>Cita informācija</w:t>
            </w:r>
          </w:p>
        </w:tc>
        <w:tc>
          <w:tcPr>
            <w:tcW w:w="3433" w:type="pct"/>
            <w:tcBorders>
              <w:top w:val="outset" w:sz="6" w:space="0" w:color="414142"/>
              <w:left w:val="outset" w:sz="6" w:space="0" w:color="414142"/>
              <w:bottom w:val="outset" w:sz="6" w:space="0" w:color="414142"/>
              <w:right w:val="outset" w:sz="6" w:space="0" w:color="414142"/>
            </w:tcBorders>
            <w:hideMark/>
          </w:tcPr>
          <w:p w:rsidR="0008549E" w:rsidRPr="00A02ACA" w:rsidRDefault="0008549E" w:rsidP="00BD175D">
            <w:pPr>
              <w:spacing w:before="100" w:beforeAutospacing="1" w:after="100" w:afterAutospacing="1" w:line="360" w:lineRule="auto"/>
            </w:pPr>
            <w:r w:rsidRPr="00A02ACA">
              <w:t>Nav</w:t>
            </w:r>
          </w:p>
        </w:tc>
      </w:tr>
    </w:tbl>
    <w:p w:rsidR="00994989" w:rsidRPr="00A02ACA" w:rsidRDefault="00994989" w:rsidP="00280753">
      <w:pPr>
        <w:pStyle w:val="naisf"/>
        <w:spacing w:before="0" w:beforeAutospacing="0" w:after="0" w:afterAutospacing="0"/>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6"/>
        <w:gridCol w:w="2831"/>
        <w:gridCol w:w="5844"/>
      </w:tblGrid>
      <w:tr w:rsidR="00D07F03" w:rsidRPr="00A02ACA" w:rsidTr="00D07F03">
        <w:trPr>
          <w:trHeight w:val="55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D07F03" w:rsidRPr="00A02ACA" w:rsidRDefault="00D07F03" w:rsidP="00D07F03">
            <w:pPr>
              <w:spacing w:before="100" w:beforeAutospacing="1" w:after="100" w:afterAutospacing="1" w:line="360" w:lineRule="auto"/>
              <w:ind w:firstLine="300"/>
              <w:jc w:val="center"/>
              <w:rPr>
                <w:b/>
                <w:bCs/>
              </w:rPr>
            </w:pPr>
            <w:r w:rsidRPr="00A02ACA">
              <w:rPr>
                <w:b/>
                <w:bCs/>
              </w:rPr>
              <w:t>II. Tiesību akta projekta ietekme uz sabiedrību, tautsaimniecības attīstību un administratīvo slogu</w:t>
            </w:r>
          </w:p>
        </w:tc>
      </w:tr>
      <w:tr w:rsidR="0008549E" w:rsidRPr="00A02ACA" w:rsidTr="00D07F03">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08549E" w:rsidRPr="00A02ACA" w:rsidRDefault="0008549E" w:rsidP="00D07F03">
            <w:r w:rsidRPr="00A02ACA">
              <w:t>1.</w:t>
            </w:r>
          </w:p>
        </w:tc>
        <w:tc>
          <w:tcPr>
            <w:tcW w:w="1550" w:type="pct"/>
            <w:tcBorders>
              <w:top w:val="outset" w:sz="6" w:space="0" w:color="414142"/>
              <w:left w:val="outset" w:sz="6" w:space="0" w:color="414142"/>
              <w:bottom w:val="outset" w:sz="6" w:space="0" w:color="414142"/>
              <w:right w:val="outset" w:sz="6" w:space="0" w:color="414142"/>
            </w:tcBorders>
            <w:hideMark/>
          </w:tcPr>
          <w:p w:rsidR="0008549E" w:rsidRPr="00A02ACA" w:rsidRDefault="0008549E" w:rsidP="00D07F03">
            <w:r w:rsidRPr="00A02ACA">
              <w:t>Sabiedrības mērķgrupas, kuras tiesiskais regulējums ietekmē vai varētu ietekmēt</w:t>
            </w:r>
          </w:p>
        </w:tc>
        <w:tc>
          <w:tcPr>
            <w:tcW w:w="3200" w:type="pct"/>
            <w:tcBorders>
              <w:top w:val="outset" w:sz="6" w:space="0" w:color="414142"/>
              <w:left w:val="outset" w:sz="6" w:space="0" w:color="414142"/>
              <w:bottom w:val="outset" w:sz="6" w:space="0" w:color="414142"/>
              <w:right w:val="outset" w:sz="6" w:space="0" w:color="414142"/>
            </w:tcBorders>
            <w:hideMark/>
          </w:tcPr>
          <w:p w:rsidR="0008549E" w:rsidRPr="00A02ACA" w:rsidRDefault="00925F8F" w:rsidP="00EE30EE">
            <w:pPr>
              <w:spacing w:before="75" w:after="75"/>
              <w:jc w:val="both"/>
            </w:pPr>
            <w:r w:rsidRPr="00A02ACA">
              <w:t xml:space="preserve">Elektroenerģijas ražotāji, kas pārdot saražoto elektroenerģiju obligātā iepirkuma ietvaros,  publiskais tirgotājs, </w:t>
            </w:r>
            <w:r w:rsidR="00866180" w:rsidRPr="00A02ACA">
              <w:t xml:space="preserve">sadales sistēmas operatori, kuri </w:t>
            </w:r>
            <w:r w:rsidR="009501D6" w:rsidRPr="00A02ACA">
              <w:t>ietilps vertikāli integrētu e</w:t>
            </w:r>
            <w:r w:rsidR="00622FBB" w:rsidRPr="00A02ACA">
              <w:t>nergoapgādes komersantu sastāvā, mājsaimniecības lietotāji.</w:t>
            </w:r>
          </w:p>
        </w:tc>
      </w:tr>
      <w:tr w:rsidR="00D07F03" w:rsidRPr="00A02ACA" w:rsidTr="00D07F03">
        <w:trPr>
          <w:trHeight w:val="510"/>
        </w:trPr>
        <w:tc>
          <w:tcPr>
            <w:tcW w:w="250" w:type="pct"/>
            <w:tcBorders>
              <w:top w:val="outset" w:sz="6" w:space="0" w:color="414142"/>
              <w:left w:val="outset" w:sz="6" w:space="0" w:color="414142"/>
              <w:bottom w:val="outset" w:sz="6" w:space="0" w:color="414142"/>
              <w:right w:val="outset" w:sz="6" w:space="0" w:color="414142"/>
            </w:tcBorders>
            <w:hideMark/>
          </w:tcPr>
          <w:p w:rsidR="00D07F03" w:rsidRPr="00A02ACA" w:rsidRDefault="00D07F03" w:rsidP="00D07F03">
            <w:r w:rsidRPr="00A02ACA">
              <w:t>2.</w:t>
            </w:r>
          </w:p>
        </w:tc>
        <w:tc>
          <w:tcPr>
            <w:tcW w:w="1550" w:type="pct"/>
            <w:tcBorders>
              <w:top w:val="outset" w:sz="6" w:space="0" w:color="414142"/>
              <w:left w:val="outset" w:sz="6" w:space="0" w:color="414142"/>
              <w:bottom w:val="outset" w:sz="6" w:space="0" w:color="414142"/>
              <w:right w:val="outset" w:sz="6" w:space="0" w:color="414142"/>
            </w:tcBorders>
            <w:hideMark/>
          </w:tcPr>
          <w:p w:rsidR="00D07F03" w:rsidRPr="00A02ACA" w:rsidRDefault="00D07F03" w:rsidP="00D07F03">
            <w:r w:rsidRPr="00A02ACA">
              <w:t>Tiesiskā regulējuma ietekme uz tautsaimniecību un administratīvo slogu</w:t>
            </w:r>
          </w:p>
        </w:tc>
        <w:tc>
          <w:tcPr>
            <w:tcW w:w="3200" w:type="pct"/>
            <w:tcBorders>
              <w:top w:val="outset" w:sz="6" w:space="0" w:color="414142"/>
              <w:left w:val="outset" w:sz="6" w:space="0" w:color="414142"/>
              <w:bottom w:val="outset" w:sz="6" w:space="0" w:color="414142"/>
              <w:right w:val="outset" w:sz="6" w:space="0" w:color="414142"/>
            </w:tcBorders>
            <w:hideMark/>
          </w:tcPr>
          <w:p w:rsidR="006F63DB" w:rsidRPr="00A02ACA" w:rsidRDefault="00795E09" w:rsidP="00C35B73">
            <w:pPr>
              <w:jc w:val="both"/>
            </w:pPr>
            <w:r w:rsidRPr="00A02ACA">
              <w:t>Ar Likumprojektu tiek samazināts a</w:t>
            </w:r>
            <w:r w:rsidR="00A07CA4" w:rsidRPr="00A02ACA">
              <w:t>dministratīvais slogs</w:t>
            </w:r>
            <w:r w:rsidR="00FF50D7">
              <w:t xml:space="preserve"> </w:t>
            </w:r>
            <w:r w:rsidR="00CC44B6" w:rsidRPr="00A02ACA">
              <w:t>Sabiedrisko pakalpojumu regulēšanas komisijai, kurai, sākot ar 2015.gada 1.janv</w:t>
            </w:r>
            <w:r w:rsidR="0005379F" w:rsidRPr="00A02ACA">
              <w:t>ā</w:t>
            </w:r>
            <w:r w:rsidR="00CC44B6" w:rsidRPr="00A02ACA">
              <w:t>ri</w:t>
            </w:r>
            <w:r w:rsidR="00707406" w:rsidRPr="00A02ACA">
              <w:t>,</w:t>
            </w:r>
            <w:r w:rsidR="00CC44B6" w:rsidRPr="00A02ACA">
              <w:t xml:space="preserve"> nebūs jānosaka un </w:t>
            </w:r>
            <w:r w:rsidR="009501D6" w:rsidRPr="00A02ACA">
              <w:t>jā</w:t>
            </w:r>
            <w:r w:rsidR="00CC44B6" w:rsidRPr="00A02ACA">
              <w:t>apstiprina elektroenerģijas tirdzniecības vidējais tarifs saistītajiem lietotājiem</w:t>
            </w:r>
            <w:r w:rsidR="00707406" w:rsidRPr="00A02ACA">
              <w:t>;</w:t>
            </w:r>
          </w:p>
          <w:p w:rsidR="00070ED4" w:rsidRPr="00A02ACA" w:rsidRDefault="00D30050" w:rsidP="00795E09">
            <w:pPr>
              <w:ind w:firstLine="340"/>
              <w:jc w:val="both"/>
            </w:pPr>
            <w:r w:rsidRPr="00A02ACA">
              <w:t>Lai nodrošinātu</w:t>
            </w:r>
            <w:r w:rsidR="00795E09" w:rsidRPr="00A02ACA">
              <w:t xml:space="preserve"> Likumprojektā noteiktās </w:t>
            </w:r>
            <w:r w:rsidRPr="00A02ACA">
              <w:t>sadales sistēmas operatora neatkarības prasības attiec</w:t>
            </w:r>
            <w:r w:rsidR="00866180" w:rsidRPr="00A02ACA">
              <w:t>ībā uz zīmolu</w:t>
            </w:r>
            <w:r w:rsidRPr="00A02ACA">
              <w:t xml:space="preserve">, </w:t>
            </w:r>
            <w:r w:rsidR="00866180" w:rsidRPr="00A02ACA">
              <w:t xml:space="preserve">AS „Sadales tīkls”, </w:t>
            </w:r>
            <w:r w:rsidRPr="00A02ACA">
              <w:t>kur</w:t>
            </w:r>
            <w:r w:rsidR="00866180" w:rsidRPr="00A02ACA">
              <w:t>a</w:t>
            </w:r>
            <w:r w:rsidRPr="00A02ACA">
              <w:t xml:space="preserve"> </w:t>
            </w:r>
            <w:r w:rsidR="00866180" w:rsidRPr="00A02ACA">
              <w:t>ietilpst vertikāli integrēta elektroapgādes komersanta AS „Latvenergo” sastāvā</w:t>
            </w:r>
            <w:r w:rsidR="009501D6" w:rsidRPr="00A02ACA">
              <w:t xml:space="preserve">, </w:t>
            </w:r>
            <w:r w:rsidR="00795E09" w:rsidRPr="00A02ACA">
              <w:t xml:space="preserve">būs jāveic pilnīga zīmola nomaiņa. AS „Sadales tīkls” </w:t>
            </w:r>
            <w:r w:rsidR="009501D6" w:rsidRPr="00A02ACA">
              <w:t>jau ir uzsākusi darbu pie kompānijas jaunā tēla veidošanas, izstrādājot un ieviešot neatkarīgu no AS „Latvenergo” tīmekļa vietni</w:t>
            </w:r>
            <w:r w:rsidR="009501D6" w:rsidRPr="00A02ACA">
              <w:rPr>
                <w:u w:val="single"/>
              </w:rPr>
              <w:t xml:space="preserve"> </w:t>
            </w:r>
            <w:hyperlink r:id="rId9" w:history="1">
              <w:r w:rsidR="009501D6" w:rsidRPr="00A02ACA">
                <w:rPr>
                  <w:rStyle w:val="Hyperlink"/>
                  <w:u w:val="single"/>
                </w:rPr>
                <w:t>www.sadalestikls.lv</w:t>
              </w:r>
            </w:hyperlink>
            <w:r w:rsidR="00BA5C47" w:rsidRPr="00A02ACA">
              <w:t>, kurā pielietotās krāsas atšķiras no mātes kompānijas timekļa vietnē izmantotajām krāsām.</w:t>
            </w:r>
            <w:r w:rsidR="00FD3366" w:rsidRPr="00A02ACA">
              <w:t xml:space="preserve"> </w:t>
            </w:r>
          </w:p>
        </w:tc>
      </w:tr>
      <w:tr w:rsidR="00D07F03" w:rsidRPr="00A02ACA" w:rsidTr="00D07F03">
        <w:trPr>
          <w:trHeight w:val="510"/>
        </w:trPr>
        <w:tc>
          <w:tcPr>
            <w:tcW w:w="250" w:type="pct"/>
            <w:tcBorders>
              <w:top w:val="outset" w:sz="6" w:space="0" w:color="414142"/>
              <w:left w:val="outset" w:sz="6" w:space="0" w:color="414142"/>
              <w:bottom w:val="outset" w:sz="6" w:space="0" w:color="414142"/>
              <w:right w:val="outset" w:sz="6" w:space="0" w:color="414142"/>
            </w:tcBorders>
            <w:hideMark/>
          </w:tcPr>
          <w:p w:rsidR="00D07F03" w:rsidRPr="00A02ACA" w:rsidRDefault="00D07F03" w:rsidP="00D07F03">
            <w:r w:rsidRPr="00A02ACA">
              <w:t>3.</w:t>
            </w:r>
          </w:p>
        </w:tc>
        <w:tc>
          <w:tcPr>
            <w:tcW w:w="1550" w:type="pct"/>
            <w:tcBorders>
              <w:top w:val="outset" w:sz="6" w:space="0" w:color="414142"/>
              <w:left w:val="outset" w:sz="6" w:space="0" w:color="414142"/>
              <w:bottom w:val="outset" w:sz="6" w:space="0" w:color="414142"/>
              <w:right w:val="outset" w:sz="6" w:space="0" w:color="414142"/>
            </w:tcBorders>
            <w:hideMark/>
          </w:tcPr>
          <w:p w:rsidR="00D07F03" w:rsidRPr="00A02ACA" w:rsidRDefault="00D07F03" w:rsidP="00D07F03">
            <w:r w:rsidRPr="00A02ACA">
              <w:t>Administratīvo izmaksu monetārs novērtējums</w:t>
            </w:r>
          </w:p>
        </w:tc>
        <w:tc>
          <w:tcPr>
            <w:tcW w:w="3200" w:type="pct"/>
            <w:tcBorders>
              <w:top w:val="outset" w:sz="6" w:space="0" w:color="414142"/>
              <w:left w:val="outset" w:sz="6" w:space="0" w:color="414142"/>
              <w:bottom w:val="outset" w:sz="6" w:space="0" w:color="414142"/>
              <w:right w:val="outset" w:sz="6" w:space="0" w:color="414142"/>
            </w:tcBorders>
            <w:hideMark/>
          </w:tcPr>
          <w:p w:rsidR="00D71630" w:rsidRPr="00A02ACA" w:rsidRDefault="00795E09" w:rsidP="006C1FFA">
            <w:pPr>
              <w:ind w:firstLine="340"/>
              <w:jc w:val="both"/>
            </w:pPr>
            <w:r w:rsidRPr="00A02ACA">
              <w:t>Ņemot vērā, ka 2014.gada 1.ceturksnī vienas stundas darbaspēka izmaksas valsts pārvaldē ir 7,52 EUR</w:t>
            </w:r>
            <w:r w:rsidR="00E01278" w:rsidRPr="00A02ACA">
              <w:t>, izmaksu samazinājums Sabiedrisko pakalpojumu regulēšanas komisijai saistībā ar atcelto prasību  apstiprināt elektroenerģijas tirdzniecības vidēj</w:t>
            </w:r>
            <w:r w:rsidR="004216B4" w:rsidRPr="00A02ACA">
              <w:t>o</w:t>
            </w:r>
            <w:r w:rsidR="00E01278" w:rsidRPr="00A02ACA">
              <w:t xml:space="preserve"> tarif</w:t>
            </w:r>
            <w:r w:rsidR="004216B4" w:rsidRPr="00A02ACA">
              <w:t>u</w:t>
            </w:r>
            <w:r w:rsidR="00E01278" w:rsidRPr="00A02ACA">
              <w:t xml:space="preserve"> saistītajiem lietotājiem būs mazāks par 200 EUR</w:t>
            </w:r>
            <w:r w:rsidR="006C1FFA" w:rsidRPr="00A02ACA">
              <w:t>.</w:t>
            </w:r>
          </w:p>
          <w:p w:rsidR="00070ED4" w:rsidRPr="00A02ACA" w:rsidRDefault="006C1FFA" w:rsidP="006C1FFA">
            <w:pPr>
              <w:ind w:firstLine="340"/>
              <w:jc w:val="both"/>
            </w:pPr>
            <w:r w:rsidRPr="00A02ACA">
              <w:t>AS „Sadales tīkls” izmaksas, kas saistītas ar zīmola maiņu, būs aptuvenu aptuveni 100 000</w:t>
            </w:r>
            <w:r w:rsidR="00070ED4" w:rsidRPr="00A02ACA">
              <w:t xml:space="preserve"> EUR.</w:t>
            </w:r>
          </w:p>
        </w:tc>
      </w:tr>
      <w:tr w:rsidR="00D07F03" w:rsidRPr="00A02ACA" w:rsidTr="00D07F03">
        <w:trPr>
          <w:trHeight w:val="345"/>
        </w:trPr>
        <w:tc>
          <w:tcPr>
            <w:tcW w:w="250" w:type="pct"/>
            <w:tcBorders>
              <w:top w:val="outset" w:sz="6" w:space="0" w:color="414142"/>
              <w:left w:val="outset" w:sz="6" w:space="0" w:color="414142"/>
              <w:bottom w:val="outset" w:sz="6" w:space="0" w:color="414142"/>
              <w:right w:val="outset" w:sz="6" w:space="0" w:color="414142"/>
            </w:tcBorders>
            <w:hideMark/>
          </w:tcPr>
          <w:p w:rsidR="00D07F03" w:rsidRPr="00A02ACA" w:rsidRDefault="00D07F03" w:rsidP="00D07F03">
            <w:r w:rsidRPr="00A02ACA">
              <w:t>4.</w:t>
            </w:r>
          </w:p>
        </w:tc>
        <w:tc>
          <w:tcPr>
            <w:tcW w:w="1550" w:type="pct"/>
            <w:tcBorders>
              <w:top w:val="outset" w:sz="6" w:space="0" w:color="414142"/>
              <w:left w:val="outset" w:sz="6" w:space="0" w:color="414142"/>
              <w:bottom w:val="outset" w:sz="6" w:space="0" w:color="414142"/>
              <w:right w:val="outset" w:sz="6" w:space="0" w:color="414142"/>
            </w:tcBorders>
            <w:hideMark/>
          </w:tcPr>
          <w:p w:rsidR="00D07F03" w:rsidRPr="00A02ACA" w:rsidRDefault="00D07F03" w:rsidP="00D07F03">
            <w:r w:rsidRPr="00A02ACA">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rsidR="00D07F03" w:rsidRPr="00A02ACA" w:rsidRDefault="00D07F03" w:rsidP="00B71A23">
            <w:pPr>
              <w:spacing w:before="100" w:beforeAutospacing="1" w:after="100" w:afterAutospacing="1" w:line="360" w:lineRule="auto"/>
            </w:pPr>
            <w:r w:rsidRPr="00A02ACA">
              <w:t>Nav</w:t>
            </w:r>
          </w:p>
        </w:tc>
      </w:tr>
    </w:tbl>
    <w:p w:rsidR="0093184A" w:rsidRDefault="0093184A" w:rsidP="0093184A">
      <w:pPr>
        <w:jc w:val="center"/>
        <w:rPr>
          <w:bCs/>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15"/>
        <w:gridCol w:w="1056"/>
        <w:gridCol w:w="1272"/>
        <w:gridCol w:w="1271"/>
        <w:gridCol w:w="1223"/>
        <w:gridCol w:w="1150"/>
      </w:tblGrid>
      <w:tr w:rsidR="00D03B7C" w:rsidRPr="003D12AB" w:rsidTr="00AC1AF1">
        <w:tc>
          <w:tcPr>
            <w:tcW w:w="9287" w:type="dxa"/>
            <w:gridSpan w:val="6"/>
          </w:tcPr>
          <w:p w:rsidR="00D03B7C" w:rsidRPr="003D12AB" w:rsidRDefault="00D03B7C" w:rsidP="00AC1AF1">
            <w:pPr>
              <w:pStyle w:val="tvhtml1"/>
              <w:spacing w:before="0" w:beforeAutospacing="0" w:line="240" w:lineRule="auto"/>
              <w:jc w:val="center"/>
              <w:rPr>
                <w:rFonts w:ascii="Times New Roman" w:hAnsi="Times New Roman"/>
                <w:sz w:val="24"/>
                <w:szCs w:val="24"/>
              </w:rPr>
            </w:pPr>
            <w:r w:rsidRPr="003D12AB">
              <w:rPr>
                <w:rFonts w:ascii="Times New Roman" w:hAnsi="Times New Roman"/>
                <w:b/>
                <w:bCs/>
                <w:sz w:val="24"/>
                <w:szCs w:val="24"/>
              </w:rPr>
              <w:t>III. Tiesību akta projekta ietekme uz valsts budžetu un pašvaldību budžetiem</w:t>
            </w:r>
          </w:p>
        </w:tc>
      </w:tr>
      <w:tr w:rsidR="00D03B7C" w:rsidRPr="003D12AB" w:rsidTr="007F0246">
        <w:tc>
          <w:tcPr>
            <w:tcW w:w="3315" w:type="dxa"/>
            <w:vMerge w:val="restart"/>
            <w:vAlign w:val="center"/>
          </w:tcPr>
          <w:p w:rsidR="00D03B7C" w:rsidRPr="003D12AB" w:rsidRDefault="00D03B7C" w:rsidP="00AC1AF1">
            <w:pPr>
              <w:pStyle w:val="tvhtml1"/>
              <w:spacing w:before="0" w:beforeAutospacing="0" w:line="240" w:lineRule="auto"/>
              <w:jc w:val="center"/>
              <w:rPr>
                <w:rFonts w:ascii="Times New Roman" w:hAnsi="Times New Roman"/>
                <w:sz w:val="24"/>
                <w:szCs w:val="24"/>
              </w:rPr>
            </w:pPr>
            <w:r w:rsidRPr="003D12AB">
              <w:rPr>
                <w:rFonts w:ascii="Times New Roman" w:hAnsi="Times New Roman"/>
                <w:b/>
                <w:bCs/>
                <w:sz w:val="24"/>
                <w:szCs w:val="24"/>
              </w:rPr>
              <w:t>Rādītāji</w:t>
            </w:r>
          </w:p>
        </w:tc>
        <w:tc>
          <w:tcPr>
            <w:tcW w:w="2328" w:type="dxa"/>
            <w:gridSpan w:val="2"/>
            <w:vMerge w:val="restart"/>
            <w:vAlign w:val="center"/>
          </w:tcPr>
          <w:p w:rsidR="00D03B7C" w:rsidRPr="003D12AB" w:rsidRDefault="00D03B7C" w:rsidP="00AC1AF1">
            <w:pPr>
              <w:pStyle w:val="tvhtml1"/>
              <w:spacing w:before="0" w:beforeAutospacing="0" w:line="240" w:lineRule="auto"/>
              <w:jc w:val="center"/>
              <w:rPr>
                <w:rFonts w:ascii="Times New Roman" w:hAnsi="Times New Roman"/>
                <w:sz w:val="24"/>
                <w:szCs w:val="24"/>
              </w:rPr>
            </w:pPr>
            <w:r w:rsidRPr="003D12AB">
              <w:rPr>
                <w:rFonts w:ascii="Times New Roman" w:hAnsi="Times New Roman"/>
                <w:b/>
                <w:bCs/>
                <w:sz w:val="24"/>
                <w:szCs w:val="24"/>
              </w:rPr>
              <w:t>n-tais gads</w:t>
            </w:r>
          </w:p>
        </w:tc>
        <w:tc>
          <w:tcPr>
            <w:tcW w:w="3644" w:type="dxa"/>
            <w:gridSpan w:val="3"/>
            <w:vAlign w:val="center"/>
          </w:tcPr>
          <w:p w:rsidR="00D03B7C" w:rsidRPr="003D12AB" w:rsidRDefault="00D03B7C" w:rsidP="00AC1AF1">
            <w:pPr>
              <w:pStyle w:val="tvhtml1"/>
              <w:spacing w:before="0" w:beforeAutospacing="0" w:line="240" w:lineRule="auto"/>
              <w:jc w:val="center"/>
              <w:rPr>
                <w:rFonts w:ascii="Times New Roman" w:hAnsi="Times New Roman"/>
                <w:sz w:val="24"/>
                <w:szCs w:val="24"/>
              </w:rPr>
            </w:pPr>
            <w:r w:rsidRPr="003D12AB">
              <w:rPr>
                <w:rFonts w:ascii="Times New Roman" w:hAnsi="Times New Roman"/>
                <w:sz w:val="24"/>
                <w:szCs w:val="24"/>
              </w:rPr>
              <w:t>Turpmākie trīs gadi (</w:t>
            </w:r>
            <w:proofErr w:type="spellStart"/>
            <w:r w:rsidRPr="003D12AB">
              <w:rPr>
                <w:rFonts w:ascii="Times New Roman" w:hAnsi="Times New Roman"/>
                <w:sz w:val="24"/>
                <w:szCs w:val="24"/>
              </w:rPr>
              <w:t>tūkst</w:t>
            </w:r>
            <w:proofErr w:type="spellEnd"/>
            <w:r w:rsidRPr="003D12AB">
              <w:rPr>
                <w:rFonts w:ascii="Times New Roman" w:hAnsi="Times New Roman"/>
                <w:sz w:val="24"/>
                <w:szCs w:val="24"/>
              </w:rPr>
              <w:t>. latu)</w:t>
            </w:r>
          </w:p>
        </w:tc>
      </w:tr>
      <w:tr w:rsidR="00D03B7C" w:rsidRPr="003D12AB" w:rsidTr="007F0246">
        <w:tc>
          <w:tcPr>
            <w:tcW w:w="3315" w:type="dxa"/>
            <w:vMerge/>
            <w:vAlign w:val="center"/>
          </w:tcPr>
          <w:p w:rsidR="00D03B7C" w:rsidRPr="003D12AB" w:rsidRDefault="00D03B7C" w:rsidP="00AC1AF1"/>
        </w:tc>
        <w:tc>
          <w:tcPr>
            <w:tcW w:w="2328" w:type="dxa"/>
            <w:gridSpan w:val="2"/>
            <w:vMerge/>
            <w:vAlign w:val="center"/>
          </w:tcPr>
          <w:p w:rsidR="00D03B7C" w:rsidRPr="003D12AB" w:rsidRDefault="00D03B7C" w:rsidP="00AC1AF1"/>
        </w:tc>
        <w:tc>
          <w:tcPr>
            <w:tcW w:w="1271" w:type="dxa"/>
            <w:vAlign w:val="center"/>
          </w:tcPr>
          <w:p w:rsidR="00D03B7C" w:rsidRPr="003D12AB" w:rsidRDefault="00D03B7C" w:rsidP="00AC1AF1">
            <w:pPr>
              <w:pStyle w:val="tvhtml1"/>
              <w:spacing w:before="0" w:beforeAutospacing="0" w:line="240" w:lineRule="auto"/>
              <w:jc w:val="center"/>
              <w:rPr>
                <w:rFonts w:ascii="Times New Roman" w:hAnsi="Times New Roman"/>
                <w:sz w:val="24"/>
                <w:szCs w:val="24"/>
              </w:rPr>
            </w:pPr>
            <w:r w:rsidRPr="003D12AB">
              <w:rPr>
                <w:rFonts w:ascii="Times New Roman" w:hAnsi="Times New Roman"/>
                <w:b/>
                <w:bCs/>
                <w:sz w:val="24"/>
                <w:szCs w:val="24"/>
              </w:rPr>
              <w:t>n+1</w:t>
            </w:r>
          </w:p>
        </w:tc>
        <w:tc>
          <w:tcPr>
            <w:tcW w:w="1223" w:type="dxa"/>
            <w:vAlign w:val="center"/>
          </w:tcPr>
          <w:p w:rsidR="00D03B7C" w:rsidRPr="003D12AB" w:rsidRDefault="00D03B7C" w:rsidP="00AC1AF1">
            <w:pPr>
              <w:pStyle w:val="tvhtml1"/>
              <w:spacing w:before="0" w:beforeAutospacing="0" w:line="240" w:lineRule="auto"/>
              <w:jc w:val="center"/>
              <w:rPr>
                <w:rFonts w:ascii="Times New Roman" w:hAnsi="Times New Roman"/>
                <w:sz w:val="24"/>
                <w:szCs w:val="24"/>
              </w:rPr>
            </w:pPr>
            <w:r w:rsidRPr="003D12AB">
              <w:rPr>
                <w:rFonts w:ascii="Times New Roman" w:hAnsi="Times New Roman"/>
                <w:b/>
                <w:bCs/>
                <w:sz w:val="24"/>
                <w:szCs w:val="24"/>
              </w:rPr>
              <w:t>n+2</w:t>
            </w:r>
          </w:p>
        </w:tc>
        <w:tc>
          <w:tcPr>
            <w:tcW w:w="1150" w:type="dxa"/>
            <w:vAlign w:val="center"/>
          </w:tcPr>
          <w:p w:rsidR="00D03B7C" w:rsidRPr="003D12AB" w:rsidRDefault="00D03B7C" w:rsidP="00AC1AF1">
            <w:pPr>
              <w:pStyle w:val="tvhtml1"/>
              <w:spacing w:before="0" w:beforeAutospacing="0" w:line="240" w:lineRule="auto"/>
              <w:jc w:val="center"/>
              <w:rPr>
                <w:rFonts w:ascii="Times New Roman" w:hAnsi="Times New Roman"/>
                <w:sz w:val="24"/>
                <w:szCs w:val="24"/>
              </w:rPr>
            </w:pPr>
            <w:r w:rsidRPr="003D12AB">
              <w:rPr>
                <w:rFonts w:ascii="Times New Roman" w:hAnsi="Times New Roman"/>
                <w:b/>
                <w:bCs/>
                <w:sz w:val="24"/>
                <w:szCs w:val="24"/>
              </w:rPr>
              <w:t>n+3</w:t>
            </w:r>
          </w:p>
        </w:tc>
      </w:tr>
      <w:tr w:rsidR="00D03B7C" w:rsidRPr="003D12AB" w:rsidTr="007F0246">
        <w:tc>
          <w:tcPr>
            <w:tcW w:w="3315" w:type="dxa"/>
            <w:vMerge/>
            <w:vAlign w:val="center"/>
          </w:tcPr>
          <w:p w:rsidR="00D03B7C" w:rsidRPr="003D12AB" w:rsidRDefault="00D03B7C" w:rsidP="00AC1AF1"/>
        </w:tc>
        <w:tc>
          <w:tcPr>
            <w:tcW w:w="1056" w:type="dxa"/>
            <w:vAlign w:val="center"/>
          </w:tcPr>
          <w:p w:rsidR="00D03B7C" w:rsidRPr="00876658" w:rsidRDefault="00D03B7C" w:rsidP="00AC1AF1">
            <w:pPr>
              <w:pStyle w:val="tvhtml1"/>
              <w:spacing w:before="0" w:beforeAutospacing="0" w:line="240" w:lineRule="auto"/>
              <w:jc w:val="center"/>
              <w:rPr>
                <w:rFonts w:ascii="Times New Roman" w:hAnsi="Times New Roman"/>
                <w:sz w:val="22"/>
                <w:szCs w:val="22"/>
              </w:rPr>
            </w:pPr>
            <w:r w:rsidRPr="00876658">
              <w:rPr>
                <w:rFonts w:ascii="Times New Roman" w:hAnsi="Times New Roman"/>
                <w:sz w:val="22"/>
                <w:szCs w:val="22"/>
              </w:rPr>
              <w:t>Saskaņā ar valsts budžetu kārtējam gadam</w:t>
            </w:r>
          </w:p>
        </w:tc>
        <w:tc>
          <w:tcPr>
            <w:tcW w:w="1272" w:type="dxa"/>
            <w:vAlign w:val="center"/>
          </w:tcPr>
          <w:p w:rsidR="00D03B7C" w:rsidRPr="00876658" w:rsidRDefault="00D03B7C" w:rsidP="00AC1AF1">
            <w:pPr>
              <w:pStyle w:val="tvhtml1"/>
              <w:spacing w:before="0" w:beforeAutospacing="0" w:line="240" w:lineRule="auto"/>
              <w:jc w:val="center"/>
              <w:rPr>
                <w:rFonts w:ascii="Times New Roman" w:hAnsi="Times New Roman"/>
                <w:sz w:val="22"/>
                <w:szCs w:val="22"/>
              </w:rPr>
            </w:pPr>
            <w:r w:rsidRPr="00876658">
              <w:rPr>
                <w:rFonts w:ascii="Times New Roman" w:hAnsi="Times New Roman"/>
                <w:sz w:val="22"/>
                <w:szCs w:val="22"/>
              </w:rPr>
              <w:t>Izmaiņas kārtējā gadā, salīdzinot ar budžetu kārtējam gadam</w:t>
            </w:r>
          </w:p>
        </w:tc>
        <w:tc>
          <w:tcPr>
            <w:tcW w:w="1271" w:type="dxa"/>
            <w:vAlign w:val="center"/>
          </w:tcPr>
          <w:p w:rsidR="00D03B7C" w:rsidRPr="00876658" w:rsidRDefault="00D03B7C" w:rsidP="00AC1AF1">
            <w:pPr>
              <w:pStyle w:val="tvhtml1"/>
              <w:spacing w:before="0" w:beforeAutospacing="0" w:line="240" w:lineRule="auto"/>
              <w:jc w:val="center"/>
              <w:rPr>
                <w:rFonts w:ascii="Times New Roman" w:hAnsi="Times New Roman"/>
                <w:sz w:val="22"/>
                <w:szCs w:val="22"/>
              </w:rPr>
            </w:pPr>
            <w:r w:rsidRPr="00876658">
              <w:rPr>
                <w:rFonts w:ascii="Times New Roman" w:hAnsi="Times New Roman"/>
                <w:sz w:val="22"/>
                <w:szCs w:val="22"/>
              </w:rPr>
              <w:t>Izmaiņas, salīdzinot ar kārtējo (n) gadu</w:t>
            </w:r>
          </w:p>
        </w:tc>
        <w:tc>
          <w:tcPr>
            <w:tcW w:w="1223" w:type="dxa"/>
            <w:vAlign w:val="center"/>
          </w:tcPr>
          <w:p w:rsidR="00D03B7C" w:rsidRPr="00876658" w:rsidRDefault="00D03B7C" w:rsidP="00AC1AF1">
            <w:pPr>
              <w:pStyle w:val="tvhtml1"/>
              <w:spacing w:before="0" w:beforeAutospacing="0" w:line="240" w:lineRule="auto"/>
              <w:jc w:val="center"/>
              <w:rPr>
                <w:rFonts w:ascii="Times New Roman" w:hAnsi="Times New Roman"/>
                <w:sz w:val="22"/>
                <w:szCs w:val="22"/>
              </w:rPr>
            </w:pPr>
            <w:r w:rsidRPr="00876658">
              <w:rPr>
                <w:rFonts w:ascii="Times New Roman" w:hAnsi="Times New Roman"/>
                <w:sz w:val="22"/>
                <w:szCs w:val="22"/>
              </w:rPr>
              <w:t>Izmaiņas, salīdzinot ar kārtējo (n) gadu</w:t>
            </w:r>
          </w:p>
        </w:tc>
        <w:tc>
          <w:tcPr>
            <w:tcW w:w="1150" w:type="dxa"/>
            <w:vAlign w:val="center"/>
          </w:tcPr>
          <w:p w:rsidR="00D03B7C" w:rsidRPr="00876658" w:rsidRDefault="00D03B7C" w:rsidP="00AC1AF1">
            <w:pPr>
              <w:pStyle w:val="tvhtml1"/>
              <w:spacing w:before="0" w:beforeAutospacing="0" w:line="240" w:lineRule="auto"/>
              <w:jc w:val="center"/>
              <w:rPr>
                <w:rFonts w:ascii="Times New Roman" w:hAnsi="Times New Roman"/>
                <w:sz w:val="22"/>
                <w:szCs w:val="22"/>
              </w:rPr>
            </w:pPr>
            <w:r w:rsidRPr="00876658">
              <w:rPr>
                <w:rFonts w:ascii="Times New Roman" w:hAnsi="Times New Roman"/>
                <w:sz w:val="22"/>
                <w:szCs w:val="22"/>
              </w:rPr>
              <w:t>Izmaiņas, salīdzinot ar kārtējo (n) gadu</w:t>
            </w:r>
          </w:p>
        </w:tc>
      </w:tr>
      <w:tr w:rsidR="00D03B7C" w:rsidRPr="003D12AB" w:rsidTr="007F0246">
        <w:tc>
          <w:tcPr>
            <w:tcW w:w="3315" w:type="dxa"/>
            <w:vAlign w:val="center"/>
          </w:tcPr>
          <w:p w:rsidR="00D03B7C" w:rsidRPr="00876658" w:rsidRDefault="00D03B7C" w:rsidP="00AC1AF1">
            <w:pPr>
              <w:pStyle w:val="tvhtml1"/>
              <w:spacing w:before="0" w:beforeAutospacing="0" w:line="240" w:lineRule="auto"/>
              <w:jc w:val="center"/>
              <w:rPr>
                <w:rFonts w:ascii="Times New Roman" w:hAnsi="Times New Roman"/>
                <w:sz w:val="22"/>
                <w:szCs w:val="22"/>
              </w:rPr>
            </w:pPr>
            <w:r w:rsidRPr="00876658">
              <w:rPr>
                <w:rFonts w:ascii="Times New Roman" w:hAnsi="Times New Roman"/>
                <w:sz w:val="22"/>
                <w:szCs w:val="22"/>
              </w:rPr>
              <w:t>1</w:t>
            </w:r>
          </w:p>
        </w:tc>
        <w:tc>
          <w:tcPr>
            <w:tcW w:w="1056" w:type="dxa"/>
            <w:vAlign w:val="center"/>
          </w:tcPr>
          <w:p w:rsidR="00D03B7C" w:rsidRPr="00876658" w:rsidRDefault="00D03B7C" w:rsidP="00AC1AF1">
            <w:pPr>
              <w:pStyle w:val="tvhtml1"/>
              <w:spacing w:before="0" w:beforeAutospacing="0" w:line="240" w:lineRule="auto"/>
              <w:jc w:val="center"/>
              <w:rPr>
                <w:rFonts w:ascii="Times New Roman" w:hAnsi="Times New Roman"/>
                <w:sz w:val="22"/>
                <w:szCs w:val="22"/>
              </w:rPr>
            </w:pPr>
            <w:r w:rsidRPr="00876658">
              <w:rPr>
                <w:rFonts w:ascii="Times New Roman" w:hAnsi="Times New Roman"/>
                <w:sz w:val="22"/>
                <w:szCs w:val="22"/>
              </w:rPr>
              <w:t>2</w:t>
            </w:r>
          </w:p>
        </w:tc>
        <w:tc>
          <w:tcPr>
            <w:tcW w:w="1272" w:type="dxa"/>
            <w:vAlign w:val="center"/>
          </w:tcPr>
          <w:p w:rsidR="00D03B7C" w:rsidRPr="00876658" w:rsidRDefault="00D03B7C" w:rsidP="00AC1AF1">
            <w:pPr>
              <w:pStyle w:val="tvhtml1"/>
              <w:spacing w:before="0" w:beforeAutospacing="0" w:line="240" w:lineRule="auto"/>
              <w:jc w:val="center"/>
              <w:rPr>
                <w:rFonts w:ascii="Times New Roman" w:hAnsi="Times New Roman"/>
                <w:sz w:val="22"/>
                <w:szCs w:val="22"/>
              </w:rPr>
            </w:pPr>
            <w:r w:rsidRPr="00876658">
              <w:rPr>
                <w:rFonts w:ascii="Times New Roman" w:hAnsi="Times New Roman"/>
                <w:sz w:val="22"/>
                <w:szCs w:val="22"/>
              </w:rPr>
              <w:t>3</w:t>
            </w:r>
          </w:p>
        </w:tc>
        <w:tc>
          <w:tcPr>
            <w:tcW w:w="1271" w:type="dxa"/>
            <w:vAlign w:val="center"/>
          </w:tcPr>
          <w:p w:rsidR="00D03B7C" w:rsidRPr="00876658" w:rsidRDefault="00D03B7C" w:rsidP="00AC1AF1">
            <w:pPr>
              <w:pStyle w:val="tvhtml1"/>
              <w:spacing w:before="0" w:beforeAutospacing="0" w:line="240" w:lineRule="auto"/>
              <w:jc w:val="center"/>
              <w:rPr>
                <w:rFonts w:ascii="Times New Roman" w:hAnsi="Times New Roman"/>
                <w:sz w:val="22"/>
                <w:szCs w:val="22"/>
              </w:rPr>
            </w:pPr>
            <w:r w:rsidRPr="00876658">
              <w:rPr>
                <w:rFonts w:ascii="Times New Roman" w:hAnsi="Times New Roman"/>
                <w:sz w:val="22"/>
                <w:szCs w:val="22"/>
              </w:rPr>
              <w:t>4</w:t>
            </w:r>
          </w:p>
        </w:tc>
        <w:tc>
          <w:tcPr>
            <w:tcW w:w="1223" w:type="dxa"/>
            <w:vAlign w:val="center"/>
          </w:tcPr>
          <w:p w:rsidR="00D03B7C" w:rsidRPr="00876658" w:rsidRDefault="00D03B7C" w:rsidP="00AC1AF1">
            <w:pPr>
              <w:pStyle w:val="tvhtml1"/>
              <w:spacing w:before="0" w:beforeAutospacing="0" w:line="240" w:lineRule="auto"/>
              <w:jc w:val="center"/>
              <w:rPr>
                <w:rFonts w:ascii="Times New Roman" w:hAnsi="Times New Roman"/>
                <w:sz w:val="22"/>
                <w:szCs w:val="22"/>
              </w:rPr>
            </w:pPr>
            <w:r w:rsidRPr="00876658">
              <w:rPr>
                <w:rFonts w:ascii="Times New Roman" w:hAnsi="Times New Roman"/>
                <w:sz w:val="22"/>
                <w:szCs w:val="22"/>
              </w:rPr>
              <w:t>5</w:t>
            </w:r>
          </w:p>
        </w:tc>
        <w:tc>
          <w:tcPr>
            <w:tcW w:w="1150" w:type="dxa"/>
            <w:vAlign w:val="center"/>
          </w:tcPr>
          <w:p w:rsidR="00D03B7C" w:rsidRPr="00876658" w:rsidRDefault="00D03B7C" w:rsidP="00AC1AF1">
            <w:pPr>
              <w:pStyle w:val="tvhtml1"/>
              <w:spacing w:before="0" w:beforeAutospacing="0" w:line="240" w:lineRule="auto"/>
              <w:jc w:val="center"/>
              <w:rPr>
                <w:rFonts w:ascii="Times New Roman" w:hAnsi="Times New Roman"/>
                <w:sz w:val="22"/>
                <w:szCs w:val="22"/>
              </w:rPr>
            </w:pPr>
            <w:r w:rsidRPr="00876658">
              <w:rPr>
                <w:rFonts w:ascii="Times New Roman" w:hAnsi="Times New Roman"/>
                <w:sz w:val="22"/>
                <w:szCs w:val="22"/>
              </w:rPr>
              <w:t>6</w:t>
            </w:r>
          </w:p>
        </w:tc>
      </w:tr>
      <w:tr w:rsidR="00D03B7C" w:rsidRPr="003D12AB" w:rsidTr="007F0246">
        <w:tc>
          <w:tcPr>
            <w:tcW w:w="3315" w:type="dxa"/>
            <w:vAlign w:val="center"/>
          </w:tcPr>
          <w:p w:rsidR="00D03B7C" w:rsidRPr="00876658" w:rsidRDefault="00D03B7C" w:rsidP="00AC1AF1">
            <w:pPr>
              <w:pStyle w:val="tvhtml1"/>
              <w:spacing w:before="0" w:beforeAutospacing="0" w:line="240" w:lineRule="auto"/>
              <w:jc w:val="center"/>
              <w:rPr>
                <w:rFonts w:ascii="Times New Roman" w:hAnsi="Times New Roman"/>
                <w:sz w:val="22"/>
                <w:szCs w:val="22"/>
              </w:rPr>
            </w:pPr>
            <w:r w:rsidRPr="00876658">
              <w:rPr>
                <w:rFonts w:ascii="Times New Roman" w:hAnsi="Times New Roman"/>
                <w:sz w:val="22"/>
                <w:szCs w:val="22"/>
              </w:rPr>
              <w:t>1. Budžeta ieņēmumi:</w:t>
            </w:r>
          </w:p>
        </w:tc>
        <w:tc>
          <w:tcPr>
            <w:tcW w:w="1056" w:type="dxa"/>
            <w:vAlign w:val="center"/>
          </w:tcPr>
          <w:p w:rsidR="00D03B7C" w:rsidRPr="00876658" w:rsidRDefault="00FF50D7" w:rsidP="00AC1AF1">
            <w:pPr>
              <w:pStyle w:val="tvhtml"/>
              <w:spacing w:before="0" w:beforeAutospacing="0" w:after="0" w:afterAutospacing="0"/>
              <w:jc w:val="center"/>
              <w:rPr>
                <w:rFonts w:ascii="Times New Roman" w:hAnsi="Times New Roman"/>
                <w:iCs/>
                <w:sz w:val="22"/>
                <w:szCs w:val="22"/>
              </w:rPr>
            </w:pPr>
            <w:r w:rsidRPr="00876658">
              <w:rPr>
                <w:rFonts w:ascii="Times New Roman" w:hAnsi="Times New Roman"/>
                <w:iCs/>
                <w:sz w:val="22"/>
                <w:szCs w:val="22"/>
              </w:rPr>
              <w:t>0</w:t>
            </w:r>
          </w:p>
        </w:tc>
        <w:tc>
          <w:tcPr>
            <w:tcW w:w="1272" w:type="dxa"/>
            <w:vAlign w:val="center"/>
          </w:tcPr>
          <w:p w:rsidR="00D03B7C" w:rsidRPr="00876658" w:rsidRDefault="00FF50D7" w:rsidP="00AC1AF1">
            <w:pPr>
              <w:pStyle w:val="tvhtml"/>
              <w:spacing w:before="0" w:beforeAutospacing="0" w:after="0" w:afterAutospacing="0"/>
              <w:jc w:val="center"/>
              <w:rPr>
                <w:rFonts w:ascii="Times New Roman" w:hAnsi="Times New Roman"/>
                <w:iCs/>
                <w:sz w:val="22"/>
                <w:szCs w:val="22"/>
              </w:rPr>
            </w:pPr>
            <w:r w:rsidRPr="00876658">
              <w:rPr>
                <w:rFonts w:ascii="Times New Roman" w:hAnsi="Times New Roman"/>
                <w:iCs/>
                <w:sz w:val="22"/>
                <w:szCs w:val="22"/>
              </w:rPr>
              <w:t>0</w:t>
            </w:r>
          </w:p>
        </w:tc>
        <w:tc>
          <w:tcPr>
            <w:tcW w:w="1271" w:type="dxa"/>
            <w:vAlign w:val="center"/>
          </w:tcPr>
          <w:p w:rsidR="00D03B7C" w:rsidRPr="00876658" w:rsidRDefault="00FF50D7" w:rsidP="00AC1AF1">
            <w:pPr>
              <w:pStyle w:val="tvhtml"/>
              <w:spacing w:before="0" w:beforeAutospacing="0" w:after="0" w:afterAutospacing="0"/>
              <w:jc w:val="center"/>
              <w:rPr>
                <w:rFonts w:ascii="Times New Roman" w:hAnsi="Times New Roman"/>
                <w:iCs/>
                <w:sz w:val="22"/>
                <w:szCs w:val="22"/>
              </w:rPr>
            </w:pPr>
            <w:r w:rsidRPr="00876658">
              <w:rPr>
                <w:rFonts w:ascii="Times New Roman" w:hAnsi="Times New Roman"/>
                <w:iCs/>
                <w:sz w:val="22"/>
                <w:szCs w:val="22"/>
              </w:rPr>
              <w:t>0</w:t>
            </w:r>
          </w:p>
        </w:tc>
        <w:tc>
          <w:tcPr>
            <w:tcW w:w="1223" w:type="dxa"/>
            <w:vAlign w:val="center"/>
          </w:tcPr>
          <w:p w:rsidR="00D03B7C" w:rsidRPr="00876658" w:rsidRDefault="00FF50D7" w:rsidP="00AC1AF1">
            <w:pPr>
              <w:pStyle w:val="tvhtml"/>
              <w:spacing w:before="0" w:beforeAutospacing="0" w:after="0" w:afterAutospacing="0"/>
              <w:jc w:val="center"/>
              <w:rPr>
                <w:rFonts w:ascii="Times New Roman" w:hAnsi="Times New Roman"/>
                <w:iCs/>
                <w:sz w:val="22"/>
                <w:szCs w:val="22"/>
              </w:rPr>
            </w:pPr>
            <w:r w:rsidRPr="00876658">
              <w:rPr>
                <w:rFonts w:ascii="Times New Roman" w:hAnsi="Times New Roman"/>
                <w:iCs/>
                <w:sz w:val="22"/>
                <w:szCs w:val="22"/>
              </w:rPr>
              <w:t>0</w:t>
            </w:r>
          </w:p>
        </w:tc>
        <w:tc>
          <w:tcPr>
            <w:tcW w:w="1150" w:type="dxa"/>
            <w:vAlign w:val="center"/>
          </w:tcPr>
          <w:p w:rsidR="00D03B7C" w:rsidRPr="00876658" w:rsidRDefault="00FF50D7" w:rsidP="00AC1AF1">
            <w:pPr>
              <w:pStyle w:val="tvhtml"/>
              <w:spacing w:before="0" w:beforeAutospacing="0" w:after="0" w:afterAutospacing="0"/>
              <w:jc w:val="center"/>
              <w:rPr>
                <w:rFonts w:ascii="Times New Roman" w:hAnsi="Times New Roman"/>
                <w:iCs/>
                <w:sz w:val="22"/>
                <w:szCs w:val="22"/>
              </w:rPr>
            </w:pPr>
            <w:r w:rsidRPr="00876658">
              <w:rPr>
                <w:rFonts w:ascii="Times New Roman" w:hAnsi="Times New Roman"/>
                <w:iCs/>
                <w:sz w:val="22"/>
                <w:szCs w:val="22"/>
              </w:rPr>
              <w:t>0</w:t>
            </w:r>
          </w:p>
        </w:tc>
      </w:tr>
      <w:tr w:rsidR="00D03B7C" w:rsidRPr="003D12AB" w:rsidTr="007F0246">
        <w:tc>
          <w:tcPr>
            <w:tcW w:w="3315" w:type="dxa"/>
            <w:vAlign w:val="center"/>
          </w:tcPr>
          <w:p w:rsidR="00D03B7C" w:rsidRPr="00876658" w:rsidRDefault="00D03B7C" w:rsidP="00AC1AF1">
            <w:pPr>
              <w:pStyle w:val="tvhtml1"/>
              <w:spacing w:before="0" w:beforeAutospacing="0" w:line="240" w:lineRule="auto"/>
              <w:jc w:val="center"/>
              <w:rPr>
                <w:rFonts w:ascii="Times New Roman" w:hAnsi="Times New Roman"/>
                <w:sz w:val="22"/>
                <w:szCs w:val="22"/>
              </w:rPr>
            </w:pPr>
            <w:r w:rsidRPr="00876658">
              <w:rPr>
                <w:rFonts w:ascii="Times New Roman" w:hAnsi="Times New Roman"/>
                <w:sz w:val="22"/>
                <w:szCs w:val="22"/>
              </w:rPr>
              <w:t>1.1. valsts pamatbudžets, tai skaitā ieņēmumi no maksas pakalpojumiem un citi pašu ieņēmumi</w:t>
            </w:r>
          </w:p>
        </w:tc>
        <w:tc>
          <w:tcPr>
            <w:tcW w:w="1056" w:type="dxa"/>
            <w:vAlign w:val="center"/>
          </w:tcPr>
          <w:p w:rsidR="00D03B7C" w:rsidRPr="00876658" w:rsidRDefault="00D03B7C" w:rsidP="00AC1AF1">
            <w:pPr>
              <w:pStyle w:val="tvhtml"/>
              <w:spacing w:before="0" w:beforeAutospacing="0" w:after="0" w:afterAutospacing="0"/>
              <w:jc w:val="center"/>
              <w:rPr>
                <w:rFonts w:ascii="Times New Roman" w:hAnsi="Times New Roman"/>
                <w:iCs/>
                <w:sz w:val="22"/>
                <w:szCs w:val="22"/>
              </w:rPr>
            </w:pPr>
          </w:p>
        </w:tc>
        <w:tc>
          <w:tcPr>
            <w:tcW w:w="1272" w:type="dxa"/>
            <w:vAlign w:val="center"/>
          </w:tcPr>
          <w:p w:rsidR="00D03B7C" w:rsidRPr="00876658" w:rsidRDefault="00D03B7C" w:rsidP="00AC1AF1">
            <w:pPr>
              <w:pStyle w:val="tvhtml"/>
              <w:spacing w:before="0" w:beforeAutospacing="0" w:after="0" w:afterAutospacing="0"/>
              <w:jc w:val="center"/>
              <w:rPr>
                <w:rFonts w:ascii="Times New Roman" w:hAnsi="Times New Roman"/>
                <w:iCs/>
                <w:sz w:val="22"/>
                <w:szCs w:val="22"/>
              </w:rPr>
            </w:pPr>
          </w:p>
        </w:tc>
        <w:tc>
          <w:tcPr>
            <w:tcW w:w="1271" w:type="dxa"/>
            <w:vAlign w:val="center"/>
          </w:tcPr>
          <w:p w:rsidR="00D03B7C" w:rsidRPr="00876658" w:rsidRDefault="00D03B7C" w:rsidP="00AC1AF1">
            <w:pPr>
              <w:pStyle w:val="tvhtml"/>
              <w:spacing w:before="0" w:beforeAutospacing="0" w:after="0" w:afterAutospacing="0"/>
              <w:jc w:val="center"/>
              <w:rPr>
                <w:rFonts w:ascii="Times New Roman" w:hAnsi="Times New Roman"/>
                <w:iCs/>
                <w:sz w:val="22"/>
                <w:szCs w:val="22"/>
              </w:rPr>
            </w:pPr>
          </w:p>
        </w:tc>
        <w:tc>
          <w:tcPr>
            <w:tcW w:w="1223" w:type="dxa"/>
            <w:vAlign w:val="center"/>
          </w:tcPr>
          <w:p w:rsidR="00D03B7C" w:rsidRPr="00876658" w:rsidRDefault="00D03B7C" w:rsidP="00AC1AF1">
            <w:pPr>
              <w:pStyle w:val="tvhtml"/>
              <w:spacing w:before="0" w:beforeAutospacing="0" w:after="0" w:afterAutospacing="0"/>
              <w:jc w:val="center"/>
              <w:rPr>
                <w:rFonts w:ascii="Times New Roman" w:hAnsi="Times New Roman"/>
                <w:iCs/>
                <w:sz w:val="22"/>
                <w:szCs w:val="22"/>
              </w:rPr>
            </w:pPr>
          </w:p>
        </w:tc>
        <w:tc>
          <w:tcPr>
            <w:tcW w:w="1150" w:type="dxa"/>
            <w:vAlign w:val="center"/>
          </w:tcPr>
          <w:p w:rsidR="00D03B7C" w:rsidRPr="00876658" w:rsidRDefault="00D03B7C" w:rsidP="00AC1AF1">
            <w:pPr>
              <w:pStyle w:val="tvhtml"/>
              <w:spacing w:before="0" w:beforeAutospacing="0" w:after="0" w:afterAutospacing="0"/>
              <w:jc w:val="center"/>
              <w:rPr>
                <w:rFonts w:ascii="Times New Roman" w:hAnsi="Times New Roman"/>
                <w:iCs/>
                <w:sz w:val="22"/>
                <w:szCs w:val="22"/>
              </w:rPr>
            </w:pPr>
          </w:p>
        </w:tc>
      </w:tr>
      <w:tr w:rsidR="00D03B7C" w:rsidRPr="003D12AB" w:rsidTr="007F0246">
        <w:tc>
          <w:tcPr>
            <w:tcW w:w="3315" w:type="dxa"/>
            <w:vAlign w:val="center"/>
          </w:tcPr>
          <w:p w:rsidR="00D03B7C" w:rsidRPr="00876658" w:rsidRDefault="00D03B7C" w:rsidP="00AC1AF1">
            <w:pPr>
              <w:pStyle w:val="tvhtml1"/>
              <w:spacing w:before="0" w:beforeAutospacing="0" w:line="240" w:lineRule="auto"/>
              <w:jc w:val="center"/>
              <w:rPr>
                <w:rFonts w:ascii="Times New Roman" w:hAnsi="Times New Roman"/>
                <w:sz w:val="22"/>
                <w:szCs w:val="22"/>
              </w:rPr>
            </w:pPr>
            <w:r w:rsidRPr="00876658">
              <w:rPr>
                <w:rFonts w:ascii="Times New Roman" w:hAnsi="Times New Roman"/>
                <w:sz w:val="22"/>
                <w:szCs w:val="22"/>
              </w:rPr>
              <w:t>1.2. valsts speciālais budžets</w:t>
            </w:r>
          </w:p>
        </w:tc>
        <w:tc>
          <w:tcPr>
            <w:tcW w:w="1056" w:type="dxa"/>
            <w:vAlign w:val="center"/>
          </w:tcPr>
          <w:p w:rsidR="00D03B7C" w:rsidRPr="00876658" w:rsidRDefault="00D03B7C" w:rsidP="00AC1AF1">
            <w:pPr>
              <w:pStyle w:val="tvhtml"/>
              <w:spacing w:before="0" w:beforeAutospacing="0" w:after="0" w:afterAutospacing="0"/>
              <w:jc w:val="center"/>
              <w:rPr>
                <w:rFonts w:ascii="Times New Roman" w:hAnsi="Times New Roman"/>
                <w:iCs/>
                <w:sz w:val="22"/>
                <w:szCs w:val="22"/>
              </w:rPr>
            </w:pPr>
          </w:p>
        </w:tc>
        <w:tc>
          <w:tcPr>
            <w:tcW w:w="1272" w:type="dxa"/>
            <w:vAlign w:val="center"/>
          </w:tcPr>
          <w:p w:rsidR="00D03B7C" w:rsidRPr="00876658" w:rsidRDefault="00D03B7C" w:rsidP="00AC1AF1">
            <w:pPr>
              <w:pStyle w:val="tvhtml"/>
              <w:spacing w:before="0" w:beforeAutospacing="0" w:after="0" w:afterAutospacing="0"/>
              <w:jc w:val="center"/>
              <w:rPr>
                <w:rFonts w:ascii="Times New Roman" w:hAnsi="Times New Roman"/>
                <w:iCs/>
                <w:sz w:val="22"/>
                <w:szCs w:val="22"/>
              </w:rPr>
            </w:pPr>
          </w:p>
        </w:tc>
        <w:tc>
          <w:tcPr>
            <w:tcW w:w="1271" w:type="dxa"/>
            <w:vAlign w:val="center"/>
          </w:tcPr>
          <w:p w:rsidR="00D03B7C" w:rsidRPr="00876658" w:rsidRDefault="00D03B7C" w:rsidP="00AC1AF1">
            <w:pPr>
              <w:pStyle w:val="tvhtml"/>
              <w:spacing w:before="0" w:beforeAutospacing="0" w:after="0" w:afterAutospacing="0"/>
              <w:jc w:val="center"/>
              <w:rPr>
                <w:rFonts w:ascii="Times New Roman" w:hAnsi="Times New Roman"/>
                <w:iCs/>
                <w:sz w:val="22"/>
                <w:szCs w:val="22"/>
              </w:rPr>
            </w:pPr>
          </w:p>
        </w:tc>
        <w:tc>
          <w:tcPr>
            <w:tcW w:w="1223" w:type="dxa"/>
            <w:vAlign w:val="center"/>
          </w:tcPr>
          <w:p w:rsidR="00D03B7C" w:rsidRPr="00876658" w:rsidRDefault="00D03B7C" w:rsidP="00AC1AF1">
            <w:pPr>
              <w:pStyle w:val="tvhtml"/>
              <w:spacing w:before="0" w:beforeAutospacing="0" w:after="0" w:afterAutospacing="0"/>
              <w:jc w:val="center"/>
              <w:rPr>
                <w:rFonts w:ascii="Times New Roman" w:hAnsi="Times New Roman"/>
                <w:iCs/>
                <w:sz w:val="22"/>
                <w:szCs w:val="22"/>
              </w:rPr>
            </w:pPr>
          </w:p>
        </w:tc>
        <w:tc>
          <w:tcPr>
            <w:tcW w:w="1150" w:type="dxa"/>
            <w:vAlign w:val="center"/>
          </w:tcPr>
          <w:p w:rsidR="00D03B7C" w:rsidRPr="00876658" w:rsidRDefault="00D03B7C" w:rsidP="00AC1AF1">
            <w:pPr>
              <w:pStyle w:val="tvhtml"/>
              <w:spacing w:before="0" w:beforeAutospacing="0" w:after="0" w:afterAutospacing="0"/>
              <w:jc w:val="center"/>
              <w:rPr>
                <w:rFonts w:ascii="Times New Roman" w:hAnsi="Times New Roman"/>
                <w:iCs/>
                <w:sz w:val="22"/>
                <w:szCs w:val="22"/>
              </w:rPr>
            </w:pPr>
          </w:p>
        </w:tc>
      </w:tr>
      <w:tr w:rsidR="00D03B7C" w:rsidRPr="003D12AB" w:rsidTr="007F0246">
        <w:tc>
          <w:tcPr>
            <w:tcW w:w="3315" w:type="dxa"/>
            <w:vAlign w:val="center"/>
          </w:tcPr>
          <w:p w:rsidR="00D03B7C" w:rsidRPr="00876658" w:rsidRDefault="00D03B7C" w:rsidP="00AC1AF1">
            <w:pPr>
              <w:pStyle w:val="tvhtml1"/>
              <w:spacing w:before="0" w:beforeAutospacing="0" w:line="240" w:lineRule="auto"/>
              <w:jc w:val="center"/>
              <w:rPr>
                <w:rFonts w:ascii="Times New Roman" w:hAnsi="Times New Roman"/>
                <w:sz w:val="22"/>
                <w:szCs w:val="22"/>
              </w:rPr>
            </w:pPr>
            <w:r w:rsidRPr="00876658">
              <w:rPr>
                <w:rFonts w:ascii="Times New Roman" w:hAnsi="Times New Roman"/>
                <w:sz w:val="22"/>
                <w:szCs w:val="22"/>
              </w:rPr>
              <w:t>1.3. pašvaldību budžets</w:t>
            </w:r>
          </w:p>
        </w:tc>
        <w:tc>
          <w:tcPr>
            <w:tcW w:w="1056" w:type="dxa"/>
            <w:vAlign w:val="center"/>
          </w:tcPr>
          <w:p w:rsidR="00D03B7C" w:rsidRPr="00876658" w:rsidRDefault="00D03B7C" w:rsidP="00AC1AF1">
            <w:pPr>
              <w:pStyle w:val="tvhtml"/>
              <w:spacing w:before="0" w:beforeAutospacing="0" w:after="0" w:afterAutospacing="0"/>
              <w:jc w:val="center"/>
              <w:rPr>
                <w:rFonts w:ascii="Times New Roman" w:hAnsi="Times New Roman"/>
                <w:iCs/>
                <w:sz w:val="22"/>
                <w:szCs w:val="22"/>
              </w:rPr>
            </w:pPr>
          </w:p>
        </w:tc>
        <w:tc>
          <w:tcPr>
            <w:tcW w:w="1272" w:type="dxa"/>
            <w:vAlign w:val="center"/>
          </w:tcPr>
          <w:p w:rsidR="00D03B7C" w:rsidRPr="00876658" w:rsidRDefault="00D03B7C" w:rsidP="00AC1AF1">
            <w:pPr>
              <w:pStyle w:val="tvhtml"/>
              <w:spacing w:before="0" w:beforeAutospacing="0" w:after="0" w:afterAutospacing="0"/>
              <w:jc w:val="center"/>
              <w:rPr>
                <w:rFonts w:ascii="Times New Roman" w:hAnsi="Times New Roman"/>
                <w:iCs/>
                <w:sz w:val="22"/>
                <w:szCs w:val="22"/>
              </w:rPr>
            </w:pPr>
          </w:p>
        </w:tc>
        <w:tc>
          <w:tcPr>
            <w:tcW w:w="1271" w:type="dxa"/>
            <w:vAlign w:val="center"/>
          </w:tcPr>
          <w:p w:rsidR="00D03B7C" w:rsidRPr="00876658" w:rsidRDefault="00D03B7C" w:rsidP="00AC1AF1">
            <w:pPr>
              <w:pStyle w:val="tvhtml"/>
              <w:spacing w:before="0" w:beforeAutospacing="0" w:after="0" w:afterAutospacing="0"/>
              <w:jc w:val="center"/>
              <w:rPr>
                <w:rFonts w:ascii="Times New Roman" w:hAnsi="Times New Roman"/>
                <w:iCs/>
                <w:sz w:val="22"/>
                <w:szCs w:val="22"/>
              </w:rPr>
            </w:pPr>
          </w:p>
        </w:tc>
        <w:tc>
          <w:tcPr>
            <w:tcW w:w="1223" w:type="dxa"/>
            <w:vAlign w:val="center"/>
          </w:tcPr>
          <w:p w:rsidR="00D03B7C" w:rsidRPr="00876658" w:rsidRDefault="00D03B7C" w:rsidP="00AC1AF1">
            <w:pPr>
              <w:pStyle w:val="tvhtml"/>
              <w:spacing w:before="0" w:beforeAutospacing="0" w:after="0" w:afterAutospacing="0"/>
              <w:jc w:val="center"/>
              <w:rPr>
                <w:rFonts w:ascii="Times New Roman" w:hAnsi="Times New Roman"/>
                <w:iCs/>
                <w:sz w:val="22"/>
                <w:szCs w:val="22"/>
              </w:rPr>
            </w:pPr>
          </w:p>
        </w:tc>
        <w:tc>
          <w:tcPr>
            <w:tcW w:w="1150" w:type="dxa"/>
            <w:vAlign w:val="center"/>
          </w:tcPr>
          <w:p w:rsidR="00D03B7C" w:rsidRPr="00876658" w:rsidRDefault="00D03B7C" w:rsidP="00AC1AF1">
            <w:pPr>
              <w:pStyle w:val="tvhtml"/>
              <w:spacing w:before="0" w:beforeAutospacing="0" w:after="0" w:afterAutospacing="0"/>
              <w:jc w:val="center"/>
              <w:rPr>
                <w:rFonts w:ascii="Times New Roman" w:hAnsi="Times New Roman"/>
                <w:iCs/>
                <w:sz w:val="22"/>
                <w:szCs w:val="22"/>
              </w:rPr>
            </w:pPr>
          </w:p>
        </w:tc>
      </w:tr>
      <w:tr w:rsidR="00D03B7C" w:rsidRPr="003D12AB" w:rsidTr="007F0246">
        <w:tc>
          <w:tcPr>
            <w:tcW w:w="3315" w:type="dxa"/>
            <w:vAlign w:val="center"/>
          </w:tcPr>
          <w:p w:rsidR="00D03B7C" w:rsidRPr="00876658" w:rsidRDefault="00D03B7C" w:rsidP="00AC1AF1">
            <w:pPr>
              <w:pStyle w:val="tvhtml1"/>
              <w:spacing w:before="0" w:beforeAutospacing="0" w:line="240" w:lineRule="auto"/>
              <w:jc w:val="center"/>
              <w:rPr>
                <w:rFonts w:ascii="Times New Roman" w:hAnsi="Times New Roman"/>
                <w:sz w:val="22"/>
                <w:szCs w:val="22"/>
              </w:rPr>
            </w:pPr>
            <w:r w:rsidRPr="00876658">
              <w:rPr>
                <w:rFonts w:ascii="Times New Roman" w:hAnsi="Times New Roman"/>
                <w:sz w:val="22"/>
                <w:szCs w:val="22"/>
              </w:rPr>
              <w:t>2. Budžeta izdevumi:</w:t>
            </w:r>
          </w:p>
        </w:tc>
        <w:tc>
          <w:tcPr>
            <w:tcW w:w="1056" w:type="dxa"/>
            <w:vAlign w:val="center"/>
          </w:tcPr>
          <w:p w:rsidR="00D03B7C" w:rsidRPr="00876658" w:rsidRDefault="00AA25B8" w:rsidP="00AC1AF1">
            <w:pPr>
              <w:pStyle w:val="tvhtml"/>
              <w:spacing w:before="0" w:beforeAutospacing="0" w:after="0" w:afterAutospacing="0"/>
              <w:jc w:val="center"/>
              <w:rPr>
                <w:rFonts w:ascii="Times New Roman" w:hAnsi="Times New Roman"/>
                <w:iCs/>
                <w:sz w:val="22"/>
                <w:szCs w:val="22"/>
              </w:rPr>
            </w:pPr>
            <w:r w:rsidRPr="00876658">
              <w:rPr>
                <w:rFonts w:ascii="Times New Roman" w:hAnsi="Times New Roman"/>
                <w:iCs/>
                <w:sz w:val="22"/>
                <w:szCs w:val="22"/>
              </w:rPr>
              <w:t>0</w:t>
            </w:r>
          </w:p>
        </w:tc>
        <w:tc>
          <w:tcPr>
            <w:tcW w:w="1272" w:type="dxa"/>
            <w:vAlign w:val="center"/>
          </w:tcPr>
          <w:p w:rsidR="00D03B7C" w:rsidRPr="00876658" w:rsidRDefault="00AA25B8" w:rsidP="00AC1AF1">
            <w:pPr>
              <w:pStyle w:val="tvhtml"/>
              <w:spacing w:before="0" w:beforeAutospacing="0" w:after="0" w:afterAutospacing="0"/>
              <w:jc w:val="center"/>
              <w:rPr>
                <w:rFonts w:ascii="Times New Roman" w:hAnsi="Times New Roman"/>
                <w:iCs/>
                <w:sz w:val="22"/>
                <w:szCs w:val="22"/>
              </w:rPr>
            </w:pPr>
            <w:r w:rsidRPr="00876658">
              <w:rPr>
                <w:rFonts w:ascii="Times New Roman" w:hAnsi="Times New Roman"/>
                <w:iCs/>
                <w:sz w:val="22"/>
                <w:szCs w:val="22"/>
              </w:rPr>
              <w:t>0</w:t>
            </w:r>
          </w:p>
        </w:tc>
        <w:tc>
          <w:tcPr>
            <w:tcW w:w="1271" w:type="dxa"/>
            <w:vAlign w:val="center"/>
          </w:tcPr>
          <w:p w:rsidR="00D03B7C" w:rsidRPr="00876658" w:rsidRDefault="00AA25B8" w:rsidP="00AC1AF1">
            <w:pPr>
              <w:pStyle w:val="tvhtml"/>
              <w:spacing w:before="0" w:beforeAutospacing="0" w:after="0" w:afterAutospacing="0"/>
              <w:jc w:val="center"/>
              <w:rPr>
                <w:rFonts w:ascii="Times New Roman" w:hAnsi="Times New Roman"/>
                <w:iCs/>
                <w:sz w:val="22"/>
                <w:szCs w:val="22"/>
              </w:rPr>
            </w:pPr>
            <w:r w:rsidRPr="00876658">
              <w:rPr>
                <w:rFonts w:ascii="Times New Roman" w:hAnsi="Times New Roman"/>
                <w:iCs/>
                <w:sz w:val="22"/>
                <w:szCs w:val="22"/>
              </w:rPr>
              <w:t>0</w:t>
            </w:r>
          </w:p>
        </w:tc>
        <w:tc>
          <w:tcPr>
            <w:tcW w:w="1223" w:type="dxa"/>
            <w:vAlign w:val="center"/>
          </w:tcPr>
          <w:p w:rsidR="00D03B7C" w:rsidRPr="00876658" w:rsidRDefault="00AA25B8" w:rsidP="00AC1AF1">
            <w:pPr>
              <w:pStyle w:val="tvhtml"/>
              <w:spacing w:before="0" w:beforeAutospacing="0" w:after="0" w:afterAutospacing="0"/>
              <w:jc w:val="center"/>
              <w:rPr>
                <w:rFonts w:ascii="Times New Roman" w:hAnsi="Times New Roman"/>
                <w:iCs/>
                <w:sz w:val="22"/>
                <w:szCs w:val="22"/>
              </w:rPr>
            </w:pPr>
            <w:r w:rsidRPr="00876658">
              <w:rPr>
                <w:rFonts w:ascii="Times New Roman" w:hAnsi="Times New Roman"/>
                <w:iCs/>
                <w:sz w:val="22"/>
                <w:szCs w:val="22"/>
              </w:rPr>
              <w:t>0</w:t>
            </w:r>
          </w:p>
        </w:tc>
        <w:tc>
          <w:tcPr>
            <w:tcW w:w="1150" w:type="dxa"/>
            <w:vAlign w:val="center"/>
          </w:tcPr>
          <w:p w:rsidR="00D03B7C" w:rsidRPr="00876658" w:rsidRDefault="00AA25B8" w:rsidP="00AC1AF1">
            <w:pPr>
              <w:pStyle w:val="tvhtml"/>
              <w:spacing w:before="0" w:beforeAutospacing="0" w:after="0" w:afterAutospacing="0"/>
              <w:jc w:val="center"/>
              <w:rPr>
                <w:rFonts w:ascii="Times New Roman" w:hAnsi="Times New Roman"/>
                <w:iCs/>
                <w:sz w:val="22"/>
                <w:szCs w:val="22"/>
              </w:rPr>
            </w:pPr>
            <w:r w:rsidRPr="00876658">
              <w:rPr>
                <w:rFonts w:ascii="Times New Roman" w:hAnsi="Times New Roman"/>
                <w:iCs/>
                <w:sz w:val="22"/>
                <w:szCs w:val="22"/>
              </w:rPr>
              <w:t>0</w:t>
            </w:r>
          </w:p>
        </w:tc>
      </w:tr>
      <w:tr w:rsidR="00D03B7C" w:rsidRPr="003D12AB" w:rsidTr="007F0246">
        <w:tc>
          <w:tcPr>
            <w:tcW w:w="3315" w:type="dxa"/>
            <w:vAlign w:val="center"/>
          </w:tcPr>
          <w:p w:rsidR="00D03B7C" w:rsidRPr="00876658" w:rsidRDefault="00D03B7C" w:rsidP="00AC1AF1">
            <w:pPr>
              <w:pStyle w:val="tvhtml1"/>
              <w:spacing w:before="0" w:beforeAutospacing="0" w:line="240" w:lineRule="auto"/>
              <w:jc w:val="center"/>
              <w:rPr>
                <w:rFonts w:ascii="Times New Roman" w:hAnsi="Times New Roman"/>
                <w:sz w:val="22"/>
                <w:szCs w:val="22"/>
              </w:rPr>
            </w:pPr>
            <w:r w:rsidRPr="00876658">
              <w:rPr>
                <w:rFonts w:ascii="Times New Roman" w:hAnsi="Times New Roman"/>
                <w:sz w:val="22"/>
                <w:szCs w:val="22"/>
              </w:rPr>
              <w:t>2.1. valsts pamatbudžets</w:t>
            </w:r>
          </w:p>
        </w:tc>
        <w:tc>
          <w:tcPr>
            <w:tcW w:w="1056" w:type="dxa"/>
            <w:vAlign w:val="center"/>
          </w:tcPr>
          <w:p w:rsidR="00D03B7C" w:rsidRPr="00876658" w:rsidRDefault="00D03B7C" w:rsidP="00AC1AF1">
            <w:pPr>
              <w:pStyle w:val="tvhtml"/>
              <w:spacing w:before="0" w:beforeAutospacing="0" w:after="0" w:afterAutospacing="0"/>
              <w:jc w:val="center"/>
              <w:rPr>
                <w:rFonts w:ascii="Times New Roman" w:hAnsi="Times New Roman"/>
                <w:iCs/>
                <w:sz w:val="22"/>
                <w:szCs w:val="22"/>
              </w:rPr>
            </w:pPr>
          </w:p>
        </w:tc>
        <w:tc>
          <w:tcPr>
            <w:tcW w:w="1272" w:type="dxa"/>
            <w:vAlign w:val="center"/>
          </w:tcPr>
          <w:p w:rsidR="00D03B7C" w:rsidRPr="00876658" w:rsidRDefault="00D03B7C" w:rsidP="00AC1AF1">
            <w:pPr>
              <w:pStyle w:val="tvhtml"/>
              <w:spacing w:before="0" w:beforeAutospacing="0" w:after="0" w:afterAutospacing="0"/>
              <w:jc w:val="center"/>
              <w:rPr>
                <w:rFonts w:ascii="Times New Roman" w:hAnsi="Times New Roman"/>
                <w:iCs/>
                <w:sz w:val="22"/>
                <w:szCs w:val="22"/>
              </w:rPr>
            </w:pPr>
          </w:p>
        </w:tc>
        <w:tc>
          <w:tcPr>
            <w:tcW w:w="1271" w:type="dxa"/>
            <w:vAlign w:val="center"/>
          </w:tcPr>
          <w:p w:rsidR="00D03B7C" w:rsidRPr="00876658" w:rsidRDefault="00D03B7C" w:rsidP="00AC1AF1">
            <w:pPr>
              <w:pStyle w:val="tvhtml"/>
              <w:spacing w:before="0" w:beforeAutospacing="0" w:after="0" w:afterAutospacing="0"/>
              <w:jc w:val="center"/>
              <w:rPr>
                <w:rFonts w:ascii="Times New Roman" w:hAnsi="Times New Roman"/>
                <w:iCs/>
                <w:sz w:val="22"/>
                <w:szCs w:val="22"/>
              </w:rPr>
            </w:pPr>
          </w:p>
        </w:tc>
        <w:tc>
          <w:tcPr>
            <w:tcW w:w="1223" w:type="dxa"/>
            <w:vAlign w:val="center"/>
          </w:tcPr>
          <w:p w:rsidR="00D03B7C" w:rsidRPr="00876658" w:rsidRDefault="00D03B7C" w:rsidP="00AC1AF1">
            <w:pPr>
              <w:pStyle w:val="tvhtml"/>
              <w:spacing w:before="0" w:beforeAutospacing="0" w:after="0" w:afterAutospacing="0"/>
              <w:jc w:val="center"/>
              <w:rPr>
                <w:rFonts w:ascii="Times New Roman" w:hAnsi="Times New Roman"/>
                <w:iCs/>
                <w:sz w:val="22"/>
                <w:szCs w:val="22"/>
              </w:rPr>
            </w:pPr>
          </w:p>
        </w:tc>
        <w:tc>
          <w:tcPr>
            <w:tcW w:w="1150" w:type="dxa"/>
            <w:vAlign w:val="center"/>
          </w:tcPr>
          <w:p w:rsidR="00D03B7C" w:rsidRPr="00876658" w:rsidRDefault="00D03B7C" w:rsidP="00AC1AF1">
            <w:pPr>
              <w:pStyle w:val="tvhtml"/>
              <w:spacing w:before="0" w:beforeAutospacing="0" w:after="0" w:afterAutospacing="0"/>
              <w:jc w:val="center"/>
              <w:rPr>
                <w:rFonts w:ascii="Times New Roman" w:hAnsi="Times New Roman"/>
                <w:iCs/>
                <w:sz w:val="22"/>
                <w:szCs w:val="22"/>
              </w:rPr>
            </w:pPr>
          </w:p>
        </w:tc>
      </w:tr>
      <w:tr w:rsidR="00D03B7C" w:rsidRPr="003D12AB" w:rsidTr="007F0246">
        <w:tc>
          <w:tcPr>
            <w:tcW w:w="3315" w:type="dxa"/>
            <w:vAlign w:val="center"/>
          </w:tcPr>
          <w:p w:rsidR="00D03B7C" w:rsidRPr="00876658" w:rsidRDefault="00D03B7C" w:rsidP="00AC1AF1">
            <w:pPr>
              <w:pStyle w:val="tvhtml1"/>
              <w:spacing w:before="0" w:beforeAutospacing="0" w:line="240" w:lineRule="auto"/>
              <w:jc w:val="center"/>
              <w:rPr>
                <w:rFonts w:ascii="Times New Roman" w:hAnsi="Times New Roman"/>
                <w:sz w:val="22"/>
                <w:szCs w:val="22"/>
              </w:rPr>
            </w:pPr>
            <w:r w:rsidRPr="00876658">
              <w:rPr>
                <w:rFonts w:ascii="Times New Roman" w:hAnsi="Times New Roman"/>
                <w:sz w:val="22"/>
                <w:szCs w:val="22"/>
              </w:rPr>
              <w:t>2.2. valsts speciālais budžets</w:t>
            </w:r>
          </w:p>
        </w:tc>
        <w:tc>
          <w:tcPr>
            <w:tcW w:w="1056" w:type="dxa"/>
            <w:vAlign w:val="center"/>
          </w:tcPr>
          <w:p w:rsidR="00D03B7C" w:rsidRPr="00876658" w:rsidRDefault="00D03B7C" w:rsidP="00AC1AF1">
            <w:pPr>
              <w:pStyle w:val="tvhtml"/>
              <w:spacing w:before="0" w:beforeAutospacing="0" w:after="0" w:afterAutospacing="0"/>
              <w:jc w:val="center"/>
              <w:rPr>
                <w:rFonts w:ascii="Times New Roman" w:hAnsi="Times New Roman"/>
                <w:iCs/>
                <w:sz w:val="22"/>
                <w:szCs w:val="22"/>
              </w:rPr>
            </w:pPr>
          </w:p>
        </w:tc>
        <w:tc>
          <w:tcPr>
            <w:tcW w:w="1272" w:type="dxa"/>
            <w:vAlign w:val="center"/>
          </w:tcPr>
          <w:p w:rsidR="00D03B7C" w:rsidRPr="00876658" w:rsidRDefault="00D03B7C" w:rsidP="00AC1AF1">
            <w:pPr>
              <w:pStyle w:val="tvhtml"/>
              <w:spacing w:before="0" w:beforeAutospacing="0" w:after="0" w:afterAutospacing="0"/>
              <w:jc w:val="center"/>
              <w:rPr>
                <w:rFonts w:ascii="Times New Roman" w:hAnsi="Times New Roman"/>
                <w:iCs/>
                <w:sz w:val="22"/>
                <w:szCs w:val="22"/>
              </w:rPr>
            </w:pPr>
          </w:p>
        </w:tc>
        <w:tc>
          <w:tcPr>
            <w:tcW w:w="1271" w:type="dxa"/>
            <w:vAlign w:val="center"/>
          </w:tcPr>
          <w:p w:rsidR="00D03B7C" w:rsidRPr="00876658" w:rsidRDefault="00D03B7C" w:rsidP="00AC1AF1">
            <w:pPr>
              <w:pStyle w:val="tvhtml"/>
              <w:spacing w:before="0" w:beforeAutospacing="0" w:after="0" w:afterAutospacing="0"/>
              <w:jc w:val="center"/>
              <w:rPr>
                <w:rFonts w:ascii="Times New Roman" w:hAnsi="Times New Roman"/>
                <w:iCs/>
                <w:sz w:val="22"/>
                <w:szCs w:val="22"/>
              </w:rPr>
            </w:pPr>
          </w:p>
        </w:tc>
        <w:tc>
          <w:tcPr>
            <w:tcW w:w="1223" w:type="dxa"/>
            <w:vAlign w:val="center"/>
          </w:tcPr>
          <w:p w:rsidR="00D03B7C" w:rsidRPr="00876658" w:rsidRDefault="00D03B7C" w:rsidP="00AC1AF1">
            <w:pPr>
              <w:pStyle w:val="tvhtml"/>
              <w:spacing w:before="0" w:beforeAutospacing="0" w:after="0" w:afterAutospacing="0"/>
              <w:jc w:val="center"/>
              <w:rPr>
                <w:rFonts w:ascii="Times New Roman" w:hAnsi="Times New Roman"/>
                <w:iCs/>
                <w:sz w:val="22"/>
                <w:szCs w:val="22"/>
              </w:rPr>
            </w:pPr>
          </w:p>
        </w:tc>
        <w:tc>
          <w:tcPr>
            <w:tcW w:w="1150" w:type="dxa"/>
            <w:vAlign w:val="center"/>
          </w:tcPr>
          <w:p w:rsidR="00D03B7C" w:rsidRPr="00876658" w:rsidRDefault="00D03B7C" w:rsidP="00AC1AF1">
            <w:pPr>
              <w:pStyle w:val="tvhtml"/>
              <w:spacing w:before="0" w:beforeAutospacing="0" w:after="0" w:afterAutospacing="0"/>
              <w:jc w:val="center"/>
              <w:rPr>
                <w:rFonts w:ascii="Times New Roman" w:hAnsi="Times New Roman"/>
                <w:iCs/>
                <w:sz w:val="22"/>
                <w:szCs w:val="22"/>
              </w:rPr>
            </w:pPr>
          </w:p>
        </w:tc>
      </w:tr>
      <w:tr w:rsidR="00D03B7C" w:rsidRPr="003D12AB" w:rsidTr="007F0246">
        <w:tc>
          <w:tcPr>
            <w:tcW w:w="3315" w:type="dxa"/>
            <w:vAlign w:val="center"/>
          </w:tcPr>
          <w:p w:rsidR="00D03B7C" w:rsidRPr="00876658" w:rsidRDefault="00D03B7C" w:rsidP="00AC1AF1">
            <w:pPr>
              <w:pStyle w:val="tvhtml1"/>
              <w:spacing w:before="0" w:beforeAutospacing="0" w:line="240" w:lineRule="auto"/>
              <w:jc w:val="center"/>
              <w:rPr>
                <w:rFonts w:ascii="Times New Roman" w:hAnsi="Times New Roman"/>
                <w:sz w:val="22"/>
                <w:szCs w:val="22"/>
              </w:rPr>
            </w:pPr>
            <w:r w:rsidRPr="00876658">
              <w:rPr>
                <w:rFonts w:ascii="Times New Roman" w:hAnsi="Times New Roman"/>
                <w:sz w:val="22"/>
                <w:szCs w:val="22"/>
              </w:rPr>
              <w:t>2.3. pašvaldību budžets</w:t>
            </w:r>
          </w:p>
        </w:tc>
        <w:tc>
          <w:tcPr>
            <w:tcW w:w="1056" w:type="dxa"/>
            <w:vAlign w:val="center"/>
          </w:tcPr>
          <w:p w:rsidR="00D03B7C" w:rsidRPr="00876658" w:rsidRDefault="00D03B7C" w:rsidP="00AC1AF1">
            <w:pPr>
              <w:pStyle w:val="tvhtml"/>
              <w:spacing w:before="0" w:beforeAutospacing="0" w:after="0" w:afterAutospacing="0"/>
              <w:jc w:val="center"/>
              <w:rPr>
                <w:rFonts w:ascii="Times New Roman" w:hAnsi="Times New Roman"/>
                <w:iCs/>
                <w:sz w:val="22"/>
                <w:szCs w:val="22"/>
              </w:rPr>
            </w:pPr>
          </w:p>
        </w:tc>
        <w:tc>
          <w:tcPr>
            <w:tcW w:w="1272" w:type="dxa"/>
            <w:vAlign w:val="center"/>
          </w:tcPr>
          <w:p w:rsidR="00D03B7C" w:rsidRPr="00876658" w:rsidRDefault="00D03B7C" w:rsidP="00AC1AF1">
            <w:pPr>
              <w:pStyle w:val="tvhtml"/>
              <w:spacing w:before="0" w:beforeAutospacing="0" w:after="0" w:afterAutospacing="0"/>
              <w:jc w:val="center"/>
              <w:rPr>
                <w:rFonts w:ascii="Times New Roman" w:hAnsi="Times New Roman"/>
                <w:iCs/>
                <w:sz w:val="22"/>
                <w:szCs w:val="22"/>
              </w:rPr>
            </w:pPr>
          </w:p>
        </w:tc>
        <w:tc>
          <w:tcPr>
            <w:tcW w:w="1271" w:type="dxa"/>
            <w:vAlign w:val="center"/>
          </w:tcPr>
          <w:p w:rsidR="00D03B7C" w:rsidRPr="00876658" w:rsidRDefault="00D03B7C" w:rsidP="00AC1AF1">
            <w:pPr>
              <w:pStyle w:val="tvhtml"/>
              <w:spacing w:before="0" w:beforeAutospacing="0" w:after="0" w:afterAutospacing="0"/>
              <w:jc w:val="center"/>
              <w:rPr>
                <w:rFonts w:ascii="Times New Roman" w:hAnsi="Times New Roman"/>
                <w:iCs/>
                <w:sz w:val="22"/>
                <w:szCs w:val="22"/>
              </w:rPr>
            </w:pPr>
          </w:p>
        </w:tc>
        <w:tc>
          <w:tcPr>
            <w:tcW w:w="1223" w:type="dxa"/>
            <w:vAlign w:val="center"/>
          </w:tcPr>
          <w:p w:rsidR="00D03B7C" w:rsidRPr="00876658" w:rsidRDefault="00D03B7C" w:rsidP="00AC1AF1">
            <w:pPr>
              <w:pStyle w:val="tvhtml"/>
              <w:spacing w:before="0" w:beforeAutospacing="0" w:after="0" w:afterAutospacing="0"/>
              <w:jc w:val="center"/>
              <w:rPr>
                <w:rFonts w:ascii="Times New Roman" w:hAnsi="Times New Roman"/>
                <w:iCs/>
                <w:sz w:val="22"/>
                <w:szCs w:val="22"/>
              </w:rPr>
            </w:pPr>
          </w:p>
        </w:tc>
        <w:tc>
          <w:tcPr>
            <w:tcW w:w="1150" w:type="dxa"/>
            <w:vAlign w:val="center"/>
          </w:tcPr>
          <w:p w:rsidR="00D03B7C" w:rsidRPr="00876658" w:rsidRDefault="00D03B7C" w:rsidP="00AC1AF1">
            <w:pPr>
              <w:pStyle w:val="tvhtml"/>
              <w:spacing w:before="0" w:beforeAutospacing="0" w:after="0" w:afterAutospacing="0"/>
              <w:jc w:val="center"/>
              <w:rPr>
                <w:rFonts w:ascii="Times New Roman" w:hAnsi="Times New Roman"/>
                <w:iCs/>
                <w:sz w:val="22"/>
                <w:szCs w:val="22"/>
              </w:rPr>
            </w:pPr>
          </w:p>
        </w:tc>
      </w:tr>
      <w:tr w:rsidR="00D03B7C" w:rsidRPr="003D12AB" w:rsidTr="007F0246">
        <w:tc>
          <w:tcPr>
            <w:tcW w:w="3315" w:type="dxa"/>
            <w:vAlign w:val="center"/>
          </w:tcPr>
          <w:p w:rsidR="00D03B7C" w:rsidRPr="00876658" w:rsidRDefault="00D03B7C" w:rsidP="00AC1AF1">
            <w:pPr>
              <w:pStyle w:val="tvhtml1"/>
              <w:spacing w:before="0" w:beforeAutospacing="0" w:line="240" w:lineRule="auto"/>
              <w:jc w:val="center"/>
              <w:rPr>
                <w:rFonts w:ascii="Times New Roman" w:hAnsi="Times New Roman"/>
                <w:sz w:val="22"/>
                <w:szCs w:val="22"/>
              </w:rPr>
            </w:pPr>
            <w:r w:rsidRPr="00876658">
              <w:rPr>
                <w:rFonts w:ascii="Times New Roman" w:hAnsi="Times New Roman"/>
                <w:sz w:val="22"/>
                <w:szCs w:val="22"/>
              </w:rPr>
              <w:t>3. Finansiālā ietekme:</w:t>
            </w:r>
          </w:p>
        </w:tc>
        <w:tc>
          <w:tcPr>
            <w:tcW w:w="1056" w:type="dxa"/>
            <w:vAlign w:val="center"/>
          </w:tcPr>
          <w:p w:rsidR="00D03B7C" w:rsidRPr="00876658" w:rsidRDefault="00B95A2B" w:rsidP="00AC1AF1">
            <w:pPr>
              <w:pStyle w:val="tvhtml"/>
              <w:spacing w:before="0" w:beforeAutospacing="0" w:after="0" w:afterAutospacing="0"/>
              <w:jc w:val="center"/>
              <w:rPr>
                <w:rFonts w:ascii="Times New Roman" w:hAnsi="Times New Roman"/>
                <w:iCs/>
                <w:sz w:val="22"/>
                <w:szCs w:val="22"/>
              </w:rPr>
            </w:pPr>
            <w:r w:rsidRPr="00876658">
              <w:rPr>
                <w:rFonts w:ascii="Times New Roman" w:hAnsi="Times New Roman"/>
                <w:iCs/>
                <w:sz w:val="22"/>
                <w:szCs w:val="22"/>
              </w:rPr>
              <w:t>0</w:t>
            </w:r>
          </w:p>
        </w:tc>
        <w:tc>
          <w:tcPr>
            <w:tcW w:w="1272" w:type="dxa"/>
            <w:vAlign w:val="center"/>
          </w:tcPr>
          <w:p w:rsidR="00D03B7C" w:rsidRPr="00876658" w:rsidRDefault="00B95A2B" w:rsidP="00AC1AF1">
            <w:pPr>
              <w:pStyle w:val="tvhtml"/>
              <w:spacing w:before="0" w:beforeAutospacing="0" w:after="0" w:afterAutospacing="0"/>
              <w:jc w:val="center"/>
              <w:rPr>
                <w:rFonts w:ascii="Times New Roman" w:hAnsi="Times New Roman"/>
                <w:iCs/>
                <w:sz w:val="22"/>
                <w:szCs w:val="22"/>
              </w:rPr>
            </w:pPr>
            <w:r w:rsidRPr="00876658">
              <w:rPr>
                <w:rFonts w:ascii="Times New Roman" w:hAnsi="Times New Roman"/>
                <w:iCs/>
                <w:sz w:val="22"/>
                <w:szCs w:val="22"/>
              </w:rPr>
              <w:t>0</w:t>
            </w:r>
          </w:p>
        </w:tc>
        <w:tc>
          <w:tcPr>
            <w:tcW w:w="1271" w:type="dxa"/>
            <w:vAlign w:val="center"/>
          </w:tcPr>
          <w:p w:rsidR="00D03B7C" w:rsidRPr="00876658" w:rsidRDefault="00B95A2B" w:rsidP="00AC1AF1">
            <w:pPr>
              <w:pStyle w:val="tvhtml"/>
              <w:spacing w:before="0" w:beforeAutospacing="0" w:after="0" w:afterAutospacing="0"/>
              <w:jc w:val="center"/>
              <w:rPr>
                <w:rFonts w:ascii="Times New Roman" w:hAnsi="Times New Roman"/>
                <w:iCs/>
                <w:sz w:val="22"/>
                <w:szCs w:val="22"/>
              </w:rPr>
            </w:pPr>
            <w:r w:rsidRPr="00876658">
              <w:rPr>
                <w:rFonts w:ascii="Times New Roman" w:hAnsi="Times New Roman"/>
                <w:iCs/>
                <w:sz w:val="22"/>
                <w:szCs w:val="22"/>
              </w:rPr>
              <w:t>0</w:t>
            </w:r>
          </w:p>
        </w:tc>
        <w:tc>
          <w:tcPr>
            <w:tcW w:w="1223" w:type="dxa"/>
            <w:vAlign w:val="center"/>
          </w:tcPr>
          <w:p w:rsidR="00D03B7C" w:rsidRPr="00876658" w:rsidRDefault="00B95A2B" w:rsidP="00AC1AF1">
            <w:pPr>
              <w:pStyle w:val="tvhtml"/>
              <w:spacing w:before="0" w:beforeAutospacing="0" w:after="0" w:afterAutospacing="0"/>
              <w:jc w:val="center"/>
              <w:rPr>
                <w:rFonts w:ascii="Times New Roman" w:hAnsi="Times New Roman"/>
                <w:iCs/>
                <w:sz w:val="22"/>
                <w:szCs w:val="22"/>
              </w:rPr>
            </w:pPr>
            <w:r w:rsidRPr="00876658">
              <w:rPr>
                <w:rFonts w:ascii="Times New Roman" w:hAnsi="Times New Roman"/>
                <w:iCs/>
                <w:sz w:val="22"/>
                <w:szCs w:val="22"/>
              </w:rPr>
              <w:t>0</w:t>
            </w:r>
          </w:p>
        </w:tc>
        <w:tc>
          <w:tcPr>
            <w:tcW w:w="1150" w:type="dxa"/>
            <w:vAlign w:val="center"/>
          </w:tcPr>
          <w:p w:rsidR="00D03B7C" w:rsidRPr="00876658" w:rsidRDefault="00B95A2B" w:rsidP="00AC1AF1">
            <w:pPr>
              <w:pStyle w:val="tvhtml"/>
              <w:spacing w:before="0" w:beforeAutospacing="0" w:after="0" w:afterAutospacing="0"/>
              <w:jc w:val="center"/>
              <w:rPr>
                <w:rFonts w:ascii="Times New Roman" w:hAnsi="Times New Roman"/>
                <w:iCs/>
                <w:sz w:val="22"/>
                <w:szCs w:val="22"/>
              </w:rPr>
            </w:pPr>
            <w:r w:rsidRPr="00876658">
              <w:rPr>
                <w:rFonts w:ascii="Times New Roman" w:hAnsi="Times New Roman"/>
                <w:iCs/>
                <w:sz w:val="22"/>
                <w:szCs w:val="22"/>
              </w:rPr>
              <w:t>0</w:t>
            </w:r>
          </w:p>
        </w:tc>
      </w:tr>
      <w:tr w:rsidR="00D03B7C" w:rsidRPr="003D12AB" w:rsidTr="007F0246">
        <w:tc>
          <w:tcPr>
            <w:tcW w:w="3315" w:type="dxa"/>
            <w:vMerge w:val="restart"/>
            <w:vAlign w:val="center"/>
          </w:tcPr>
          <w:p w:rsidR="00D03B7C" w:rsidRPr="00876658" w:rsidRDefault="00D03B7C" w:rsidP="00AC1AF1">
            <w:pPr>
              <w:pStyle w:val="tvhtml1"/>
              <w:spacing w:before="0" w:beforeAutospacing="0" w:line="240" w:lineRule="auto"/>
              <w:jc w:val="center"/>
              <w:rPr>
                <w:rFonts w:ascii="Times New Roman" w:hAnsi="Times New Roman"/>
                <w:sz w:val="22"/>
                <w:szCs w:val="22"/>
              </w:rPr>
            </w:pPr>
            <w:r w:rsidRPr="00876658">
              <w:rPr>
                <w:rFonts w:ascii="Times New Roman" w:hAnsi="Times New Roman"/>
                <w:sz w:val="22"/>
                <w:szCs w:val="22"/>
              </w:rPr>
              <w:t>4. Finanšu līdzekļi papildu izde</w:t>
            </w:r>
            <w:r w:rsidRPr="00876658">
              <w:rPr>
                <w:rFonts w:ascii="Times New Roman" w:hAnsi="Times New Roman"/>
                <w:sz w:val="22"/>
                <w:szCs w:val="22"/>
              </w:rPr>
              <w:softHyphen/>
              <w:t>vumu finansēšanai (kompensējošu izdevumu samazinājumu norāda ar "+" zīmi)</w:t>
            </w:r>
          </w:p>
          <w:p w:rsidR="00D03B7C" w:rsidRPr="00876658" w:rsidRDefault="00D03B7C" w:rsidP="00AC1AF1">
            <w:pPr>
              <w:pStyle w:val="tvhtml"/>
              <w:spacing w:before="0" w:beforeAutospacing="0" w:after="0" w:afterAutospacing="0"/>
              <w:jc w:val="center"/>
              <w:rPr>
                <w:rFonts w:ascii="Times New Roman" w:hAnsi="Times New Roman"/>
                <w:iCs/>
                <w:sz w:val="22"/>
                <w:szCs w:val="22"/>
              </w:rPr>
            </w:pPr>
          </w:p>
        </w:tc>
        <w:tc>
          <w:tcPr>
            <w:tcW w:w="1056" w:type="dxa"/>
            <w:vMerge w:val="restart"/>
            <w:vAlign w:val="center"/>
          </w:tcPr>
          <w:p w:rsidR="00D03B7C" w:rsidRPr="00876658" w:rsidRDefault="00D03B7C" w:rsidP="00AC1AF1">
            <w:pPr>
              <w:pStyle w:val="tvhtml"/>
              <w:spacing w:before="0" w:beforeAutospacing="0" w:after="0" w:afterAutospacing="0"/>
              <w:jc w:val="center"/>
              <w:rPr>
                <w:rFonts w:ascii="Times New Roman" w:hAnsi="Times New Roman"/>
                <w:iCs/>
                <w:sz w:val="22"/>
                <w:szCs w:val="22"/>
              </w:rPr>
            </w:pPr>
          </w:p>
        </w:tc>
        <w:tc>
          <w:tcPr>
            <w:tcW w:w="1272" w:type="dxa"/>
            <w:vAlign w:val="center"/>
          </w:tcPr>
          <w:p w:rsidR="00D03B7C" w:rsidRPr="00876658" w:rsidRDefault="00B95A2B" w:rsidP="00AC1AF1">
            <w:pPr>
              <w:pStyle w:val="tvhtml"/>
              <w:spacing w:before="0" w:beforeAutospacing="0" w:after="0" w:afterAutospacing="0"/>
              <w:jc w:val="center"/>
              <w:rPr>
                <w:rFonts w:ascii="Times New Roman" w:hAnsi="Times New Roman"/>
                <w:iCs/>
                <w:sz w:val="22"/>
                <w:szCs w:val="22"/>
              </w:rPr>
            </w:pPr>
            <w:r w:rsidRPr="00876658">
              <w:rPr>
                <w:rFonts w:ascii="Times New Roman" w:hAnsi="Times New Roman"/>
                <w:iCs/>
                <w:sz w:val="22"/>
                <w:szCs w:val="22"/>
              </w:rPr>
              <w:t>0</w:t>
            </w:r>
          </w:p>
        </w:tc>
        <w:tc>
          <w:tcPr>
            <w:tcW w:w="1271" w:type="dxa"/>
            <w:vAlign w:val="center"/>
          </w:tcPr>
          <w:p w:rsidR="00D03B7C" w:rsidRPr="00876658" w:rsidRDefault="00B95A2B" w:rsidP="00AC1AF1">
            <w:pPr>
              <w:pStyle w:val="tvhtml"/>
              <w:spacing w:before="0" w:beforeAutospacing="0" w:after="0" w:afterAutospacing="0"/>
              <w:jc w:val="center"/>
              <w:rPr>
                <w:rFonts w:ascii="Times New Roman" w:hAnsi="Times New Roman"/>
                <w:iCs/>
                <w:sz w:val="22"/>
                <w:szCs w:val="22"/>
              </w:rPr>
            </w:pPr>
            <w:r w:rsidRPr="00876658">
              <w:rPr>
                <w:rFonts w:ascii="Times New Roman" w:hAnsi="Times New Roman"/>
                <w:iCs/>
                <w:sz w:val="22"/>
                <w:szCs w:val="22"/>
              </w:rPr>
              <w:t>0</w:t>
            </w:r>
          </w:p>
        </w:tc>
        <w:tc>
          <w:tcPr>
            <w:tcW w:w="1223" w:type="dxa"/>
            <w:vAlign w:val="center"/>
          </w:tcPr>
          <w:p w:rsidR="00D03B7C" w:rsidRPr="00876658" w:rsidRDefault="00B95A2B" w:rsidP="00AC1AF1">
            <w:pPr>
              <w:pStyle w:val="tvhtml"/>
              <w:spacing w:before="0" w:beforeAutospacing="0" w:after="0" w:afterAutospacing="0"/>
              <w:jc w:val="center"/>
              <w:rPr>
                <w:rFonts w:ascii="Times New Roman" w:hAnsi="Times New Roman"/>
                <w:iCs/>
                <w:sz w:val="22"/>
                <w:szCs w:val="22"/>
              </w:rPr>
            </w:pPr>
            <w:r w:rsidRPr="00876658">
              <w:rPr>
                <w:rFonts w:ascii="Times New Roman" w:hAnsi="Times New Roman"/>
                <w:iCs/>
                <w:sz w:val="22"/>
                <w:szCs w:val="22"/>
              </w:rPr>
              <w:t>0</w:t>
            </w:r>
          </w:p>
        </w:tc>
        <w:tc>
          <w:tcPr>
            <w:tcW w:w="1150" w:type="dxa"/>
            <w:vAlign w:val="center"/>
          </w:tcPr>
          <w:p w:rsidR="00D03B7C" w:rsidRPr="00876658" w:rsidRDefault="00B95A2B" w:rsidP="00AC1AF1">
            <w:pPr>
              <w:pStyle w:val="tvhtml"/>
              <w:spacing w:before="0" w:beforeAutospacing="0" w:after="0" w:afterAutospacing="0"/>
              <w:jc w:val="center"/>
              <w:rPr>
                <w:rFonts w:ascii="Times New Roman" w:hAnsi="Times New Roman"/>
                <w:iCs/>
                <w:sz w:val="22"/>
                <w:szCs w:val="22"/>
              </w:rPr>
            </w:pPr>
            <w:r w:rsidRPr="00876658">
              <w:rPr>
                <w:rFonts w:ascii="Times New Roman" w:hAnsi="Times New Roman"/>
                <w:iCs/>
                <w:sz w:val="22"/>
                <w:szCs w:val="22"/>
              </w:rPr>
              <w:t>0</w:t>
            </w:r>
          </w:p>
        </w:tc>
      </w:tr>
      <w:tr w:rsidR="00D03B7C" w:rsidRPr="003D12AB" w:rsidTr="007F0246">
        <w:tc>
          <w:tcPr>
            <w:tcW w:w="3315" w:type="dxa"/>
            <w:vMerge/>
            <w:vAlign w:val="center"/>
          </w:tcPr>
          <w:p w:rsidR="00D03B7C" w:rsidRPr="00876658" w:rsidRDefault="00D03B7C" w:rsidP="00AC1AF1">
            <w:pPr>
              <w:rPr>
                <w:iCs/>
                <w:sz w:val="22"/>
                <w:szCs w:val="22"/>
              </w:rPr>
            </w:pPr>
          </w:p>
        </w:tc>
        <w:tc>
          <w:tcPr>
            <w:tcW w:w="1056" w:type="dxa"/>
            <w:vMerge/>
            <w:vAlign w:val="center"/>
          </w:tcPr>
          <w:p w:rsidR="00D03B7C" w:rsidRPr="00876658" w:rsidRDefault="00D03B7C" w:rsidP="00AC1AF1">
            <w:pPr>
              <w:rPr>
                <w:iCs/>
                <w:sz w:val="22"/>
                <w:szCs w:val="22"/>
              </w:rPr>
            </w:pPr>
          </w:p>
        </w:tc>
        <w:tc>
          <w:tcPr>
            <w:tcW w:w="1272" w:type="dxa"/>
            <w:vAlign w:val="center"/>
          </w:tcPr>
          <w:p w:rsidR="00D03B7C" w:rsidRPr="00876658" w:rsidRDefault="00D03B7C" w:rsidP="00AC1AF1">
            <w:pPr>
              <w:pStyle w:val="tvhtml"/>
              <w:spacing w:before="0" w:beforeAutospacing="0" w:after="0" w:afterAutospacing="0"/>
              <w:jc w:val="center"/>
              <w:rPr>
                <w:rFonts w:ascii="Times New Roman" w:hAnsi="Times New Roman"/>
                <w:iCs/>
                <w:sz w:val="22"/>
                <w:szCs w:val="22"/>
              </w:rPr>
            </w:pPr>
          </w:p>
        </w:tc>
        <w:tc>
          <w:tcPr>
            <w:tcW w:w="1271" w:type="dxa"/>
            <w:vAlign w:val="center"/>
          </w:tcPr>
          <w:p w:rsidR="00D03B7C" w:rsidRPr="00876658" w:rsidRDefault="00D03B7C" w:rsidP="00AC1AF1">
            <w:pPr>
              <w:pStyle w:val="tvhtml"/>
              <w:spacing w:before="0" w:beforeAutospacing="0" w:after="0" w:afterAutospacing="0"/>
              <w:jc w:val="center"/>
              <w:rPr>
                <w:rFonts w:ascii="Times New Roman" w:hAnsi="Times New Roman"/>
                <w:iCs/>
                <w:sz w:val="22"/>
                <w:szCs w:val="22"/>
              </w:rPr>
            </w:pPr>
          </w:p>
        </w:tc>
        <w:tc>
          <w:tcPr>
            <w:tcW w:w="1223" w:type="dxa"/>
            <w:vAlign w:val="center"/>
          </w:tcPr>
          <w:p w:rsidR="00D03B7C" w:rsidRPr="00876658" w:rsidRDefault="00D03B7C" w:rsidP="00AC1AF1">
            <w:pPr>
              <w:pStyle w:val="tvhtml"/>
              <w:spacing w:before="0" w:beforeAutospacing="0" w:after="0" w:afterAutospacing="0"/>
              <w:jc w:val="center"/>
              <w:rPr>
                <w:rFonts w:ascii="Times New Roman" w:hAnsi="Times New Roman"/>
                <w:iCs/>
                <w:sz w:val="22"/>
                <w:szCs w:val="22"/>
              </w:rPr>
            </w:pPr>
          </w:p>
        </w:tc>
        <w:tc>
          <w:tcPr>
            <w:tcW w:w="1150" w:type="dxa"/>
            <w:vAlign w:val="center"/>
          </w:tcPr>
          <w:p w:rsidR="00D03B7C" w:rsidRPr="00876658" w:rsidRDefault="00D03B7C" w:rsidP="00AC1AF1">
            <w:pPr>
              <w:pStyle w:val="tvhtml"/>
              <w:spacing w:before="0" w:beforeAutospacing="0" w:after="0" w:afterAutospacing="0"/>
              <w:jc w:val="center"/>
              <w:rPr>
                <w:rFonts w:ascii="Times New Roman" w:hAnsi="Times New Roman"/>
                <w:iCs/>
                <w:sz w:val="22"/>
                <w:szCs w:val="22"/>
              </w:rPr>
            </w:pPr>
          </w:p>
        </w:tc>
      </w:tr>
      <w:tr w:rsidR="00D03B7C" w:rsidRPr="003D12AB" w:rsidTr="007F0246">
        <w:tc>
          <w:tcPr>
            <w:tcW w:w="3315" w:type="dxa"/>
            <w:vMerge/>
            <w:vAlign w:val="center"/>
          </w:tcPr>
          <w:p w:rsidR="00D03B7C" w:rsidRPr="00876658" w:rsidRDefault="00D03B7C" w:rsidP="00AC1AF1">
            <w:pPr>
              <w:rPr>
                <w:iCs/>
                <w:sz w:val="22"/>
                <w:szCs w:val="22"/>
              </w:rPr>
            </w:pPr>
          </w:p>
        </w:tc>
        <w:tc>
          <w:tcPr>
            <w:tcW w:w="1056" w:type="dxa"/>
            <w:vMerge/>
            <w:vAlign w:val="center"/>
          </w:tcPr>
          <w:p w:rsidR="00D03B7C" w:rsidRPr="00876658" w:rsidRDefault="00D03B7C" w:rsidP="00AC1AF1">
            <w:pPr>
              <w:rPr>
                <w:iCs/>
                <w:sz w:val="22"/>
                <w:szCs w:val="22"/>
              </w:rPr>
            </w:pPr>
          </w:p>
        </w:tc>
        <w:tc>
          <w:tcPr>
            <w:tcW w:w="1272" w:type="dxa"/>
            <w:vAlign w:val="center"/>
          </w:tcPr>
          <w:p w:rsidR="00D03B7C" w:rsidRPr="00876658" w:rsidRDefault="00D03B7C" w:rsidP="00AC1AF1">
            <w:pPr>
              <w:pStyle w:val="tvhtml"/>
              <w:spacing w:before="0" w:beforeAutospacing="0" w:after="0" w:afterAutospacing="0"/>
              <w:jc w:val="center"/>
              <w:rPr>
                <w:rFonts w:ascii="Times New Roman" w:hAnsi="Times New Roman"/>
                <w:iCs/>
                <w:sz w:val="22"/>
                <w:szCs w:val="22"/>
              </w:rPr>
            </w:pPr>
          </w:p>
        </w:tc>
        <w:tc>
          <w:tcPr>
            <w:tcW w:w="1271" w:type="dxa"/>
            <w:vAlign w:val="center"/>
          </w:tcPr>
          <w:p w:rsidR="00D03B7C" w:rsidRPr="00876658" w:rsidRDefault="00D03B7C" w:rsidP="00AC1AF1">
            <w:pPr>
              <w:pStyle w:val="tvhtml"/>
              <w:spacing w:before="0" w:beforeAutospacing="0" w:after="0" w:afterAutospacing="0"/>
              <w:jc w:val="center"/>
              <w:rPr>
                <w:rFonts w:ascii="Times New Roman" w:hAnsi="Times New Roman"/>
                <w:iCs/>
                <w:sz w:val="22"/>
                <w:szCs w:val="22"/>
              </w:rPr>
            </w:pPr>
          </w:p>
        </w:tc>
        <w:tc>
          <w:tcPr>
            <w:tcW w:w="1223" w:type="dxa"/>
            <w:vAlign w:val="center"/>
          </w:tcPr>
          <w:p w:rsidR="00D03B7C" w:rsidRPr="00876658" w:rsidRDefault="00D03B7C" w:rsidP="00AC1AF1">
            <w:pPr>
              <w:pStyle w:val="tvhtml"/>
              <w:spacing w:before="0" w:beforeAutospacing="0" w:after="0" w:afterAutospacing="0"/>
              <w:jc w:val="center"/>
              <w:rPr>
                <w:rFonts w:ascii="Times New Roman" w:hAnsi="Times New Roman"/>
                <w:iCs/>
                <w:sz w:val="22"/>
                <w:szCs w:val="22"/>
              </w:rPr>
            </w:pPr>
          </w:p>
        </w:tc>
        <w:tc>
          <w:tcPr>
            <w:tcW w:w="1150" w:type="dxa"/>
            <w:vAlign w:val="center"/>
          </w:tcPr>
          <w:p w:rsidR="00D03B7C" w:rsidRPr="00876658" w:rsidRDefault="00D03B7C" w:rsidP="00AC1AF1">
            <w:pPr>
              <w:pStyle w:val="tvhtml"/>
              <w:spacing w:before="0" w:beforeAutospacing="0" w:after="0" w:afterAutospacing="0"/>
              <w:jc w:val="center"/>
              <w:rPr>
                <w:rFonts w:ascii="Times New Roman" w:hAnsi="Times New Roman"/>
                <w:iCs/>
                <w:sz w:val="22"/>
                <w:szCs w:val="22"/>
              </w:rPr>
            </w:pPr>
          </w:p>
        </w:tc>
      </w:tr>
      <w:tr w:rsidR="00D03B7C" w:rsidRPr="003D12AB" w:rsidTr="007F0246">
        <w:tc>
          <w:tcPr>
            <w:tcW w:w="3315" w:type="dxa"/>
            <w:vAlign w:val="center"/>
          </w:tcPr>
          <w:p w:rsidR="00D03B7C" w:rsidRPr="00876658" w:rsidRDefault="00D03B7C" w:rsidP="00AC1AF1">
            <w:pPr>
              <w:pStyle w:val="tvhtml1"/>
              <w:spacing w:before="0" w:beforeAutospacing="0" w:line="240" w:lineRule="auto"/>
              <w:jc w:val="center"/>
              <w:rPr>
                <w:rFonts w:ascii="Times New Roman" w:hAnsi="Times New Roman"/>
                <w:sz w:val="22"/>
                <w:szCs w:val="22"/>
              </w:rPr>
            </w:pPr>
            <w:r w:rsidRPr="00876658">
              <w:rPr>
                <w:rFonts w:ascii="Times New Roman" w:hAnsi="Times New Roman"/>
                <w:sz w:val="22"/>
                <w:szCs w:val="22"/>
              </w:rPr>
              <w:t>5. Precizēta finansiālā ietekme:</w:t>
            </w:r>
          </w:p>
        </w:tc>
        <w:tc>
          <w:tcPr>
            <w:tcW w:w="1056" w:type="dxa"/>
            <w:vMerge w:val="restart"/>
            <w:vAlign w:val="center"/>
          </w:tcPr>
          <w:p w:rsidR="00D03B7C" w:rsidRPr="00876658" w:rsidRDefault="00D03B7C" w:rsidP="00AC1AF1">
            <w:pPr>
              <w:pStyle w:val="tvhtml"/>
              <w:spacing w:before="0" w:beforeAutospacing="0" w:after="0" w:afterAutospacing="0"/>
              <w:jc w:val="center"/>
              <w:rPr>
                <w:rFonts w:ascii="Times New Roman" w:hAnsi="Times New Roman"/>
                <w:iCs/>
                <w:sz w:val="22"/>
                <w:szCs w:val="22"/>
              </w:rPr>
            </w:pPr>
          </w:p>
        </w:tc>
        <w:tc>
          <w:tcPr>
            <w:tcW w:w="1272" w:type="dxa"/>
            <w:vAlign w:val="center"/>
          </w:tcPr>
          <w:p w:rsidR="00D03B7C" w:rsidRPr="00876658" w:rsidRDefault="00B95A2B" w:rsidP="00AC1AF1">
            <w:pPr>
              <w:pStyle w:val="tvhtml"/>
              <w:spacing w:before="0" w:beforeAutospacing="0" w:after="0" w:afterAutospacing="0"/>
              <w:jc w:val="center"/>
              <w:rPr>
                <w:rFonts w:ascii="Times New Roman" w:hAnsi="Times New Roman"/>
                <w:iCs/>
                <w:sz w:val="22"/>
                <w:szCs w:val="22"/>
              </w:rPr>
            </w:pPr>
            <w:r w:rsidRPr="00876658">
              <w:rPr>
                <w:rFonts w:ascii="Times New Roman" w:hAnsi="Times New Roman"/>
                <w:iCs/>
                <w:sz w:val="22"/>
                <w:szCs w:val="22"/>
              </w:rPr>
              <w:t>0</w:t>
            </w:r>
          </w:p>
        </w:tc>
        <w:tc>
          <w:tcPr>
            <w:tcW w:w="1271" w:type="dxa"/>
            <w:vAlign w:val="center"/>
          </w:tcPr>
          <w:p w:rsidR="00D03B7C" w:rsidRPr="00876658" w:rsidRDefault="00B95A2B" w:rsidP="00AC1AF1">
            <w:pPr>
              <w:pStyle w:val="tvhtml"/>
              <w:spacing w:before="0" w:beforeAutospacing="0" w:after="0" w:afterAutospacing="0"/>
              <w:jc w:val="center"/>
              <w:rPr>
                <w:rFonts w:ascii="Times New Roman" w:hAnsi="Times New Roman"/>
                <w:iCs/>
                <w:sz w:val="22"/>
                <w:szCs w:val="22"/>
              </w:rPr>
            </w:pPr>
            <w:r w:rsidRPr="00876658">
              <w:rPr>
                <w:rFonts w:ascii="Times New Roman" w:hAnsi="Times New Roman"/>
                <w:iCs/>
                <w:sz w:val="22"/>
                <w:szCs w:val="22"/>
              </w:rPr>
              <w:t>0</w:t>
            </w:r>
          </w:p>
        </w:tc>
        <w:tc>
          <w:tcPr>
            <w:tcW w:w="1223" w:type="dxa"/>
            <w:vAlign w:val="center"/>
          </w:tcPr>
          <w:p w:rsidR="00D03B7C" w:rsidRPr="00876658" w:rsidRDefault="00B95A2B" w:rsidP="00AC1AF1">
            <w:pPr>
              <w:pStyle w:val="tvhtml"/>
              <w:spacing w:before="0" w:beforeAutospacing="0" w:after="0" w:afterAutospacing="0"/>
              <w:jc w:val="center"/>
              <w:rPr>
                <w:rFonts w:ascii="Times New Roman" w:hAnsi="Times New Roman"/>
                <w:iCs/>
                <w:sz w:val="22"/>
                <w:szCs w:val="22"/>
              </w:rPr>
            </w:pPr>
            <w:r w:rsidRPr="00876658">
              <w:rPr>
                <w:rFonts w:ascii="Times New Roman" w:hAnsi="Times New Roman"/>
                <w:iCs/>
                <w:sz w:val="22"/>
                <w:szCs w:val="22"/>
              </w:rPr>
              <w:t>0</w:t>
            </w:r>
          </w:p>
        </w:tc>
        <w:tc>
          <w:tcPr>
            <w:tcW w:w="1150" w:type="dxa"/>
            <w:vAlign w:val="center"/>
          </w:tcPr>
          <w:p w:rsidR="00D03B7C" w:rsidRPr="00876658" w:rsidRDefault="00B95A2B" w:rsidP="00AC1AF1">
            <w:pPr>
              <w:pStyle w:val="tvhtml"/>
              <w:spacing w:before="0" w:beforeAutospacing="0" w:after="0" w:afterAutospacing="0"/>
              <w:jc w:val="center"/>
              <w:rPr>
                <w:rFonts w:ascii="Times New Roman" w:hAnsi="Times New Roman"/>
                <w:iCs/>
                <w:sz w:val="22"/>
                <w:szCs w:val="22"/>
              </w:rPr>
            </w:pPr>
            <w:r w:rsidRPr="00876658">
              <w:rPr>
                <w:rFonts w:ascii="Times New Roman" w:hAnsi="Times New Roman"/>
                <w:iCs/>
                <w:sz w:val="22"/>
                <w:szCs w:val="22"/>
              </w:rPr>
              <w:t>0</w:t>
            </w:r>
          </w:p>
        </w:tc>
      </w:tr>
      <w:tr w:rsidR="00D03B7C" w:rsidRPr="003D12AB" w:rsidTr="007F0246">
        <w:tc>
          <w:tcPr>
            <w:tcW w:w="3315" w:type="dxa"/>
            <w:vAlign w:val="center"/>
          </w:tcPr>
          <w:p w:rsidR="00D03B7C" w:rsidRPr="00876658" w:rsidRDefault="00D03B7C" w:rsidP="00AC1AF1">
            <w:pPr>
              <w:pStyle w:val="tvhtml1"/>
              <w:spacing w:before="0" w:beforeAutospacing="0" w:line="240" w:lineRule="auto"/>
              <w:jc w:val="center"/>
              <w:rPr>
                <w:rFonts w:ascii="Times New Roman" w:hAnsi="Times New Roman"/>
                <w:sz w:val="22"/>
                <w:szCs w:val="22"/>
              </w:rPr>
            </w:pPr>
            <w:r w:rsidRPr="00876658">
              <w:rPr>
                <w:rFonts w:ascii="Times New Roman" w:hAnsi="Times New Roman"/>
                <w:sz w:val="22"/>
                <w:szCs w:val="22"/>
              </w:rPr>
              <w:t>5.1. valsts pamatbudžets</w:t>
            </w:r>
          </w:p>
        </w:tc>
        <w:tc>
          <w:tcPr>
            <w:tcW w:w="1056" w:type="dxa"/>
            <w:vMerge/>
            <w:vAlign w:val="center"/>
          </w:tcPr>
          <w:p w:rsidR="00D03B7C" w:rsidRPr="00876658" w:rsidRDefault="00D03B7C" w:rsidP="00AC1AF1">
            <w:pPr>
              <w:rPr>
                <w:iCs/>
                <w:sz w:val="22"/>
                <w:szCs w:val="22"/>
              </w:rPr>
            </w:pPr>
          </w:p>
        </w:tc>
        <w:tc>
          <w:tcPr>
            <w:tcW w:w="1272" w:type="dxa"/>
            <w:vAlign w:val="center"/>
          </w:tcPr>
          <w:p w:rsidR="00D03B7C" w:rsidRPr="00876658" w:rsidRDefault="00D03B7C" w:rsidP="00AC1AF1">
            <w:pPr>
              <w:pStyle w:val="tvhtml"/>
              <w:spacing w:before="0" w:beforeAutospacing="0" w:after="0" w:afterAutospacing="0"/>
              <w:jc w:val="center"/>
              <w:rPr>
                <w:rFonts w:ascii="Times New Roman" w:hAnsi="Times New Roman"/>
                <w:iCs/>
                <w:sz w:val="22"/>
                <w:szCs w:val="22"/>
              </w:rPr>
            </w:pPr>
          </w:p>
        </w:tc>
        <w:tc>
          <w:tcPr>
            <w:tcW w:w="1271" w:type="dxa"/>
            <w:vAlign w:val="center"/>
          </w:tcPr>
          <w:p w:rsidR="00D03B7C" w:rsidRPr="00876658" w:rsidRDefault="00D03B7C" w:rsidP="00AC1AF1">
            <w:pPr>
              <w:pStyle w:val="tvhtml"/>
              <w:spacing w:before="0" w:beforeAutospacing="0" w:after="0" w:afterAutospacing="0"/>
              <w:jc w:val="center"/>
              <w:rPr>
                <w:rFonts w:ascii="Times New Roman" w:hAnsi="Times New Roman"/>
                <w:iCs/>
                <w:sz w:val="22"/>
                <w:szCs w:val="22"/>
              </w:rPr>
            </w:pPr>
          </w:p>
        </w:tc>
        <w:tc>
          <w:tcPr>
            <w:tcW w:w="1223" w:type="dxa"/>
            <w:vAlign w:val="center"/>
          </w:tcPr>
          <w:p w:rsidR="00D03B7C" w:rsidRPr="00876658" w:rsidRDefault="00D03B7C" w:rsidP="00AC1AF1">
            <w:pPr>
              <w:pStyle w:val="tvhtml"/>
              <w:spacing w:before="0" w:beforeAutospacing="0" w:after="0" w:afterAutospacing="0"/>
              <w:jc w:val="center"/>
              <w:rPr>
                <w:rFonts w:ascii="Times New Roman" w:hAnsi="Times New Roman"/>
                <w:iCs/>
                <w:sz w:val="22"/>
                <w:szCs w:val="22"/>
              </w:rPr>
            </w:pPr>
          </w:p>
        </w:tc>
        <w:tc>
          <w:tcPr>
            <w:tcW w:w="1150" w:type="dxa"/>
            <w:vAlign w:val="center"/>
          </w:tcPr>
          <w:p w:rsidR="00D03B7C" w:rsidRPr="00876658" w:rsidRDefault="00D03B7C" w:rsidP="00AC1AF1">
            <w:pPr>
              <w:pStyle w:val="tvhtml"/>
              <w:spacing w:before="0" w:beforeAutospacing="0" w:after="0" w:afterAutospacing="0"/>
              <w:jc w:val="center"/>
              <w:rPr>
                <w:rFonts w:ascii="Times New Roman" w:hAnsi="Times New Roman"/>
                <w:iCs/>
                <w:sz w:val="22"/>
                <w:szCs w:val="22"/>
              </w:rPr>
            </w:pPr>
          </w:p>
        </w:tc>
      </w:tr>
      <w:tr w:rsidR="00D03B7C" w:rsidRPr="003D12AB" w:rsidTr="007F0246">
        <w:tc>
          <w:tcPr>
            <w:tcW w:w="3315" w:type="dxa"/>
            <w:vAlign w:val="center"/>
          </w:tcPr>
          <w:p w:rsidR="00D03B7C" w:rsidRPr="00876658" w:rsidRDefault="00D03B7C" w:rsidP="00AC1AF1">
            <w:pPr>
              <w:pStyle w:val="tvhtml1"/>
              <w:spacing w:before="0" w:beforeAutospacing="0" w:line="240" w:lineRule="auto"/>
              <w:jc w:val="center"/>
              <w:rPr>
                <w:rFonts w:ascii="Times New Roman" w:hAnsi="Times New Roman"/>
                <w:sz w:val="22"/>
                <w:szCs w:val="22"/>
              </w:rPr>
            </w:pPr>
            <w:r w:rsidRPr="00876658">
              <w:rPr>
                <w:rFonts w:ascii="Times New Roman" w:hAnsi="Times New Roman"/>
                <w:sz w:val="22"/>
                <w:szCs w:val="22"/>
              </w:rPr>
              <w:t>5.2. speciālais budžets</w:t>
            </w:r>
          </w:p>
        </w:tc>
        <w:tc>
          <w:tcPr>
            <w:tcW w:w="1056" w:type="dxa"/>
            <w:vMerge/>
            <w:vAlign w:val="center"/>
          </w:tcPr>
          <w:p w:rsidR="00D03B7C" w:rsidRPr="00876658" w:rsidRDefault="00D03B7C" w:rsidP="00AC1AF1">
            <w:pPr>
              <w:rPr>
                <w:iCs/>
                <w:sz w:val="22"/>
                <w:szCs w:val="22"/>
              </w:rPr>
            </w:pPr>
          </w:p>
        </w:tc>
        <w:tc>
          <w:tcPr>
            <w:tcW w:w="1272" w:type="dxa"/>
            <w:vAlign w:val="center"/>
          </w:tcPr>
          <w:p w:rsidR="00D03B7C" w:rsidRPr="00876658" w:rsidRDefault="00D03B7C" w:rsidP="00AC1AF1">
            <w:pPr>
              <w:pStyle w:val="tvhtml"/>
              <w:spacing w:before="0" w:beforeAutospacing="0" w:after="0" w:afterAutospacing="0"/>
              <w:jc w:val="center"/>
              <w:rPr>
                <w:rFonts w:ascii="Times New Roman" w:hAnsi="Times New Roman"/>
                <w:iCs/>
                <w:sz w:val="22"/>
                <w:szCs w:val="22"/>
              </w:rPr>
            </w:pPr>
          </w:p>
        </w:tc>
        <w:tc>
          <w:tcPr>
            <w:tcW w:w="1271" w:type="dxa"/>
            <w:vAlign w:val="center"/>
          </w:tcPr>
          <w:p w:rsidR="00D03B7C" w:rsidRPr="00876658" w:rsidRDefault="00D03B7C" w:rsidP="00AC1AF1">
            <w:pPr>
              <w:pStyle w:val="tvhtml"/>
              <w:spacing w:before="0" w:beforeAutospacing="0" w:after="0" w:afterAutospacing="0"/>
              <w:jc w:val="center"/>
              <w:rPr>
                <w:rFonts w:ascii="Times New Roman" w:hAnsi="Times New Roman"/>
                <w:iCs/>
                <w:sz w:val="22"/>
                <w:szCs w:val="22"/>
              </w:rPr>
            </w:pPr>
          </w:p>
        </w:tc>
        <w:tc>
          <w:tcPr>
            <w:tcW w:w="1223" w:type="dxa"/>
            <w:vAlign w:val="center"/>
          </w:tcPr>
          <w:p w:rsidR="00D03B7C" w:rsidRPr="00876658" w:rsidRDefault="00D03B7C" w:rsidP="00AC1AF1">
            <w:pPr>
              <w:pStyle w:val="tvhtml"/>
              <w:spacing w:before="0" w:beforeAutospacing="0" w:after="0" w:afterAutospacing="0"/>
              <w:jc w:val="center"/>
              <w:rPr>
                <w:rFonts w:ascii="Times New Roman" w:hAnsi="Times New Roman"/>
                <w:iCs/>
                <w:sz w:val="22"/>
                <w:szCs w:val="22"/>
              </w:rPr>
            </w:pPr>
          </w:p>
        </w:tc>
        <w:tc>
          <w:tcPr>
            <w:tcW w:w="1150" w:type="dxa"/>
            <w:vAlign w:val="center"/>
          </w:tcPr>
          <w:p w:rsidR="00D03B7C" w:rsidRPr="00876658" w:rsidRDefault="00D03B7C" w:rsidP="00AC1AF1">
            <w:pPr>
              <w:pStyle w:val="tvhtml"/>
              <w:spacing w:before="0" w:beforeAutospacing="0" w:after="0" w:afterAutospacing="0"/>
              <w:jc w:val="center"/>
              <w:rPr>
                <w:rFonts w:ascii="Times New Roman" w:hAnsi="Times New Roman"/>
                <w:iCs/>
                <w:sz w:val="22"/>
                <w:szCs w:val="22"/>
              </w:rPr>
            </w:pPr>
          </w:p>
        </w:tc>
      </w:tr>
      <w:tr w:rsidR="00D03B7C" w:rsidRPr="003D12AB" w:rsidTr="007F0246">
        <w:tc>
          <w:tcPr>
            <w:tcW w:w="3315" w:type="dxa"/>
            <w:vAlign w:val="center"/>
          </w:tcPr>
          <w:p w:rsidR="00D03B7C" w:rsidRPr="00876658" w:rsidRDefault="00D03B7C" w:rsidP="00AC1AF1">
            <w:pPr>
              <w:pStyle w:val="tvhtml1"/>
              <w:spacing w:before="0" w:beforeAutospacing="0" w:line="240" w:lineRule="auto"/>
              <w:jc w:val="center"/>
              <w:rPr>
                <w:rFonts w:ascii="Times New Roman" w:hAnsi="Times New Roman"/>
                <w:sz w:val="22"/>
                <w:szCs w:val="22"/>
              </w:rPr>
            </w:pPr>
            <w:r w:rsidRPr="00876658">
              <w:rPr>
                <w:rFonts w:ascii="Times New Roman" w:hAnsi="Times New Roman"/>
                <w:sz w:val="22"/>
                <w:szCs w:val="22"/>
              </w:rPr>
              <w:t>5.3. pašvaldību budžets</w:t>
            </w:r>
          </w:p>
        </w:tc>
        <w:tc>
          <w:tcPr>
            <w:tcW w:w="1056" w:type="dxa"/>
            <w:vMerge/>
            <w:vAlign w:val="center"/>
          </w:tcPr>
          <w:p w:rsidR="00D03B7C" w:rsidRPr="00876658" w:rsidRDefault="00D03B7C" w:rsidP="00AC1AF1">
            <w:pPr>
              <w:rPr>
                <w:iCs/>
                <w:sz w:val="22"/>
                <w:szCs w:val="22"/>
              </w:rPr>
            </w:pPr>
          </w:p>
        </w:tc>
        <w:tc>
          <w:tcPr>
            <w:tcW w:w="1272" w:type="dxa"/>
            <w:vAlign w:val="center"/>
          </w:tcPr>
          <w:p w:rsidR="00D03B7C" w:rsidRPr="00876658" w:rsidRDefault="00D03B7C" w:rsidP="00AC1AF1">
            <w:pPr>
              <w:pStyle w:val="tvhtml"/>
              <w:spacing w:before="0" w:beforeAutospacing="0" w:after="0" w:afterAutospacing="0"/>
              <w:jc w:val="center"/>
              <w:rPr>
                <w:rFonts w:ascii="Times New Roman" w:hAnsi="Times New Roman"/>
                <w:iCs/>
                <w:sz w:val="22"/>
                <w:szCs w:val="22"/>
              </w:rPr>
            </w:pPr>
          </w:p>
        </w:tc>
        <w:tc>
          <w:tcPr>
            <w:tcW w:w="1271" w:type="dxa"/>
            <w:vAlign w:val="center"/>
          </w:tcPr>
          <w:p w:rsidR="00D03B7C" w:rsidRPr="00876658" w:rsidRDefault="00D03B7C" w:rsidP="00AC1AF1">
            <w:pPr>
              <w:pStyle w:val="tvhtml"/>
              <w:spacing w:before="0" w:beforeAutospacing="0" w:after="0" w:afterAutospacing="0"/>
              <w:jc w:val="center"/>
              <w:rPr>
                <w:rFonts w:ascii="Times New Roman" w:hAnsi="Times New Roman"/>
                <w:iCs/>
                <w:sz w:val="22"/>
                <w:szCs w:val="22"/>
              </w:rPr>
            </w:pPr>
          </w:p>
        </w:tc>
        <w:tc>
          <w:tcPr>
            <w:tcW w:w="1223" w:type="dxa"/>
            <w:vAlign w:val="center"/>
          </w:tcPr>
          <w:p w:rsidR="00D03B7C" w:rsidRPr="00876658" w:rsidRDefault="00D03B7C" w:rsidP="00AC1AF1">
            <w:pPr>
              <w:pStyle w:val="tvhtml"/>
              <w:spacing w:before="0" w:beforeAutospacing="0" w:after="0" w:afterAutospacing="0"/>
              <w:jc w:val="center"/>
              <w:rPr>
                <w:rFonts w:ascii="Times New Roman" w:hAnsi="Times New Roman"/>
                <w:iCs/>
                <w:sz w:val="22"/>
                <w:szCs w:val="22"/>
              </w:rPr>
            </w:pPr>
          </w:p>
        </w:tc>
        <w:tc>
          <w:tcPr>
            <w:tcW w:w="1150" w:type="dxa"/>
            <w:vAlign w:val="center"/>
          </w:tcPr>
          <w:p w:rsidR="00D03B7C" w:rsidRPr="00876658" w:rsidRDefault="00D03B7C" w:rsidP="00AC1AF1">
            <w:pPr>
              <w:pStyle w:val="tvhtml"/>
              <w:spacing w:before="0" w:beforeAutospacing="0" w:after="0" w:afterAutospacing="0"/>
              <w:jc w:val="center"/>
              <w:rPr>
                <w:rFonts w:ascii="Times New Roman" w:hAnsi="Times New Roman"/>
                <w:iCs/>
                <w:sz w:val="22"/>
                <w:szCs w:val="22"/>
              </w:rPr>
            </w:pPr>
          </w:p>
        </w:tc>
      </w:tr>
      <w:tr w:rsidR="00D03B7C" w:rsidRPr="003D12AB" w:rsidTr="007F0246">
        <w:tc>
          <w:tcPr>
            <w:tcW w:w="3315" w:type="dxa"/>
            <w:vAlign w:val="center"/>
          </w:tcPr>
          <w:p w:rsidR="00D03B7C" w:rsidRPr="00876658" w:rsidRDefault="00D03B7C" w:rsidP="00AC1AF1">
            <w:pPr>
              <w:pStyle w:val="tvhtml1"/>
              <w:spacing w:before="0" w:beforeAutospacing="0" w:line="240" w:lineRule="auto"/>
              <w:jc w:val="center"/>
              <w:rPr>
                <w:rFonts w:ascii="Times New Roman" w:hAnsi="Times New Roman"/>
                <w:sz w:val="22"/>
                <w:szCs w:val="22"/>
              </w:rPr>
            </w:pPr>
            <w:r w:rsidRPr="00876658">
              <w:rPr>
                <w:rFonts w:ascii="Times New Roman" w:hAnsi="Times New Roman"/>
                <w:sz w:val="22"/>
                <w:szCs w:val="22"/>
              </w:rPr>
              <w:t>6. Detalizēts ieņēmumu un izdevu</w:t>
            </w:r>
            <w:r w:rsidRPr="00876658">
              <w:rPr>
                <w:rFonts w:ascii="Times New Roman" w:hAnsi="Times New Roman"/>
                <w:sz w:val="22"/>
                <w:szCs w:val="22"/>
              </w:rPr>
              <w:softHyphen/>
              <w:t>mu aprēķins (ja nepieciešams, detalizētu ieņēmumu un izdevumu aprēķinu var pievienot anotācijas pielikumā):</w:t>
            </w:r>
          </w:p>
        </w:tc>
        <w:tc>
          <w:tcPr>
            <w:tcW w:w="5972" w:type="dxa"/>
            <w:gridSpan w:val="5"/>
            <w:vMerge w:val="restart"/>
          </w:tcPr>
          <w:p w:rsidR="009148E8" w:rsidRPr="00876658" w:rsidRDefault="009148E8" w:rsidP="009B43D0">
            <w:pPr>
              <w:pStyle w:val="tvhtml"/>
              <w:spacing w:before="0" w:beforeAutospacing="0" w:after="0" w:afterAutospacing="0"/>
              <w:ind w:firstLine="340"/>
              <w:jc w:val="both"/>
              <w:rPr>
                <w:rFonts w:ascii="Times New Roman" w:hAnsi="Times New Roman"/>
                <w:iCs/>
                <w:sz w:val="22"/>
                <w:szCs w:val="22"/>
              </w:rPr>
            </w:pPr>
          </w:p>
        </w:tc>
      </w:tr>
      <w:tr w:rsidR="00D03B7C" w:rsidRPr="003D12AB" w:rsidTr="007F0246">
        <w:tc>
          <w:tcPr>
            <w:tcW w:w="3315" w:type="dxa"/>
            <w:vAlign w:val="center"/>
          </w:tcPr>
          <w:p w:rsidR="00D03B7C" w:rsidRPr="00876658" w:rsidRDefault="00D03B7C" w:rsidP="00AC1AF1">
            <w:pPr>
              <w:pStyle w:val="tvhtml1"/>
              <w:spacing w:before="0" w:beforeAutospacing="0" w:line="240" w:lineRule="auto"/>
              <w:jc w:val="center"/>
              <w:rPr>
                <w:rFonts w:ascii="Times New Roman" w:hAnsi="Times New Roman"/>
                <w:sz w:val="22"/>
                <w:szCs w:val="22"/>
              </w:rPr>
            </w:pPr>
            <w:r w:rsidRPr="00876658">
              <w:rPr>
                <w:rFonts w:ascii="Times New Roman" w:hAnsi="Times New Roman"/>
                <w:sz w:val="22"/>
                <w:szCs w:val="22"/>
              </w:rPr>
              <w:t>6.1. detalizēts ieņēmumu aprēķins</w:t>
            </w:r>
          </w:p>
        </w:tc>
        <w:tc>
          <w:tcPr>
            <w:tcW w:w="5972" w:type="dxa"/>
            <w:gridSpan w:val="5"/>
            <w:vMerge/>
            <w:vAlign w:val="center"/>
          </w:tcPr>
          <w:p w:rsidR="00D03B7C" w:rsidRPr="00876658" w:rsidRDefault="00D03B7C" w:rsidP="00AC1AF1">
            <w:pPr>
              <w:rPr>
                <w:iCs/>
                <w:sz w:val="22"/>
                <w:szCs w:val="22"/>
              </w:rPr>
            </w:pPr>
          </w:p>
        </w:tc>
      </w:tr>
      <w:tr w:rsidR="00D03B7C" w:rsidRPr="003D12AB" w:rsidTr="007F0246">
        <w:trPr>
          <w:trHeight w:val="391"/>
        </w:trPr>
        <w:tc>
          <w:tcPr>
            <w:tcW w:w="3315" w:type="dxa"/>
            <w:vAlign w:val="center"/>
          </w:tcPr>
          <w:p w:rsidR="00D03B7C" w:rsidRPr="00876658" w:rsidRDefault="00D03B7C" w:rsidP="00AC1AF1">
            <w:pPr>
              <w:pStyle w:val="tvhtml1"/>
              <w:spacing w:before="0" w:beforeAutospacing="0" w:line="240" w:lineRule="auto"/>
              <w:jc w:val="center"/>
              <w:rPr>
                <w:rFonts w:ascii="Times New Roman" w:hAnsi="Times New Roman"/>
                <w:sz w:val="22"/>
                <w:szCs w:val="22"/>
              </w:rPr>
            </w:pPr>
            <w:r w:rsidRPr="00876658">
              <w:rPr>
                <w:rFonts w:ascii="Times New Roman" w:hAnsi="Times New Roman"/>
                <w:sz w:val="22"/>
                <w:szCs w:val="22"/>
              </w:rPr>
              <w:t>6.2. detalizēts izdevumu aprēķins</w:t>
            </w:r>
          </w:p>
        </w:tc>
        <w:tc>
          <w:tcPr>
            <w:tcW w:w="5972" w:type="dxa"/>
            <w:gridSpan w:val="5"/>
            <w:vMerge/>
            <w:vAlign w:val="center"/>
          </w:tcPr>
          <w:p w:rsidR="00D03B7C" w:rsidRPr="00876658" w:rsidRDefault="00D03B7C" w:rsidP="00AC1AF1">
            <w:pPr>
              <w:rPr>
                <w:iCs/>
                <w:sz w:val="22"/>
                <w:szCs w:val="22"/>
              </w:rPr>
            </w:pPr>
          </w:p>
        </w:tc>
      </w:tr>
      <w:tr w:rsidR="00D03B7C" w:rsidRPr="003D12AB" w:rsidTr="007F0246">
        <w:tc>
          <w:tcPr>
            <w:tcW w:w="3315" w:type="dxa"/>
            <w:vAlign w:val="center"/>
          </w:tcPr>
          <w:p w:rsidR="00D03B7C" w:rsidRPr="00876658" w:rsidRDefault="00D03B7C" w:rsidP="00AC1AF1">
            <w:pPr>
              <w:pStyle w:val="tvhtml1"/>
              <w:spacing w:before="0" w:beforeAutospacing="0" w:line="240" w:lineRule="auto"/>
              <w:jc w:val="center"/>
              <w:rPr>
                <w:rFonts w:ascii="Times New Roman" w:hAnsi="Times New Roman"/>
                <w:sz w:val="22"/>
                <w:szCs w:val="22"/>
              </w:rPr>
            </w:pPr>
            <w:r w:rsidRPr="00876658">
              <w:rPr>
                <w:rFonts w:ascii="Times New Roman" w:hAnsi="Times New Roman"/>
                <w:sz w:val="22"/>
                <w:szCs w:val="22"/>
              </w:rPr>
              <w:t>7. Cita informācija</w:t>
            </w:r>
          </w:p>
        </w:tc>
        <w:tc>
          <w:tcPr>
            <w:tcW w:w="5972" w:type="dxa"/>
            <w:gridSpan w:val="5"/>
            <w:vAlign w:val="center"/>
          </w:tcPr>
          <w:p w:rsidR="00FF50D7" w:rsidRPr="00876658" w:rsidRDefault="00FF50D7" w:rsidP="00FF50D7">
            <w:pPr>
              <w:pStyle w:val="tvhtml"/>
              <w:spacing w:before="0" w:beforeAutospacing="0" w:after="0" w:afterAutospacing="0"/>
              <w:ind w:firstLine="340"/>
              <w:jc w:val="both"/>
              <w:rPr>
                <w:rFonts w:ascii="Times New Roman" w:hAnsi="Times New Roman"/>
                <w:iCs/>
                <w:sz w:val="22"/>
                <w:szCs w:val="22"/>
              </w:rPr>
            </w:pPr>
            <w:r w:rsidRPr="00876658">
              <w:rPr>
                <w:rFonts w:ascii="Times New Roman" w:hAnsi="Times New Roman"/>
                <w:iCs/>
                <w:sz w:val="22"/>
                <w:szCs w:val="22"/>
              </w:rPr>
              <w:t>Grozījumi ETL, attiecībā vēja stacijām, kuras  uzsākušas elektroenerģijas ražošanu pirms ETL stāšanās spēkā, tiek veikti, lai valsts budžetam tuvākajos gados nerastos papildu izdevumi, kas saistīti ar atbalsta apmēra pieaugumu minētajām stacijām un nerastos nepieciešamība minēto pieaugumu kompensēt ar valsts budžeta dotācijas palīdzību, lai lietotājiem saglabātu obligātā iepirkuma komponenti 2013.gada līmenī (0,0269 centi/kWh). Šobrīd elektroenerģijas atbalsta apjoms ir saistīts ar elektroenerģijas tirdzniecības vidējo tarifu saistītajiem lietotājiem, ko ar 2015.gada 1.janvāri vairs nevarēs noteikt, jo nebūs tādas lietotāju kategorijas kā saistītie lietotāji.</w:t>
            </w:r>
          </w:p>
          <w:p w:rsidR="00D03B7C" w:rsidRPr="00876658" w:rsidRDefault="00FF50D7" w:rsidP="00C35B73">
            <w:pPr>
              <w:pStyle w:val="tvhtml"/>
              <w:spacing w:before="0" w:beforeAutospacing="0" w:after="0" w:afterAutospacing="0"/>
              <w:jc w:val="both"/>
              <w:rPr>
                <w:rFonts w:ascii="Times New Roman" w:hAnsi="Times New Roman"/>
                <w:iCs/>
                <w:sz w:val="22"/>
                <w:szCs w:val="22"/>
              </w:rPr>
            </w:pPr>
            <w:r w:rsidRPr="00876658">
              <w:rPr>
                <w:rFonts w:ascii="Times New Roman" w:hAnsi="Times New Roman"/>
                <w:iCs/>
                <w:sz w:val="22"/>
                <w:szCs w:val="22"/>
              </w:rPr>
              <w:t xml:space="preserve">Likumprojekts paredz,  ka atbalsts elektrostacijām, kuras  uzsākušas elektroenerģijas ražošanu pirms ETL stāšanās spēkā, no 2015.gada 1.janvāra būs 0,1112 EUR/kWh  un to varēs saņemt ne ilgāk kā 20 gadus no elektrostacijas ekspluatācijas uzsākšanas dienas. Tādejādi šādas tiesiskā regulējuma izmaiņas novērsīs arī situāciju, ka dažiem komersantiem atbalsts nav terminētas, kas, salīdzinot ar cita veida ražotājiem piemēroto </w:t>
            </w:r>
            <w:r w:rsidRPr="00876658">
              <w:rPr>
                <w:rFonts w:ascii="Times New Roman" w:hAnsi="Times New Roman"/>
                <w:iCs/>
                <w:sz w:val="22"/>
                <w:szCs w:val="22"/>
              </w:rPr>
              <w:lastRenderedPageBreak/>
              <w:t>atbalstu, rada nevienlīdzīgu situāciju un pārsubsidēšanas risku, draudot radīt konkurences kropļojumus.</w:t>
            </w:r>
          </w:p>
        </w:tc>
      </w:tr>
    </w:tbl>
    <w:p w:rsidR="009B43D0" w:rsidRPr="00A02ACA" w:rsidRDefault="009B43D0" w:rsidP="0093184A">
      <w:pPr>
        <w:jc w:val="center"/>
        <w:rPr>
          <w:bCs/>
          <w:i/>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6"/>
        <w:gridCol w:w="2429"/>
        <w:gridCol w:w="6246"/>
      </w:tblGrid>
      <w:tr w:rsidR="00A005D0" w:rsidRPr="00A02ACA" w:rsidTr="00AC1AF1">
        <w:trPr>
          <w:trHeight w:val="420"/>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A005D0" w:rsidRPr="00A02ACA" w:rsidRDefault="001C4F57" w:rsidP="00AC1AF1">
            <w:pPr>
              <w:spacing w:before="100" w:beforeAutospacing="1" w:after="100" w:afterAutospacing="1" w:line="360" w:lineRule="auto"/>
              <w:ind w:firstLine="300"/>
              <w:jc w:val="center"/>
              <w:rPr>
                <w:b/>
                <w:bCs/>
              </w:rPr>
            </w:pPr>
            <w:r w:rsidRPr="00A02ACA">
              <w:rPr>
                <w:b/>
                <w:bCs/>
              </w:rPr>
              <w:t>IV. Tiesību akta projekta ietekme uz spēkā esošo tiesību normu sistēmu</w:t>
            </w:r>
          </w:p>
        </w:tc>
      </w:tr>
      <w:tr w:rsidR="005B0785" w:rsidRPr="00A02ACA" w:rsidTr="005B0785">
        <w:trPr>
          <w:trHeight w:val="540"/>
        </w:trPr>
        <w:tc>
          <w:tcPr>
            <w:tcW w:w="250" w:type="pct"/>
            <w:tcBorders>
              <w:top w:val="outset" w:sz="6" w:space="0" w:color="414142"/>
              <w:left w:val="outset" w:sz="6" w:space="0" w:color="414142"/>
              <w:bottom w:val="outset" w:sz="6" w:space="0" w:color="414142"/>
              <w:right w:val="outset" w:sz="6" w:space="0" w:color="414142"/>
            </w:tcBorders>
            <w:hideMark/>
          </w:tcPr>
          <w:p w:rsidR="005B0785" w:rsidRPr="00A02ACA" w:rsidRDefault="005B0785" w:rsidP="00AC1AF1">
            <w:r w:rsidRPr="00A02ACA">
              <w:t>1.</w:t>
            </w:r>
          </w:p>
        </w:tc>
        <w:tc>
          <w:tcPr>
            <w:tcW w:w="1330" w:type="pct"/>
            <w:tcBorders>
              <w:top w:val="outset" w:sz="6" w:space="0" w:color="414142"/>
              <w:left w:val="outset" w:sz="6" w:space="0" w:color="414142"/>
              <w:bottom w:val="outset" w:sz="6" w:space="0" w:color="414142"/>
              <w:right w:val="outset" w:sz="6" w:space="0" w:color="414142"/>
            </w:tcBorders>
          </w:tcPr>
          <w:p w:rsidR="005B0785" w:rsidRPr="00876658" w:rsidRDefault="001C4F57" w:rsidP="00AC1AF1">
            <w:pPr>
              <w:rPr>
                <w:sz w:val="22"/>
                <w:szCs w:val="22"/>
              </w:rPr>
            </w:pPr>
            <w:r w:rsidRPr="00876658">
              <w:rPr>
                <w:sz w:val="22"/>
                <w:szCs w:val="22"/>
              </w:rPr>
              <w:t>Nepieciešamie saistītie tiesību aktu projekti</w:t>
            </w:r>
          </w:p>
        </w:tc>
        <w:tc>
          <w:tcPr>
            <w:tcW w:w="3420" w:type="pct"/>
            <w:tcBorders>
              <w:top w:val="outset" w:sz="6" w:space="0" w:color="414142"/>
              <w:left w:val="outset" w:sz="6" w:space="0" w:color="414142"/>
              <w:bottom w:val="outset" w:sz="6" w:space="0" w:color="414142"/>
              <w:right w:val="outset" w:sz="6" w:space="0" w:color="414142"/>
            </w:tcBorders>
            <w:hideMark/>
          </w:tcPr>
          <w:p w:rsidR="005B0785" w:rsidRPr="00876658" w:rsidRDefault="00A1029A" w:rsidP="000F70FE">
            <w:pPr>
              <w:jc w:val="both"/>
            </w:pPr>
            <w:r w:rsidRPr="00876658">
              <w:t>Nepieciešami</w:t>
            </w:r>
            <w:r w:rsidR="000F70FE">
              <w:t>e</w:t>
            </w:r>
            <w:r w:rsidRPr="00876658">
              <w:t xml:space="preserve"> grozījumi</w:t>
            </w:r>
            <w:r w:rsidR="00876658" w:rsidRPr="00876658">
              <w:t>, kas saistīti ar termina „koģenerācija” svītrošanu no ETL,</w:t>
            </w:r>
            <w:r w:rsidRPr="00876658">
              <w:t xml:space="preserve"> ir ietverti 11.Saiemā </w:t>
            </w:r>
            <w:r w:rsidR="00876658" w:rsidRPr="00876658">
              <w:t xml:space="preserve">pirmajā lasījumā pieņemtajā </w:t>
            </w:r>
            <w:r w:rsidRPr="00876658">
              <w:t>l</w:t>
            </w:r>
            <w:r w:rsidR="006466FA" w:rsidRPr="00876658">
              <w:t>ikumprojektā „Grozījumi Enerģētikas likumā” (Nr.1270/Lp11)</w:t>
            </w:r>
            <w:r w:rsidR="00876658">
              <w:t>.</w:t>
            </w:r>
          </w:p>
        </w:tc>
      </w:tr>
      <w:tr w:rsidR="005B0785" w:rsidRPr="00A02ACA" w:rsidTr="005B0785">
        <w:trPr>
          <w:trHeight w:val="330"/>
        </w:trPr>
        <w:tc>
          <w:tcPr>
            <w:tcW w:w="250" w:type="pct"/>
            <w:tcBorders>
              <w:top w:val="outset" w:sz="6" w:space="0" w:color="414142"/>
              <w:left w:val="outset" w:sz="6" w:space="0" w:color="414142"/>
              <w:bottom w:val="outset" w:sz="6" w:space="0" w:color="414142"/>
              <w:right w:val="outset" w:sz="6" w:space="0" w:color="414142"/>
            </w:tcBorders>
            <w:hideMark/>
          </w:tcPr>
          <w:p w:rsidR="005B0785" w:rsidRPr="00A02ACA" w:rsidRDefault="005B0785" w:rsidP="00AC1AF1">
            <w:r w:rsidRPr="00A02ACA">
              <w:t>2.</w:t>
            </w:r>
          </w:p>
        </w:tc>
        <w:tc>
          <w:tcPr>
            <w:tcW w:w="1330" w:type="pct"/>
            <w:tcBorders>
              <w:top w:val="outset" w:sz="6" w:space="0" w:color="414142"/>
              <w:left w:val="outset" w:sz="6" w:space="0" w:color="414142"/>
              <w:bottom w:val="outset" w:sz="6" w:space="0" w:color="414142"/>
              <w:right w:val="outset" w:sz="6" w:space="0" w:color="414142"/>
            </w:tcBorders>
          </w:tcPr>
          <w:p w:rsidR="005B0785" w:rsidRPr="00876658" w:rsidRDefault="001C4F57" w:rsidP="00AC1AF1">
            <w:pPr>
              <w:rPr>
                <w:sz w:val="22"/>
                <w:szCs w:val="22"/>
              </w:rPr>
            </w:pPr>
            <w:r w:rsidRPr="00876658">
              <w:rPr>
                <w:sz w:val="22"/>
                <w:szCs w:val="22"/>
              </w:rPr>
              <w:t>Atbildīgā institūcija</w:t>
            </w:r>
          </w:p>
        </w:tc>
        <w:tc>
          <w:tcPr>
            <w:tcW w:w="3420" w:type="pct"/>
            <w:tcBorders>
              <w:top w:val="outset" w:sz="6" w:space="0" w:color="414142"/>
              <w:left w:val="outset" w:sz="6" w:space="0" w:color="414142"/>
              <w:bottom w:val="outset" w:sz="6" w:space="0" w:color="414142"/>
              <w:right w:val="outset" w:sz="6" w:space="0" w:color="414142"/>
            </w:tcBorders>
            <w:hideMark/>
          </w:tcPr>
          <w:p w:rsidR="005B0785" w:rsidRPr="00876658" w:rsidRDefault="001C4F57" w:rsidP="005B0785">
            <w:pPr>
              <w:autoSpaceDE w:val="0"/>
              <w:autoSpaceDN w:val="0"/>
              <w:adjustRightInd w:val="0"/>
              <w:jc w:val="both"/>
            </w:pPr>
            <w:r w:rsidRPr="00876658">
              <w:t>Ekonomikas ministrija</w:t>
            </w:r>
            <w:r w:rsidR="005B0785" w:rsidRPr="00876658">
              <w:t xml:space="preserve"> </w:t>
            </w:r>
          </w:p>
        </w:tc>
      </w:tr>
      <w:tr w:rsidR="005B0785" w:rsidRPr="00A02ACA" w:rsidTr="005B0785">
        <w:trPr>
          <w:trHeight w:val="330"/>
        </w:trPr>
        <w:tc>
          <w:tcPr>
            <w:tcW w:w="250" w:type="pct"/>
            <w:tcBorders>
              <w:top w:val="outset" w:sz="6" w:space="0" w:color="414142"/>
              <w:left w:val="outset" w:sz="6" w:space="0" w:color="414142"/>
              <w:bottom w:val="outset" w:sz="6" w:space="0" w:color="414142"/>
              <w:right w:val="outset" w:sz="6" w:space="0" w:color="414142"/>
            </w:tcBorders>
          </w:tcPr>
          <w:p w:rsidR="005B0785" w:rsidRPr="00A02ACA" w:rsidRDefault="005B0785" w:rsidP="00AC1AF1">
            <w:r w:rsidRPr="00A02ACA">
              <w:t>3.</w:t>
            </w:r>
          </w:p>
        </w:tc>
        <w:tc>
          <w:tcPr>
            <w:tcW w:w="1330" w:type="pct"/>
            <w:tcBorders>
              <w:top w:val="outset" w:sz="6" w:space="0" w:color="414142"/>
              <w:left w:val="outset" w:sz="6" w:space="0" w:color="414142"/>
              <w:bottom w:val="outset" w:sz="6" w:space="0" w:color="414142"/>
              <w:right w:val="outset" w:sz="6" w:space="0" w:color="414142"/>
            </w:tcBorders>
          </w:tcPr>
          <w:p w:rsidR="005B0785" w:rsidRPr="00876658" w:rsidRDefault="005B0785" w:rsidP="00AC1AF1">
            <w:pPr>
              <w:rPr>
                <w:sz w:val="22"/>
                <w:szCs w:val="22"/>
              </w:rPr>
            </w:pPr>
            <w:r w:rsidRPr="00876658">
              <w:rPr>
                <w:sz w:val="22"/>
                <w:szCs w:val="22"/>
              </w:rPr>
              <w:t>Cita informācija</w:t>
            </w:r>
          </w:p>
        </w:tc>
        <w:tc>
          <w:tcPr>
            <w:tcW w:w="3420" w:type="pct"/>
            <w:tcBorders>
              <w:top w:val="outset" w:sz="6" w:space="0" w:color="414142"/>
              <w:left w:val="outset" w:sz="6" w:space="0" w:color="414142"/>
              <w:bottom w:val="outset" w:sz="6" w:space="0" w:color="414142"/>
              <w:right w:val="outset" w:sz="6" w:space="0" w:color="414142"/>
            </w:tcBorders>
          </w:tcPr>
          <w:p w:rsidR="005B0785" w:rsidRPr="00876658" w:rsidRDefault="001C4F57" w:rsidP="00AC1AF1">
            <w:pPr>
              <w:autoSpaceDE w:val="0"/>
              <w:autoSpaceDN w:val="0"/>
              <w:adjustRightInd w:val="0"/>
              <w:jc w:val="both"/>
            </w:pPr>
            <w:r w:rsidRPr="00876658">
              <w:t>Nav</w:t>
            </w:r>
          </w:p>
        </w:tc>
      </w:tr>
    </w:tbl>
    <w:p w:rsidR="00473DC7" w:rsidRDefault="00473DC7" w:rsidP="00D07F03"/>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131"/>
      </w:tblGrid>
      <w:tr w:rsidR="00994989" w:rsidRPr="00876658" w:rsidTr="00D80C73">
        <w:trPr>
          <w:trHeight w:val="420"/>
        </w:trPr>
        <w:tc>
          <w:tcPr>
            <w:tcW w:w="0" w:type="auto"/>
            <w:tcBorders>
              <w:top w:val="outset" w:sz="6" w:space="0" w:color="414142"/>
              <w:left w:val="outset" w:sz="6" w:space="0" w:color="414142"/>
              <w:bottom w:val="outset" w:sz="6" w:space="0" w:color="414142"/>
              <w:right w:val="outset" w:sz="6" w:space="0" w:color="414142"/>
            </w:tcBorders>
            <w:vAlign w:val="center"/>
            <w:hideMark/>
          </w:tcPr>
          <w:p w:rsidR="00994989" w:rsidRPr="00876658" w:rsidRDefault="00994989" w:rsidP="00D80C73">
            <w:pPr>
              <w:spacing w:before="100" w:beforeAutospacing="1" w:after="100" w:afterAutospacing="1" w:line="360" w:lineRule="auto"/>
              <w:ind w:firstLine="300"/>
              <w:jc w:val="center"/>
              <w:rPr>
                <w:b/>
                <w:bCs/>
              </w:rPr>
            </w:pPr>
            <w:r w:rsidRPr="00876658">
              <w:rPr>
                <w:b/>
                <w:bCs/>
              </w:rPr>
              <w:t>V. Tiesību akta projekta atbilstība Latvijas Republikas starptautiskajām saistībām</w:t>
            </w:r>
          </w:p>
        </w:tc>
      </w:tr>
      <w:tr w:rsidR="00994989" w:rsidRPr="00876658" w:rsidTr="00994989">
        <w:trPr>
          <w:trHeight w:val="335"/>
        </w:trPr>
        <w:tc>
          <w:tcPr>
            <w:tcW w:w="5000" w:type="pct"/>
            <w:tcBorders>
              <w:top w:val="outset" w:sz="6" w:space="0" w:color="414142"/>
              <w:left w:val="outset" w:sz="6" w:space="0" w:color="414142"/>
              <w:bottom w:val="outset" w:sz="6" w:space="0" w:color="414142"/>
              <w:right w:val="outset" w:sz="6" w:space="0" w:color="414142"/>
            </w:tcBorders>
          </w:tcPr>
          <w:p w:rsidR="00994989" w:rsidRPr="00876658" w:rsidRDefault="00994989" w:rsidP="00994989">
            <w:pPr>
              <w:spacing w:before="75" w:after="75"/>
              <w:jc w:val="center"/>
              <w:rPr>
                <w:i/>
              </w:rPr>
            </w:pPr>
            <w:r w:rsidRPr="00876658">
              <w:rPr>
                <w:i/>
              </w:rPr>
              <w:t>Projekts šo jomu neskar</w:t>
            </w:r>
          </w:p>
        </w:tc>
      </w:tr>
    </w:tbl>
    <w:p w:rsidR="00994989" w:rsidRPr="00876658" w:rsidRDefault="00994989" w:rsidP="00D07F03"/>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131"/>
      </w:tblGrid>
      <w:tr w:rsidR="00994989" w:rsidRPr="00876658" w:rsidTr="00D80C73">
        <w:trPr>
          <w:trHeight w:val="420"/>
        </w:trPr>
        <w:tc>
          <w:tcPr>
            <w:tcW w:w="0" w:type="auto"/>
            <w:tcBorders>
              <w:top w:val="outset" w:sz="6" w:space="0" w:color="414142"/>
              <w:left w:val="outset" w:sz="6" w:space="0" w:color="414142"/>
              <w:bottom w:val="outset" w:sz="6" w:space="0" w:color="414142"/>
              <w:right w:val="outset" w:sz="6" w:space="0" w:color="414142"/>
            </w:tcBorders>
            <w:vAlign w:val="center"/>
            <w:hideMark/>
          </w:tcPr>
          <w:p w:rsidR="00994989" w:rsidRPr="00876658" w:rsidRDefault="00994989" w:rsidP="00D80C73">
            <w:pPr>
              <w:spacing w:before="100" w:beforeAutospacing="1" w:after="100" w:afterAutospacing="1" w:line="360" w:lineRule="auto"/>
              <w:ind w:firstLine="300"/>
              <w:jc w:val="center"/>
              <w:rPr>
                <w:b/>
                <w:bCs/>
              </w:rPr>
            </w:pPr>
            <w:r w:rsidRPr="00876658">
              <w:rPr>
                <w:b/>
                <w:bCs/>
              </w:rPr>
              <w:t>VI. Sabiedrības līdzdalība un komunikācijas aktivitātes</w:t>
            </w:r>
          </w:p>
        </w:tc>
      </w:tr>
      <w:tr w:rsidR="00994989" w:rsidRPr="00876658" w:rsidTr="00994989">
        <w:trPr>
          <w:trHeight w:val="342"/>
        </w:trPr>
        <w:tc>
          <w:tcPr>
            <w:tcW w:w="5000" w:type="pct"/>
            <w:tcBorders>
              <w:top w:val="outset" w:sz="6" w:space="0" w:color="414142"/>
              <w:left w:val="outset" w:sz="6" w:space="0" w:color="414142"/>
              <w:bottom w:val="outset" w:sz="6" w:space="0" w:color="414142"/>
              <w:right w:val="outset" w:sz="6" w:space="0" w:color="414142"/>
            </w:tcBorders>
          </w:tcPr>
          <w:p w:rsidR="00994989" w:rsidRPr="00876658" w:rsidRDefault="00994989" w:rsidP="00994989">
            <w:pPr>
              <w:spacing w:before="75" w:after="75"/>
              <w:jc w:val="center"/>
            </w:pPr>
            <w:r w:rsidRPr="00876658">
              <w:rPr>
                <w:i/>
              </w:rPr>
              <w:t>Projekts šo jomu neskar</w:t>
            </w:r>
          </w:p>
        </w:tc>
      </w:tr>
    </w:tbl>
    <w:p w:rsidR="00994989" w:rsidRPr="00A02ACA" w:rsidRDefault="00994989" w:rsidP="00D07F03"/>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6"/>
        <w:gridCol w:w="2694"/>
        <w:gridCol w:w="5981"/>
      </w:tblGrid>
      <w:tr w:rsidR="00D07F03" w:rsidRPr="00A02ACA" w:rsidTr="00D07F03">
        <w:trPr>
          <w:trHeight w:val="37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D07F03" w:rsidRPr="00C83281" w:rsidRDefault="00D07F03" w:rsidP="00D07F03">
            <w:pPr>
              <w:spacing w:before="100" w:beforeAutospacing="1" w:after="100" w:afterAutospacing="1" w:line="360" w:lineRule="auto"/>
              <w:ind w:firstLine="300"/>
              <w:jc w:val="center"/>
              <w:rPr>
                <w:b/>
                <w:bCs/>
                <w:sz w:val="22"/>
                <w:szCs w:val="22"/>
              </w:rPr>
            </w:pPr>
            <w:r w:rsidRPr="00C83281">
              <w:rPr>
                <w:b/>
                <w:bCs/>
                <w:sz w:val="22"/>
                <w:szCs w:val="22"/>
              </w:rPr>
              <w:t>VII. Tiesību akta projekta izpildes nodrošināšana un tās ietekme uz institūcijām</w:t>
            </w:r>
          </w:p>
        </w:tc>
      </w:tr>
      <w:tr w:rsidR="00D07F03" w:rsidRPr="00A02ACA" w:rsidTr="00EB1BAF">
        <w:trPr>
          <w:trHeight w:val="420"/>
        </w:trPr>
        <w:tc>
          <w:tcPr>
            <w:tcW w:w="250" w:type="pct"/>
            <w:tcBorders>
              <w:top w:val="outset" w:sz="6" w:space="0" w:color="414142"/>
              <w:left w:val="outset" w:sz="6" w:space="0" w:color="414142"/>
              <w:bottom w:val="outset" w:sz="6" w:space="0" w:color="414142"/>
              <w:right w:val="outset" w:sz="6" w:space="0" w:color="414142"/>
            </w:tcBorders>
            <w:hideMark/>
          </w:tcPr>
          <w:p w:rsidR="00D07F03" w:rsidRPr="00A02ACA" w:rsidRDefault="00D07F03" w:rsidP="00D07F03">
            <w:r w:rsidRPr="00A02ACA">
              <w:t>1.</w:t>
            </w:r>
          </w:p>
        </w:tc>
        <w:tc>
          <w:tcPr>
            <w:tcW w:w="1475" w:type="pct"/>
            <w:tcBorders>
              <w:top w:val="outset" w:sz="6" w:space="0" w:color="414142"/>
              <w:left w:val="outset" w:sz="6" w:space="0" w:color="414142"/>
              <w:bottom w:val="outset" w:sz="6" w:space="0" w:color="414142"/>
              <w:right w:val="outset" w:sz="6" w:space="0" w:color="414142"/>
            </w:tcBorders>
            <w:hideMark/>
          </w:tcPr>
          <w:p w:rsidR="00D07F03" w:rsidRPr="00876658" w:rsidRDefault="00D07F03" w:rsidP="00D07F03">
            <w:r w:rsidRPr="00876658">
              <w:t>Projekta izpildē iesaistītās institūcijas</w:t>
            </w:r>
          </w:p>
        </w:tc>
        <w:tc>
          <w:tcPr>
            <w:tcW w:w="3275" w:type="pct"/>
            <w:tcBorders>
              <w:top w:val="outset" w:sz="6" w:space="0" w:color="414142"/>
              <w:left w:val="outset" w:sz="6" w:space="0" w:color="414142"/>
              <w:bottom w:val="outset" w:sz="6" w:space="0" w:color="414142"/>
              <w:right w:val="outset" w:sz="6" w:space="0" w:color="414142"/>
            </w:tcBorders>
            <w:hideMark/>
          </w:tcPr>
          <w:p w:rsidR="00970901" w:rsidRPr="00876658" w:rsidRDefault="006C1FFA" w:rsidP="00970901">
            <w:pPr>
              <w:spacing w:before="75" w:after="75"/>
            </w:pPr>
            <w:r w:rsidRPr="00876658">
              <w:t>Nav attiecināms</w:t>
            </w:r>
          </w:p>
          <w:p w:rsidR="00D07F03" w:rsidRPr="00876658" w:rsidRDefault="00D07F03" w:rsidP="00D07F03"/>
        </w:tc>
      </w:tr>
      <w:tr w:rsidR="00D07F03" w:rsidRPr="00A02ACA" w:rsidTr="00EB1BAF">
        <w:trPr>
          <w:trHeight w:val="450"/>
        </w:trPr>
        <w:tc>
          <w:tcPr>
            <w:tcW w:w="250" w:type="pct"/>
            <w:tcBorders>
              <w:top w:val="outset" w:sz="6" w:space="0" w:color="414142"/>
              <w:left w:val="outset" w:sz="6" w:space="0" w:color="414142"/>
              <w:bottom w:val="outset" w:sz="6" w:space="0" w:color="414142"/>
              <w:right w:val="outset" w:sz="6" w:space="0" w:color="414142"/>
            </w:tcBorders>
            <w:hideMark/>
          </w:tcPr>
          <w:p w:rsidR="00D07F03" w:rsidRPr="00A02ACA" w:rsidRDefault="00D07F03" w:rsidP="00D07F03">
            <w:r w:rsidRPr="00A02ACA">
              <w:t>2.</w:t>
            </w:r>
          </w:p>
        </w:tc>
        <w:tc>
          <w:tcPr>
            <w:tcW w:w="1475" w:type="pct"/>
            <w:tcBorders>
              <w:top w:val="outset" w:sz="6" w:space="0" w:color="414142"/>
              <w:left w:val="outset" w:sz="6" w:space="0" w:color="414142"/>
              <w:bottom w:val="outset" w:sz="6" w:space="0" w:color="414142"/>
              <w:right w:val="outset" w:sz="6" w:space="0" w:color="414142"/>
            </w:tcBorders>
            <w:hideMark/>
          </w:tcPr>
          <w:p w:rsidR="00D07F03" w:rsidRPr="00876658" w:rsidRDefault="00D07F03" w:rsidP="00970901">
            <w:r w:rsidRPr="00876658">
              <w:t xml:space="preserve">Projekta izpildes ietekme uz pārvaldes funkcijām un institucionālo struktūru. </w:t>
            </w:r>
          </w:p>
          <w:p w:rsidR="00D07F03" w:rsidRPr="00876658" w:rsidRDefault="00D07F03" w:rsidP="00970901">
            <w:r w:rsidRPr="00876658">
              <w:t>Jaunu institūciju izveide, esošu institūciju likvidācija vai reorganizācija, to ietekme uz institūcijas cilvēkresursiem</w:t>
            </w:r>
          </w:p>
        </w:tc>
        <w:tc>
          <w:tcPr>
            <w:tcW w:w="3275" w:type="pct"/>
            <w:tcBorders>
              <w:top w:val="outset" w:sz="6" w:space="0" w:color="414142"/>
              <w:left w:val="outset" w:sz="6" w:space="0" w:color="414142"/>
              <w:bottom w:val="outset" w:sz="6" w:space="0" w:color="414142"/>
              <w:right w:val="outset" w:sz="6" w:space="0" w:color="414142"/>
            </w:tcBorders>
            <w:hideMark/>
          </w:tcPr>
          <w:p w:rsidR="00322693" w:rsidRPr="00876658" w:rsidRDefault="0079398D" w:rsidP="0079398D">
            <w:pPr>
              <w:jc w:val="both"/>
            </w:pPr>
            <w:r w:rsidRPr="00876658">
              <w:t>Noteikumu projekts neparedz pārvaldes funkciju paplašināšanu un jaunu valsts institūciju veidošanu.</w:t>
            </w:r>
          </w:p>
        </w:tc>
      </w:tr>
      <w:tr w:rsidR="00D07F03" w:rsidRPr="00A02ACA" w:rsidTr="00EB1BAF">
        <w:trPr>
          <w:trHeight w:val="390"/>
        </w:trPr>
        <w:tc>
          <w:tcPr>
            <w:tcW w:w="250" w:type="pct"/>
            <w:tcBorders>
              <w:top w:val="outset" w:sz="6" w:space="0" w:color="414142"/>
              <w:left w:val="outset" w:sz="6" w:space="0" w:color="414142"/>
              <w:bottom w:val="outset" w:sz="6" w:space="0" w:color="414142"/>
              <w:right w:val="outset" w:sz="6" w:space="0" w:color="414142"/>
            </w:tcBorders>
            <w:hideMark/>
          </w:tcPr>
          <w:p w:rsidR="00D07F03" w:rsidRPr="00A02ACA" w:rsidRDefault="00D07F03" w:rsidP="00D07F03">
            <w:r w:rsidRPr="00A02ACA">
              <w:t>3.</w:t>
            </w:r>
          </w:p>
        </w:tc>
        <w:tc>
          <w:tcPr>
            <w:tcW w:w="1475" w:type="pct"/>
            <w:tcBorders>
              <w:top w:val="outset" w:sz="6" w:space="0" w:color="414142"/>
              <w:left w:val="outset" w:sz="6" w:space="0" w:color="414142"/>
              <w:bottom w:val="outset" w:sz="6" w:space="0" w:color="414142"/>
              <w:right w:val="outset" w:sz="6" w:space="0" w:color="414142"/>
            </w:tcBorders>
            <w:hideMark/>
          </w:tcPr>
          <w:p w:rsidR="00D07F03" w:rsidRPr="00876658" w:rsidRDefault="00D07F03" w:rsidP="00D07F03">
            <w:r w:rsidRPr="00876658">
              <w:t>Cita informācija</w:t>
            </w:r>
          </w:p>
        </w:tc>
        <w:tc>
          <w:tcPr>
            <w:tcW w:w="3275" w:type="pct"/>
            <w:tcBorders>
              <w:top w:val="outset" w:sz="6" w:space="0" w:color="414142"/>
              <w:left w:val="outset" w:sz="6" w:space="0" w:color="414142"/>
              <w:bottom w:val="outset" w:sz="6" w:space="0" w:color="414142"/>
              <w:right w:val="outset" w:sz="6" w:space="0" w:color="414142"/>
            </w:tcBorders>
            <w:hideMark/>
          </w:tcPr>
          <w:p w:rsidR="00D07F03" w:rsidRPr="00876658" w:rsidRDefault="00D07F03" w:rsidP="00970901">
            <w:pPr>
              <w:spacing w:before="100" w:beforeAutospacing="1" w:after="100" w:afterAutospacing="1" w:line="360" w:lineRule="auto"/>
            </w:pPr>
            <w:r w:rsidRPr="00876658">
              <w:t>Nav</w:t>
            </w:r>
          </w:p>
        </w:tc>
      </w:tr>
    </w:tbl>
    <w:p w:rsidR="0008309B" w:rsidRPr="00A02ACA" w:rsidRDefault="004B671A" w:rsidP="0008309B">
      <w:pPr>
        <w:pStyle w:val="naisf"/>
        <w:tabs>
          <w:tab w:val="left" w:pos="6804"/>
        </w:tabs>
        <w:rPr>
          <w:sz w:val="28"/>
          <w:szCs w:val="28"/>
        </w:rPr>
      </w:pPr>
      <w:r w:rsidRPr="00A02ACA">
        <w:rPr>
          <w:sz w:val="28"/>
          <w:szCs w:val="28"/>
        </w:rPr>
        <w:t xml:space="preserve">Ekonomikas </w:t>
      </w:r>
      <w:r w:rsidR="00FD5E4D" w:rsidRPr="00A02ACA">
        <w:rPr>
          <w:sz w:val="28"/>
          <w:szCs w:val="28"/>
        </w:rPr>
        <w:t>ministr</w:t>
      </w:r>
      <w:r w:rsidR="00FD5E4D">
        <w:rPr>
          <w:sz w:val="28"/>
          <w:szCs w:val="28"/>
        </w:rPr>
        <w:t>e</w:t>
      </w:r>
      <w:r w:rsidR="00FD5E4D" w:rsidRPr="00A02ACA">
        <w:rPr>
          <w:sz w:val="28"/>
          <w:szCs w:val="28"/>
        </w:rPr>
        <w:t xml:space="preserve"> </w:t>
      </w:r>
      <w:r w:rsidRPr="00A02ACA">
        <w:rPr>
          <w:sz w:val="28"/>
          <w:szCs w:val="28"/>
        </w:rPr>
        <w:tab/>
      </w:r>
      <w:proofErr w:type="spellStart"/>
      <w:r w:rsidR="00FD5E4D">
        <w:rPr>
          <w:sz w:val="28"/>
          <w:szCs w:val="28"/>
        </w:rPr>
        <w:t>D.Reizniece-Ozola</w:t>
      </w:r>
      <w:proofErr w:type="spellEnd"/>
    </w:p>
    <w:p w:rsidR="0008309B" w:rsidRPr="00A02ACA" w:rsidRDefault="0008309B" w:rsidP="0008309B">
      <w:pPr>
        <w:pStyle w:val="naisf"/>
        <w:tabs>
          <w:tab w:val="left" w:pos="6804"/>
        </w:tabs>
        <w:rPr>
          <w:sz w:val="28"/>
          <w:szCs w:val="28"/>
        </w:rPr>
      </w:pPr>
      <w:r w:rsidRPr="00A02ACA">
        <w:rPr>
          <w:sz w:val="28"/>
          <w:szCs w:val="28"/>
        </w:rPr>
        <w:t>Vīza:</w:t>
      </w:r>
    </w:p>
    <w:p w:rsidR="0008309B" w:rsidRPr="00A02ACA" w:rsidRDefault="0008309B" w:rsidP="001956DC">
      <w:pPr>
        <w:pStyle w:val="naisf"/>
        <w:tabs>
          <w:tab w:val="left" w:pos="6804"/>
        </w:tabs>
        <w:spacing w:before="0" w:beforeAutospacing="0" w:after="0" w:afterAutospacing="0"/>
        <w:rPr>
          <w:sz w:val="28"/>
          <w:szCs w:val="28"/>
        </w:rPr>
      </w:pPr>
      <w:r w:rsidRPr="00A02ACA">
        <w:rPr>
          <w:sz w:val="28"/>
          <w:szCs w:val="28"/>
        </w:rPr>
        <w:t>valsts sekretār</w:t>
      </w:r>
      <w:r w:rsidR="004B671A" w:rsidRPr="00A02ACA">
        <w:rPr>
          <w:sz w:val="28"/>
          <w:szCs w:val="28"/>
        </w:rPr>
        <w:t>s</w:t>
      </w:r>
      <w:r w:rsidR="004B671A" w:rsidRPr="00A02ACA">
        <w:rPr>
          <w:sz w:val="28"/>
          <w:szCs w:val="28"/>
        </w:rPr>
        <w:tab/>
        <w:t xml:space="preserve"> </w:t>
      </w:r>
      <w:r w:rsidR="00BC70F8" w:rsidRPr="00A02ACA">
        <w:rPr>
          <w:sz w:val="28"/>
          <w:szCs w:val="28"/>
        </w:rPr>
        <w:t>M.Lazdovskis</w:t>
      </w:r>
    </w:p>
    <w:p w:rsidR="0008309B" w:rsidRPr="00A02ACA" w:rsidRDefault="0008309B" w:rsidP="0008309B">
      <w:pPr>
        <w:pStyle w:val="Header"/>
        <w:tabs>
          <w:tab w:val="clear" w:pos="4153"/>
          <w:tab w:val="clear" w:pos="8306"/>
        </w:tabs>
        <w:rPr>
          <w:sz w:val="20"/>
          <w:szCs w:val="20"/>
        </w:rPr>
      </w:pPr>
    </w:p>
    <w:p w:rsidR="0008309B" w:rsidRPr="00A02ACA" w:rsidRDefault="0008309B" w:rsidP="0008309B">
      <w:pPr>
        <w:pStyle w:val="Header"/>
        <w:tabs>
          <w:tab w:val="clear" w:pos="4153"/>
          <w:tab w:val="clear" w:pos="8306"/>
        </w:tabs>
        <w:rPr>
          <w:sz w:val="20"/>
          <w:szCs w:val="20"/>
        </w:rPr>
      </w:pPr>
    </w:p>
    <w:p w:rsidR="0008309B" w:rsidRPr="00790E9C" w:rsidRDefault="00426CEC" w:rsidP="0008309B">
      <w:pPr>
        <w:pStyle w:val="Header"/>
        <w:tabs>
          <w:tab w:val="clear" w:pos="4153"/>
          <w:tab w:val="clear" w:pos="8306"/>
        </w:tabs>
        <w:rPr>
          <w:color w:val="000000"/>
          <w:sz w:val="20"/>
          <w:szCs w:val="20"/>
        </w:rPr>
      </w:pPr>
      <w:r>
        <w:rPr>
          <w:color w:val="000000"/>
          <w:sz w:val="20"/>
          <w:szCs w:val="20"/>
        </w:rPr>
        <w:t>02.12</w:t>
      </w:r>
      <w:r w:rsidR="009B43D0" w:rsidRPr="00790E9C">
        <w:rPr>
          <w:color w:val="000000"/>
          <w:sz w:val="20"/>
          <w:szCs w:val="20"/>
        </w:rPr>
        <w:t>.</w:t>
      </w:r>
      <w:r w:rsidR="0008309B" w:rsidRPr="00790E9C">
        <w:rPr>
          <w:color w:val="000000"/>
          <w:sz w:val="20"/>
          <w:szCs w:val="20"/>
        </w:rPr>
        <w:t xml:space="preserve">2014. </w:t>
      </w:r>
      <w:r>
        <w:rPr>
          <w:color w:val="000000"/>
          <w:sz w:val="20"/>
          <w:szCs w:val="20"/>
        </w:rPr>
        <w:t>08:</w:t>
      </w:r>
      <w:r w:rsidR="000F70FE">
        <w:rPr>
          <w:color w:val="000000"/>
          <w:sz w:val="20"/>
          <w:szCs w:val="20"/>
        </w:rPr>
        <w:t>29</w:t>
      </w:r>
    </w:p>
    <w:p w:rsidR="0008309B" w:rsidRPr="00790E9C" w:rsidRDefault="00FD5E4D" w:rsidP="0008309B">
      <w:pPr>
        <w:pStyle w:val="Header"/>
        <w:tabs>
          <w:tab w:val="clear" w:pos="4153"/>
          <w:tab w:val="clear" w:pos="8306"/>
        </w:tabs>
        <w:rPr>
          <w:color w:val="000000"/>
          <w:sz w:val="20"/>
          <w:szCs w:val="20"/>
        </w:rPr>
      </w:pPr>
      <w:r w:rsidRPr="00790E9C">
        <w:rPr>
          <w:color w:val="000000"/>
          <w:sz w:val="20"/>
          <w:szCs w:val="20"/>
        </w:rPr>
        <w:fldChar w:fldCharType="begin"/>
      </w:r>
      <w:r w:rsidRPr="00790E9C">
        <w:rPr>
          <w:color w:val="000000"/>
          <w:sz w:val="20"/>
          <w:szCs w:val="20"/>
        </w:rPr>
        <w:instrText xml:space="preserve"> NUMWORDS   \* MERGEFORMAT </w:instrText>
      </w:r>
      <w:r w:rsidRPr="00790E9C">
        <w:rPr>
          <w:color w:val="000000"/>
          <w:sz w:val="20"/>
          <w:szCs w:val="20"/>
        </w:rPr>
        <w:fldChar w:fldCharType="separate"/>
      </w:r>
      <w:r w:rsidR="000F70FE">
        <w:rPr>
          <w:noProof/>
          <w:color w:val="000000"/>
          <w:sz w:val="20"/>
          <w:szCs w:val="20"/>
        </w:rPr>
        <w:t>3024</w:t>
      </w:r>
      <w:r w:rsidRPr="00790E9C">
        <w:rPr>
          <w:color w:val="000000"/>
          <w:sz w:val="20"/>
          <w:szCs w:val="20"/>
        </w:rPr>
        <w:fldChar w:fldCharType="end"/>
      </w:r>
    </w:p>
    <w:p w:rsidR="003F121B" w:rsidRPr="00790E9C" w:rsidRDefault="003F121B" w:rsidP="003F121B">
      <w:pPr>
        <w:pStyle w:val="Header"/>
        <w:rPr>
          <w:color w:val="000000"/>
          <w:sz w:val="20"/>
          <w:szCs w:val="20"/>
        </w:rPr>
      </w:pPr>
      <w:proofErr w:type="spellStart"/>
      <w:r w:rsidRPr="00790E9C">
        <w:rPr>
          <w:color w:val="000000"/>
          <w:sz w:val="20"/>
          <w:szCs w:val="20"/>
        </w:rPr>
        <w:t>I.Niedrite</w:t>
      </w:r>
      <w:proofErr w:type="spellEnd"/>
      <w:r w:rsidRPr="00790E9C">
        <w:rPr>
          <w:color w:val="000000"/>
          <w:sz w:val="20"/>
          <w:szCs w:val="20"/>
        </w:rPr>
        <w:t xml:space="preserve"> </w:t>
      </w:r>
    </w:p>
    <w:p w:rsidR="00183198" w:rsidRPr="00A02ACA" w:rsidRDefault="003F121B" w:rsidP="007F0246">
      <w:pPr>
        <w:pStyle w:val="Header"/>
        <w:spacing w:after="120"/>
        <w:rPr>
          <w:sz w:val="22"/>
          <w:szCs w:val="22"/>
        </w:rPr>
      </w:pPr>
      <w:r w:rsidRPr="00790E9C">
        <w:rPr>
          <w:color w:val="000000"/>
          <w:sz w:val="20"/>
          <w:szCs w:val="20"/>
        </w:rPr>
        <w:t xml:space="preserve">67013168, </w:t>
      </w:r>
      <w:hyperlink r:id="rId10" w:history="1">
        <w:r w:rsidRPr="00790E9C">
          <w:rPr>
            <w:rStyle w:val="Hyperlink"/>
            <w:color w:val="000000"/>
            <w:sz w:val="20"/>
            <w:szCs w:val="20"/>
            <w:u w:val="single"/>
          </w:rPr>
          <w:t>Indra.Niedrite@em.gov.lv</w:t>
        </w:r>
      </w:hyperlink>
      <w:r w:rsidRPr="00790E9C">
        <w:rPr>
          <w:color w:val="000000"/>
          <w:sz w:val="20"/>
          <w:szCs w:val="20"/>
        </w:rPr>
        <w:t xml:space="preserve">  </w:t>
      </w:r>
      <w:r w:rsidRPr="00790E9C">
        <w:rPr>
          <w:color w:val="000000"/>
          <w:sz w:val="20"/>
          <w:szCs w:val="20"/>
          <w:u w:val="single"/>
        </w:rPr>
        <w:t xml:space="preserve"> </w:t>
      </w:r>
      <w:hyperlink r:id="rId11" w:history="1"/>
      <w:hyperlink r:id="rId12" w:history="1"/>
    </w:p>
    <w:sectPr w:rsidR="00183198" w:rsidRPr="00A02ACA" w:rsidSect="002A22AA">
      <w:headerReference w:type="even" r:id="rId13"/>
      <w:headerReference w:type="default" r:id="rId14"/>
      <w:footerReference w:type="default" r:id="rId15"/>
      <w:footerReference w:type="first" r:id="rId16"/>
      <w:pgSz w:w="11906" w:h="16838"/>
      <w:pgMar w:top="1418" w:right="1134" w:bottom="0"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16AC" w:rsidRDefault="00DF16AC" w:rsidP="007B67C1">
      <w:r>
        <w:separator/>
      </w:r>
    </w:p>
  </w:endnote>
  <w:endnote w:type="continuationSeparator" w:id="0">
    <w:p w:rsidR="00DF16AC" w:rsidRDefault="00DF16AC" w:rsidP="007B67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Verdana">
    <w:panose1 w:val="020B0604030504040204"/>
    <w:charset w:val="BA"/>
    <w:family w:val="swiss"/>
    <w:pitch w:val="variable"/>
    <w:sig w:usb0="A10006FF" w:usb1="4000205B" w:usb2="00000010"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693" w:rsidRPr="00D66C4C" w:rsidRDefault="00D66C4C" w:rsidP="00D66C4C">
    <w:pPr>
      <w:pStyle w:val="Footer"/>
    </w:pPr>
    <w:r w:rsidRPr="00D66C4C">
      <w:rPr>
        <w:sz w:val="20"/>
        <w:szCs w:val="20"/>
      </w:rPr>
      <w:t>EMAnot_</w:t>
    </w:r>
    <w:r w:rsidR="009C77B6">
      <w:rPr>
        <w:sz w:val="20"/>
        <w:szCs w:val="20"/>
      </w:rPr>
      <w:t>0212</w:t>
    </w:r>
    <w:r w:rsidR="00F410A8">
      <w:rPr>
        <w:sz w:val="20"/>
        <w:szCs w:val="20"/>
      </w:rPr>
      <w:t>14_</w:t>
    </w:r>
    <w:r w:rsidRPr="00D66C4C">
      <w:rPr>
        <w:sz w:val="20"/>
        <w:szCs w:val="20"/>
      </w:rPr>
      <w:t>ETLgroz; Likumprojekta „Grozījumi Elektroenerģijas tirgus likumā” 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63F" w:rsidRPr="00D66C4C" w:rsidRDefault="002A263F" w:rsidP="002A263F">
    <w:pPr>
      <w:pStyle w:val="Footer"/>
    </w:pPr>
    <w:r w:rsidRPr="00D66C4C">
      <w:rPr>
        <w:sz w:val="20"/>
        <w:szCs w:val="20"/>
      </w:rPr>
      <w:t>EMAnot_</w:t>
    </w:r>
    <w:r w:rsidR="009C77B6">
      <w:rPr>
        <w:sz w:val="20"/>
        <w:szCs w:val="20"/>
      </w:rPr>
      <w:t>0212</w:t>
    </w:r>
    <w:r w:rsidR="00F410A8">
      <w:rPr>
        <w:sz w:val="20"/>
        <w:szCs w:val="20"/>
      </w:rPr>
      <w:t>14_</w:t>
    </w:r>
    <w:r w:rsidRPr="00D66C4C">
      <w:rPr>
        <w:sz w:val="20"/>
        <w:szCs w:val="20"/>
      </w:rPr>
      <w:t>ETLgroz; Likumprojekta „Grozījumi Elektroenerģijas tirgus likumā” sākotnējās ietekmes novērtējuma ziņojums (anotācija)</w:t>
    </w:r>
  </w:p>
  <w:p w:rsidR="00322693" w:rsidRPr="00970901" w:rsidRDefault="00322693" w:rsidP="00970901">
    <w:pPr>
      <w:pStyle w:val="Footer"/>
      <w:rPr>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16AC" w:rsidRDefault="00DF16AC" w:rsidP="007B67C1">
      <w:r>
        <w:separator/>
      </w:r>
    </w:p>
  </w:footnote>
  <w:footnote w:type="continuationSeparator" w:id="0">
    <w:p w:rsidR="00DF16AC" w:rsidRDefault="00DF16AC" w:rsidP="007B67C1">
      <w:r>
        <w:continuationSeparator/>
      </w:r>
    </w:p>
  </w:footnote>
  <w:footnote w:id="1">
    <w:p w:rsidR="00CC0B47" w:rsidRDefault="00CC0B47" w:rsidP="00CC0B47">
      <w:pPr>
        <w:pStyle w:val="FootnoteText"/>
        <w:jc w:val="both"/>
      </w:pPr>
      <w:r>
        <w:rPr>
          <w:rStyle w:val="FootnoteReference"/>
        </w:rPr>
        <w:footnoteRef/>
      </w:r>
      <w:r>
        <w:t xml:space="preserve"> </w:t>
      </w:r>
      <w:r w:rsidRPr="00024BC4">
        <w:t>Administratīvi piešķirtas tiesības atbalstāmajiem ražotājiem saražoto elektroenerģiju pārdod obligātā iepirkuma ietvaros par paaugstinātu tarifu, ko iepērk tirgotājs, savukārt izmaksas, kas rodas iepērkot elektroenerģiju, kompensē visi elektroenerģijas galalietotāji proporcionāli to elektroenerģijas patēriņam</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693" w:rsidRDefault="00986CD8" w:rsidP="00760913">
    <w:pPr>
      <w:pStyle w:val="Header"/>
      <w:framePr w:wrap="around" w:vAnchor="text" w:hAnchor="margin" w:xAlign="center" w:y="1"/>
      <w:rPr>
        <w:rStyle w:val="PageNumber"/>
      </w:rPr>
    </w:pPr>
    <w:r>
      <w:rPr>
        <w:rStyle w:val="PageNumber"/>
      </w:rPr>
      <w:fldChar w:fldCharType="begin"/>
    </w:r>
    <w:r w:rsidR="00322693">
      <w:rPr>
        <w:rStyle w:val="PageNumber"/>
      </w:rPr>
      <w:instrText xml:space="preserve">PAGE  </w:instrText>
    </w:r>
    <w:r>
      <w:rPr>
        <w:rStyle w:val="PageNumber"/>
      </w:rPr>
      <w:fldChar w:fldCharType="separate"/>
    </w:r>
    <w:r w:rsidR="00322693">
      <w:rPr>
        <w:rStyle w:val="PageNumber"/>
        <w:noProof/>
      </w:rPr>
      <w:t>9</w:t>
    </w:r>
    <w:r>
      <w:rPr>
        <w:rStyle w:val="PageNumber"/>
      </w:rPr>
      <w:fldChar w:fldCharType="end"/>
    </w:r>
  </w:p>
  <w:p w:rsidR="00322693" w:rsidRDefault="0032269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693" w:rsidRPr="000E49DB" w:rsidRDefault="00986CD8" w:rsidP="00760913">
    <w:pPr>
      <w:pStyle w:val="Header"/>
      <w:framePr w:wrap="around" w:vAnchor="text" w:hAnchor="margin" w:xAlign="center" w:y="1"/>
      <w:rPr>
        <w:rStyle w:val="PageNumber"/>
      </w:rPr>
    </w:pPr>
    <w:r w:rsidRPr="000E49DB">
      <w:rPr>
        <w:rStyle w:val="PageNumber"/>
      </w:rPr>
      <w:fldChar w:fldCharType="begin"/>
    </w:r>
    <w:r w:rsidR="00322693" w:rsidRPr="000E49DB">
      <w:rPr>
        <w:rStyle w:val="PageNumber"/>
      </w:rPr>
      <w:instrText xml:space="preserve">PAGE  </w:instrText>
    </w:r>
    <w:r w:rsidRPr="000E49DB">
      <w:rPr>
        <w:rStyle w:val="PageNumber"/>
      </w:rPr>
      <w:fldChar w:fldCharType="separate"/>
    </w:r>
    <w:r w:rsidR="000F70FE">
      <w:rPr>
        <w:rStyle w:val="PageNumber"/>
        <w:noProof/>
      </w:rPr>
      <w:t>10</w:t>
    </w:r>
    <w:r w:rsidRPr="000E49DB">
      <w:rPr>
        <w:rStyle w:val="PageNumber"/>
      </w:rPr>
      <w:fldChar w:fldCharType="end"/>
    </w:r>
  </w:p>
  <w:p w:rsidR="00322693" w:rsidRDefault="0032269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55A14"/>
    <w:multiLevelType w:val="hybridMultilevel"/>
    <w:tmpl w:val="E5FEF5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69A72E7"/>
    <w:multiLevelType w:val="hybridMultilevel"/>
    <w:tmpl w:val="92705FE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0FFB31A5"/>
    <w:multiLevelType w:val="hybridMultilevel"/>
    <w:tmpl w:val="3D7071A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14FB1012"/>
    <w:multiLevelType w:val="hybridMultilevel"/>
    <w:tmpl w:val="825CA57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16CC42EE"/>
    <w:multiLevelType w:val="hybridMultilevel"/>
    <w:tmpl w:val="EFB6D71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nsid w:val="18077F9D"/>
    <w:multiLevelType w:val="hybridMultilevel"/>
    <w:tmpl w:val="F5AE9404"/>
    <w:lvl w:ilvl="0" w:tplc="BBDA489C">
      <w:start w:val="1"/>
      <w:numFmt w:val="bullet"/>
      <w:lvlText w:val="-"/>
      <w:lvlJc w:val="left"/>
      <w:pPr>
        <w:ind w:left="720" w:hanging="360"/>
      </w:pPr>
      <w:rPr>
        <w:rFonts w:ascii="Courier New" w:hAnsi="Courier New"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nsid w:val="21601BE5"/>
    <w:multiLevelType w:val="hybridMultilevel"/>
    <w:tmpl w:val="3F504E12"/>
    <w:lvl w:ilvl="0" w:tplc="2990FBAA">
      <w:start w:val="1"/>
      <w:numFmt w:val="decimal"/>
      <w:lvlText w:val="%1."/>
      <w:lvlJc w:val="left"/>
      <w:pPr>
        <w:ind w:left="485" w:hanging="360"/>
      </w:pPr>
      <w:rPr>
        <w:rFonts w:hint="default"/>
      </w:rPr>
    </w:lvl>
    <w:lvl w:ilvl="1" w:tplc="04260019" w:tentative="1">
      <w:start w:val="1"/>
      <w:numFmt w:val="lowerLetter"/>
      <w:lvlText w:val="%2."/>
      <w:lvlJc w:val="left"/>
      <w:pPr>
        <w:ind w:left="1205" w:hanging="360"/>
      </w:pPr>
    </w:lvl>
    <w:lvl w:ilvl="2" w:tplc="0426001B" w:tentative="1">
      <w:start w:val="1"/>
      <w:numFmt w:val="lowerRoman"/>
      <w:lvlText w:val="%3."/>
      <w:lvlJc w:val="right"/>
      <w:pPr>
        <w:ind w:left="1925" w:hanging="180"/>
      </w:pPr>
    </w:lvl>
    <w:lvl w:ilvl="3" w:tplc="0426000F" w:tentative="1">
      <w:start w:val="1"/>
      <w:numFmt w:val="decimal"/>
      <w:lvlText w:val="%4."/>
      <w:lvlJc w:val="left"/>
      <w:pPr>
        <w:ind w:left="2645" w:hanging="360"/>
      </w:pPr>
    </w:lvl>
    <w:lvl w:ilvl="4" w:tplc="04260019" w:tentative="1">
      <w:start w:val="1"/>
      <w:numFmt w:val="lowerLetter"/>
      <w:lvlText w:val="%5."/>
      <w:lvlJc w:val="left"/>
      <w:pPr>
        <w:ind w:left="3365" w:hanging="360"/>
      </w:pPr>
    </w:lvl>
    <w:lvl w:ilvl="5" w:tplc="0426001B" w:tentative="1">
      <w:start w:val="1"/>
      <w:numFmt w:val="lowerRoman"/>
      <w:lvlText w:val="%6."/>
      <w:lvlJc w:val="right"/>
      <w:pPr>
        <w:ind w:left="4085" w:hanging="180"/>
      </w:pPr>
    </w:lvl>
    <w:lvl w:ilvl="6" w:tplc="0426000F" w:tentative="1">
      <w:start w:val="1"/>
      <w:numFmt w:val="decimal"/>
      <w:lvlText w:val="%7."/>
      <w:lvlJc w:val="left"/>
      <w:pPr>
        <w:ind w:left="4805" w:hanging="360"/>
      </w:pPr>
    </w:lvl>
    <w:lvl w:ilvl="7" w:tplc="04260019" w:tentative="1">
      <w:start w:val="1"/>
      <w:numFmt w:val="lowerLetter"/>
      <w:lvlText w:val="%8."/>
      <w:lvlJc w:val="left"/>
      <w:pPr>
        <w:ind w:left="5525" w:hanging="360"/>
      </w:pPr>
    </w:lvl>
    <w:lvl w:ilvl="8" w:tplc="0426001B" w:tentative="1">
      <w:start w:val="1"/>
      <w:numFmt w:val="lowerRoman"/>
      <w:lvlText w:val="%9."/>
      <w:lvlJc w:val="right"/>
      <w:pPr>
        <w:ind w:left="6245" w:hanging="180"/>
      </w:pPr>
    </w:lvl>
  </w:abstractNum>
  <w:abstractNum w:abstractNumId="7">
    <w:nsid w:val="26EE3C6C"/>
    <w:multiLevelType w:val="hybridMultilevel"/>
    <w:tmpl w:val="38FC8DE8"/>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8">
    <w:nsid w:val="289520BC"/>
    <w:multiLevelType w:val="multilevel"/>
    <w:tmpl w:val="2D30ED44"/>
    <w:lvl w:ilvl="0">
      <w:start w:val="1"/>
      <w:numFmt w:val="decimal"/>
      <w:lvlText w:val="%1."/>
      <w:lvlJc w:val="left"/>
      <w:pPr>
        <w:ind w:left="720" w:hanging="360"/>
      </w:pPr>
      <w:rPr>
        <w:rFonts w:hint="default"/>
        <w:color w:val="000000"/>
        <w:sz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2F6A3481"/>
    <w:multiLevelType w:val="hybridMultilevel"/>
    <w:tmpl w:val="71D20A74"/>
    <w:lvl w:ilvl="0" w:tplc="04090011">
      <w:start w:val="1"/>
      <w:numFmt w:val="decimal"/>
      <w:lvlText w:val="%1)"/>
      <w:lvlJc w:val="left"/>
      <w:pPr>
        <w:ind w:left="3337" w:hanging="360"/>
      </w:pPr>
      <w:rPr>
        <w:rFonts w:hint="default"/>
      </w:rPr>
    </w:lvl>
    <w:lvl w:ilvl="1" w:tplc="04090019" w:tentative="1">
      <w:start w:val="1"/>
      <w:numFmt w:val="lowerLetter"/>
      <w:lvlText w:val="%2."/>
      <w:lvlJc w:val="left"/>
      <w:pPr>
        <w:ind w:left="4057" w:hanging="360"/>
      </w:pPr>
    </w:lvl>
    <w:lvl w:ilvl="2" w:tplc="0409001B" w:tentative="1">
      <w:start w:val="1"/>
      <w:numFmt w:val="lowerRoman"/>
      <w:lvlText w:val="%3."/>
      <w:lvlJc w:val="right"/>
      <w:pPr>
        <w:ind w:left="4777" w:hanging="180"/>
      </w:pPr>
    </w:lvl>
    <w:lvl w:ilvl="3" w:tplc="0409000F" w:tentative="1">
      <w:start w:val="1"/>
      <w:numFmt w:val="decimal"/>
      <w:lvlText w:val="%4."/>
      <w:lvlJc w:val="left"/>
      <w:pPr>
        <w:ind w:left="5497" w:hanging="360"/>
      </w:pPr>
    </w:lvl>
    <w:lvl w:ilvl="4" w:tplc="04090019" w:tentative="1">
      <w:start w:val="1"/>
      <w:numFmt w:val="lowerLetter"/>
      <w:lvlText w:val="%5."/>
      <w:lvlJc w:val="left"/>
      <w:pPr>
        <w:ind w:left="6217" w:hanging="360"/>
      </w:pPr>
    </w:lvl>
    <w:lvl w:ilvl="5" w:tplc="0409001B" w:tentative="1">
      <w:start w:val="1"/>
      <w:numFmt w:val="lowerRoman"/>
      <w:lvlText w:val="%6."/>
      <w:lvlJc w:val="right"/>
      <w:pPr>
        <w:ind w:left="6937" w:hanging="180"/>
      </w:pPr>
    </w:lvl>
    <w:lvl w:ilvl="6" w:tplc="0409000F" w:tentative="1">
      <w:start w:val="1"/>
      <w:numFmt w:val="decimal"/>
      <w:lvlText w:val="%7."/>
      <w:lvlJc w:val="left"/>
      <w:pPr>
        <w:ind w:left="7657" w:hanging="360"/>
      </w:pPr>
    </w:lvl>
    <w:lvl w:ilvl="7" w:tplc="04090019" w:tentative="1">
      <w:start w:val="1"/>
      <w:numFmt w:val="lowerLetter"/>
      <w:lvlText w:val="%8."/>
      <w:lvlJc w:val="left"/>
      <w:pPr>
        <w:ind w:left="8377" w:hanging="360"/>
      </w:pPr>
    </w:lvl>
    <w:lvl w:ilvl="8" w:tplc="0409001B" w:tentative="1">
      <w:start w:val="1"/>
      <w:numFmt w:val="lowerRoman"/>
      <w:lvlText w:val="%9."/>
      <w:lvlJc w:val="right"/>
      <w:pPr>
        <w:ind w:left="9097" w:hanging="180"/>
      </w:pPr>
    </w:lvl>
  </w:abstractNum>
  <w:abstractNum w:abstractNumId="10">
    <w:nsid w:val="2FC2655C"/>
    <w:multiLevelType w:val="hybridMultilevel"/>
    <w:tmpl w:val="D2CED1EC"/>
    <w:lvl w:ilvl="0" w:tplc="46EAE71C">
      <w:start w:val="1"/>
      <w:numFmt w:val="decimal"/>
      <w:lvlText w:val="%1."/>
      <w:lvlJc w:val="left"/>
      <w:pPr>
        <w:ind w:left="487" w:hanging="360"/>
      </w:pPr>
      <w:rPr>
        <w:rFonts w:hint="default"/>
      </w:rPr>
    </w:lvl>
    <w:lvl w:ilvl="1" w:tplc="04260019" w:tentative="1">
      <w:start w:val="1"/>
      <w:numFmt w:val="lowerLetter"/>
      <w:lvlText w:val="%2."/>
      <w:lvlJc w:val="left"/>
      <w:pPr>
        <w:ind w:left="1207" w:hanging="360"/>
      </w:pPr>
    </w:lvl>
    <w:lvl w:ilvl="2" w:tplc="0426001B" w:tentative="1">
      <w:start w:val="1"/>
      <w:numFmt w:val="lowerRoman"/>
      <w:lvlText w:val="%3."/>
      <w:lvlJc w:val="right"/>
      <w:pPr>
        <w:ind w:left="1927" w:hanging="180"/>
      </w:pPr>
    </w:lvl>
    <w:lvl w:ilvl="3" w:tplc="0426000F" w:tentative="1">
      <w:start w:val="1"/>
      <w:numFmt w:val="decimal"/>
      <w:lvlText w:val="%4."/>
      <w:lvlJc w:val="left"/>
      <w:pPr>
        <w:ind w:left="2647" w:hanging="360"/>
      </w:pPr>
    </w:lvl>
    <w:lvl w:ilvl="4" w:tplc="04260019" w:tentative="1">
      <w:start w:val="1"/>
      <w:numFmt w:val="lowerLetter"/>
      <w:lvlText w:val="%5."/>
      <w:lvlJc w:val="left"/>
      <w:pPr>
        <w:ind w:left="3367" w:hanging="360"/>
      </w:pPr>
    </w:lvl>
    <w:lvl w:ilvl="5" w:tplc="0426001B" w:tentative="1">
      <w:start w:val="1"/>
      <w:numFmt w:val="lowerRoman"/>
      <w:lvlText w:val="%6."/>
      <w:lvlJc w:val="right"/>
      <w:pPr>
        <w:ind w:left="4087" w:hanging="180"/>
      </w:pPr>
    </w:lvl>
    <w:lvl w:ilvl="6" w:tplc="0426000F" w:tentative="1">
      <w:start w:val="1"/>
      <w:numFmt w:val="decimal"/>
      <w:lvlText w:val="%7."/>
      <w:lvlJc w:val="left"/>
      <w:pPr>
        <w:ind w:left="4807" w:hanging="360"/>
      </w:pPr>
    </w:lvl>
    <w:lvl w:ilvl="7" w:tplc="04260019" w:tentative="1">
      <w:start w:val="1"/>
      <w:numFmt w:val="lowerLetter"/>
      <w:lvlText w:val="%8."/>
      <w:lvlJc w:val="left"/>
      <w:pPr>
        <w:ind w:left="5527" w:hanging="360"/>
      </w:pPr>
    </w:lvl>
    <w:lvl w:ilvl="8" w:tplc="0426001B" w:tentative="1">
      <w:start w:val="1"/>
      <w:numFmt w:val="lowerRoman"/>
      <w:lvlText w:val="%9."/>
      <w:lvlJc w:val="right"/>
      <w:pPr>
        <w:ind w:left="6247" w:hanging="180"/>
      </w:pPr>
    </w:lvl>
  </w:abstractNum>
  <w:abstractNum w:abstractNumId="11">
    <w:nsid w:val="3FA3225C"/>
    <w:multiLevelType w:val="hybridMultilevel"/>
    <w:tmpl w:val="470E48D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404B423A"/>
    <w:multiLevelType w:val="hybridMultilevel"/>
    <w:tmpl w:val="470E48D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428E0B06"/>
    <w:multiLevelType w:val="hybridMultilevel"/>
    <w:tmpl w:val="69A2FD72"/>
    <w:lvl w:ilvl="0" w:tplc="04260011">
      <w:start w:val="1"/>
      <w:numFmt w:val="decimal"/>
      <w:lvlText w:val="%1)"/>
      <w:lvlJc w:val="left"/>
      <w:pPr>
        <w:ind w:left="2486" w:hanging="360"/>
      </w:pPr>
      <w:rPr>
        <w:rFonts w:hint="default"/>
      </w:rPr>
    </w:lvl>
    <w:lvl w:ilvl="1" w:tplc="04260019" w:tentative="1">
      <w:start w:val="1"/>
      <w:numFmt w:val="lowerLetter"/>
      <w:lvlText w:val="%2."/>
      <w:lvlJc w:val="left"/>
      <w:pPr>
        <w:ind w:left="1157" w:hanging="360"/>
      </w:pPr>
    </w:lvl>
    <w:lvl w:ilvl="2" w:tplc="0426001B" w:tentative="1">
      <w:start w:val="1"/>
      <w:numFmt w:val="lowerRoman"/>
      <w:lvlText w:val="%3."/>
      <w:lvlJc w:val="right"/>
      <w:pPr>
        <w:ind w:left="1877" w:hanging="180"/>
      </w:pPr>
    </w:lvl>
    <w:lvl w:ilvl="3" w:tplc="0426000F" w:tentative="1">
      <w:start w:val="1"/>
      <w:numFmt w:val="decimal"/>
      <w:lvlText w:val="%4."/>
      <w:lvlJc w:val="left"/>
      <w:pPr>
        <w:ind w:left="2597" w:hanging="360"/>
      </w:pPr>
    </w:lvl>
    <w:lvl w:ilvl="4" w:tplc="04260019" w:tentative="1">
      <w:start w:val="1"/>
      <w:numFmt w:val="lowerLetter"/>
      <w:lvlText w:val="%5."/>
      <w:lvlJc w:val="left"/>
      <w:pPr>
        <w:ind w:left="3317" w:hanging="360"/>
      </w:pPr>
    </w:lvl>
    <w:lvl w:ilvl="5" w:tplc="0426001B" w:tentative="1">
      <w:start w:val="1"/>
      <w:numFmt w:val="lowerRoman"/>
      <w:lvlText w:val="%6."/>
      <w:lvlJc w:val="right"/>
      <w:pPr>
        <w:ind w:left="4037" w:hanging="180"/>
      </w:pPr>
    </w:lvl>
    <w:lvl w:ilvl="6" w:tplc="0426000F" w:tentative="1">
      <w:start w:val="1"/>
      <w:numFmt w:val="decimal"/>
      <w:lvlText w:val="%7."/>
      <w:lvlJc w:val="left"/>
      <w:pPr>
        <w:ind w:left="4757" w:hanging="360"/>
      </w:pPr>
    </w:lvl>
    <w:lvl w:ilvl="7" w:tplc="04260019" w:tentative="1">
      <w:start w:val="1"/>
      <w:numFmt w:val="lowerLetter"/>
      <w:lvlText w:val="%8."/>
      <w:lvlJc w:val="left"/>
      <w:pPr>
        <w:ind w:left="5477" w:hanging="360"/>
      </w:pPr>
    </w:lvl>
    <w:lvl w:ilvl="8" w:tplc="0426001B" w:tentative="1">
      <w:start w:val="1"/>
      <w:numFmt w:val="lowerRoman"/>
      <w:lvlText w:val="%9."/>
      <w:lvlJc w:val="right"/>
      <w:pPr>
        <w:ind w:left="6197" w:hanging="180"/>
      </w:pPr>
    </w:lvl>
  </w:abstractNum>
  <w:abstractNum w:abstractNumId="14">
    <w:nsid w:val="4ABC481E"/>
    <w:multiLevelType w:val="hybridMultilevel"/>
    <w:tmpl w:val="548CD48A"/>
    <w:lvl w:ilvl="0" w:tplc="0C187426">
      <w:start w:val="1"/>
      <w:numFmt w:val="decimal"/>
      <w:lvlText w:val="%1)"/>
      <w:lvlJc w:val="left"/>
      <w:pPr>
        <w:ind w:left="1494" w:hanging="360"/>
      </w:pPr>
      <w:rPr>
        <w:rFonts w:hint="default"/>
      </w:rPr>
    </w:lvl>
    <w:lvl w:ilvl="1" w:tplc="04260019" w:tentative="1">
      <w:start w:val="1"/>
      <w:numFmt w:val="lowerLetter"/>
      <w:lvlText w:val="%2."/>
      <w:lvlJc w:val="left"/>
      <w:pPr>
        <w:ind w:left="2214" w:hanging="360"/>
      </w:pPr>
    </w:lvl>
    <w:lvl w:ilvl="2" w:tplc="0426001B" w:tentative="1">
      <w:start w:val="1"/>
      <w:numFmt w:val="lowerRoman"/>
      <w:lvlText w:val="%3."/>
      <w:lvlJc w:val="right"/>
      <w:pPr>
        <w:ind w:left="2934" w:hanging="180"/>
      </w:pPr>
    </w:lvl>
    <w:lvl w:ilvl="3" w:tplc="0426000F" w:tentative="1">
      <w:start w:val="1"/>
      <w:numFmt w:val="decimal"/>
      <w:lvlText w:val="%4."/>
      <w:lvlJc w:val="left"/>
      <w:pPr>
        <w:ind w:left="3654" w:hanging="360"/>
      </w:pPr>
    </w:lvl>
    <w:lvl w:ilvl="4" w:tplc="04260019" w:tentative="1">
      <w:start w:val="1"/>
      <w:numFmt w:val="lowerLetter"/>
      <w:lvlText w:val="%5."/>
      <w:lvlJc w:val="left"/>
      <w:pPr>
        <w:ind w:left="4374" w:hanging="360"/>
      </w:pPr>
    </w:lvl>
    <w:lvl w:ilvl="5" w:tplc="0426001B" w:tentative="1">
      <w:start w:val="1"/>
      <w:numFmt w:val="lowerRoman"/>
      <w:lvlText w:val="%6."/>
      <w:lvlJc w:val="right"/>
      <w:pPr>
        <w:ind w:left="5094" w:hanging="180"/>
      </w:pPr>
    </w:lvl>
    <w:lvl w:ilvl="6" w:tplc="0426000F" w:tentative="1">
      <w:start w:val="1"/>
      <w:numFmt w:val="decimal"/>
      <w:lvlText w:val="%7."/>
      <w:lvlJc w:val="left"/>
      <w:pPr>
        <w:ind w:left="5814" w:hanging="360"/>
      </w:pPr>
    </w:lvl>
    <w:lvl w:ilvl="7" w:tplc="04260019" w:tentative="1">
      <w:start w:val="1"/>
      <w:numFmt w:val="lowerLetter"/>
      <w:lvlText w:val="%8."/>
      <w:lvlJc w:val="left"/>
      <w:pPr>
        <w:ind w:left="6534" w:hanging="360"/>
      </w:pPr>
    </w:lvl>
    <w:lvl w:ilvl="8" w:tplc="0426001B" w:tentative="1">
      <w:start w:val="1"/>
      <w:numFmt w:val="lowerRoman"/>
      <w:lvlText w:val="%9."/>
      <w:lvlJc w:val="right"/>
      <w:pPr>
        <w:ind w:left="7254" w:hanging="180"/>
      </w:pPr>
    </w:lvl>
  </w:abstractNum>
  <w:abstractNum w:abstractNumId="15">
    <w:nsid w:val="4C256253"/>
    <w:multiLevelType w:val="hybridMultilevel"/>
    <w:tmpl w:val="51B025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458010F"/>
    <w:multiLevelType w:val="hybridMultilevel"/>
    <w:tmpl w:val="F35255C2"/>
    <w:lvl w:ilvl="0" w:tplc="F95E5164">
      <w:start w:val="1"/>
      <w:numFmt w:val="decimal"/>
      <w:lvlText w:val="%1"/>
      <w:lvlJc w:val="left"/>
      <w:pPr>
        <w:ind w:left="496" w:hanging="360"/>
      </w:pPr>
      <w:rPr>
        <w:rFonts w:hint="default"/>
      </w:rPr>
    </w:lvl>
    <w:lvl w:ilvl="1" w:tplc="04260019" w:tentative="1">
      <w:start w:val="1"/>
      <w:numFmt w:val="lowerLetter"/>
      <w:lvlText w:val="%2."/>
      <w:lvlJc w:val="left"/>
      <w:pPr>
        <w:ind w:left="1216" w:hanging="360"/>
      </w:pPr>
    </w:lvl>
    <w:lvl w:ilvl="2" w:tplc="0426001B" w:tentative="1">
      <w:start w:val="1"/>
      <w:numFmt w:val="lowerRoman"/>
      <w:lvlText w:val="%3."/>
      <w:lvlJc w:val="right"/>
      <w:pPr>
        <w:ind w:left="1936" w:hanging="180"/>
      </w:pPr>
    </w:lvl>
    <w:lvl w:ilvl="3" w:tplc="0426000F" w:tentative="1">
      <w:start w:val="1"/>
      <w:numFmt w:val="decimal"/>
      <w:lvlText w:val="%4."/>
      <w:lvlJc w:val="left"/>
      <w:pPr>
        <w:ind w:left="2656" w:hanging="360"/>
      </w:pPr>
    </w:lvl>
    <w:lvl w:ilvl="4" w:tplc="04260019" w:tentative="1">
      <w:start w:val="1"/>
      <w:numFmt w:val="lowerLetter"/>
      <w:lvlText w:val="%5."/>
      <w:lvlJc w:val="left"/>
      <w:pPr>
        <w:ind w:left="3376" w:hanging="360"/>
      </w:pPr>
    </w:lvl>
    <w:lvl w:ilvl="5" w:tplc="0426001B" w:tentative="1">
      <w:start w:val="1"/>
      <w:numFmt w:val="lowerRoman"/>
      <w:lvlText w:val="%6."/>
      <w:lvlJc w:val="right"/>
      <w:pPr>
        <w:ind w:left="4096" w:hanging="180"/>
      </w:pPr>
    </w:lvl>
    <w:lvl w:ilvl="6" w:tplc="0426000F" w:tentative="1">
      <w:start w:val="1"/>
      <w:numFmt w:val="decimal"/>
      <w:lvlText w:val="%7."/>
      <w:lvlJc w:val="left"/>
      <w:pPr>
        <w:ind w:left="4816" w:hanging="360"/>
      </w:pPr>
    </w:lvl>
    <w:lvl w:ilvl="7" w:tplc="04260019" w:tentative="1">
      <w:start w:val="1"/>
      <w:numFmt w:val="lowerLetter"/>
      <w:lvlText w:val="%8."/>
      <w:lvlJc w:val="left"/>
      <w:pPr>
        <w:ind w:left="5536" w:hanging="360"/>
      </w:pPr>
    </w:lvl>
    <w:lvl w:ilvl="8" w:tplc="0426001B" w:tentative="1">
      <w:start w:val="1"/>
      <w:numFmt w:val="lowerRoman"/>
      <w:lvlText w:val="%9."/>
      <w:lvlJc w:val="right"/>
      <w:pPr>
        <w:ind w:left="6256" w:hanging="180"/>
      </w:pPr>
    </w:lvl>
  </w:abstractNum>
  <w:abstractNum w:abstractNumId="17">
    <w:nsid w:val="582F4F93"/>
    <w:multiLevelType w:val="hybridMultilevel"/>
    <w:tmpl w:val="71089892"/>
    <w:lvl w:ilvl="0" w:tplc="9F7A804C">
      <w:start w:val="73"/>
      <w:numFmt w:val="bullet"/>
      <w:lvlText w:val="-"/>
      <w:lvlJc w:val="left"/>
      <w:pPr>
        <w:ind w:left="480" w:hanging="360"/>
      </w:pPr>
      <w:rPr>
        <w:rFonts w:ascii="Times New Roman" w:eastAsia="Times New Roman" w:hAnsi="Times New Roman" w:cs="Times New Roman" w:hint="default"/>
        <w:color w:val="auto"/>
      </w:rPr>
    </w:lvl>
    <w:lvl w:ilvl="1" w:tplc="04260003" w:tentative="1">
      <w:start w:val="1"/>
      <w:numFmt w:val="bullet"/>
      <w:lvlText w:val="o"/>
      <w:lvlJc w:val="left"/>
      <w:pPr>
        <w:ind w:left="1200" w:hanging="360"/>
      </w:pPr>
      <w:rPr>
        <w:rFonts w:ascii="Courier New" w:hAnsi="Courier New" w:cs="Courier New" w:hint="default"/>
      </w:rPr>
    </w:lvl>
    <w:lvl w:ilvl="2" w:tplc="04260005" w:tentative="1">
      <w:start w:val="1"/>
      <w:numFmt w:val="bullet"/>
      <w:lvlText w:val=""/>
      <w:lvlJc w:val="left"/>
      <w:pPr>
        <w:ind w:left="1920" w:hanging="360"/>
      </w:pPr>
      <w:rPr>
        <w:rFonts w:ascii="Wingdings" w:hAnsi="Wingdings" w:hint="default"/>
      </w:rPr>
    </w:lvl>
    <w:lvl w:ilvl="3" w:tplc="04260001" w:tentative="1">
      <w:start w:val="1"/>
      <w:numFmt w:val="bullet"/>
      <w:lvlText w:val=""/>
      <w:lvlJc w:val="left"/>
      <w:pPr>
        <w:ind w:left="2640" w:hanging="360"/>
      </w:pPr>
      <w:rPr>
        <w:rFonts w:ascii="Symbol" w:hAnsi="Symbol" w:hint="default"/>
      </w:rPr>
    </w:lvl>
    <w:lvl w:ilvl="4" w:tplc="04260003" w:tentative="1">
      <w:start w:val="1"/>
      <w:numFmt w:val="bullet"/>
      <w:lvlText w:val="o"/>
      <w:lvlJc w:val="left"/>
      <w:pPr>
        <w:ind w:left="3360" w:hanging="360"/>
      </w:pPr>
      <w:rPr>
        <w:rFonts w:ascii="Courier New" w:hAnsi="Courier New" w:cs="Courier New" w:hint="default"/>
      </w:rPr>
    </w:lvl>
    <w:lvl w:ilvl="5" w:tplc="04260005" w:tentative="1">
      <w:start w:val="1"/>
      <w:numFmt w:val="bullet"/>
      <w:lvlText w:val=""/>
      <w:lvlJc w:val="left"/>
      <w:pPr>
        <w:ind w:left="4080" w:hanging="360"/>
      </w:pPr>
      <w:rPr>
        <w:rFonts w:ascii="Wingdings" w:hAnsi="Wingdings" w:hint="default"/>
      </w:rPr>
    </w:lvl>
    <w:lvl w:ilvl="6" w:tplc="04260001" w:tentative="1">
      <w:start w:val="1"/>
      <w:numFmt w:val="bullet"/>
      <w:lvlText w:val=""/>
      <w:lvlJc w:val="left"/>
      <w:pPr>
        <w:ind w:left="4800" w:hanging="360"/>
      </w:pPr>
      <w:rPr>
        <w:rFonts w:ascii="Symbol" w:hAnsi="Symbol" w:hint="default"/>
      </w:rPr>
    </w:lvl>
    <w:lvl w:ilvl="7" w:tplc="04260003" w:tentative="1">
      <w:start w:val="1"/>
      <w:numFmt w:val="bullet"/>
      <w:lvlText w:val="o"/>
      <w:lvlJc w:val="left"/>
      <w:pPr>
        <w:ind w:left="5520" w:hanging="360"/>
      </w:pPr>
      <w:rPr>
        <w:rFonts w:ascii="Courier New" w:hAnsi="Courier New" w:cs="Courier New" w:hint="default"/>
      </w:rPr>
    </w:lvl>
    <w:lvl w:ilvl="8" w:tplc="04260005" w:tentative="1">
      <w:start w:val="1"/>
      <w:numFmt w:val="bullet"/>
      <w:lvlText w:val=""/>
      <w:lvlJc w:val="left"/>
      <w:pPr>
        <w:ind w:left="6240" w:hanging="360"/>
      </w:pPr>
      <w:rPr>
        <w:rFonts w:ascii="Wingdings" w:hAnsi="Wingdings" w:hint="default"/>
      </w:rPr>
    </w:lvl>
  </w:abstractNum>
  <w:abstractNum w:abstractNumId="18">
    <w:nsid w:val="59AE3247"/>
    <w:multiLevelType w:val="hybridMultilevel"/>
    <w:tmpl w:val="194E2D96"/>
    <w:lvl w:ilvl="0" w:tplc="3A8A4A8A">
      <w:start w:val="1"/>
      <w:numFmt w:val="decimal"/>
      <w:lvlText w:val="%1)"/>
      <w:lvlJc w:val="left"/>
      <w:pPr>
        <w:ind w:left="780" w:hanging="360"/>
      </w:pPr>
      <w:rPr>
        <w:rFonts w:hint="default"/>
      </w:rPr>
    </w:lvl>
    <w:lvl w:ilvl="1" w:tplc="04260019" w:tentative="1">
      <w:start w:val="1"/>
      <w:numFmt w:val="lowerLetter"/>
      <w:lvlText w:val="%2."/>
      <w:lvlJc w:val="left"/>
      <w:pPr>
        <w:ind w:left="1500" w:hanging="360"/>
      </w:pPr>
    </w:lvl>
    <w:lvl w:ilvl="2" w:tplc="0426001B" w:tentative="1">
      <w:start w:val="1"/>
      <w:numFmt w:val="lowerRoman"/>
      <w:lvlText w:val="%3."/>
      <w:lvlJc w:val="right"/>
      <w:pPr>
        <w:ind w:left="2220" w:hanging="180"/>
      </w:pPr>
    </w:lvl>
    <w:lvl w:ilvl="3" w:tplc="0426000F" w:tentative="1">
      <w:start w:val="1"/>
      <w:numFmt w:val="decimal"/>
      <w:lvlText w:val="%4."/>
      <w:lvlJc w:val="left"/>
      <w:pPr>
        <w:ind w:left="2940" w:hanging="360"/>
      </w:pPr>
    </w:lvl>
    <w:lvl w:ilvl="4" w:tplc="04260019" w:tentative="1">
      <w:start w:val="1"/>
      <w:numFmt w:val="lowerLetter"/>
      <w:lvlText w:val="%5."/>
      <w:lvlJc w:val="left"/>
      <w:pPr>
        <w:ind w:left="3660" w:hanging="360"/>
      </w:pPr>
    </w:lvl>
    <w:lvl w:ilvl="5" w:tplc="0426001B" w:tentative="1">
      <w:start w:val="1"/>
      <w:numFmt w:val="lowerRoman"/>
      <w:lvlText w:val="%6."/>
      <w:lvlJc w:val="right"/>
      <w:pPr>
        <w:ind w:left="4380" w:hanging="180"/>
      </w:pPr>
    </w:lvl>
    <w:lvl w:ilvl="6" w:tplc="0426000F" w:tentative="1">
      <w:start w:val="1"/>
      <w:numFmt w:val="decimal"/>
      <w:lvlText w:val="%7."/>
      <w:lvlJc w:val="left"/>
      <w:pPr>
        <w:ind w:left="5100" w:hanging="360"/>
      </w:pPr>
    </w:lvl>
    <w:lvl w:ilvl="7" w:tplc="04260019" w:tentative="1">
      <w:start w:val="1"/>
      <w:numFmt w:val="lowerLetter"/>
      <w:lvlText w:val="%8."/>
      <w:lvlJc w:val="left"/>
      <w:pPr>
        <w:ind w:left="5820" w:hanging="360"/>
      </w:pPr>
    </w:lvl>
    <w:lvl w:ilvl="8" w:tplc="0426001B" w:tentative="1">
      <w:start w:val="1"/>
      <w:numFmt w:val="lowerRoman"/>
      <w:lvlText w:val="%9."/>
      <w:lvlJc w:val="right"/>
      <w:pPr>
        <w:ind w:left="6540" w:hanging="180"/>
      </w:pPr>
    </w:lvl>
  </w:abstractNum>
  <w:abstractNum w:abstractNumId="19">
    <w:nsid w:val="5EE836A8"/>
    <w:multiLevelType w:val="hybridMultilevel"/>
    <w:tmpl w:val="65524F9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F686321"/>
    <w:multiLevelType w:val="hybridMultilevel"/>
    <w:tmpl w:val="A5BA7E76"/>
    <w:lvl w:ilvl="0" w:tplc="9FA04DA8">
      <w:start w:val="1"/>
      <w:numFmt w:val="decimal"/>
      <w:lvlText w:val="%1."/>
      <w:lvlJc w:val="left"/>
      <w:pPr>
        <w:ind w:left="720" w:hanging="360"/>
      </w:pPr>
      <w:rPr>
        <w:rFonts w:ascii="Times New Roman" w:hAnsi="Times New Roman" w:cs="Times New Roman" w:hint="default"/>
        <w:color w:val="000000"/>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nsid w:val="60CE13F9"/>
    <w:multiLevelType w:val="hybridMultilevel"/>
    <w:tmpl w:val="7832A484"/>
    <w:lvl w:ilvl="0" w:tplc="109A5348">
      <w:start w:val="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nsid w:val="611410D3"/>
    <w:multiLevelType w:val="hybridMultilevel"/>
    <w:tmpl w:val="E0468592"/>
    <w:lvl w:ilvl="0" w:tplc="FB0476E0">
      <w:start w:val="1"/>
      <w:numFmt w:val="decimal"/>
      <w:lvlText w:val="%1."/>
      <w:lvlJc w:val="left"/>
      <w:pPr>
        <w:ind w:left="486" w:hanging="360"/>
      </w:pPr>
      <w:rPr>
        <w:rFonts w:hint="default"/>
      </w:rPr>
    </w:lvl>
    <w:lvl w:ilvl="1" w:tplc="04260019" w:tentative="1">
      <w:start w:val="1"/>
      <w:numFmt w:val="lowerLetter"/>
      <w:lvlText w:val="%2."/>
      <w:lvlJc w:val="left"/>
      <w:pPr>
        <w:ind w:left="1206" w:hanging="360"/>
      </w:pPr>
    </w:lvl>
    <w:lvl w:ilvl="2" w:tplc="0426001B" w:tentative="1">
      <w:start w:val="1"/>
      <w:numFmt w:val="lowerRoman"/>
      <w:lvlText w:val="%3."/>
      <w:lvlJc w:val="right"/>
      <w:pPr>
        <w:ind w:left="1926" w:hanging="180"/>
      </w:pPr>
    </w:lvl>
    <w:lvl w:ilvl="3" w:tplc="0426000F" w:tentative="1">
      <w:start w:val="1"/>
      <w:numFmt w:val="decimal"/>
      <w:lvlText w:val="%4."/>
      <w:lvlJc w:val="left"/>
      <w:pPr>
        <w:ind w:left="2646" w:hanging="360"/>
      </w:pPr>
    </w:lvl>
    <w:lvl w:ilvl="4" w:tplc="04260019" w:tentative="1">
      <w:start w:val="1"/>
      <w:numFmt w:val="lowerLetter"/>
      <w:lvlText w:val="%5."/>
      <w:lvlJc w:val="left"/>
      <w:pPr>
        <w:ind w:left="3366" w:hanging="360"/>
      </w:pPr>
    </w:lvl>
    <w:lvl w:ilvl="5" w:tplc="0426001B" w:tentative="1">
      <w:start w:val="1"/>
      <w:numFmt w:val="lowerRoman"/>
      <w:lvlText w:val="%6."/>
      <w:lvlJc w:val="right"/>
      <w:pPr>
        <w:ind w:left="4086" w:hanging="180"/>
      </w:pPr>
    </w:lvl>
    <w:lvl w:ilvl="6" w:tplc="0426000F" w:tentative="1">
      <w:start w:val="1"/>
      <w:numFmt w:val="decimal"/>
      <w:lvlText w:val="%7."/>
      <w:lvlJc w:val="left"/>
      <w:pPr>
        <w:ind w:left="4806" w:hanging="360"/>
      </w:pPr>
    </w:lvl>
    <w:lvl w:ilvl="7" w:tplc="04260019" w:tentative="1">
      <w:start w:val="1"/>
      <w:numFmt w:val="lowerLetter"/>
      <w:lvlText w:val="%8."/>
      <w:lvlJc w:val="left"/>
      <w:pPr>
        <w:ind w:left="5526" w:hanging="360"/>
      </w:pPr>
    </w:lvl>
    <w:lvl w:ilvl="8" w:tplc="0426001B" w:tentative="1">
      <w:start w:val="1"/>
      <w:numFmt w:val="lowerRoman"/>
      <w:lvlText w:val="%9."/>
      <w:lvlJc w:val="right"/>
      <w:pPr>
        <w:ind w:left="6246" w:hanging="180"/>
      </w:pPr>
    </w:lvl>
  </w:abstractNum>
  <w:abstractNum w:abstractNumId="23">
    <w:nsid w:val="611B1816"/>
    <w:multiLevelType w:val="hybridMultilevel"/>
    <w:tmpl w:val="FE8830E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1F41662"/>
    <w:multiLevelType w:val="hybridMultilevel"/>
    <w:tmpl w:val="EAFC45F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nsid w:val="66970D0D"/>
    <w:multiLevelType w:val="hybridMultilevel"/>
    <w:tmpl w:val="69A2FD7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nsid w:val="67A751F2"/>
    <w:multiLevelType w:val="hybridMultilevel"/>
    <w:tmpl w:val="4A343A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B8C2F3E"/>
    <w:multiLevelType w:val="hybridMultilevel"/>
    <w:tmpl w:val="30F80CBE"/>
    <w:lvl w:ilvl="0" w:tplc="CBB6A736">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8">
    <w:nsid w:val="73420C07"/>
    <w:multiLevelType w:val="multilevel"/>
    <w:tmpl w:val="B3A448C2"/>
    <w:lvl w:ilvl="0">
      <w:start w:val="1"/>
      <w:numFmt w:val="decimal"/>
      <w:lvlText w:val="%1."/>
      <w:lvlJc w:val="left"/>
      <w:pPr>
        <w:ind w:left="486"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2034" w:hanging="720"/>
      </w:pPr>
      <w:rPr>
        <w:rFonts w:hint="default"/>
      </w:rPr>
    </w:lvl>
    <w:lvl w:ilvl="3">
      <w:start w:val="1"/>
      <w:numFmt w:val="decimal"/>
      <w:isLgl/>
      <w:lvlText w:val="%1.%2.%3.%4."/>
      <w:lvlJc w:val="left"/>
      <w:pPr>
        <w:ind w:left="2628" w:hanging="720"/>
      </w:pPr>
      <w:rPr>
        <w:rFonts w:hint="default"/>
      </w:rPr>
    </w:lvl>
    <w:lvl w:ilvl="4">
      <w:start w:val="1"/>
      <w:numFmt w:val="decimal"/>
      <w:isLgl/>
      <w:lvlText w:val="%1.%2.%3.%4.%5."/>
      <w:lvlJc w:val="left"/>
      <w:pPr>
        <w:ind w:left="3582" w:hanging="1080"/>
      </w:pPr>
      <w:rPr>
        <w:rFonts w:hint="default"/>
      </w:rPr>
    </w:lvl>
    <w:lvl w:ilvl="5">
      <w:start w:val="1"/>
      <w:numFmt w:val="decimal"/>
      <w:isLgl/>
      <w:lvlText w:val="%1.%2.%3.%4.%5.%6."/>
      <w:lvlJc w:val="left"/>
      <w:pPr>
        <w:ind w:left="4176" w:hanging="1080"/>
      </w:pPr>
      <w:rPr>
        <w:rFonts w:hint="default"/>
      </w:rPr>
    </w:lvl>
    <w:lvl w:ilvl="6">
      <w:start w:val="1"/>
      <w:numFmt w:val="decimal"/>
      <w:isLgl/>
      <w:lvlText w:val="%1.%2.%3.%4.%5.%6.%7."/>
      <w:lvlJc w:val="left"/>
      <w:pPr>
        <w:ind w:left="5130" w:hanging="1440"/>
      </w:pPr>
      <w:rPr>
        <w:rFonts w:hint="default"/>
      </w:rPr>
    </w:lvl>
    <w:lvl w:ilvl="7">
      <w:start w:val="1"/>
      <w:numFmt w:val="decimal"/>
      <w:isLgl/>
      <w:lvlText w:val="%1.%2.%3.%4.%5.%6.%7.%8."/>
      <w:lvlJc w:val="left"/>
      <w:pPr>
        <w:ind w:left="5724" w:hanging="1440"/>
      </w:pPr>
      <w:rPr>
        <w:rFonts w:hint="default"/>
      </w:rPr>
    </w:lvl>
    <w:lvl w:ilvl="8">
      <w:start w:val="1"/>
      <w:numFmt w:val="decimal"/>
      <w:isLgl/>
      <w:lvlText w:val="%1.%2.%3.%4.%5.%6.%7.%8.%9."/>
      <w:lvlJc w:val="left"/>
      <w:pPr>
        <w:ind w:left="6678" w:hanging="1800"/>
      </w:pPr>
      <w:rPr>
        <w:rFonts w:hint="default"/>
      </w:rPr>
    </w:lvl>
  </w:abstractNum>
  <w:abstractNum w:abstractNumId="29">
    <w:nsid w:val="736C3C1B"/>
    <w:multiLevelType w:val="hybridMultilevel"/>
    <w:tmpl w:val="3594E11C"/>
    <w:lvl w:ilvl="0" w:tplc="A9C68F26">
      <w:start w:val="1"/>
      <w:numFmt w:val="decimal"/>
      <w:lvlText w:val="%1)"/>
      <w:lvlJc w:val="left"/>
      <w:pPr>
        <w:ind w:left="778" w:hanging="360"/>
      </w:pPr>
      <w:rPr>
        <w:rFonts w:hint="default"/>
      </w:rPr>
    </w:lvl>
    <w:lvl w:ilvl="1" w:tplc="04260019" w:tentative="1">
      <w:start w:val="1"/>
      <w:numFmt w:val="lowerLetter"/>
      <w:lvlText w:val="%2."/>
      <w:lvlJc w:val="left"/>
      <w:pPr>
        <w:ind w:left="1498" w:hanging="360"/>
      </w:pPr>
    </w:lvl>
    <w:lvl w:ilvl="2" w:tplc="0426001B" w:tentative="1">
      <w:start w:val="1"/>
      <w:numFmt w:val="lowerRoman"/>
      <w:lvlText w:val="%3."/>
      <w:lvlJc w:val="right"/>
      <w:pPr>
        <w:ind w:left="2218" w:hanging="180"/>
      </w:pPr>
    </w:lvl>
    <w:lvl w:ilvl="3" w:tplc="0426000F" w:tentative="1">
      <w:start w:val="1"/>
      <w:numFmt w:val="decimal"/>
      <w:lvlText w:val="%4."/>
      <w:lvlJc w:val="left"/>
      <w:pPr>
        <w:ind w:left="2938" w:hanging="360"/>
      </w:pPr>
    </w:lvl>
    <w:lvl w:ilvl="4" w:tplc="04260019" w:tentative="1">
      <w:start w:val="1"/>
      <w:numFmt w:val="lowerLetter"/>
      <w:lvlText w:val="%5."/>
      <w:lvlJc w:val="left"/>
      <w:pPr>
        <w:ind w:left="3658" w:hanging="360"/>
      </w:pPr>
    </w:lvl>
    <w:lvl w:ilvl="5" w:tplc="0426001B" w:tentative="1">
      <w:start w:val="1"/>
      <w:numFmt w:val="lowerRoman"/>
      <w:lvlText w:val="%6."/>
      <w:lvlJc w:val="right"/>
      <w:pPr>
        <w:ind w:left="4378" w:hanging="180"/>
      </w:pPr>
    </w:lvl>
    <w:lvl w:ilvl="6" w:tplc="0426000F" w:tentative="1">
      <w:start w:val="1"/>
      <w:numFmt w:val="decimal"/>
      <w:lvlText w:val="%7."/>
      <w:lvlJc w:val="left"/>
      <w:pPr>
        <w:ind w:left="5098" w:hanging="360"/>
      </w:pPr>
    </w:lvl>
    <w:lvl w:ilvl="7" w:tplc="04260019" w:tentative="1">
      <w:start w:val="1"/>
      <w:numFmt w:val="lowerLetter"/>
      <w:lvlText w:val="%8."/>
      <w:lvlJc w:val="left"/>
      <w:pPr>
        <w:ind w:left="5818" w:hanging="360"/>
      </w:pPr>
    </w:lvl>
    <w:lvl w:ilvl="8" w:tplc="0426001B" w:tentative="1">
      <w:start w:val="1"/>
      <w:numFmt w:val="lowerRoman"/>
      <w:lvlText w:val="%9."/>
      <w:lvlJc w:val="right"/>
      <w:pPr>
        <w:ind w:left="6538" w:hanging="180"/>
      </w:pPr>
    </w:lvl>
  </w:abstractNum>
  <w:abstractNum w:abstractNumId="30">
    <w:nsid w:val="749373AE"/>
    <w:multiLevelType w:val="hybridMultilevel"/>
    <w:tmpl w:val="55088AEA"/>
    <w:lvl w:ilvl="0" w:tplc="96AA89D6">
      <w:start w:val="1"/>
      <w:numFmt w:val="decimal"/>
      <w:lvlText w:val="%1)"/>
      <w:lvlJc w:val="left"/>
      <w:pPr>
        <w:ind w:left="846" w:hanging="360"/>
      </w:pPr>
      <w:rPr>
        <w:rFonts w:hint="default"/>
      </w:rPr>
    </w:lvl>
    <w:lvl w:ilvl="1" w:tplc="04260019" w:tentative="1">
      <w:start w:val="1"/>
      <w:numFmt w:val="lowerLetter"/>
      <w:lvlText w:val="%2."/>
      <w:lvlJc w:val="left"/>
      <w:pPr>
        <w:ind w:left="1566" w:hanging="360"/>
      </w:pPr>
    </w:lvl>
    <w:lvl w:ilvl="2" w:tplc="0426001B" w:tentative="1">
      <w:start w:val="1"/>
      <w:numFmt w:val="lowerRoman"/>
      <w:lvlText w:val="%3."/>
      <w:lvlJc w:val="right"/>
      <w:pPr>
        <w:ind w:left="2286" w:hanging="180"/>
      </w:pPr>
    </w:lvl>
    <w:lvl w:ilvl="3" w:tplc="0426000F" w:tentative="1">
      <w:start w:val="1"/>
      <w:numFmt w:val="decimal"/>
      <w:lvlText w:val="%4."/>
      <w:lvlJc w:val="left"/>
      <w:pPr>
        <w:ind w:left="3006" w:hanging="360"/>
      </w:pPr>
    </w:lvl>
    <w:lvl w:ilvl="4" w:tplc="04260019" w:tentative="1">
      <w:start w:val="1"/>
      <w:numFmt w:val="lowerLetter"/>
      <w:lvlText w:val="%5."/>
      <w:lvlJc w:val="left"/>
      <w:pPr>
        <w:ind w:left="3726" w:hanging="360"/>
      </w:pPr>
    </w:lvl>
    <w:lvl w:ilvl="5" w:tplc="0426001B" w:tentative="1">
      <w:start w:val="1"/>
      <w:numFmt w:val="lowerRoman"/>
      <w:lvlText w:val="%6."/>
      <w:lvlJc w:val="right"/>
      <w:pPr>
        <w:ind w:left="4446" w:hanging="180"/>
      </w:pPr>
    </w:lvl>
    <w:lvl w:ilvl="6" w:tplc="0426000F" w:tentative="1">
      <w:start w:val="1"/>
      <w:numFmt w:val="decimal"/>
      <w:lvlText w:val="%7."/>
      <w:lvlJc w:val="left"/>
      <w:pPr>
        <w:ind w:left="5166" w:hanging="360"/>
      </w:pPr>
    </w:lvl>
    <w:lvl w:ilvl="7" w:tplc="04260019" w:tentative="1">
      <w:start w:val="1"/>
      <w:numFmt w:val="lowerLetter"/>
      <w:lvlText w:val="%8."/>
      <w:lvlJc w:val="left"/>
      <w:pPr>
        <w:ind w:left="5886" w:hanging="360"/>
      </w:pPr>
    </w:lvl>
    <w:lvl w:ilvl="8" w:tplc="0426001B" w:tentative="1">
      <w:start w:val="1"/>
      <w:numFmt w:val="lowerRoman"/>
      <w:lvlText w:val="%9."/>
      <w:lvlJc w:val="right"/>
      <w:pPr>
        <w:ind w:left="6606" w:hanging="180"/>
      </w:pPr>
    </w:lvl>
  </w:abstractNum>
  <w:abstractNum w:abstractNumId="31">
    <w:nsid w:val="77747250"/>
    <w:multiLevelType w:val="hybridMultilevel"/>
    <w:tmpl w:val="B2BC819C"/>
    <w:lvl w:ilvl="0" w:tplc="002E5A8A">
      <w:start w:val="7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nsid w:val="789C5359"/>
    <w:multiLevelType w:val="hybridMultilevel"/>
    <w:tmpl w:val="65F01612"/>
    <w:lvl w:ilvl="0" w:tplc="A50EB9FA">
      <w:start w:val="1"/>
      <w:numFmt w:val="decimal"/>
      <w:lvlText w:val="%1)"/>
      <w:lvlJc w:val="left"/>
      <w:pPr>
        <w:ind w:left="487" w:hanging="360"/>
      </w:pPr>
      <w:rPr>
        <w:rFonts w:hint="default"/>
      </w:rPr>
    </w:lvl>
    <w:lvl w:ilvl="1" w:tplc="04260019" w:tentative="1">
      <w:start w:val="1"/>
      <w:numFmt w:val="lowerLetter"/>
      <w:lvlText w:val="%2."/>
      <w:lvlJc w:val="left"/>
      <w:pPr>
        <w:ind w:left="1207" w:hanging="360"/>
      </w:pPr>
    </w:lvl>
    <w:lvl w:ilvl="2" w:tplc="0426001B" w:tentative="1">
      <w:start w:val="1"/>
      <w:numFmt w:val="lowerRoman"/>
      <w:lvlText w:val="%3."/>
      <w:lvlJc w:val="right"/>
      <w:pPr>
        <w:ind w:left="1927" w:hanging="180"/>
      </w:pPr>
    </w:lvl>
    <w:lvl w:ilvl="3" w:tplc="0426000F" w:tentative="1">
      <w:start w:val="1"/>
      <w:numFmt w:val="decimal"/>
      <w:lvlText w:val="%4."/>
      <w:lvlJc w:val="left"/>
      <w:pPr>
        <w:ind w:left="2647" w:hanging="360"/>
      </w:pPr>
    </w:lvl>
    <w:lvl w:ilvl="4" w:tplc="04260019" w:tentative="1">
      <w:start w:val="1"/>
      <w:numFmt w:val="lowerLetter"/>
      <w:lvlText w:val="%5."/>
      <w:lvlJc w:val="left"/>
      <w:pPr>
        <w:ind w:left="3367" w:hanging="360"/>
      </w:pPr>
    </w:lvl>
    <w:lvl w:ilvl="5" w:tplc="0426001B" w:tentative="1">
      <w:start w:val="1"/>
      <w:numFmt w:val="lowerRoman"/>
      <w:lvlText w:val="%6."/>
      <w:lvlJc w:val="right"/>
      <w:pPr>
        <w:ind w:left="4087" w:hanging="180"/>
      </w:pPr>
    </w:lvl>
    <w:lvl w:ilvl="6" w:tplc="0426000F" w:tentative="1">
      <w:start w:val="1"/>
      <w:numFmt w:val="decimal"/>
      <w:lvlText w:val="%7."/>
      <w:lvlJc w:val="left"/>
      <w:pPr>
        <w:ind w:left="4807" w:hanging="360"/>
      </w:pPr>
    </w:lvl>
    <w:lvl w:ilvl="7" w:tplc="04260019" w:tentative="1">
      <w:start w:val="1"/>
      <w:numFmt w:val="lowerLetter"/>
      <w:lvlText w:val="%8."/>
      <w:lvlJc w:val="left"/>
      <w:pPr>
        <w:ind w:left="5527" w:hanging="360"/>
      </w:pPr>
    </w:lvl>
    <w:lvl w:ilvl="8" w:tplc="0426001B" w:tentative="1">
      <w:start w:val="1"/>
      <w:numFmt w:val="lowerRoman"/>
      <w:lvlText w:val="%9."/>
      <w:lvlJc w:val="right"/>
      <w:pPr>
        <w:ind w:left="6247" w:hanging="180"/>
      </w:pPr>
    </w:lvl>
  </w:abstractNum>
  <w:abstractNum w:abstractNumId="33">
    <w:nsid w:val="793A7D9A"/>
    <w:multiLevelType w:val="hybridMultilevel"/>
    <w:tmpl w:val="007ABC9C"/>
    <w:lvl w:ilvl="0" w:tplc="BBDA489C">
      <w:start w:val="1"/>
      <w:numFmt w:val="bullet"/>
      <w:lvlText w:val="-"/>
      <w:lvlJc w:val="left"/>
      <w:pPr>
        <w:ind w:left="720" w:hanging="360"/>
      </w:pPr>
      <w:rPr>
        <w:rFonts w:ascii="Courier New" w:hAnsi="Courier New"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4">
    <w:nsid w:val="79CB2187"/>
    <w:multiLevelType w:val="multilevel"/>
    <w:tmpl w:val="E5CC59B2"/>
    <w:lvl w:ilvl="0">
      <w:start w:val="1"/>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5">
    <w:nsid w:val="7A8D5033"/>
    <w:multiLevelType w:val="hybridMultilevel"/>
    <w:tmpl w:val="70DC38E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nsid w:val="7C7D2DFA"/>
    <w:multiLevelType w:val="hybridMultilevel"/>
    <w:tmpl w:val="CD9EDAE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7"/>
  </w:num>
  <w:num w:numId="2">
    <w:abstractNumId w:val="26"/>
  </w:num>
  <w:num w:numId="3">
    <w:abstractNumId w:val="8"/>
  </w:num>
  <w:num w:numId="4">
    <w:abstractNumId w:val="15"/>
  </w:num>
  <w:num w:numId="5">
    <w:abstractNumId w:val="9"/>
  </w:num>
  <w:num w:numId="6">
    <w:abstractNumId w:val="34"/>
  </w:num>
  <w:num w:numId="7">
    <w:abstractNumId w:val="16"/>
  </w:num>
  <w:num w:numId="8">
    <w:abstractNumId w:val="31"/>
  </w:num>
  <w:num w:numId="9">
    <w:abstractNumId w:val="20"/>
  </w:num>
  <w:num w:numId="10">
    <w:abstractNumId w:val="24"/>
  </w:num>
  <w:num w:numId="11">
    <w:abstractNumId w:val="29"/>
  </w:num>
  <w:num w:numId="12">
    <w:abstractNumId w:val="18"/>
  </w:num>
  <w:num w:numId="13">
    <w:abstractNumId w:val="10"/>
  </w:num>
  <w:num w:numId="14">
    <w:abstractNumId w:val="32"/>
  </w:num>
  <w:num w:numId="15">
    <w:abstractNumId w:val="36"/>
  </w:num>
  <w:num w:numId="16">
    <w:abstractNumId w:val="6"/>
  </w:num>
  <w:num w:numId="17">
    <w:abstractNumId w:val="11"/>
  </w:num>
  <w:num w:numId="18">
    <w:abstractNumId w:val="12"/>
  </w:num>
  <w:num w:numId="19">
    <w:abstractNumId w:val="22"/>
  </w:num>
  <w:num w:numId="20">
    <w:abstractNumId w:val="35"/>
  </w:num>
  <w:num w:numId="21">
    <w:abstractNumId w:val="13"/>
  </w:num>
  <w:num w:numId="22">
    <w:abstractNumId w:val="25"/>
  </w:num>
  <w:num w:numId="23">
    <w:abstractNumId w:val="17"/>
  </w:num>
  <w:num w:numId="24">
    <w:abstractNumId w:val="21"/>
  </w:num>
  <w:num w:numId="25">
    <w:abstractNumId w:val="28"/>
  </w:num>
  <w:num w:numId="26">
    <w:abstractNumId w:val="30"/>
  </w:num>
  <w:num w:numId="27">
    <w:abstractNumId w:val="2"/>
  </w:num>
  <w:num w:numId="28">
    <w:abstractNumId w:val="0"/>
  </w:num>
  <w:num w:numId="29">
    <w:abstractNumId w:val="1"/>
  </w:num>
  <w:num w:numId="30">
    <w:abstractNumId w:val="14"/>
  </w:num>
  <w:num w:numId="31">
    <w:abstractNumId w:val="19"/>
  </w:num>
  <w:num w:numId="32">
    <w:abstractNumId w:val="23"/>
  </w:num>
  <w:num w:numId="33">
    <w:abstractNumId w:val="7"/>
  </w:num>
  <w:num w:numId="34">
    <w:abstractNumId w:val="4"/>
  </w:num>
  <w:num w:numId="35">
    <w:abstractNumId w:val="3"/>
  </w:num>
  <w:num w:numId="36">
    <w:abstractNumId w:val="5"/>
  </w:num>
  <w:num w:numId="37">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cumentProtection w:edit="readOnly" w:enforcement="0"/>
  <w:defaultTabStop w:val="720"/>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0273"/>
    <w:rsid w:val="00004F97"/>
    <w:rsid w:val="0000621B"/>
    <w:rsid w:val="0000712D"/>
    <w:rsid w:val="000125A0"/>
    <w:rsid w:val="00012723"/>
    <w:rsid w:val="00012742"/>
    <w:rsid w:val="000132F8"/>
    <w:rsid w:val="00013AF5"/>
    <w:rsid w:val="000144F6"/>
    <w:rsid w:val="0001793A"/>
    <w:rsid w:val="00017EF2"/>
    <w:rsid w:val="00024CFD"/>
    <w:rsid w:val="0002755C"/>
    <w:rsid w:val="0003008D"/>
    <w:rsid w:val="00032C41"/>
    <w:rsid w:val="00032EAC"/>
    <w:rsid w:val="00035D79"/>
    <w:rsid w:val="0003676E"/>
    <w:rsid w:val="0004096A"/>
    <w:rsid w:val="000410E3"/>
    <w:rsid w:val="00041D74"/>
    <w:rsid w:val="00042158"/>
    <w:rsid w:val="00045F78"/>
    <w:rsid w:val="00046D6D"/>
    <w:rsid w:val="00051096"/>
    <w:rsid w:val="0005379F"/>
    <w:rsid w:val="00054045"/>
    <w:rsid w:val="00054270"/>
    <w:rsid w:val="00055C75"/>
    <w:rsid w:val="0005759D"/>
    <w:rsid w:val="000601ED"/>
    <w:rsid w:val="00061FD7"/>
    <w:rsid w:val="000631BD"/>
    <w:rsid w:val="000631DC"/>
    <w:rsid w:val="000632C0"/>
    <w:rsid w:val="00066DF3"/>
    <w:rsid w:val="00067C40"/>
    <w:rsid w:val="00070185"/>
    <w:rsid w:val="00070ED4"/>
    <w:rsid w:val="00075212"/>
    <w:rsid w:val="00080D36"/>
    <w:rsid w:val="0008309B"/>
    <w:rsid w:val="0008549E"/>
    <w:rsid w:val="00085D2C"/>
    <w:rsid w:val="0008604D"/>
    <w:rsid w:val="000872B0"/>
    <w:rsid w:val="0008770F"/>
    <w:rsid w:val="00087BD4"/>
    <w:rsid w:val="0009519F"/>
    <w:rsid w:val="000977A3"/>
    <w:rsid w:val="000A0C4F"/>
    <w:rsid w:val="000A106D"/>
    <w:rsid w:val="000A25ED"/>
    <w:rsid w:val="000A4FE3"/>
    <w:rsid w:val="000A71A7"/>
    <w:rsid w:val="000A7481"/>
    <w:rsid w:val="000B0691"/>
    <w:rsid w:val="000B4376"/>
    <w:rsid w:val="000B650A"/>
    <w:rsid w:val="000C040F"/>
    <w:rsid w:val="000C04CA"/>
    <w:rsid w:val="000C10AD"/>
    <w:rsid w:val="000C2744"/>
    <w:rsid w:val="000C6543"/>
    <w:rsid w:val="000C68CC"/>
    <w:rsid w:val="000C74C6"/>
    <w:rsid w:val="000D18AD"/>
    <w:rsid w:val="000D3CEB"/>
    <w:rsid w:val="000E49DB"/>
    <w:rsid w:val="000E5EAB"/>
    <w:rsid w:val="000F0DC1"/>
    <w:rsid w:val="000F1E9E"/>
    <w:rsid w:val="000F3331"/>
    <w:rsid w:val="000F62C8"/>
    <w:rsid w:val="000F70FE"/>
    <w:rsid w:val="001003A5"/>
    <w:rsid w:val="001011B2"/>
    <w:rsid w:val="0010318E"/>
    <w:rsid w:val="00103E5C"/>
    <w:rsid w:val="001043AB"/>
    <w:rsid w:val="00107156"/>
    <w:rsid w:val="00112339"/>
    <w:rsid w:val="0011243F"/>
    <w:rsid w:val="00113C78"/>
    <w:rsid w:val="00116FD9"/>
    <w:rsid w:val="0012135D"/>
    <w:rsid w:val="00122750"/>
    <w:rsid w:val="00125B14"/>
    <w:rsid w:val="00126E88"/>
    <w:rsid w:val="00134821"/>
    <w:rsid w:val="001357DE"/>
    <w:rsid w:val="00135E4D"/>
    <w:rsid w:val="0013647C"/>
    <w:rsid w:val="00141593"/>
    <w:rsid w:val="00145EF8"/>
    <w:rsid w:val="00146A92"/>
    <w:rsid w:val="00147975"/>
    <w:rsid w:val="001514C5"/>
    <w:rsid w:val="0015172E"/>
    <w:rsid w:val="00152114"/>
    <w:rsid w:val="0015343D"/>
    <w:rsid w:val="00155B98"/>
    <w:rsid w:val="00162708"/>
    <w:rsid w:val="001631A3"/>
    <w:rsid w:val="001723A2"/>
    <w:rsid w:val="00173046"/>
    <w:rsid w:val="001779A9"/>
    <w:rsid w:val="00183198"/>
    <w:rsid w:val="0018369B"/>
    <w:rsid w:val="00183C27"/>
    <w:rsid w:val="00186B5E"/>
    <w:rsid w:val="0019022A"/>
    <w:rsid w:val="00190ADC"/>
    <w:rsid w:val="00191A9A"/>
    <w:rsid w:val="0019421B"/>
    <w:rsid w:val="001956DC"/>
    <w:rsid w:val="0019782E"/>
    <w:rsid w:val="001A018E"/>
    <w:rsid w:val="001A0F02"/>
    <w:rsid w:val="001A4FD4"/>
    <w:rsid w:val="001A5AE0"/>
    <w:rsid w:val="001A5D1D"/>
    <w:rsid w:val="001A78FF"/>
    <w:rsid w:val="001B2D95"/>
    <w:rsid w:val="001B36A2"/>
    <w:rsid w:val="001B57B6"/>
    <w:rsid w:val="001B7DF3"/>
    <w:rsid w:val="001C00F9"/>
    <w:rsid w:val="001C1FFA"/>
    <w:rsid w:val="001C4F57"/>
    <w:rsid w:val="001C566C"/>
    <w:rsid w:val="001C5D64"/>
    <w:rsid w:val="001C762F"/>
    <w:rsid w:val="001E21E5"/>
    <w:rsid w:val="001E3129"/>
    <w:rsid w:val="001E45DB"/>
    <w:rsid w:val="001E75C6"/>
    <w:rsid w:val="001F01A8"/>
    <w:rsid w:val="001F4AE1"/>
    <w:rsid w:val="001F5FDF"/>
    <w:rsid w:val="001F6FAC"/>
    <w:rsid w:val="002009E5"/>
    <w:rsid w:val="002020CE"/>
    <w:rsid w:val="002069BF"/>
    <w:rsid w:val="002122DC"/>
    <w:rsid w:val="00212E92"/>
    <w:rsid w:val="002137F3"/>
    <w:rsid w:val="00214265"/>
    <w:rsid w:val="002147CD"/>
    <w:rsid w:val="002209E2"/>
    <w:rsid w:val="002237FC"/>
    <w:rsid w:val="00225B56"/>
    <w:rsid w:val="00230CD3"/>
    <w:rsid w:val="002322CD"/>
    <w:rsid w:val="0023567F"/>
    <w:rsid w:val="00242A13"/>
    <w:rsid w:val="00242B51"/>
    <w:rsid w:val="00244598"/>
    <w:rsid w:val="00251DCE"/>
    <w:rsid w:val="0025215D"/>
    <w:rsid w:val="00253838"/>
    <w:rsid w:val="00254F21"/>
    <w:rsid w:val="00262196"/>
    <w:rsid w:val="00262853"/>
    <w:rsid w:val="00267A07"/>
    <w:rsid w:val="00270D4D"/>
    <w:rsid w:val="00276CC8"/>
    <w:rsid w:val="002779A1"/>
    <w:rsid w:val="002806E1"/>
    <w:rsid w:val="00280753"/>
    <w:rsid w:val="00281D6A"/>
    <w:rsid w:val="00282077"/>
    <w:rsid w:val="00282C54"/>
    <w:rsid w:val="00285DC6"/>
    <w:rsid w:val="00285FB8"/>
    <w:rsid w:val="00286F8B"/>
    <w:rsid w:val="002904C5"/>
    <w:rsid w:val="00292916"/>
    <w:rsid w:val="00292BE4"/>
    <w:rsid w:val="002A007B"/>
    <w:rsid w:val="002A22AA"/>
    <w:rsid w:val="002A263F"/>
    <w:rsid w:val="002A3738"/>
    <w:rsid w:val="002A46FF"/>
    <w:rsid w:val="002B0669"/>
    <w:rsid w:val="002B0F57"/>
    <w:rsid w:val="002B191E"/>
    <w:rsid w:val="002B3C7D"/>
    <w:rsid w:val="002B4158"/>
    <w:rsid w:val="002B7233"/>
    <w:rsid w:val="002B7E6B"/>
    <w:rsid w:val="002C045F"/>
    <w:rsid w:val="002C0B5A"/>
    <w:rsid w:val="002C1A82"/>
    <w:rsid w:val="002C313E"/>
    <w:rsid w:val="002C3CCA"/>
    <w:rsid w:val="002D040D"/>
    <w:rsid w:val="002D064B"/>
    <w:rsid w:val="002D2633"/>
    <w:rsid w:val="002D7D37"/>
    <w:rsid w:val="002E02B3"/>
    <w:rsid w:val="002E2CF6"/>
    <w:rsid w:val="002E477E"/>
    <w:rsid w:val="002E4AE2"/>
    <w:rsid w:val="002E7799"/>
    <w:rsid w:val="002F4B17"/>
    <w:rsid w:val="002F6350"/>
    <w:rsid w:val="00301C22"/>
    <w:rsid w:val="00307553"/>
    <w:rsid w:val="00312035"/>
    <w:rsid w:val="003123E4"/>
    <w:rsid w:val="003131B3"/>
    <w:rsid w:val="00320335"/>
    <w:rsid w:val="00322693"/>
    <w:rsid w:val="00322A9E"/>
    <w:rsid w:val="00323DCF"/>
    <w:rsid w:val="0032452F"/>
    <w:rsid w:val="00330A42"/>
    <w:rsid w:val="003312AB"/>
    <w:rsid w:val="003367B5"/>
    <w:rsid w:val="00341F55"/>
    <w:rsid w:val="0034395E"/>
    <w:rsid w:val="00343A19"/>
    <w:rsid w:val="003453F0"/>
    <w:rsid w:val="00346796"/>
    <w:rsid w:val="003532A4"/>
    <w:rsid w:val="003555CF"/>
    <w:rsid w:val="0035771F"/>
    <w:rsid w:val="0035794F"/>
    <w:rsid w:val="00363261"/>
    <w:rsid w:val="00371A0C"/>
    <w:rsid w:val="00377213"/>
    <w:rsid w:val="0037738C"/>
    <w:rsid w:val="0038028F"/>
    <w:rsid w:val="0038130D"/>
    <w:rsid w:val="00381414"/>
    <w:rsid w:val="00382442"/>
    <w:rsid w:val="0038579F"/>
    <w:rsid w:val="00392C91"/>
    <w:rsid w:val="00394076"/>
    <w:rsid w:val="00394E2F"/>
    <w:rsid w:val="003961F0"/>
    <w:rsid w:val="0039686F"/>
    <w:rsid w:val="003974D7"/>
    <w:rsid w:val="003A1554"/>
    <w:rsid w:val="003A1F14"/>
    <w:rsid w:val="003B3F75"/>
    <w:rsid w:val="003B46E6"/>
    <w:rsid w:val="003B7281"/>
    <w:rsid w:val="003C1367"/>
    <w:rsid w:val="003C253F"/>
    <w:rsid w:val="003C387C"/>
    <w:rsid w:val="003C46CE"/>
    <w:rsid w:val="003C4819"/>
    <w:rsid w:val="003C4C34"/>
    <w:rsid w:val="003C5947"/>
    <w:rsid w:val="003D3A5C"/>
    <w:rsid w:val="003D5654"/>
    <w:rsid w:val="003E3D0F"/>
    <w:rsid w:val="003E7046"/>
    <w:rsid w:val="003F121B"/>
    <w:rsid w:val="00400A4B"/>
    <w:rsid w:val="00402AF9"/>
    <w:rsid w:val="0041214B"/>
    <w:rsid w:val="0041453E"/>
    <w:rsid w:val="0041516E"/>
    <w:rsid w:val="004155B8"/>
    <w:rsid w:val="00421597"/>
    <w:rsid w:val="004216B4"/>
    <w:rsid w:val="00424636"/>
    <w:rsid w:val="0042482C"/>
    <w:rsid w:val="004264DE"/>
    <w:rsid w:val="00426CEC"/>
    <w:rsid w:val="00433E03"/>
    <w:rsid w:val="00435A89"/>
    <w:rsid w:val="00436B00"/>
    <w:rsid w:val="00445F70"/>
    <w:rsid w:val="004469DA"/>
    <w:rsid w:val="0044700A"/>
    <w:rsid w:val="00450E03"/>
    <w:rsid w:val="00454623"/>
    <w:rsid w:val="00454942"/>
    <w:rsid w:val="00460B83"/>
    <w:rsid w:val="004610CF"/>
    <w:rsid w:val="0046415E"/>
    <w:rsid w:val="0046472E"/>
    <w:rsid w:val="004676C4"/>
    <w:rsid w:val="0047105A"/>
    <w:rsid w:val="004711B3"/>
    <w:rsid w:val="00473DC7"/>
    <w:rsid w:val="00474DAD"/>
    <w:rsid w:val="004803F3"/>
    <w:rsid w:val="00480994"/>
    <w:rsid w:val="00482FC9"/>
    <w:rsid w:val="004832EB"/>
    <w:rsid w:val="004838FB"/>
    <w:rsid w:val="00483FA1"/>
    <w:rsid w:val="0048441A"/>
    <w:rsid w:val="00484916"/>
    <w:rsid w:val="00484C17"/>
    <w:rsid w:val="0048564C"/>
    <w:rsid w:val="00485EAD"/>
    <w:rsid w:val="0048790B"/>
    <w:rsid w:val="00491962"/>
    <w:rsid w:val="0049246F"/>
    <w:rsid w:val="004947B7"/>
    <w:rsid w:val="00495AC4"/>
    <w:rsid w:val="004961E4"/>
    <w:rsid w:val="004A0A49"/>
    <w:rsid w:val="004A1343"/>
    <w:rsid w:val="004A2527"/>
    <w:rsid w:val="004A5C27"/>
    <w:rsid w:val="004B0CEF"/>
    <w:rsid w:val="004B0D23"/>
    <w:rsid w:val="004B0E6D"/>
    <w:rsid w:val="004B2946"/>
    <w:rsid w:val="004B4AA0"/>
    <w:rsid w:val="004B6347"/>
    <w:rsid w:val="004B671A"/>
    <w:rsid w:val="004B6F22"/>
    <w:rsid w:val="004B7463"/>
    <w:rsid w:val="004B7E5A"/>
    <w:rsid w:val="004C0B42"/>
    <w:rsid w:val="004C100D"/>
    <w:rsid w:val="004C1F10"/>
    <w:rsid w:val="004C3D0C"/>
    <w:rsid w:val="004C7AEA"/>
    <w:rsid w:val="004D2710"/>
    <w:rsid w:val="004D29FB"/>
    <w:rsid w:val="004D3002"/>
    <w:rsid w:val="004D38FA"/>
    <w:rsid w:val="004D408C"/>
    <w:rsid w:val="004D476B"/>
    <w:rsid w:val="004D5F3C"/>
    <w:rsid w:val="004D6C1F"/>
    <w:rsid w:val="004D7BE4"/>
    <w:rsid w:val="004E247E"/>
    <w:rsid w:val="004F12ED"/>
    <w:rsid w:val="004F31A4"/>
    <w:rsid w:val="004F320A"/>
    <w:rsid w:val="004F333E"/>
    <w:rsid w:val="004F5AA7"/>
    <w:rsid w:val="00500440"/>
    <w:rsid w:val="00500E6D"/>
    <w:rsid w:val="00501A8F"/>
    <w:rsid w:val="005030D2"/>
    <w:rsid w:val="005054A3"/>
    <w:rsid w:val="00507D43"/>
    <w:rsid w:val="005107C0"/>
    <w:rsid w:val="0051477C"/>
    <w:rsid w:val="0051544B"/>
    <w:rsid w:val="00516279"/>
    <w:rsid w:val="00517C01"/>
    <w:rsid w:val="00517E27"/>
    <w:rsid w:val="0052022E"/>
    <w:rsid w:val="0052079D"/>
    <w:rsid w:val="005234F2"/>
    <w:rsid w:val="00523AAE"/>
    <w:rsid w:val="0053214A"/>
    <w:rsid w:val="00532745"/>
    <w:rsid w:val="00536E7C"/>
    <w:rsid w:val="00543077"/>
    <w:rsid w:val="00544156"/>
    <w:rsid w:val="005457B8"/>
    <w:rsid w:val="00547FB8"/>
    <w:rsid w:val="00550EC2"/>
    <w:rsid w:val="005525D0"/>
    <w:rsid w:val="00552D29"/>
    <w:rsid w:val="00557EAD"/>
    <w:rsid w:val="00560795"/>
    <w:rsid w:val="00561C1C"/>
    <w:rsid w:val="00561E73"/>
    <w:rsid w:val="00564818"/>
    <w:rsid w:val="00564BA7"/>
    <w:rsid w:val="00564D85"/>
    <w:rsid w:val="00565EC5"/>
    <w:rsid w:val="00566A41"/>
    <w:rsid w:val="005679DE"/>
    <w:rsid w:val="0057144E"/>
    <w:rsid w:val="005740C4"/>
    <w:rsid w:val="00575561"/>
    <w:rsid w:val="00582414"/>
    <w:rsid w:val="00584E3D"/>
    <w:rsid w:val="00587A6E"/>
    <w:rsid w:val="0059341E"/>
    <w:rsid w:val="00593F6A"/>
    <w:rsid w:val="005965E9"/>
    <w:rsid w:val="0059708E"/>
    <w:rsid w:val="00597FC5"/>
    <w:rsid w:val="005A04D4"/>
    <w:rsid w:val="005A0560"/>
    <w:rsid w:val="005A2372"/>
    <w:rsid w:val="005A3995"/>
    <w:rsid w:val="005A505C"/>
    <w:rsid w:val="005A5B39"/>
    <w:rsid w:val="005B0785"/>
    <w:rsid w:val="005B141A"/>
    <w:rsid w:val="005B773B"/>
    <w:rsid w:val="005B78C0"/>
    <w:rsid w:val="005C14A2"/>
    <w:rsid w:val="005C15AA"/>
    <w:rsid w:val="005C4FA8"/>
    <w:rsid w:val="005C571E"/>
    <w:rsid w:val="005C6E43"/>
    <w:rsid w:val="005D191A"/>
    <w:rsid w:val="005D259A"/>
    <w:rsid w:val="005D43AA"/>
    <w:rsid w:val="005D6508"/>
    <w:rsid w:val="005D7201"/>
    <w:rsid w:val="005E127D"/>
    <w:rsid w:val="005E47DA"/>
    <w:rsid w:val="005E6E40"/>
    <w:rsid w:val="005F1C8A"/>
    <w:rsid w:val="005F60F8"/>
    <w:rsid w:val="006025BA"/>
    <w:rsid w:val="00603826"/>
    <w:rsid w:val="006044E8"/>
    <w:rsid w:val="00604A5A"/>
    <w:rsid w:val="00605266"/>
    <w:rsid w:val="00606A4B"/>
    <w:rsid w:val="00607919"/>
    <w:rsid w:val="0061074B"/>
    <w:rsid w:val="0061232A"/>
    <w:rsid w:val="00612506"/>
    <w:rsid w:val="00612F5F"/>
    <w:rsid w:val="0061476B"/>
    <w:rsid w:val="006156EB"/>
    <w:rsid w:val="00617FC8"/>
    <w:rsid w:val="00621FB3"/>
    <w:rsid w:val="00622F5F"/>
    <w:rsid w:val="00622FBB"/>
    <w:rsid w:val="006275E1"/>
    <w:rsid w:val="00631679"/>
    <w:rsid w:val="00635293"/>
    <w:rsid w:val="0064072F"/>
    <w:rsid w:val="006427D9"/>
    <w:rsid w:val="006427E4"/>
    <w:rsid w:val="006466FA"/>
    <w:rsid w:val="00650907"/>
    <w:rsid w:val="00651291"/>
    <w:rsid w:val="00653403"/>
    <w:rsid w:val="0065593D"/>
    <w:rsid w:val="0065605D"/>
    <w:rsid w:val="006602DC"/>
    <w:rsid w:val="00662484"/>
    <w:rsid w:val="0066370C"/>
    <w:rsid w:val="00664102"/>
    <w:rsid w:val="00666D79"/>
    <w:rsid w:val="00671362"/>
    <w:rsid w:val="00677D84"/>
    <w:rsid w:val="0068380F"/>
    <w:rsid w:val="00683A2F"/>
    <w:rsid w:val="006840CE"/>
    <w:rsid w:val="00687BFC"/>
    <w:rsid w:val="00690F1A"/>
    <w:rsid w:val="006926E8"/>
    <w:rsid w:val="0069447E"/>
    <w:rsid w:val="00694D02"/>
    <w:rsid w:val="006A0610"/>
    <w:rsid w:val="006A1487"/>
    <w:rsid w:val="006A7C97"/>
    <w:rsid w:val="006B01E0"/>
    <w:rsid w:val="006B0ADB"/>
    <w:rsid w:val="006B16DB"/>
    <w:rsid w:val="006B2EA0"/>
    <w:rsid w:val="006B4827"/>
    <w:rsid w:val="006B62BF"/>
    <w:rsid w:val="006B646E"/>
    <w:rsid w:val="006C04D0"/>
    <w:rsid w:val="006C1FFA"/>
    <w:rsid w:val="006C57BA"/>
    <w:rsid w:val="006C705B"/>
    <w:rsid w:val="006D2C2F"/>
    <w:rsid w:val="006D5363"/>
    <w:rsid w:val="006E00C9"/>
    <w:rsid w:val="006F0BB6"/>
    <w:rsid w:val="006F23DC"/>
    <w:rsid w:val="006F56C1"/>
    <w:rsid w:val="006F63DB"/>
    <w:rsid w:val="006F6B33"/>
    <w:rsid w:val="007012D2"/>
    <w:rsid w:val="0070277B"/>
    <w:rsid w:val="00703604"/>
    <w:rsid w:val="007036F0"/>
    <w:rsid w:val="00703B57"/>
    <w:rsid w:val="00704307"/>
    <w:rsid w:val="00707406"/>
    <w:rsid w:val="007105FC"/>
    <w:rsid w:val="007115EC"/>
    <w:rsid w:val="007151F0"/>
    <w:rsid w:val="00716AFE"/>
    <w:rsid w:val="00720738"/>
    <w:rsid w:val="007208FA"/>
    <w:rsid w:val="0072418F"/>
    <w:rsid w:val="0072514E"/>
    <w:rsid w:val="00725315"/>
    <w:rsid w:val="00726744"/>
    <w:rsid w:val="007316A1"/>
    <w:rsid w:val="00733E01"/>
    <w:rsid w:val="007442E6"/>
    <w:rsid w:val="00744F86"/>
    <w:rsid w:val="00745828"/>
    <w:rsid w:val="00745B83"/>
    <w:rsid w:val="00746C22"/>
    <w:rsid w:val="00746E41"/>
    <w:rsid w:val="0075227D"/>
    <w:rsid w:val="00753A7D"/>
    <w:rsid w:val="00754BF6"/>
    <w:rsid w:val="00760913"/>
    <w:rsid w:val="0076386E"/>
    <w:rsid w:val="007662C5"/>
    <w:rsid w:val="0076702B"/>
    <w:rsid w:val="007672BA"/>
    <w:rsid w:val="007715C6"/>
    <w:rsid w:val="00782025"/>
    <w:rsid w:val="00782B96"/>
    <w:rsid w:val="00782D74"/>
    <w:rsid w:val="007835C8"/>
    <w:rsid w:val="00790E9C"/>
    <w:rsid w:val="007918C7"/>
    <w:rsid w:val="00791B59"/>
    <w:rsid w:val="00791D2D"/>
    <w:rsid w:val="00792A31"/>
    <w:rsid w:val="00792CCD"/>
    <w:rsid w:val="0079398D"/>
    <w:rsid w:val="00795E09"/>
    <w:rsid w:val="007A1E01"/>
    <w:rsid w:val="007A296C"/>
    <w:rsid w:val="007A73A7"/>
    <w:rsid w:val="007B048C"/>
    <w:rsid w:val="007B0660"/>
    <w:rsid w:val="007B1D0F"/>
    <w:rsid w:val="007B330E"/>
    <w:rsid w:val="007B51C5"/>
    <w:rsid w:val="007B67C1"/>
    <w:rsid w:val="007C2D2B"/>
    <w:rsid w:val="007C2DF6"/>
    <w:rsid w:val="007C2DF7"/>
    <w:rsid w:val="007C3F93"/>
    <w:rsid w:val="007C5A0B"/>
    <w:rsid w:val="007D1343"/>
    <w:rsid w:val="007D1A6B"/>
    <w:rsid w:val="007D2A70"/>
    <w:rsid w:val="007D41F0"/>
    <w:rsid w:val="007D4E4B"/>
    <w:rsid w:val="007D60A4"/>
    <w:rsid w:val="007D64AF"/>
    <w:rsid w:val="007D68FD"/>
    <w:rsid w:val="007E2E16"/>
    <w:rsid w:val="007E44E4"/>
    <w:rsid w:val="007E58BF"/>
    <w:rsid w:val="007E6214"/>
    <w:rsid w:val="007E6B76"/>
    <w:rsid w:val="007E7EF0"/>
    <w:rsid w:val="007F0246"/>
    <w:rsid w:val="007F1487"/>
    <w:rsid w:val="007F1D66"/>
    <w:rsid w:val="007F2081"/>
    <w:rsid w:val="007F2BBD"/>
    <w:rsid w:val="00800726"/>
    <w:rsid w:val="008014EA"/>
    <w:rsid w:val="0080401A"/>
    <w:rsid w:val="008066FB"/>
    <w:rsid w:val="008074A9"/>
    <w:rsid w:val="00814821"/>
    <w:rsid w:val="0081668C"/>
    <w:rsid w:val="00816857"/>
    <w:rsid w:val="0081755E"/>
    <w:rsid w:val="0082032C"/>
    <w:rsid w:val="008236DB"/>
    <w:rsid w:val="00823B5D"/>
    <w:rsid w:val="00825BDA"/>
    <w:rsid w:val="0082754D"/>
    <w:rsid w:val="00831F21"/>
    <w:rsid w:val="00834638"/>
    <w:rsid w:val="00837FCD"/>
    <w:rsid w:val="0084433C"/>
    <w:rsid w:val="00845CF6"/>
    <w:rsid w:val="00847B24"/>
    <w:rsid w:val="008510AF"/>
    <w:rsid w:val="00851B44"/>
    <w:rsid w:val="00852F1F"/>
    <w:rsid w:val="00854227"/>
    <w:rsid w:val="00857C61"/>
    <w:rsid w:val="00862FC9"/>
    <w:rsid w:val="00866180"/>
    <w:rsid w:val="008704F2"/>
    <w:rsid w:val="00871FDA"/>
    <w:rsid w:val="00872FA0"/>
    <w:rsid w:val="00873C0F"/>
    <w:rsid w:val="00876658"/>
    <w:rsid w:val="00880C2E"/>
    <w:rsid w:val="00885CA3"/>
    <w:rsid w:val="00886320"/>
    <w:rsid w:val="008902D0"/>
    <w:rsid w:val="008902F4"/>
    <w:rsid w:val="008907B8"/>
    <w:rsid w:val="008950F4"/>
    <w:rsid w:val="00895E26"/>
    <w:rsid w:val="008A14DE"/>
    <w:rsid w:val="008A402F"/>
    <w:rsid w:val="008A4200"/>
    <w:rsid w:val="008A5DA2"/>
    <w:rsid w:val="008A656B"/>
    <w:rsid w:val="008B1C50"/>
    <w:rsid w:val="008B2CE7"/>
    <w:rsid w:val="008B3BCB"/>
    <w:rsid w:val="008B3E2E"/>
    <w:rsid w:val="008B4640"/>
    <w:rsid w:val="008C00E9"/>
    <w:rsid w:val="008C217A"/>
    <w:rsid w:val="008C461F"/>
    <w:rsid w:val="008C6AC6"/>
    <w:rsid w:val="008D1DB8"/>
    <w:rsid w:val="008D3DF9"/>
    <w:rsid w:val="008D69DB"/>
    <w:rsid w:val="008E1CDE"/>
    <w:rsid w:val="008E62EB"/>
    <w:rsid w:val="008E772C"/>
    <w:rsid w:val="008E7AD0"/>
    <w:rsid w:val="008F09B2"/>
    <w:rsid w:val="008F2429"/>
    <w:rsid w:val="008F3992"/>
    <w:rsid w:val="008F3CF3"/>
    <w:rsid w:val="008F41E3"/>
    <w:rsid w:val="008F4DAA"/>
    <w:rsid w:val="008F4ECE"/>
    <w:rsid w:val="009018B5"/>
    <w:rsid w:val="009019AD"/>
    <w:rsid w:val="00902FB2"/>
    <w:rsid w:val="00903914"/>
    <w:rsid w:val="009050C5"/>
    <w:rsid w:val="00905CD6"/>
    <w:rsid w:val="00906B34"/>
    <w:rsid w:val="00912B0A"/>
    <w:rsid w:val="009148E8"/>
    <w:rsid w:val="00915AEC"/>
    <w:rsid w:val="00920CE5"/>
    <w:rsid w:val="00920F7C"/>
    <w:rsid w:val="0092352A"/>
    <w:rsid w:val="0092363C"/>
    <w:rsid w:val="00925746"/>
    <w:rsid w:val="00925F8F"/>
    <w:rsid w:val="009279BD"/>
    <w:rsid w:val="009315B3"/>
    <w:rsid w:val="0093184A"/>
    <w:rsid w:val="009345DE"/>
    <w:rsid w:val="0093558C"/>
    <w:rsid w:val="00941A69"/>
    <w:rsid w:val="00942FE5"/>
    <w:rsid w:val="00943061"/>
    <w:rsid w:val="00943145"/>
    <w:rsid w:val="00946DA0"/>
    <w:rsid w:val="0094710F"/>
    <w:rsid w:val="009501D6"/>
    <w:rsid w:val="00951716"/>
    <w:rsid w:val="00951D91"/>
    <w:rsid w:val="0095202E"/>
    <w:rsid w:val="00952FDE"/>
    <w:rsid w:val="00953AEC"/>
    <w:rsid w:val="009637CC"/>
    <w:rsid w:val="0096404E"/>
    <w:rsid w:val="009701FA"/>
    <w:rsid w:val="00970901"/>
    <w:rsid w:val="00970E30"/>
    <w:rsid w:val="0097582F"/>
    <w:rsid w:val="009760E6"/>
    <w:rsid w:val="00982611"/>
    <w:rsid w:val="00983E46"/>
    <w:rsid w:val="00986CD8"/>
    <w:rsid w:val="00994989"/>
    <w:rsid w:val="00995059"/>
    <w:rsid w:val="009A2B42"/>
    <w:rsid w:val="009A5CA9"/>
    <w:rsid w:val="009A6EC8"/>
    <w:rsid w:val="009B3319"/>
    <w:rsid w:val="009B37E4"/>
    <w:rsid w:val="009B382E"/>
    <w:rsid w:val="009B4069"/>
    <w:rsid w:val="009B43D0"/>
    <w:rsid w:val="009B504C"/>
    <w:rsid w:val="009B6262"/>
    <w:rsid w:val="009B63DC"/>
    <w:rsid w:val="009B6EA9"/>
    <w:rsid w:val="009C1589"/>
    <w:rsid w:val="009C2705"/>
    <w:rsid w:val="009C3044"/>
    <w:rsid w:val="009C6EE6"/>
    <w:rsid w:val="009C75CA"/>
    <w:rsid w:val="009C77B6"/>
    <w:rsid w:val="009D0E2C"/>
    <w:rsid w:val="009D1B40"/>
    <w:rsid w:val="009D3419"/>
    <w:rsid w:val="009D3BE2"/>
    <w:rsid w:val="009D3FA3"/>
    <w:rsid w:val="009D581B"/>
    <w:rsid w:val="009D7FEA"/>
    <w:rsid w:val="009E4386"/>
    <w:rsid w:val="009E66E2"/>
    <w:rsid w:val="009E684E"/>
    <w:rsid w:val="009E6A38"/>
    <w:rsid w:val="009E6BC4"/>
    <w:rsid w:val="009E6E9E"/>
    <w:rsid w:val="009E70CD"/>
    <w:rsid w:val="009F0273"/>
    <w:rsid w:val="009F0B81"/>
    <w:rsid w:val="009F3C4C"/>
    <w:rsid w:val="009F3F04"/>
    <w:rsid w:val="009F5817"/>
    <w:rsid w:val="00A0010F"/>
    <w:rsid w:val="00A005D0"/>
    <w:rsid w:val="00A01004"/>
    <w:rsid w:val="00A010BA"/>
    <w:rsid w:val="00A02ACA"/>
    <w:rsid w:val="00A02EA7"/>
    <w:rsid w:val="00A04566"/>
    <w:rsid w:val="00A076D3"/>
    <w:rsid w:val="00A07CA4"/>
    <w:rsid w:val="00A1029A"/>
    <w:rsid w:val="00A1062A"/>
    <w:rsid w:val="00A22607"/>
    <w:rsid w:val="00A24284"/>
    <w:rsid w:val="00A26FC6"/>
    <w:rsid w:val="00A3099D"/>
    <w:rsid w:val="00A317BA"/>
    <w:rsid w:val="00A37556"/>
    <w:rsid w:val="00A40148"/>
    <w:rsid w:val="00A43D83"/>
    <w:rsid w:val="00A46D75"/>
    <w:rsid w:val="00A47C29"/>
    <w:rsid w:val="00A51F1F"/>
    <w:rsid w:val="00A60142"/>
    <w:rsid w:val="00A60ECE"/>
    <w:rsid w:val="00A6105F"/>
    <w:rsid w:val="00A6151E"/>
    <w:rsid w:val="00A663B2"/>
    <w:rsid w:val="00A729D0"/>
    <w:rsid w:val="00A750DF"/>
    <w:rsid w:val="00A75266"/>
    <w:rsid w:val="00A76CA9"/>
    <w:rsid w:val="00A82AAF"/>
    <w:rsid w:val="00A83F71"/>
    <w:rsid w:val="00A83FE8"/>
    <w:rsid w:val="00A84A9C"/>
    <w:rsid w:val="00A86FE4"/>
    <w:rsid w:val="00A87B01"/>
    <w:rsid w:val="00A96A31"/>
    <w:rsid w:val="00AA25B8"/>
    <w:rsid w:val="00AA71ED"/>
    <w:rsid w:val="00AB000D"/>
    <w:rsid w:val="00AB13D0"/>
    <w:rsid w:val="00AB25F1"/>
    <w:rsid w:val="00AB5392"/>
    <w:rsid w:val="00AB61B8"/>
    <w:rsid w:val="00AB62B1"/>
    <w:rsid w:val="00AB6D58"/>
    <w:rsid w:val="00AC1247"/>
    <w:rsid w:val="00AC1AF1"/>
    <w:rsid w:val="00AC26E7"/>
    <w:rsid w:val="00AC66B5"/>
    <w:rsid w:val="00AC7767"/>
    <w:rsid w:val="00AD1F4E"/>
    <w:rsid w:val="00AD5758"/>
    <w:rsid w:val="00AD6174"/>
    <w:rsid w:val="00AD74F9"/>
    <w:rsid w:val="00AD7C72"/>
    <w:rsid w:val="00AE0677"/>
    <w:rsid w:val="00AE40A4"/>
    <w:rsid w:val="00AE6E02"/>
    <w:rsid w:val="00AF39C6"/>
    <w:rsid w:val="00AF4DBA"/>
    <w:rsid w:val="00AF5015"/>
    <w:rsid w:val="00B00A55"/>
    <w:rsid w:val="00B01B6C"/>
    <w:rsid w:val="00B01F45"/>
    <w:rsid w:val="00B04B93"/>
    <w:rsid w:val="00B06DEE"/>
    <w:rsid w:val="00B07A7B"/>
    <w:rsid w:val="00B10855"/>
    <w:rsid w:val="00B11B70"/>
    <w:rsid w:val="00B12465"/>
    <w:rsid w:val="00B1515A"/>
    <w:rsid w:val="00B162EA"/>
    <w:rsid w:val="00B210FA"/>
    <w:rsid w:val="00B26762"/>
    <w:rsid w:val="00B27E53"/>
    <w:rsid w:val="00B33A94"/>
    <w:rsid w:val="00B3447A"/>
    <w:rsid w:val="00B37BB1"/>
    <w:rsid w:val="00B40A6B"/>
    <w:rsid w:val="00B413B6"/>
    <w:rsid w:val="00B434A0"/>
    <w:rsid w:val="00B44C95"/>
    <w:rsid w:val="00B46A37"/>
    <w:rsid w:val="00B4749D"/>
    <w:rsid w:val="00B50C94"/>
    <w:rsid w:val="00B535DA"/>
    <w:rsid w:val="00B542F3"/>
    <w:rsid w:val="00B601D1"/>
    <w:rsid w:val="00B64626"/>
    <w:rsid w:val="00B646BF"/>
    <w:rsid w:val="00B66E02"/>
    <w:rsid w:val="00B7148A"/>
    <w:rsid w:val="00B719AD"/>
    <w:rsid w:val="00B71A23"/>
    <w:rsid w:val="00B80846"/>
    <w:rsid w:val="00B8106A"/>
    <w:rsid w:val="00B81BA6"/>
    <w:rsid w:val="00B835FF"/>
    <w:rsid w:val="00B84334"/>
    <w:rsid w:val="00B84349"/>
    <w:rsid w:val="00B87C77"/>
    <w:rsid w:val="00B9310B"/>
    <w:rsid w:val="00B93594"/>
    <w:rsid w:val="00B94A1B"/>
    <w:rsid w:val="00B95A2B"/>
    <w:rsid w:val="00B96276"/>
    <w:rsid w:val="00B96EF6"/>
    <w:rsid w:val="00BA09A7"/>
    <w:rsid w:val="00BA4A51"/>
    <w:rsid w:val="00BA4AAC"/>
    <w:rsid w:val="00BA5571"/>
    <w:rsid w:val="00BA5C47"/>
    <w:rsid w:val="00BA6122"/>
    <w:rsid w:val="00BA68B6"/>
    <w:rsid w:val="00BA7DB7"/>
    <w:rsid w:val="00BB2BBA"/>
    <w:rsid w:val="00BB3388"/>
    <w:rsid w:val="00BB4E45"/>
    <w:rsid w:val="00BB5713"/>
    <w:rsid w:val="00BB6364"/>
    <w:rsid w:val="00BB6C7D"/>
    <w:rsid w:val="00BC0A0E"/>
    <w:rsid w:val="00BC3701"/>
    <w:rsid w:val="00BC4015"/>
    <w:rsid w:val="00BC70AE"/>
    <w:rsid w:val="00BC70F8"/>
    <w:rsid w:val="00BD1027"/>
    <w:rsid w:val="00BD175D"/>
    <w:rsid w:val="00BD7E6D"/>
    <w:rsid w:val="00BE208B"/>
    <w:rsid w:val="00BE25A3"/>
    <w:rsid w:val="00BE65C4"/>
    <w:rsid w:val="00BF1CDA"/>
    <w:rsid w:val="00BF1ED3"/>
    <w:rsid w:val="00BF3C78"/>
    <w:rsid w:val="00BF511C"/>
    <w:rsid w:val="00C00109"/>
    <w:rsid w:val="00C00719"/>
    <w:rsid w:val="00C012CD"/>
    <w:rsid w:val="00C01C19"/>
    <w:rsid w:val="00C01D55"/>
    <w:rsid w:val="00C02F82"/>
    <w:rsid w:val="00C04BD6"/>
    <w:rsid w:val="00C0643A"/>
    <w:rsid w:val="00C0751D"/>
    <w:rsid w:val="00C07763"/>
    <w:rsid w:val="00C07FD2"/>
    <w:rsid w:val="00C11CDF"/>
    <w:rsid w:val="00C13C33"/>
    <w:rsid w:val="00C162DB"/>
    <w:rsid w:val="00C16D6E"/>
    <w:rsid w:val="00C21FD5"/>
    <w:rsid w:val="00C227B2"/>
    <w:rsid w:val="00C25AF1"/>
    <w:rsid w:val="00C25B67"/>
    <w:rsid w:val="00C27F69"/>
    <w:rsid w:val="00C326CB"/>
    <w:rsid w:val="00C32887"/>
    <w:rsid w:val="00C35B73"/>
    <w:rsid w:val="00C35C49"/>
    <w:rsid w:val="00C367BF"/>
    <w:rsid w:val="00C42BB8"/>
    <w:rsid w:val="00C46AB0"/>
    <w:rsid w:val="00C47469"/>
    <w:rsid w:val="00C4785C"/>
    <w:rsid w:val="00C47A34"/>
    <w:rsid w:val="00C47CAA"/>
    <w:rsid w:val="00C53721"/>
    <w:rsid w:val="00C550E7"/>
    <w:rsid w:val="00C55A21"/>
    <w:rsid w:val="00C55CB3"/>
    <w:rsid w:val="00C57DCD"/>
    <w:rsid w:val="00C61C9F"/>
    <w:rsid w:val="00C704E7"/>
    <w:rsid w:val="00C705AD"/>
    <w:rsid w:val="00C7423F"/>
    <w:rsid w:val="00C74DB1"/>
    <w:rsid w:val="00C75622"/>
    <w:rsid w:val="00C77AFC"/>
    <w:rsid w:val="00C77F9B"/>
    <w:rsid w:val="00C83281"/>
    <w:rsid w:val="00C839F2"/>
    <w:rsid w:val="00C85189"/>
    <w:rsid w:val="00C85F3B"/>
    <w:rsid w:val="00C902B7"/>
    <w:rsid w:val="00C90965"/>
    <w:rsid w:val="00C943D2"/>
    <w:rsid w:val="00CA121D"/>
    <w:rsid w:val="00CA17BA"/>
    <w:rsid w:val="00CA4563"/>
    <w:rsid w:val="00CA4C66"/>
    <w:rsid w:val="00CA5590"/>
    <w:rsid w:val="00CA5AFE"/>
    <w:rsid w:val="00CB1360"/>
    <w:rsid w:val="00CB2B5A"/>
    <w:rsid w:val="00CB639C"/>
    <w:rsid w:val="00CB74A5"/>
    <w:rsid w:val="00CC0B00"/>
    <w:rsid w:val="00CC0B47"/>
    <w:rsid w:val="00CC1698"/>
    <w:rsid w:val="00CC44B6"/>
    <w:rsid w:val="00CC634F"/>
    <w:rsid w:val="00CC6565"/>
    <w:rsid w:val="00CC6CF3"/>
    <w:rsid w:val="00CD26E6"/>
    <w:rsid w:val="00CD569E"/>
    <w:rsid w:val="00CD6F12"/>
    <w:rsid w:val="00CE33C1"/>
    <w:rsid w:val="00CE39BA"/>
    <w:rsid w:val="00CF317E"/>
    <w:rsid w:val="00CF3A30"/>
    <w:rsid w:val="00D03B7C"/>
    <w:rsid w:val="00D04E87"/>
    <w:rsid w:val="00D07576"/>
    <w:rsid w:val="00D07F03"/>
    <w:rsid w:val="00D11E56"/>
    <w:rsid w:val="00D13A68"/>
    <w:rsid w:val="00D16EA3"/>
    <w:rsid w:val="00D22F78"/>
    <w:rsid w:val="00D24FDE"/>
    <w:rsid w:val="00D26D63"/>
    <w:rsid w:val="00D278AC"/>
    <w:rsid w:val="00D27E42"/>
    <w:rsid w:val="00D30050"/>
    <w:rsid w:val="00D3238C"/>
    <w:rsid w:val="00D33C6C"/>
    <w:rsid w:val="00D405B1"/>
    <w:rsid w:val="00D42BA9"/>
    <w:rsid w:val="00D4744E"/>
    <w:rsid w:val="00D5146B"/>
    <w:rsid w:val="00D53E1F"/>
    <w:rsid w:val="00D56181"/>
    <w:rsid w:val="00D56F24"/>
    <w:rsid w:val="00D60744"/>
    <w:rsid w:val="00D613BB"/>
    <w:rsid w:val="00D62A78"/>
    <w:rsid w:val="00D645D9"/>
    <w:rsid w:val="00D66C4C"/>
    <w:rsid w:val="00D700A7"/>
    <w:rsid w:val="00D70A3F"/>
    <w:rsid w:val="00D71564"/>
    <w:rsid w:val="00D71630"/>
    <w:rsid w:val="00D71846"/>
    <w:rsid w:val="00D719E9"/>
    <w:rsid w:val="00D745C6"/>
    <w:rsid w:val="00D74BEB"/>
    <w:rsid w:val="00D76220"/>
    <w:rsid w:val="00D77815"/>
    <w:rsid w:val="00D83B70"/>
    <w:rsid w:val="00D84452"/>
    <w:rsid w:val="00D85648"/>
    <w:rsid w:val="00D86AE7"/>
    <w:rsid w:val="00D86CC0"/>
    <w:rsid w:val="00D87067"/>
    <w:rsid w:val="00D91979"/>
    <w:rsid w:val="00D962F8"/>
    <w:rsid w:val="00DA3061"/>
    <w:rsid w:val="00DA4439"/>
    <w:rsid w:val="00DB0944"/>
    <w:rsid w:val="00DB0BDF"/>
    <w:rsid w:val="00DB3901"/>
    <w:rsid w:val="00DC1BE6"/>
    <w:rsid w:val="00DC25BC"/>
    <w:rsid w:val="00DC2A26"/>
    <w:rsid w:val="00DC4EB3"/>
    <w:rsid w:val="00DC5AC4"/>
    <w:rsid w:val="00DC686F"/>
    <w:rsid w:val="00DD06BE"/>
    <w:rsid w:val="00DD122A"/>
    <w:rsid w:val="00DD1D28"/>
    <w:rsid w:val="00DD3990"/>
    <w:rsid w:val="00DD713B"/>
    <w:rsid w:val="00DD7FC0"/>
    <w:rsid w:val="00DE079A"/>
    <w:rsid w:val="00DE265C"/>
    <w:rsid w:val="00DE2DD5"/>
    <w:rsid w:val="00DE5AB7"/>
    <w:rsid w:val="00DE5DD7"/>
    <w:rsid w:val="00DF0B36"/>
    <w:rsid w:val="00DF16AC"/>
    <w:rsid w:val="00DF5366"/>
    <w:rsid w:val="00DF573E"/>
    <w:rsid w:val="00DF66A0"/>
    <w:rsid w:val="00E01278"/>
    <w:rsid w:val="00E022D8"/>
    <w:rsid w:val="00E03130"/>
    <w:rsid w:val="00E03948"/>
    <w:rsid w:val="00E074A4"/>
    <w:rsid w:val="00E075DA"/>
    <w:rsid w:val="00E10425"/>
    <w:rsid w:val="00E10A03"/>
    <w:rsid w:val="00E1132D"/>
    <w:rsid w:val="00E12B97"/>
    <w:rsid w:val="00E12E74"/>
    <w:rsid w:val="00E14AE0"/>
    <w:rsid w:val="00E170E1"/>
    <w:rsid w:val="00E22B7C"/>
    <w:rsid w:val="00E22C68"/>
    <w:rsid w:val="00E260D7"/>
    <w:rsid w:val="00E26E66"/>
    <w:rsid w:val="00E370A0"/>
    <w:rsid w:val="00E37113"/>
    <w:rsid w:val="00E41ABF"/>
    <w:rsid w:val="00E42616"/>
    <w:rsid w:val="00E45760"/>
    <w:rsid w:val="00E503E3"/>
    <w:rsid w:val="00E50F7E"/>
    <w:rsid w:val="00E5173C"/>
    <w:rsid w:val="00E51ED6"/>
    <w:rsid w:val="00E528DE"/>
    <w:rsid w:val="00E52AB9"/>
    <w:rsid w:val="00E62926"/>
    <w:rsid w:val="00E65B78"/>
    <w:rsid w:val="00E660E6"/>
    <w:rsid w:val="00E663F0"/>
    <w:rsid w:val="00E665BE"/>
    <w:rsid w:val="00E66779"/>
    <w:rsid w:val="00E70A6C"/>
    <w:rsid w:val="00E71807"/>
    <w:rsid w:val="00E75193"/>
    <w:rsid w:val="00E75DFD"/>
    <w:rsid w:val="00E8385C"/>
    <w:rsid w:val="00E84716"/>
    <w:rsid w:val="00E85777"/>
    <w:rsid w:val="00E86715"/>
    <w:rsid w:val="00E9568D"/>
    <w:rsid w:val="00E96C09"/>
    <w:rsid w:val="00EA0348"/>
    <w:rsid w:val="00EA07E7"/>
    <w:rsid w:val="00EA3010"/>
    <w:rsid w:val="00EA62D1"/>
    <w:rsid w:val="00EA7D60"/>
    <w:rsid w:val="00EB1BAF"/>
    <w:rsid w:val="00EB4040"/>
    <w:rsid w:val="00EB7291"/>
    <w:rsid w:val="00EC2354"/>
    <w:rsid w:val="00EC2D81"/>
    <w:rsid w:val="00EC2EC7"/>
    <w:rsid w:val="00EC3C5E"/>
    <w:rsid w:val="00EC792E"/>
    <w:rsid w:val="00ED1412"/>
    <w:rsid w:val="00EE1116"/>
    <w:rsid w:val="00EE30EE"/>
    <w:rsid w:val="00EE43C4"/>
    <w:rsid w:val="00EE49F9"/>
    <w:rsid w:val="00EE4C2E"/>
    <w:rsid w:val="00EE616A"/>
    <w:rsid w:val="00EE6BB9"/>
    <w:rsid w:val="00EE7BB0"/>
    <w:rsid w:val="00EE7DB0"/>
    <w:rsid w:val="00EF2BB0"/>
    <w:rsid w:val="00EF6358"/>
    <w:rsid w:val="00EF6E69"/>
    <w:rsid w:val="00F0089E"/>
    <w:rsid w:val="00F0371B"/>
    <w:rsid w:val="00F04B46"/>
    <w:rsid w:val="00F064E1"/>
    <w:rsid w:val="00F06A78"/>
    <w:rsid w:val="00F06AEF"/>
    <w:rsid w:val="00F07309"/>
    <w:rsid w:val="00F1369F"/>
    <w:rsid w:val="00F139B0"/>
    <w:rsid w:val="00F1426F"/>
    <w:rsid w:val="00F156F8"/>
    <w:rsid w:val="00F15BC1"/>
    <w:rsid w:val="00F23182"/>
    <w:rsid w:val="00F23595"/>
    <w:rsid w:val="00F23C79"/>
    <w:rsid w:val="00F23F71"/>
    <w:rsid w:val="00F30DF8"/>
    <w:rsid w:val="00F35EC5"/>
    <w:rsid w:val="00F36580"/>
    <w:rsid w:val="00F410A8"/>
    <w:rsid w:val="00F511F0"/>
    <w:rsid w:val="00F5214B"/>
    <w:rsid w:val="00F522EA"/>
    <w:rsid w:val="00F52AAF"/>
    <w:rsid w:val="00F54F1E"/>
    <w:rsid w:val="00F56A12"/>
    <w:rsid w:val="00F621BF"/>
    <w:rsid w:val="00F66E0C"/>
    <w:rsid w:val="00F70E1C"/>
    <w:rsid w:val="00F7312C"/>
    <w:rsid w:val="00F73757"/>
    <w:rsid w:val="00F73CB4"/>
    <w:rsid w:val="00F745F4"/>
    <w:rsid w:val="00F80DAF"/>
    <w:rsid w:val="00F82B4F"/>
    <w:rsid w:val="00F831F1"/>
    <w:rsid w:val="00F83345"/>
    <w:rsid w:val="00F86DFC"/>
    <w:rsid w:val="00F90B42"/>
    <w:rsid w:val="00F91193"/>
    <w:rsid w:val="00F91798"/>
    <w:rsid w:val="00F958E9"/>
    <w:rsid w:val="00F96208"/>
    <w:rsid w:val="00FA6713"/>
    <w:rsid w:val="00FB0114"/>
    <w:rsid w:val="00FB0528"/>
    <w:rsid w:val="00FB25FF"/>
    <w:rsid w:val="00FB27CC"/>
    <w:rsid w:val="00FB324C"/>
    <w:rsid w:val="00FB3564"/>
    <w:rsid w:val="00FB42C0"/>
    <w:rsid w:val="00FC63FD"/>
    <w:rsid w:val="00FD0482"/>
    <w:rsid w:val="00FD2ED7"/>
    <w:rsid w:val="00FD3366"/>
    <w:rsid w:val="00FD5E4D"/>
    <w:rsid w:val="00FD5EAC"/>
    <w:rsid w:val="00FD7CF6"/>
    <w:rsid w:val="00FE17F9"/>
    <w:rsid w:val="00FE2BEC"/>
    <w:rsid w:val="00FE31D5"/>
    <w:rsid w:val="00FE7C3C"/>
    <w:rsid w:val="00FF3152"/>
    <w:rsid w:val="00FF4A1E"/>
    <w:rsid w:val="00FF50D7"/>
    <w:rsid w:val="00FF792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0273"/>
    <w:rPr>
      <w:rFonts w:ascii="Times New Roman" w:eastAsia="Times New Roman" w:hAnsi="Times New Roman"/>
      <w:sz w:val="24"/>
      <w:szCs w:val="24"/>
    </w:rPr>
  </w:style>
  <w:style w:type="paragraph" w:styleId="Heading3">
    <w:name w:val="heading 3"/>
    <w:basedOn w:val="Normal"/>
    <w:link w:val="Heading3Char"/>
    <w:uiPriority w:val="9"/>
    <w:qFormat/>
    <w:rsid w:val="00603826"/>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c">
    <w:name w:val="naisc"/>
    <w:basedOn w:val="Normal"/>
    <w:rsid w:val="009F0273"/>
    <w:pPr>
      <w:spacing w:before="100" w:beforeAutospacing="1" w:after="100" w:afterAutospacing="1"/>
    </w:pPr>
  </w:style>
  <w:style w:type="paragraph" w:customStyle="1" w:styleId="naiskr">
    <w:name w:val="naiskr"/>
    <w:basedOn w:val="Normal"/>
    <w:rsid w:val="009F0273"/>
    <w:pPr>
      <w:spacing w:before="100" w:beforeAutospacing="1" w:after="100" w:afterAutospacing="1"/>
    </w:pPr>
  </w:style>
  <w:style w:type="paragraph" w:customStyle="1" w:styleId="naisf">
    <w:name w:val="naisf"/>
    <w:basedOn w:val="Normal"/>
    <w:rsid w:val="009F0273"/>
    <w:pPr>
      <w:spacing w:before="100" w:beforeAutospacing="1" w:after="100" w:afterAutospacing="1"/>
    </w:pPr>
  </w:style>
  <w:style w:type="paragraph" w:styleId="Header">
    <w:name w:val="header"/>
    <w:basedOn w:val="Normal"/>
    <w:link w:val="HeaderChar"/>
    <w:uiPriority w:val="99"/>
    <w:rsid w:val="009F0273"/>
    <w:pPr>
      <w:tabs>
        <w:tab w:val="center" w:pos="4153"/>
        <w:tab w:val="right" w:pos="8306"/>
      </w:tabs>
    </w:pPr>
  </w:style>
  <w:style w:type="character" w:customStyle="1" w:styleId="HeaderChar">
    <w:name w:val="Header Char"/>
    <w:link w:val="Header"/>
    <w:uiPriority w:val="99"/>
    <w:rsid w:val="009F0273"/>
    <w:rPr>
      <w:rFonts w:ascii="Times New Roman" w:eastAsia="Times New Roman" w:hAnsi="Times New Roman" w:cs="Times New Roman"/>
      <w:sz w:val="24"/>
      <w:szCs w:val="24"/>
      <w:lang w:val="lv-LV" w:eastAsia="lv-LV"/>
    </w:rPr>
  </w:style>
  <w:style w:type="paragraph" w:styleId="Footer">
    <w:name w:val="footer"/>
    <w:basedOn w:val="Normal"/>
    <w:link w:val="FooterChar"/>
    <w:rsid w:val="009F0273"/>
    <w:pPr>
      <w:tabs>
        <w:tab w:val="center" w:pos="4153"/>
        <w:tab w:val="right" w:pos="8306"/>
      </w:tabs>
    </w:pPr>
  </w:style>
  <w:style w:type="character" w:customStyle="1" w:styleId="FooterChar">
    <w:name w:val="Footer Char"/>
    <w:link w:val="Footer"/>
    <w:rsid w:val="009F0273"/>
    <w:rPr>
      <w:rFonts w:ascii="Times New Roman" w:eastAsia="Times New Roman" w:hAnsi="Times New Roman" w:cs="Times New Roman"/>
      <w:sz w:val="24"/>
      <w:szCs w:val="24"/>
      <w:lang w:val="lv-LV" w:eastAsia="lv-LV"/>
    </w:rPr>
  </w:style>
  <w:style w:type="paragraph" w:styleId="NormalWeb">
    <w:name w:val="Normal (Web)"/>
    <w:basedOn w:val="Normal"/>
    <w:uiPriority w:val="99"/>
    <w:rsid w:val="009F0273"/>
    <w:pPr>
      <w:spacing w:before="100" w:beforeAutospacing="1" w:after="100" w:afterAutospacing="1"/>
    </w:pPr>
  </w:style>
  <w:style w:type="character" w:styleId="PageNumber">
    <w:name w:val="page number"/>
    <w:basedOn w:val="DefaultParagraphFont"/>
    <w:rsid w:val="009F0273"/>
  </w:style>
  <w:style w:type="paragraph" w:styleId="NoSpacing">
    <w:name w:val="No Spacing"/>
    <w:uiPriority w:val="1"/>
    <w:qFormat/>
    <w:rsid w:val="009F0273"/>
    <w:rPr>
      <w:sz w:val="22"/>
      <w:szCs w:val="22"/>
      <w:lang w:val="en-US" w:eastAsia="en-US"/>
    </w:rPr>
  </w:style>
  <w:style w:type="paragraph" w:styleId="ListParagraph">
    <w:name w:val="List Paragraph"/>
    <w:basedOn w:val="Normal"/>
    <w:uiPriority w:val="34"/>
    <w:qFormat/>
    <w:rsid w:val="00292BE4"/>
    <w:pPr>
      <w:spacing w:after="200" w:line="276" w:lineRule="auto"/>
      <w:ind w:left="720"/>
      <w:contextualSpacing/>
    </w:pPr>
    <w:rPr>
      <w:rFonts w:ascii="Calibri" w:eastAsia="Calibri" w:hAnsi="Calibri"/>
      <w:sz w:val="22"/>
      <w:szCs w:val="22"/>
      <w:lang w:val="en-US" w:eastAsia="en-US"/>
    </w:rPr>
  </w:style>
  <w:style w:type="paragraph" w:styleId="BalloonText">
    <w:name w:val="Balloon Text"/>
    <w:basedOn w:val="Normal"/>
    <w:link w:val="BalloonTextChar"/>
    <w:uiPriority w:val="99"/>
    <w:semiHidden/>
    <w:unhideWhenUsed/>
    <w:rsid w:val="0015343D"/>
    <w:rPr>
      <w:rFonts w:ascii="Tahoma" w:hAnsi="Tahoma" w:cs="Tahoma"/>
      <w:sz w:val="16"/>
      <w:szCs w:val="16"/>
    </w:rPr>
  </w:style>
  <w:style w:type="character" w:customStyle="1" w:styleId="BalloonTextChar">
    <w:name w:val="Balloon Text Char"/>
    <w:link w:val="BalloonText"/>
    <w:uiPriority w:val="99"/>
    <w:semiHidden/>
    <w:rsid w:val="0015343D"/>
    <w:rPr>
      <w:rFonts w:ascii="Tahoma" w:eastAsia="Times New Roman" w:hAnsi="Tahoma" w:cs="Tahoma"/>
      <w:sz w:val="16"/>
      <w:szCs w:val="16"/>
      <w:lang w:val="lv-LV" w:eastAsia="lv-LV"/>
    </w:rPr>
  </w:style>
  <w:style w:type="character" w:styleId="Hyperlink">
    <w:name w:val="Hyperlink"/>
    <w:uiPriority w:val="99"/>
    <w:unhideWhenUsed/>
    <w:rsid w:val="007E7EF0"/>
    <w:rPr>
      <w:strike w:val="0"/>
      <w:dstrike w:val="0"/>
      <w:color w:val="40407C"/>
      <w:u w:val="none"/>
      <w:effect w:val="none"/>
    </w:rPr>
  </w:style>
  <w:style w:type="paragraph" w:customStyle="1" w:styleId="Default">
    <w:name w:val="Default"/>
    <w:rsid w:val="005F60F8"/>
    <w:pPr>
      <w:autoSpaceDE w:val="0"/>
      <w:autoSpaceDN w:val="0"/>
      <w:adjustRightInd w:val="0"/>
    </w:pPr>
    <w:rPr>
      <w:rFonts w:ascii="Arial" w:hAnsi="Arial" w:cs="Arial"/>
      <w:color w:val="000000"/>
      <w:sz w:val="24"/>
      <w:szCs w:val="24"/>
    </w:rPr>
  </w:style>
  <w:style w:type="paragraph" w:styleId="CommentText">
    <w:name w:val="annotation text"/>
    <w:basedOn w:val="Normal"/>
    <w:link w:val="CommentTextChar"/>
    <w:uiPriority w:val="99"/>
    <w:semiHidden/>
    <w:unhideWhenUsed/>
    <w:rsid w:val="00DF0B36"/>
    <w:rPr>
      <w:sz w:val="20"/>
      <w:szCs w:val="20"/>
    </w:rPr>
  </w:style>
  <w:style w:type="character" w:customStyle="1" w:styleId="CommentTextChar">
    <w:name w:val="Comment Text Char"/>
    <w:link w:val="CommentText"/>
    <w:uiPriority w:val="99"/>
    <w:semiHidden/>
    <w:rsid w:val="00DF0B36"/>
    <w:rPr>
      <w:rFonts w:ascii="Times New Roman" w:eastAsia="Times New Roman" w:hAnsi="Times New Roman"/>
    </w:rPr>
  </w:style>
  <w:style w:type="character" w:customStyle="1" w:styleId="spelle">
    <w:name w:val="spelle"/>
    <w:basedOn w:val="DefaultParagraphFont"/>
    <w:rsid w:val="00825BDA"/>
  </w:style>
  <w:style w:type="character" w:styleId="CommentReference">
    <w:name w:val="annotation reference"/>
    <w:semiHidden/>
    <w:rsid w:val="00825BDA"/>
    <w:rPr>
      <w:sz w:val="16"/>
      <w:szCs w:val="16"/>
    </w:rPr>
  </w:style>
  <w:style w:type="paragraph" w:styleId="PlainText">
    <w:name w:val="Plain Text"/>
    <w:basedOn w:val="Normal"/>
    <w:link w:val="PlainTextChar"/>
    <w:semiHidden/>
    <w:rsid w:val="00C55CB3"/>
    <w:rPr>
      <w:rFonts w:ascii="Courier New" w:eastAsia="Calibri" w:hAnsi="Courier New" w:cs="Courier New"/>
      <w:sz w:val="20"/>
      <w:szCs w:val="20"/>
      <w:lang w:eastAsia="en-US"/>
    </w:rPr>
  </w:style>
  <w:style w:type="character" w:customStyle="1" w:styleId="PlainTextChar">
    <w:name w:val="Plain Text Char"/>
    <w:link w:val="PlainText"/>
    <w:semiHidden/>
    <w:rsid w:val="00C55CB3"/>
    <w:rPr>
      <w:rFonts w:ascii="Courier New" w:hAnsi="Courier New" w:cs="Courier New"/>
      <w:lang w:eastAsia="en-US"/>
    </w:rPr>
  </w:style>
  <w:style w:type="character" w:customStyle="1" w:styleId="rvts2">
    <w:name w:val="rvts2"/>
    <w:rsid w:val="008236DB"/>
    <w:rPr>
      <w:rFonts w:ascii="Arial" w:hAnsi="Arial" w:cs="Arial" w:hint="default"/>
      <w:b/>
      <w:bCs/>
      <w:color w:val="000080"/>
      <w:sz w:val="20"/>
      <w:szCs w:val="20"/>
    </w:rPr>
  </w:style>
  <w:style w:type="character" w:customStyle="1" w:styleId="rvts8">
    <w:name w:val="rvts8"/>
    <w:rsid w:val="008236DB"/>
    <w:rPr>
      <w:rFonts w:ascii="Calibri" w:hAnsi="Calibri" w:hint="default"/>
      <w:sz w:val="22"/>
      <w:szCs w:val="22"/>
    </w:rPr>
  </w:style>
  <w:style w:type="paragraph" w:customStyle="1" w:styleId="naisnod">
    <w:name w:val="naisnod"/>
    <w:basedOn w:val="Normal"/>
    <w:uiPriority w:val="99"/>
    <w:rsid w:val="00A51F1F"/>
    <w:pPr>
      <w:spacing w:before="150" w:after="150"/>
      <w:jc w:val="center"/>
    </w:pPr>
    <w:rPr>
      <w:b/>
      <w:bCs/>
    </w:rPr>
  </w:style>
  <w:style w:type="paragraph" w:customStyle="1" w:styleId="naislab">
    <w:name w:val="naislab"/>
    <w:basedOn w:val="Normal"/>
    <w:rsid w:val="00A51F1F"/>
    <w:pPr>
      <w:spacing w:before="75" w:after="75"/>
      <w:jc w:val="right"/>
    </w:pPr>
  </w:style>
  <w:style w:type="paragraph" w:styleId="FootnoteText">
    <w:name w:val="footnote text"/>
    <w:aliases w:val="Fußnotentext Char,Fußnotentext Char1 Char1,Fußnotentext Char Char Char Char,Fußnotentext Char1 Char Char Char,Fußnotentext Char Char,Fußnotentext Char1 Char Char Char Char,Fußnotentext Char Char Char Char Char Char,Fußnotentext Char1,Fußn"/>
    <w:basedOn w:val="Normal"/>
    <w:link w:val="FootnoteTextChar"/>
    <w:rsid w:val="00A51F1F"/>
    <w:rPr>
      <w:sz w:val="20"/>
      <w:szCs w:val="20"/>
    </w:rPr>
  </w:style>
  <w:style w:type="character" w:customStyle="1" w:styleId="FootnoteTextChar">
    <w:name w:val="Footnote Text Char"/>
    <w:aliases w:val="Fußnotentext Char Char1,Fußnotentext Char1 Char1 Char,Fußnotentext Char Char Char Char Char,Fußnotentext Char1 Char Char Char Char1,Fußnotentext Char Char Char,Fußnotentext Char1 Char Char Char Char Char,Fußnotentext Char1 Char"/>
    <w:link w:val="FootnoteText"/>
    <w:rsid w:val="00A51F1F"/>
    <w:rPr>
      <w:rFonts w:ascii="Times New Roman" w:eastAsia="Times New Roman" w:hAnsi="Times New Roman"/>
    </w:rPr>
  </w:style>
  <w:style w:type="paragraph" w:customStyle="1" w:styleId="tv2131">
    <w:name w:val="tv2131"/>
    <w:basedOn w:val="Normal"/>
    <w:rsid w:val="003974D7"/>
    <w:pPr>
      <w:spacing w:line="360" w:lineRule="auto"/>
      <w:ind w:firstLine="300"/>
    </w:pPr>
    <w:rPr>
      <w:color w:val="414142"/>
      <w:sz w:val="20"/>
      <w:szCs w:val="20"/>
    </w:rPr>
  </w:style>
  <w:style w:type="paragraph" w:customStyle="1" w:styleId="labojumupamats1">
    <w:name w:val="labojumu_pamats1"/>
    <w:basedOn w:val="Normal"/>
    <w:rsid w:val="003974D7"/>
    <w:pPr>
      <w:spacing w:before="45" w:line="360" w:lineRule="auto"/>
      <w:ind w:firstLine="300"/>
    </w:pPr>
    <w:rPr>
      <w:i/>
      <w:iCs/>
      <w:color w:val="414142"/>
      <w:sz w:val="20"/>
      <w:szCs w:val="20"/>
    </w:rPr>
  </w:style>
  <w:style w:type="character" w:customStyle="1" w:styleId="Heading3Char">
    <w:name w:val="Heading 3 Char"/>
    <w:link w:val="Heading3"/>
    <w:uiPriority w:val="9"/>
    <w:rsid w:val="00603826"/>
    <w:rPr>
      <w:rFonts w:ascii="Times New Roman" w:eastAsia="Times New Roman" w:hAnsi="Times New Roman"/>
      <w:b/>
      <w:bCs/>
      <w:sz w:val="27"/>
      <w:szCs w:val="27"/>
    </w:rPr>
  </w:style>
  <w:style w:type="paragraph" w:styleId="BodyText">
    <w:name w:val="Body Text"/>
    <w:basedOn w:val="Normal"/>
    <w:link w:val="BodyTextChar1"/>
    <w:rsid w:val="008A402F"/>
    <w:pPr>
      <w:jc w:val="center"/>
    </w:pPr>
    <w:rPr>
      <w:b/>
      <w:bCs/>
      <w:lang w:val="en-US" w:eastAsia="en-US"/>
    </w:rPr>
  </w:style>
  <w:style w:type="character" w:customStyle="1" w:styleId="BodyTextChar">
    <w:name w:val="Body Text Char"/>
    <w:uiPriority w:val="99"/>
    <w:semiHidden/>
    <w:rsid w:val="008A402F"/>
    <w:rPr>
      <w:rFonts w:ascii="Times New Roman" w:eastAsia="Times New Roman" w:hAnsi="Times New Roman"/>
      <w:sz w:val="24"/>
      <w:szCs w:val="24"/>
    </w:rPr>
  </w:style>
  <w:style w:type="character" w:customStyle="1" w:styleId="BodyTextChar1">
    <w:name w:val="Body Text Char1"/>
    <w:link w:val="BodyText"/>
    <w:rsid w:val="008A402F"/>
    <w:rPr>
      <w:rFonts w:ascii="Times New Roman" w:eastAsia="Times New Roman" w:hAnsi="Times New Roman"/>
      <w:b/>
      <w:bCs/>
      <w:sz w:val="24"/>
      <w:szCs w:val="24"/>
      <w:lang w:val="en-US" w:eastAsia="en-US"/>
    </w:rPr>
  </w:style>
  <w:style w:type="paragraph" w:styleId="CommentSubject">
    <w:name w:val="annotation subject"/>
    <w:basedOn w:val="CommentText"/>
    <w:next w:val="CommentText"/>
    <w:link w:val="CommentSubjectChar"/>
    <w:uiPriority w:val="99"/>
    <w:semiHidden/>
    <w:unhideWhenUsed/>
    <w:rsid w:val="00995059"/>
    <w:rPr>
      <w:b/>
      <w:bCs/>
    </w:rPr>
  </w:style>
  <w:style w:type="character" w:customStyle="1" w:styleId="CommentSubjectChar">
    <w:name w:val="Comment Subject Char"/>
    <w:link w:val="CommentSubject"/>
    <w:uiPriority w:val="99"/>
    <w:semiHidden/>
    <w:rsid w:val="00995059"/>
    <w:rPr>
      <w:rFonts w:ascii="Times New Roman" w:eastAsia="Times New Roman" w:hAnsi="Times New Roman"/>
      <w:b/>
      <w:bCs/>
    </w:rPr>
  </w:style>
  <w:style w:type="character" w:styleId="FootnoteReference">
    <w:name w:val="footnote reference"/>
    <w:aliases w:val="Footnote Reference Number,SUPERS"/>
    <w:rsid w:val="00D66C4C"/>
    <w:rPr>
      <w:vertAlign w:val="superscript"/>
    </w:rPr>
  </w:style>
  <w:style w:type="paragraph" w:customStyle="1" w:styleId="tvhtml">
    <w:name w:val="tv_html"/>
    <w:basedOn w:val="Normal"/>
    <w:rsid w:val="00D03B7C"/>
    <w:pPr>
      <w:spacing w:before="100" w:beforeAutospacing="1" w:after="100" w:afterAutospacing="1"/>
    </w:pPr>
    <w:rPr>
      <w:rFonts w:ascii="Verdana" w:hAnsi="Verdana"/>
      <w:sz w:val="16"/>
      <w:szCs w:val="16"/>
    </w:rPr>
  </w:style>
  <w:style w:type="paragraph" w:customStyle="1" w:styleId="tvhtml1">
    <w:name w:val="tv_html1"/>
    <w:basedOn w:val="Normal"/>
    <w:rsid w:val="00D03B7C"/>
    <w:pPr>
      <w:spacing w:before="100" w:beforeAutospacing="1" w:line="360" w:lineRule="auto"/>
    </w:pPr>
    <w:rPr>
      <w:rFonts w:ascii="Verdana" w:hAnsi="Verdana"/>
      <w:sz w:val="18"/>
      <w:szCs w:val="18"/>
    </w:rPr>
  </w:style>
  <w:style w:type="character" w:styleId="Strong">
    <w:name w:val="Strong"/>
    <w:uiPriority w:val="22"/>
    <w:qFormat/>
    <w:rsid w:val="0001793A"/>
    <w:rPr>
      <w:rFonts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0273"/>
    <w:rPr>
      <w:rFonts w:ascii="Times New Roman" w:eastAsia="Times New Roman" w:hAnsi="Times New Roman"/>
      <w:sz w:val="24"/>
      <w:szCs w:val="24"/>
    </w:rPr>
  </w:style>
  <w:style w:type="paragraph" w:styleId="Heading3">
    <w:name w:val="heading 3"/>
    <w:basedOn w:val="Normal"/>
    <w:link w:val="Heading3Char"/>
    <w:uiPriority w:val="9"/>
    <w:qFormat/>
    <w:rsid w:val="00603826"/>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c">
    <w:name w:val="naisc"/>
    <w:basedOn w:val="Normal"/>
    <w:rsid w:val="009F0273"/>
    <w:pPr>
      <w:spacing w:before="100" w:beforeAutospacing="1" w:after="100" w:afterAutospacing="1"/>
    </w:pPr>
  </w:style>
  <w:style w:type="paragraph" w:customStyle="1" w:styleId="naiskr">
    <w:name w:val="naiskr"/>
    <w:basedOn w:val="Normal"/>
    <w:rsid w:val="009F0273"/>
    <w:pPr>
      <w:spacing w:before="100" w:beforeAutospacing="1" w:after="100" w:afterAutospacing="1"/>
    </w:pPr>
  </w:style>
  <w:style w:type="paragraph" w:customStyle="1" w:styleId="naisf">
    <w:name w:val="naisf"/>
    <w:basedOn w:val="Normal"/>
    <w:rsid w:val="009F0273"/>
    <w:pPr>
      <w:spacing w:before="100" w:beforeAutospacing="1" w:after="100" w:afterAutospacing="1"/>
    </w:pPr>
  </w:style>
  <w:style w:type="paragraph" w:styleId="Header">
    <w:name w:val="header"/>
    <w:basedOn w:val="Normal"/>
    <w:link w:val="HeaderChar"/>
    <w:uiPriority w:val="99"/>
    <w:rsid w:val="009F0273"/>
    <w:pPr>
      <w:tabs>
        <w:tab w:val="center" w:pos="4153"/>
        <w:tab w:val="right" w:pos="8306"/>
      </w:tabs>
    </w:pPr>
  </w:style>
  <w:style w:type="character" w:customStyle="1" w:styleId="HeaderChar">
    <w:name w:val="Header Char"/>
    <w:link w:val="Header"/>
    <w:uiPriority w:val="99"/>
    <w:rsid w:val="009F0273"/>
    <w:rPr>
      <w:rFonts w:ascii="Times New Roman" w:eastAsia="Times New Roman" w:hAnsi="Times New Roman" w:cs="Times New Roman"/>
      <w:sz w:val="24"/>
      <w:szCs w:val="24"/>
      <w:lang w:val="lv-LV" w:eastAsia="lv-LV"/>
    </w:rPr>
  </w:style>
  <w:style w:type="paragraph" w:styleId="Footer">
    <w:name w:val="footer"/>
    <w:basedOn w:val="Normal"/>
    <w:link w:val="FooterChar"/>
    <w:rsid w:val="009F0273"/>
    <w:pPr>
      <w:tabs>
        <w:tab w:val="center" w:pos="4153"/>
        <w:tab w:val="right" w:pos="8306"/>
      </w:tabs>
    </w:pPr>
  </w:style>
  <w:style w:type="character" w:customStyle="1" w:styleId="FooterChar">
    <w:name w:val="Footer Char"/>
    <w:link w:val="Footer"/>
    <w:rsid w:val="009F0273"/>
    <w:rPr>
      <w:rFonts w:ascii="Times New Roman" w:eastAsia="Times New Roman" w:hAnsi="Times New Roman" w:cs="Times New Roman"/>
      <w:sz w:val="24"/>
      <w:szCs w:val="24"/>
      <w:lang w:val="lv-LV" w:eastAsia="lv-LV"/>
    </w:rPr>
  </w:style>
  <w:style w:type="paragraph" w:styleId="NormalWeb">
    <w:name w:val="Normal (Web)"/>
    <w:basedOn w:val="Normal"/>
    <w:uiPriority w:val="99"/>
    <w:rsid w:val="009F0273"/>
    <w:pPr>
      <w:spacing w:before="100" w:beforeAutospacing="1" w:after="100" w:afterAutospacing="1"/>
    </w:pPr>
  </w:style>
  <w:style w:type="character" w:styleId="PageNumber">
    <w:name w:val="page number"/>
    <w:basedOn w:val="DefaultParagraphFont"/>
    <w:rsid w:val="009F0273"/>
  </w:style>
  <w:style w:type="paragraph" w:styleId="NoSpacing">
    <w:name w:val="No Spacing"/>
    <w:uiPriority w:val="1"/>
    <w:qFormat/>
    <w:rsid w:val="009F0273"/>
    <w:rPr>
      <w:sz w:val="22"/>
      <w:szCs w:val="22"/>
      <w:lang w:val="en-US" w:eastAsia="en-US"/>
    </w:rPr>
  </w:style>
  <w:style w:type="paragraph" w:styleId="ListParagraph">
    <w:name w:val="List Paragraph"/>
    <w:basedOn w:val="Normal"/>
    <w:uiPriority w:val="34"/>
    <w:qFormat/>
    <w:rsid w:val="00292BE4"/>
    <w:pPr>
      <w:spacing w:after="200" w:line="276" w:lineRule="auto"/>
      <w:ind w:left="720"/>
      <w:contextualSpacing/>
    </w:pPr>
    <w:rPr>
      <w:rFonts w:ascii="Calibri" w:eastAsia="Calibri" w:hAnsi="Calibri"/>
      <w:sz w:val="22"/>
      <w:szCs w:val="22"/>
      <w:lang w:val="en-US" w:eastAsia="en-US"/>
    </w:rPr>
  </w:style>
  <w:style w:type="paragraph" w:styleId="BalloonText">
    <w:name w:val="Balloon Text"/>
    <w:basedOn w:val="Normal"/>
    <w:link w:val="BalloonTextChar"/>
    <w:uiPriority w:val="99"/>
    <w:semiHidden/>
    <w:unhideWhenUsed/>
    <w:rsid w:val="0015343D"/>
    <w:rPr>
      <w:rFonts w:ascii="Tahoma" w:hAnsi="Tahoma" w:cs="Tahoma"/>
      <w:sz w:val="16"/>
      <w:szCs w:val="16"/>
    </w:rPr>
  </w:style>
  <w:style w:type="character" w:customStyle="1" w:styleId="BalloonTextChar">
    <w:name w:val="Balloon Text Char"/>
    <w:link w:val="BalloonText"/>
    <w:uiPriority w:val="99"/>
    <w:semiHidden/>
    <w:rsid w:val="0015343D"/>
    <w:rPr>
      <w:rFonts w:ascii="Tahoma" w:eastAsia="Times New Roman" w:hAnsi="Tahoma" w:cs="Tahoma"/>
      <w:sz w:val="16"/>
      <w:szCs w:val="16"/>
      <w:lang w:val="lv-LV" w:eastAsia="lv-LV"/>
    </w:rPr>
  </w:style>
  <w:style w:type="character" w:styleId="Hyperlink">
    <w:name w:val="Hyperlink"/>
    <w:uiPriority w:val="99"/>
    <w:unhideWhenUsed/>
    <w:rsid w:val="007E7EF0"/>
    <w:rPr>
      <w:strike w:val="0"/>
      <w:dstrike w:val="0"/>
      <w:color w:val="40407C"/>
      <w:u w:val="none"/>
      <w:effect w:val="none"/>
    </w:rPr>
  </w:style>
  <w:style w:type="paragraph" w:customStyle="1" w:styleId="Default">
    <w:name w:val="Default"/>
    <w:rsid w:val="005F60F8"/>
    <w:pPr>
      <w:autoSpaceDE w:val="0"/>
      <w:autoSpaceDN w:val="0"/>
      <w:adjustRightInd w:val="0"/>
    </w:pPr>
    <w:rPr>
      <w:rFonts w:ascii="Arial" w:hAnsi="Arial" w:cs="Arial"/>
      <w:color w:val="000000"/>
      <w:sz w:val="24"/>
      <w:szCs w:val="24"/>
    </w:rPr>
  </w:style>
  <w:style w:type="paragraph" w:styleId="CommentText">
    <w:name w:val="annotation text"/>
    <w:basedOn w:val="Normal"/>
    <w:link w:val="CommentTextChar"/>
    <w:uiPriority w:val="99"/>
    <w:semiHidden/>
    <w:unhideWhenUsed/>
    <w:rsid w:val="00DF0B36"/>
    <w:rPr>
      <w:sz w:val="20"/>
      <w:szCs w:val="20"/>
    </w:rPr>
  </w:style>
  <w:style w:type="character" w:customStyle="1" w:styleId="CommentTextChar">
    <w:name w:val="Comment Text Char"/>
    <w:link w:val="CommentText"/>
    <w:uiPriority w:val="99"/>
    <w:semiHidden/>
    <w:rsid w:val="00DF0B36"/>
    <w:rPr>
      <w:rFonts w:ascii="Times New Roman" w:eastAsia="Times New Roman" w:hAnsi="Times New Roman"/>
    </w:rPr>
  </w:style>
  <w:style w:type="character" w:customStyle="1" w:styleId="spelle">
    <w:name w:val="spelle"/>
    <w:basedOn w:val="DefaultParagraphFont"/>
    <w:rsid w:val="00825BDA"/>
  </w:style>
  <w:style w:type="character" w:styleId="CommentReference">
    <w:name w:val="annotation reference"/>
    <w:semiHidden/>
    <w:rsid w:val="00825BDA"/>
    <w:rPr>
      <w:sz w:val="16"/>
      <w:szCs w:val="16"/>
    </w:rPr>
  </w:style>
  <w:style w:type="paragraph" w:styleId="PlainText">
    <w:name w:val="Plain Text"/>
    <w:basedOn w:val="Normal"/>
    <w:link w:val="PlainTextChar"/>
    <w:semiHidden/>
    <w:rsid w:val="00C55CB3"/>
    <w:rPr>
      <w:rFonts w:ascii="Courier New" w:eastAsia="Calibri" w:hAnsi="Courier New" w:cs="Courier New"/>
      <w:sz w:val="20"/>
      <w:szCs w:val="20"/>
      <w:lang w:eastAsia="en-US"/>
    </w:rPr>
  </w:style>
  <w:style w:type="character" w:customStyle="1" w:styleId="PlainTextChar">
    <w:name w:val="Plain Text Char"/>
    <w:link w:val="PlainText"/>
    <w:semiHidden/>
    <w:rsid w:val="00C55CB3"/>
    <w:rPr>
      <w:rFonts w:ascii="Courier New" w:hAnsi="Courier New" w:cs="Courier New"/>
      <w:lang w:eastAsia="en-US"/>
    </w:rPr>
  </w:style>
  <w:style w:type="character" w:customStyle="1" w:styleId="rvts2">
    <w:name w:val="rvts2"/>
    <w:rsid w:val="008236DB"/>
    <w:rPr>
      <w:rFonts w:ascii="Arial" w:hAnsi="Arial" w:cs="Arial" w:hint="default"/>
      <w:b/>
      <w:bCs/>
      <w:color w:val="000080"/>
      <w:sz w:val="20"/>
      <w:szCs w:val="20"/>
    </w:rPr>
  </w:style>
  <w:style w:type="character" w:customStyle="1" w:styleId="rvts8">
    <w:name w:val="rvts8"/>
    <w:rsid w:val="008236DB"/>
    <w:rPr>
      <w:rFonts w:ascii="Calibri" w:hAnsi="Calibri" w:hint="default"/>
      <w:sz w:val="22"/>
      <w:szCs w:val="22"/>
    </w:rPr>
  </w:style>
  <w:style w:type="paragraph" w:customStyle="1" w:styleId="naisnod">
    <w:name w:val="naisnod"/>
    <w:basedOn w:val="Normal"/>
    <w:uiPriority w:val="99"/>
    <w:rsid w:val="00A51F1F"/>
    <w:pPr>
      <w:spacing w:before="150" w:after="150"/>
      <w:jc w:val="center"/>
    </w:pPr>
    <w:rPr>
      <w:b/>
      <w:bCs/>
    </w:rPr>
  </w:style>
  <w:style w:type="paragraph" w:customStyle="1" w:styleId="naislab">
    <w:name w:val="naislab"/>
    <w:basedOn w:val="Normal"/>
    <w:rsid w:val="00A51F1F"/>
    <w:pPr>
      <w:spacing w:before="75" w:after="75"/>
      <w:jc w:val="right"/>
    </w:pPr>
  </w:style>
  <w:style w:type="paragraph" w:styleId="FootnoteText">
    <w:name w:val="footnote text"/>
    <w:aliases w:val="Fußnotentext Char,Fußnotentext Char1 Char1,Fußnotentext Char Char Char Char,Fußnotentext Char1 Char Char Char,Fußnotentext Char Char,Fußnotentext Char1 Char Char Char Char,Fußnotentext Char Char Char Char Char Char,Fußnotentext Char1,Fußn"/>
    <w:basedOn w:val="Normal"/>
    <w:link w:val="FootnoteTextChar"/>
    <w:rsid w:val="00A51F1F"/>
    <w:rPr>
      <w:sz w:val="20"/>
      <w:szCs w:val="20"/>
    </w:rPr>
  </w:style>
  <w:style w:type="character" w:customStyle="1" w:styleId="FootnoteTextChar">
    <w:name w:val="Footnote Text Char"/>
    <w:aliases w:val="Fußnotentext Char Char1,Fußnotentext Char1 Char1 Char,Fußnotentext Char Char Char Char Char,Fußnotentext Char1 Char Char Char Char1,Fußnotentext Char Char Char,Fußnotentext Char1 Char Char Char Char Char,Fußnotentext Char1 Char"/>
    <w:link w:val="FootnoteText"/>
    <w:rsid w:val="00A51F1F"/>
    <w:rPr>
      <w:rFonts w:ascii="Times New Roman" w:eastAsia="Times New Roman" w:hAnsi="Times New Roman"/>
    </w:rPr>
  </w:style>
  <w:style w:type="paragraph" w:customStyle="1" w:styleId="tv2131">
    <w:name w:val="tv2131"/>
    <w:basedOn w:val="Normal"/>
    <w:rsid w:val="003974D7"/>
    <w:pPr>
      <w:spacing w:line="360" w:lineRule="auto"/>
      <w:ind w:firstLine="300"/>
    </w:pPr>
    <w:rPr>
      <w:color w:val="414142"/>
      <w:sz w:val="20"/>
      <w:szCs w:val="20"/>
    </w:rPr>
  </w:style>
  <w:style w:type="paragraph" w:customStyle="1" w:styleId="labojumupamats1">
    <w:name w:val="labojumu_pamats1"/>
    <w:basedOn w:val="Normal"/>
    <w:rsid w:val="003974D7"/>
    <w:pPr>
      <w:spacing w:before="45" w:line="360" w:lineRule="auto"/>
      <w:ind w:firstLine="300"/>
    </w:pPr>
    <w:rPr>
      <w:i/>
      <w:iCs/>
      <w:color w:val="414142"/>
      <w:sz w:val="20"/>
      <w:szCs w:val="20"/>
    </w:rPr>
  </w:style>
  <w:style w:type="character" w:customStyle="1" w:styleId="Heading3Char">
    <w:name w:val="Heading 3 Char"/>
    <w:link w:val="Heading3"/>
    <w:uiPriority w:val="9"/>
    <w:rsid w:val="00603826"/>
    <w:rPr>
      <w:rFonts w:ascii="Times New Roman" w:eastAsia="Times New Roman" w:hAnsi="Times New Roman"/>
      <w:b/>
      <w:bCs/>
      <w:sz w:val="27"/>
      <w:szCs w:val="27"/>
    </w:rPr>
  </w:style>
  <w:style w:type="paragraph" w:styleId="BodyText">
    <w:name w:val="Body Text"/>
    <w:basedOn w:val="Normal"/>
    <w:link w:val="BodyTextChar1"/>
    <w:rsid w:val="008A402F"/>
    <w:pPr>
      <w:jc w:val="center"/>
    </w:pPr>
    <w:rPr>
      <w:b/>
      <w:bCs/>
      <w:lang w:val="en-US" w:eastAsia="en-US"/>
    </w:rPr>
  </w:style>
  <w:style w:type="character" w:customStyle="1" w:styleId="BodyTextChar">
    <w:name w:val="Body Text Char"/>
    <w:uiPriority w:val="99"/>
    <w:semiHidden/>
    <w:rsid w:val="008A402F"/>
    <w:rPr>
      <w:rFonts w:ascii="Times New Roman" w:eastAsia="Times New Roman" w:hAnsi="Times New Roman"/>
      <w:sz w:val="24"/>
      <w:szCs w:val="24"/>
    </w:rPr>
  </w:style>
  <w:style w:type="character" w:customStyle="1" w:styleId="BodyTextChar1">
    <w:name w:val="Body Text Char1"/>
    <w:link w:val="BodyText"/>
    <w:rsid w:val="008A402F"/>
    <w:rPr>
      <w:rFonts w:ascii="Times New Roman" w:eastAsia="Times New Roman" w:hAnsi="Times New Roman"/>
      <w:b/>
      <w:bCs/>
      <w:sz w:val="24"/>
      <w:szCs w:val="24"/>
      <w:lang w:val="en-US" w:eastAsia="en-US"/>
    </w:rPr>
  </w:style>
  <w:style w:type="paragraph" w:styleId="CommentSubject">
    <w:name w:val="annotation subject"/>
    <w:basedOn w:val="CommentText"/>
    <w:next w:val="CommentText"/>
    <w:link w:val="CommentSubjectChar"/>
    <w:uiPriority w:val="99"/>
    <w:semiHidden/>
    <w:unhideWhenUsed/>
    <w:rsid w:val="00995059"/>
    <w:rPr>
      <w:b/>
      <w:bCs/>
    </w:rPr>
  </w:style>
  <w:style w:type="character" w:customStyle="1" w:styleId="CommentSubjectChar">
    <w:name w:val="Comment Subject Char"/>
    <w:link w:val="CommentSubject"/>
    <w:uiPriority w:val="99"/>
    <w:semiHidden/>
    <w:rsid w:val="00995059"/>
    <w:rPr>
      <w:rFonts w:ascii="Times New Roman" w:eastAsia="Times New Roman" w:hAnsi="Times New Roman"/>
      <w:b/>
      <w:bCs/>
    </w:rPr>
  </w:style>
  <w:style w:type="character" w:styleId="FootnoteReference">
    <w:name w:val="footnote reference"/>
    <w:aliases w:val="Footnote Reference Number,SUPERS"/>
    <w:rsid w:val="00D66C4C"/>
    <w:rPr>
      <w:vertAlign w:val="superscript"/>
    </w:rPr>
  </w:style>
  <w:style w:type="paragraph" w:customStyle="1" w:styleId="tvhtml">
    <w:name w:val="tv_html"/>
    <w:basedOn w:val="Normal"/>
    <w:rsid w:val="00D03B7C"/>
    <w:pPr>
      <w:spacing w:before="100" w:beforeAutospacing="1" w:after="100" w:afterAutospacing="1"/>
    </w:pPr>
    <w:rPr>
      <w:rFonts w:ascii="Verdana" w:hAnsi="Verdana"/>
      <w:sz w:val="16"/>
      <w:szCs w:val="16"/>
    </w:rPr>
  </w:style>
  <w:style w:type="paragraph" w:customStyle="1" w:styleId="tvhtml1">
    <w:name w:val="tv_html1"/>
    <w:basedOn w:val="Normal"/>
    <w:rsid w:val="00D03B7C"/>
    <w:pPr>
      <w:spacing w:before="100" w:beforeAutospacing="1" w:line="360" w:lineRule="auto"/>
    </w:pPr>
    <w:rPr>
      <w:rFonts w:ascii="Verdana" w:hAnsi="Verdana"/>
      <w:sz w:val="18"/>
      <w:szCs w:val="18"/>
    </w:rPr>
  </w:style>
  <w:style w:type="character" w:styleId="Strong">
    <w:name w:val="Strong"/>
    <w:uiPriority w:val="22"/>
    <w:qFormat/>
    <w:rsid w:val="0001793A"/>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94364">
      <w:bodyDiv w:val="1"/>
      <w:marLeft w:val="0"/>
      <w:marRight w:val="0"/>
      <w:marTop w:val="0"/>
      <w:marBottom w:val="0"/>
      <w:divBdr>
        <w:top w:val="none" w:sz="0" w:space="0" w:color="auto"/>
        <w:left w:val="none" w:sz="0" w:space="0" w:color="auto"/>
        <w:bottom w:val="none" w:sz="0" w:space="0" w:color="auto"/>
        <w:right w:val="none" w:sz="0" w:space="0" w:color="auto"/>
      </w:divBdr>
      <w:divsChild>
        <w:div w:id="762920571">
          <w:marLeft w:val="0"/>
          <w:marRight w:val="0"/>
          <w:marTop w:val="0"/>
          <w:marBottom w:val="0"/>
          <w:divBdr>
            <w:top w:val="none" w:sz="0" w:space="0" w:color="auto"/>
            <w:left w:val="none" w:sz="0" w:space="0" w:color="auto"/>
            <w:bottom w:val="none" w:sz="0" w:space="0" w:color="auto"/>
            <w:right w:val="none" w:sz="0" w:space="0" w:color="auto"/>
          </w:divBdr>
          <w:divsChild>
            <w:div w:id="1595936517">
              <w:marLeft w:val="0"/>
              <w:marRight w:val="0"/>
              <w:marTop w:val="0"/>
              <w:marBottom w:val="0"/>
              <w:divBdr>
                <w:top w:val="none" w:sz="0" w:space="0" w:color="auto"/>
                <w:left w:val="none" w:sz="0" w:space="0" w:color="auto"/>
                <w:bottom w:val="none" w:sz="0" w:space="0" w:color="auto"/>
                <w:right w:val="none" w:sz="0" w:space="0" w:color="auto"/>
              </w:divBdr>
              <w:divsChild>
                <w:div w:id="1652445716">
                  <w:marLeft w:val="0"/>
                  <w:marRight w:val="0"/>
                  <w:marTop w:val="0"/>
                  <w:marBottom w:val="0"/>
                  <w:divBdr>
                    <w:top w:val="none" w:sz="0" w:space="0" w:color="auto"/>
                    <w:left w:val="none" w:sz="0" w:space="0" w:color="auto"/>
                    <w:bottom w:val="none" w:sz="0" w:space="0" w:color="auto"/>
                    <w:right w:val="none" w:sz="0" w:space="0" w:color="auto"/>
                  </w:divBdr>
                  <w:divsChild>
                    <w:div w:id="203249836">
                      <w:marLeft w:val="0"/>
                      <w:marRight w:val="0"/>
                      <w:marTop w:val="0"/>
                      <w:marBottom w:val="0"/>
                      <w:divBdr>
                        <w:top w:val="none" w:sz="0" w:space="0" w:color="auto"/>
                        <w:left w:val="none" w:sz="0" w:space="0" w:color="auto"/>
                        <w:bottom w:val="none" w:sz="0" w:space="0" w:color="auto"/>
                        <w:right w:val="none" w:sz="0" w:space="0" w:color="auto"/>
                      </w:divBdr>
                      <w:divsChild>
                        <w:div w:id="822281537">
                          <w:marLeft w:val="0"/>
                          <w:marRight w:val="0"/>
                          <w:marTop w:val="300"/>
                          <w:marBottom w:val="0"/>
                          <w:divBdr>
                            <w:top w:val="none" w:sz="0" w:space="0" w:color="auto"/>
                            <w:left w:val="none" w:sz="0" w:space="0" w:color="auto"/>
                            <w:bottom w:val="none" w:sz="0" w:space="0" w:color="auto"/>
                            <w:right w:val="none" w:sz="0" w:space="0" w:color="auto"/>
                          </w:divBdr>
                          <w:divsChild>
                            <w:div w:id="1753089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7500495">
      <w:bodyDiv w:val="1"/>
      <w:marLeft w:val="0"/>
      <w:marRight w:val="0"/>
      <w:marTop w:val="0"/>
      <w:marBottom w:val="0"/>
      <w:divBdr>
        <w:top w:val="none" w:sz="0" w:space="0" w:color="auto"/>
        <w:left w:val="none" w:sz="0" w:space="0" w:color="auto"/>
        <w:bottom w:val="none" w:sz="0" w:space="0" w:color="auto"/>
        <w:right w:val="none" w:sz="0" w:space="0" w:color="auto"/>
      </w:divBdr>
      <w:divsChild>
        <w:div w:id="1374429447">
          <w:marLeft w:val="0"/>
          <w:marRight w:val="0"/>
          <w:marTop w:val="0"/>
          <w:marBottom w:val="0"/>
          <w:divBdr>
            <w:top w:val="none" w:sz="0" w:space="0" w:color="auto"/>
            <w:left w:val="none" w:sz="0" w:space="0" w:color="auto"/>
            <w:bottom w:val="none" w:sz="0" w:space="0" w:color="auto"/>
            <w:right w:val="none" w:sz="0" w:space="0" w:color="auto"/>
          </w:divBdr>
          <w:divsChild>
            <w:div w:id="992952917">
              <w:marLeft w:val="0"/>
              <w:marRight w:val="0"/>
              <w:marTop w:val="0"/>
              <w:marBottom w:val="0"/>
              <w:divBdr>
                <w:top w:val="none" w:sz="0" w:space="0" w:color="auto"/>
                <w:left w:val="none" w:sz="0" w:space="0" w:color="auto"/>
                <w:bottom w:val="none" w:sz="0" w:space="0" w:color="auto"/>
                <w:right w:val="none" w:sz="0" w:space="0" w:color="auto"/>
              </w:divBdr>
              <w:divsChild>
                <w:div w:id="136655060">
                  <w:marLeft w:val="0"/>
                  <w:marRight w:val="0"/>
                  <w:marTop w:val="0"/>
                  <w:marBottom w:val="0"/>
                  <w:divBdr>
                    <w:top w:val="none" w:sz="0" w:space="0" w:color="auto"/>
                    <w:left w:val="none" w:sz="0" w:space="0" w:color="auto"/>
                    <w:bottom w:val="none" w:sz="0" w:space="0" w:color="auto"/>
                    <w:right w:val="none" w:sz="0" w:space="0" w:color="auto"/>
                  </w:divBdr>
                  <w:divsChild>
                    <w:div w:id="1830245869">
                      <w:marLeft w:val="0"/>
                      <w:marRight w:val="0"/>
                      <w:marTop w:val="0"/>
                      <w:marBottom w:val="0"/>
                      <w:divBdr>
                        <w:top w:val="none" w:sz="0" w:space="0" w:color="auto"/>
                        <w:left w:val="none" w:sz="0" w:space="0" w:color="auto"/>
                        <w:bottom w:val="none" w:sz="0" w:space="0" w:color="auto"/>
                        <w:right w:val="none" w:sz="0" w:space="0" w:color="auto"/>
                      </w:divBdr>
                      <w:divsChild>
                        <w:div w:id="767893739">
                          <w:marLeft w:val="0"/>
                          <w:marRight w:val="0"/>
                          <w:marTop w:val="300"/>
                          <w:marBottom w:val="0"/>
                          <w:divBdr>
                            <w:top w:val="none" w:sz="0" w:space="0" w:color="auto"/>
                            <w:left w:val="none" w:sz="0" w:space="0" w:color="auto"/>
                            <w:bottom w:val="none" w:sz="0" w:space="0" w:color="auto"/>
                            <w:right w:val="none" w:sz="0" w:space="0" w:color="auto"/>
                          </w:divBdr>
                          <w:divsChild>
                            <w:div w:id="1804227040">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2254003">
      <w:bodyDiv w:val="1"/>
      <w:marLeft w:val="0"/>
      <w:marRight w:val="0"/>
      <w:marTop w:val="0"/>
      <w:marBottom w:val="0"/>
      <w:divBdr>
        <w:top w:val="none" w:sz="0" w:space="0" w:color="auto"/>
        <w:left w:val="none" w:sz="0" w:space="0" w:color="auto"/>
        <w:bottom w:val="none" w:sz="0" w:space="0" w:color="auto"/>
        <w:right w:val="none" w:sz="0" w:space="0" w:color="auto"/>
      </w:divBdr>
      <w:divsChild>
        <w:div w:id="746729609">
          <w:marLeft w:val="0"/>
          <w:marRight w:val="0"/>
          <w:marTop w:val="0"/>
          <w:marBottom w:val="0"/>
          <w:divBdr>
            <w:top w:val="none" w:sz="0" w:space="0" w:color="auto"/>
            <w:left w:val="none" w:sz="0" w:space="0" w:color="auto"/>
            <w:bottom w:val="none" w:sz="0" w:space="0" w:color="auto"/>
            <w:right w:val="none" w:sz="0" w:space="0" w:color="auto"/>
          </w:divBdr>
          <w:divsChild>
            <w:div w:id="1746147641">
              <w:marLeft w:val="0"/>
              <w:marRight w:val="0"/>
              <w:marTop w:val="0"/>
              <w:marBottom w:val="0"/>
              <w:divBdr>
                <w:top w:val="none" w:sz="0" w:space="0" w:color="auto"/>
                <w:left w:val="none" w:sz="0" w:space="0" w:color="auto"/>
                <w:bottom w:val="none" w:sz="0" w:space="0" w:color="auto"/>
                <w:right w:val="none" w:sz="0" w:space="0" w:color="auto"/>
              </w:divBdr>
              <w:divsChild>
                <w:div w:id="1071390645">
                  <w:marLeft w:val="0"/>
                  <w:marRight w:val="0"/>
                  <w:marTop w:val="0"/>
                  <w:marBottom w:val="0"/>
                  <w:divBdr>
                    <w:top w:val="none" w:sz="0" w:space="0" w:color="auto"/>
                    <w:left w:val="none" w:sz="0" w:space="0" w:color="auto"/>
                    <w:bottom w:val="none" w:sz="0" w:space="0" w:color="auto"/>
                    <w:right w:val="none" w:sz="0" w:space="0" w:color="auto"/>
                  </w:divBdr>
                  <w:divsChild>
                    <w:div w:id="1112162373">
                      <w:marLeft w:val="0"/>
                      <w:marRight w:val="0"/>
                      <w:marTop w:val="0"/>
                      <w:marBottom w:val="0"/>
                      <w:divBdr>
                        <w:top w:val="none" w:sz="0" w:space="0" w:color="auto"/>
                        <w:left w:val="none" w:sz="0" w:space="0" w:color="auto"/>
                        <w:bottom w:val="none" w:sz="0" w:space="0" w:color="auto"/>
                        <w:right w:val="none" w:sz="0" w:space="0" w:color="auto"/>
                      </w:divBdr>
                      <w:divsChild>
                        <w:div w:id="606818211">
                          <w:marLeft w:val="0"/>
                          <w:marRight w:val="0"/>
                          <w:marTop w:val="300"/>
                          <w:marBottom w:val="0"/>
                          <w:divBdr>
                            <w:top w:val="none" w:sz="0" w:space="0" w:color="auto"/>
                            <w:left w:val="none" w:sz="0" w:space="0" w:color="auto"/>
                            <w:bottom w:val="none" w:sz="0" w:space="0" w:color="auto"/>
                            <w:right w:val="none" w:sz="0" w:space="0" w:color="auto"/>
                          </w:divBdr>
                          <w:divsChild>
                            <w:div w:id="1775901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1399109">
      <w:bodyDiv w:val="1"/>
      <w:marLeft w:val="0"/>
      <w:marRight w:val="0"/>
      <w:marTop w:val="0"/>
      <w:marBottom w:val="0"/>
      <w:divBdr>
        <w:top w:val="none" w:sz="0" w:space="0" w:color="auto"/>
        <w:left w:val="none" w:sz="0" w:space="0" w:color="auto"/>
        <w:bottom w:val="none" w:sz="0" w:space="0" w:color="auto"/>
        <w:right w:val="none" w:sz="0" w:space="0" w:color="auto"/>
      </w:divBdr>
      <w:divsChild>
        <w:div w:id="1056198005">
          <w:marLeft w:val="0"/>
          <w:marRight w:val="0"/>
          <w:marTop w:val="0"/>
          <w:marBottom w:val="0"/>
          <w:divBdr>
            <w:top w:val="none" w:sz="0" w:space="0" w:color="auto"/>
            <w:left w:val="none" w:sz="0" w:space="0" w:color="auto"/>
            <w:bottom w:val="none" w:sz="0" w:space="0" w:color="auto"/>
            <w:right w:val="none" w:sz="0" w:space="0" w:color="auto"/>
          </w:divBdr>
          <w:divsChild>
            <w:div w:id="1258565266">
              <w:marLeft w:val="0"/>
              <w:marRight w:val="0"/>
              <w:marTop w:val="0"/>
              <w:marBottom w:val="0"/>
              <w:divBdr>
                <w:top w:val="none" w:sz="0" w:space="0" w:color="auto"/>
                <w:left w:val="none" w:sz="0" w:space="0" w:color="auto"/>
                <w:bottom w:val="none" w:sz="0" w:space="0" w:color="auto"/>
                <w:right w:val="none" w:sz="0" w:space="0" w:color="auto"/>
              </w:divBdr>
              <w:divsChild>
                <w:div w:id="1443693390">
                  <w:marLeft w:val="0"/>
                  <w:marRight w:val="0"/>
                  <w:marTop w:val="0"/>
                  <w:marBottom w:val="0"/>
                  <w:divBdr>
                    <w:top w:val="none" w:sz="0" w:space="0" w:color="auto"/>
                    <w:left w:val="none" w:sz="0" w:space="0" w:color="auto"/>
                    <w:bottom w:val="none" w:sz="0" w:space="0" w:color="auto"/>
                    <w:right w:val="none" w:sz="0" w:space="0" w:color="auto"/>
                  </w:divBdr>
                  <w:divsChild>
                    <w:div w:id="1357005581">
                      <w:marLeft w:val="0"/>
                      <w:marRight w:val="0"/>
                      <w:marTop w:val="0"/>
                      <w:marBottom w:val="0"/>
                      <w:divBdr>
                        <w:top w:val="none" w:sz="0" w:space="0" w:color="auto"/>
                        <w:left w:val="none" w:sz="0" w:space="0" w:color="auto"/>
                        <w:bottom w:val="none" w:sz="0" w:space="0" w:color="auto"/>
                        <w:right w:val="none" w:sz="0" w:space="0" w:color="auto"/>
                      </w:divBdr>
                      <w:divsChild>
                        <w:div w:id="1507668711">
                          <w:marLeft w:val="0"/>
                          <w:marRight w:val="0"/>
                          <w:marTop w:val="300"/>
                          <w:marBottom w:val="0"/>
                          <w:divBdr>
                            <w:top w:val="none" w:sz="0" w:space="0" w:color="auto"/>
                            <w:left w:val="none" w:sz="0" w:space="0" w:color="auto"/>
                            <w:bottom w:val="none" w:sz="0" w:space="0" w:color="auto"/>
                            <w:right w:val="none" w:sz="0" w:space="0" w:color="auto"/>
                          </w:divBdr>
                          <w:divsChild>
                            <w:div w:id="1248613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6805992">
      <w:bodyDiv w:val="1"/>
      <w:marLeft w:val="0"/>
      <w:marRight w:val="0"/>
      <w:marTop w:val="0"/>
      <w:marBottom w:val="0"/>
      <w:divBdr>
        <w:top w:val="none" w:sz="0" w:space="0" w:color="auto"/>
        <w:left w:val="none" w:sz="0" w:space="0" w:color="auto"/>
        <w:bottom w:val="none" w:sz="0" w:space="0" w:color="auto"/>
        <w:right w:val="none" w:sz="0" w:space="0" w:color="auto"/>
      </w:divBdr>
      <w:divsChild>
        <w:div w:id="1804930443">
          <w:marLeft w:val="0"/>
          <w:marRight w:val="0"/>
          <w:marTop w:val="0"/>
          <w:marBottom w:val="0"/>
          <w:divBdr>
            <w:top w:val="none" w:sz="0" w:space="0" w:color="auto"/>
            <w:left w:val="none" w:sz="0" w:space="0" w:color="auto"/>
            <w:bottom w:val="none" w:sz="0" w:space="0" w:color="auto"/>
            <w:right w:val="none" w:sz="0" w:space="0" w:color="auto"/>
          </w:divBdr>
          <w:divsChild>
            <w:div w:id="674188643">
              <w:marLeft w:val="0"/>
              <w:marRight w:val="0"/>
              <w:marTop w:val="0"/>
              <w:marBottom w:val="0"/>
              <w:divBdr>
                <w:top w:val="none" w:sz="0" w:space="0" w:color="auto"/>
                <w:left w:val="none" w:sz="0" w:space="0" w:color="auto"/>
                <w:bottom w:val="none" w:sz="0" w:space="0" w:color="auto"/>
                <w:right w:val="none" w:sz="0" w:space="0" w:color="auto"/>
              </w:divBdr>
              <w:divsChild>
                <w:div w:id="889997928">
                  <w:marLeft w:val="0"/>
                  <w:marRight w:val="0"/>
                  <w:marTop w:val="0"/>
                  <w:marBottom w:val="0"/>
                  <w:divBdr>
                    <w:top w:val="none" w:sz="0" w:space="0" w:color="auto"/>
                    <w:left w:val="none" w:sz="0" w:space="0" w:color="auto"/>
                    <w:bottom w:val="none" w:sz="0" w:space="0" w:color="auto"/>
                    <w:right w:val="none" w:sz="0" w:space="0" w:color="auto"/>
                  </w:divBdr>
                  <w:divsChild>
                    <w:div w:id="33889183">
                      <w:marLeft w:val="0"/>
                      <w:marRight w:val="0"/>
                      <w:marTop w:val="0"/>
                      <w:marBottom w:val="0"/>
                      <w:divBdr>
                        <w:top w:val="none" w:sz="0" w:space="0" w:color="auto"/>
                        <w:left w:val="none" w:sz="0" w:space="0" w:color="auto"/>
                        <w:bottom w:val="none" w:sz="0" w:space="0" w:color="auto"/>
                        <w:right w:val="none" w:sz="0" w:space="0" w:color="auto"/>
                      </w:divBdr>
                      <w:divsChild>
                        <w:div w:id="2106805143">
                          <w:marLeft w:val="0"/>
                          <w:marRight w:val="0"/>
                          <w:marTop w:val="300"/>
                          <w:marBottom w:val="0"/>
                          <w:divBdr>
                            <w:top w:val="none" w:sz="0" w:space="0" w:color="auto"/>
                            <w:left w:val="none" w:sz="0" w:space="0" w:color="auto"/>
                            <w:bottom w:val="none" w:sz="0" w:space="0" w:color="auto"/>
                            <w:right w:val="none" w:sz="0" w:space="0" w:color="auto"/>
                          </w:divBdr>
                          <w:divsChild>
                            <w:div w:id="100901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3184269">
      <w:bodyDiv w:val="1"/>
      <w:marLeft w:val="0"/>
      <w:marRight w:val="0"/>
      <w:marTop w:val="0"/>
      <w:marBottom w:val="0"/>
      <w:divBdr>
        <w:top w:val="none" w:sz="0" w:space="0" w:color="auto"/>
        <w:left w:val="none" w:sz="0" w:space="0" w:color="auto"/>
        <w:bottom w:val="none" w:sz="0" w:space="0" w:color="auto"/>
        <w:right w:val="none" w:sz="0" w:space="0" w:color="auto"/>
      </w:divBdr>
      <w:divsChild>
        <w:div w:id="46228181">
          <w:marLeft w:val="0"/>
          <w:marRight w:val="0"/>
          <w:marTop w:val="0"/>
          <w:marBottom w:val="0"/>
          <w:divBdr>
            <w:top w:val="none" w:sz="0" w:space="0" w:color="auto"/>
            <w:left w:val="none" w:sz="0" w:space="0" w:color="auto"/>
            <w:bottom w:val="none" w:sz="0" w:space="0" w:color="auto"/>
            <w:right w:val="none" w:sz="0" w:space="0" w:color="auto"/>
          </w:divBdr>
          <w:divsChild>
            <w:div w:id="1429427296">
              <w:marLeft w:val="0"/>
              <w:marRight w:val="0"/>
              <w:marTop w:val="0"/>
              <w:marBottom w:val="0"/>
              <w:divBdr>
                <w:top w:val="none" w:sz="0" w:space="0" w:color="auto"/>
                <w:left w:val="none" w:sz="0" w:space="0" w:color="auto"/>
                <w:bottom w:val="none" w:sz="0" w:space="0" w:color="auto"/>
                <w:right w:val="none" w:sz="0" w:space="0" w:color="auto"/>
              </w:divBdr>
              <w:divsChild>
                <w:div w:id="893809611">
                  <w:marLeft w:val="0"/>
                  <w:marRight w:val="0"/>
                  <w:marTop w:val="0"/>
                  <w:marBottom w:val="0"/>
                  <w:divBdr>
                    <w:top w:val="none" w:sz="0" w:space="0" w:color="auto"/>
                    <w:left w:val="none" w:sz="0" w:space="0" w:color="auto"/>
                    <w:bottom w:val="none" w:sz="0" w:space="0" w:color="auto"/>
                    <w:right w:val="none" w:sz="0" w:space="0" w:color="auto"/>
                  </w:divBdr>
                  <w:divsChild>
                    <w:div w:id="1380786850">
                      <w:marLeft w:val="0"/>
                      <w:marRight w:val="0"/>
                      <w:marTop w:val="0"/>
                      <w:marBottom w:val="0"/>
                      <w:divBdr>
                        <w:top w:val="none" w:sz="0" w:space="0" w:color="auto"/>
                        <w:left w:val="none" w:sz="0" w:space="0" w:color="auto"/>
                        <w:bottom w:val="none" w:sz="0" w:space="0" w:color="auto"/>
                        <w:right w:val="none" w:sz="0" w:space="0" w:color="auto"/>
                      </w:divBdr>
                      <w:divsChild>
                        <w:div w:id="1309090560">
                          <w:marLeft w:val="0"/>
                          <w:marRight w:val="0"/>
                          <w:marTop w:val="300"/>
                          <w:marBottom w:val="0"/>
                          <w:divBdr>
                            <w:top w:val="none" w:sz="0" w:space="0" w:color="auto"/>
                            <w:left w:val="none" w:sz="0" w:space="0" w:color="auto"/>
                            <w:bottom w:val="none" w:sz="0" w:space="0" w:color="auto"/>
                            <w:right w:val="none" w:sz="0" w:space="0" w:color="auto"/>
                          </w:divBdr>
                          <w:divsChild>
                            <w:div w:id="78033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7236951">
      <w:bodyDiv w:val="1"/>
      <w:marLeft w:val="0"/>
      <w:marRight w:val="0"/>
      <w:marTop w:val="0"/>
      <w:marBottom w:val="0"/>
      <w:divBdr>
        <w:top w:val="none" w:sz="0" w:space="0" w:color="auto"/>
        <w:left w:val="none" w:sz="0" w:space="0" w:color="auto"/>
        <w:bottom w:val="none" w:sz="0" w:space="0" w:color="auto"/>
        <w:right w:val="none" w:sz="0" w:space="0" w:color="auto"/>
      </w:divBdr>
      <w:divsChild>
        <w:div w:id="472330027">
          <w:marLeft w:val="0"/>
          <w:marRight w:val="0"/>
          <w:marTop w:val="0"/>
          <w:marBottom w:val="0"/>
          <w:divBdr>
            <w:top w:val="none" w:sz="0" w:space="0" w:color="auto"/>
            <w:left w:val="none" w:sz="0" w:space="0" w:color="auto"/>
            <w:bottom w:val="none" w:sz="0" w:space="0" w:color="auto"/>
            <w:right w:val="none" w:sz="0" w:space="0" w:color="auto"/>
          </w:divBdr>
          <w:divsChild>
            <w:div w:id="41951719">
              <w:marLeft w:val="0"/>
              <w:marRight w:val="0"/>
              <w:marTop w:val="0"/>
              <w:marBottom w:val="0"/>
              <w:divBdr>
                <w:top w:val="none" w:sz="0" w:space="0" w:color="auto"/>
                <w:left w:val="none" w:sz="0" w:space="0" w:color="auto"/>
                <w:bottom w:val="none" w:sz="0" w:space="0" w:color="auto"/>
                <w:right w:val="none" w:sz="0" w:space="0" w:color="auto"/>
              </w:divBdr>
              <w:divsChild>
                <w:div w:id="1827553394">
                  <w:marLeft w:val="0"/>
                  <w:marRight w:val="0"/>
                  <w:marTop w:val="0"/>
                  <w:marBottom w:val="0"/>
                  <w:divBdr>
                    <w:top w:val="none" w:sz="0" w:space="0" w:color="auto"/>
                    <w:left w:val="none" w:sz="0" w:space="0" w:color="auto"/>
                    <w:bottom w:val="none" w:sz="0" w:space="0" w:color="auto"/>
                    <w:right w:val="none" w:sz="0" w:space="0" w:color="auto"/>
                  </w:divBdr>
                  <w:divsChild>
                    <w:div w:id="810252436">
                      <w:marLeft w:val="0"/>
                      <w:marRight w:val="0"/>
                      <w:marTop w:val="0"/>
                      <w:marBottom w:val="0"/>
                      <w:divBdr>
                        <w:top w:val="none" w:sz="0" w:space="0" w:color="auto"/>
                        <w:left w:val="none" w:sz="0" w:space="0" w:color="auto"/>
                        <w:bottom w:val="none" w:sz="0" w:space="0" w:color="auto"/>
                        <w:right w:val="none" w:sz="0" w:space="0" w:color="auto"/>
                      </w:divBdr>
                      <w:divsChild>
                        <w:div w:id="478229799">
                          <w:marLeft w:val="0"/>
                          <w:marRight w:val="0"/>
                          <w:marTop w:val="300"/>
                          <w:marBottom w:val="0"/>
                          <w:divBdr>
                            <w:top w:val="none" w:sz="0" w:space="0" w:color="auto"/>
                            <w:left w:val="none" w:sz="0" w:space="0" w:color="auto"/>
                            <w:bottom w:val="none" w:sz="0" w:space="0" w:color="auto"/>
                            <w:right w:val="none" w:sz="0" w:space="0" w:color="auto"/>
                          </w:divBdr>
                          <w:divsChild>
                            <w:div w:id="176706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6599833">
      <w:bodyDiv w:val="1"/>
      <w:marLeft w:val="0"/>
      <w:marRight w:val="0"/>
      <w:marTop w:val="0"/>
      <w:marBottom w:val="0"/>
      <w:divBdr>
        <w:top w:val="none" w:sz="0" w:space="0" w:color="auto"/>
        <w:left w:val="none" w:sz="0" w:space="0" w:color="auto"/>
        <w:bottom w:val="none" w:sz="0" w:space="0" w:color="auto"/>
        <w:right w:val="none" w:sz="0" w:space="0" w:color="auto"/>
      </w:divBdr>
      <w:divsChild>
        <w:div w:id="1341085230">
          <w:marLeft w:val="0"/>
          <w:marRight w:val="0"/>
          <w:marTop w:val="0"/>
          <w:marBottom w:val="0"/>
          <w:divBdr>
            <w:top w:val="none" w:sz="0" w:space="0" w:color="auto"/>
            <w:left w:val="none" w:sz="0" w:space="0" w:color="auto"/>
            <w:bottom w:val="none" w:sz="0" w:space="0" w:color="auto"/>
            <w:right w:val="none" w:sz="0" w:space="0" w:color="auto"/>
          </w:divBdr>
          <w:divsChild>
            <w:div w:id="337272737">
              <w:marLeft w:val="0"/>
              <w:marRight w:val="0"/>
              <w:marTop w:val="0"/>
              <w:marBottom w:val="0"/>
              <w:divBdr>
                <w:top w:val="none" w:sz="0" w:space="0" w:color="auto"/>
                <w:left w:val="none" w:sz="0" w:space="0" w:color="auto"/>
                <w:bottom w:val="none" w:sz="0" w:space="0" w:color="auto"/>
                <w:right w:val="none" w:sz="0" w:space="0" w:color="auto"/>
              </w:divBdr>
              <w:divsChild>
                <w:div w:id="1903369455">
                  <w:marLeft w:val="0"/>
                  <w:marRight w:val="0"/>
                  <w:marTop w:val="0"/>
                  <w:marBottom w:val="0"/>
                  <w:divBdr>
                    <w:top w:val="none" w:sz="0" w:space="0" w:color="auto"/>
                    <w:left w:val="none" w:sz="0" w:space="0" w:color="auto"/>
                    <w:bottom w:val="none" w:sz="0" w:space="0" w:color="auto"/>
                    <w:right w:val="none" w:sz="0" w:space="0" w:color="auto"/>
                  </w:divBdr>
                  <w:divsChild>
                    <w:div w:id="200217607">
                      <w:marLeft w:val="0"/>
                      <w:marRight w:val="0"/>
                      <w:marTop w:val="0"/>
                      <w:marBottom w:val="0"/>
                      <w:divBdr>
                        <w:top w:val="none" w:sz="0" w:space="0" w:color="auto"/>
                        <w:left w:val="none" w:sz="0" w:space="0" w:color="auto"/>
                        <w:bottom w:val="none" w:sz="0" w:space="0" w:color="auto"/>
                        <w:right w:val="none" w:sz="0" w:space="0" w:color="auto"/>
                      </w:divBdr>
                      <w:divsChild>
                        <w:div w:id="514223038">
                          <w:marLeft w:val="0"/>
                          <w:marRight w:val="0"/>
                          <w:marTop w:val="300"/>
                          <w:marBottom w:val="0"/>
                          <w:divBdr>
                            <w:top w:val="none" w:sz="0" w:space="0" w:color="auto"/>
                            <w:left w:val="none" w:sz="0" w:space="0" w:color="auto"/>
                            <w:bottom w:val="none" w:sz="0" w:space="0" w:color="auto"/>
                            <w:right w:val="none" w:sz="0" w:space="0" w:color="auto"/>
                          </w:divBdr>
                          <w:divsChild>
                            <w:div w:id="150007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2126942">
      <w:bodyDiv w:val="1"/>
      <w:marLeft w:val="0"/>
      <w:marRight w:val="0"/>
      <w:marTop w:val="0"/>
      <w:marBottom w:val="0"/>
      <w:divBdr>
        <w:top w:val="none" w:sz="0" w:space="0" w:color="auto"/>
        <w:left w:val="none" w:sz="0" w:space="0" w:color="auto"/>
        <w:bottom w:val="none" w:sz="0" w:space="0" w:color="auto"/>
        <w:right w:val="none" w:sz="0" w:space="0" w:color="auto"/>
      </w:divBdr>
      <w:divsChild>
        <w:div w:id="1642728858">
          <w:marLeft w:val="0"/>
          <w:marRight w:val="0"/>
          <w:marTop w:val="0"/>
          <w:marBottom w:val="0"/>
          <w:divBdr>
            <w:top w:val="none" w:sz="0" w:space="0" w:color="auto"/>
            <w:left w:val="none" w:sz="0" w:space="0" w:color="auto"/>
            <w:bottom w:val="none" w:sz="0" w:space="0" w:color="auto"/>
            <w:right w:val="none" w:sz="0" w:space="0" w:color="auto"/>
          </w:divBdr>
          <w:divsChild>
            <w:div w:id="479731333">
              <w:marLeft w:val="0"/>
              <w:marRight w:val="0"/>
              <w:marTop w:val="0"/>
              <w:marBottom w:val="0"/>
              <w:divBdr>
                <w:top w:val="none" w:sz="0" w:space="0" w:color="auto"/>
                <w:left w:val="none" w:sz="0" w:space="0" w:color="auto"/>
                <w:bottom w:val="none" w:sz="0" w:space="0" w:color="auto"/>
                <w:right w:val="none" w:sz="0" w:space="0" w:color="auto"/>
              </w:divBdr>
              <w:divsChild>
                <w:div w:id="1636252780">
                  <w:marLeft w:val="0"/>
                  <w:marRight w:val="0"/>
                  <w:marTop w:val="0"/>
                  <w:marBottom w:val="0"/>
                  <w:divBdr>
                    <w:top w:val="none" w:sz="0" w:space="0" w:color="auto"/>
                    <w:left w:val="none" w:sz="0" w:space="0" w:color="auto"/>
                    <w:bottom w:val="none" w:sz="0" w:space="0" w:color="auto"/>
                    <w:right w:val="none" w:sz="0" w:space="0" w:color="auto"/>
                  </w:divBdr>
                  <w:divsChild>
                    <w:div w:id="143282397">
                      <w:marLeft w:val="0"/>
                      <w:marRight w:val="0"/>
                      <w:marTop w:val="0"/>
                      <w:marBottom w:val="0"/>
                      <w:divBdr>
                        <w:top w:val="none" w:sz="0" w:space="0" w:color="auto"/>
                        <w:left w:val="none" w:sz="0" w:space="0" w:color="auto"/>
                        <w:bottom w:val="none" w:sz="0" w:space="0" w:color="auto"/>
                        <w:right w:val="none" w:sz="0" w:space="0" w:color="auto"/>
                      </w:divBdr>
                      <w:divsChild>
                        <w:div w:id="802776291">
                          <w:marLeft w:val="0"/>
                          <w:marRight w:val="0"/>
                          <w:marTop w:val="300"/>
                          <w:marBottom w:val="0"/>
                          <w:divBdr>
                            <w:top w:val="none" w:sz="0" w:space="0" w:color="auto"/>
                            <w:left w:val="none" w:sz="0" w:space="0" w:color="auto"/>
                            <w:bottom w:val="none" w:sz="0" w:space="0" w:color="auto"/>
                            <w:right w:val="none" w:sz="0" w:space="0" w:color="auto"/>
                          </w:divBdr>
                          <w:divsChild>
                            <w:div w:id="198384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3246671">
      <w:bodyDiv w:val="1"/>
      <w:marLeft w:val="0"/>
      <w:marRight w:val="0"/>
      <w:marTop w:val="0"/>
      <w:marBottom w:val="0"/>
      <w:divBdr>
        <w:top w:val="none" w:sz="0" w:space="0" w:color="auto"/>
        <w:left w:val="none" w:sz="0" w:space="0" w:color="auto"/>
        <w:bottom w:val="none" w:sz="0" w:space="0" w:color="auto"/>
        <w:right w:val="none" w:sz="0" w:space="0" w:color="auto"/>
      </w:divBdr>
      <w:divsChild>
        <w:div w:id="1449929356">
          <w:marLeft w:val="0"/>
          <w:marRight w:val="0"/>
          <w:marTop w:val="0"/>
          <w:marBottom w:val="0"/>
          <w:divBdr>
            <w:top w:val="none" w:sz="0" w:space="0" w:color="auto"/>
            <w:left w:val="none" w:sz="0" w:space="0" w:color="auto"/>
            <w:bottom w:val="none" w:sz="0" w:space="0" w:color="auto"/>
            <w:right w:val="none" w:sz="0" w:space="0" w:color="auto"/>
          </w:divBdr>
        </w:div>
      </w:divsChild>
    </w:div>
    <w:div w:id="1496996075">
      <w:bodyDiv w:val="1"/>
      <w:marLeft w:val="0"/>
      <w:marRight w:val="0"/>
      <w:marTop w:val="0"/>
      <w:marBottom w:val="0"/>
      <w:divBdr>
        <w:top w:val="none" w:sz="0" w:space="0" w:color="auto"/>
        <w:left w:val="none" w:sz="0" w:space="0" w:color="auto"/>
        <w:bottom w:val="none" w:sz="0" w:space="0" w:color="auto"/>
        <w:right w:val="none" w:sz="0" w:space="0" w:color="auto"/>
      </w:divBdr>
    </w:div>
    <w:div w:id="1647706264">
      <w:bodyDiv w:val="1"/>
      <w:marLeft w:val="0"/>
      <w:marRight w:val="0"/>
      <w:marTop w:val="0"/>
      <w:marBottom w:val="0"/>
      <w:divBdr>
        <w:top w:val="none" w:sz="0" w:space="0" w:color="auto"/>
        <w:left w:val="none" w:sz="0" w:space="0" w:color="auto"/>
        <w:bottom w:val="none" w:sz="0" w:space="0" w:color="auto"/>
        <w:right w:val="none" w:sz="0" w:space="0" w:color="auto"/>
      </w:divBdr>
      <w:divsChild>
        <w:div w:id="956719220">
          <w:marLeft w:val="0"/>
          <w:marRight w:val="0"/>
          <w:marTop w:val="0"/>
          <w:marBottom w:val="0"/>
          <w:divBdr>
            <w:top w:val="none" w:sz="0" w:space="0" w:color="auto"/>
            <w:left w:val="none" w:sz="0" w:space="0" w:color="auto"/>
            <w:bottom w:val="none" w:sz="0" w:space="0" w:color="auto"/>
            <w:right w:val="none" w:sz="0" w:space="0" w:color="auto"/>
          </w:divBdr>
          <w:divsChild>
            <w:div w:id="483622492">
              <w:marLeft w:val="0"/>
              <w:marRight w:val="0"/>
              <w:marTop w:val="0"/>
              <w:marBottom w:val="0"/>
              <w:divBdr>
                <w:top w:val="none" w:sz="0" w:space="0" w:color="auto"/>
                <w:left w:val="none" w:sz="0" w:space="0" w:color="auto"/>
                <w:bottom w:val="none" w:sz="0" w:space="0" w:color="auto"/>
                <w:right w:val="none" w:sz="0" w:space="0" w:color="auto"/>
              </w:divBdr>
              <w:divsChild>
                <w:div w:id="2027635107">
                  <w:marLeft w:val="0"/>
                  <w:marRight w:val="0"/>
                  <w:marTop w:val="0"/>
                  <w:marBottom w:val="0"/>
                  <w:divBdr>
                    <w:top w:val="none" w:sz="0" w:space="0" w:color="auto"/>
                    <w:left w:val="none" w:sz="0" w:space="0" w:color="auto"/>
                    <w:bottom w:val="none" w:sz="0" w:space="0" w:color="auto"/>
                    <w:right w:val="none" w:sz="0" w:space="0" w:color="auto"/>
                  </w:divBdr>
                  <w:divsChild>
                    <w:div w:id="1880319226">
                      <w:marLeft w:val="0"/>
                      <w:marRight w:val="0"/>
                      <w:marTop w:val="0"/>
                      <w:marBottom w:val="0"/>
                      <w:divBdr>
                        <w:top w:val="none" w:sz="0" w:space="0" w:color="auto"/>
                        <w:left w:val="none" w:sz="0" w:space="0" w:color="auto"/>
                        <w:bottom w:val="none" w:sz="0" w:space="0" w:color="auto"/>
                        <w:right w:val="none" w:sz="0" w:space="0" w:color="auto"/>
                      </w:divBdr>
                      <w:divsChild>
                        <w:div w:id="1597865579">
                          <w:marLeft w:val="0"/>
                          <w:marRight w:val="0"/>
                          <w:marTop w:val="300"/>
                          <w:marBottom w:val="0"/>
                          <w:divBdr>
                            <w:top w:val="none" w:sz="0" w:space="0" w:color="auto"/>
                            <w:left w:val="none" w:sz="0" w:space="0" w:color="auto"/>
                            <w:bottom w:val="none" w:sz="0" w:space="0" w:color="auto"/>
                            <w:right w:val="none" w:sz="0" w:space="0" w:color="auto"/>
                          </w:divBdr>
                          <w:divsChild>
                            <w:div w:id="1930892839">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3416357">
      <w:bodyDiv w:val="1"/>
      <w:marLeft w:val="0"/>
      <w:marRight w:val="0"/>
      <w:marTop w:val="0"/>
      <w:marBottom w:val="0"/>
      <w:divBdr>
        <w:top w:val="none" w:sz="0" w:space="0" w:color="auto"/>
        <w:left w:val="none" w:sz="0" w:space="0" w:color="auto"/>
        <w:bottom w:val="none" w:sz="0" w:space="0" w:color="auto"/>
        <w:right w:val="none" w:sz="0" w:space="0" w:color="auto"/>
      </w:divBdr>
      <w:divsChild>
        <w:div w:id="1605727286">
          <w:marLeft w:val="0"/>
          <w:marRight w:val="0"/>
          <w:marTop w:val="0"/>
          <w:marBottom w:val="0"/>
          <w:divBdr>
            <w:top w:val="none" w:sz="0" w:space="0" w:color="auto"/>
            <w:left w:val="none" w:sz="0" w:space="0" w:color="auto"/>
            <w:bottom w:val="none" w:sz="0" w:space="0" w:color="auto"/>
            <w:right w:val="none" w:sz="0" w:space="0" w:color="auto"/>
          </w:divBdr>
          <w:divsChild>
            <w:div w:id="686954196">
              <w:marLeft w:val="0"/>
              <w:marRight w:val="0"/>
              <w:marTop w:val="0"/>
              <w:marBottom w:val="0"/>
              <w:divBdr>
                <w:top w:val="none" w:sz="0" w:space="0" w:color="auto"/>
                <w:left w:val="none" w:sz="0" w:space="0" w:color="auto"/>
                <w:bottom w:val="none" w:sz="0" w:space="0" w:color="auto"/>
                <w:right w:val="none" w:sz="0" w:space="0" w:color="auto"/>
              </w:divBdr>
              <w:divsChild>
                <w:div w:id="543761114">
                  <w:marLeft w:val="0"/>
                  <w:marRight w:val="0"/>
                  <w:marTop w:val="0"/>
                  <w:marBottom w:val="0"/>
                  <w:divBdr>
                    <w:top w:val="none" w:sz="0" w:space="0" w:color="auto"/>
                    <w:left w:val="none" w:sz="0" w:space="0" w:color="auto"/>
                    <w:bottom w:val="none" w:sz="0" w:space="0" w:color="auto"/>
                    <w:right w:val="none" w:sz="0" w:space="0" w:color="auto"/>
                  </w:divBdr>
                  <w:divsChild>
                    <w:div w:id="1964995900">
                      <w:marLeft w:val="0"/>
                      <w:marRight w:val="0"/>
                      <w:marTop w:val="0"/>
                      <w:marBottom w:val="0"/>
                      <w:divBdr>
                        <w:top w:val="none" w:sz="0" w:space="0" w:color="auto"/>
                        <w:left w:val="none" w:sz="0" w:space="0" w:color="auto"/>
                        <w:bottom w:val="none" w:sz="0" w:space="0" w:color="auto"/>
                        <w:right w:val="none" w:sz="0" w:space="0" w:color="auto"/>
                      </w:divBdr>
                      <w:divsChild>
                        <w:div w:id="1725988442">
                          <w:marLeft w:val="0"/>
                          <w:marRight w:val="0"/>
                          <w:marTop w:val="300"/>
                          <w:marBottom w:val="0"/>
                          <w:divBdr>
                            <w:top w:val="none" w:sz="0" w:space="0" w:color="auto"/>
                            <w:left w:val="none" w:sz="0" w:space="0" w:color="auto"/>
                            <w:bottom w:val="none" w:sz="0" w:space="0" w:color="auto"/>
                            <w:right w:val="none" w:sz="0" w:space="0" w:color="auto"/>
                          </w:divBdr>
                          <w:divsChild>
                            <w:div w:id="21710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5031303">
      <w:bodyDiv w:val="1"/>
      <w:marLeft w:val="0"/>
      <w:marRight w:val="0"/>
      <w:marTop w:val="0"/>
      <w:marBottom w:val="0"/>
      <w:divBdr>
        <w:top w:val="none" w:sz="0" w:space="0" w:color="auto"/>
        <w:left w:val="none" w:sz="0" w:space="0" w:color="auto"/>
        <w:bottom w:val="none" w:sz="0" w:space="0" w:color="auto"/>
        <w:right w:val="none" w:sz="0" w:space="0" w:color="auto"/>
      </w:divBdr>
      <w:divsChild>
        <w:div w:id="899948439">
          <w:marLeft w:val="0"/>
          <w:marRight w:val="0"/>
          <w:marTop w:val="0"/>
          <w:marBottom w:val="0"/>
          <w:divBdr>
            <w:top w:val="none" w:sz="0" w:space="0" w:color="auto"/>
            <w:left w:val="none" w:sz="0" w:space="0" w:color="auto"/>
            <w:bottom w:val="none" w:sz="0" w:space="0" w:color="auto"/>
            <w:right w:val="none" w:sz="0" w:space="0" w:color="auto"/>
          </w:divBdr>
          <w:divsChild>
            <w:div w:id="268853339">
              <w:marLeft w:val="0"/>
              <w:marRight w:val="0"/>
              <w:marTop w:val="0"/>
              <w:marBottom w:val="0"/>
              <w:divBdr>
                <w:top w:val="none" w:sz="0" w:space="0" w:color="auto"/>
                <w:left w:val="none" w:sz="0" w:space="0" w:color="auto"/>
                <w:bottom w:val="none" w:sz="0" w:space="0" w:color="auto"/>
                <w:right w:val="none" w:sz="0" w:space="0" w:color="auto"/>
              </w:divBdr>
              <w:divsChild>
                <w:div w:id="966738225">
                  <w:marLeft w:val="0"/>
                  <w:marRight w:val="0"/>
                  <w:marTop w:val="0"/>
                  <w:marBottom w:val="0"/>
                  <w:divBdr>
                    <w:top w:val="none" w:sz="0" w:space="0" w:color="auto"/>
                    <w:left w:val="none" w:sz="0" w:space="0" w:color="auto"/>
                    <w:bottom w:val="none" w:sz="0" w:space="0" w:color="auto"/>
                    <w:right w:val="none" w:sz="0" w:space="0" w:color="auto"/>
                  </w:divBdr>
                  <w:divsChild>
                    <w:div w:id="517932140">
                      <w:marLeft w:val="0"/>
                      <w:marRight w:val="0"/>
                      <w:marTop w:val="0"/>
                      <w:marBottom w:val="0"/>
                      <w:divBdr>
                        <w:top w:val="none" w:sz="0" w:space="0" w:color="auto"/>
                        <w:left w:val="none" w:sz="0" w:space="0" w:color="auto"/>
                        <w:bottom w:val="none" w:sz="0" w:space="0" w:color="auto"/>
                        <w:right w:val="none" w:sz="0" w:space="0" w:color="auto"/>
                      </w:divBdr>
                      <w:divsChild>
                        <w:div w:id="1048721076">
                          <w:marLeft w:val="0"/>
                          <w:marRight w:val="0"/>
                          <w:marTop w:val="300"/>
                          <w:marBottom w:val="0"/>
                          <w:divBdr>
                            <w:top w:val="none" w:sz="0" w:space="0" w:color="auto"/>
                            <w:left w:val="none" w:sz="0" w:space="0" w:color="auto"/>
                            <w:bottom w:val="none" w:sz="0" w:space="0" w:color="auto"/>
                            <w:right w:val="none" w:sz="0" w:space="0" w:color="auto"/>
                          </w:divBdr>
                          <w:divsChild>
                            <w:div w:id="65960249">
                              <w:marLeft w:val="0"/>
                              <w:marRight w:val="0"/>
                              <w:marTop w:val="0"/>
                              <w:marBottom w:val="0"/>
                              <w:divBdr>
                                <w:top w:val="none" w:sz="0" w:space="0" w:color="auto"/>
                                <w:left w:val="none" w:sz="0" w:space="0" w:color="auto"/>
                                <w:bottom w:val="none" w:sz="0" w:space="0" w:color="auto"/>
                                <w:right w:val="none" w:sz="0" w:space="0" w:color="auto"/>
                              </w:divBdr>
                              <w:divsChild>
                                <w:div w:id="357125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3733066">
      <w:bodyDiv w:val="1"/>
      <w:marLeft w:val="0"/>
      <w:marRight w:val="0"/>
      <w:marTop w:val="0"/>
      <w:marBottom w:val="0"/>
      <w:divBdr>
        <w:top w:val="none" w:sz="0" w:space="0" w:color="auto"/>
        <w:left w:val="none" w:sz="0" w:space="0" w:color="auto"/>
        <w:bottom w:val="none" w:sz="0" w:space="0" w:color="auto"/>
        <w:right w:val="none" w:sz="0" w:space="0" w:color="auto"/>
      </w:divBdr>
      <w:divsChild>
        <w:div w:id="957640361">
          <w:marLeft w:val="0"/>
          <w:marRight w:val="0"/>
          <w:marTop w:val="0"/>
          <w:marBottom w:val="0"/>
          <w:divBdr>
            <w:top w:val="none" w:sz="0" w:space="0" w:color="auto"/>
            <w:left w:val="none" w:sz="0" w:space="0" w:color="auto"/>
            <w:bottom w:val="none" w:sz="0" w:space="0" w:color="auto"/>
            <w:right w:val="none" w:sz="0" w:space="0" w:color="auto"/>
          </w:divBdr>
          <w:divsChild>
            <w:div w:id="1658999762">
              <w:marLeft w:val="0"/>
              <w:marRight w:val="0"/>
              <w:marTop w:val="0"/>
              <w:marBottom w:val="0"/>
              <w:divBdr>
                <w:top w:val="none" w:sz="0" w:space="0" w:color="auto"/>
                <w:left w:val="none" w:sz="0" w:space="0" w:color="auto"/>
                <w:bottom w:val="none" w:sz="0" w:space="0" w:color="auto"/>
                <w:right w:val="none" w:sz="0" w:space="0" w:color="auto"/>
              </w:divBdr>
              <w:divsChild>
                <w:div w:id="1733455772">
                  <w:marLeft w:val="0"/>
                  <w:marRight w:val="0"/>
                  <w:marTop w:val="0"/>
                  <w:marBottom w:val="0"/>
                  <w:divBdr>
                    <w:top w:val="none" w:sz="0" w:space="0" w:color="auto"/>
                    <w:left w:val="none" w:sz="0" w:space="0" w:color="auto"/>
                    <w:bottom w:val="none" w:sz="0" w:space="0" w:color="auto"/>
                    <w:right w:val="none" w:sz="0" w:space="0" w:color="auto"/>
                  </w:divBdr>
                  <w:divsChild>
                    <w:div w:id="394813126">
                      <w:marLeft w:val="0"/>
                      <w:marRight w:val="0"/>
                      <w:marTop w:val="0"/>
                      <w:marBottom w:val="0"/>
                      <w:divBdr>
                        <w:top w:val="none" w:sz="0" w:space="0" w:color="auto"/>
                        <w:left w:val="none" w:sz="0" w:space="0" w:color="auto"/>
                        <w:bottom w:val="none" w:sz="0" w:space="0" w:color="auto"/>
                        <w:right w:val="none" w:sz="0" w:space="0" w:color="auto"/>
                      </w:divBdr>
                      <w:divsChild>
                        <w:div w:id="1595745113">
                          <w:marLeft w:val="0"/>
                          <w:marRight w:val="0"/>
                          <w:marTop w:val="300"/>
                          <w:marBottom w:val="0"/>
                          <w:divBdr>
                            <w:top w:val="none" w:sz="0" w:space="0" w:color="auto"/>
                            <w:left w:val="none" w:sz="0" w:space="0" w:color="auto"/>
                            <w:bottom w:val="none" w:sz="0" w:space="0" w:color="auto"/>
                            <w:right w:val="none" w:sz="0" w:space="0" w:color="auto"/>
                          </w:divBdr>
                          <w:divsChild>
                            <w:div w:id="848328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8054504">
      <w:bodyDiv w:val="1"/>
      <w:marLeft w:val="0"/>
      <w:marRight w:val="0"/>
      <w:marTop w:val="0"/>
      <w:marBottom w:val="0"/>
      <w:divBdr>
        <w:top w:val="none" w:sz="0" w:space="0" w:color="auto"/>
        <w:left w:val="none" w:sz="0" w:space="0" w:color="auto"/>
        <w:bottom w:val="none" w:sz="0" w:space="0" w:color="auto"/>
        <w:right w:val="none" w:sz="0" w:space="0" w:color="auto"/>
      </w:divBdr>
      <w:divsChild>
        <w:div w:id="227955991">
          <w:marLeft w:val="0"/>
          <w:marRight w:val="0"/>
          <w:marTop w:val="0"/>
          <w:marBottom w:val="0"/>
          <w:divBdr>
            <w:top w:val="none" w:sz="0" w:space="0" w:color="auto"/>
            <w:left w:val="none" w:sz="0" w:space="0" w:color="auto"/>
            <w:bottom w:val="none" w:sz="0" w:space="0" w:color="auto"/>
            <w:right w:val="none" w:sz="0" w:space="0" w:color="auto"/>
          </w:divBdr>
          <w:divsChild>
            <w:div w:id="1990547119">
              <w:marLeft w:val="0"/>
              <w:marRight w:val="0"/>
              <w:marTop w:val="0"/>
              <w:marBottom w:val="0"/>
              <w:divBdr>
                <w:top w:val="none" w:sz="0" w:space="0" w:color="auto"/>
                <w:left w:val="none" w:sz="0" w:space="0" w:color="auto"/>
                <w:bottom w:val="none" w:sz="0" w:space="0" w:color="auto"/>
                <w:right w:val="none" w:sz="0" w:space="0" w:color="auto"/>
              </w:divBdr>
              <w:divsChild>
                <w:div w:id="38091950">
                  <w:marLeft w:val="0"/>
                  <w:marRight w:val="0"/>
                  <w:marTop w:val="0"/>
                  <w:marBottom w:val="0"/>
                  <w:divBdr>
                    <w:top w:val="none" w:sz="0" w:space="0" w:color="auto"/>
                    <w:left w:val="none" w:sz="0" w:space="0" w:color="auto"/>
                    <w:bottom w:val="none" w:sz="0" w:space="0" w:color="auto"/>
                    <w:right w:val="none" w:sz="0" w:space="0" w:color="auto"/>
                  </w:divBdr>
                  <w:divsChild>
                    <w:div w:id="335688587">
                      <w:marLeft w:val="0"/>
                      <w:marRight w:val="0"/>
                      <w:marTop w:val="0"/>
                      <w:marBottom w:val="0"/>
                      <w:divBdr>
                        <w:top w:val="none" w:sz="0" w:space="0" w:color="auto"/>
                        <w:left w:val="none" w:sz="0" w:space="0" w:color="auto"/>
                        <w:bottom w:val="none" w:sz="0" w:space="0" w:color="auto"/>
                        <w:right w:val="none" w:sz="0" w:space="0" w:color="auto"/>
                      </w:divBdr>
                      <w:divsChild>
                        <w:div w:id="941961734">
                          <w:marLeft w:val="0"/>
                          <w:marRight w:val="0"/>
                          <w:marTop w:val="300"/>
                          <w:marBottom w:val="0"/>
                          <w:divBdr>
                            <w:top w:val="none" w:sz="0" w:space="0" w:color="auto"/>
                            <w:left w:val="none" w:sz="0" w:space="0" w:color="auto"/>
                            <w:bottom w:val="none" w:sz="0" w:space="0" w:color="auto"/>
                            <w:right w:val="none" w:sz="0" w:space="0" w:color="auto"/>
                          </w:divBdr>
                          <w:divsChild>
                            <w:div w:id="143609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2008955">
      <w:bodyDiv w:val="1"/>
      <w:marLeft w:val="0"/>
      <w:marRight w:val="0"/>
      <w:marTop w:val="0"/>
      <w:marBottom w:val="0"/>
      <w:divBdr>
        <w:top w:val="none" w:sz="0" w:space="0" w:color="auto"/>
        <w:left w:val="none" w:sz="0" w:space="0" w:color="auto"/>
        <w:bottom w:val="none" w:sz="0" w:space="0" w:color="auto"/>
        <w:right w:val="none" w:sz="0" w:space="0" w:color="auto"/>
      </w:divBdr>
      <w:divsChild>
        <w:div w:id="718939512">
          <w:marLeft w:val="0"/>
          <w:marRight w:val="0"/>
          <w:marTop w:val="0"/>
          <w:marBottom w:val="0"/>
          <w:divBdr>
            <w:top w:val="none" w:sz="0" w:space="0" w:color="auto"/>
            <w:left w:val="none" w:sz="0" w:space="0" w:color="auto"/>
            <w:bottom w:val="none" w:sz="0" w:space="0" w:color="auto"/>
            <w:right w:val="none" w:sz="0" w:space="0" w:color="auto"/>
          </w:divBdr>
          <w:divsChild>
            <w:div w:id="27537429">
              <w:marLeft w:val="0"/>
              <w:marRight w:val="0"/>
              <w:marTop w:val="0"/>
              <w:marBottom w:val="0"/>
              <w:divBdr>
                <w:top w:val="none" w:sz="0" w:space="0" w:color="auto"/>
                <w:left w:val="none" w:sz="0" w:space="0" w:color="auto"/>
                <w:bottom w:val="none" w:sz="0" w:space="0" w:color="auto"/>
                <w:right w:val="none" w:sz="0" w:space="0" w:color="auto"/>
              </w:divBdr>
              <w:divsChild>
                <w:div w:id="2117822948">
                  <w:marLeft w:val="0"/>
                  <w:marRight w:val="0"/>
                  <w:marTop w:val="0"/>
                  <w:marBottom w:val="0"/>
                  <w:divBdr>
                    <w:top w:val="none" w:sz="0" w:space="0" w:color="auto"/>
                    <w:left w:val="none" w:sz="0" w:space="0" w:color="auto"/>
                    <w:bottom w:val="none" w:sz="0" w:space="0" w:color="auto"/>
                    <w:right w:val="none" w:sz="0" w:space="0" w:color="auto"/>
                  </w:divBdr>
                  <w:divsChild>
                    <w:div w:id="1527869224">
                      <w:marLeft w:val="0"/>
                      <w:marRight w:val="0"/>
                      <w:marTop w:val="0"/>
                      <w:marBottom w:val="0"/>
                      <w:divBdr>
                        <w:top w:val="none" w:sz="0" w:space="0" w:color="auto"/>
                        <w:left w:val="none" w:sz="0" w:space="0" w:color="auto"/>
                        <w:bottom w:val="none" w:sz="0" w:space="0" w:color="auto"/>
                        <w:right w:val="none" w:sz="0" w:space="0" w:color="auto"/>
                      </w:divBdr>
                      <w:divsChild>
                        <w:div w:id="1840653584">
                          <w:marLeft w:val="0"/>
                          <w:marRight w:val="0"/>
                          <w:marTop w:val="300"/>
                          <w:marBottom w:val="0"/>
                          <w:divBdr>
                            <w:top w:val="none" w:sz="0" w:space="0" w:color="auto"/>
                            <w:left w:val="none" w:sz="0" w:space="0" w:color="auto"/>
                            <w:bottom w:val="none" w:sz="0" w:space="0" w:color="auto"/>
                            <w:right w:val="none" w:sz="0" w:space="0" w:color="auto"/>
                          </w:divBdr>
                          <w:divsChild>
                            <w:div w:id="91994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9691502">
      <w:bodyDiv w:val="1"/>
      <w:marLeft w:val="0"/>
      <w:marRight w:val="0"/>
      <w:marTop w:val="0"/>
      <w:marBottom w:val="0"/>
      <w:divBdr>
        <w:top w:val="none" w:sz="0" w:space="0" w:color="auto"/>
        <w:left w:val="none" w:sz="0" w:space="0" w:color="auto"/>
        <w:bottom w:val="none" w:sz="0" w:space="0" w:color="auto"/>
        <w:right w:val="none" w:sz="0" w:space="0" w:color="auto"/>
      </w:divBdr>
      <w:divsChild>
        <w:div w:id="381097598">
          <w:marLeft w:val="0"/>
          <w:marRight w:val="0"/>
          <w:marTop w:val="0"/>
          <w:marBottom w:val="0"/>
          <w:divBdr>
            <w:top w:val="none" w:sz="0" w:space="0" w:color="auto"/>
            <w:left w:val="none" w:sz="0" w:space="0" w:color="auto"/>
            <w:bottom w:val="none" w:sz="0" w:space="0" w:color="auto"/>
            <w:right w:val="none" w:sz="0" w:space="0" w:color="auto"/>
          </w:divBdr>
          <w:divsChild>
            <w:div w:id="1874536541">
              <w:marLeft w:val="0"/>
              <w:marRight w:val="0"/>
              <w:marTop w:val="0"/>
              <w:marBottom w:val="0"/>
              <w:divBdr>
                <w:top w:val="none" w:sz="0" w:space="0" w:color="auto"/>
                <w:left w:val="none" w:sz="0" w:space="0" w:color="auto"/>
                <w:bottom w:val="none" w:sz="0" w:space="0" w:color="auto"/>
                <w:right w:val="none" w:sz="0" w:space="0" w:color="auto"/>
              </w:divBdr>
              <w:divsChild>
                <w:div w:id="145055086">
                  <w:marLeft w:val="0"/>
                  <w:marRight w:val="0"/>
                  <w:marTop w:val="0"/>
                  <w:marBottom w:val="0"/>
                  <w:divBdr>
                    <w:top w:val="none" w:sz="0" w:space="0" w:color="auto"/>
                    <w:left w:val="none" w:sz="0" w:space="0" w:color="auto"/>
                    <w:bottom w:val="none" w:sz="0" w:space="0" w:color="auto"/>
                    <w:right w:val="none" w:sz="0" w:space="0" w:color="auto"/>
                  </w:divBdr>
                  <w:divsChild>
                    <w:div w:id="118183865">
                      <w:marLeft w:val="0"/>
                      <w:marRight w:val="0"/>
                      <w:marTop w:val="0"/>
                      <w:marBottom w:val="0"/>
                      <w:divBdr>
                        <w:top w:val="none" w:sz="0" w:space="0" w:color="auto"/>
                        <w:left w:val="none" w:sz="0" w:space="0" w:color="auto"/>
                        <w:bottom w:val="none" w:sz="0" w:space="0" w:color="auto"/>
                        <w:right w:val="none" w:sz="0" w:space="0" w:color="auto"/>
                      </w:divBdr>
                      <w:divsChild>
                        <w:div w:id="463037007">
                          <w:marLeft w:val="0"/>
                          <w:marRight w:val="0"/>
                          <w:marTop w:val="300"/>
                          <w:marBottom w:val="0"/>
                          <w:divBdr>
                            <w:top w:val="none" w:sz="0" w:space="0" w:color="auto"/>
                            <w:left w:val="none" w:sz="0" w:space="0" w:color="auto"/>
                            <w:bottom w:val="none" w:sz="0" w:space="0" w:color="auto"/>
                            <w:right w:val="none" w:sz="0" w:space="0" w:color="auto"/>
                          </w:divBdr>
                          <w:divsChild>
                            <w:div w:id="1426077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Indra.Niedrite@em.gov.l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dra.Niedrite@em.gov.lv"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Indra.Niedrite@em.gov.lv" TargetMode="External"/><Relationship Id="rId4" Type="http://schemas.microsoft.com/office/2007/relationships/stylesWithEffects" Target="stylesWithEffects.xml"/><Relationship Id="rId9" Type="http://schemas.openxmlformats.org/officeDocument/2006/relationships/hyperlink" Target="http://www.sadalestikls.lv"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793E5E-0613-46D0-A7A1-7C915D5DB1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10</Pages>
  <Words>3078</Words>
  <Characters>21518</Characters>
  <Application>Microsoft Office Word</Application>
  <DocSecurity>0</DocSecurity>
  <Lines>742</Lines>
  <Paragraphs>270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Likumprojekta „Grozījumi Elektroenerģijas tirgus likumā” sākotnējās ietekmes novērtējuma ziņojums (anotācija)</vt:lpstr>
      <vt:lpstr>Grozījumi Ministru kabineta 2006.gada 31.oktobra noteikumos Nr.899 "Ambulatorajai ārstēšanai paredze'to zāļu un medicīnisko ierīču iegādes izdevumu kompensācijas kārtība"</vt:lpstr>
    </vt:vector>
  </TitlesOfParts>
  <Company>LR Ekonomikas ministrija</Company>
  <LinksUpToDate>false</LinksUpToDate>
  <CharactersWithSpaces>24326</CharactersWithSpaces>
  <SharedDoc>false</SharedDoc>
  <HLinks>
    <vt:vector size="24" baseType="variant">
      <vt:variant>
        <vt:i4>5439603</vt:i4>
      </vt:variant>
      <vt:variant>
        <vt:i4>15</vt:i4>
      </vt:variant>
      <vt:variant>
        <vt:i4>0</vt:i4>
      </vt:variant>
      <vt:variant>
        <vt:i4>5</vt:i4>
      </vt:variant>
      <vt:variant>
        <vt:lpwstr>mailto:Indra.Niedrite@em.gov.lv</vt:lpwstr>
      </vt:variant>
      <vt:variant>
        <vt:lpwstr/>
      </vt:variant>
      <vt:variant>
        <vt:i4>5439603</vt:i4>
      </vt:variant>
      <vt:variant>
        <vt:i4>12</vt:i4>
      </vt:variant>
      <vt:variant>
        <vt:i4>0</vt:i4>
      </vt:variant>
      <vt:variant>
        <vt:i4>5</vt:i4>
      </vt:variant>
      <vt:variant>
        <vt:lpwstr>mailto:Indra.Niedrite@em.gov.lv</vt:lpwstr>
      </vt:variant>
      <vt:variant>
        <vt:lpwstr/>
      </vt:variant>
      <vt:variant>
        <vt:i4>5439603</vt:i4>
      </vt:variant>
      <vt:variant>
        <vt:i4>9</vt:i4>
      </vt:variant>
      <vt:variant>
        <vt:i4>0</vt:i4>
      </vt:variant>
      <vt:variant>
        <vt:i4>5</vt:i4>
      </vt:variant>
      <vt:variant>
        <vt:lpwstr>mailto:Indra.Niedrite@em.gov.lv</vt:lpwstr>
      </vt:variant>
      <vt:variant>
        <vt:lpwstr/>
      </vt:variant>
      <vt:variant>
        <vt:i4>8257589</vt:i4>
      </vt:variant>
      <vt:variant>
        <vt:i4>0</vt:i4>
      </vt:variant>
      <vt:variant>
        <vt:i4>0</vt:i4>
      </vt:variant>
      <vt:variant>
        <vt:i4>5</vt:i4>
      </vt:variant>
      <vt:variant>
        <vt:lpwstr>http://www.sadalestikls.lv/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Elektroenerģijas tirgus likumā” sākotnējās ietekmes novērtējuma ziņojums (anotācija)</dc:title>
  <dc:subject>Anotācija</dc:subject>
  <dc:creator>Indra.Niedrite@em.gov.lv</dc:creator>
  <cp:lastModifiedBy>Indra Niedrīte</cp:lastModifiedBy>
  <cp:revision>4</cp:revision>
  <cp:lastPrinted>2013-12-16T14:45:00Z</cp:lastPrinted>
  <dcterms:created xsi:type="dcterms:W3CDTF">2014-12-01T15:12:00Z</dcterms:created>
  <dcterms:modified xsi:type="dcterms:W3CDTF">2014-12-02T06:29:00Z</dcterms:modified>
</cp:coreProperties>
</file>