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1C5D80" w:rsidRDefault="00BB09C5" w:rsidP="001C5D80">
      <w:pPr>
        <w:ind w:left="-284"/>
        <w:jc w:val="center"/>
        <w:rPr>
          <w:b/>
          <w:sz w:val="24"/>
          <w:szCs w:val="24"/>
          <w:lang w:val="lv-LV"/>
        </w:rPr>
      </w:pPr>
      <w:bookmarkStart w:id="0" w:name="OLE_LINK3"/>
      <w:bookmarkStart w:id="1" w:name="OLE_LINK1"/>
      <w:bookmarkStart w:id="2" w:name="OLE_LINK2"/>
      <w:r w:rsidRPr="001C5D80">
        <w:rPr>
          <w:b/>
          <w:sz w:val="24"/>
          <w:szCs w:val="24"/>
          <w:lang w:val="lv-LV"/>
        </w:rPr>
        <w:t xml:space="preserve">Ministru kabineta </w:t>
      </w:r>
      <w:r w:rsidR="00C83591" w:rsidRPr="001C5D80">
        <w:rPr>
          <w:b/>
          <w:sz w:val="24"/>
          <w:szCs w:val="24"/>
          <w:lang w:val="lv-LV"/>
        </w:rPr>
        <w:t>noteikumu</w:t>
      </w:r>
      <w:r w:rsidR="001C7464" w:rsidRPr="001C5D80">
        <w:rPr>
          <w:b/>
          <w:sz w:val="24"/>
          <w:szCs w:val="24"/>
          <w:lang w:val="lv-LV"/>
        </w:rPr>
        <w:t xml:space="preserve"> </w:t>
      </w:r>
      <w:r w:rsidRPr="001C5D80">
        <w:rPr>
          <w:b/>
          <w:sz w:val="24"/>
          <w:szCs w:val="24"/>
          <w:lang w:val="lv-LV"/>
        </w:rPr>
        <w:t xml:space="preserve">projekta </w:t>
      </w:r>
      <w:r w:rsidR="0040578F" w:rsidRPr="001C5D80">
        <w:rPr>
          <w:b/>
          <w:sz w:val="24"/>
          <w:szCs w:val="24"/>
          <w:lang w:val="lv-LV"/>
        </w:rPr>
        <w:t>„</w:t>
      </w:r>
      <w:bookmarkStart w:id="3" w:name="OLE_LINK8"/>
      <w:bookmarkStart w:id="4" w:name="OLE_LINK4"/>
      <w:bookmarkStart w:id="5" w:name="OLE_LINK5"/>
      <w:r w:rsidR="00976ABD" w:rsidRPr="001C5D80">
        <w:rPr>
          <w:b/>
          <w:sz w:val="24"/>
          <w:szCs w:val="24"/>
          <w:lang w:val="lv-LV"/>
        </w:rPr>
        <w:t>Grozījumi Ministru kabineta 201</w:t>
      </w:r>
      <w:r w:rsidR="00A20A01" w:rsidRPr="001C5D80">
        <w:rPr>
          <w:b/>
          <w:sz w:val="24"/>
          <w:szCs w:val="24"/>
          <w:lang w:val="lv-LV"/>
        </w:rPr>
        <w:t>0</w:t>
      </w:r>
      <w:r w:rsidR="00976ABD" w:rsidRPr="001C5D80">
        <w:rPr>
          <w:b/>
          <w:sz w:val="24"/>
          <w:szCs w:val="24"/>
          <w:lang w:val="lv-LV"/>
        </w:rPr>
        <w:t>.gada 26.oktobra noteikumos Nr.997 „</w:t>
      </w:r>
      <w:bookmarkStart w:id="6" w:name="OLE_LINK11"/>
      <w:r w:rsidR="00976ABD" w:rsidRPr="001C5D80">
        <w:rPr>
          <w:b/>
          <w:sz w:val="24"/>
          <w:szCs w:val="24"/>
          <w:lang w:val="lv-LV"/>
        </w:rPr>
        <w:t>Noteikumi par garantijām komersantu un atbilstošu lauksaimniecības pakalpojumu kooperatīvo sabiedrību konkurētspējas uzlabošanai”</w:t>
      </w:r>
      <w:bookmarkEnd w:id="3"/>
      <w:bookmarkEnd w:id="4"/>
      <w:bookmarkEnd w:id="5"/>
      <w:bookmarkEnd w:id="6"/>
      <w:r w:rsidR="008F230C" w:rsidRPr="001C5D80">
        <w:rPr>
          <w:b/>
          <w:sz w:val="24"/>
          <w:szCs w:val="24"/>
          <w:lang w:val="lv-LV"/>
        </w:rPr>
        <w:t>”</w:t>
      </w:r>
      <w:r w:rsidR="001C7464" w:rsidRPr="001C5D80">
        <w:rPr>
          <w:b/>
          <w:sz w:val="24"/>
          <w:szCs w:val="24"/>
          <w:lang w:val="lv-LV"/>
        </w:rPr>
        <w:t xml:space="preserve"> </w:t>
      </w:r>
      <w:r w:rsidR="003000F0" w:rsidRPr="001C5D80">
        <w:rPr>
          <w:b/>
          <w:sz w:val="24"/>
          <w:szCs w:val="24"/>
          <w:lang w:val="lv-LV"/>
        </w:rPr>
        <w:t>sākotnējās ietekmes novērtējuma ziņojums</w:t>
      </w:r>
      <w:r w:rsidR="001C7464" w:rsidRPr="001C5D80">
        <w:rPr>
          <w:b/>
          <w:sz w:val="24"/>
          <w:szCs w:val="24"/>
          <w:lang w:val="lv-LV"/>
        </w:rPr>
        <w:t xml:space="preserve"> </w:t>
      </w:r>
      <w:r w:rsidR="003000F0" w:rsidRPr="001C5D80">
        <w:rPr>
          <w:b/>
          <w:sz w:val="24"/>
          <w:szCs w:val="24"/>
          <w:lang w:val="lv-LV"/>
        </w:rPr>
        <w:t>(</w:t>
      </w:r>
      <w:r w:rsidR="00E73425" w:rsidRPr="001C5D80">
        <w:rPr>
          <w:b/>
          <w:sz w:val="24"/>
          <w:szCs w:val="24"/>
          <w:lang w:val="lv-LV"/>
        </w:rPr>
        <w:t>anotācija</w:t>
      </w:r>
      <w:r w:rsidR="003000F0" w:rsidRPr="001C5D80">
        <w:rPr>
          <w:b/>
          <w:sz w:val="24"/>
          <w:szCs w:val="24"/>
          <w:lang w:val="lv-LV"/>
        </w:rPr>
        <w:t>)</w:t>
      </w:r>
    </w:p>
    <w:p w:rsidR="00976ABD" w:rsidRPr="001C5D80" w:rsidRDefault="00976ABD" w:rsidP="001C5D80">
      <w:pPr>
        <w:ind w:left="-284"/>
        <w:jc w:val="center"/>
        <w:rPr>
          <w:b/>
          <w:sz w:val="24"/>
          <w:szCs w:val="24"/>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1C5D80"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1C5D80" w:rsidRDefault="00A31FDC" w:rsidP="001C5D80">
            <w:pPr>
              <w:ind w:firstLine="720"/>
              <w:jc w:val="center"/>
              <w:rPr>
                <w:rFonts w:eastAsia="Times New Roman"/>
                <w:b/>
                <w:sz w:val="24"/>
                <w:szCs w:val="24"/>
                <w:lang w:val="lv-LV" w:eastAsia="lv-LV"/>
              </w:rPr>
            </w:pPr>
            <w:r w:rsidRPr="001C5D80">
              <w:rPr>
                <w:rFonts w:eastAsia="Times New Roman"/>
                <w:b/>
                <w:sz w:val="24"/>
                <w:szCs w:val="24"/>
                <w:lang w:val="lv-LV" w:eastAsia="lv-LV"/>
              </w:rPr>
              <w:t>I.</w:t>
            </w:r>
            <w:r w:rsidR="00E77EAE" w:rsidRPr="001C5D80">
              <w:rPr>
                <w:rFonts w:eastAsia="Times New Roman"/>
                <w:b/>
                <w:sz w:val="24"/>
                <w:szCs w:val="24"/>
                <w:lang w:val="lv-LV" w:eastAsia="lv-LV"/>
              </w:rPr>
              <w:t xml:space="preserve"> </w:t>
            </w:r>
            <w:r w:rsidRPr="001C5D80">
              <w:rPr>
                <w:rFonts w:eastAsia="Times New Roman"/>
                <w:b/>
                <w:sz w:val="24"/>
                <w:szCs w:val="24"/>
                <w:lang w:val="lv-LV" w:eastAsia="lv-LV"/>
              </w:rPr>
              <w:t>Tiesību akta projekta izstrādes nepieciešamība</w:t>
            </w:r>
          </w:p>
        </w:tc>
      </w:tr>
      <w:tr w:rsidR="00A31FDC" w:rsidRPr="001C5D80"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C5D80" w:rsidRDefault="00A31FDC" w:rsidP="001C5D80">
            <w:pPr>
              <w:jc w:val="both"/>
              <w:rPr>
                <w:rFonts w:eastAsia="Times New Roman"/>
                <w:sz w:val="24"/>
                <w:szCs w:val="24"/>
                <w:lang w:val="lv-LV" w:eastAsia="lv-LV"/>
              </w:rPr>
            </w:pPr>
            <w:r w:rsidRPr="001C5D80">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F4308E" w:rsidRPr="001C5D80" w:rsidRDefault="00602B65" w:rsidP="001C5D80">
            <w:pPr>
              <w:ind w:firstLine="709"/>
              <w:jc w:val="both"/>
              <w:rPr>
                <w:rFonts w:eastAsia="Times New Roman"/>
                <w:sz w:val="24"/>
                <w:szCs w:val="24"/>
                <w:lang w:val="lv-LV" w:eastAsia="lv-LV"/>
              </w:rPr>
            </w:pPr>
            <w:r w:rsidRPr="001C5D80">
              <w:rPr>
                <w:sz w:val="24"/>
                <w:szCs w:val="24"/>
                <w:lang w:val="lv-LV"/>
              </w:rPr>
              <w:t>Noteikumu projekts sagatavots, pamatojoties uz Ministru kabineta iekārtas likuma 31.panta pirmās daļas 3.punktu.</w:t>
            </w:r>
          </w:p>
        </w:tc>
      </w:tr>
      <w:tr w:rsidR="00A31FDC" w:rsidRPr="001C5D80"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C5D80" w:rsidRDefault="00A31FDC" w:rsidP="001C5D80">
            <w:pPr>
              <w:jc w:val="both"/>
              <w:rPr>
                <w:rFonts w:eastAsia="Times New Roman"/>
                <w:sz w:val="24"/>
                <w:szCs w:val="24"/>
                <w:lang w:val="lv-LV" w:eastAsia="lv-LV"/>
              </w:rPr>
            </w:pPr>
            <w:r w:rsidRPr="001C5D80">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4512"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Pašreizējā situācija un problēmas, kuru risināšanai tiesību akta projekts izstrādāts, tiesiskā regulējuma mērķis un būtība</w:t>
            </w: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D14512" w:rsidRPr="001C5D80" w:rsidRDefault="00D14512" w:rsidP="001C5D80">
            <w:pPr>
              <w:rPr>
                <w:rFonts w:eastAsia="Times New Roman"/>
                <w:sz w:val="24"/>
                <w:szCs w:val="24"/>
                <w:lang w:val="lv-LV" w:eastAsia="lv-LV"/>
              </w:rPr>
            </w:pPr>
          </w:p>
          <w:p w:rsidR="00A31FDC" w:rsidRPr="001C5D80" w:rsidRDefault="00A31FDC" w:rsidP="001C5D80">
            <w:pPr>
              <w:jc w:val="right"/>
              <w:rPr>
                <w:rFonts w:eastAsia="Times New Roman"/>
                <w:sz w:val="24"/>
                <w:szCs w:val="24"/>
                <w:lang w:val="lv-LV" w:eastAsia="lv-LV"/>
              </w:rPr>
            </w:pP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272FDC" w:rsidRPr="001C5D80" w:rsidRDefault="003331E3" w:rsidP="001C5D80">
            <w:pPr>
              <w:ind w:firstLine="567"/>
              <w:jc w:val="both"/>
              <w:rPr>
                <w:sz w:val="24"/>
                <w:szCs w:val="24"/>
                <w:lang w:val="lv-LV"/>
              </w:rPr>
            </w:pPr>
            <w:r w:rsidRPr="001C5D80">
              <w:rPr>
                <w:sz w:val="24"/>
                <w:szCs w:val="24"/>
                <w:lang w:val="lv-LV"/>
              </w:rPr>
              <w:t xml:space="preserve">Grozījumi Ministru kabineta 2010.gada 26.oktobra noteikumos Nr.997 „Noteikumi par garantijām komersantu un atbilstošu lauksaimniecības pakalpojumu kooperatīvo sabiedrību konkurētspējas uzlabošanai” (turpmāk – MK noteikumi Nr.997) ir nepieciešami, lai </w:t>
            </w:r>
            <w:r w:rsidR="00BD649A" w:rsidRPr="001C5D80">
              <w:rPr>
                <w:sz w:val="24"/>
                <w:szCs w:val="24"/>
                <w:lang w:val="lv-LV"/>
              </w:rPr>
              <w:t>izpildītu Ministru kabineta 2014.gada 12.augusta sēdes protokola Nr.43 59</w:t>
            </w:r>
            <w:r w:rsidR="00D94BBB" w:rsidRPr="001C5D80">
              <w:rPr>
                <w:sz w:val="24"/>
                <w:szCs w:val="24"/>
                <w:lang w:val="lv-LV"/>
              </w:rPr>
              <w:t>.§</w:t>
            </w:r>
            <w:r w:rsidR="00BD649A" w:rsidRPr="001C5D80">
              <w:rPr>
                <w:sz w:val="24"/>
                <w:szCs w:val="24"/>
                <w:lang w:val="lv-LV"/>
              </w:rPr>
              <w:t xml:space="preserve"> 4.1.punktā doto uzdevumu saistībā ar informatīvajā ziņojumā “Par pasākumiem Krievijas ekonomisko sankciju negatīvo seku mazināšanai” noteikto attiecībā uz kredīta brīvdienu garantiju piešķiršanas nodrošināšanu.</w:t>
            </w:r>
          </w:p>
          <w:p w:rsidR="00272FDC" w:rsidRPr="001C5D80" w:rsidRDefault="005F5BFC" w:rsidP="001C5D80">
            <w:pPr>
              <w:ind w:firstLine="567"/>
              <w:jc w:val="both"/>
              <w:rPr>
                <w:sz w:val="24"/>
                <w:szCs w:val="24"/>
                <w:lang w:val="lv-LV"/>
              </w:rPr>
            </w:pPr>
            <w:r w:rsidRPr="001C5D80">
              <w:rPr>
                <w:sz w:val="24"/>
                <w:szCs w:val="24"/>
                <w:lang w:val="lv-LV"/>
              </w:rPr>
              <w:t xml:space="preserve">Grozījumi MK noteikumos Nr.997 paredz garantiju sniegšanu saimnieciskās darbības veicējiem, kurus tiešu vai netieši un finansiāli negatīvi ir ietekmējušas Krievijas Federācijas noteiktās sankcijas. Garantijas tiek sniegtas par esošiem finanšu pakalpojumiem ar nosacījumu, ka tiek atlikta šī finansējuma pamatsummas atmaksa vismaz uz vienu gadu, bet ne vairāk kā uz diviem gadiem, un, ja ir nepieciešams, tiek papildus atviegloti finansējuma atmaksas noteikumi (piemēram, uz laiku vai pilnībā atcelti </w:t>
            </w:r>
            <w:proofErr w:type="spellStart"/>
            <w:r w:rsidRPr="001C5D80">
              <w:rPr>
                <w:sz w:val="24"/>
                <w:szCs w:val="24"/>
                <w:lang w:val="lv-LV"/>
              </w:rPr>
              <w:t>kovenanti</w:t>
            </w:r>
            <w:proofErr w:type="spellEnd"/>
            <w:r w:rsidRPr="001C5D80">
              <w:rPr>
                <w:sz w:val="24"/>
                <w:szCs w:val="24"/>
                <w:lang w:val="lv-LV"/>
              </w:rPr>
              <w:t xml:space="preserve">, </w:t>
            </w:r>
            <w:r w:rsidR="00640988" w:rsidRPr="001C5D80">
              <w:rPr>
                <w:sz w:val="24"/>
                <w:szCs w:val="24"/>
                <w:lang w:val="lv-LV"/>
              </w:rPr>
              <w:t>pagarināts finansējuma atmaksas termiņš</w:t>
            </w:r>
            <w:r w:rsidRPr="001C5D80">
              <w:rPr>
                <w:sz w:val="24"/>
                <w:szCs w:val="24"/>
                <w:lang w:val="lv-LV"/>
              </w:rPr>
              <w:t>)</w:t>
            </w:r>
            <w:r w:rsidR="007E7191" w:rsidRPr="001C5D80">
              <w:rPr>
                <w:sz w:val="24"/>
                <w:szCs w:val="24"/>
                <w:lang w:val="lv-LV"/>
              </w:rPr>
              <w:t>, nepalielinot finansējuma procentu likmi</w:t>
            </w:r>
            <w:r w:rsidR="003641A5" w:rsidRPr="001C5D80">
              <w:rPr>
                <w:sz w:val="24"/>
                <w:szCs w:val="24"/>
                <w:lang w:val="lv-LV"/>
              </w:rPr>
              <w:t xml:space="preserve"> (turpmāk – kredīta brīvdienu garantijas).</w:t>
            </w:r>
            <w:r w:rsidR="0082525A" w:rsidRPr="001C5D80">
              <w:rPr>
                <w:sz w:val="24"/>
                <w:szCs w:val="24"/>
                <w:lang w:val="lv-LV"/>
              </w:rPr>
              <w:t xml:space="preserve"> </w:t>
            </w:r>
            <w:r w:rsidR="00B60AD9" w:rsidRPr="001C5D80">
              <w:rPr>
                <w:sz w:val="24"/>
                <w:szCs w:val="24"/>
                <w:lang w:val="lv-LV"/>
              </w:rPr>
              <w:t>Kredīt</w:t>
            </w:r>
            <w:r w:rsidR="00284D8A" w:rsidRPr="001C5D80">
              <w:rPr>
                <w:sz w:val="24"/>
                <w:szCs w:val="24"/>
                <w:lang w:val="lv-LV"/>
              </w:rPr>
              <w:t>a</w:t>
            </w:r>
            <w:r w:rsidR="00B60AD9" w:rsidRPr="001C5D80">
              <w:rPr>
                <w:sz w:val="24"/>
                <w:szCs w:val="24"/>
                <w:lang w:val="lv-LV"/>
              </w:rPr>
              <w:t xml:space="preserve"> brīvdienu garantijas tiek sniegtas, ja finanšu pakalpojuma nodrošinājuma nominālā vērtība pēc Latvijas Garantiju aģentūras (turpmāk – LGA) novērtējuma</w:t>
            </w:r>
            <w:r w:rsidR="00697794" w:rsidRPr="001C5D80">
              <w:rPr>
                <w:sz w:val="24"/>
                <w:szCs w:val="24"/>
                <w:lang w:val="lv-LV"/>
              </w:rPr>
              <w:t xml:space="preserve"> nav mazāka par pamatsummas </w:t>
            </w:r>
            <w:r w:rsidR="00730C20" w:rsidRPr="001C5D80">
              <w:rPr>
                <w:sz w:val="24"/>
                <w:szCs w:val="24"/>
                <w:lang w:val="lv-LV"/>
              </w:rPr>
              <w:t xml:space="preserve">un procentu maksājumu </w:t>
            </w:r>
            <w:r w:rsidR="00697794" w:rsidRPr="001C5D80">
              <w:rPr>
                <w:sz w:val="24"/>
                <w:szCs w:val="24"/>
                <w:lang w:val="lv-LV"/>
              </w:rPr>
              <w:t>atlikuma vērtību</w:t>
            </w:r>
            <w:r w:rsidR="0006427F" w:rsidRPr="001C5D80">
              <w:rPr>
                <w:sz w:val="24"/>
                <w:szCs w:val="24"/>
                <w:lang w:val="lv-LV"/>
              </w:rPr>
              <w:t xml:space="preserve"> vai kopējais ekonomiskais labums, ko aprēķina pēc neto tagadnes vērtības un ko kredītiestāde vai tās meitas sabiedrība gūst saņemot garantiju un sniedzot kredīta brīvdienas un citus finansējuma atmaksas noteikumu atvieglojumus, nav pozitīvs</w:t>
            </w:r>
            <w:r w:rsidR="00697794" w:rsidRPr="001C5D80">
              <w:rPr>
                <w:sz w:val="24"/>
                <w:szCs w:val="24"/>
                <w:lang w:val="lv-LV"/>
              </w:rPr>
              <w:t>.</w:t>
            </w:r>
            <w:r w:rsidR="00B60AD9" w:rsidRPr="001C5D80">
              <w:rPr>
                <w:sz w:val="24"/>
                <w:szCs w:val="24"/>
                <w:lang w:val="lv-LV"/>
              </w:rPr>
              <w:t xml:space="preserve"> </w:t>
            </w:r>
            <w:r w:rsidR="003641A5" w:rsidRPr="001C5D80">
              <w:rPr>
                <w:sz w:val="24"/>
                <w:szCs w:val="24"/>
                <w:lang w:val="lv-LV"/>
              </w:rPr>
              <w:t>Kredīta brīvdienu</w:t>
            </w:r>
            <w:r w:rsidRPr="001C5D80">
              <w:rPr>
                <w:sz w:val="24"/>
                <w:szCs w:val="24"/>
                <w:lang w:val="lv-LV"/>
              </w:rPr>
              <w:t xml:space="preserve"> </w:t>
            </w:r>
            <w:r w:rsidR="003641A5" w:rsidRPr="001C5D80">
              <w:rPr>
                <w:sz w:val="24"/>
                <w:szCs w:val="24"/>
                <w:lang w:val="lv-LV"/>
              </w:rPr>
              <w:t xml:space="preserve">garantijas </w:t>
            </w:r>
            <w:r w:rsidR="00C01ABB" w:rsidRPr="001C5D80">
              <w:rPr>
                <w:sz w:val="24"/>
                <w:szCs w:val="24"/>
                <w:lang w:val="lv-LV"/>
              </w:rPr>
              <w:t xml:space="preserve">netiek sniegtas, ja saimnieciskās darbības veicējs jau bija nonācis finanšu grūtībās uz 2013.gada 31.decembri. Garantija tiek sniegta </w:t>
            </w:r>
            <w:r w:rsidR="002F64E8" w:rsidRPr="001C5D80">
              <w:rPr>
                <w:sz w:val="24"/>
                <w:szCs w:val="24"/>
                <w:lang w:val="lv-LV"/>
              </w:rPr>
              <w:t xml:space="preserve">tikai tiem </w:t>
            </w:r>
            <w:r w:rsidR="00C01ABB" w:rsidRPr="001C5D80">
              <w:rPr>
                <w:sz w:val="24"/>
                <w:szCs w:val="24"/>
                <w:lang w:val="lv-LV"/>
              </w:rPr>
              <w:t xml:space="preserve">saimnieciskās darbības veicējiem, kuri pēc </w:t>
            </w:r>
            <w:r w:rsidR="00023C59" w:rsidRPr="001C5D80">
              <w:rPr>
                <w:sz w:val="24"/>
                <w:szCs w:val="24"/>
                <w:lang w:val="lv-LV"/>
              </w:rPr>
              <w:t>LGA</w:t>
            </w:r>
            <w:r w:rsidR="00C01ABB" w:rsidRPr="001C5D80">
              <w:rPr>
                <w:sz w:val="24"/>
                <w:szCs w:val="24"/>
                <w:lang w:val="lv-LV"/>
              </w:rPr>
              <w:t xml:space="preserve"> atzinuma var atgūt ekonomisko dzīvotspēju, ja tiek īstenoti saimnieciskā darbības veicēja pārstrukturēšanas pasākumi.</w:t>
            </w:r>
          </w:p>
          <w:p w:rsidR="0082525A" w:rsidRPr="001C5D80" w:rsidRDefault="0082525A" w:rsidP="001C5D80">
            <w:pPr>
              <w:ind w:firstLine="567"/>
              <w:jc w:val="both"/>
              <w:rPr>
                <w:sz w:val="24"/>
                <w:szCs w:val="24"/>
                <w:lang w:val="lv-LV"/>
              </w:rPr>
            </w:pPr>
            <w:r w:rsidRPr="001C5D80">
              <w:rPr>
                <w:sz w:val="24"/>
                <w:szCs w:val="24"/>
                <w:lang w:val="lv-LV"/>
              </w:rPr>
              <w:t xml:space="preserve">Kredīta brīvdienas tiek paredzētas vismaz uz viedu gadu, bet ne vairāk kā diviem gadiem, kas pēc EM un LGA </w:t>
            </w:r>
            <w:r w:rsidR="001E0814" w:rsidRPr="001C5D80">
              <w:rPr>
                <w:sz w:val="24"/>
                <w:szCs w:val="24"/>
                <w:lang w:val="lv-LV"/>
              </w:rPr>
              <w:t xml:space="preserve">ieskatiem </w:t>
            </w:r>
            <w:r w:rsidRPr="001C5D80">
              <w:rPr>
                <w:sz w:val="24"/>
                <w:szCs w:val="24"/>
                <w:lang w:val="lv-LV"/>
              </w:rPr>
              <w:t xml:space="preserve">ir </w:t>
            </w:r>
            <w:r w:rsidR="0030532D" w:rsidRPr="001C5D80">
              <w:rPr>
                <w:sz w:val="24"/>
                <w:szCs w:val="24"/>
                <w:lang w:val="lv-LV"/>
              </w:rPr>
              <w:t>nepieciešamais</w:t>
            </w:r>
            <w:r w:rsidRPr="001C5D80">
              <w:rPr>
                <w:sz w:val="24"/>
                <w:szCs w:val="24"/>
                <w:lang w:val="lv-LV"/>
              </w:rPr>
              <w:t xml:space="preserve"> periods, lai saimnieciskās darbības veicējs varētu pārorientēties uz jauniem (eksporta) tirgiem, kā arī atjaunot savu likviditāti</w:t>
            </w:r>
            <w:r w:rsidR="005324A7" w:rsidRPr="001C5D80">
              <w:rPr>
                <w:sz w:val="24"/>
                <w:szCs w:val="24"/>
                <w:lang w:val="lv-LV"/>
              </w:rPr>
              <w:t xml:space="preserve"> un</w:t>
            </w:r>
            <w:r w:rsidRPr="001C5D80">
              <w:rPr>
                <w:sz w:val="24"/>
                <w:szCs w:val="24"/>
                <w:lang w:val="lv-LV"/>
              </w:rPr>
              <w:t xml:space="preserve"> atsākt finanšu pakalpojumu pamatsumm</w:t>
            </w:r>
            <w:r w:rsidR="00435C45" w:rsidRPr="001C5D80">
              <w:rPr>
                <w:sz w:val="24"/>
                <w:szCs w:val="24"/>
                <w:lang w:val="lv-LV"/>
              </w:rPr>
              <w:t>as</w:t>
            </w:r>
            <w:r w:rsidRPr="001C5D80">
              <w:rPr>
                <w:sz w:val="24"/>
                <w:szCs w:val="24"/>
                <w:lang w:val="lv-LV"/>
              </w:rPr>
              <w:t xml:space="preserve"> atmaksas.</w:t>
            </w:r>
          </w:p>
          <w:p w:rsidR="00392657" w:rsidRPr="001C5D80" w:rsidRDefault="00392657" w:rsidP="001C5D80">
            <w:pPr>
              <w:ind w:firstLine="567"/>
              <w:jc w:val="both"/>
              <w:rPr>
                <w:sz w:val="24"/>
                <w:szCs w:val="24"/>
                <w:lang w:val="lv-LV"/>
              </w:rPr>
            </w:pPr>
            <w:r w:rsidRPr="001C5D80">
              <w:rPr>
                <w:sz w:val="24"/>
                <w:szCs w:val="24"/>
                <w:lang w:val="lv-LV"/>
              </w:rPr>
              <w:t xml:space="preserve">Kredīta brīvdienu garantijas tiks sniegtas visiem saimnieciskās darbības veicējiem, kas atbilst MK noteikumu Nr.997 9.2.apakšpunktā </w:t>
            </w:r>
            <w:r w:rsidR="006526E6" w:rsidRPr="001C5D80">
              <w:rPr>
                <w:sz w:val="24"/>
                <w:szCs w:val="24"/>
                <w:lang w:val="lv-LV"/>
              </w:rPr>
              <w:t>minētajām</w:t>
            </w:r>
            <w:r w:rsidRPr="001C5D80">
              <w:rPr>
                <w:sz w:val="24"/>
                <w:szCs w:val="24"/>
                <w:lang w:val="lv-LV"/>
              </w:rPr>
              <w:t xml:space="preserve"> prasībām</w:t>
            </w:r>
            <w:r w:rsidR="005A4D53" w:rsidRPr="001C5D80">
              <w:rPr>
                <w:sz w:val="24"/>
                <w:szCs w:val="24"/>
                <w:lang w:val="lv-LV"/>
              </w:rPr>
              <w:t>, kas iesniegs pieteikumu garantijas saņemšanai</w:t>
            </w:r>
            <w:r w:rsidR="00D917A4" w:rsidRPr="001C5D80">
              <w:rPr>
                <w:sz w:val="24"/>
                <w:szCs w:val="24"/>
                <w:lang w:val="lv-LV"/>
              </w:rPr>
              <w:t xml:space="preserve"> MK noteikumu Nr.997 noteiktajā kārtībā.</w:t>
            </w:r>
          </w:p>
          <w:p w:rsidR="000A66F9" w:rsidRPr="001C5D80" w:rsidRDefault="000A66F9" w:rsidP="001C5D80">
            <w:pPr>
              <w:ind w:firstLine="567"/>
              <w:jc w:val="both"/>
              <w:rPr>
                <w:sz w:val="24"/>
                <w:szCs w:val="24"/>
                <w:lang w:val="lv-LV"/>
              </w:rPr>
            </w:pPr>
            <w:r w:rsidRPr="001C5D80">
              <w:rPr>
                <w:sz w:val="24"/>
                <w:szCs w:val="24"/>
                <w:lang w:val="lv-LV"/>
              </w:rPr>
              <w:t xml:space="preserve">Kredīta brīvdienu garantijas, atbilstoši MK noteikumu Nr.997 </w:t>
            </w:r>
            <w:r w:rsidRPr="001C5D80">
              <w:rPr>
                <w:sz w:val="24"/>
                <w:szCs w:val="24"/>
                <w:lang w:val="lv-LV"/>
              </w:rPr>
              <w:lastRenderedPageBreak/>
              <w:t xml:space="preserve">9.2.apakšpunktam, tiks sniegtas pret </w:t>
            </w:r>
            <w:r w:rsidR="00023C59" w:rsidRPr="001C5D80">
              <w:rPr>
                <w:sz w:val="24"/>
                <w:szCs w:val="24"/>
                <w:lang w:val="lv-LV"/>
              </w:rPr>
              <w:t xml:space="preserve">LGA </w:t>
            </w:r>
            <w:r w:rsidR="005F6D75" w:rsidRPr="001C5D80">
              <w:rPr>
                <w:sz w:val="24"/>
                <w:szCs w:val="24"/>
                <w:lang w:val="lv-LV"/>
              </w:rPr>
              <w:t>paš</w:t>
            </w:r>
            <w:r w:rsidR="00CE3CFF" w:rsidRPr="001C5D80">
              <w:rPr>
                <w:sz w:val="24"/>
                <w:szCs w:val="24"/>
                <w:lang w:val="lv-LV"/>
              </w:rPr>
              <w:t>u</w:t>
            </w:r>
            <w:r w:rsidRPr="001C5D80">
              <w:rPr>
                <w:sz w:val="24"/>
                <w:szCs w:val="24"/>
                <w:lang w:val="lv-LV"/>
              </w:rPr>
              <w:t xml:space="preserve"> līdzekļiem no iepriekš ieviesto Eiropas Savienības fondu programmu deklarētajiem līdzekļiem un to pārvaldīšanas ieņēmumiem.</w:t>
            </w:r>
          </w:p>
          <w:p w:rsidR="00014F86" w:rsidRPr="001C5D80" w:rsidRDefault="00E77EAE" w:rsidP="001C5D80">
            <w:pPr>
              <w:ind w:firstLine="567"/>
              <w:jc w:val="both"/>
              <w:rPr>
                <w:sz w:val="24"/>
                <w:szCs w:val="24"/>
                <w:lang w:val="lv-LV"/>
              </w:rPr>
            </w:pPr>
            <w:r w:rsidRPr="001C5D80">
              <w:rPr>
                <w:sz w:val="24"/>
                <w:szCs w:val="24"/>
                <w:lang w:val="lv-LV"/>
              </w:rPr>
              <w:t xml:space="preserve">Ņemot vērā </w:t>
            </w:r>
            <w:r w:rsidR="00023C59" w:rsidRPr="001C5D80">
              <w:rPr>
                <w:sz w:val="24"/>
                <w:szCs w:val="24"/>
                <w:lang w:val="lv-LV"/>
              </w:rPr>
              <w:t xml:space="preserve">Eiropas </w:t>
            </w:r>
            <w:r w:rsidRPr="001C5D80">
              <w:rPr>
                <w:sz w:val="24"/>
                <w:szCs w:val="24"/>
                <w:lang w:val="lv-LV"/>
              </w:rPr>
              <w:t xml:space="preserve">Komisijas </w:t>
            </w:r>
            <w:r w:rsidR="00D716F1" w:rsidRPr="001C5D80">
              <w:rPr>
                <w:sz w:val="24"/>
                <w:szCs w:val="24"/>
                <w:lang w:val="lv-LV"/>
              </w:rPr>
              <w:t>norādes</w:t>
            </w:r>
            <w:r w:rsidRPr="001C5D80">
              <w:rPr>
                <w:sz w:val="24"/>
                <w:szCs w:val="24"/>
                <w:lang w:val="lv-LV"/>
              </w:rPr>
              <w:t xml:space="preserve">, ir svarīgi izslēgt atbalsta esamību kredītiestāžu vai tās meitas sabiedrību līmenī, kurām tiek izsniegta garantija par jau esošu finanšu pakalpojumu. </w:t>
            </w:r>
            <w:r w:rsidR="00E471CF" w:rsidRPr="001C5D80">
              <w:rPr>
                <w:sz w:val="24"/>
                <w:szCs w:val="24"/>
                <w:lang w:val="lv-LV"/>
              </w:rPr>
              <w:t>Grozījumu projektā piedāvātā garantiju piešķiršanas kārtība, cik tālu tas ir iespējams, izslēdz atbalsta piešķiršanu kredītiestādēm</w:t>
            </w:r>
            <w:r w:rsidR="00342BDC" w:rsidRPr="001C5D80">
              <w:rPr>
                <w:sz w:val="24"/>
                <w:szCs w:val="24"/>
                <w:lang w:val="lv-LV"/>
              </w:rPr>
              <w:t xml:space="preserve"> vai to meitas sabiedrībām</w:t>
            </w:r>
            <w:r w:rsidR="00E471CF" w:rsidRPr="001C5D80">
              <w:rPr>
                <w:sz w:val="24"/>
                <w:szCs w:val="24"/>
                <w:lang w:val="lv-LV"/>
              </w:rPr>
              <w:t xml:space="preserve">. </w:t>
            </w:r>
            <w:r w:rsidR="00BD2FB8" w:rsidRPr="001C5D80">
              <w:rPr>
                <w:sz w:val="24"/>
                <w:szCs w:val="24"/>
                <w:lang w:val="lv-LV"/>
              </w:rPr>
              <w:t>Proti, s</w:t>
            </w:r>
            <w:r w:rsidR="00342BDC" w:rsidRPr="001C5D80">
              <w:rPr>
                <w:sz w:val="24"/>
                <w:szCs w:val="24"/>
                <w:lang w:val="lv-LV"/>
              </w:rPr>
              <w:t xml:space="preserve">aimnieciskās darbības veicējiem, saņemot garantiju, tiek atlikta finansējuma pamatsummas atmaksa vismaz uz vienu gadu un, ja ir nepieciešams, tiek papildus atviegloti finansējuma atmaksas noteikumi, </w:t>
            </w:r>
            <w:r w:rsidR="003A002E" w:rsidRPr="001C5D80">
              <w:rPr>
                <w:sz w:val="24"/>
                <w:szCs w:val="24"/>
                <w:lang w:val="lv-LV"/>
              </w:rPr>
              <w:t xml:space="preserve">nepalielinot finansējuma procentu likmi, </w:t>
            </w:r>
            <w:r w:rsidR="00342BDC" w:rsidRPr="001C5D80">
              <w:rPr>
                <w:sz w:val="24"/>
                <w:szCs w:val="24"/>
                <w:lang w:val="lv-LV"/>
              </w:rPr>
              <w:t>tādējādi, kr</w:t>
            </w:r>
            <w:r w:rsidR="0056276A" w:rsidRPr="001C5D80">
              <w:rPr>
                <w:sz w:val="24"/>
                <w:szCs w:val="24"/>
                <w:lang w:val="lv-LV"/>
              </w:rPr>
              <w:t xml:space="preserve">edītiestādes vai to meitas sabiedrības labumu, ko </w:t>
            </w:r>
            <w:r w:rsidR="001E1456" w:rsidRPr="001C5D80">
              <w:rPr>
                <w:sz w:val="24"/>
                <w:szCs w:val="24"/>
                <w:lang w:val="lv-LV"/>
              </w:rPr>
              <w:t xml:space="preserve">tās </w:t>
            </w:r>
            <w:r w:rsidR="0056276A" w:rsidRPr="001C5D80">
              <w:rPr>
                <w:sz w:val="24"/>
                <w:szCs w:val="24"/>
                <w:lang w:val="lv-LV"/>
              </w:rPr>
              <w:t>gūst no garantijas saņemšanas un attiecīgi finansējuma risku samazināšanās, pārnes uz saimnieciskās darbības veicēju.</w:t>
            </w:r>
            <w:r w:rsidR="00DC2EE3" w:rsidRPr="001C5D80">
              <w:rPr>
                <w:sz w:val="24"/>
                <w:szCs w:val="24"/>
                <w:lang w:val="lv-LV"/>
              </w:rPr>
              <w:t xml:space="preserve"> </w:t>
            </w:r>
          </w:p>
          <w:p w:rsidR="00107C11" w:rsidRPr="00A86525" w:rsidRDefault="00422062" w:rsidP="00BF393C">
            <w:pPr>
              <w:ind w:firstLine="567"/>
              <w:jc w:val="both"/>
              <w:rPr>
                <w:sz w:val="24"/>
                <w:szCs w:val="24"/>
                <w:lang w:val="lv-LV"/>
              </w:rPr>
            </w:pPr>
            <w:r w:rsidRPr="001C5D80">
              <w:rPr>
                <w:sz w:val="24"/>
                <w:szCs w:val="24"/>
                <w:lang w:val="lv-LV"/>
              </w:rPr>
              <w:t xml:space="preserve">Ņemot vērā, ka </w:t>
            </w:r>
            <w:r w:rsidR="00023C59" w:rsidRPr="001C5D80">
              <w:rPr>
                <w:sz w:val="24"/>
                <w:szCs w:val="24"/>
                <w:lang w:val="lv-LV"/>
              </w:rPr>
              <w:t xml:space="preserve">Komisijas 2013.gada 18.decembra Regula (EK) Nr.1407/2013 par Līguma 87. un 88.panta piemērošanu </w:t>
            </w:r>
            <w:proofErr w:type="spellStart"/>
            <w:r w:rsidR="00023C59" w:rsidRPr="001C5D80">
              <w:rPr>
                <w:i/>
                <w:sz w:val="24"/>
                <w:szCs w:val="24"/>
                <w:lang w:val="lv-LV"/>
              </w:rPr>
              <w:t>de</w:t>
            </w:r>
            <w:proofErr w:type="spellEnd"/>
            <w:r w:rsidR="00023C59" w:rsidRPr="001C5D80">
              <w:rPr>
                <w:i/>
                <w:sz w:val="24"/>
                <w:szCs w:val="24"/>
                <w:lang w:val="lv-LV"/>
              </w:rPr>
              <w:t xml:space="preserve"> </w:t>
            </w:r>
            <w:proofErr w:type="spellStart"/>
            <w:r w:rsidR="00023C59" w:rsidRPr="001C5D80">
              <w:rPr>
                <w:i/>
                <w:sz w:val="24"/>
                <w:szCs w:val="24"/>
                <w:lang w:val="lv-LV"/>
              </w:rPr>
              <w:t>minimis</w:t>
            </w:r>
            <w:proofErr w:type="spellEnd"/>
            <w:r w:rsidR="00023C59" w:rsidRPr="001C5D80">
              <w:rPr>
                <w:sz w:val="24"/>
                <w:szCs w:val="24"/>
                <w:lang w:val="lv-LV"/>
              </w:rPr>
              <w:t xml:space="preserve"> atbalstam (turpmāk - </w:t>
            </w:r>
            <w:r w:rsidRPr="001C5D80">
              <w:rPr>
                <w:sz w:val="24"/>
                <w:szCs w:val="24"/>
                <w:lang w:val="lv-LV"/>
              </w:rPr>
              <w:t>Komisijas Regula Nr.1407/2013</w:t>
            </w:r>
            <w:r w:rsidR="00023C59" w:rsidRPr="001C5D80">
              <w:rPr>
                <w:sz w:val="24"/>
                <w:szCs w:val="24"/>
                <w:lang w:val="lv-LV"/>
              </w:rPr>
              <w:t xml:space="preserve">) </w:t>
            </w:r>
            <w:r w:rsidRPr="001C5D80">
              <w:rPr>
                <w:sz w:val="24"/>
                <w:szCs w:val="24"/>
                <w:lang w:val="lv-LV"/>
              </w:rPr>
              <w:t xml:space="preserve"> var tikt piemērota tikai pārredzamam atbalstam, izsniedzot garantiju mazam</w:t>
            </w:r>
            <w:r w:rsidR="00B96325" w:rsidRPr="001C5D80">
              <w:rPr>
                <w:sz w:val="24"/>
                <w:szCs w:val="24"/>
                <w:lang w:val="lv-LV"/>
              </w:rPr>
              <w:t xml:space="preserve"> un</w:t>
            </w:r>
            <w:r w:rsidRPr="001C5D80">
              <w:rPr>
                <w:sz w:val="24"/>
                <w:szCs w:val="24"/>
                <w:lang w:val="lv-LV"/>
              </w:rPr>
              <w:t xml:space="preserve"> vidējam uzņēmumam</w:t>
            </w:r>
            <w:r w:rsidR="00916830" w:rsidRPr="001C5D80">
              <w:rPr>
                <w:sz w:val="24"/>
                <w:szCs w:val="24"/>
                <w:lang w:val="lv-LV"/>
              </w:rPr>
              <w:t>,</w:t>
            </w:r>
            <w:r w:rsidRPr="001C5D80">
              <w:rPr>
                <w:sz w:val="24"/>
                <w:szCs w:val="24"/>
                <w:lang w:val="lv-LV"/>
              </w:rPr>
              <w:t xml:space="preserve"> bruto dotācijas ekvivalents tiek aprēķināts, pamatojoties uz drošās zonas prēmijas likmēm, kas noteiktas saskaņā ar Komisijas paziņojumu par EK līguma 87. un 88.panta piemērošanu valsts atbalstam garantiju veidā.</w:t>
            </w:r>
            <w:r w:rsidR="00916830" w:rsidRPr="001C5D80">
              <w:rPr>
                <w:sz w:val="24"/>
                <w:szCs w:val="24"/>
                <w:lang w:val="lv-LV"/>
              </w:rPr>
              <w:t xml:space="preserve"> </w:t>
            </w:r>
            <w:r w:rsidR="002A015E" w:rsidRPr="001C5D80">
              <w:rPr>
                <w:sz w:val="24"/>
                <w:szCs w:val="24"/>
                <w:lang w:val="lv-LV"/>
              </w:rPr>
              <w:t>L</w:t>
            </w:r>
            <w:r w:rsidR="00916830" w:rsidRPr="001C5D80">
              <w:rPr>
                <w:sz w:val="24"/>
                <w:szCs w:val="24"/>
                <w:lang w:val="lv-LV"/>
              </w:rPr>
              <w:t>ai ievērotu, ka atbalsts ir pārredzams</w:t>
            </w:r>
            <w:r w:rsidR="00B96325" w:rsidRPr="001C5D80">
              <w:rPr>
                <w:sz w:val="24"/>
                <w:szCs w:val="24"/>
                <w:lang w:val="lv-LV"/>
              </w:rPr>
              <w:t xml:space="preserve"> </w:t>
            </w:r>
            <w:r w:rsidR="00080BBF" w:rsidRPr="001C5D80">
              <w:rPr>
                <w:sz w:val="24"/>
                <w:szCs w:val="24"/>
                <w:lang w:val="lv-LV"/>
              </w:rPr>
              <w:t xml:space="preserve">lieliem saimnieciskās darbības veicējiem un maziem </w:t>
            </w:r>
            <w:r w:rsidR="002A015E" w:rsidRPr="001C5D80">
              <w:rPr>
                <w:sz w:val="24"/>
                <w:szCs w:val="24"/>
                <w:lang w:val="lv-LV"/>
              </w:rPr>
              <w:t xml:space="preserve">un </w:t>
            </w:r>
            <w:r w:rsidR="00080BBF" w:rsidRPr="001C5D80">
              <w:rPr>
                <w:sz w:val="24"/>
                <w:szCs w:val="24"/>
                <w:lang w:val="lv-LV"/>
              </w:rPr>
              <w:t>vidējiem saimnieciskās darbības veicējiem</w:t>
            </w:r>
            <w:r w:rsidR="002A015E" w:rsidRPr="001C5D80">
              <w:rPr>
                <w:sz w:val="24"/>
                <w:szCs w:val="24"/>
                <w:lang w:val="lv-LV"/>
              </w:rPr>
              <w:t>, kuriem tiks sniegta kredīta brīvdienu garantija un kuru kredīta kvalitātes klase ir zem B-,</w:t>
            </w:r>
            <w:r w:rsidR="00B96325" w:rsidRPr="001C5D80">
              <w:rPr>
                <w:sz w:val="24"/>
                <w:szCs w:val="24"/>
                <w:lang w:val="lv-LV"/>
              </w:rPr>
              <w:t xml:space="preserve"> un lai aprēķina metode </w:t>
            </w:r>
            <w:r w:rsidR="00B96325" w:rsidRPr="00A86525">
              <w:rPr>
                <w:sz w:val="24"/>
                <w:szCs w:val="24"/>
                <w:lang w:val="lv-LV"/>
              </w:rPr>
              <w:t xml:space="preserve">nebūtu jāskaņo ar Eiropas Komisiju, noteikumu projekts paredz, nosakot bruto dotācijas ekvivalentu, piemērot Komisijas Regulas Nr.1407/2013 4.panta 6.punkta b) apakšpunktā piedāvāto garantiju </w:t>
            </w:r>
            <w:proofErr w:type="spellStart"/>
            <w:r w:rsidR="00B96325" w:rsidRPr="00A86525">
              <w:rPr>
                <w:sz w:val="24"/>
                <w:szCs w:val="24"/>
                <w:lang w:val="lv-LV"/>
              </w:rPr>
              <w:t>p</w:t>
            </w:r>
            <w:r w:rsidR="00083B7F" w:rsidRPr="00A86525">
              <w:rPr>
                <w:sz w:val="24"/>
                <w:szCs w:val="24"/>
                <w:lang w:val="lv-LV"/>
              </w:rPr>
              <w:t>ārredzamības</w:t>
            </w:r>
            <w:proofErr w:type="spellEnd"/>
            <w:r w:rsidR="00083B7F" w:rsidRPr="00A86525">
              <w:rPr>
                <w:sz w:val="24"/>
                <w:szCs w:val="24"/>
                <w:lang w:val="lv-LV"/>
              </w:rPr>
              <w:t xml:space="preserve"> aprēķina variantu.</w:t>
            </w:r>
          </w:p>
          <w:p w:rsidR="00107C11" w:rsidRPr="00BF393C" w:rsidRDefault="00107C11" w:rsidP="00107C11">
            <w:pPr>
              <w:ind w:firstLine="567"/>
              <w:jc w:val="both"/>
              <w:rPr>
                <w:sz w:val="24"/>
                <w:szCs w:val="24"/>
              </w:rPr>
            </w:pPr>
            <w:r w:rsidRPr="00A86525">
              <w:rPr>
                <w:sz w:val="24"/>
                <w:szCs w:val="24"/>
                <w:lang w:val="lv-LV"/>
              </w:rPr>
              <w:t>Noteikumu projektā paredzēto kredīta brīvdienu garantijas izsniegšanas noteikumi saimnieciskās darbības veicēju līmenī atbilst Komisijas Regulā Nr.1407/2013 noteiktajām prasībām, tai skaitā, par </w:t>
            </w:r>
            <w:proofErr w:type="spellStart"/>
            <w:r w:rsidRPr="00A86525">
              <w:rPr>
                <w:i/>
                <w:iCs/>
                <w:sz w:val="24"/>
                <w:szCs w:val="24"/>
                <w:lang w:val="lv-LV"/>
              </w:rPr>
              <w:t>de</w:t>
            </w:r>
            <w:proofErr w:type="spellEnd"/>
            <w:r w:rsidRPr="00A86525">
              <w:rPr>
                <w:i/>
                <w:iCs/>
                <w:sz w:val="24"/>
                <w:szCs w:val="24"/>
                <w:lang w:val="lv-LV"/>
              </w:rPr>
              <w:t xml:space="preserve"> </w:t>
            </w:r>
            <w:proofErr w:type="spellStart"/>
            <w:r w:rsidRPr="00A86525">
              <w:rPr>
                <w:i/>
                <w:iCs/>
                <w:sz w:val="24"/>
                <w:szCs w:val="24"/>
                <w:lang w:val="lv-LV"/>
              </w:rPr>
              <w:t>minimis</w:t>
            </w:r>
            <w:proofErr w:type="spellEnd"/>
            <w:r w:rsidRPr="00A86525">
              <w:rPr>
                <w:sz w:val="24"/>
                <w:szCs w:val="24"/>
                <w:lang w:val="lv-LV"/>
              </w:rPr>
              <w:t> atbalsta subsīdijas ekvivalenta apmēru, atbalstu garantijas veidā un atbalsta saņēmēju ierobežojumiem. Papildus, atbilstoši Eiropas Komisijas norādījumiem, tiek ietvertas papildus prasības (noteikumu projekta 9.2.6.apakšpunkts), lai izslēgtu atbalsta piešķiršanu komercbanku vai tās meitas sabiedrību līmenī, nosakot, ka kredīta brīvdienu garantijas tiek izsniegtas, ja finansējuma nodrošinājums nosedz pamatsummas un procentu maksājumu atlikumu</w:t>
            </w:r>
            <w:r w:rsidRPr="00A86525">
              <w:rPr>
                <w:bCs/>
                <w:sz w:val="24"/>
                <w:szCs w:val="24"/>
                <w:lang w:val="lv-LV"/>
              </w:rPr>
              <w:t>, ko aprēķina pēc kredītiestāžu vispārpieņemtajām un labās prakses metodēm,</w:t>
            </w:r>
            <w:r w:rsidRPr="00A86525">
              <w:rPr>
                <w:sz w:val="24"/>
                <w:szCs w:val="24"/>
                <w:lang w:val="lv-LV"/>
              </w:rPr>
              <w:t xml:space="preserve"> vai, ja pirmais nosacījums neizpildās, tad kopējais ekonomiskais labums, ko aprēķina pēc neto tagadnes vērtības un ko kredītiestāde vai tās meitas sabiedrība gūst saņemot garantiju un sniedzot finansējuma atmaksas noteikumu atvieglojumus, nav pozitīvs. </w:t>
            </w:r>
            <w:r w:rsidRPr="00A86525">
              <w:rPr>
                <w:bCs/>
                <w:sz w:val="24"/>
                <w:szCs w:val="24"/>
                <w:lang w:val="lv-LV"/>
              </w:rPr>
              <w:t>LGA informēs Finanšu ministriju un Ekonomikas ministriju par metodoloģiju, kas tiks sagatavota un piemērota, lai pārbaudītu noteikumu projekta 9.2.6.apakšpunktā</w:t>
            </w:r>
            <w:r w:rsidRPr="00BF393C">
              <w:rPr>
                <w:bCs/>
                <w:sz w:val="24"/>
                <w:szCs w:val="24"/>
              </w:rPr>
              <w:t xml:space="preserve"> </w:t>
            </w:r>
            <w:proofErr w:type="spellStart"/>
            <w:r w:rsidRPr="00BF393C">
              <w:rPr>
                <w:bCs/>
                <w:sz w:val="24"/>
                <w:szCs w:val="24"/>
              </w:rPr>
              <w:t>noteikto</w:t>
            </w:r>
            <w:proofErr w:type="spellEnd"/>
            <w:r w:rsidRPr="00BF393C">
              <w:rPr>
                <w:bCs/>
                <w:sz w:val="24"/>
                <w:szCs w:val="24"/>
              </w:rPr>
              <w:t> </w:t>
            </w:r>
            <w:proofErr w:type="spellStart"/>
            <w:r w:rsidRPr="00BF393C">
              <w:rPr>
                <w:bCs/>
                <w:sz w:val="24"/>
                <w:szCs w:val="24"/>
              </w:rPr>
              <w:t>prasību</w:t>
            </w:r>
            <w:proofErr w:type="spellEnd"/>
            <w:r w:rsidRPr="00BF393C">
              <w:rPr>
                <w:bCs/>
                <w:sz w:val="24"/>
                <w:szCs w:val="24"/>
              </w:rPr>
              <w:t xml:space="preserve"> </w:t>
            </w:r>
            <w:proofErr w:type="spellStart"/>
            <w:r w:rsidRPr="00BF393C">
              <w:rPr>
                <w:bCs/>
                <w:sz w:val="24"/>
                <w:szCs w:val="24"/>
              </w:rPr>
              <w:t>izpildi</w:t>
            </w:r>
            <w:proofErr w:type="spellEnd"/>
            <w:r w:rsidRPr="00BF393C">
              <w:rPr>
                <w:bCs/>
                <w:sz w:val="24"/>
                <w:szCs w:val="24"/>
              </w:rPr>
              <w:t>.</w:t>
            </w:r>
          </w:p>
          <w:p w:rsidR="00F1541A" w:rsidRPr="001C5D80" w:rsidRDefault="00B722AB" w:rsidP="001C5D80">
            <w:pPr>
              <w:ind w:firstLine="567"/>
              <w:jc w:val="both"/>
              <w:rPr>
                <w:sz w:val="24"/>
                <w:szCs w:val="24"/>
                <w:lang w:val="lv-LV"/>
              </w:rPr>
            </w:pPr>
            <w:r w:rsidRPr="001C5D80">
              <w:rPr>
                <w:sz w:val="24"/>
                <w:szCs w:val="24"/>
                <w:lang w:val="lv-LV"/>
              </w:rPr>
              <w:lastRenderedPageBreak/>
              <w:t xml:space="preserve">Aizdevumu garantijas tiek īstenotas finanšu instrumentu veidā. Garantijas MK noteikumu Nr.997 3.1.punktā minētajiem saimnieciskās darbības veicējiem tiek finansētas no Eiropas Reģionālā attīstības fonda finansējuma, kas attiecīgi nosaka, ka ir jāpiemēro Komisijas Regula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 Komisijas Regula Nr.1828/2006).  Komisijas Regulas </w:t>
            </w:r>
            <w:r w:rsidR="003641A5" w:rsidRPr="001C5D80">
              <w:rPr>
                <w:sz w:val="24"/>
                <w:szCs w:val="24"/>
                <w:lang w:val="lv-LV"/>
              </w:rPr>
              <w:t xml:space="preserve">Nr.1828/2006 </w:t>
            </w:r>
            <w:r w:rsidRPr="001C5D80">
              <w:rPr>
                <w:sz w:val="24"/>
                <w:szCs w:val="24"/>
                <w:lang w:val="lv-LV"/>
              </w:rPr>
              <w:t>45.pants nosaka, ka ieguldījumi nedrīkst tikt veik</w:t>
            </w:r>
            <w:r w:rsidR="00083B7F" w:rsidRPr="001C5D80">
              <w:rPr>
                <w:sz w:val="24"/>
                <w:szCs w:val="24"/>
                <w:lang w:val="lv-LV"/>
              </w:rPr>
              <w:t>ti grūtībās nonākušos uzņēmumo</w:t>
            </w:r>
            <w:r w:rsidR="00E2385A" w:rsidRPr="001C5D80">
              <w:rPr>
                <w:sz w:val="24"/>
                <w:szCs w:val="24"/>
                <w:lang w:val="lv-LV"/>
              </w:rPr>
              <w:t xml:space="preserve">s, </w:t>
            </w:r>
            <w:r w:rsidR="008E3CCC" w:rsidRPr="001C5D80">
              <w:rPr>
                <w:sz w:val="24"/>
                <w:szCs w:val="24"/>
                <w:lang w:val="lv-LV"/>
              </w:rPr>
              <w:t xml:space="preserve">atbilstoši Komisijas </w:t>
            </w:r>
            <w:r w:rsidR="00C62EBE" w:rsidRPr="001C5D80">
              <w:rPr>
                <w:sz w:val="24"/>
                <w:szCs w:val="24"/>
                <w:lang w:val="lv-LV"/>
              </w:rPr>
              <w:t>p</w:t>
            </w:r>
            <w:r w:rsidR="008E3CCC" w:rsidRPr="001C5D80">
              <w:rPr>
                <w:sz w:val="24"/>
                <w:szCs w:val="24"/>
                <w:lang w:val="lv-LV"/>
              </w:rPr>
              <w:t>aziņojum</w:t>
            </w:r>
            <w:r w:rsidR="00C62EBE" w:rsidRPr="001C5D80">
              <w:rPr>
                <w:sz w:val="24"/>
                <w:szCs w:val="24"/>
                <w:lang w:val="lv-LV"/>
              </w:rPr>
              <w:t>ā</w:t>
            </w:r>
            <w:r w:rsidR="008E3CCC" w:rsidRPr="001C5D80">
              <w:rPr>
                <w:sz w:val="24"/>
                <w:szCs w:val="24"/>
                <w:lang w:val="lv-LV"/>
              </w:rPr>
              <w:t xml:space="preserve"> par pamatnostādnēm par valsts atbalstu grūtībās nonākušu </w:t>
            </w:r>
            <w:proofErr w:type="spellStart"/>
            <w:r w:rsidR="008E3CCC" w:rsidRPr="001C5D80">
              <w:rPr>
                <w:sz w:val="24"/>
                <w:szCs w:val="24"/>
                <w:lang w:val="lv-LV"/>
              </w:rPr>
              <w:t>nefinanšu</w:t>
            </w:r>
            <w:proofErr w:type="spellEnd"/>
            <w:r w:rsidR="008E3CCC" w:rsidRPr="001C5D80">
              <w:rPr>
                <w:sz w:val="24"/>
                <w:szCs w:val="24"/>
                <w:lang w:val="lv-LV"/>
              </w:rPr>
              <w:t xml:space="preserve"> uzņēmumu glābšanai un pārstrukturēšanai (Eiropas Savienības Oficiālais Vēstnesis, 2014.gada 31.jūlijs, </w:t>
            </w:r>
            <w:proofErr w:type="spellStart"/>
            <w:r w:rsidR="008E3CCC" w:rsidRPr="001C5D80">
              <w:rPr>
                <w:sz w:val="24"/>
                <w:szCs w:val="24"/>
                <w:lang w:val="lv-LV"/>
              </w:rPr>
              <w:t>Nr</w:t>
            </w:r>
            <w:proofErr w:type="spellEnd"/>
            <w:r w:rsidR="008E3CCC" w:rsidRPr="001C5D80">
              <w:rPr>
                <w:sz w:val="24"/>
                <w:szCs w:val="24"/>
                <w:lang w:val="lv-LV"/>
              </w:rPr>
              <w:t>. C 249/1) noteiktajai definīcijai.</w:t>
            </w:r>
          </w:p>
        </w:tc>
      </w:tr>
      <w:tr w:rsidR="00A31FDC" w:rsidRPr="001C5D80"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C5D80" w:rsidRDefault="00A31FDC" w:rsidP="001C5D80">
            <w:pPr>
              <w:jc w:val="both"/>
              <w:rPr>
                <w:rFonts w:eastAsia="Times New Roman"/>
                <w:sz w:val="24"/>
                <w:szCs w:val="24"/>
                <w:lang w:val="lv-LV" w:eastAsia="lv-LV"/>
              </w:rPr>
            </w:pPr>
            <w:r w:rsidRPr="001C5D80">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C5D80" w:rsidRDefault="00A31FDC">
            <w:pPr>
              <w:ind w:firstLine="720"/>
              <w:jc w:val="both"/>
              <w:rPr>
                <w:bCs/>
                <w:sz w:val="24"/>
                <w:szCs w:val="24"/>
                <w:lang w:val="lv-LV"/>
              </w:rPr>
            </w:pPr>
            <w:r w:rsidRPr="001C5D80">
              <w:rPr>
                <w:iCs/>
                <w:sz w:val="24"/>
                <w:szCs w:val="24"/>
                <w:lang w:val="lv-LV"/>
              </w:rPr>
              <w:t>Projekts šo jomu neskar</w:t>
            </w:r>
            <w:r w:rsidRPr="001C5D80">
              <w:rPr>
                <w:color w:val="000000"/>
                <w:sz w:val="24"/>
                <w:szCs w:val="24"/>
                <w:lang w:val="lv-LV"/>
              </w:rPr>
              <w:t xml:space="preserve">. </w:t>
            </w:r>
          </w:p>
        </w:tc>
      </w:tr>
      <w:tr w:rsidR="00706975" w:rsidRPr="001C5D80"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pPr>
              <w:ind w:firstLine="720"/>
              <w:jc w:val="both"/>
              <w:rPr>
                <w:iCs/>
                <w:sz w:val="24"/>
                <w:szCs w:val="24"/>
                <w:lang w:val="lv-LV"/>
              </w:rPr>
            </w:pPr>
            <w:r w:rsidRPr="001C5D80">
              <w:rPr>
                <w:iCs/>
                <w:sz w:val="24"/>
                <w:szCs w:val="24"/>
                <w:lang w:val="lv-LV"/>
              </w:rPr>
              <w:t>Nav</w:t>
            </w:r>
          </w:p>
        </w:tc>
      </w:tr>
    </w:tbl>
    <w:p w:rsidR="00C97F6E" w:rsidRPr="001C5D80" w:rsidRDefault="00C97F6E">
      <w:pPr>
        <w:jc w:val="both"/>
        <w:rPr>
          <w:rFonts w:eastAsia="Times New Roman"/>
          <w:sz w:val="24"/>
          <w:szCs w:val="24"/>
          <w:lang w:val="lv-LV" w:eastAsia="lv-LV"/>
        </w:rPr>
        <w:sectPr w:rsidR="00C97F6E" w:rsidRPr="001C5D80"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706975" w:rsidRPr="001C5D80" w:rsidRDefault="00706975">
      <w:pPr>
        <w:jc w:val="both"/>
        <w:rPr>
          <w:rFonts w:eastAsia="Times New Roman"/>
          <w:sz w:val="24"/>
          <w:szCs w:val="24"/>
          <w:lang w:val="lv-LV"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706975" w:rsidRPr="001C5D80" w:rsidTr="002E16BA">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pPr>
              <w:ind w:firstLine="720"/>
              <w:jc w:val="center"/>
              <w:rPr>
                <w:rFonts w:eastAsia="Times New Roman"/>
                <w:b/>
                <w:sz w:val="24"/>
                <w:szCs w:val="24"/>
                <w:lang w:val="lv-LV" w:eastAsia="lv-LV"/>
              </w:rPr>
            </w:pPr>
            <w:r w:rsidRPr="001C5D80">
              <w:rPr>
                <w:rFonts w:eastAsia="Times New Roman"/>
                <w:b/>
                <w:sz w:val="24"/>
                <w:szCs w:val="24"/>
                <w:lang w:val="lv-LV" w:eastAsia="lv-LV"/>
              </w:rPr>
              <w:t>II. Tiesību akta projekta ietekme uz sabiedrību, tautsaimniecības attīstību un administratīvo slogu</w:t>
            </w:r>
          </w:p>
        </w:tc>
      </w:tr>
      <w:tr w:rsidR="00706975" w:rsidRPr="001C5D80" w:rsidTr="002E16BA">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706975" w:rsidRPr="001C5D80" w:rsidRDefault="00706975" w:rsidP="001C5D80">
            <w:pPr>
              <w:jc w:val="both"/>
              <w:rPr>
                <w:sz w:val="24"/>
                <w:szCs w:val="24"/>
                <w:lang w:val="lv-LV" w:eastAsia="lv-LV"/>
              </w:rPr>
            </w:pPr>
            <w:r w:rsidRPr="001C5D80">
              <w:rPr>
                <w:sz w:val="24"/>
                <w:szCs w:val="24"/>
                <w:lang w:val="lv-LV" w:eastAsia="lv-LV"/>
              </w:rPr>
              <w:t xml:space="preserve">Sabiedrības </w:t>
            </w:r>
            <w:proofErr w:type="spellStart"/>
            <w:r w:rsidRPr="001C5D80">
              <w:rPr>
                <w:sz w:val="24"/>
                <w:szCs w:val="24"/>
                <w:lang w:val="lv-LV" w:eastAsia="lv-LV"/>
              </w:rPr>
              <w:t>mērķgrupas</w:t>
            </w:r>
            <w:proofErr w:type="spellEnd"/>
            <w:r w:rsidRPr="001C5D80">
              <w:rPr>
                <w:sz w:val="24"/>
                <w:szCs w:val="24"/>
                <w:lang w:val="lv-LV" w:eastAsia="lv-LV"/>
              </w:rPr>
              <w:t>,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706975" w:rsidRPr="001C5D80" w:rsidRDefault="00706975" w:rsidP="001C5D80">
            <w:pPr>
              <w:ind w:firstLine="720"/>
              <w:jc w:val="both"/>
              <w:rPr>
                <w:sz w:val="24"/>
                <w:szCs w:val="24"/>
                <w:lang w:val="lv-LV" w:eastAsia="lv-LV"/>
              </w:rPr>
            </w:pPr>
            <w:r w:rsidRPr="001C5D80">
              <w:rPr>
                <w:sz w:val="24"/>
                <w:szCs w:val="24"/>
                <w:lang w:val="lv-LV" w:eastAsia="lv-LV"/>
              </w:rPr>
              <w:t>Latvijā reģistrēti saimnieciskās darbības veicēji.</w:t>
            </w:r>
          </w:p>
        </w:tc>
      </w:tr>
      <w:tr w:rsidR="00706975" w:rsidRPr="001C5D80" w:rsidTr="002E16BA">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706975" w:rsidRPr="001C5D80" w:rsidRDefault="00706975" w:rsidP="001C5D80">
            <w:pPr>
              <w:jc w:val="both"/>
              <w:rPr>
                <w:sz w:val="24"/>
                <w:szCs w:val="24"/>
                <w:lang w:val="lv-LV" w:eastAsia="lv-LV"/>
              </w:rPr>
            </w:pPr>
            <w:r w:rsidRPr="001C5D80">
              <w:rPr>
                <w:sz w:val="24"/>
                <w:szCs w:val="24"/>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706975" w:rsidRPr="001C5D80" w:rsidRDefault="00706975" w:rsidP="001C5D80">
            <w:pPr>
              <w:ind w:right="142" w:firstLine="720"/>
              <w:jc w:val="both"/>
              <w:rPr>
                <w:sz w:val="24"/>
                <w:szCs w:val="24"/>
                <w:lang w:val="lv-LV" w:eastAsia="lv-LV"/>
              </w:rPr>
            </w:pPr>
            <w:r w:rsidRPr="001C5D80">
              <w:rPr>
                <w:sz w:val="24"/>
                <w:szCs w:val="24"/>
                <w:lang w:val="lv-LV" w:eastAsia="lv-LV"/>
              </w:rPr>
              <w:t>Projekts šo jomu neskar</w:t>
            </w:r>
          </w:p>
        </w:tc>
      </w:tr>
      <w:tr w:rsidR="00706975" w:rsidRPr="001C5D80" w:rsidTr="002E16BA">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jc w:val="both"/>
              <w:rPr>
                <w:sz w:val="24"/>
                <w:szCs w:val="24"/>
                <w:lang w:val="lv-LV" w:eastAsia="lv-LV"/>
              </w:rPr>
            </w:pPr>
            <w:r w:rsidRPr="001C5D80">
              <w:rPr>
                <w:sz w:val="24"/>
                <w:szCs w:val="24"/>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ind w:right="142" w:firstLine="720"/>
              <w:jc w:val="both"/>
              <w:rPr>
                <w:sz w:val="24"/>
                <w:szCs w:val="24"/>
                <w:lang w:val="lv-LV" w:eastAsia="lv-LV"/>
              </w:rPr>
            </w:pPr>
            <w:r w:rsidRPr="001C5D80">
              <w:rPr>
                <w:sz w:val="24"/>
                <w:szCs w:val="24"/>
                <w:lang w:val="lv-LV" w:eastAsia="lv-LV"/>
              </w:rPr>
              <w:t>Projekts šo jomu neskar</w:t>
            </w:r>
          </w:p>
        </w:tc>
      </w:tr>
      <w:tr w:rsidR="00706975" w:rsidRPr="001C5D80" w:rsidTr="002E16BA">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jc w:val="both"/>
              <w:rPr>
                <w:rFonts w:eastAsia="Times New Roman"/>
                <w:sz w:val="24"/>
                <w:szCs w:val="24"/>
                <w:lang w:val="lv-LV" w:eastAsia="lv-LV"/>
              </w:rPr>
            </w:pPr>
            <w:r w:rsidRPr="001C5D80">
              <w:rPr>
                <w:rFonts w:eastAsia="Times New Roman"/>
                <w:sz w:val="24"/>
                <w:szCs w:val="24"/>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jc w:val="both"/>
              <w:rPr>
                <w:sz w:val="24"/>
                <w:szCs w:val="24"/>
                <w:lang w:val="lv-LV" w:eastAsia="lv-LV"/>
              </w:rPr>
            </w:pPr>
            <w:r w:rsidRPr="001C5D80">
              <w:rPr>
                <w:sz w:val="24"/>
                <w:szCs w:val="24"/>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1C5D80" w:rsidRDefault="00706975" w:rsidP="001C5D80">
            <w:pPr>
              <w:ind w:firstLine="720"/>
              <w:jc w:val="both"/>
              <w:rPr>
                <w:sz w:val="24"/>
                <w:szCs w:val="24"/>
                <w:lang w:val="lv-LV" w:eastAsia="lv-LV"/>
              </w:rPr>
            </w:pPr>
            <w:r w:rsidRPr="001C5D80">
              <w:rPr>
                <w:sz w:val="24"/>
                <w:szCs w:val="24"/>
                <w:lang w:val="lv-LV" w:eastAsia="lv-LV"/>
              </w:rPr>
              <w:t>Nav</w:t>
            </w:r>
          </w:p>
        </w:tc>
      </w:tr>
    </w:tbl>
    <w:p w:rsidR="00706975" w:rsidRPr="001C5D80" w:rsidRDefault="00706975" w:rsidP="001C5D80">
      <w:pPr>
        <w:jc w:val="both"/>
        <w:rPr>
          <w:rFonts w:eastAsia="Times New Roman"/>
          <w:sz w:val="24"/>
          <w:szCs w:val="24"/>
          <w:lang w:val="lv-LV" w:eastAsia="lv-LV"/>
        </w:rPr>
      </w:pPr>
    </w:p>
    <w:p w:rsidR="00C9779A" w:rsidRPr="001C5D80" w:rsidRDefault="00C9779A" w:rsidP="001C5D80">
      <w:pPr>
        <w:rPr>
          <w:sz w:val="24"/>
          <w:szCs w:val="24"/>
          <w:lang w:val="lv-LV"/>
        </w:rPr>
      </w:pPr>
    </w:p>
    <w:tbl>
      <w:tblPr>
        <w:tblW w:w="4814"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522"/>
        <w:gridCol w:w="1014"/>
        <w:gridCol w:w="333"/>
        <w:gridCol w:w="306"/>
        <w:gridCol w:w="2659"/>
        <w:gridCol w:w="1539"/>
        <w:gridCol w:w="304"/>
        <w:gridCol w:w="2063"/>
        <w:gridCol w:w="225"/>
      </w:tblGrid>
      <w:tr w:rsidR="00765A89" w:rsidRPr="001C5D80" w:rsidTr="004221D9">
        <w:trPr>
          <w:gridAfter w:val="1"/>
          <w:wAfter w:w="86" w:type="pct"/>
          <w:tblCellSpacing w:w="15" w:type="dxa"/>
        </w:trPr>
        <w:tc>
          <w:tcPr>
            <w:tcW w:w="4864" w:type="pct"/>
            <w:gridSpan w:val="8"/>
            <w:shd w:val="clear" w:color="auto" w:fill="auto"/>
            <w:hideMark/>
          </w:tcPr>
          <w:p w:rsidR="00765A89" w:rsidRPr="001C5D80" w:rsidRDefault="00765A89" w:rsidP="001C5D80">
            <w:pPr>
              <w:jc w:val="center"/>
              <w:rPr>
                <w:rFonts w:eastAsia="Times New Roman"/>
                <w:b/>
                <w:bCs/>
                <w:sz w:val="24"/>
                <w:szCs w:val="24"/>
                <w:highlight w:val="green"/>
                <w:lang w:val="lv-LV" w:eastAsia="lv-LV"/>
              </w:rPr>
            </w:pPr>
            <w:r w:rsidRPr="001C5D80">
              <w:rPr>
                <w:rFonts w:eastAsia="Times New Roman"/>
                <w:b/>
                <w:bCs/>
                <w:sz w:val="24"/>
                <w:szCs w:val="24"/>
                <w:lang w:val="lv-LV" w:eastAsia="lv-LV"/>
              </w:rPr>
              <w:t>V. Tiesību akta projekta atbilstība Latvijas Republikas starptautiskajām saistībām</w:t>
            </w:r>
          </w:p>
        </w:tc>
      </w:tr>
      <w:tr w:rsidR="00765A89" w:rsidRPr="001C5D80" w:rsidTr="004221D9">
        <w:trPr>
          <w:gridAfter w:val="1"/>
          <w:wAfter w:w="86" w:type="pct"/>
          <w:tblCellSpacing w:w="15" w:type="dxa"/>
        </w:trPr>
        <w:tc>
          <w:tcPr>
            <w:tcW w:w="274" w:type="pct"/>
            <w:shd w:val="clear" w:color="auto" w:fill="auto"/>
            <w:hideMark/>
          </w:tcPr>
          <w:p w:rsidR="00765A89" w:rsidRPr="001C5D80" w:rsidRDefault="00765A89" w:rsidP="001C5D80">
            <w:pPr>
              <w:jc w:val="center"/>
              <w:rPr>
                <w:rFonts w:eastAsia="Times New Roman"/>
                <w:sz w:val="24"/>
                <w:szCs w:val="24"/>
                <w:lang w:val="lv-LV" w:eastAsia="lv-LV"/>
              </w:rPr>
            </w:pPr>
            <w:r w:rsidRPr="001C5D80">
              <w:rPr>
                <w:rFonts w:eastAsia="Times New Roman"/>
                <w:sz w:val="24"/>
                <w:szCs w:val="24"/>
                <w:lang w:val="lv-LV" w:eastAsia="lv-LV"/>
              </w:rPr>
              <w:t>1.</w:t>
            </w:r>
          </w:p>
        </w:tc>
        <w:tc>
          <w:tcPr>
            <w:tcW w:w="896" w:type="pct"/>
            <w:gridSpan w:val="3"/>
            <w:shd w:val="clear" w:color="auto" w:fill="auto"/>
            <w:hideMark/>
          </w:tcPr>
          <w:p w:rsidR="00765A89" w:rsidRPr="001C5D80" w:rsidRDefault="00765A89" w:rsidP="001C5D80">
            <w:pPr>
              <w:jc w:val="both"/>
              <w:rPr>
                <w:rFonts w:eastAsia="Times New Roman"/>
                <w:sz w:val="24"/>
                <w:szCs w:val="24"/>
                <w:lang w:val="lv-LV" w:eastAsia="lv-LV"/>
              </w:rPr>
            </w:pPr>
            <w:r w:rsidRPr="001C5D80">
              <w:rPr>
                <w:rFonts w:eastAsia="Times New Roman"/>
                <w:sz w:val="24"/>
                <w:szCs w:val="24"/>
                <w:lang w:val="lv-LV" w:eastAsia="lv-LV"/>
              </w:rPr>
              <w:t>Saistības pret Eiropas Savienību</w:t>
            </w:r>
          </w:p>
        </w:tc>
        <w:tc>
          <w:tcPr>
            <w:tcW w:w="3660" w:type="pct"/>
            <w:gridSpan w:val="4"/>
            <w:shd w:val="clear" w:color="auto" w:fill="auto"/>
            <w:hideMark/>
          </w:tcPr>
          <w:p w:rsidR="001F3875" w:rsidRPr="001C5D80" w:rsidRDefault="00023C59" w:rsidP="001C5D80">
            <w:pPr>
              <w:ind w:firstLine="364"/>
              <w:jc w:val="both"/>
              <w:rPr>
                <w:sz w:val="24"/>
                <w:szCs w:val="24"/>
                <w:lang w:val="lv-LV"/>
              </w:rPr>
            </w:pPr>
            <w:r w:rsidRPr="001C5D80">
              <w:rPr>
                <w:sz w:val="24"/>
                <w:szCs w:val="24"/>
                <w:lang w:val="lv-LV"/>
              </w:rPr>
              <w:t>Ar tiesību akta projektu tiek ieviesta</w:t>
            </w:r>
            <w:r w:rsidRPr="001C5D80">
              <w:rPr>
                <w:rFonts w:eastAsia="Times New Roman"/>
                <w:sz w:val="24"/>
                <w:szCs w:val="24"/>
                <w:lang w:val="lv-LV" w:eastAsia="lv-LV"/>
              </w:rPr>
              <w:t xml:space="preserve"> </w:t>
            </w:r>
            <w:r w:rsidRPr="001C5D80">
              <w:rPr>
                <w:sz w:val="24"/>
                <w:szCs w:val="24"/>
                <w:lang w:val="lv-LV"/>
              </w:rPr>
              <w:t xml:space="preserve">Komisijas 2013.gada 18.decembra Regula (EK) Nr.1407/2013 par Līguma 87. un 88.panta piemērošanu </w:t>
            </w:r>
            <w:proofErr w:type="spellStart"/>
            <w:r w:rsidRPr="001C5D80">
              <w:rPr>
                <w:i/>
                <w:sz w:val="24"/>
                <w:szCs w:val="24"/>
                <w:lang w:val="lv-LV"/>
              </w:rPr>
              <w:t>de</w:t>
            </w:r>
            <w:proofErr w:type="spellEnd"/>
            <w:r w:rsidRPr="001C5D80">
              <w:rPr>
                <w:i/>
                <w:sz w:val="24"/>
                <w:szCs w:val="24"/>
                <w:lang w:val="lv-LV"/>
              </w:rPr>
              <w:t xml:space="preserve"> </w:t>
            </w:r>
            <w:proofErr w:type="spellStart"/>
            <w:r w:rsidRPr="001C5D80">
              <w:rPr>
                <w:i/>
                <w:sz w:val="24"/>
                <w:szCs w:val="24"/>
                <w:lang w:val="lv-LV"/>
              </w:rPr>
              <w:t>minimis</w:t>
            </w:r>
            <w:proofErr w:type="spellEnd"/>
            <w:r w:rsidRPr="001C5D80">
              <w:rPr>
                <w:sz w:val="24"/>
                <w:szCs w:val="24"/>
                <w:lang w:val="lv-LV"/>
              </w:rPr>
              <w:t xml:space="preserve"> atbalstam (Eiropas Savienības Oficiālais Vēstnesis, 2013.gada 24.decembris, </w:t>
            </w:r>
            <w:proofErr w:type="spellStart"/>
            <w:r w:rsidRPr="001C5D80">
              <w:rPr>
                <w:sz w:val="24"/>
                <w:szCs w:val="24"/>
                <w:lang w:val="lv-LV"/>
              </w:rPr>
              <w:t>Nr</w:t>
            </w:r>
            <w:proofErr w:type="spellEnd"/>
            <w:r w:rsidRPr="001C5D80">
              <w:rPr>
                <w:sz w:val="24"/>
                <w:szCs w:val="24"/>
                <w:lang w:val="lv-LV"/>
              </w:rPr>
              <w:t>. L 352/1).</w:t>
            </w:r>
          </w:p>
        </w:tc>
      </w:tr>
      <w:tr w:rsidR="00765A89" w:rsidRPr="001C5D80" w:rsidTr="004221D9">
        <w:trPr>
          <w:gridAfter w:val="1"/>
          <w:wAfter w:w="86" w:type="pct"/>
          <w:tblCellSpacing w:w="15" w:type="dxa"/>
        </w:trPr>
        <w:tc>
          <w:tcPr>
            <w:tcW w:w="274" w:type="pct"/>
            <w:shd w:val="clear" w:color="auto" w:fill="auto"/>
            <w:hideMark/>
          </w:tcPr>
          <w:p w:rsidR="00765A89" w:rsidRPr="00453696" w:rsidRDefault="00765A89" w:rsidP="001C5D80">
            <w:pPr>
              <w:jc w:val="center"/>
              <w:rPr>
                <w:rFonts w:eastAsia="Times New Roman"/>
                <w:sz w:val="24"/>
                <w:szCs w:val="24"/>
                <w:lang w:val="lv-LV" w:eastAsia="lv-LV"/>
              </w:rPr>
            </w:pPr>
            <w:r w:rsidRPr="00453696">
              <w:rPr>
                <w:rFonts w:eastAsia="Times New Roman"/>
                <w:sz w:val="24"/>
                <w:szCs w:val="24"/>
                <w:lang w:val="lv-LV" w:eastAsia="lv-LV"/>
              </w:rPr>
              <w:t>2.</w:t>
            </w:r>
          </w:p>
        </w:tc>
        <w:tc>
          <w:tcPr>
            <w:tcW w:w="896" w:type="pct"/>
            <w:gridSpan w:val="3"/>
            <w:shd w:val="clear" w:color="auto" w:fill="auto"/>
            <w:hideMark/>
          </w:tcPr>
          <w:p w:rsidR="00765A89" w:rsidRPr="00453696" w:rsidRDefault="00765A89" w:rsidP="001C5D80">
            <w:pPr>
              <w:jc w:val="both"/>
              <w:rPr>
                <w:rFonts w:eastAsia="Times New Roman"/>
                <w:sz w:val="24"/>
                <w:szCs w:val="24"/>
                <w:lang w:val="lv-LV" w:eastAsia="lv-LV"/>
              </w:rPr>
            </w:pPr>
            <w:r w:rsidRPr="00453696">
              <w:rPr>
                <w:rFonts w:eastAsia="Times New Roman"/>
                <w:sz w:val="24"/>
                <w:szCs w:val="24"/>
                <w:lang w:val="lv-LV" w:eastAsia="lv-LV"/>
              </w:rPr>
              <w:t>Citas starptautiskās saistības</w:t>
            </w:r>
          </w:p>
        </w:tc>
        <w:tc>
          <w:tcPr>
            <w:tcW w:w="3660" w:type="pct"/>
            <w:gridSpan w:val="4"/>
            <w:shd w:val="clear" w:color="auto" w:fill="auto"/>
            <w:hideMark/>
          </w:tcPr>
          <w:p w:rsidR="00765A89" w:rsidRPr="00453696" w:rsidRDefault="00765A89" w:rsidP="001C5D80">
            <w:pPr>
              <w:ind w:firstLine="341"/>
              <w:jc w:val="both"/>
              <w:rPr>
                <w:rFonts w:eastAsia="Times New Roman"/>
                <w:sz w:val="24"/>
                <w:szCs w:val="24"/>
                <w:lang w:val="lv-LV" w:eastAsia="lv-LV"/>
              </w:rPr>
            </w:pPr>
            <w:r w:rsidRPr="00453696">
              <w:rPr>
                <w:rFonts w:eastAsia="Times New Roman"/>
                <w:sz w:val="24"/>
                <w:szCs w:val="24"/>
                <w:lang w:val="lv-LV" w:eastAsia="lv-LV"/>
              </w:rPr>
              <w:t>Projekts šo jomu neskar.</w:t>
            </w:r>
          </w:p>
        </w:tc>
      </w:tr>
      <w:tr w:rsidR="00765A89" w:rsidRPr="001C5D80" w:rsidTr="004221D9">
        <w:trPr>
          <w:gridAfter w:val="1"/>
          <w:wAfter w:w="86" w:type="pct"/>
          <w:tblCellSpacing w:w="15" w:type="dxa"/>
        </w:trPr>
        <w:tc>
          <w:tcPr>
            <w:tcW w:w="274" w:type="pct"/>
            <w:shd w:val="clear" w:color="auto" w:fill="auto"/>
            <w:hideMark/>
          </w:tcPr>
          <w:p w:rsidR="00765A89" w:rsidRPr="00453696" w:rsidRDefault="00765A89" w:rsidP="001C5D80">
            <w:pPr>
              <w:jc w:val="center"/>
              <w:rPr>
                <w:rFonts w:eastAsia="Times New Roman"/>
                <w:sz w:val="24"/>
                <w:szCs w:val="24"/>
                <w:lang w:val="lv-LV" w:eastAsia="lv-LV"/>
              </w:rPr>
            </w:pPr>
            <w:r w:rsidRPr="00453696">
              <w:rPr>
                <w:rFonts w:eastAsia="Times New Roman"/>
                <w:sz w:val="24"/>
                <w:szCs w:val="24"/>
                <w:lang w:val="lv-LV" w:eastAsia="lv-LV"/>
              </w:rPr>
              <w:t>3.</w:t>
            </w:r>
          </w:p>
        </w:tc>
        <w:tc>
          <w:tcPr>
            <w:tcW w:w="896" w:type="pct"/>
            <w:gridSpan w:val="3"/>
            <w:shd w:val="clear" w:color="auto" w:fill="auto"/>
            <w:hideMark/>
          </w:tcPr>
          <w:p w:rsidR="00765A89" w:rsidRPr="00453696" w:rsidRDefault="00765A89" w:rsidP="001C5D80">
            <w:pPr>
              <w:jc w:val="both"/>
              <w:rPr>
                <w:rFonts w:eastAsia="Times New Roman"/>
                <w:sz w:val="24"/>
                <w:szCs w:val="24"/>
                <w:lang w:val="lv-LV" w:eastAsia="lv-LV"/>
              </w:rPr>
            </w:pPr>
            <w:r w:rsidRPr="00453696">
              <w:rPr>
                <w:rFonts w:eastAsia="Times New Roman"/>
                <w:sz w:val="24"/>
                <w:szCs w:val="24"/>
                <w:lang w:val="lv-LV" w:eastAsia="lv-LV"/>
              </w:rPr>
              <w:t>Cita informācija</w:t>
            </w:r>
          </w:p>
        </w:tc>
        <w:tc>
          <w:tcPr>
            <w:tcW w:w="3660" w:type="pct"/>
            <w:gridSpan w:val="4"/>
            <w:shd w:val="clear" w:color="auto" w:fill="auto"/>
            <w:hideMark/>
          </w:tcPr>
          <w:p w:rsidR="00765A89" w:rsidRPr="00453696" w:rsidRDefault="00023C59" w:rsidP="001C5D80">
            <w:pPr>
              <w:jc w:val="both"/>
              <w:rPr>
                <w:rFonts w:eastAsia="Times New Roman"/>
                <w:sz w:val="24"/>
                <w:szCs w:val="24"/>
                <w:lang w:val="lv-LV" w:eastAsia="lv-LV"/>
              </w:rPr>
            </w:pPr>
            <w:r w:rsidRPr="00453696">
              <w:rPr>
                <w:sz w:val="24"/>
                <w:szCs w:val="24"/>
                <w:lang w:val="lv-LV"/>
              </w:rPr>
              <w:t xml:space="preserve">Ar tiesību akta projektu tiek ieviests Komisijas paziņojums par pamatnostādnēm par valsts atbalstu grūtībās nonākušu </w:t>
            </w:r>
            <w:proofErr w:type="spellStart"/>
            <w:r w:rsidRPr="00453696">
              <w:rPr>
                <w:sz w:val="24"/>
                <w:szCs w:val="24"/>
                <w:lang w:val="lv-LV"/>
              </w:rPr>
              <w:t>nefinanšu</w:t>
            </w:r>
            <w:proofErr w:type="spellEnd"/>
            <w:r w:rsidRPr="00453696">
              <w:rPr>
                <w:sz w:val="24"/>
                <w:szCs w:val="24"/>
                <w:lang w:val="lv-LV"/>
              </w:rPr>
              <w:t xml:space="preserve"> uzņēmumu glābšanai un</w:t>
            </w:r>
            <w:r w:rsidR="00C54522" w:rsidRPr="00453696">
              <w:rPr>
                <w:sz w:val="24"/>
                <w:szCs w:val="24"/>
                <w:lang w:val="lv-LV"/>
              </w:rPr>
              <w:t xml:space="preserve"> </w:t>
            </w:r>
            <w:r w:rsidR="00EE386C" w:rsidRPr="00453696">
              <w:rPr>
                <w:sz w:val="24"/>
                <w:szCs w:val="24"/>
                <w:lang w:val="lv-LV"/>
              </w:rPr>
              <w:t>p</w:t>
            </w:r>
            <w:r w:rsidRPr="00453696">
              <w:rPr>
                <w:sz w:val="24"/>
                <w:szCs w:val="24"/>
                <w:lang w:val="lv-LV"/>
              </w:rPr>
              <w:t xml:space="preserve">ārstrukturēšanai (Eiropas Savienības </w:t>
            </w:r>
            <w:r w:rsidRPr="00453696">
              <w:rPr>
                <w:sz w:val="24"/>
                <w:szCs w:val="24"/>
                <w:lang w:val="lv-LV"/>
              </w:rPr>
              <w:lastRenderedPageBreak/>
              <w:t xml:space="preserve">Oficiālais Vēstnesis, 2014.gada 31.jūlijs, </w:t>
            </w:r>
            <w:proofErr w:type="spellStart"/>
            <w:r w:rsidRPr="00453696">
              <w:rPr>
                <w:sz w:val="24"/>
                <w:szCs w:val="24"/>
                <w:lang w:val="lv-LV"/>
              </w:rPr>
              <w:t>Nr</w:t>
            </w:r>
            <w:proofErr w:type="spellEnd"/>
            <w:r w:rsidRPr="00453696">
              <w:rPr>
                <w:sz w:val="24"/>
                <w:szCs w:val="24"/>
                <w:lang w:val="lv-LV"/>
              </w:rPr>
              <w:t>. C 249/1).</w:t>
            </w:r>
          </w:p>
        </w:tc>
      </w:tr>
      <w:tr w:rsidR="00765A89" w:rsidRPr="001C5D80" w:rsidTr="004221D9">
        <w:trPr>
          <w:gridAfter w:val="1"/>
          <w:wAfter w:w="86" w:type="pct"/>
          <w:tblCellSpacing w:w="15" w:type="dxa"/>
        </w:trPr>
        <w:tc>
          <w:tcPr>
            <w:tcW w:w="4864" w:type="pct"/>
            <w:gridSpan w:val="8"/>
            <w:shd w:val="clear" w:color="auto" w:fill="auto"/>
            <w:vAlign w:val="center"/>
            <w:hideMark/>
          </w:tcPr>
          <w:p w:rsidR="00765A89" w:rsidRPr="00453696" w:rsidRDefault="00765A89" w:rsidP="001C5D80">
            <w:pPr>
              <w:jc w:val="center"/>
              <w:rPr>
                <w:rFonts w:eastAsia="Times New Roman"/>
                <w:b/>
                <w:bCs/>
                <w:sz w:val="24"/>
                <w:szCs w:val="24"/>
                <w:lang w:val="lv-LV" w:eastAsia="lv-LV"/>
              </w:rPr>
            </w:pPr>
            <w:r w:rsidRPr="00453696">
              <w:rPr>
                <w:rFonts w:eastAsia="Times New Roman"/>
                <w:b/>
                <w:bCs/>
                <w:sz w:val="24"/>
                <w:szCs w:val="24"/>
                <w:lang w:val="lv-LV" w:eastAsia="lv-LV"/>
              </w:rPr>
              <w:lastRenderedPageBreak/>
              <w:t>1.tabula</w:t>
            </w:r>
            <w:r w:rsidRPr="00453696">
              <w:rPr>
                <w:rFonts w:eastAsia="Times New Roman"/>
                <w:b/>
                <w:bCs/>
                <w:sz w:val="24"/>
                <w:szCs w:val="24"/>
                <w:lang w:val="lv-LV" w:eastAsia="lv-LV"/>
              </w:rPr>
              <w:br/>
              <w:t>Tiesību akta projekta atbilstība ES tiesību aktiem</w:t>
            </w:r>
          </w:p>
        </w:tc>
      </w:tr>
      <w:tr w:rsidR="00765A89" w:rsidRPr="001C5D80" w:rsidTr="004221D9">
        <w:trPr>
          <w:gridAfter w:val="1"/>
          <w:wAfter w:w="86" w:type="pct"/>
          <w:tblCellSpacing w:w="15" w:type="dxa"/>
        </w:trPr>
        <w:tc>
          <w:tcPr>
            <w:tcW w:w="1012" w:type="pct"/>
            <w:gridSpan w:val="3"/>
            <w:shd w:val="clear" w:color="auto" w:fill="auto"/>
            <w:vAlign w:val="center"/>
            <w:hideMark/>
          </w:tcPr>
          <w:p w:rsidR="00765A89" w:rsidRPr="00453696" w:rsidRDefault="00765A89" w:rsidP="001C5D80">
            <w:pPr>
              <w:jc w:val="both"/>
              <w:rPr>
                <w:rFonts w:eastAsia="Times New Roman"/>
                <w:sz w:val="24"/>
                <w:szCs w:val="24"/>
                <w:lang w:val="lv-LV" w:eastAsia="lv-LV"/>
              </w:rPr>
            </w:pPr>
            <w:r w:rsidRPr="00453696">
              <w:rPr>
                <w:rFonts w:eastAsia="Times New Roman"/>
                <w:sz w:val="24"/>
                <w:szCs w:val="24"/>
                <w:lang w:val="lv-LV" w:eastAsia="lv-LV"/>
              </w:rPr>
              <w:t>Attiecīgā ES tiesību akta datums, numurs un nosaukums</w:t>
            </w:r>
          </w:p>
        </w:tc>
        <w:tc>
          <w:tcPr>
            <w:tcW w:w="3835" w:type="pct"/>
            <w:gridSpan w:val="5"/>
            <w:shd w:val="clear" w:color="auto" w:fill="auto"/>
            <w:vAlign w:val="center"/>
            <w:hideMark/>
          </w:tcPr>
          <w:p w:rsidR="00765A89" w:rsidRPr="00453696" w:rsidRDefault="00E451CF" w:rsidP="001C5D80">
            <w:pPr>
              <w:jc w:val="both"/>
              <w:rPr>
                <w:sz w:val="24"/>
                <w:szCs w:val="24"/>
                <w:lang w:val="lv-LV"/>
              </w:rPr>
            </w:pPr>
            <w:r w:rsidRPr="00453696">
              <w:rPr>
                <w:sz w:val="24"/>
                <w:szCs w:val="24"/>
                <w:lang w:val="lv-LV"/>
              </w:rPr>
              <w:t xml:space="preserve">Komisijas </w:t>
            </w:r>
            <w:r w:rsidR="00023C59" w:rsidRPr="00453696">
              <w:rPr>
                <w:sz w:val="24"/>
                <w:szCs w:val="24"/>
                <w:lang w:val="lv-LV"/>
              </w:rPr>
              <w:t xml:space="preserve"> regula Nr.1407/2013</w:t>
            </w:r>
          </w:p>
          <w:p w:rsidR="001F3875" w:rsidRPr="00453696" w:rsidRDefault="001F3875" w:rsidP="001C5D80">
            <w:pPr>
              <w:jc w:val="both"/>
              <w:rPr>
                <w:sz w:val="24"/>
                <w:szCs w:val="24"/>
                <w:lang w:val="lv-LV"/>
              </w:rPr>
            </w:pPr>
          </w:p>
        </w:tc>
      </w:tr>
      <w:tr w:rsidR="001C5D80" w:rsidRPr="001C5D80" w:rsidTr="004221D9">
        <w:trPr>
          <w:gridAfter w:val="1"/>
          <w:wAfter w:w="86" w:type="pct"/>
          <w:tblCellSpacing w:w="15" w:type="dxa"/>
        </w:trPr>
        <w:tc>
          <w:tcPr>
            <w:tcW w:w="1012" w:type="pct"/>
            <w:gridSpan w:val="3"/>
            <w:shd w:val="clear" w:color="auto" w:fill="auto"/>
            <w:vAlign w:val="center"/>
            <w:hideMark/>
          </w:tcPr>
          <w:p w:rsidR="00765A89" w:rsidRPr="00453696" w:rsidRDefault="00765A89" w:rsidP="001C5D80">
            <w:pPr>
              <w:jc w:val="both"/>
              <w:rPr>
                <w:rFonts w:eastAsia="Times New Roman"/>
                <w:sz w:val="24"/>
                <w:szCs w:val="24"/>
                <w:lang w:val="lv-LV" w:eastAsia="lv-LV"/>
              </w:rPr>
            </w:pPr>
            <w:r w:rsidRPr="00453696">
              <w:rPr>
                <w:rFonts w:eastAsia="Times New Roman"/>
                <w:sz w:val="24"/>
                <w:szCs w:val="24"/>
                <w:lang w:val="lv-LV" w:eastAsia="lv-LV"/>
              </w:rPr>
              <w:t>A</w:t>
            </w:r>
          </w:p>
        </w:tc>
        <w:tc>
          <w:tcPr>
            <w:tcW w:w="1665" w:type="pct"/>
            <w:gridSpan w:val="2"/>
            <w:shd w:val="clear" w:color="auto" w:fill="auto"/>
            <w:vAlign w:val="center"/>
            <w:hideMark/>
          </w:tcPr>
          <w:p w:rsidR="00765A89" w:rsidRPr="00453696" w:rsidRDefault="00765A89" w:rsidP="001C5D80">
            <w:pPr>
              <w:jc w:val="both"/>
              <w:rPr>
                <w:rFonts w:eastAsia="Times New Roman"/>
                <w:sz w:val="24"/>
                <w:szCs w:val="24"/>
                <w:lang w:val="lv-LV" w:eastAsia="lv-LV"/>
              </w:rPr>
            </w:pPr>
            <w:r w:rsidRPr="00453696">
              <w:rPr>
                <w:rFonts w:eastAsia="Times New Roman"/>
                <w:sz w:val="24"/>
                <w:szCs w:val="24"/>
                <w:lang w:val="lv-LV" w:eastAsia="lv-LV"/>
              </w:rPr>
              <w:t>B</w:t>
            </w:r>
          </w:p>
        </w:tc>
        <w:tc>
          <w:tcPr>
            <w:tcW w:w="1022" w:type="pct"/>
            <w:gridSpan w:val="2"/>
            <w:shd w:val="clear" w:color="auto" w:fill="auto"/>
            <w:vAlign w:val="center"/>
            <w:hideMark/>
          </w:tcPr>
          <w:p w:rsidR="00765A89" w:rsidRPr="00453696" w:rsidRDefault="00765A89" w:rsidP="001C5D80">
            <w:pPr>
              <w:jc w:val="both"/>
              <w:rPr>
                <w:rFonts w:eastAsia="Times New Roman"/>
                <w:sz w:val="24"/>
                <w:szCs w:val="24"/>
                <w:lang w:val="lv-LV" w:eastAsia="lv-LV"/>
              </w:rPr>
            </w:pPr>
            <w:r w:rsidRPr="00453696">
              <w:rPr>
                <w:rFonts w:eastAsia="Times New Roman"/>
                <w:sz w:val="24"/>
                <w:szCs w:val="24"/>
                <w:lang w:val="lv-LV" w:eastAsia="lv-LV"/>
              </w:rPr>
              <w:t>C</w:t>
            </w:r>
          </w:p>
        </w:tc>
        <w:tc>
          <w:tcPr>
            <w:tcW w:w="1114" w:type="pct"/>
            <w:shd w:val="clear" w:color="auto" w:fill="auto"/>
            <w:vAlign w:val="center"/>
            <w:hideMark/>
          </w:tcPr>
          <w:p w:rsidR="00765A89" w:rsidRPr="00453696" w:rsidRDefault="00765A89" w:rsidP="001C5D80">
            <w:pPr>
              <w:jc w:val="both"/>
              <w:rPr>
                <w:rFonts w:eastAsia="Times New Roman"/>
                <w:sz w:val="24"/>
                <w:szCs w:val="24"/>
                <w:lang w:val="lv-LV" w:eastAsia="lv-LV"/>
              </w:rPr>
            </w:pPr>
            <w:r w:rsidRPr="00453696">
              <w:rPr>
                <w:rFonts w:eastAsia="Times New Roman"/>
                <w:sz w:val="24"/>
                <w:szCs w:val="24"/>
                <w:lang w:val="lv-LV" w:eastAsia="lv-LV"/>
              </w:rPr>
              <w:t>D</w:t>
            </w:r>
          </w:p>
        </w:tc>
      </w:tr>
      <w:tr w:rsidR="00765A89" w:rsidRPr="001C5D80" w:rsidTr="004221D9">
        <w:trPr>
          <w:gridAfter w:val="1"/>
          <w:wAfter w:w="86" w:type="pct"/>
          <w:tblCellSpacing w:w="15" w:type="dxa"/>
        </w:trPr>
        <w:tc>
          <w:tcPr>
            <w:tcW w:w="1012" w:type="pct"/>
            <w:gridSpan w:val="3"/>
            <w:shd w:val="clear" w:color="auto" w:fill="auto"/>
            <w:hideMark/>
          </w:tcPr>
          <w:p w:rsidR="00765A89" w:rsidRPr="001C5D80" w:rsidRDefault="00765A89" w:rsidP="001C5D80">
            <w:pPr>
              <w:pStyle w:val="naiskr"/>
              <w:spacing w:before="0" w:after="0"/>
              <w:jc w:val="both"/>
            </w:pPr>
            <w:r w:rsidRPr="001C5D80">
              <w:t xml:space="preserve">Attiecīgā ES tiesību akta panta numurs (uzskaitot katru tiesību akta </w:t>
            </w:r>
            <w:r w:rsidRPr="001C5D80">
              <w:br/>
              <w:t>vienību – pantu, daļu, punktu, apakšpunktu)</w:t>
            </w:r>
          </w:p>
        </w:tc>
        <w:tc>
          <w:tcPr>
            <w:tcW w:w="1665" w:type="pct"/>
            <w:gridSpan w:val="2"/>
            <w:shd w:val="clear" w:color="auto" w:fill="auto"/>
            <w:hideMark/>
          </w:tcPr>
          <w:p w:rsidR="00765A89" w:rsidRPr="001C5D80" w:rsidRDefault="00765A89" w:rsidP="001C5D80">
            <w:pPr>
              <w:pStyle w:val="naiskr"/>
              <w:spacing w:before="0" w:after="0"/>
              <w:jc w:val="both"/>
            </w:pPr>
            <w:r w:rsidRPr="001C5D80">
              <w:t>Projekta vienība, kas pārņem vai ievieš katru šīs tabulas A ailē minēto ES tiesību akta vienību</w:t>
            </w:r>
          </w:p>
        </w:tc>
        <w:tc>
          <w:tcPr>
            <w:tcW w:w="1022" w:type="pct"/>
            <w:gridSpan w:val="2"/>
            <w:shd w:val="clear" w:color="auto" w:fill="auto"/>
            <w:hideMark/>
          </w:tcPr>
          <w:p w:rsidR="00765A89" w:rsidRPr="001C5D80" w:rsidRDefault="00765A89" w:rsidP="001C5D80">
            <w:pPr>
              <w:pStyle w:val="naiskr"/>
              <w:spacing w:before="0" w:after="0"/>
              <w:jc w:val="both"/>
            </w:pPr>
            <w:r w:rsidRPr="001C5D80">
              <w:t>Informācija par to, vai šīs tabulas A ailē minētās ES tiesību akta vienības tiek pārņemtas vai ieviestas pilnībā vai daļēji.</w:t>
            </w:r>
          </w:p>
          <w:p w:rsidR="00765A89" w:rsidRPr="001C5D80" w:rsidRDefault="00765A89" w:rsidP="001C5D80">
            <w:pPr>
              <w:pStyle w:val="naiskr"/>
              <w:spacing w:before="0" w:after="0"/>
              <w:jc w:val="both"/>
            </w:pPr>
            <w:r w:rsidRPr="001C5D80">
              <w:t>Ja attiecīgā ES tiesību akta vienība tiek pārņemta vai ieviesta daļēji, – sniedz attiecīgu skaidrojumu, kā arī precīzi norāda, kad un kādā veidā ES tiesību akta vienība tiks pārņemta vai ieviesta pilnībā.</w:t>
            </w:r>
          </w:p>
          <w:p w:rsidR="00765A89" w:rsidRPr="001C5D80" w:rsidRDefault="00765A89" w:rsidP="001C5D80">
            <w:pPr>
              <w:pStyle w:val="naiskr"/>
              <w:spacing w:before="0" w:after="0"/>
              <w:jc w:val="both"/>
            </w:pPr>
            <w:r w:rsidRPr="001C5D80">
              <w:t>Norāda institūciju, kas ir atbildīga par šo saistību izpildi pilnībā</w:t>
            </w:r>
          </w:p>
        </w:tc>
        <w:tc>
          <w:tcPr>
            <w:tcW w:w="1114" w:type="pct"/>
            <w:shd w:val="clear" w:color="auto" w:fill="auto"/>
            <w:hideMark/>
          </w:tcPr>
          <w:p w:rsidR="00765A89" w:rsidRPr="001C5D80" w:rsidRDefault="00765A89" w:rsidP="001C5D80">
            <w:pPr>
              <w:pStyle w:val="naiskr"/>
              <w:spacing w:before="0" w:after="0"/>
              <w:jc w:val="both"/>
            </w:pPr>
            <w:r w:rsidRPr="001C5D80">
              <w:t>Informācija par to, vai šīs tabulas B ailē minētās projekta vienības paredz stingrākas prasības nekā šīs tabulas A ailē minētās ES tiesību akta vienības.</w:t>
            </w:r>
          </w:p>
          <w:p w:rsidR="00765A89" w:rsidRPr="001C5D80" w:rsidRDefault="00765A89" w:rsidP="001C5D80">
            <w:pPr>
              <w:pStyle w:val="naiskr"/>
              <w:spacing w:before="0" w:after="0"/>
              <w:jc w:val="both"/>
            </w:pPr>
            <w:r w:rsidRPr="001C5D80">
              <w:t xml:space="preserve">Ja projekts satur stingrākas prasības nekā attiecīgais ES tiesību </w:t>
            </w:r>
            <w:smartTag w:uri="schemas-tilde-lv/tildestengine" w:element="veidnes">
              <w:smartTagPr>
                <w:attr w:name="id" w:val="-1"/>
                <w:attr w:name="baseform" w:val="akts"/>
                <w:attr w:name="text" w:val="akts"/>
              </w:smartTagPr>
              <w:r w:rsidRPr="001C5D80">
                <w:t>akts</w:t>
              </w:r>
            </w:smartTag>
            <w:r w:rsidRPr="001C5D80">
              <w:t>, – norāda pamatojumu un samērīgumu.</w:t>
            </w:r>
          </w:p>
          <w:p w:rsidR="00765A89" w:rsidRPr="001C5D80" w:rsidRDefault="00765A89" w:rsidP="001C5D80">
            <w:pPr>
              <w:pStyle w:val="naiskr"/>
              <w:spacing w:before="0" w:after="0"/>
              <w:jc w:val="both"/>
            </w:pPr>
            <w:r w:rsidRPr="001C5D80">
              <w:t>Norāda iespējamās alternatīvas (</w:t>
            </w:r>
            <w:proofErr w:type="spellStart"/>
            <w:r w:rsidRPr="001C5D80">
              <w:t>t.sk</w:t>
            </w:r>
            <w:proofErr w:type="spellEnd"/>
            <w:r w:rsidRPr="001C5D80">
              <w:t>. alternatīvas, kas neparedz tiesiskā regulējuma izstrādi) – kādos gadījumos būtu iespējams izvairīties no stingrāku prasību noteikšanas, nekā paredzēts attiecīgajos ES tiesību aktos</w:t>
            </w:r>
          </w:p>
        </w:tc>
      </w:tr>
      <w:tr w:rsidR="00F93C71" w:rsidRPr="001C5D80" w:rsidTr="004221D9">
        <w:trPr>
          <w:gridAfter w:val="1"/>
          <w:wAfter w:w="86" w:type="pct"/>
          <w:tblCellSpacing w:w="15" w:type="dxa"/>
        </w:trPr>
        <w:tc>
          <w:tcPr>
            <w:tcW w:w="1012" w:type="pct"/>
            <w:gridSpan w:val="3"/>
            <w:shd w:val="clear" w:color="auto" w:fill="auto"/>
          </w:tcPr>
          <w:p w:rsidR="006D0653" w:rsidRDefault="00F93C71" w:rsidP="001C5D80">
            <w:pPr>
              <w:pStyle w:val="naiskr"/>
              <w:spacing w:before="0" w:after="0"/>
              <w:jc w:val="both"/>
              <w:rPr>
                <w:i/>
                <w:color w:val="000000" w:themeColor="text1"/>
              </w:rPr>
            </w:pPr>
            <w:r w:rsidRPr="001C5D80">
              <w:rPr>
                <w:i/>
                <w:color w:val="000000" w:themeColor="text1"/>
              </w:rPr>
              <w:t xml:space="preserve">Komisijas Regulas Nr.1407/2013 </w:t>
            </w:r>
          </w:p>
          <w:p w:rsidR="00F93C71" w:rsidRPr="001C5D80" w:rsidRDefault="00610121" w:rsidP="001C5D80">
            <w:pPr>
              <w:pStyle w:val="naiskr"/>
              <w:spacing w:before="0" w:after="0"/>
              <w:jc w:val="both"/>
              <w:rPr>
                <w:i/>
                <w:color w:val="000000" w:themeColor="text1"/>
                <w:highlight w:val="yellow"/>
              </w:rPr>
            </w:pPr>
            <w:r w:rsidRPr="001C5D80">
              <w:rPr>
                <w:i/>
                <w:color w:val="000000" w:themeColor="text1"/>
              </w:rPr>
              <w:t>4.</w:t>
            </w:r>
            <w:r w:rsidR="00D94BBB" w:rsidRPr="001C5D80">
              <w:rPr>
                <w:i/>
                <w:color w:val="000000" w:themeColor="text1"/>
              </w:rPr>
              <w:t xml:space="preserve">panta </w:t>
            </w:r>
            <w:r w:rsidRPr="001C5D80">
              <w:rPr>
                <w:i/>
                <w:color w:val="000000" w:themeColor="text1"/>
              </w:rPr>
              <w:t>6.</w:t>
            </w:r>
            <w:r w:rsidR="00D94BBB" w:rsidRPr="001C5D80">
              <w:rPr>
                <w:i/>
                <w:color w:val="000000" w:themeColor="text1"/>
              </w:rPr>
              <w:t xml:space="preserve">punkta </w:t>
            </w:r>
            <w:r w:rsidRPr="001C5D80">
              <w:rPr>
                <w:i/>
                <w:color w:val="000000" w:themeColor="text1"/>
              </w:rPr>
              <w:t>b) apakšpunkts</w:t>
            </w:r>
          </w:p>
        </w:tc>
        <w:tc>
          <w:tcPr>
            <w:tcW w:w="1665" w:type="pct"/>
            <w:gridSpan w:val="2"/>
            <w:shd w:val="clear" w:color="auto" w:fill="auto"/>
          </w:tcPr>
          <w:p w:rsidR="00F93C71" w:rsidRPr="001C5D80" w:rsidRDefault="00F93C71" w:rsidP="001C5D80">
            <w:pPr>
              <w:pStyle w:val="naiskr"/>
              <w:spacing w:before="0" w:after="0"/>
              <w:jc w:val="both"/>
              <w:rPr>
                <w:highlight w:val="yellow"/>
              </w:rPr>
            </w:pPr>
            <w:r w:rsidRPr="001C5D80">
              <w:t xml:space="preserve">Noteikumu projekta </w:t>
            </w:r>
            <w:r w:rsidR="00610121" w:rsidRPr="001C5D80">
              <w:t>3</w:t>
            </w:r>
            <w:r w:rsidRPr="001C5D80">
              <w:t>.punkts</w:t>
            </w:r>
          </w:p>
        </w:tc>
        <w:tc>
          <w:tcPr>
            <w:tcW w:w="1022" w:type="pct"/>
            <w:gridSpan w:val="2"/>
            <w:shd w:val="clear" w:color="auto" w:fill="auto"/>
          </w:tcPr>
          <w:p w:rsidR="00F93C71" w:rsidRPr="001C5D80" w:rsidRDefault="00FA5D90" w:rsidP="001C5D80">
            <w:pPr>
              <w:pStyle w:val="naiskr"/>
              <w:spacing w:before="0" w:after="0"/>
              <w:jc w:val="both"/>
            </w:pPr>
            <w:r w:rsidRPr="001C5D80">
              <w:t>Ieviests pilnībā</w:t>
            </w:r>
          </w:p>
        </w:tc>
        <w:tc>
          <w:tcPr>
            <w:tcW w:w="1114" w:type="pct"/>
            <w:shd w:val="clear" w:color="auto" w:fill="auto"/>
          </w:tcPr>
          <w:p w:rsidR="00F93C71" w:rsidRPr="001C5D80" w:rsidRDefault="00FA5D90" w:rsidP="001C5D80">
            <w:pPr>
              <w:pStyle w:val="naiskr"/>
              <w:spacing w:before="0" w:after="0"/>
              <w:jc w:val="both"/>
            </w:pPr>
            <w:r w:rsidRPr="001C5D80">
              <w:t>Neparedz stingrākas prasības</w:t>
            </w:r>
          </w:p>
        </w:tc>
      </w:tr>
      <w:tr w:rsidR="00F93C71" w:rsidRPr="001C5D80" w:rsidTr="004221D9">
        <w:trPr>
          <w:gridAfter w:val="1"/>
          <w:wAfter w:w="86" w:type="pct"/>
          <w:tblCellSpacing w:w="15" w:type="dxa"/>
        </w:trPr>
        <w:tc>
          <w:tcPr>
            <w:tcW w:w="1012" w:type="pct"/>
            <w:gridSpan w:val="3"/>
            <w:shd w:val="clear" w:color="auto" w:fill="auto"/>
          </w:tcPr>
          <w:p w:rsidR="00D6147D" w:rsidRDefault="00610121" w:rsidP="00D6147D">
            <w:pPr>
              <w:pStyle w:val="naiskr"/>
              <w:spacing w:before="0" w:after="0"/>
              <w:jc w:val="both"/>
              <w:rPr>
                <w:i/>
                <w:color w:val="000000" w:themeColor="text1"/>
              </w:rPr>
            </w:pPr>
            <w:r w:rsidRPr="001C5D80">
              <w:rPr>
                <w:i/>
                <w:color w:val="000000" w:themeColor="text1"/>
              </w:rPr>
              <w:t xml:space="preserve">Komisijas Regulas Nr.1407/2013 </w:t>
            </w:r>
            <w:r w:rsidR="00D6147D">
              <w:rPr>
                <w:i/>
                <w:color w:val="000000" w:themeColor="text1"/>
              </w:rPr>
              <w:lastRenderedPageBreak/>
              <w:t>3.panta 2.punkts;</w:t>
            </w:r>
          </w:p>
          <w:p w:rsidR="00F93C71" w:rsidRPr="001C5D80" w:rsidRDefault="00610121" w:rsidP="001C5D80">
            <w:pPr>
              <w:pStyle w:val="naiskr"/>
              <w:spacing w:before="0" w:after="0"/>
              <w:jc w:val="both"/>
              <w:rPr>
                <w:i/>
                <w:color w:val="000000" w:themeColor="text1"/>
                <w:highlight w:val="yellow"/>
              </w:rPr>
            </w:pPr>
            <w:r w:rsidRPr="001C5D80">
              <w:rPr>
                <w:i/>
                <w:color w:val="000000" w:themeColor="text1"/>
              </w:rPr>
              <w:t>4.</w:t>
            </w:r>
            <w:r w:rsidR="00D94BBB" w:rsidRPr="001C5D80">
              <w:rPr>
                <w:i/>
                <w:color w:val="000000" w:themeColor="text1"/>
              </w:rPr>
              <w:t xml:space="preserve">panta </w:t>
            </w:r>
            <w:r w:rsidRPr="001C5D80">
              <w:rPr>
                <w:i/>
                <w:color w:val="000000" w:themeColor="text1"/>
              </w:rPr>
              <w:t>6.</w:t>
            </w:r>
            <w:r w:rsidR="00D94BBB" w:rsidRPr="001C5D80">
              <w:rPr>
                <w:i/>
                <w:color w:val="000000" w:themeColor="text1"/>
              </w:rPr>
              <w:t xml:space="preserve">punkta </w:t>
            </w:r>
            <w:r w:rsidRPr="001C5D80">
              <w:rPr>
                <w:i/>
                <w:color w:val="000000" w:themeColor="text1"/>
              </w:rPr>
              <w:t>b) apakšpunkts</w:t>
            </w:r>
          </w:p>
        </w:tc>
        <w:tc>
          <w:tcPr>
            <w:tcW w:w="1665" w:type="pct"/>
            <w:gridSpan w:val="2"/>
            <w:shd w:val="clear" w:color="auto" w:fill="auto"/>
          </w:tcPr>
          <w:p w:rsidR="00F93C71" w:rsidRPr="001C5D80" w:rsidRDefault="00F93C71" w:rsidP="001C5D80">
            <w:pPr>
              <w:pStyle w:val="naiskr"/>
              <w:spacing w:before="0" w:after="0"/>
              <w:jc w:val="both"/>
            </w:pPr>
            <w:r w:rsidRPr="001C5D80">
              <w:lastRenderedPageBreak/>
              <w:t xml:space="preserve">Noteikumu projekta </w:t>
            </w:r>
            <w:r w:rsidR="00610121" w:rsidRPr="001C5D80">
              <w:t>5</w:t>
            </w:r>
            <w:r w:rsidRPr="001C5D80">
              <w:t>.punkts</w:t>
            </w:r>
          </w:p>
        </w:tc>
        <w:tc>
          <w:tcPr>
            <w:tcW w:w="1022" w:type="pct"/>
            <w:gridSpan w:val="2"/>
            <w:shd w:val="clear" w:color="auto" w:fill="auto"/>
          </w:tcPr>
          <w:p w:rsidR="00F93C71" w:rsidRPr="001C5D80" w:rsidRDefault="00FA5D90" w:rsidP="001C5D80">
            <w:pPr>
              <w:pStyle w:val="naiskr"/>
              <w:spacing w:before="0" w:after="0"/>
              <w:jc w:val="both"/>
            </w:pPr>
            <w:r w:rsidRPr="001C5D80">
              <w:t>Ieviests pilnībā</w:t>
            </w:r>
          </w:p>
        </w:tc>
        <w:tc>
          <w:tcPr>
            <w:tcW w:w="1114" w:type="pct"/>
            <w:shd w:val="clear" w:color="auto" w:fill="auto"/>
          </w:tcPr>
          <w:p w:rsidR="00F93C71" w:rsidRPr="001C5D80" w:rsidRDefault="00FA5D90" w:rsidP="001C5D80">
            <w:pPr>
              <w:pStyle w:val="naiskr"/>
              <w:spacing w:before="0" w:after="0"/>
              <w:jc w:val="both"/>
            </w:pPr>
            <w:r w:rsidRPr="001C5D80">
              <w:t>Neparedz stingrākas prasības</w:t>
            </w:r>
          </w:p>
        </w:tc>
      </w:tr>
      <w:tr w:rsidR="00765A89" w:rsidRPr="001C5D80" w:rsidTr="004221D9">
        <w:trPr>
          <w:gridAfter w:val="1"/>
          <w:wAfter w:w="86" w:type="pct"/>
          <w:tblCellSpacing w:w="15" w:type="dxa"/>
        </w:trPr>
        <w:tc>
          <w:tcPr>
            <w:tcW w:w="1012" w:type="pct"/>
            <w:gridSpan w:val="3"/>
            <w:shd w:val="clear" w:color="auto" w:fill="auto"/>
            <w:vAlign w:val="center"/>
            <w:hideMark/>
          </w:tcPr>
          <w:p w:rsidR="00765A89" w:rsidRPr="001C5D80" w:rsidRDefault="00765A89" w:rsidP="001C5D80">
            <w:pPr>
              <w:jc w:val="both"/>
              <w:rPr>
                <w:rFonts w:eastAsia="Times New Roman"/>
                <w:sz w:val="24"/>
                <w:szCs w:val="24"/>
                <w:lang w:val="lv-LV" w:eastAsia="lv-LV"/>
              </w:rPr>
            </w:pPr>
            <w:r w:rsidRPr="001C5D80">
              <w:rPr>
                <w:rFonts w:eastAsia="Times New Roman"/>
                <w:sz w:val="24"/>
                <w:szCs w:val="24"/>
                <w:lang w:val="lv-LV" w:eastAsia="lv-LV"/>
              </w:rPr>
              <w:lastRenderedPageBreak/>
              <w:t>Kā ir izmantota ES tiesību aktā paredzētā rīcības brīvība dalībvalstij pārņemt vai ieviest noteiktas ES tiesību akta normas.</w:t>
            </w:r>
          </w:p>
        </w:tc>
        <w:tc>
          <w:tcPr>
            <w:tcW w:w="3835" w:type="pct"/>
            <w:gridSpan w:val="5"/>
            <w:shd w:val="clear" w:color="auto" w:fill="auto"/>
            <w:hideMark/>
          </w:tcPr>
          <w:p w:rsidR="00765A89" w:rsidRPr="001C5D80" w:rsidRDefault="001802AA" w:rsidP="001C5D80">
            <w:pPr>
              <w:autoSpaceDE w:val="0"/>
              <w:autoSpaceDN w:val="0"/>
              <w:adjustRightInd w:val="0"/>
              <w:jc w:val="both"/>
              <w:rPr>
                <w:sz w:val="24"/>
                <w:szCs w:val="24"/>
                <w:lang w:val="lv-LV"/>
              </w:rPr>
            </w:pPr>
            <w:r w:rsidRPr="001C5D80">
              <w:rPr>
                <w:rFonts w:eastAsia="Times New Roman"/>
                <w:iCs/>
                <w:sz w:val="24"/>
                <w:szCs w:val="24"/>
                <w:lang w:val="lv-LV" w:eastAsia="lv-LV"/>
              </w:rPr>
              <w:t>Komisijas Regula Nr.1407/2013</w:t>
            </w:r>
            <w:r w:rsidR="00FA5D90" w:rsidRPr="001C5D80">
              <w:rPr>
                <w:rFonts w:eastAsia="Times New Roman"/>
                <w:iCs/>
                <w:sz w:val="24"/>
                <w:szCs w:val="24"/>
                <w:lang w:val="lv-LV" w:eastAsia="lv-LV"/>
              </w:rPr>
              <w:t xml:space="preserve"> neparedz rīcības brīvību. Sniedzot </w:t>
            </w:r>
            <w:proofErr w:type="spellStart"/>
            <w:r w:rsidR="00FA5D90" w:rsidRPr="001C5D80">
              <w:rPr>
                <w:rFonts w:eastAsia="Times New Roman"/>
                <w:i/>
                <w:iCs/>
                <w:sz w:val="24"/>
                <w:szCs w:val="24"/>
                <w:lang w:val="lv-LV" w:eastAsia="lv-LV"/>
              </w:rPr>
              <w:t>de</w:t>
            </w:r>
            <w:proofErr w:type="spellEnd"/>
            <w:r w:rsidR="00FA5D90" w:rsidRPr="001C5D80">
              <w:rPr>
                <w:rFonts w:eastAsia="Times New Roman"/>
                <w:i/>
                <w:iCs/>
                <w:sz w:val="24"/>
                <w:szCs w:val="24"/>
                <w:lang w:val="lv-LV" w:eastAsia="lv-LV"/>
              </w:rPr>
              <w:t xml:space="preserve"> </w:t>
            </w:r>
            <w:proofErr w:type="spellStart"/>
            <w:r w:rsidR="00FA5D90" w:rsidRPr="001C5D80">
              <w:rPr>
                <w:rFonts w:eastAsia="Times New Roman"/>
                <w:i/>
                <w:iCs/>
                <w:sz w:val="24"/>
                <w:szCs w:val="24"/>
                <w:lang w:val="lv-LV" w:eastAsia="lv-LV"/>
              </w:rPr>
              <w:t>minimis</w:t>
            </w:r>
            <w:proofErr w:type="spellEnd"/>
            <w:r w:rsidR="00FA5D90" w:rsidRPr="001C5D80">
              <w:rPr>
                <w:rFonts w:eastAsia="Times New Roman"/>
                <w:iCs/>
                <w:sz w:val="24"/>
                <w:szCs w:val="24"/>
                <w:lang w:val="lv-LV" w:eastAsia="lv-LV"/>
              </w:rPr>
              <w:t xml:space="preserve"> atbalstu, Komisijas Regula Nr.1407/2013 ir obligāti piemērojama.</w:t>
            </w:r>
          </w:p>
          <w:p w:rsidR="00765A89" w:rsidRPr="001C5D80" w:rsidRDefault="00765A89" w:rsidP="001C5D80">
            <w:pPr>
              <w:jc w:val="both"/>
              <w:rPr>
                <w:rFonts w:eastAsia="Times New Roman"/>
                <w:sz w:val="24"/>
                <w:szCs w:val="24"/>
                <w:lang w:val="lv-LV" w:eastAsia="lv-LV"/>
              </w:rPr>
            </w:pPr>
          </w:p>
        </w:tc>
      </w:tr>
      <w:tr w:rsidR="00765A89" w:rsidRPr="001C5D80" w:rsidTr="004221D9">
        <w:trPr>
          <w:gridAfter w:val="1"/>
          <w:wAfter w:w="86" w:type="pct"/>
          <w:tblCellSpacing w:w="15" w:type="dxa"/>
        </w:trPr>
        <w:tc>
          <w:tcPr>
            <w:tcW w:w="1012" w:type="pct"/>
            <w:gridSpan w:val="3"/>
            <w:shd w:val="clear" w:color="auto" w:fill="auto"/>
            <w:vAlign w:val="center"/>
            <w:hideMark/>
          </w:tcPr>
          <w:p w:rsidR="00765A89" w:rsidRPr="001C5D80" w:rsidRDefault="00765A89" w:rsidP="001C5D80">
            <w:pPr>
              <w:jc w:val="both"/>
              <w:rPr>
                <w:rFonts w:eastAsia="Times New Roman"/>
                <w:sz w:val="24"/>
                <w:szCs w:val="24"/>
                <w:lang w:val="lv-LV" w:eastAsia="lv-LV"/>
              </w:rPr>
            </w:pPr>
            <w:r w:rsidRPr="001C5D80">
              <w:rPr>
                <w:rFonts w:eastAsia="Times New Roman"/>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5" w:type="pct"/>
            <w:gridSpan w:val="5"/>
            <w:shd w:val="clear" w:color="auto" w:fill="auto"/>
            <w:hideMark/>
          </w:tcPr>
          <w:p w:rsidR="00765A89" w:rsidRPr="001C5D80" w:rsidRDefault="001A2070" w:rsidP="001C5D80">
            <w:pPr>
              <w:jc w:val="both"/>
              <w:rPr>
                <w:rFonts w:eastAsia="Times New Roman"/>
                <w:iCs/>
                <w:sz w:val="24"/>
                <w:szCs w:val="24"/>
                <w:lang w:val="lv-LV" w:eastAsia="lv-LV"/>
              </w:rPr>
            </w:pPr>
            <w:r w:rsidRPr="001C5D80">
              <w:rPr>
                <w:rFonts w:eastAsia="Times New Roman"/>
                <w:iCs/>
                <w:sz w:val="24"/>
                <w:szCs w:val="24"/>
                <w:lang w:val="lv-LV" w:eastAsia="lv-LV"/>
              </w:rPr>
              <w:t xml:space="preserve">Ņemot vērā, ka tiek sniegts </w:t>
            </w:r>
            <w:proofErr w:type="spellStart"/>
            <w:r w:rsidRPr="001C5D80">
              <w:rPr>
                <w:rFonts w:eastAsia="Times New Roman"/>
                <w:i/>
                <w:iCs/>
                <w:sz w:val="24"/>
                <w:szCs w:val="24"/>
                <w:lang w:val="lv-LV" w:eastAsia="lv-LV"/>
              </w:rPr>
              <w:t>de</w:t>
            </w:r>
            <w:proofErr w:type="spellEnd"/>
            <w:r w:rsidRPr="001C5D80">
              <w:rPr>
                <w:rFonts w:eastAsia="Times New Roman"/>
                <w:i/>
                <w:iCs/>
                <w:sz w:val="24"/>
                <w:szCs w:val="24"/>
                <w:lang w:val="lv-LV" w:eastAsia="lv-LV"/>
              </w:rPr>
              <w:t xml:space="preserve"> </w:t>
            </w:r>
            <w:proofErr w:type="spellStart"/>
            <w:r w:rsidRPr="001C5D80">
              <w:rPr>
                <w:rFonts w:eastAsia="Times New Roman"/>
                <w:i/>
                <w:iCs/>
                <w:sz w:val="24"/>
                <w:szCs w:val="24"/>
                <w:lang w:val="lv-LV" w:eastAsia="lv-LV"/>
              </w:rPr>
              <w:t>minimis</w:t>
            </w:r>
            <w:proofErr w:type="spellEnd"/>
            <w:r w:rsidRPr="001C5D80">
              <w:rPr>
                <w:rFonts w:eastAsia="Times New Roman"/>
                <w:iCs/>
                <w:sz w:val="24"/>
                <w:szCs w:val="24"/>
                <w:lang w:val="lv-LV" w:eastAsia="lv-LV"/>
              </w:rPr>
              <w:t xml:space="preserve"> atbalsts, </w:t>
            </w:r>
            <w:r w:rsidR="00765A89" w:rsidRPr="001C5D80">
              <w:rPr>
                <w:rFonts w:eastAsia="Times New Roman"/>
                <w:iCs/>
                <w:sz w:val="24"/>
                <w:szCs w:val="24"/>
                <w:lang w:val="lv-LV" w:eastAsia="lv-LV"/>
              </w:rPr>
              <w:t xml:space="preserve">noteikumu projekts saskaņā ar </w:t>
            </w:r>
            <w:r w:rsidRPr="001C5D80">
              <w:rPr>
                <w:sz w:val="24"/>
                <w:szCs w:val="24"/>
                <w:lang w:val="lv-LV"/>
              </w:rPr>
              <w:t>Komisijas Regulu</w:t>
            </w:r>
            <w:r w:rsidR="00765A89" w:rsidRPr="001C5D80">
              <w:rPr>
                <w:sz w:val="24"/>
                <w:szCs w:val="24"/>
                <w:lang w:val="lv-LV"/>
              </w:rPr>
              <w:t xml:space="preserve"> Nr.1</w:t>
            </w:r>
            <w:r w:rsidRPr="001C5D80">
              <w:rPr>
                <w:sz w:val="24"/>
                <w:szCs w:val="24"/>
                <w:lang w:val="lv-LV"/>
              </w:rPr>
              <w:t>407/2013</w:t>
            </w:r>
            <w:r w:rsidR="00765A89" w:rsidRPr="001C5D80">
              <w:rPr>
                <w:sz w:val="24"/>
                <w:szCs w:val="24"/>
                <w:lang w:val="lv-LV"/>
              </w:rPr>
              <w:t xml:space="preserve"> </w:t>
            </w:r>
            <w:r w:rsidR="00765A89" w:rsidRPr="001C5D80">
              <w:rPr>
                <w:rFonts w:eastAsia="Times New Roman"/>
                <w:iCs/>
                <w:sz w:val="24"/>
                <w:szCs w:val="24"/>
                <w:lang w:val="lv-LV" w:eastAsia="lv-LV"/>
              </w:rPr>
              <w:t>ir atbrīvots no iepriekšējas paziņošanas Eiropas Komisijai</w:t>
            </w:r>
            <w:r w:rsidRPr="001C5D80">
              <w:rPr>
                <w:rFonts w:eastAsia="Times New Roman"/>
                <w:iCs/>
                <w:sz w:val="24"/>
                <w:szCs w:val="24"/>
                <w:lang w:val="lv-LV" w:eastAsia="lv-LV"/>
              </w:rPr>
              <w:t>.</w:t>
            </w:r>
          </w:p>
          <w:p w:rsidR="00765A89" w:rsidRPr="001C5D80" w:rsidRDefault="00765A89" w:rsidP="001C5D80">
            <w:pPr>
              <w:jc w:val="both"/>
              <w:rPr>
                <w:rFonts w:eastAsia="Times New Roman"/>
                <w:iCs/>
                <w:sz w:val="24"/>
                <w:szCs w:val="24"/>
                <w:lang w:val="lv-LV" w:eastAsia="lv-LV"/>
              </w:rPr>
            </w:pPr>
          </w:p>
          <w:p w:rsidR="00765A89" w:rsidRPr="001C5D80" w:rsidRDefault="00765A89" w:rsidP="001C5D80">
            <w:pPr>
              <w:jc w:val="both"/>
              <w:rPr>
                <w:rFonts w:eastAsia="Times New Roman"/>
                <w:sz w:val="24"/>
                <w:szCs w:val="24"/>
                <w:lang w:val="lv-LV" w:eastAsia="lv-LV"/>
              </w:rPr>
            </w:pPr>
          </w:p>
        </w:tc>
      </w:tr>
      <w:tr w:rsidR="00765A89" w:rsidRPr="001C5D80" w:rsidTr="004221D9">
        <w:trPr>
          <w:gridAfter w:val="1"/>
          <w:wAfter w:w="86" w:type="pct"/>
          <w:tblCellSpacing w:w="15" w:type="dxa"/>
        </w:trPr>
        <w:tc>
          <w:tcPr>
            <w:tcW w:w="1012" w:type="pct"/>
            <w:gridSpan w:val="3"/>
            <w:shd w:val="clear" w:color="auto" w:fill="auto"/>
            <w:hideMark/>
          </w:tcPr>
          <w:p w:rsidR="00765A89" w:rsidRPr="001C5D80" w:rsidRDefault="00765A89" w:rsidP="001C5D80">
            <w:pPr>
              <w:jc w:val="both"/>
              <w:rPr>
                <w:rFonts w:eastAsia="Times New Roman"/>
                <w:sz w:val="24"/>
                <w:szCs w:val="24"/>
                <w:lang w:val="lv-LV" w:eastAsia="lv-LV"/>
              </w:rPr>
            </w:pPr>
            <w:r w:rsidRPr="001C5D80">
              <w:rPr>
                <w:rFonts w:eastAsia="Times New Roman"/>
                <w:sz w:val="24"/>
                <w:szCs w:val="24"/>
                <w:lang w:val="lv-LV" w:eastAsia="lv-LV"/>
              </w:rPr>
              <w:t>Cita informācija</w:t>
            </w:r>
          </w:p>
        </w:tc>
        <w:tc>
          <w:tcPr>
            <w:tcW w:w="3835" w:type="pct"/>
            <w:gridSpan w:val="5"/>
            <w:shd w:val="clear" w:color="auto" w:fill="auto"/>
            <w:hideMark/>
          </w:tcPr>
          <w:p w:rsidR="00765A89" w:rsidRPr="001C5D80" w:rsidRDefault="00765A89" w:rsidP="001C5D80">
            <w:pPr>
              <w:jc w:val="both"/>
              <w:rPr>
                <w:rFonts w:eastAsia="Times New Roman"/>
                <w:sz w:val="24"/>
                <w:szCs w:val="24"/>
                <w:lang w:val="lv-LV" w:eastAsia="lv-LV"/>
              </w:rPr>
            </w:pPr>
            <w:r w:rsidRPr="001C5D80">
              <w:rPr>
                <w:rFonts w:eastAsia="Times New Roman"/>
                <w:sz w:val="24"/>
                <w:szCs w:val="24"/>
                <w:lang w:val="lv-LV" w:eastAsia="lv-LV"/>
              </w:rPr>
              <w:t>Nav</w:t>
            </w:r>
          </w:p>
        </w:tc>
      </w:tr>
      <w:tr w:rsidR="00C82F3D" w:rsidRPr="001C5D80" w:rsidTr="004221D9">
        <w:tblPrEx>
          <w:tblCellSpacing w:w="0" w:type="nil"/>
          <w:tblBorders>
            <w:bottom w:val="thickThinLargeGap" w:sz="6" w:space="0" w:color="C0C0C0"/>
            <w:right w:val="thickThinLargeGap" w:sz="6" w:space="0" w:color="C0C0C0"/>
            <w:insideH w:val="none" w:sz="0" w:space="0" w:color="auto"/>
            <w:insideV w:val="none" w:sz="0" w:space="0" w:color="auto"/>
          </w:tblBorders>
          <w:tblCellMar>
            <w:top w:w="0" w:type="dxa"/>
            <w:left w:w="0" w:type="dxa"/>
            <w:bottom w:w="0" w:type="dxa"/>
            <w:right w:w="0" w:type="dxa"/>
          </w:tblCellMar>
        </w:tblPrEx>
        <w:trPr>
          <w:trHeight w:val="304"/>
        </w:trPr>
        <w:tc>
          <w:tcPr>
            <w:tcW w:w="4967" w:type="pct"/>
            <w:gridSpan w:val="9"/>
            <w:tcBorders>
              <w:top w:val="thickThinLargeGap" w:sz="6" w:space="0" w:color="C0C0C0"/>
              <w:left w:val="thickThinLargeGap" w:sz="6" w:space="0" w:color="C0C0C0"/>
              <w:bottom w:val="thickThinLargeGap" w:sz="6" w:space="0" w:color="C0C0C0"/>
              <w:right w:val="thickThinLargeGap" w:sz="6" w:space="0" w:color="C0C0C0"/>
            </w:tcBorders>
          </w:tcPr>
          <w:p w:rsidR="00C82F3D" w:rsidRPr="001C5D80" w:rsidRDefault="00C82F3D" w:rsidP="001C5D80">
            <w:pPr>
              <w:ind w:firstLine="720"/>
              <w:jc w:val="both"/>
              <w:rPr>
                <w:rFonts w:eastAsia="Times New Roman"/>
                <w:b/>
                <w:sz w:val="24"/>
                <w:szCs w:val="24"/>
                <w:lang w:val="lv-LV" w:eastAsia="lv-LV"/>
              </w:rPr>
            </w:pPr>
            <w:r w:rsidRPr="001C5D80">
              <w:rPr>
                <w:rFonts w:eastAsia="Times New Roman"/>
                <w:b/>
                <w:sz w:val="24"/>
                <w:szCs w:val="24"/>
                <w:lang w:val="lv-LV" w:eastAsia="lv-LV"/>
              </w:rPr>
              <w:t>VII. Tiesību akta projekta izpildes nodrošināšana un tās ietekme uz institūcijām</w:t>
            </w:r>
          </w:p>
        </w:tc>
      </w:tr>
      <w:tr w:rsidR="001C5D80" w:rsidRPr="001C5D80" w:rsidTr="004221D9">
        <w:tblPrEx>
          <w:tblCellSpacing w:w="0" w:type="nil"/>
          <w:tblBorders>
            <w:bottom w:val="thickThinLargeGap" w:sz="6" w:space="0" w:color="C0C0C0"/>
            <w:right w:val="thickThinLargeGap" w:sz="6" w:space="0" w:color="C0C0C0"/>
            <w:insideH w:val="none" w:sz="0" w:space="0" w:color="auto"/>
            <w:insideV w:val="none" w:sz="0" w:space="0" w:color="auto"/>
          </w:tblBorders>
          <w:tblCellMar>
            <w:top w:w="0" w:type="dxa"/>
            <w:left w:w="0" w:type="dxa"/>
            <w:bottom w:w="0" w:type="dxa"/>
            <w:right w:w="0" w:type="dxa"/>
          </w:tblCellMar>
        </w:tblPrEx>
        <w:trPr>
          <w:trHeight w:val="347"/>
        </w:trPr>
        <w:tc>
          <w:tcPr>
            <w:tcW w:w="838" w:type="pct"/>
            <w:gridSpan w:val="2"/>
            <w:tcBorders>
              <w:top w:val="thickThinLargeGap" w:sz="6" w:space="0" w:color="C0C0C0"/>
              <w:left w:val="thickThinLargeGap" w:sz="6" w:space="0" w:color="C0C0C0"/>
              <w:bottom w:val="thickThinLargeGap" w:sz="6" w:space="0" w:color="C0C0C0"/>
              <w:right w:val="thickThinLargeGap" w:sz="6" w:space="0" w:color="C0C0C0"/>
            </w:tcBorders>
          </w:tcPr>
          <w:p w:rsidR="00C82F3D" w:rsidRPr="001C5D80" w:rsidRDefault="00C82F3D" w:rsidP="001C5D80">
            <w:pPr>
              <w:jc w:val="both"/>
              <w:rPr>
                <w:rFonts w:eastAsia="Times New Roman"/>
                <w:sz w:val="24"/>
                <w:szCs w:val="24"/>
                <w:lang w:val="lv-LV" w:eastAsia="lv-LV"/>
              </w:rPr>
            </w:pPr>
            <w:r w:rsidRPr="001C5D80">
              <w:rPr>
                <w:rFonts w:eastAsia="Times New Roman"/>
                <w:sz w:val="24"/>
                <w:szCs w:val="24"/>
                <w:lang w:val="lv-LV" w:eastAsia="lv-LV"/>
              </w:rPr>
              <w:t>1.</w:t>
            </w:r>
          </w:p>
        </w:tc>
        <w:tc>
          <w:tcPr>
            <w:tcW w:w="2704" w:type="pct"/>
            <w:gridSpan w:val="4"/>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1C5D80" w:rsidRDefault="00C82F3D" w:rsidP="001C5D80">
            <w:pPr>
              <w:jc w:val="both"/>
              <w:rPr>
                <w:rFonts w:eastAsia="Times New Roman"/>
                <w:sz w:val="24"/>
                <w:szCs w:val="24"/>
                <w:lang w:val="lv-LV" w:eastAsia="lv-LV"/>
              </w:rPr>
            </w:pPr>
            <w:r w:rsidRPr="001C5D80">
              <w:rPr>
                <w:rFonts w:eastAsia="Times New Roman"/>
                <w:sz w:val="24"/>
                <w:szCs w:val="24"/>
                <w:lang w:val="lv-LV" w:eastAsia="lv-LV"/>
              </w:rPr>
              <w:t>Projekta izpildē iesaistītās institūcijas</w:t>
            </w:r>
          </w:p>
        </w:tc>
        <w:tc>
          <w:tcPr>
            <w:tcW w:w="1392" w:type="pct"/>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1C5D80" w:rsidRDefault="00C82F3D" w:rsidP="001C5D80">
            <w:pPr>
              <w:ind w:firstLine="720"/>
              <w:jc w:val="both"/>
              <w:rPr>
                <w:rFonts w:eastAsia="Times New Roman"/>
                <w:sz w:val="24"/>
                <w:szCs w:val="24"/>
                <w:lang w:val="lv-LV" w:eastAsia="lv-LV"/>
              </w:rPr>
            </w:pPr>
            <w:r w:rsidRPr="001C5D80">
              <w:rPr>
                <w:rFonts w:eastAsia="Times New Roman"/>
                <w:sz w:val="24"/>
                <w:szCs w:val="24"/>
                <w:lang w:val="lv-LV" w:eastAsia="lv-LV"/>
              </w:rPr>
              <w:t xml:space="preserve">Ministru kabineta </w:t>
            </w:r>
            <w:r w:rsidRPr="001C5D80">
              <w:rPr>
                <w:sz w:val="24"/>
                <w:szCs w:val="24"/>
                <w:lang w:val="lv-LV"/>
              </w:rPr>
              <w:t>noteikumu</w:t>
            </w:r>
            <w:r w:rsidRPr="001C5D80">
              <w:rPr>
                <w:rFonts w:eastAsia="Times New Roman"/>
                <w:sz w:val="24"/>
                <w:szCs w:val="24"/>
                <w:lang w:val="lv-LV" w:eastAsia="lv-LV"/>
              </w:rPr>
              <w:t xml:space="preserve"> projekta izpildi nodrošinās EM un LGA.</w:t>
            </w:r>
          </w:p>
          <w:p w:rsidR="00C82F3D" w:rsidRPr="001C5D80" w:rsidRDefault="00C82F3D" w:rsidP="001C5D80">
            <w:pPr>
              <w:ind w:firstLine="720"/>
              <w:jc w:val="both"/>
              <w:rPr>
                <w:rFonts w:eastAsia="Times New Roman"/>
                <w:sz w:val="24"/>
                <w:szCs w:val="24"/>
                <w:lang w:val="lv-LV" w:eastAsia="lv-LV"/>
              </w:rPr>
            </w:pPr>
          </w:p>
        </w:tc>
      </w:tr>
      <w:tr w:rsidR="001C5D80" w:rsidRPr="001C5D80" w:rsidTr="004221D9">
        <w:tblPrEx>
          <w:tblCellSpacing w:w="0" w:type="nil"/>
          <w:tblBorders>
            <w:bottom w:val="thickThinLargeGap" w:sz="6" w:space="0" w:color="C0C0C0"/>
            <w:right w:val="thickThinLargeGap" w:sz="6" w:space="0" w:color="C0C0C0"/>
            <w:insideH w:val="none" w:sz="0" w:space="0" w:color="auto"/>
            <w:insideV w:val="none" w:sz="0" w:space="0" w:color="auto"/>
          </w:tblBorders>
          <w:tblCellMar>
            <w:top w:w="0" w:type="dxa"/>
            <w:left w:w="0" w:type="dxa"/>
            <w:bottom w:w="0" w:type="dxa"/>
            <w:right w:w="0" w:type="dxa"/>
          </w:tblCellMar>
        </w:tblPrEx>
        <w:trPr>
          <w:trHeight w:val="374"/>
        </w:trPr>
        <w:tc>
          <w:tcPr>
            <w:tcW w:w="838" w:type="pct"/>
            <w:gridSpan w:val="2"/>
            <w:tcBorders>
              <w:top w:val="thickThinLargeGap" w:sz="6" w:space="0" w:color="C0C0C0"/>
              <w:left w:val="thickThinLargeGap" w:sz="6" w:space="0" w:color="C0C0C0"/>
              <w:bottom w:val="thickThinLargeGap" w:sz="6" w:space="0" w:color="C0C0C0"/>
              <w:right w:val="thickThinLargeGap" w:sz="6" w:space="0" w:color="C0C0C0"/>
            </w:tcBorders>
          </w:tcPr>
          <w:p w:rsidR="00C82F3D" w:rsidRPr="001C5D80" w:rsidRDefault="00C82F3D" w:rsidP="001C5D80">
            <w:pPr>
              <w:jc w:val="both"/>
              <w:rPr>
                <w:rFonts w:eastAsia="Times New Roman"/>
                <w:sz w:val="24"/>
                <w:szCs w:val="24"/>
                <w:lang w:val="lv-LV" w:eastAsia="lv-LV"/>
              </w:rPr>
            </w:pPr>
            <w:r w:rsidRPr="001C5D80">
              <w:rPr>
                <w:rFonts w:eastAsia="Times New Roman"/>
                <w:sz w:val="24"/>
                <w:szCs w:val="24"/>
                <w:lang w:val="lv-LV" w:eastAsia="lv-LV"/>
              </w:rPr>
              <w:t>2.</w:t>
            </w:r>
          </w:p>
        </w:tc>
        <w:tc>
          <w:tcPr>
            <w:tcW w:w="2704" w:type="pct"/>
            <w:gridSpan w:val="4"/>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1C5D80" w:rsidRDefault="00C82F3D" w:rsidP="001C5D80">
            <w:pPr>
              <w:jc w:val="both"/>
              <w:rPr>
                <w:rFonts w:eastAsia="Times New Roman"/>
                <w:sz w:val="24"/>
                <w:szCs w:val="24"/>
                <w:lang w:val="lv-LV" w:eastAsia="lv-LV"/>
              </w:rPr>
            </w:pPr>
            <w:r w:rsidRPr="001C5D80">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1392" w:type="pct"/>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1C5D80" w:rsidRDefault="00C82F3D" w:rsidP="001C5D80">
            <w:pPr>
              <w:ind w:firstLine="720"/>
              <w:jc w:val="both"/>
              <w:rPr>
                <w:rFonts w:eastAsia="Times New Roman"/>
                <w:sz w:val="24"/>
                <w:szCs w:val="24"/>
                <w:lang w:val="lv-LV" w:eastAsia="lv-LV"/>
              </w:rPr>
            </w:pPr>
            <w:r w:rsidRPr="001C5D80">
              <w:rPr>
                <w:rFonts w:eastAsia="Times New Roman"/>
                <w:sz w:val="24"/>
                <w:szCs w:val="24"/>
                <w:lang w:val="lv-LV" w:eastAsia="lv-LV"/>
              </w:rPr>
              <w:t xml:space="preserve">Ministru kabineta </w:t>
            </w:r>
            <w:r w:rsidRPr="001C5D80">
              <w:rPr>
                <w:sz w:val="24"/>
                <w:szCs w:val="24"/>
                <w:lang w:val="lv-LV"/>
              </w:rPr>
              <w:t>noteikumu</w:t>
            </w:r>
            <w:r w:rsidRPr="001C5D80">
              <w:rPr>
                <w:rFonts w:eastAsia="Times New Roman"/>
                <w:sz w:val="24"/>
                <w:szCs w:val="24"/>
                <w:lang w:val="lv-LV" w:eastAsia="lv-LV"/>
              </w:rPr>
              <w:t xml:space="preserve"> projekta izpilde tiks nodrošināta EM un LGA esošo funkciju ietvaros.</w:t>
            </w:r>
          </w:p>
          <w:p w:rsidR="00C82F3D" w:rsidRPr="001C5D80" w:rsidRDefault="00C82F3D" w:rsidP="001C5D80">
            <w:pPr>
              <w:ind w:firstLine="720"/>
              <w:jc w:val="both"/>
              <w:rPr>
                <w:rFonts w:eastAsia="Times New Roman"/>
                <w:sz w:val="24"/>
                <w:szCs w:val="24"/>
                <w:lang w:val="lv-LV" w:eastAsia="lv-LV"/>
              </w:rPr>
            </w:pPr>
          </w:p>
        </w:tc>
      </w:tr>
      <w:tr w:rsidR="001C5D80" w:rsidRPr="001C5D80" w:rsidTr="004221D9">
        <w:tblPrEx>
          <w:tblCellSpacing w:w="0" w:type="nil"/>
          <w:tblBorders>
            <w:bottom w:val="thickThinLargeGap" w:sz="6" w:space="0" w:color="C0C0C0"/>
            <w:right w:val="thickThinLargeGap" w:sz="6" w:space="0" w:color="C0C0C0"/>
            <w:insideH w:val="none" w:sz="0" w:space="0" w:color="auto"/>
            <w:insideV w:val="none" w:sz="0" w:space="0" w:color="auto"/>
          </w:tblBorders>
          <w:tblCellMar>
            <w:top w:w="0" w:type="dxa"/>
            <w:left w:w="0" w:type="dxa"/>
            <w:bottom w:w="0" w:type="dxa"/>
            <w:right w:w="0" w:type="dxa"/>
          </w:tblCellMar>
        </w:tblPrEx>
        <w:trPr>
          <w:trHeight w:val="242"/>
        </w:trPr>
        <w:tc>
          <w:tcPr>
            <w:tcW w:w="838" w:type="pct"/>
            <w:gridSpan w:val="2"/>
            <w:tcBorders>
              <w:top w:val="thickThinLargeGap" w:sz="6" w:space="0" w:color="C0C0C0"/>
              <w:left w:val="thickThinLargeGap" w:sz="6" w:space="0" w:color="C0C0C0"/>
              <w:bottom w:val="thickThinLargeGap" w:sz="6" w:space="0" w:color="C0C0C0"/>
              <w:right w:val="thickThinLargeGap" w:sz="6" w:space="0" w:color="C0C0C0"/>
            </w:tcBorders>
          </w:tcPr>
          <w:p w:rsidR="00C82F3D" w:rsidRPr="001C5D80" w:rsidRDefault="00C82F3D" w:rsidP="001C5D80">
            <w:pPr>
              <w:jc w:val="both"/>
              <w:rPr>
                <w:rFonts w:eastAsia="Times New Roman"/>
                <w:sz w:val="24"/>
                <w:szCs w:val="24"/>
                <w:lang w:val="lv-LV" w:eastAsia="lv-LV"/>
              </w:rPr>
            </w:pPr>
            <w:r w:rsidRPr="001C5D80">
              <w:rPr>
                <w:rFonts w:eastAsia="Times New Roman"/>
                <w:sz w:val="24"/>
                <w:szCs w:val="24"/>
                <w:lang w:val="lv-LV" w:eastAsia="lv-LV"/>
              </w:rPr>
              <w:lastRenderedPageBreak/>
              <w:t>3.</w:t>
            </w:r>
          </w:p>
        </w:tc>
        <w:tc>
          <w:tcPr>
            <w:tcW w:w="2704" w:type="pct"/>
            <w:gridSpan w:val="4"/>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1C5D80" w:rsidRDefault="00C82F3D" w:rsidP="001C5D80">
            <w:pPr>
              <w:jc w:val="both"/>
              <w:rPr>
                <w:rFonts w:eastAsia="Times New Roman"/>
                <w:sz w:val="24"/>
                <w:szCs w:val="24"/>
                <w:lang w:val="lv-LV" w:eastAsia="lv-LV"/>
              </w:rPr>
            </w:pPr>
            <w:r w:rsidRPr="001C5D80">
              <w:rPr>
                <w:rFonts w:eastAsia="Times New Roman"/>
                <w:sz w:val="24"/>
                <w:szCs w:val="24"/>
                <w:lang w:val="lv-LV" w:eastAsia="lv-LV"/>
              </w:rPr>
              <w:t>Cita informācija</w:t>
            </w:r>
          </w:p>
        </w:tc>
        <w:tc>
          <w:tcPr>
            <w:tcW w:w="1392" w:type="pct"/>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1C5D80" w:rsidRDefault="00C82F3D" w:rsidP="001C5D80">
            <w:pPr>
              <w:ind w:firstLine="720"/>
              <w:jc w:val="both"/>
              <w:rPr>
                <w:rFonts w:eastAsia="Times New Roman"/>
                <w:sz w:val="24"/>
                <w:szCs w:val="24"/>
                <w:lang w:val="lv-LV" w:eastAsia="lv-LV"/>
              </w:rPr>
            </w:pPr>
            <w:r w:rsidRPr="001C5D80">
              <w:rPr>
                <w:rFonts w:eastAsia="Times New Roman"/>
                <w:sz w:val="24"/>
                <w:szCs w:val="24"/>
                <w:lang w:val="lv-LV" w:eastAsia="lv-LV"/>
              </w:rPr>
              <w:t>Nav</w:t>
            </w:r>
          </w:p>
        </w:tc>
      </w:tr>
    </w:tbl>
    <w:p w:rsidR="00C82F3D" w:rsidRPr="001C5D80" w:rsidRDefault="00C82F3D" w:rsidP="001C5D80">
      <w:pPr>
        <w:rPr>
          <w:sz w:val="24"/>
          <w:szCs w:val="24"/>
          <w:lang w:val="lv-LV"/>
        </w:rPr>
      </w:pPr>
    </w:p>
    <w:p w:rsidR="00765A89" w:rsidRPr="001C5D80" w:rsidRDefault="00765A89" w:rsidP="001C5D80">
      <w:pPr>
        <w:tabs>
          <w:tab w:val="left" w:pos="7655"/>
        </w:tabs>
        <w:jc w:val="both"/>
        <w:rPr>
          <w:sz w:val="24"/>
          <w:szCs w:val="24"/>
          <w:lang w:val="lv-LV"/>
        </w:rPr>
      </w:pPr>
    </w:p>
    <w:p w:rsidR="0088512F" w:rsidRPr="005A7B9C" w:rsidRDefault="0088512F">
      <w:pPr>
        <w:tabs>
          <w:tab w:val="left" w:pos="7655"/>
        </w:tabs>
        <w:jc w:val="both"/>
        <w:rPr>
          <w:sz w:val="26"/>
          <w:szCs w:val="26"/>
          <w:lang w:val="lv-LV"/>
        </w:rPr>
      </w:pPr>
      <w:r w:rsidRPr="005A7B9C">
        <w:rPr>
          <w:sz w:val="26"/>
          <w:szCs w:val="26"/>
          <w:lang w:val="lv-LV"/>
        </w:rPr>
        <w:t xml:space="preserve">Anotācijas </w:t>
      </w:r>
      <w:r w:rsidR="00511ADB" w:rsidRPr="005A7B9C">
        <w:rPr>
          <w:sz w:val="26"/>
          <w:szCs w:val="26"/>
          <w:lang w:val="lv-LV"/>
        </w:rPr>
        <w:t>III</w:t>
      </w:r>
      <w:r w:rsidR="00023C59">
        <w:rPr>
          <w:sz w:val="26"/>
          <w:szCs w:val="26"/>
          <w:lang w:val="lv-LV"/>
        </w:rPr>
        <w:t>, IV, VI</w:t>
      </w:r>
      <w:r w:rsidR="001D4E7C" w:rsidRPr="005A7B9C">
        <w:rPr>
          <w:rFonts w:ascii="Times" w:hAnsi="Times"/>
          <w:sz w:val="26"/>
          <w:szCs w:val="26"/>
          <w:lang w:val="lv-LV"/>
        </w:rPr>
        <w:t xml:space="preserve"> </w:t>
      </w:r>
      <w:r w:rsidRPr="005A7B9C">
        <w:rPr>
          <w:sz w:val="26"/>
          <w:szCs w:val="26"/>
          <w:lang w:val="lv-LV"/>
        </w:rPr>
        <w:t xml:space="preserve">sadaļa – </w:t>
      </w:r>
      <w:r w:rsidRPr="005A7B9C">
        <w:rPr>
          <w:iCs/>
          <w:sz w:val="26"/>
          <w:szCs w:val="26"/>
          <w:lang w:val="lv-LV"/>
        </w:rPr>
        <w:t xml:space="preserve">projekts </w:t>
      </w:r>
      <w:r w:rsidR="00C82F3D">
        <w:rPr>
          <w:iCs/>
          <w:sz w:val="26"/>
          <w:szCs w:val="26"/>
          <w:lang w:val="lv-LV"/>
        </w:rPr>
        <w:t>šo</w:t>
      </w:r>
      <w:r w:rsidRPr="005A7B9C">
        <w:rPr>
          <w:iCs/>
          <w:sz w:val="26"/>
          <w:szCs w:val="26"/>
          <w:lang w:val="lv-LV"/>
        </w:rPr>
        <w:t xml:space="preserve"> jom</w:t>
      </w:r>
      <w:r w:rsidR="00C82F3D">
        <w:rPr>
          <w:iCs/>
          <w:sz w:val="26"/>
          <w:szCs w:val="26"/>
          <w:lang w:val="lv-LV"/>
        </w:rPr>
        <w:t>u</w:t>
      </w:r>
      <w:r w:rsidRPr="005A7B9C">
        <w:rPr>
          <w:iCs/>
          <w:sz w:val="26"/>
          <w:szCs w:val="26"/>
          <w:lang w:val="lv-LV"/>
        </w:rPr>
        <w:t xml:space="preserve"> neskar</w:t>
      </w:r>
      <w:r w:rsidRPr="005A7B9C">
        <w:rPr>
          <w:sz w:val="26"/>
          <w:szCs w:val="26"/>
          <w:lang w:val="lv-LV"/>
        </w:rPr>
        <w:t>.</w:t>
      </w:r>
    </w:p>
    <w:p w:rsidR="009D5C1D" w:rsidRPr="005A7B9C" w:rsidRDefault="009D5C1D" w:rsidP="00F22471">
      <w:pPr>
        <w:tabs>
          <w:tab w:val="left" w:pos="7655"/>
        </w:tabs>
        <w:rPr>
          <w:sz w:val="26"/>
          <w:szCs w:val="26"/>
          <w:lang w:val="lv-LV"/>
        </w:rPr>
      </w:pPr>
    </w:p>
    <w:p w:rsidR="00BE6E9C" w:rsidRPr="005A7B9C" w:rsidRDefault="00BE6E9C" w:rsidP="00A43665">
      <w:pPr>
        <w:tabs>
          <w:tab w:val="right" w:pos="9072"/>
        </w:tabs>
        <w:rPr>
          <w:sz w:val="26"/>
          <w:szCs w:val="26"/>
          <w:lang w:val="lv-LV"/>
        </w:rPr>
      </w:pPr>
    </w:p>
    <w:p w:rsidR="009032ED" w:rsidRDefault="009032ED" w:rsidP="00A43665">
      <w:pPr>
        <w:tabs>
          <w:tab w:val="right" w:pos="9072"/>
        </w:tabs>
        <w:rPr>
          <w:sz w:val="26"/>
          <w:szCs w:val="26"/>
          <w:lang w:val="lv-LV"/>
        </w:rPr>
      </w:pPr>
    </w:p>
    <w:p w:rsidR="00F93C71" w:rsidRDefault="00F93C71" w:rsidP="00A43665">
      <w:pPr>
        <w:tabs>
          <w:tab w:val="right" w:pos="9072"/>
        </w:tabs>
        <w:rPr>
          <w:sz w:val="26"/>
          <w:szCs w:val="26"/>
          <w:lang w:val="lv-LV"/>
        </w:rPr>
      </w:pPr>
    </w:p>
    <w:p w:rsidR="00F93C71" w:rsidRDefault="00F93C71" w:rsidP="00A43665">
      <w:pPr>
        <w:tabs>
          <w:tab w:val="right" w:pos="9072"/>
        </w:tabs>
        <w:rPr>
          <w:sz w:val="26"/>
          <w:szCs w:val="26"/>
          <w:lang w:val="lv-LV"/>
        </w:rPr>
      </w:pPr>
    </w:p>
    <w:p w:rsidR="00522B62" w:rsidRPr="005A7B9C" w:rsidRDefault="003E65C5" w:rsidP="00A43665">
      <w:pPr>
        <w:tabs>
          <w:tab w:val="right" w:pos="9072"/>
        </w:tabs>
        <w:rPr>
          <w:sz w:val="26"/>
          <w:szCs w:val="26"/>
          <w:lang w:val="lv-LV"/>
        </w:rPr>
      </w:pPr>
      <w:r>
        <w:rPr>
          <w:sz w:val="26"/>
          <w:szCs w:val="26"/>
          <w:lang w:val="lv-LV"/>
        </w:rPr>
        <w:t xml:space="preserve">Ekonomikas ministrs </w:t>
      </w:r>
      <w:r>
        <w:rPr>
          <w:sz w:val="26"/>
          <w:szCs w:val="26"/>
          <w:lang w:val="lv-LV"/>
        </w:rPr>
        <w:tab/>
      </w:r>
      <w:proofErr w:type="spellStart"/>
      <w:r w:rsidR="00C82F3D">
        <w:rPr>
          <w:sz w:val="26"/>
          <w:szCs w:val="26"/>
          <w:lang w:val="lv-LV"/>
        </w:rPr>
        <w:t>V.Dombrovskis</w:t>
      </w:r>
      <w:proofErr w:type="spellEnd"/>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p>
    <w:p w:rsidR="009D5C1D" w:rsidRPr="005A7B9C" w:rsidRDefault="009D5C1D" w:rsidP="00F22471">
      <w:pPr>
        <w:tabs>
          <w:tab w:val="left" w:pos="8222"/>
        </w:tabs>
        <w:rPr>
          <w:sz w:val="26"/>
          <w:szCs w:val="26"/>
          <w:lang w:val="lv-LV"/>
        </w:rPr>
      </w:pPr>
    </w:p>
    <w:p w:rsidR="00F93C71" w:rsidRPr="005A7B9C" w:rsidRDefault="00F93C71" w:rsidP="008E5F7D">
      <w:pPr>
        <w:tabs>
          <w:tab w:val="right" w:pos="9072"/>
        </w:tabs>
        <w:rPr>
          <w:sz w:val="26"/>
          <w:szCs w:val="26"/>
          <w:lang w:val="lv-LV"/>
        </w:rPr>
      </w:pPr>
    </w:p>
    <w:p w:rsidR="0064693F" w:rsidRPr="0064693F" w:rsidRDefault="00F64511" w:rsidP="00C166A5">
      <w:pPr>
        <w:tabs>
          <w:tab w:val="right" w:pos="9071"/>
        </w:tabs>
        <w:jc w:val="both"/>
        <w:rPr>
          <w:rFonts w:eastAsiaTheme="minorEastAsia"/>
          <w:sz w:val="26"/>
          <w:szCs w:val="26"/>
          <w:lang w:val="lv-LV" w:eastAsia="ja-JP"/>
        </w:rPr>
      </w:pPr>
      <w:r>
        <w:rPr>
          <w:rFonts w:eastAsiaTheme="minorEastAsia"/>
          <w:sz w:val="26"/>
          <w:szCs w:val="26"/>
          <w:lang w:val="lv-LV" w:eastAsia="ja-JP"/>
        </w:rPr>
        <w:t xml:space="preserve">Vīza: Valsts </w:t>
      </w:r>
      <w:r w:rsidR="00C166A5">
        <w:rPr>
          <w:rFonts w:eastAsiaTheme="minorEastAsia"/>
          <w:sz w:val="26"/>
          <w:szCs w:val="26"/>
          <w:lang w:val="lv-LV" w:eastAsia="ja-JP"/>
        </w:rPr>
        <w:t>sekretārs</w:t>
      </w:r>
      <w:r w:rsidR="004314B3">
        <w:rPr>
          <w:rFonts w:eastAsiaTheme="minorEastAsia"/>
          <w:sz w:val="26"/>
          <w:szCs w:val="26"/>
          <w:lang w:val="lv-LV" w:eastAsia="ja-JP"/>
        </w:rPr>
        <w:tab/>
      </w:r>
      <w:proofErr w:type="spellStart"/>
      <w:r w:rsidR="00C166A5">
        <w:rPr>
          <w:rFonts w:eastAsiaTheme="minorEastAsia"/>
          <w:sz w:val="26"/>
          <w:szCs w:val="26"/>
          <w:lang w:val="lv-LV" w:eastAsia="ja-JP"/>
        </w:rPr>
        <w:t>M.Lazdovskis</w:t>
      </w:r>
      <w:proofErr w:type="spellEnd"/>
    </w:p>
    <w:p w:rsidR="00F93C71" w:rsidRPr="005A7B9C" w:rsidRDefault="00F93C71" w:rsidP="00F22471">
      <w:pPr>
        <w:jc w:val="both"/>
        <w:rPr>
          <w:color w:val="000000"/>
          <w:sz w:val="26"/>
          <w:szCs w:val="26"/>
          <w:lang w:val="lv-LV"/>
        </w:rPr>
      </w:pPr>
    </w:p>
    <w:p w:rsidR="00BE6E9C" w:rsidRPr="00765A89" w:rsidRDefault="00BE6E9C" w:rsidP="00F22471">
      <w:pPr>
        <w:jc w:val="both"/>
        <w:rPr>
          <w:color w:val="000000"/>
          <w:sz w:val="22"/>
          <w:szCs w:val="22"/>
          <w:lang w:val="lv-LV"/>
        </w:rPr>
      </w:pPr>
    </w:p>
    <w:p w:rsidR="003641A5" w:rsidRPr="00C54522" w:rsidRDefault="003641A5" w:rsidP="00F22471">
      <w:pPr>
        <w:jc w:val="both"/>
        <w:rPr>
          <w:sz w:val="22"/>
          <w:szCs w:val="22"/>
          <w:lang w:val="lv-LV"/>
        </w:rPr>
      </w:pPr>
      <w:r w:rsidRPr="00C54522">
        <w:rPr>
          <w:sz w:val="22"/>
          <w:szCs w:val="22"/>
          <w:lang w:val="lv-LV"/>
        </w:rPr>
        <w:fldChar w:fldCharType="begin"/>
      </w:r>
      <w:r w:rsidRPr="00C54522">
        <w:rPr>
          <w:sz w:val="22"/>
          <w:szCs w:val="22"/>
          <w:lang w:val="lv-LV"/>
        </w:rPr>
        <w:instrText xml:space="preserve"> DATE  \@ "dd.MM.yyyy HH:mm:ss"  \* MERGEFORMAT </w:instrText>
      </w:r>
      <w:r w:rsidRPr="00C54522">
        <w:rPr>
          <w:sz w:val="22"/>
          <w:szCs w:val="22"/>
          <w:lang w:val="lv-LV"/>
        </w:rPr>
        <w:fldChar w:fldCharType="separate"/>
      </w:r>
      <w:r w:rsidR="004221D9">
        <w:rPr>
          <w:noProof/>
          <w:sz w:val="22"/>
          <w:szCs w:val="22"/>
          <w:lang w:val="lv-LV"/>
        </w:rPr>
        <w:t>03.09.2014 12:34:36</w:t>
      </w:r>
      <w:r w:rsidRPr="00C54522">
        <w:rPr>
          <w:sz w:val="22"/>
          <w:szCs w:val="22"/>
          <w:lang w:val="lv-LV"/>
        </w:rPr>
        <w:fldChar w:fldCharType="end"/>
      </w:r>
    </w:p>
    <w:p w:rsidR="003641A5" w:rsidRPr="00C54522" w:rsidRDefault="003641A5" w:rsidP="00F22471">
      <w:pPr>
        <w:jc w:val="both"/>
        <w:rPr>
          <w:sz w:val="22"/>
          <w:szCs w:val="22"/>
          <w:lang w:val="lv-LV"/>
        </w:rPr>
      </w:pPr>
      <w:r w:rsidRPr="00C54522">
        <w:rPr>
          <w:sz w:val="22"/>
          <w:szCs w:val="22"/>
          <w:lang w:val="lv-LV"/>
        </w:rPr>
        <w:fldChar w:fldCharType="begin"/>
      </w:r>
      <w:r w:rsidRPr="00C54522">
        <w:rPr>
          <w:sz w:val="22"/>
          <w:szCs w:val="22"/>
          <w:lang w:val="lv-LV"/>
        </w:rPr>
        <w:instrText xml:space="preserve"> NUMWORDS   \* MERGEFORMAT </w:instrText>
      </w:r>
      <w:r w:rsidRPr="00C54522">
        <w:rPr>
          <w:sz w:val="22"/>
          <w:szCs w:val="22"/>
          <w:lang w:val="lv-LV"/>
        </w:rPr>
        <w:fldChar w:fldCharType="separate"/>
      </w:r>
      <w:r w:rsidR="004221D9">
        <w:rPr>
          <w:noProof/>
          <w:sz w:val="22"/>
          <w:szCs w:val="22"/>
          <w:lang w:val="lv-LV"/>
        </w:rPr>
        <w:t>1407</w:t>
      </w:r>
      <w:r w:rsidRPr="00C54522">
        <w:rPr>
          <w:sz w:val="22"/>
          <w:szCs w:val="22"/>
          <w:lang w:val="lv-LV"/>
        </w:rPr>
        <w:fldChar w:fldCharType="end"/>
      </w:r>
    </w:p>
    <w:p w:rsidR="00643B54" w:rsidRPr="00C54522" w:rsidRDefault="003641A5" w:rsidP="00F22471">
      <w:pPr>
        <w:jc w:val="both"/>
        <w:rPr>
          <w:sz w:val="22"/>
          <w:szCs w:val="22"/>
          <w:lang w:val="lv-LV"/>
        </w:rPr>
      </w:pPr>
      <w:r w:rsidRPr="00C54522">
        <w:rPr>
          <w:sz w:val="22"/>
          <w:szCs w:val="22"/>
          <w:lang w:val="lv-LV"/>
        </w:rPr>
        <w:t>B.Strode</w:t>
      </w:r>
    </w:p>
    <w:p w:rsidR="00097583" w:rsidRPr="00A27BE4" w:rsidRDefault="00B74BCA" w:rsidP="00F22471">
      <w:pPr>
        <w:jc w:val="both"/>
        <w:rPr>
          <w:sz w:val="22"/>
          <w:szCs w:val="22"/>
          <w:lang w:val="lv-LV"/>
        </w:rPr>
      </w:pPr>
      <w:r w:rsidRPr="00C54522">
        <w:rPr>
          <w:sz w:val="22"/>
          <w:szCs w:val="22"/>
          <w:lang w:val="lv-LV"/>
        </w:rPr>
        <w:t>67013</w:t>
      </w:r>
      <w:r w:rsidR="003641A5" w:rsidRPr="00C54522">
        <w:rPr>
          <w:sz w:val="22"/>
          <w:szCs w:val="22"/>
          <w:lang w:val="lv-LV"/>
        </w:rPr>
        <w:t>270</w:t>
      </w:r>
      <w:r w:rsidR="00386053" w:rsidRPr="00C54522">
        <w:rPr>
          <w:sz w:val="22"/>
          <w:szCs w:val="22"/>
          <w:lang w:val="lv-LV"/>
        </w:rPr>
        <w:t>,</w:t>
      </w:r>
      <w:r w:rsidR="00D90514" w:rsidRPr="00C54522">
        <w:rPr>
          <w:sz w:val="22"/>
          <w:szCs w:val="22"/>
          <w:lang w:val="lv-LV"/>
        </w:rPr>
        <w:t xml:space="preserve"> </w:t>
      </w:r>
      <w:r w:rsidR="003641A5" w:rsidRPr="00C54522">
        <w:rPr>
          <w:sz w:val="22"/>
          <w:szCs w:val="22"/>
          <w:lang w:val="lv-LV"/>
        </w:rPr>
        <w:t>Baiba.Str</w:t>
      </w:r>
      <w:bookmarkStart w:id="7" w:name="_GoBack"/>
      <w:bookmarkEnd w:id="7"/>
      <w:r w:rsidR="003641A5" w:rsidRPr="00C54522">
        <w:rPr>
          <w:sz w:val="22"/>
          <w:szCs w:val="22"/>
          <w:lang w:val="lv-LV"/>
        </w:rPr>
        <w:t>ode</w:t>
      </w:r>
      <w:r w:rsidR="00842EE7" w:rsidRPr="00C54522">
        <w:rPr>
          <w:sz w:val="22"/>
          <w:szCs w:val="22"/>
          <w:lang w:val="lv-LV"/>
        </w:rPr>
        <w:t>@em.gov.lv</w:t>
      </w:r>
    </w:p>
    <w:sectPr w:rsidR="00097583" w:rsidRPr="00A27BE4"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38" w:rsidRDefault="00A41638" w:rsidP="00B014C2">
      <w:r>
        <w:separator/>
      </w:r>
    </w:p>
  </w:endnote>
  <w:endnote w:type="continuationSeparator" w:id="0">
    <w:p w:rsidR="00A41638" w:rsidRDefault="00A4163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E3" w:rsidRPr="006D5CDF" w:rsidRDefault="00FD2E86" w:rsidP="009032ED">
    <w:pPr>
      <w:pStyle w:val="Footer"/>
      <w:jc w:val="both"/>
      <w:rPr>
        <w:lang w:val="lv-LV"/>
      </w:rPr>
    </w:pPr>
    <w:r>
      <w:rPr>
        <w:lang w:val="lv-LV"/>
      </w:rPr>
      <w:t>EMAnot</w:t>
    </w:r>
    <w:r w:rsidR="00C5456D" w:rsidRPr="003641A5">
      <w:rPr>
        <w:lang w:val="lv-LV"/>
      </w:rPr>
      <w:t>_</w:t>
    </w:r>
    <w:r>
      <w:rPr>
        <w:lang w:val="lv-LV"/>
      </w:rPr>
      <w:t>0</w:t>
    </w:r>
    <w:r w:rsidR="006D0653">
      <w:rPr>
        <w:lang w:val="lv-LV"/>
      </w:rPr>
      <w:t>3</w:t>
    </w:r>
    <w:r>
      <w:rPr>
        <w:lang w:val="lv-LV"/>
      </w:rPr>
      <w:t>09</w:t>
    </w:r>
    <w:r w:rsidR="007C62D3">
      <w:rPr>
        <w:lang w:val="lv-LV"/>
      </w:rPr>
      <w:t>14</w:t>
    </w:r>
    <w:r>
      <w:rPr>
        <w:lang w:val="lv-LV"/>
      </w:rPr>
      <w:t>_groz</w:t>
    </w:r>
    <w:r w:rsidR="006D5CDF" w:rsidRPr="003641A5">
      <w:rPr>
        <w:lang w:val="lv-LV"/>
      </w:rPr>
      <w:t>977; 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E3" w:rsidRPr="005741F1" w:rsidRDefault="00FD2E86" w:rsidP="00D7256E">
    <w:pPr>
      <w:pStyle w:val="BodyText"/>
      <w:rPr>
        <w:sz w:val="20"/>
      </w:rPr>
    </w:pPr>
    <w:r>
      <w:rPr>
        <w:sz w:val="20"/>
      </w:rPr>
      <w:t>EMAnot</w:t>
    </w:r>
    <w:r w:rsidR="005E5DE3" w:rsidRPr="00C54522">
      <w:rPr>
        <w:sz w:val="20"/>
      </w:rPr>
      <w:t>_</w:t>
    </w:r>
    <w:r w:rsidR="006D0653">
      <w:rPr>
        <w:sz w:val="20"/>
      </w:rPr>
      <w:t>0309</w:t>
    </w:r>
    <w:r w:rsidR="006D0653" w:rsidRPr="00C54522">
      <w:rPr>
        <w:sz w:val="20"/>
      </w:rPr>
      <w:t>14</w:t>
    </w:r>
    <w:r>
      <w:rPr>
        <w:sz w:val="20"/>
      </w:rPr>
      <w:t>_groz</w:t>
    </w:r>
    <w:r w:rsidR="006D5CDF" w:rsidRPr="00C54522">
      <w:rPr>
        <w:sz w:val="20"/>
      </w:rPr>
      <w:t>977</w:t>
    </w:r>
    <w:r w:rsidR="005E5DE3" w:rsidRPr="00C54522">
      <w:rPr>
        <w:sz w:val="20"/>
      </w:rPr>
      <w:t xml:space="preserve">; </w:t>
    </w:r>
    <w:r w:rsidR="006D5CDF" w:rsidRPr="00C54522">
      <w:rPr>
        <w:sz w:val="20"/>
      </w:rPr>
      <w:t>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38" w:rsidRDefault="00A41638" w:rsidP="00B014C2">
      <w:r>
        <w:separator/>
      </w:r>
    </w:p>
  </w:footnote>
  <w:footnote w:type="continuationSeparator" w:id="0">
    <w:p w:rsidR="00A41638" w:rsidRDefault="00A41638"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E5DE3" w:rsidRPr="00B014C2" w:rsidRDefault="005E5DE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221D9">
          <w:rPr>
            <w:noProof/>
            <w:sz w:val="24"/>
            <w:szCs w:val="24"/>
          </w:rPr>
          <w:t>4</w:t>
        </w:r>
        <w:r w:rsidRPr="00B014C2">
          <w:rPr>
            <w:sz w:val="24"/>
            <w:szCs w:val="24"/>
          </w:rPr>
          <w:fldChar w:fldCharType="end"/>
        </w:r>
      </w:p>
    </w:sdtContent>
  </w:sdt>
  <w:p w:rsidR="005E5DE3" w:rsidRDefault="005E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5EF3441"/>
    <w:multiLevelType w:val="hybridMultilevel"/>
    <w:tmpl w:val="7C42710A"/>
    <w:lvl w:ilvl="0" w:tplc="0D6EB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2">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3">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
  </w:num>
  <w:num w:numId="5">
    <w:abstractNumId w:val="0"/>
  </w:num>
  <w:num w:numId="6">
    <w:abstractNumId w:val="6"/>
  </w:num>
  <w:num w:numId="7">
    <w:abstractNumId w:val="13"/>
  </w:num>
  <w:num w:numId="8">
    <w:abstractNumId w:val="3"/>
  </w:num>
  <w:num w:numId="9">
    <w:abstractNumId w:val="8"/>
  </w:num>
  <w:num w:numId="10">
    <w:abstractNumId w:val="10"/>
  </w:num>
  <w:num w:numId="11">
    <w:abstractNumId w:val="2"/>
  </w:num>
  <w:num w:numId="12">
    <w:abstractNumId w:val="5"/>
  </w:num>
  <w:num w:numId="13">
    <w:abstractNumId w:val="12"/>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25E"/>
    <w:rsid w:val="0001186C"/>
    <w:rsid w:val="000120A0"/>
    <w:rsid w:val="00012AA4"/>
    <w:rsid w:val="00013D36"/>
    <w:rsid w:val="00014006"/>
    <w:rsid w:val="00014F86"/>
    <w:rsid w:val="0001626D"/>
    <w:rsid w:val="0001764D"/>
    <w:rsid w:val="00017F31"/>
    <w:rsid w:val="00020A02"/>
    <w:rsid w:val="000214DF"/>
    <w:rsid w:val="00023C59"/>
    <w:rsid w:val="00026BA7"/>
    <w:rsid w:val="00026C03"/>
    <w:rsid w:val="0002762A"/>
    <w:rsid w:val="00031099"/>
    <w:rsid w:val="000320DD"/>
    <w:rsid w:val="0003693D"/>
    <w:rsid w:val="00036E03"/>
    <w:rsid w:val="0004167C"/>
    <w:rsid w:val="000445F3"/>
    <w:rsid w:val="00046678"/>
    <w:rsid w:val="00047EF5"/>
    <w:rsid w:val="00050184"/>
    <w:rsid w:val="00050EA4"/>
    <w:rsid w:val="00052380"/>
    <w:rsid w:val="000564DA"/>
    <w:rsid w:val="00056C95"/>
    <w:rsid w:val="00060D39"/>
    <w:rsid w:val="0006427F"/>
    <w:rsid w:val="000643D5"/>
    <w:rsid w:val="00064EDB"/>
    <w:rsid w:val="000654E5"/>
    <w:rsid w:val="00071114"/>
    <w:rsid w:val="000729ED"/>
    <w:rsid w:val="00072ECD"/>
    <w:rsid w:val="00077999"/>
    <w:rsid w:val="00080BBF"/>
    <w:rsid w:val="00080F3F"/>
    <w:rsid w:val="00081C1D"/>
    <w:rsid w:val="00081F44"/>
    <w:rsid w:val="00083704"/>
    <w:rsid w:val="00083B7F"/>
    <w:rsid w:val="000847AE"/>
    <w:rsid w:val="0008486C"/>
    <w:rsid w:val="00086412"/>
    <w:rsid w:val="00087524"/>
    <w:rsid w:val="00091DBA"/>
    <w:rsid w:val="0009593D"/>
    <w:rsid w:val="00097583"/>
    <w:rsid w:val="000A164A"/>
    <w:rsid w:val="000A402E"/>
    <w:rsid w:val="000A4AED"/>
    <w:rsid w:val="000A5FB9"/>
    <w:rsid w:val="000A66F9"/>
    <w:rsid w:val="000B0719"/>
    <w:rsid w:val="000B2AE3"/>
    <w:rsid w:val="000D0388"/>
    <w:rsid w:val="000D19C8"/>
    <w:rsid w:val="000D2F05"/>
    <w:rsid w:val="000D4DC9"/>
    <w:rsid w:val="000D5851"/>
    <w:rsid w:val="000D6DF2"/>
    <w:rsid w:val="000E2F17"/>
    <w:rsid w:val="000E409F"/>
    <w:rsid w:val="000E4277"/>
    <w:rsid w:val="000F0232"/>
    <w:rsid w:val="000F6C72"/>
    <w:rsid w:val="000F6E9E"/>
    <w:rsid w:val="001000B5"/>
    <w:rsid w:val="001002E4"/>
    <w:rsid w:val="0010079A"/>
    <w:rsid w:val="001028F2"/>
    <w:rsid w:val="0010385C"/>
    <w:rsid w:val="00103FE1"/>
    <w:rsid w:val="0010410B"/>
    <w:rsid w:val="001047E8"/>
    <w:rsid w:val="00107C11"/>
    <w:rsid w:val="0011218B"/>
    <w:rsid w:val="00114BB1"/>
    <w:rsid w:val="00115E25"/>
    <w:rsid w:val="00120651"/>
    <w:rsid w:val="0012067B"/>
    <w:rsid w:val="001232D1"/>
    <w:rsid w:val="001254CC"/>
    <w:rsid w:val="0012569B"/>
    <w:rsid w:val="001267F1"/>
    <w:rsid w:val="001305B3"/>
    <w:rsid w:val="00130D33"/>
    <w:rsid w:val="00131980"/>
    <w:rsid w:val="00131C62"/>
    <w:rsid w:val="00131E05"/>
    <w:rsid w:val="00134E0F"/>
    <w:rsid w:val="00140DF3"/>
    <w:rsid w:val="001428EB"/>
    <w:rsid w:val="00142A69"/>
    <w:rsid w:val="00142AC2"/>
    <w:rsid w:val="00142CBB"/>
    <w:rsid w:val="00144D39"/>
    <w:rsid w:val="00153C1A"/>
    <w:rsid w:val="001570E2"/>
    <w:rsid w:val="001611D0"/>
    <w:rsid w:val="00170434"/>
    <w:rsid w:val="0017312C"/>
    <w:rsid w:val="001733BE"/>
    <w:rsid w:val="0017472D"/>
    <w:rsid w:val="001764E7"/>
    <w:rsid w:val="001802AA"/>
    <w:rsid w:val="001803F1"/>
    <w:rsid w:val="00182537"/>
    <w:rsid w:val="00182CC4"/>
    <w:rsid w:val="001831F7"/>
    <w:rsid w:val="00184308"/>
    <w:rsid w:val="00184C02"/>
    <w:rsid w:val="00184E37"/>
    <w:rsid w:val="00186895"/>
    <w:rsid w:val="001871BB"/>
    <w:rsid w:val="00190498"/>
    <w:rsid w:val="00191102"/>
    <w:rsid w:val="00191B2C"/>
    <w:rsid w:val="00192EFE"/>
    <w:rsid w:val="00194800"/>
    <w:rsid w:val="00196D43"/>
    <w:rsid w:val="001971A4"/>
    <w:rsid w:val="001973A7"/>
    <w:rsid w:val="001A082F"/>
    <w:rsid w:val="001A2070"/>
    <w:rsid w:val="001A2ABA"/>
    <w:rsid w:val="001A3B25"/>
    <w:rsid w:val="001A3C19"/>
    <w:rsid w:val="001B0C97"/>
    <w:rsid w:val="001B262F"/>
    <w:rsid w:val="001B3236"/>
    <w:rsid w:val="001B4EB9"/>
    <w:rsid w:val="001B5566"/>
    <w:rsid w:val="001B57A5"/>
    <w:rsid w:val="001B5F59"/>
    <w:rsid w:val="001B6F62"/>
    <w:rsid w:val="001B7875"/>
    <w:rsid w:val="001C1BFF"/>
    <w:rsid w:val="001C1C5C"/>
    <w:rsid w:val="001C2D96"/>
    <w:rsid w:val="001C5831"/>
    <w:rsid w:val="001C5D80"/>
    <w:rsid w:val="001C6A1F"/>
    <w:rsid w:val="001C7464"/>
    <w:rsid w:val="001D02A2"/>
    <w:rsid w:val="001D2EDB"/>
    <w:rsid w:val="001D39D9"/>
    <w:rsid w:val="001D416F"/>
    <w:rsid w:val="001D46D6"/>
    <w:rsid w:val="001D4E7C"/>
    <w:rsid w:val="001D5E9C"/>
    <w:rsid w:val="001D600F"/>
    <w:rsid w:val="001D64EC"/>
    <w:rsid w:val="001D76FC"/>
    <w:rsid w:val="001E0814"/>
    <w:rsid w:val="001E1456"/>
    <w:rsid w:val="001E218C"/>
    <w:rsid w:val="001E3BD0"/>
    <w:rsid w:val="001E5031"/>
    <w:rsid w:val="001E6815"/>
    <w:rsid w:val="001E7BB7"/>
    <w:rsid w:val="001E7E48"/>
    <w:rsid w:val="001F02C1"/>
    <w:rsid w:val="001F2B3A"/>
    <w:rsid w:val="001F3875"/>
    <w:rsid w:val="001F6151"/>
    <w:rsid w:val="001F69F7"/>
    <w:rsid w:val="001F7527"/>
    <w:rsid w:val="00200045"/>
    <w:rsid w:val="00200612"/>
    <w:rsid w:val="00205FEE"/>
    <w:rsid w:val="0021241F"/>
    <w:rsid w:val="0021252B"/>
    <w:rsid w:val="00213D6A"/>
    <w:rsid w:val="002149CB"/>
    <w:rsid w:val="00216B96"/>
    <w:rsid w:val="00221058"/>
    <w:rsid w:val="00221205"/>
    <w:rsid w:val="00221561"/>
    <w:rsid w:val="00221CAE"/>
    <w:rsid w:val="00224C7C"/>
    <w:rsid w:val="00225CD7"/>
    <w:rsid w:val="0023085A"/>
    <w:rsid w:val="00230FB6"/>
    <w:rsid w:val="00231EB0"/>
    <w:rsid w:val="002326AB"/>
    <w:rsid w:val="00233657"/>
    <w:rsid w:val="00233F7A"/>
    <w:rsid w:val="0023462C"/>
    <w:rsid w:val="00234C58"/>
    <w:rsid w:val="00234DDC"/>
    <w:rsid w:val="00244CDE"/>
    <w:rsid w:val="00245D09"/>
    <w:rsid w:val="00247529"/>
    <w:rsid w:val="002503B8"/>
    <w:rsid w:val="002507A0"/>
    <w:rsid w:val="002543B5"/>
    <w:rsid w:val="0025484B"/>
    <w:rsid w:val="00257EAE"/>
    <w:rsid w:val="002610D7"/>
    <w:rsid w:val="00261B9F"/>
    <w:rsid w:val="0026446F"/>
    <w:rsid w:val="00265C1B"/>
    <w:rsid w:val="002701D0"/>
    <w:rsid w:val="002702EB"/>
    <w:rsid w:val="00271EC3"/>
    <w:rsid w:val="00272FDC"/>
    <w:rsid w:val="00280A6B"/>
    <w:rsid w:val="00284232"/>
    <w:rsid w:val="00284D8A"/>
    <w:rsid w:val="00285613"/>
    <w:rsid w:val="00285CAB"/>
    <w:rsid w:val="0028698C"/>
    <w:rsid w:val="00287254"/>
    <w:rsid w:val="00290331"/>
    <w:rsid w:val="0029236E"/>
    <w:rsid w:val="0029306A"/>
    <w:rsid w:val="002954D4"/>
    <w:rsid w:val="00295C0F"/>
    <w:rsid w:val="0029782A"/>
    <w:rsid w:val="00297E4A"/>
    <w:rsid w:val="002A0052"/>
    <w:rsid w:val="002A015E"/>
    <w:rsid w:val="002A0CEE"/>
    <w:rsid w:val="002B30A6"/>
    <w:rsid w:val="002B34B0"/>
    <w:rsid w:val="002B4D01"/>
    <w:rsid w:val="002B667D"/>
    <w:rsid w:val="002B768A"/>
    <w:rsid w:val="002C0E0E"/>
    <w:rsid w:val="002C158C"/>
    <w:rsid w:val="002C20C8"/>
    <w:rsid w:val="002C4039"/>
    <w:rsid w:val="002C586C"/>
    <w:rsid w:val="002D259E"/>
    <w:rsid w:val="002D3CCB"/>
    <w:rsid w:val="002D3E95"/>
    <w:rsid w:val="002D43D4"/>
    <w:rsid w:val="002D4E4B"/>
    <w:rsid w:val="002D7C26"/>
    <w:rsid w:val="002E1B59"/>
    <w:rsid w:val="002E1D56"/>
    <w:rsid w:val="002E2A85"/>
    <w:rsid w:val="002E3CFA"/>
    <w:rsid w:val="002E6122"/>
    <w:rsid w:val="002E7059"/>
    <w:rsid w:val="002E7530"/>
    <w:rsid w:val="002E7962"/>
    <w:rsid w:val="002E7BEF"/>
    <w:rsid w:val="002F063C"/>
    <w:rsid w:val="002F423D"/>
    <w:rsid w:val="002F4553"/>
    <w:rsid w:val="002F487F"/>
    <w:rsid w:val="002F64E8"/>
    <w:rsid w:val="002F6D2C"/>
    <w:rsid w:val="003000F0"/>
    <w:rsid w:val="00302447"/>
    <w:rsid w:val="0030532D"/>
    <w:rsid w:val="003124BE"/>
    <w:rsid w:val="00314594"/>
    <w:rsid w:val="00320EB0"/>
    <w:rsid w:val="00321E80"/>
    <w:rsid w:val="00322A15"/>
    <w:rsid w:val="00324F11"/>
    <w:rsid w:val="00330AF0"/>
    <w:rsid w:val="00332C11"/>
    <w:rsid w:val="003331E3"/>
    <w:rsid w:val="00335837"/>
    <w:rsid w:val="0033650D"/>
    <w:rsid w:val="003365BB"/>
    <w:rsid w:val="003372CD"/>
    <w:rsid w:val="00341D01"/>
    <w:rsid w:val="0034284E"/>
    <w:rsid w:val="00342BDC"/>
    <w:rsid w:val="00344B27"/>
    <w:rsid w:val="0034724B"/>
    <w:rsid w:val="0034794E"/>
    <w:rsid w:val="003479DF"/>
    <w:rsid w:val="0035647E"/>
    <w:rsid w:val="00356CDF"/>
    <w:rsid w:val="00357B86"/>
    <w:rsid w:val="00360437"/>
    <w:rsid w:val="00360962"/>
    <w:rsid w:val="003611ED"/>
    <w:rsid w:val="00361DA6"/>
    <w:rsid w:val="00362B06"/>
    <w:rsid w:val="00362D30"/>
    <w:rsid w:val="003641A5"/>
    <w:rsid w:val="003707C8"/>
    <w:rsid w:val="0037466C"/>
    <w:rsid w:val="00383500"/>
    <w:rsid w:val="00384799"/>
    <w:rsid w:val="00385DB0"/>
    <w:rsid w:val="00386053"/>
    <w:rsid w:val="00391942"/>
    <w:rsid w:val="00392657"/>
    <w:rsid w:val="00396D2E"/>
    <w:rsid w:val="003A002E"/>
    <w:rsid w:val="003A18BE"/>
    <w:rsid w:val="003A22C8"/>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C5EEC"/>
    <w:rsid w:val="003D342E"/>
    <w:rsid w:val="003D3A14"/>
    <w:rsid w:val="003E0167"/>
    <w:rsid w:val="003E0BD3"/>
    <w:rsid w:val="003E159F"/>
    <w:rsid w:val="003E284A"/>
    <w:rsid w:val="003E2968"/>
    <w:rsid w:val="003E3604"/>
    <w:rsid w:val="003E65C5"/>
    <w:rsid w:val="003E6CB3"/>
    <w:rsid w:val="003F0C4F"/>
    <w:rsid w:val="003F17ED"/>
    <w:rsid w:val="003F4E09"/>
    <w:rsid w:val="00401C5F"/>
    <w:rsid w:val="00402B2B"/>
    <w:rsid w:val="00404C10"/>
    <w:rsid w:val="00404D4B"/>
    <w:rsid w:val="0040578F"/>
    <w:rsid w:val="00406C83"/>
    <w:rsid w:val="004074FD"/>
    <w:rsid w:val="00407E6B"/>
    <w:rsid w:val="00410FEE"/>
    <w:rsid w:val="00411B95"/>
    <w:rsid w:val="004133E8"/>
    <w:rsid w:val="00414CC7"/>
    <w:rsid w:val="00415C03"/>
    <w:rsid w:val="00415D84"/>
    <w:rsid w:val="00416C3A"/>
    <w:rsid w:val="00420FC8"/>
    <w:rsid w:val="0042129F"/>
    <w:rsid w:val="00422062"/>
    <w:rsid w:val="004221D9"/>
    <w:rsid w:val="004232D7"/>
    <w:rsid w:val="0042395B"/>
    <w:rsid w:val="00424426"/>
    <w:rsid w:val="0042472B"/>
    <w:rsid w:val="00431039"/>
    <w:rsid w:val="004314B3"/>
    <w:rsid w:val="00431CB5"/>
    <w:rsid w:val="00434ACC"/>
    <w:rsid w:val="00435C45"/>
    <w:rsid w:val="00435CDA"/>
    <w:rsid w:val="00436E46"/>
    <w:rsid w:val="00436E6A"/>
    <w:rsid w:val="004413C4"/>
    <w:rsid w:val="004426FC"/>
    <w:rsid w:val="00442884"/>
    <w:rsid w:val="00443B04"/>
    <w:rsid w:val="0044567A"/>
    <w:rsid w:val="004465FC"/>
    <w:rsid w:val="004522D7"/>
    <w:rsid w:val="0045244E"/>
    <w:rsid w:val="004527EA"/>
    <w:rsid w:val="0045318E"/>
    <w:rsid w:val="00453696"/>
    <w:rsid w:val="0045617F"/>
    <w:rsid w:val="00457B62"/>
    <w:rsid w:val="00460A29"/>
    <w:rsid w:val="004671D7"/>
    <w:rsid w:val="00467342"/>
    <w:rsid w:val="00472EF3"/>
    <w:rsid w:val="00472FA5"/>
    <w:rsid w:val="00475A76"/>
    <w:rsid w:val="004775F4"/>
    <w:rsid w:val="00484C10"/>
    <w:rsid w:val="00485E0B"/>
    <w:rsid w:val="00486BD6"/>
    <w:rsid w:val="00487753"/>
    <w:rsid w:val="0049013B"/>
    <w:rsid w:val="004916DD"/>
    <w:rsid w:val="00491F0A"/>
    <w:rsid w:val="004960FB"/>
    <w:rsid w:val="00497086"/>
    <w:rsid w:val="00497EB7"/>
    <w:rsid w:val="004A22E5"/>
    <w:rsid w:val="004A554F"/>
    <w:rsid w:val="004B18A4"/>
    <w:rsid w:val="004B1FE7"/>
    <w:rsid w:val="004B43E6"/>
    <w:rsid w:val="004B77C0"/>
    <w:rsid w:val="004C1463"/>
    <w:rsid w:val="004C1FB4"/>
    <w:rsid w:val="004C2D74"/>
    <w:rsid w:val="004D4997"/>
    <w:rsid w:val="004D54CD"/>
    <w:rsid w:val="004D6EF0"/>
    <w:rsid w:val="004D790D"/>
    <w:rsid w:val="004E01F5"/>
    <w:rsid w:val="004E3075"/>
    <w:rsid w:val="004E7B96"/>
    <w:rsid w:val="004F0E94"/>
    <w:rsid w:val="004F178A"/>
    <w:rsid w:val="004F2110"/>
    <w:rsid w:val="004F2331"/>
    <w:rsid w:val="004F2B79"/>
    <w:rsid w:val="00501F08"/>
    <w:rsid w:val="00502247"/>
    <w:rsid w:val="00503D5C"/>
    <w:rsid w:val="0050440A"/>
    <w:rsid w:val="00505A0D"/>
    <w:rsid w:val="00505B7D"/>
    <w:rsid w:val="00506DDA"/>
    <w:rsid w:val="00510235"/>
    <w:rsid w:val="00511ADB"/>
    <w:rsid w:val="0051358D"/>
    <w:rsid w:val="00513AF6"/>
    <w:rsid w:val="005179D0"/>
    <w:rsid w:val="00517C20"/>
    <w:rsid w:val="0052062B"/>
    <w:rsid w:val="00522B62"/>
    <w:rsid w:val="00524D01"/>
    <w:rsid w:val="005254AB"/>
    <w:rsid w:val="00530C47"/>
    <w:rsid w:val="00531687"/>
    <w:rsid w:val="005324A7"/>
    <w:rsid w:val="00532532"/>
    <w:rsid w:val="00532EE4"/>
    <w:rsid w:val="00532FEB"/>
    <w:rsid w:val="00537A29"/>
    <w:rsid w:val="005422C3"/>
    <w:rsid w:val="00542739"/>
    <w:rsid w:val="00542F49"/>
    <w:rsid w:val="00543052"/>
    <w:rsid w:val="00546599"/>
    <w:rsid w:val="00546E77"/>
    <w:rsid w:val="00554A7A"/>
    <w:rsid w:val="0056276A"/>
    <w:rsid w:val="005631C8"/>
    <w:rsid w:val="0056506A"/>
    <w:rsid w:val="005663B6"/>
    <w:rsid w:val="0056795E"/>
    <w:rsid w:val="00570B3E"/>
    <w:rsid w:val="005741F1"/>
    <w:rsid w:val="005747E7"/>
    <w:rsid w:val="0057501D"/>
    <w:rsid w:val="00576AEE"/>
    <w:rsid w:val="00576D8A"/>
    <w:rsid w:val="00580317"/>
    <w:rsid w:val="0058086F"/>
    <w:rsid w:val="0058249F"/>
    <w:rsid w:val="0058679B"/>
    <w:rsid w:val="005877DA"/>
    <w:rsid w:val="0059232F"/>
    <w:rsid w:val="00593CA6"/>
    <w:rsid w:val="0059700D"/>
    <w:rsid w:val="00597137"/>
    <w:rsid w:val="00597231"/>
    <w:rsid w:val="005A1D6F"/>
    <w:rsid w:val="005A2A2D"/>
    <w:rsid w:val="005A37FF"/>
    <w:rsid w:val="005A4D53"/>
    <w:rsid w:val="005A6E2E"/>
    <w:rsid w:val="005A7B9C"/>
    <w:rsid w:val="005B0E77"/>
    <w:rsid w:val="005B29DE"/>
    <w:rsid w:val="005B4307"/>
    <w:rsid w:val="005C251D"/>
    <w:rsid w:val="005C6DDB"/>
    <w:rsid w:val="005D1220"/>
    <w:rsid w:val="005D3658"/>
    <w:rsid w:val="005D4522"/>
    <w:rsid w:val="005D6171"/>
    <w:rsid w:val="005E4730"/>
    <w:rsid w:val="005E5DE3"/>
    <w:rsid w:val="005E713D"/>
    <w:rsid w:val="005F09EC"/>
    <w:rsid w:val="005F5BFC"/>
    <w:rsid w:val="005F6D75"/>
    <w:rsid w:val="006000F7"/>
    <w:rsid w:val="00602B65"/>
    <w:rsid w:val="006049D1"/>
    <w:rsid w:val="00607722"/>
    <w:rsid w:val="00610121"/>
    <w:rsid w:val="00610DDF"/>
    <w:rsid w:val="00614602"/>
    <w:rsid w:val="006218A6"/>
    <w:rsid w:val="006242B2"/>
    <w:rsid w:val="00624FCB"/>
    <w:rsid w:val="00625D54"/>
    <w:rsid w:val="006263FB"/>
    <w:rsid w:val="00626F78"/>
    <w:rsid w:val="00630367"/>
    <w:rsid w:val="006309F5"/>
    <w:rsid w:val="00630BAA"/>
    <w:rsid w:val="00631039"/>
    <w:rsid w:val="00634095"/>
    <w:rsid w:val="00636440"/>
    <w:rsid w:val="00640988"/>
    <w:rsid w:val="00641379"/>
    <w:rsid w:val="00641395"/>
    <w:rsid w:val="00643B54"/>
    <w:rsid w:val="006456BB"/>
    <w:rsid w:val="0064693F"/>
    <w:rsid w:val="00647402"/>
    <w:rsid w:val="00650716"/>
    <w:rsid w:val="006512F4"/>
    <w:rsid w:val="00651669"/>
    <w:rsid w:val="006526E6"/>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2DB"/>
    <w:rsid w:val="00682B64"/>
    <w:rsid w:val="0068409B"/>
    <w:rsid w:val="00684EA2"/>
    <w:rsid w:val="006910BE"/>
    <w:rsid w:val="00697794"/>
    <w:rsid w:val="006A3649"/>
    <w:rsid w:val="006A3A28"/>
    <w:rsid w:val="006A3A2B"/>
    <w:rsid w:val="006A668E"/>
    <w:rsid w:val="006A6AD4"/>
    <w:rsid w:val="006A7488"/>
    <w:rsid w:val="006A7638"/>
    <w:rsid w:val="006B05E1"/>
    <w:rsid w:val="006B0E03"/>
    <w:rsid w:val="006B36BE"/>
    <w:rsid w:val="006B6C6A"/>
    <w:rsid w:val="006B7B22"/>
    <w:rsid w:val="006C114F"/>
    <w:rsid w:val="006C15FA"/>
    <w:rsid w:val="006D0653"/>
    <w:rsid w:val="006D0B9B"/>
    <w:rsid w:val="006D1F62"/>
    <w:rsid w:val="006D22BA"/>
    <w:rsid w:val="006D30BF"/>
    <w:rsid w:val="006D5CDF"/>
    <w:rsid w:val="006D662F"/>
    <w:rsid w:val="006D69A4"/>
    <w:rsid w:val="006E07AC"/>
    <w:rsid w:val="006E09B6"/>
    <w:rsid w:val="006E0ECB"/>
    <w:rsid w:val="006E1F97"/>
    <w:rsid w:val="006E3949"/>
    <w:rsid w:val="006F02CA"/>
    <w:rsid w:val="006F0C19"/>
    <w:rsid w:val="006F24A8"/>
    <w:rsid w:val="006F56C1"/>
    <w:rsid w:val="007041B2"/>
    <w:rsid w:val="007058E9"/>
    <w:rsid w:val="0070678E"/>
    <w:rsid w:val="00706975"/>
    <w:rsid w:val="00706EC2"/>
    <w:rsid w:val="00707348"/>
    <w:rsid w:val="00707470"/>
    <w:rsid w:val="00720EE5"/>
    <w:rsid w:val="007217E4"/>
    <w:rsid w:val="00721D6C"/>
    <w:rsid w:val="00721E50"/>
    <w:rsid w:val="00725107"/>
    <w:rsid w:val="00725B16"/>
    <w:rsid w:val="007278CF"/>
    <w:rsid w:val="00730C20"/>
    <w:rsid w:val="00732F77"/>
    <w:rsid w:val="00734495"/>
    <w:rsid w:val="007363F2"/>
    <w:rsid w:val="00737AB8"/>
    <w:rsid w:val="00740636"/>
    <w:rsid w:val="00743E33"/>
    <w:rsid w:val="00744513"/>
    <w:rsid w:val="007446A7"/>
    <w:rsid w:val="00756387"/>
    <w:rsid w:val="0075648C"/>
    <w:rsid w:val="00765A89"/>
    <w:rsid w:val="00767185"/>
    <w:rsid w:val="00767E0F"/>
    <w:rsid w:val="007715A2"/>
    <w:rsid w:val="00771E40"/>
    <w:rsid w:val="0077435A"/>
    <w:rsid w:val="0077777E"/>
    <w:rsid w:val="00781C31"/>
    <w:rsid w:val="00790E90"/>
    <w:rsid w:val="00791433"/>
    <w:rsid w:val="00793496"/>
    <w:rsid w:val="00793A6B"/>
    <w:rsid w:val="00794B98"/>
    <w:rsid w:val="00797D6F"/>
    <w:rsid w:val="007A0D95"/>
    <w:rsid w:val="007A14D0"/>
    <w:rsid w:val="007A2498"/>
    <w:rsid w:val="007B0767"/>
    <w:rsid w:val="007B461A"/>
    <w:rsid w:val="007C1582"/>
    <w:rsid w:val="007C2960"/>
    <w:rsid w:val="007C2992"/>
    <w:rsid w:val="007C62D3"/>
    <w:rsid w:val="007C62F5"/>
    <w:rsid w:val="007C7357"/>
    <w:rsid w:val="007C7B92"/>
    <w:rsid w:val="007D054D"/>
    <w:rsid w:val="007D1488"/>
    <w:rsid w:val="007D14B7"/>
    <w:rsid w:val="007D45FD"/>
    <w:rsid w:val="007D6721"/>
    <w:rsid w:val="007D679B"/>
    <w:rsid w:val="007D6900"/>
    <w:rsid w:val="007D7A8A"/>
    <w:rsid w:val="007E0403"/>
    <w:rsid w:val="007E0A01"/>
    <w:rsid w:val="007E0C74"/>
    <w:rsid w:val="007E1DC0"/>
    <w:rsid w:val="007E3D70"/>
    <w:rsid w:val="007E63F8"/>
    <w:rsid w:val="007E7191"/>
    <w:rsid w:val="007E7623"/>
    <w:rsid w:val="007F00D6"/>
    <w:rsid w:val="007F0242"/>
    <w:rsid w:val="007F0C15"/>
    <w:rsid w:val="00810BB4"/>
    <w:rsid w:val="00812990"/>
    <w:rsid w:val="00814B24"/>
    <w:rsid w:val="00815A04"/>
    <w:rsid w:val="00815CC0"/>
    <w:rsid w:val="008173C3"/>
    <w:rsid w:val="00817839"/>
    <w:rsid w:val="00823419"/>
    <w:rsid w:val="00823C4F"/>
    <w:rsid w:val="0082492B"/>
    <w:rsid w:val="0082525A"/>
    <w:rsid w:val="008253A7"/>
    <w:rsid w:val="008265EF"/>
    <w:rsid w:val="00827407"/>
    <w:rsid w:val="00836318"/>
    <w:rsid w:val="00837E38"/>
    <w:rsid w:val="00840961"/>
    <w:rsid w:val="00842EE7"/>
    <w:rsid w:val="00843AB9"/>
    <w:rsid w:val="008444BD"/>
    <w:rsid w:val="008445C8"/>
    <w:rsid w:val="00844943"/>
    <w:rsid w:val="00844DC6"/>
    <w:rsid w:val="00845083"/>
    <w:rsid w:val="00851D2A"/>
    <w:rsid w:val="00852449"/>
    <w:rsid w:val="008535B7"/>
    <w:rsid w:val="00855B83"/>
    <w:rsid w:val="00860275"/>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2640"/>
    <w:rsid w:val="0089429A"/>
    <w:rsid w:val="0089622A"/>
    <w:rsid w:val="00897C16"/>
    <w:rsid w:val="008A4831"/>
    <w:rsid w:val="008A492C"/>
    <w:rsid w:val="008A4C41"/>
    <w:rsid w:val="008A515D"/>
    <w:rsid w:val="008A615D"/>
    <w:rsid w:val="008A6918"/>
    <w:rsid w:val="008A69DC"/>
    <w:rsid w:val="008B4856"/>
    <w:rsid w:val="008B7C3D"/>
    <w:rsid w:val="008C1C0C"/>
    <w:rsid w:val="008C2886"/>
    <w:rsid w:val="008D1537"/>
    <w:rsid w:val="008D17E5"/>
    <w:rsid w:val="008D6725"/>
    <w:rsid w:val="008D78FF"/>
    <w:rsid w:val="008E3CCC"/>
    <w:rsid w:val="008E476F"/>
    <w:rsid w:val="008E5F7D"/>
    <w:rsid w:val="008E6217"/>
    <w:rsid w:val="008E7722"/>
    <w:rsid w:val="008F230C"/>
    <w:rsid w:val="008F48C1"/>
    <w:rsid w:val="008F4C9D"/>
    <w:rsid w:val="008F538E"/>
    <w:rsid w:val="008F5394"/>
    <w:rsid w:val="008F636C"/>
    <w:rsid w:val="008F6397"/>
    <w:rsid w:val="0090048A"/>
    <w:rsid w:val="009032ED"/>
    <w:rsid w:val="009041C1"/>
    <w:rsid w:val="0090449A"/>
    <w:rsid w:val="00904A06"/>
    <w:rsid w:val="0090536A"/>
    <w:rsid w:val="00911D0C"/>
    <w:rsid w:val="00914BDD"/>
    <w:rsid w:val="00914CB3"/>
    <w:rsid w:val="00916328"/>
    <w:rsid w:val="00916830"/>
    <w:rsid w:val="00917324"/>
    <w:rsid w:val="00920CC5"/>
    <w:rsid w:val="00921F74"/>
    <w:rsid w:val="009223CF"/>
    <w:rsid w:val="009223E3"/>
    <w:rsid w:val="00922926"/>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0CCE"/>
    <w:rsid w:val="00962693"/>
    <w:rsid w:val="00962CEA"/>
    <w:rsid w:val="00970EF3"/>
    <w:rsid w:val="00971B45"/>
    <w:rsid w:val="00972275"/>
    <w:rsid w:val="00973857"/>
    <w:rsid w:val="009749A9"/>
    <w:rsid w:val="00976ABD"/>
    <w:rsid w:val="00977A1D"/>
    <w:rsid w:val="0098131B"/>
    <w:rsid w:val="0098472B"/>
    <w:rsid w:val="0099344A"/>
    <w:rsid w:val="00993C0D"/>
    <w:rsid w:val="00994A10"/>
    <w:rsid w:val="00995388"/>
    <w:rsid w:val="00996D7F"/>
    <w:rsid w:val="009A164D"/>
    <w:rsid w:val="009A19C7"/>
    <w:rsid w:val="009A1BFD"/>
    <w:rsid w:val="009A38AD"/>
    <w:rsid w:val="009A4558"/>
    <w:rsid w:val="009A6C4D"/>
    <w:rsid w:val="009A712C"/>
    <w:rsid w:val="009B0DB2"/>
    <w:rsid w:val="009B2F66"/>
    <w:rsid w:val="009B6D24"/>
    <w:rsid w:val="009C1ADF"/>
    <w:rsid w:val="009C2CF9"/>
    <w:rsid w:val="009C4ABA"/>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4973"/>
    <w:rsid w:val="00A14F69"/>
    <w:rsid w:val="00A15971"/>
    <w:rsid w:val="00A20A01"/>
    <w:rsid w:val="00A23113"/>
    <w:rsid w:val="00A246DC"/>
    <w:rsid w:val="00A271B4"/>
    <w:rsid w:val="00A27BE4"/>
    <w:rsid w:val="00A30576"/>
    <w:rsid w:val="00A30F97"/>
    <w:rsid w:val="00A31FDC"/>
    <w:rsid w:val="00A32343"/>
    <w:rsid w:val="00A326B1"/>
    <w:rsid w:val="00A3336D"/>
    <w:rsid w:val="00A34AC6"/>
    <w:rsid w:val="00A34F24"/>
    <w:rsid w:val="00A37DC3"/>
    <w:rsid w:val="00A41638"/>
    <w:rsid w:val="00A425FC"/>
    <w:rsid w:val="00A42E43"/>
    <w:rsid w:val="00A43634"/>
    <w:rsid w:val="00A43665"/>
    <w:rsid w:val="00A441B5"/>
    <w:rsid w:val="00A454E0"/>
    <w:rsid w:val="00A46462"/>
    <w:rsid w:val="00A46B27"/>
    <w:rsid w:val="00A47339"/>
    <w:rsid w:val="00A47536"/>
    <w:rsid w:val="00A51399"/>
    <w:rsid w:val="00A520CC"/>
    <w:rsid w:val="00A52BA6"/>
    <w:rsid w:val="00A5445A"/>
    <w:rsid w:val="00A552DA"/>
    <w:rsid w:val="00A6113D"/>
    <w:rsid w:val="00A6164F"/>
    <w:rsid w:val="00A6235A"/>
    <w:rsid w:val="00A62805"/>
    <w:rsid w:val="00A6716E"/>
    <w:rsid w:val="00A700D6"/>
    <w:rsid w:val="00A751BB"/>
    <w:rsid w:val="00A76001"/>
    <w:rsid w:val="00A8034A"/>
    <w:rsid w:val="00A805C2"/>
    <w:rsid w:val="00A806F1"/>
    <w:rsid w:val="00A86525"/>
    <w:rsid w:val="00A87BE9"/>
    <w:rsid w:val="00A9241A"/>
    <w:rsid w:val="00A95893"/>
    <w:rsid w:val="00A963C3"/>
    <w:rsid w:val="00A96F94"/>
    <w:rsid w:val="00AA127F"/>
    <w:rsid w:val="00AA230A"/>
    <w:rsid w:val="00AA42E6"/>
    <w:rsid w:val="00AA56E2"/>
    <w:rsid w:val="00AA5C4F"/>
    <w:rsid w:val="00AA712A"/>
    <w:rsid w:val="00AA7E8A"/>
    <w:rsid w:val="00AB06D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AC5"/>
    <w:rsid w:val="00AE4EB6"/>
    <w:rsid w:val="00AE51EC"/>
    <w:rsid w:val="00AE6E0C"/>
    <w:rsid w:val="00AF1E99"/>
    <w:rsid w:val="00B014C2"/>
    <w:rsid w:val="00B033B8"/>
    <w:rsid w:val="00B0347F"/>
    <w:rsid w:val="00B04FAA"/>
    <w:rsid w:val="00B05C54"/>
    <w:rsid w:val="00B11C17"/>
    <w:rsid w:val="00B121E8"/>
    <w:rsid w:val="00B13499"/>
    <w:rsid w:val="00B1662F"/>
    <w:rsid w:val="00B20342"/>
    <w:rsid w:val="00B20D39"/>
    <w:rsid w:val="00B221CA"/>
    <w:rsid w:val="00B274BB"/>
    <w:rsid w:val="00B30133"/>
    <w:rsid w:val="00B329CB"/>
    <w:rsid w:val="00B344F1"/>
    <w:rsid w:val="00B37577"/>
    <w:rsid w:val="00B45711"/>
    <w:rsid w:val="00B46B34"/>
    <w:rsid w:val="00B4740F"/>
    <w:rsid w:val="00B5655C"/>
    <w:rsid w:val="00B56EB8"/>
    <w:rsid w:val="00B57637"/>
    <w:rsid w:val="00B60083"/>
    <w:rsid w:val="00B60AD9"/>
    <w:rsid w:val="00B60EEC"/>
    <w:rsid w:val="00B6151B"/>
    <w:rsid w:val="00B6163A"/>
    <w:rsid w:val="00B62197"/>
    <w:rsid w:val="00B63BE0"/>
    <w:rsid w:val="00B6474E"/>
    <w:rsid w:val="00B65CFA"/>
    <w:rsid w:val="00B66159"/>
    <w:rsid w:val="00B70F42"/>
    <w:rsid w:val="00B722AB"/>
    <w:rsid w:val="00B74BCA"/>
    <w:rsid w:val="00B756EA"/>
    <w:rsid w:val="00B75B65"/>
    <w:rsid w:val="00B7691D"/>
    <w:rsid w:val="00B7774A"/>
    <w:rsid w:val="00B81E82"/>
    <w:rsid w:val="00B82499"/>
    <w:rsid w:val="00B85C22"/>
    <w:rsid w:val="00B866E5"/>
    <w:rsid w:val="00B91EA5"/>
    <w:rsid w:val="00B931D1"/>
    <w:rsid w:val="00B943B1"/>
    <w:rsid w:val="00B96325"/>
    <w:rsid w:val="00BA0A22"/>
    <w:rsid w:val="00BA14F4"/>
    <w:rsid w:val="00BA2E9B"/>
    <w:rsid w:val="00BA7189"/>
    <w:rsid w:val="00BB0025"/>
    <w:rsid w:val="00BB09C5"/>
    <w:rsid w:val="00BB1C9B"/>
    <w:rsid w:val="00BB2330"/>
    <w:rsid w:val="00BB34B8"/>
    <w:rsid w:val="00BB3ADD"/>
    <w:rsid w:val="00BB4180"/>
    <w:rsid w:val="00BB6E67"/>
    <w:rsid w:val="00BB7960"/>
    <w:rsid w:val="00BC06E8"/>
    <w:rsid w:val="00BC0E4B"/>
    <w:rsid w:val="00BC3BC5"/>
    <w:rsid w:val="00BC4144"/>
    <w:rsid w:val="00BC4472"/>
    <w:rsid w:val="00BC51A3"/>
    <w:rsid w:val="00BC5382"/>
    <w:rsid w:val="00BC66EB"/>
    <w:rsid w:val="00BD1934"/>
    <w:rsid w:val="00BD1A48"/>
    <w:rsid w:val="00BD2FB8"/>
    <w:rsid w:val="00BD4752"/>
    <w:rsid w:val="00BD63E9"/>
    <w:rsid w:val="00BD649A"/>
    <w:rsid w:val="00BE0EC8"/>
    <w:rsid w:val="00BE4892"/>
    <w:rsid w:val="00BE649D"/>
    <w:rsid w:val="00BE6E9C"/>
    <w:rsid w:val="00BF13E2"/>
    <w:rsid w:val="00BF249C"/>
    <w:rsid w:val="00BF2F17"/>
    <w:rsid w:val="00BF393C"/>
    <w:rsid w:val="00BF4361"/>
    <w:rsid w:val="00BF6568"/>
    <w:rsid w:val="00C01ABB"/>
    <w:rsid w:val="00C02217"/>
    <w:rsid w:val="00C044F2"/>
    <w:rsid w:val="00C04559"/>
    <w:rsid w:val="00C10600"/>
    <w:rsid w:val="00C11C6A"/>
    <w:rsid w:val="00C166A5"/>
    <w:rsid w:val="00C16A63"/>
    <w:rsid w:val="00C16F7D"/>
    <w:rsid w:val="00C1739F"/>
    <w:rsid w:val="00C20A0F"/>
    <w:rsid w:val="00C20EF9"/>
    <w:rsid w:val="00C21A1E"/>
    <w:rsid w:val="00C24F0A"/>
    <w:rsid w:val="00C25337"/>
    <w:rsid w:val="00C307D2"/>
    <w:rsid w:val="00C31A26"/>
    <w:rsid w:val="00C327A5"/>
    <w:rsid w:val="00C32F05"/>
    <w:rsid w:val="00C33121"/>
    <w:rsid w:val="00C332FC"/>
    <w:rsid w:val="00C33F2C"/>
    <w:rsid w:val="00C34377"/>
    <w:rsid w:val="00C34941"/>
    <w:rsid w:val="00C36389"/>
    <w:rsid w:val="00C37B14"/>
    <w:rsid w:val="00C40FDA"/>
    <w:rsid w:val="00C44943"/>
    <w:rsid w:val="00C44C95"/>
    <w:rsid w:val="00C4549D"/>
    <w:rsid w:val="00C45AB4"/>
    <w:rsid w:val="00C501C4"/>
    <w:rsid w:val="00C5082A"/>
    <w:rsid w:val="00C52C5E"/>
    <w:rsid w:val="00C54522"/>
    <w:rsid w:val="00C5456D"/>
    <w:rsid w:val="00C5549D"/>
    <w:rsid w:val="00C61BDC"/>
    <w:rsid w:val="00C61FF9"/>
    <w:rsid w:val="00C627A2"/>
    <w:rsid w:val="00C62EBE"/>
    <w:rsid w:val="00C65525"/>
    <w:rsid w:val="00C6637E"/>
    <w:rsid w:val="00C7152A"/>
    <w:rsid w:val="00C728A7"/>
    <w:rsid w:val="00C7500F"/>
    <w:rsid w:val="00C751EA"/>
    <w:rsid w:val="00C75A4F"/>
    <w:rsid w:val="00C772EA"/>
    <w:rsid w:val="00C77663"/>
    <w:rsid w:val="00C8212B"/>
    <w:rsid w:val="00C82F3D"/>
    <w:rsid w:val="00C82FC5"/>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967"/>
    <w:rsid w:val="00CA4ADF"/>
    <w:rsid w:val="00CA6526"/>
    <w:rsid w:val="00CA7E59"/>
    <w:rsid w:val="00CB1829"/>
    <w:rsid w:val="00CB189E"/>
    <w:rsid w:val="00CB19CB"/>
    <w:rsid w:val="00CB204F"/>
    <w:rsid w:val="00CB45B6"/>
    <w:rsid w:val="00CB5D7B"/>
    <w:rsid w:val="00CB6882"/>
    <w:rsid w:val="00CB7A76"/>
    <w:rsid w:val="00CC2408"/>
    <w:rsid w:val="00CC27AD"/>
    <w:rsid w:val="00CC76C2"/>
    <w:rsid w:val="00CD291B"/>
    <w:rsid w:val="00CD40FD"/>
    <w:rsid w:val="00CD4E1C"/>
    <w:rsid w:val="00CE09F6"/>
    <w:rsid w:val="00CE128B"/>
    <w:rsid w:val="00CE3CFF"/>
    <w:rsid w:val="00CE46A5"/>
    <w:rsid w:val="00CF0131"/>
    <w:rsid w:val="00CF05DA"/>
    <w:rsid w:val="00CF370C"/>
    <w:rsid w:val="00CF4D9E"/>
    <w:rsid w:val="00CF50F6"/>
    <w:rsid w:val="00CF5C7C"/>
    <w:rsid w:val="00D0079F"/>
    <w:rsid w:val="00D02EA6"/>
    <w:rsid w:val="00D03BE9"/>
    <w:rsid w:val="00D0470C"/>
    <w:rsid w:val="00D11E93"/>
    <w:rsid w:val="00D12D69"/>
    <w:rsid w:val="00D12F6E"/>
    <w:rsid w:val="00D14512"/>
    <w:rsid w:val="00D14BBF"/>
    <w:rsid w:val="00D215C9"/>
    <w:rsid w:val="00D23D51"/>
    <w:rsid w:val="00D23E53"/>
    <w:rsid w:val="00D24EDC"/>
    <w:rsid w:val="00D277E5"/>
    <w:rsid w:val="00D315BC"/>
    <w:rsid w:val="00D31657"/>
    <w:rsid w:val="00D31FAE"/>
    <w:rsid w:val="00D419F1"/>
    <w:rsid w:val="00D478F2"/>
    <w:rsid w:val="00D50452"/>
    <w:rsid w:val="00D54062"/>
    <w:rsid w:val="00D56DA8"/>
    <w:rsid w:val="00D6147D"/>
    <w:rsid w:val="00D62CCB"/>
    <w:rsid w:val="00D67DAF"/>
    <w:rsid w:val="00D71175"/>
    <w:rsid w:val="00D7155A"/>
    <w:rsid w:val="00D716F1"/>
    <w:rsid w:val="00D71706"/>
    <w:rsid w:val="00D7256E"/>
    <w:rsid w:val="00D72F3D"/>
    <w:rsid w:val="00D74282"/>
    <w:rsid w:val="00D745F7"/>
    <w:rsid w:val="00D8286C"/>
    <w:rsid w:val="00D83021"/>
    <w:rsid w:val="00D90514"/>
    <w:rsid w:val="00D917A4"/>
    <w:rsid w:val="00D9203E"/>
    <w:rsid w:val="00D94BBB"/>
    <w:rsid w:val="00D94F4A"/>
    <w:rsid w:val="00DA0A55"/>
    <w:rsid w:val="00DA0EDA"/>
    <w:rsid w:val="00DA33A5"/>
    <w:rsid w:val="00DA3D82"/>
    <w:rsid w:val="00DA4F89"/>
    <w:rsid w:val="00DA61A3"/>
    <w:rsid w:val="00DA6973"/>
    <w:rsid w:val="00DA775F"/>
    <w:rsid w:val="00DB0477"/>
    <w:rsid w:val="00DB1642"/>
    <w:rsid w:val="00DB28DC"/>
    <w:rsid w:val="00DB35ED"/>
    <w:rsid w:val="00DB7168"/>
    <w:rsid w:val="00DC00DC"/>
    <w:rsid w:val="00DC0A98"/>
    <w:rsid w:val="00DC1068"/>
    <w:rsid w:val="00DC2009"/>
    <w:rsid w:val="00DC27BB"/>
    <w:rsid w:val="00DC2AFF"/>
    <w:rsid w:val="00DC2EE3"/>
    <w:rsid w:val="00DC614F"/>
    <w:rsid w:val="00DC7ACA"/>
    <w:rsid w:val="00DD0266"/>
    <w:rsid w:val="00DD21C0"/>
    <w:rsid w:val="00DD3BB7"/>
    <w:rsid w:val="00DD42C2"/>
    <w:rsid w:val="00DD5102"/>
    <w:rsid w:val="00DD5665"/>
    <w:rsid w:val="00DE01CE"/>
    <w:rsid w:val="00DE0762"/>
    <w:rsid w:val="00DE67FC"/>
    <w:rsid w:val="00DF00C1"/>
    <w:rsid w:val="00DF0637"/>
    <w:rsid w:val="00DF0A7E"/>
    <w:rsid w:val="00DF4BCE"/>
    <w:rsid w:val="00E00885"/>
    <w:rsid w:val="00E03A78"/>
    <w:rsid w:val="00E042D4"/>
    <w:rsid w:val="00E07DF2"/>
    <w:rsid w:val="00E10FFF"/>
    <w:rsid w:val="00E1396A"/>
    <w:rsid w:val="00E147E0"/>
    <w:rsid w:val="00E20497"/>
    <w:rsid w:val="00E22906"/>
    <w:rsid w:val="00E22D5A"/>
    <w:rsid w:val="00E22EBE"/>
    <w:rsid w:val="00E2385A"/>
    <w:rsid w:val="00E25884"/>
    <w:rsid w:val="00E26AAA"/>
    <w:rsid w:val="00E3385D"/>
    <w:rsid w:val="00E360B7"/>
    <w:rsid w:val="00E43842"/>
    <w:rsid w:val="00E44062"/>
    <w:rsid w:val="00E4416C"/>
    <w:rsid w:val="00E451CF"/>
    <w:rsid w:val="00E471CF"/>
    <w:rsid w:val="00E501A6"/>
    <w:rsid w:val="00E51BA8"/>
    <w:rsid w:val="00E51BE9"/>
    <w:rsid w:val="00E52FCD"/>
    <w:rsid w:val="00E54741"/>
    <w:rsid w:val="00E56A1F"/>
    <w:rsid w:val="00E5743D"/>
    <w:rsid w:val="00E61D5C"/>
    <w:rsid w:val="00E62150"/>
    <w:rsid w:val="00E6447F"/>
    <w:rsid w:val="00E65F36"/>
    <w:rsid w:val="00E65F64"/>
    <w:rsid w:val="00E671E2"/>
    <w:rsid w:val="00E70B81"/>
    <w:rsid w:val="00E73425"/>
    <w:rsid w:val="00E73C02"/>
    <w:rsid w:val="00E7628E"/>
    <w:rsid w:val="00E76C4E"/>
    <w:rsid w:val="00E77577"/>
    <w:rsid w:val="00E77EAE"/>
    <w:rsid w:val="00E8006C"/>
    <w:rsid w:val="00E90C7E"/>
    <w:rsid w:val="00E921F7"/>
    <w:rsid w:val="00E9274F"/>
    <w:rsid w:val="00EA2820"/>
    <w:rsid w:val="00EA5FED"/>
    <w:rsid w:val="00EA6137"/>
    <w:rsid w:val="00EB03F5"/>
    <w:rsid w:val="00EB263C"/>
    <w:rsid w:val="00EB4862"/>
    <w:rsid w:val="00EB6622"/>
    <w:rsid w:val="00EC09FD"/>
    <w:rsid w:val="00EC1C10"/>
    <w:rsid w:val="00EC1CD1"/>
    <w:rsid w:val="00EC28C1"/>
    <w:rsid w:val="00EC4103"/>
    <w:rsid w:val="00EC507F"/>
    <w:rsid w:val="00ED175B"/>
    <w:rsid w:val="00ED29AD"/>
    <w:rsid w:val="00ED377B"/>
    <w:rsid w:val="00ED49F3"/>
    <w:rsid w:val="00EE2944"/>
    <w:rsid w:val="00EE35DE"/>
    <w:rsid w:val="00EE386C"/>
    <w:rsid w:val="00EE4E2E"/>
    <w:rsid w:val="00EE4E64"/>
    <w:rsid w:val="00EE4FC3"/>
    <w:rsid w:val="00EF26A5"/>
    <w:rsid w:val="00EF335B"/>
    <w:rsid w:val="00EF4B50"/>
    <w:rsid w:val="00EF5FA2"/>
    <w:rsid w:val="00EF662A"/>
    <w:rsid w:val="00EF6CB9"/>
    <w:rsid w:val="00EF6E5B"/>
    <w:rsid w:val="00EF7435"/>
    <w:rsid w:val="00EF7A99"/>
    <w:rsid w:val="00F017F1"/>
    <w:rsid w:val="00F02F53"/>
    <w:rsid w:val="00F10EB1"/>
    <w:rsid w:val="00F11159"/>
    <w:rsid w:val="00F12786"/>
    <w:rsid w:val="00F14553"/>
    <w:rsid w:val="00F1541A"/>
    <w:rsid w:val="00F154DF"/>
    <w:rsid w:val="00F15932"/>
    <w:rsid w:val="00F17FB6"/>
    <w:rsid w:val="00F20A3B"/>
    <w:rsid w:val="00F210C4"/>
    <w:rsid w:val="00F213B5"/>
    <w:rsid w:val="00F2244C"/>
    <w:rsid w:val="00F22471"/>
    <w:rsid w:val="00F23AB0"/>
    <w:rsid w:val="00F24053"/>
    <w:rsid w:val="00F247B5"/>
    <w:rsid w:val="00F25271"/>
    <w:rsid w:val="00F25DD3"/>
    <w:rsid w:val="00F27161"/>
    <w:rsid w:val="00F32ACD"/>
    <w:rsid w:val="00F33C48"/>
    <w:rsid w:val="00F33E2D"/>
    <w:rsid w:val="00F401C5"/>
    <w:rsid w:val="00F4308E"/>
    <w:rsid w:val="00F45FC6"/>
    <w:rsid w:val="00F47274"/>
    <w:rsid w:val="00F528E5"/>
    <w:rsid w:val="00F543D6"/>
    <w:rsid w:val="00F56864"/>
    <w:rsid w:val="00F573E5"/>
    <w:rsid w:val="00F632EE"/>
    <w:rsid w:val="00F64511"/>
    <w:rsid w:val="00F64547"/>
    <w:rsid w:val="00F65DC0"/>
    <w:rsid w:val="00F65EC5"/>
    <w:rsid w:val="00F67545"/>
    <w:rsid w:val="00F73E4D"/>
    <w:rsid w:val="00F73FBF"/>
    <w:rsid w:val="00F768B2"/>
    <w:rsid w:val="00F80221"/>
    <w:rsid w:val="00F803E8"/>
    <w:rsid w:val="00F81BA5"/>
    <w:rsid w:val="00F82D25"/>
    <w:rsid w:val="00F86F4B"/>
    <w:rsid w:val="00F90216"/>
    <w:rsid w:val="00F90307"/>
    <w:rsid w:val="00F9294A"/>
    <w:rsid w:val="00F92A3D"/>
    <w:rsid w:val="00F93936"/>
    <w:rsid w:val="00F93C71"/>
    <w:rsid w:val="00F97A74"/>
    <w:rsid w:val="00FA2DB4"/>
    <w:rsid w:val="00FA371D"/>
    <w:rsid w:val="00FA5D90"/>
    <w:rsid w:val="00FA6053"/>
    <w:rsid w:val="00FA6507"/>
    <w:rsid w:val="00FA6DB0"/>
    <w:rsid w:val="00FB0E25"/>
    <w:rsid w:val="00FB442E"/>
    <w:rsid w:val="00FB4555"/>
    <w:rsid w:val="00FC02DA"/>
    <w:rsid w:val="00FC4CC7"/>
    <w:rsid w:val="00FD2E86"/>
    <w:rsid w:val="00FD389D"/>
    <w:rsid w:val="00FD3BBA"/>
    <w:rsid w:val="00FD4326"/>
    <w:rsid w:val="00FD620B"/>
    <w:rsid w:val="00FD7D7A"/>
    <w:rsid w:val="00FE2734"/>
    <w:rsid w:val="00FF1D9A"/>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naisc">
    <w:name w:val="naisc"/>
    <w:basedOn w:val="Normal"/>
    <w:rsid w:val="007C62D3"/>
    <w:pPr>
      <w:spacing w:before="75" w:after="75"/>
      <w:jc w:val="center"/>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naisc">
    <w:name w:val="naisc"/>
    <w:basedOn w:val="Normal"/>
    <w:rsid w:val="007C62D3"/>
    <w:pPr>
      <w:spacing w:before="75" w:after="75"/>
      <w:jc w:val="center"/>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591356961">
      <w:bodyDiv w:val="1"/>
      <w:marLeft w:val="0"/>
      <w:marRight w:val="0"/>
      <w:marTop w:val="0"/>
      <w:marBottom w:val="0"/>
      <w:divBdr>
        <w:top w:val="none" w:sz="0" w:space="0" w:color="auto"/>
        <w:left w:val="none" w:sz="0" w:space="0" w:color="auto"/>
        <w:bottom w:val="none" w:sz="0" w:space="0" w:color="auto"/>
        <w:right w:val="none" w:sz="0" w:space="0" w:color="auto"/>
      </w:divBdr>
    </w:div>
    <w:div w:id="721561067">
      <w:bodyDiv w:val="1"/>
      <w:marLeft w:val="0"/>
      <w:marRight w:val="0"/>
      <w:marTop w:val="0"/>
      <w:marBottom w:val="0"/>
      <w:divBdr>
        <w:top w:val="none" w:sz="0" w:space="0" w:color="auto"/>
        <w:left w:val="none" w:sz="0" w:space="0" w:color="auto"/>
        <w:bottom w:val="none" w:sz="0" w:space="0" w:color="auto"/>
        <w:right w:val="none" w:sz="0" w:space="0" w:color="auto"/>
      </w:divBdr>
    </w:div>
    <w:div w:id="786583486">
      <w:bodyDiv w:val="1"/>
      <w:marLeft w:val="0"/>
      <w:marRight w:val="0"/>
      <w:marTop w:val="0"/>
      <w:marBottom w:val="0"/>
      <w:divBdr>
        <w:top w:val="none" w:sz="0" w:space="0" w:color="auto"/>
        <w:left w:val="none" w:sz="0" w:space="0" w:color="auto"/>
        <w:bottom w:val="none" w:sz="0" w:space="0" w:color="auto"/>
        <w:right w:val="none" w:sz="0" w:space="0" w:color="auto"/>
      </w:divBdr>
    </w:div>
    <w:div w:id="1000694218">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45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1DFA-951D-4E44-9071-35D3C07A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1428</Words>
  <Characters>10115</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26.oktobra noteikumos Nr.997 „Noteikumi par garantijām komersantu un atbilstošu lauksaimniecības pakalpojumu kooperatīvo sabiedrību konkurētspējas uzlabošanai”” sākotnējās ietekme</vt:lpstr>
    </vt:vector>
  </TitlesOfParts>
  <Company>LR Ekonomikas ministrija</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dc:title>
  <dc:subject>Ministru kabineta noteikumu projekta sākotnējās ietekmes novērtējuma ziņojums (anotācija)</dc:subject>
  <dc:creator>Agita Nicmane</dc:creator>
  <dc:description>67013203, Agita.Nicmane@em.gov.lv</dc:description>
  <cp:lastModifiedBy>Baiba Strode</cp:lastModifiedBy>
  <cp:revision>56</cp:revision>
  <cp:lastPrinted>2014-06-04T13:08:00Z</cp:lastPrinted>
  <dcterms:created xsi:type="dcterms:W3CDTF">2014-08-20T08:06:00Z</dcterms:created>
  <dcterms:modified xsi:type="dcterms:W3CDTF">2014-09-03T09:34:00Z</dcterms:modified>
</cp:coreProperties>
</file>