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18" w:rsidRDefault="00A5178B" w:rsidP="00A5178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5178B">
        <w:rPr>
          <w:rFonts w:ascii="Times New Roman" w:eastAsia="Times New Roman" w:hAnsi="Times New Roman" w:cs="Times New Roman"/>
          <w:b/>
          <w:bCs/>
          <w:sz w:val="24"/>
          <w:szCs w:val="24"/>
          <w:lang w:eastAsia="lv-LV"/>
        </w:rPr>
        <w:t xml:space="preserve">Ministru kabineta noteikumu projekta „Noteikumi par </w:t>
      </w:r>
      <w:r w:rsidR="00917B58">
        <w:rPr>
          <w:rFonts w:ascii="Times New Roman" w:eastAsia="Times New Roman" w:hAnsi="Times New Roman" w:cs="Times New Roman"/>
          <w:b/>
          <w:bCs/>
          <w:sz w:val="24"/>
          <w:szCs w:val="24"/>
          <w:lang w:eastAsia="lv-LV"/>
        </w:rPr>
        <w:t>V</w:t>
      </w:r>
      <w:r w:rsidRPr="00A5178B">
        <w:rPr>
          <w:rFonts w:ascii="Times New Roman" w:eastAsia="Times New Roman" w:hAnsi="Times New Roman" w:cs="Times New Roman"/>
          <w:b/>
          <w:bCs/>
          <w:sz w:val="24"/>
          <w:szCs w:val="24"/>
          <w:lang w:eastAsia="lv-LV"/>
        </w:rPr>
        <w:t>alsts statistiskās informācijas programmu 201</w:t>
      </w:r>
      <w:r>
        <w:rPr>
          <w:rFonts w:ascii="Times New Roman" w:eastAsia="Times New Roman" w:hAnsi="Times New Roman" w:cs="Times New Roman"/>
          <w:b/>
          <w:bCs/>
          <w:sz w:val="24"/>
          <w:szCs w:val="24"/>
          <w:lang w:eastAsia="lv-LV"/>
        </w:rPr>
        <w:t>5</w:t>
      </w:r>
      <w:r w:rsidRPr="00A5178B">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A5178B">
        <w:rPr>
          <w:rFonts w:ascii="Times New Roman" w:eastAsia="Times New Roman" w:hAnsi="Times New Roman" w:cs="Times New Roman"/>
          <w:b/>
          <w:bCs/>
          <w:sz w:val="24"/>
          <w:szCs w:val="24"/>
          <w:lang w:eastAsia="lv-LV"/>
        </w:rPr>
        <w:t>gadam” sākotnējās ietekmes novērtējuma ziņojums (anotācija)</w:t>
      </w:r>
    </w:p>
    <w:p w:rsidR="00B759ED" w:rsidRPr="002C5318" w:rsidRDefault="00B759ED" w:rsidP="00A5178B">
      <w:pPr>
        <w:spacing w:before="100" w:beforeAutospacing="1" w:after="100" w:afterAutospacing="1" w:line="240" w:lineRule="auto"/>
        <w:jc w:val="center"/>
        <w:rPr>
          <w:rFonts w:ascii="Times New Roman" w:eastAsia="Times New Roman" w:hAnsi="Times New Roman" w:cs="Times New Roman"/>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1965"/>
        <w:gridCol w:w="7719"/>
      </w:tblGrid>
      <w:tr w:rsidR="002C5318" w:rsidRPr="002C5318" w:rsidTr="00524F38">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2C5318" w:rsidRDefault="002C5318" w:rsidP="00EB363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I. Tiesību akta projekta izstrādes nepieciešamība</w:t>
            </w:r>
          </w:p>
        </w:tc>
      </w:tr>
      <w:tr w:rsidR="002C5318" w:rsidRPr="002C5318" w:rsidTr="009D10E9">
        <w:trPr>
          <w:trHeight w:val="405"/>
        </w:trPr>
        <w:tc>
          <w:tcPr>
            <w:tcW w:w="121"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1.</w:t>
            </w:r>
          </w:p>
        </w:tc>
        <w:tc>
          <w:tcPr>
            <w:tcW w:w="990"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Pamatojums</w:t>
            </w:r>
          </w:p>
        </w:tc>
        <w:tc>
          <w:tcPr>
            <w:tcW w:w="3889" w:type="pct"/>
            <w:tcBorders>
              <w:top w:val="outset" w:sz="6" w:space="0" w:color="auto"/>
              <w:left w:val="outset" w:sz="6" w:space="0" w:color="auto"/>
              <w:bottom w:val="outset" w:sz="6" w:space="0" w:color="auto"/>
              <w:right w:val="outset" w:sz="6" w:space="0" w:color="auto"/>
            </w:tcBorders>
            <w:hideMark/>
          </w:tcPr>
          <w:p w:rsidR="002C5318" w:rsidRPr="002C5318" w:rsidRDefault="00A5178B" w:rsidP="00A5178B">
            <w:pPr>
              <w:spacing w:after="0" w:line="240" w:lineRule="auto"/>
              <w:rPr>
                <w:rFonts w:ascii="Times New Roman" w:eastAsia="Times New Roman" w:hAnsi="Times New Roman" w:cs="Times New Roman"/>
                <w:sz w:val="24"/>
                <w:szCs w:val="24"/>
                <w:lang w:eastAsia="lv-LV"/>
              </w:rPr>
            </w:pPr>
            <w:r w:rsidRPr="00A5178B">
              <w:rPr>
                <w:rFonts w:ascii="Times New Roman" w:eastAsia="Times New Roman" w:hAnsi="Times New Roman" w:cs="Times New Roman"/>
                <w:sz w:val="24"/>
                <w:szCs w:val="24"/>
                <w:lang w:eastAsia="lv-LV"/>
              </w:rPr>
              <w:t>Ministru kabineta noteikumu projekts „Noteikumi par Valsts statistiskās informācijas programmu 201</w:t>
            </w:r>
            <w:r>
              <w:rPr>
                <w:rFonts w:ascii="Times New Roman" w:eastAsia="Times New Roman" w:hAnsi="Times New Roman" w:cs="Times New Roman"/>
                <w:sz w:val="24"/>
                <w:szCs w:val="24"/>
                <w:lang w:eastAsia="lv-LV"/>
              </w:rPr>
              <w:t>5</w:t>
            </w:r>
            <w:r w:rsidRPr="00A517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A5178B">
              <w:rPr>
                <w:rFonts w:ascii="Times New Roman" w:eastAsia="Times New Roman" w:hAnsi="Times New Roman" w:cs="Times New Roman"/>
                <w:sz w:val="24"/>
                <w:szCs w:val="24"/>
                <w:lang w:eastAsia="lv-LV"/>
              </w:rPr>
              <w:t>gadam” (turpmāk – MK noteikumu projekts) ir izstrādāts saskaņā ar Valsts statistikas likuma 5.</w:t>
            </w:r>
            <w:r>
              <w:rPr>
                <w:rFonts w:ascii="Times New Roman" w:eastAsia="Times New Roman" w:hAnsi="Times New Roman" w:cs="Times New Roman"/>
                <w:sz w:val="24"/>
                <w:szCs w:val="24"/>
                <w:lang w:eastAsia="lv-LV"/>
              </w:rPr>
              <w:t> </w:t>
            </w:r>
            <w:r w:rsidRPr="00A5178B">
              <w:rPr>
                <w:rFonts w:ascii="Times New Roman" w:eastAsia="Times New Roman" w:hAnsi="Times New Roman" w:cs="Times New Roman"/>
                <w:sz w:val="24"/>
                <w:szCs w:val="24"/>
                <w:lang w:eastAsia="lv-LV"/>
              </w:rPr>
              <w:t>panta otrās daļas 3.</w:t>
            </w:r>
            <w:r>
              <w:rPr>
                <w:rFonts w:ascii="Times New Roman" w:eastAsia="Times New Roman" w:hAnsi="Times New Roman" w:cs="Times New Roman"/>
                <w:sz w:val="24"/>
                <w:szCs w:val="24"/>
                <w:lang w:eastAsia="lv-LV"/>
              </w:rPr>
              <w:t> </w:t>
            </w:r>
            <w:r w:rsidRPr="00A5178B">
              <w:rPr>
                <w:rFonts w:ascii="Times New Roman" w:eastAsia="Times New Roman" w:hAnsi="Times New Roman" w:cs="Times New Roman"/>
                <w:sz w:val="24"/>
                <w:szCs w:val="24"/>
                <w:lang w:eastAsia="lv-LV"/>
              </w:rPr>
              <w:t>punktu.</w:t>
            </w:r>
          </w:p>
        </w:tc>
      </w:tr>
      <w:tr w:rsidR="002C5318" w:rsidRPr="002C5318" w:rsidTr="009D10E9">
        <w:trPr>
          <w:trHeight w:val="465"/>
        </w:trPr>
        <w:tc>
          <w:tcPr>
            <w:tcW w:w="121"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2.</w:t>
            </w:r>
          </w:p>
        </w:tc>
        <w:tc>
          <w:tcPr>
            <w:tcW w:w="990" w:type="pct"/>
            <w:tcBorders>
              <w:top w:val="outset" w:sz="6" w:space="0" w:color="auto"/>
              <w:left w:val="outset" w:sz="6" w:space="0" w:color="auto"/>
              <w:bottom w:val="outset" w:sz="6" w:space="0" w:color="auto"/>
              <w:right w:val="outset" w:sz="6" w:space="0" w:color="auto"/>
            </w:tcBorders>
            <w:hideMark/>
          </w:tcPr>
          <w:p w:rsidR="002C5318" w:rsidRPr="00AA6DA6" w:rsidRDefault="002C5318" w:rsidP="00AA6DA6">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89" w:type="pct"/>
            <w:tcBorders>
              <w:top w:val="outset" w:sz="6" w:space="0" w:color="auto"/>
              <w:left w:val="outset" w:sz="6" w:space="0" w:color="auto"/>
              <w:bottom w:val="outset" w:sz="6" w:space="0" w:color="auto"/>
              <w:right w:val="outset" w:sz="6" w:space="0" w:color="auto"/>
            </w:tcBorders>
            <w:hideMark/>
          </w:tcPr>
          <w:p w:rsidR="00A5178B" w:rsidRPr="00FA06D2" w:rsidRDefault="00B328C1" w:rsidP="00A5178B">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1. </w:t>
            </w:r>
            <w:r w:rsidR="00A5178B" w:rsidRPr="00FA06D2">
              <w:rPr>
                <w:rFonts w:ascii="Times New Roman" w:eastAsia="Times New Roman" w:hAnsi="Times New Roman" w:cs="Times New Roman"/>
                <w:sz w:val="24"/>
                <w:szCs w:val="24"/>
                <w:lang w:eastAsia="lv-LV"/>
              </w:rPr>
              <w:t>Saskaņā ar Valsts statistikas likuma 5. panta otrās daļas 3. punktā noteikto, Valsts statistiskās informācijas programmu izstrādā kārtējā gada finanšu līdzekļu ietvaros.</w:t>
            </w:r>
          </w:p>
          <w:p w:rsidR="00A859E7" w:rsidRPr="00FA06D2" w:rsidRDefault="00A859E7" w:rsidP="00A5178B">
            <w:pPr>
              <w:spacing w:after="0" w:line="240" w:lineRule="auto"/>
              <w:rPr>
                <w:rFonts w:ascii="Times New Roman" w:eastAsia="Times New Roman" w:hAnsi="Times New Roman" w:cs="Times New Roman"/>
                <w:sz w:val="24"/>
                <w:szCs w:val="24"/>
                <w:lang w:eastAsia="lv-LV"/>
              </w:rPr>
            </w:pPr>
          </w:p>
          <w:p w:rsidR="001A0F81" w:rsidRPr="00FA06D2" w:rsidRDefault="00B328C1" w:rsidP="00A859E7">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2. </w:t>
            </w:r>
            <w:r w:rsidR="00A859E7" w:rsidRPr="00FA06D2">
              <w:rPr>
                <w:rFonts w:ascii="Times New Roman" w:eastAsia="Times New Roman" w:hAnsi="Times New Roman" w:cs="Times New Roman"/>
                <w:sz w:val="24"/>
                <w:szCs w:val="24"/>
                <w:lang w:eastAsia="lv-LV"/>
              </w:rPr>
              <w:t>MK noteikumu projekta pielikuma 1. tabulā ir noteikta statistiskā informācija, kuru apkopo un publicē ministrijas un citas valsts institūcijas tām piešķirto budžeta līdzekļu ietvaros, lai izpildītu Eiropas Savienības vai Latvijas Republikas tiesību aktos noteiktās prasības vai lai izpildītu starptautisko organizāciju, Eiropas Savienības vai iekšzemes statistikas lietotāju pieprasījumus.</w:t>
            </w:r>
            <w:r w:rsidRPr="00FA06D2">
              <w:rPr>
                <w:rFonts w:ascii="Times New Roman" w:eastAsia="Times New Roman" w:hAnsi="Times New Roman" w:cs="Times New Roman"/>
                <w:sz w:val="24"/>
                <w:szCs w:val="24"/>
                <w:lang w:eastAsia="lv-LV"/>
              </w:rPr>
              <w:t xml:space="preserve"> </w:t>
            </w:r>
          </w:p>
          <w:p w:rsidR="00A859E7" w:rsidRPr="00FA06D2" w:rsidRDefault="00A859E7" w:rsidP="00A859E7">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Statistikas lietotāju ērtībai apkopotā statistiskā informācija ir sadalīta daļās pa galvenajām statistikas tēmām, norādot apkopotās informācijas saturu, institūciju, kura ir atbildīga par šīs informācijas apkopošanu, datu iegūšanas veidu, statistikas publicēšanas periodiskumu un publicējamo kopsavilkumu detalizāciju.</w:t>
            </w:r>
          </w:p>
          <w:p w:rsidR="00A859E7" w:rsidRPr="00FA06D2" w:rsidRDefault="00A859E7" w:rsidP="00A859E7">
            <w:pPr>
              <w:spacing w:after="0" w:line="240" w:lineRule="auto"/>
              <w:rPr>
                <w:rFonts w:ascii="Times New Roman" w:eastAsia="Times New Roman" w:hAnsi="Times New Roman" w:cs="Times New Roman"/>
                <w:sz w:val="24"/>
                <w:szCs w:val="24"/>
                <w:lang w:eastAsia="lv-LV"/>
              </w:rPr>
            </w:pPr>
          </w:p>
          <w:p w:rsidR="00C72BDD" w:rsidRPr="00FA06D2" w:rsidRDefault="00B328C1" w:rsidP="00C72BDD">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3. </w:t>
            </w:r>
            <w:r w:rsidR="00C72BDD" w:rsidRPr="00FA06D2">
              <w:rPr>
                <w:rFonts w:ascii="Times New Roman" w:eastAsia="Times New Roman" w:hAnsi="Times New Roman" w:cs="Times New Roman"/>
                <w:sz w:val="24"/>
                <w:szCs w:val="24"/>
                <w:lang w:eastAsia="lv-LV"/>
              </w:rPr>
              <w:t>Fizisko personu datu aizsardzības likuma 10. panta pirmās daļas 2. punkts nosaka, ka, lai aizsargātu datu subjekta intereses, pārzinis nodrošina personas datu apstrādi tikai atbilstoši paredzētajam mērķim un tam nepieciešamajā apjomā. Sociālās statistikas ietvaros institūcijas, kuras ir atbildīgas par statistiskās informācijas apkopošanu, apstrādā personas datus, saņemot tos no dažādiem administratīvajiem datu avotiem. Savukārt tiesību aktos nav noteikti statistikas nodrošināšanai no administratīvajiem datu avotiem saņemamo personas datu veidi, apjoms un izmantošanas mērķi.</w:t>
            </w:r>
          </w:p>
          <w:p w:rsidR="00A859E7" w:rsidRPr="00FA06D2" w:rsidRDefault="00A859E7" w:rsidP="00A859E7">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Lai aizsargātu datu subjekta tiesības un intereses, un nodrošinātu datu subjekta informētību, MK noteikumu pielikuma 2. tabulā ir noteikts personas datu veids, apjoms un izmantošanas mērķis, kurus atbildīgās institūcijas statistikas nodrošināšanai 2015. gadā plāno iegūt no administratīvajiem datu avotiem.</w:t>
            </w:r>
          </w:p>
          <w:p w:rsidR="00CA658F" w:rsidRPr="00FA06D2" w:rsidRDefault="00CA658F" w:rsidP="00A859E7">
            <w:pPr>
              <w:spacing w:after="0" w:line="240" w:lineRule="auto"/>
              <w:rPr>
                <w:rFonts w:ascii="Times New Roman" w:eastAsia="Times New Roman" w:hAnsi="Times New Roman" w:cs="Times New Roman"/>
                <w:sz w:val="24"/>
                <w:szCs w:val="24"/>
                <w:lang w:eastAsia="lv-LV"/>
              </w:rPr>
            </w:pPr>
          </w:p>
          <w:p w:rsidR="00CA658F" w:rsidRPr="00FA06D2" w:rsidRDefault="00B328C1"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4. </w:t>
            </w:r>
            <w:r w:rsidR="00CA658F" w:rsidRPr="00FA06D2">
              <w:rPr>
                <w:rFonts w:ascii="Times New Roman" w:eastAsia="Times New Roman" w:hAnsi="Times New Roman" w:cs="Times New Roman"/>
                <w:sz w:val="24"/>
                <w:szCs w:val="24"/>
                <w:lang w:eastAsia="lv-LV"/>
              </w:rPr>
              <w:t>Lai pārbaudītu, vai statistikas iestādes, vācot un apstrādājot ievērojamu apjomu personas datu, neaizskar fizisko personu tiesības, un izvērtētu privātuma ierobežojuma samērīgumu, MK noteikumu projekta izstrādē tika ņemti vērā trīs kritēriji:</w:t>
            </w:r>
          </w:p>
          <w:p w:rsidR="006619E9" w:rsidRPr="00FA06D2" w:rsidRDefault="006619E9" w:rsidP="00CA658F">
            <w:pPr>
              <w:spacing w:after="0" w:line="240" w:lineRule="auto"/>
              <w:rPr>
                <w:rFonts w:ascii="Times New Roman" w:eastAsia="Times New Roman" w:hAnsi="Times New Roman" w:cs="Times New Roman"/>
                <w:sz w:val="24"/>
                <w:szCs w:val="24"/>
                <w:lang w:eastAsia="lv-LV"/>
              </w:rPr>
            </w:pPr>
          </w:p>
          <w:p w:rsidR="00CA658F" w:rsidRPr="00FA06D2" w:rsidRDefault="00B328C1" w:rsidP="006619E9">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1. Likumā noteiktās tiesību normas.</w:t>
            </w:r>
          </w:p>
          <w:p w:rsidR="00CA658F" w:rsidRPr="00FA06D2" w:rsidRDefault="00CA658F"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Normatīvo aktu izdevējs pieņemot tos, izvērtē normatīvo aktu lietderību un samērīgumu tiesisku un leģitīmu mērķu sasniegšanai.</w:t>
            </w:r>
          </w:p>
          <w:p w:rsidR="00CA658F" w:rsidRPr="00FA06D2" w:rsidRDefault="00CA658F"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Pamatdokumenti, kas regulē Latvijas Republikas un Eiropas statistikas organizāciju un Centrālās statistikas pārvaldes (turpmāk – CSP) darbību, ir </w:t>
            </w:r>
            <w:r w:rsidRPr="00FA06D2">
              <w:rPr>
                <w:rFonts w:ascii="Times New Roman" w:eastAsia="Times New Roman" w:hAnsi="Times New Roman" w:cs="Times New Roman"/>
                <w:sz w:val="24"/>
                <w:szCs w:val="24"/>
                <w:lang w:eastAsia="lv-LV"/>
              </w:rPr>
              <w:lastRenderedPageBreak/>
              <w:t>Valsts statistikas likums un Eiropas Parlamenta un Padomes Regula (EK) Nr. 223/2009 par Eiropas statistiku. Tā, piemēram, personas datu vākšanas tiesiskie pamati ir:</w:t>
            </w:r>
          </w:p>
          <w:p w:rsidR="00CA658F" w:rsidRPr="00FA06D2" w:rsidRDefault="00B328C1"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1.1. Valsts statistikas likuma 17. panta 2. punkts;</w:t>
            </w:r>
          </w:p>
          <w:p w:rsidR="00CA658F" w:rsidRPr="00FA06D2" w:rsidRDefault="00B328C1"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 xml:space="preserve">1.2. Eiropas Parlamenta un Padomes Regulas (EK) Nr. 223/2009 par Eiropas statistiku 24. pants. </w:t>
            </w:r>
          </w:p>
          <w:p w:rsidR="001A0F81" w:rsidRPr="00FA06D2" w:rsidRDefault="00CA658F" w:rsidP="006619E9">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Konkrēti normatīvie akti, kas regulē konkrēta personas datu apjoma iegūšanas nepieciešamību, ir norādīti šī dokumenta V sadaļas 1. tabulā.</w:t>
            </w:r>
          </w:p>
          <w:p w:rsidR="00066251" w:rsidRPr="00FA06D2" w:rsidRDefault="00066251" w:rsidP="006619E9">
            <w:pPr>
              <w:spacing w:after="0" w:line="240" w:lineRule="auto"/>
              <w:rPr>
                <w:rFonts w:ascii="Times New Roman" w:eastAsia="Times New Roman" w:hAnsi="Times New Roman" w:cs="Times New Roman"/>
                <w:sz w:val="24"/>
                <w:szCs w:val="24"/>
                <w:lang w:eastAsia="lv-LV"/>
              </w:rPr>
            </w:pPr>
          </w:p>
          <w:p w:rsidR="00CA658F" w:rsidRPr="00FA06D2" w:rsidRDefault="00CA658F" w:rsidP="006619E9">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2. Leģitīms mērķis.</w:t>
            </w:r>
          </w:p>
          <w:p w:rsidR="00CA658F" w:rsidRPr="00FA06D2" w:rsidRDefault="00CA658F"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CSP specifiskās kompetences valsts pārvaldē, savukārt CSP specifiskā kompetence izriet no Eiropas Savienības normatīvajiem aktiem un ikgadējiem MK noteikumiem par Valsts statistiskās informācijas programmu. Līdz ar to, likumdevējs ir noteicis leģitīmu mērķi, kura izpildei CSP iegūst personas datus.</w:t>
            </w:r>
          </w:p>
          <w:p w:rsidR="00CA658F" w:rsidRPr="00FA06D2" w:rsidRDefault="00CA658F" w:rsidP="006619E9">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Ievērojot iepriekšminēto, "de iure" pieņemams, ka CSP  noteiktās tiesības ir lietderīgas un samērīgas, tiesisku un leģitīmu mērķu sasniegšanai.</w:t>
            </w:r>
          </w:p>
          <w:p w:rsidR="00066251" w:rsidRPr="00FA06D2" w:rsidRDefault="00066251" w:rsidP="006619E9">
            <w:pPr>
              <w:spacing w:after="0" w:line="240" w:lineRule="auto"/>
              <w:rPr>
                <w:rFonts w:ascii="Times New Roman" w:eastAsia="Times New Roman" w:hAnsi="Times New Roman" w:cs="Times New Roman"/>
                <w:sz w:val="24"/>
                <w:szCs w:val="24"/>
                <w:lang w:eastAsia="lv-LV"/>
              </w:rPr>
            </w:pPr>
          </w:p>
          <w:p w:rsidR="00CA658F" w:rsidRPr="00FA06D2" w:rsidRDefault="006619E9" w:rsidP="006619E9">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3. Samērīgums.</w:t>
            </w:r>
          </w:p>
          <w:p w:rsidR="00CA658F"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3.1. CSP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CA658F"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3.2. Lai pilnveidotu statistisko datu iegūšanas procesus ar mērķi paaugstināt saņemtās informācijas kvalitāti un samazinātu respondentu (fizisko personu) noslodzi, CSP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CA658F"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3.3. Kaut arī CSP Fizisko personu datu aizsardzības likumā ir ietverts izņēmums attiecībā uz datu subjektu informēšanu, MK noteikumu projekta pielikuma 2. tabulā ietvertā informācija nodrošina Rekomendācijā Nr. R(97) 18 un saprašanās memoranda 5.4. apakšpunktā paredzētās datu subjektu tiesības attiecībā uz informētību par viņu datu apstrādi statistiskiem nolūkiem, tādējādi nodrošinot datu apstrādes statistiskiem nolūkiem caurspīdīgumu;</w:t>
            </w:r>
          </w:p>
          <w:p w:rsidR="00CA658F"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 xml:space="preserve">3.4. Personas tiesību ierobežojums ir sociāli nepieciešams – jo indivīdu </w:t>
            </w:r>
            <w:r w:rsidR="00CA658F" w:rsidRPr="00FA06D2">
              <w:rPr>
                <w:rFonts w:ascii="Times New Roman" w:eastAsia="Times New Roman" w:hAnsi="Times New Roman" w:cs="Times New Roman"/>
                <w:sz w:val="24"/>
                <w:szCs w:val="24"/>
                <w:lang w:eastAsia="lv-LV"/>
              </w:rPr>
              <w:lastRenderedPageBreak/>
              <w:t>kopums veido sabiedrību, līdz ar to, ja visiem indivīdiem ļautu nedot par sevi nekādas ziņas vai arī CSP iespējas saņemt personas datus tiktu minimizētas vai pat pārtrauktas, tad statistiku par sabiedrību kopumā nebūtu iespējams nodrošināt. Statistika par sabiedrību kopumā ir sabiedriskais labums, kura dēļ ir pamatoti ierobežot personas tiesības;</w:t>
            </w:r>
          </w:p>
          <w:p w:rsidR="00CA658F"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4.</w:t>
            </w:r>
            <w:r w:rsidR="00CA658F" w:rsidRPr="00FA06D2">
              <w:rPr>
                <w:rFonts w:ascii="Times New Roman" w:eastAsia="Times New Roman" w:hAnsi="Times New Roman" w:cs="Times New Roman"/>
                <w:sz w:val="24"/>
                <w:szCs w:val="24"/>
                <w:lang w:eastAsia="lv-LV"/>
              </w:rPr>
              <w:t>3.5. Pamatojums konkrētam personas datu apjoma pieprasījumam izriet no CSP specifiskās kompetences un profesionālajām zināšanām attiecīgajā jomā. Personas dati tiek pieprasīti ne vairāk un ne mazāk kā tādā apjomā, kas ļauj nodrošināt visas metodoloģijā noteiktās prasības (izlases apjoms, izlases struktūra, kvalitātes novērtēšana), lai CSP sagatavotā statistika būtu uzticama un salīdzināma.</w:t>
            </w:r>
          </w:p>
          <w:p w:rsidR="00CA658F" w:rsidRPr="00FA06D2" w:rsidRDefault="00CA658F" w:rsidP="00CA658F">
            <w:pPr>
              <w:spacing w:after="0" w:line="240" w:lineRule="auto"/>
              <w:rPr>
                <w:rFonts w:ascii="Times New Roman" w:eastAsia="Times New Roman" w:hAnsi="Times New Roman" w:cs="Times New Roman"/>
                <w:sz w:val="24"/>
                <w:szCs w:val="24"/>
                <w:lang w:eastAsia="lv-LV"/>
              </w:rPr>
            </w:pPr>
          </w:p>
          <w:p w:rsidR="00CA658F" w:rsidRPr="00FA06D2" w:rsidRDefault="00AA6DA6"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4.4. </w:t>
            </w:r>
            <w:r w:rsidR="00CA658F" w:rsidRPr="00FA06D2">
              <w:rPr>
                <w:rFonts w:ascii="Times New Roman" w:eastAsia="Times New Roman" w:hAnsi="Times New Roman" w:cs="Times New Roman"/>
                <w:sz w:val="24"/>
                <w:szCs w:val="24"/>
                <w:lang w:eastAsia="lv-LV"/>
              </w:rPr>
              <w:t>Ievērojot visu iepriekšminēto, no personas datu vākšanas un apstrādes statistikas nodrošināšanai sabiedrības ieguvums ir lielāks, nekā iespējamais fizisko personu tiesību uz privātumu aizskārums.</w:t>
            </w:r>
          </w:p>
          <w:p w:rsidR="00CA658F" w:rsidRPr="00FA06D2" w:rsidRDefault="00CA658F" w:rsidP="00CA658F">
            <w:pPr>
              <w:spacing w:after="0" w:line="240" w:lineRule="auto"/>
              <w:rPr>
                <w:rFonts w:ascii="Times New Roman" w:eastAsia="Times New Roman" w:hAnsi="Times New Roman" w:cs="Times New Roman"/>
                <w:sz w:val="24"/>
                <w:szCs w:val="24"/>
                <w:lang w:eastAsia="lv-LV"/>
              </w:rPr>
            </w:pPr>
          </w:p>
          <w:p w:rsidR="006619E9" w:rsidRPr="00FA06D2" w:rsidRDefault="006619E9"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5. </w:t>
            </w:r>
            <w:r w:rsidR="001F148A" w:rsidRPr="00FA06D2">
              <w:rPr>
                <w:rFonts w:ascii="Times New Roman" w:eastAsia="Times New Roman" w:hAnsi="Times New Roman" w:cs="Times New Roman"/>
                <w:sz w:val="24"/>
                <w:szCs w:val="24"/>
                <w:lang w:eastAsia="lv-LV"/>
              </w:rPr>
              <w:t>Papildus tika izvērtēts, vai CSP, vācot un apstrādājot ievērojamu apjomu personas datu, lai nodrošinātu iedzīvotāju statistiku, neaizskar fizisko personu tiesības:</w:t>
            </w:r>
            <w:r w:rsidR="001F148A" w:rsidRPr="00FA06D2" w:rsidDel="001F148A">
              <w:rPr>
                <w:rFonts w:ascii="Times New Roman" w:eastAsia="Times New Roman" w:hAnsi="Times New Roman" w:cs="Times New Roman"/>
                <w:sz w:val="24"/>
                <w:szCs w:val="24"/>
                <w:lang w:eastAsia="lv-LV"/>
              </w:rPr>
              <w:t xml:space="preserve"> </w:t>
            </w:r>
          </w:p>
          <w:p w:rsidR="001F148A" w:rsidRPr="00FA06D2" w:rsidRDefault="006619E9"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5.1. </w:t>
            </w:r>
            <w:r w:rsidR="001F148A" w:rsidRPr="00FA06D2">
              <w:rPr>
                <w:rFonts w:ascii="Times New Roman" w:eastAsia="Times New Roman" w:hAnsi="Times New Roman" w:cs="Times New Roman"/>
                <w:sz w:val="24"/>
                <w:szCs w:val="24"/>
                <w:lang w:eastAsia="lv-LV"/>
              </w:rPr>
              <w:t>Iedzīvotāju statistikas rādītāji (skatīt Ministru kabineta noteikumu pielikuma 1. tabulas 6. sadaļu „Demogrāfiskā st</w:t>
            </w:r>
            <w:r w:rsidR="00867037" w:rsidRPr="00FA06D2">
              <w:rPr>
                <w:rFonts w:ascii="Times New Roman" w:eastAsia="Times New Roman" w:hAnsi="Times New Roman" w:cs="Times New Roman"/>
                <w:sz w:val="24"/>
                <w:szCs w:val="24"/>
                <w:lang w:eastAsia="lv-LV"/>
              </w:rPr>
              <w:t>atistika un tautas skaitīšana”)</w:t>
            </w:r>
            <w:r w:rsidR="001F148A" w:rsidRPr="00FA06D2">
              <w:rPr>
                <w:rFonts w:ascii="Times New Roman" w:eastAsia="Times New Roman" w:hAnsi="Times New Roman" w:cs="Times New Roman"/>
                <w:sz w:val="24"/>
                <w:szCs w:val="24"/>
                <w:lang w:eastAsia="lv-LV"/>
              </w:rPr>
              <w:t xml:space="preserve"> ir vieni no galvenajiem statistikas radītājiem valstī, kas tiek izmantoti arī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 – 2020. gadam (turpmāk – NAP2020), mērķa sasniegšanas rādītāji ir saistīti ar iedzīvotāju statistikas rādītājiem, piemēram, iedzīvotāju skaits gada sākumā, absolūtos skaitļos (NAP2020 227. punkts), reģionālā iekšzemes kopprodukta uz vienu iedzīvotāju dispersija (%)(NAP2020 364. punkts), Rīgas plānošanas reģiona iedzīvotāju īpatsvars no visiem valsts iedzīvotājiem gada sākumā (%)(NAP2020 365. punkts), iedzīvotāju īpatsvars, kas izmanto internetu</w:t>
            </w:r>
            <w:r w:rsidR="001C32CE" w:rsidRPr="00FA06D2">
              <w:rPr>
                <w:rFonts w:ascii="Times New Roman" w:eastAsia="Times New Roman" w:hAnsi="Times New Roman" w:cs="Times New Roman"/>
                <w:sz w:val="24"/>
                <w:szCs w:val="24"/>
                <w:lang w:eastAsia="lv-LV"/>
              </w:rPr>
              <w:t xml:space="preserve"> sadarbībai ar valsts un pašvaldību institūcijām (%)(NAP2020 408. punkts)</w:t>
            </w:r>
            <w:r w:rsidR="001F148A" w:rsidRPr="00FA06D2">
              <w:rPr>
                <w:rFonts w:ascii="Times New Roman" w:eastAsia="Times New Roman" w:hAnsi="Times New Roman" w:cs="Times New Roman"/>
                <w:sz w:val="24"/>
                <w:szCs w:val="24"/>
                <w:lang w:eastAsia="lv-LV"/>
              </w:rPr>
              <w:t xml:space="preserve"> u.c.</w:t>
            </w:r>
          </w:p>
          <w:p w:rsidR="001A0F81" w:rsidRPr="00FA06D2" w:rsidRDefault="001A0F81" w:rsidP="00CA658F">
            <w:pPr>
              <w:spacing w:after="0" w:line="240" w:lineRule="auto"/>
              <w:rPr>
                <w:rFonts w:ascii="Times New Roman" w:eastAsia="Times New Roman" w:hAnsi="Times New Roman" w:cs="Times New Roman"/>
                <w:sz w:val="24"/>
                <w:szCs w:val="24"/>
                <w:lang w:eastAsia="lv-LV"/>
              </w:rPr>
            </w:pPr>
          </w:p>
          <w:p w:rsidR="001F148A" w:rsidRPr="00FA06D2" w:rsidRDefault="001A0F81"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5.2.</w:t>
            </w:r>
            <w:r w:rsidR="00B86AAE" w:rsidRPr="00FA06D2">
              <w:rPr>
                <w:rFonts w:ascii="Times New Roman" w:eastAsia="Times New Roman" w:hAnsi="Times New Roman" w:cs="Times New Roman"/>
                <w:sz w:val="24"/>
                <w:szCs w:val="24"/>
                <w:lang w:eastAsia="lv-LV"/>
              </w:rPr>
              <w:t xml:space="preserve"> </w:t>
            </w:r>
            <w:r w:rsidR="001F148A" w:rsidRPr="00FA06D2">
              <w:rPr>
                <w:rFonts w:ascii="Times New Roman" w:eastAsia="Times New Roman" w:hAnsi="Times New Roman" w:cs="Times New Roman"/>
                <w:sz w:val="24"/>
                <w:szCs w:val="24"/>
                <w:lang w:eastAsia="lv-LV"/>
              </w:rPr>
              <w:t>2011. gada tautas skaitīšanā tika precizēts Latvijas pastāvīgo iedzīvotāju skaits, kas būtiski –</w:t>
            </w:r>
            <w:r w:rsidR="000A3C0B" w:rsidRPr="00FA06D2">
              <w:rPr>
                <w:rFonts w:ascii="Times New Roman" w:eastAsia="Times New Roman" w:hAnsi="Times New Roman" w:cs="Times New Roman"/>
                <w:sz w:val="24"/>
                <w:szCs w:val="24"/>
                <w:lang w:eastAsia="lv-LV"/>
              </w:rPr>
              <w:t xml:space="preserve"> </w:t>
            </w:r>
            <w:r w:rsidR="001F148A" w:rsidRPr="00FA06D2">
              <w:rPr>
                <w:rFonts w:ascii="Times New Roman" w:eastAsia="Times New Roman" w:hAnsi="Times New Roman" w:cs="Times New Roman"/>
                <w:sz w:val="24"/>
                <w:szCs w:val="24"/>
                <w:lang w:eastAsia="lv-LV"/>
              </w:rPr>
              <w:t>par 155 tūkstošiem jeb 7%</w:t>
            </w:r>
            <w:r w:rsidR="00163DA6" w:rsidRPr="00FA06D2">
              <w:rPr>
                <w:rFonts w:ascii="Times New Roman" w:eastAsia="Times New Roman" w:hAnsi="Times New Roman" w:cs="Times New Roman"/>
                <w:sz w:val="24"/>
                <w:szCs w:val="24"/>
                <w:lang w:eastAsia="lv-LV"/>
              </w:rPr>
              <w:t xml:space="preserve"> </w:t>
            </w:r>
            <w:r w:rsidR="001F148A" w:rsidRPr="00FA06D2">
              <w:rPr>
                <w:rFonts w:ascii="Times New Roman" w:eastAsia="Times New Roman" w:hAnsi="Times New Roman" w:cs="Times New Roman"/>
                <w:sz w:val="24"/>
                <w:szCs w:val="24"/>
                <w:lang w:eastAsia="lv-LV"/>
              </w:rPr>
              <w:t>atšķīrās no aprēķinātā iedzīvotāju skaita atbilstoši Pilsonības un migrācijas lietu pārvaldes (</w:t>
            </w:r>
            <w:r w:rsidR="003B2745" w:rsidRPr="00FA06D2">
              <w:rPr>
                <w:rFonts w:ascii="Times New Roman" w:eastAsia="Times New Roman" w:hAnsi="Times New Roman" w:cs="Times New Roman"/>
                <w:sz w:val="24"/>
                <w:szCs w:val="24"/>
                <w:lang w:eastAsia="lv-LV"/>
              </w:rPr>
              <w:t xml:space="preserve">turpmāk – </w:t>
            </w:r>
            <w:r w:rsidR="001F148A" w:rsidRPr="00FA06D2">
              <w:rPr>
                <w:rFonts w:ascii="Times New Roman" w:eastAsia="Times New Roman" w:hAnsi="Times New Roman" w:cs="Times New Roman"/>
                <w:sz w:val="24"/>
                <w:szCs w:val="24"/>
                <w:lang w:eastAsia="lv-LV"/>
              </w:rPr>
              <w:t xml:space="preserve">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CSP, veicot iedzīvotāju skaita novērtējumu, nevar izmantot tikai PMLP sniegtos datus, jo atšķirība starp </w:t>
            </w:r>
            <w:r w:rsidR="001F148A" w:rsidRPr="00FA06D2">
              <w:rPr>
                <w:rFonts w:ascii="Times New Roman" w:eastAsia="Times New Roman" w:hAnsi="Times New Roman" w:cs="Times New Roman"/>
                <w:sz w:val="24"/>
                <w:szCs w:val="24"/>
                <w:lang w:eastAsia="lv-LV"/>
              </w:rPr>
              <w:lastRenderedPageBreak/>
              <w:t>PMLP datiem un tautas skaitīšanā konstatēto iedzīvotāju skaitu ir būtiska un tā pieaug, turklāt tādā gadījumā netiek pildītas minētajā regulā noteiktās prasības.</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Saskaņā ar Eiropas Parlamenta un Padomes 2009. gada 11. marta regulas Nr. 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(turpmāk – regula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un visu izplatīšanas veidu laiku un saturu, neietekmējoties no jebkāda politisko vai interešu grupu vai Kopienas vai valstu iestāžu spiediena, neskarot iestāžu norādījumus, piemēram, Kopienas vai valstu iestāžu vai budžeta prasības vai statistikas vajadzību definīcijas, un “ticamība” – statistikai iespējami patiesi, precīzi un konsekventi jāatspoguļo realitāte, un tas paredz, ka avotu, metožu un procedūru izvēlē tiek izmantoti zinātniski kritēriji.</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Tā kā Eiropas Savienībā nav izstrādāta vienota metodoloģija iedzīvotāju skaita novērtēšanai, bet saskaņā ar regulas Nr. 1260/2013 4. panta 2. daļu un regulas Nr. 223/2009 2. pantu, CSP ir nepieciešams nodrošināt kvalitatīvu un ticamu iedzīvotāju statistiku, CSP ir izstrādājusi jaunu metodi precīzākai iedzīvotāju </w:t>
            </w:r>
            <w:r w:rsidR="003B2745" w:rsidRPr="00FA06D2">
              <w:rPr>
                <w:rFonts w:ascii="Times New Roman" w:eastAsia="Times New Roman" w:hAnsi="Times New Roman" w:cs="Times New Roman"/>
                <w:sz w:val="24"/>
                <w:szCs w:val="24"/>
                <w:lang w:eastAsia="lv-LV"/>
              </w:rPr>
              <w:t xml:space="preserve">skaita </w:t>
            </w:r>
            <w:r w:rsidRPr="00FA06D2">
              <w:rPr>
                <w:rFonts w:ascii="Times New Roman" w:eastAsia="Times New Roman" w:hAnsi="Times New Roman" w:cs="Times New Roman"/>
                <w:sz w:val="24"/>
                <w:szCs w:val="24"/>
                <w:lang w:eastAsia="lv-LV"/>
              </w:rPr>
              <w:t xml:space="preserve">novērtēšanai Latvijā, kas balstās uz statistisko klasifikāciju un migrācijas spoguļstatistiku (metodes apraksts pieejams CSP mājaslapā – </w:t>
            </w:r>
            <w:hyperlink r:id="rId8" w:history="1">
              <w:r w:rsidRPr="00FA06D2">
                <w:rPr>
                  <w:rStyle w:val="Hyperlink"/>
                  <w:rFonts w:ascii="Times New Roman" w:eastAsia="Times New Roman" w:hAnsi="Times New Roman" w:cs="Times New Roman"/>
                  <w:sz w:val="24"/>
                  <w:szCs w:val="24"/>
                  <w:lang w:eastAsia="lv-LV"/>
                </w:rPr>
                <w:t>http://www.csb.gov.lv/sites/default/files/dati/demstat_metodologija_ver21.pdf</w:t>
              </w:r>
            </w:hyperlink>
            <w:r w:rsidRPr="00FA06D2">
              <w:rPr>
                <w:rFonts w:ascii="Times New Roman" w:eastAsia="Times New Roman" w:hAnsi="Times New Roman" w:cs="Times New Roman"/>
                <w:sz w:val="24"/>
                <w:szCs w:val="24"/>
                <w:lang w:eastAsia="lv-LV"/>
              </w:rPr>
              <w:t xml:space="preserve">). </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Tā kā CSP statistikas izstrādē, sagatavošanā un izplatīšanā ir profesionāli neatkarīga, CSP ir tiesīga šo metodi katru gadu pilnveidot un papildināt ar mērķi nodrošināt savlaicīgu, precīzu, pilnīgu, viegli saprotamu un starptautiski salīdzināmu iedzīvotāju statistiku.</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Eurostat ir novērtējusi CSP izstrādāto iedzīvotāju statistikas sagatavošanas metodiku un tā kā labās prakses piemērs prezentēta citām Eiropas Savienības dalībvalstīm Eurostat darba grupas sanāksmē par iedzīvotāju statistiku un ES Padomes Statistikas darba grupas sanāksmē.</w:t>
            </w:r>
          </w:p>
          <w:p w:rsidR="00B86AAE" w:rsidRPr="00FA06D2" w:rsidRDefault="00B86AAE" w:rsidP="00CA658F">
            <w:pPr>
              <w:spacing w:after="0" w:line="240" w:lineRule="auto"/>
              <w:rPr>
                <w:rFonts w:ascii="Times New Roman" w:eastAsia="Times New Roman" w:hAnsi="Times New Roman" w:cs="Times New Roman"/>
                <w:sz w:val="24"/>
                <w:szCs w:val="24"/>
                <w:lang w:eastAsia="lv-LV"/>
              </w:rPr>
            </w:pPr>
          </w:p>
          <w:p w:rsidR="001F148A" w:rsidRPr="00FA06D2" w:rsidRDefault="00A15362" w:rsidP="001F148A">
            <w:pPr>
              <w:spacing w:after="0" w:line="240" w:lineRule="auto"/>
              <w:rPr>
                <w:rFonts w:ascii="Times New Roman" w:hAnsi="Times New Roman" w:cs="Times New Roman"/>
                <w:sz w:val="24"/>
                <w:szCs w:val="24"/>
              </w:rPr>
            </w:pPr>
            <w:r w:rsidRPr="00FA06D2">
              <w:rPr>
                <w:rFonts w:ascii="Times New Roman" w:eastAsia="Times New Roman" w:hAnsi="Times New Roman" w:cs="Times New Roman"/>
                <w:sz w:val="24"/>
                <w:szCs w:val="24"/>
                <w:lang w:eastAsia="lv-LV"/>
              </w:rPr>
              <w:t xml:space="preserve">5.3. </w:t>
            </w:r>
            <w:r w:rsidR="001F148A" w:rsidRPr="00FA06D2">
              <w:rPr>
                <w:rFonts w:ascii="Times New Roman" w:eastAsia="Times New Roman" w:hAnsi="Times New Roman" w:cs="Times New Roman"/>
                <w:sz w:val="24"/>
                <w:szCs w:val="24"/>
                <w:lang w:eastAsia="lv-LV"/>
              </w:rPr>
              <w:t>Lai nodrošinātu savlaicīgu, precīzu, pilnīgu, viegli saprotamu un starptautiski salīdzināmu iedzīvotāju statistiku, CSP ir pilnveidojusi savu izstrādāto metodi, palielinot to datu apjomu, ko iegūst no administratīvajiem datu avotiem ar datiem no bibliotēkām un Ieslodzījuma vietu pārvaldes (turpmāk – IeVP).</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hAnsi="Times New Roman" w:cs="Times New Roman"/>
                <w:sz w:val="24"/>
                <w:szCs w:val="24"/>
              </w:rPr>
              <w:t>Iedzīvotāju skaita aprēķinam PMLP Iedzīvotāju reģistrā reģistrētie iedzīvotāji tiek sadalīti divās grupās – faktiski dzīvo Latvijā (Latvijas pastāvīgie iedzīvotāji) vai faktiski dzīvo ārzemēs.</w:t>
            </w:r>
          </w:p>
          <w:p w:rsidR="003B77A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5.3.1. Dati no bibliotēkām par iedzīvotāji</w:t>
            </w:r>
            <w:r w:rsidR="000A3C0B" w:rsidRPr="00FA06D2">
              <w:rPr>
                <w:rFonts w:ascii="Times New Roman" w:eastAsia="Times New Roman" w:hAnsi="Times New Roman" w:cs="Times New Roman"/>
                <w:sz w:val="24"/>
                <w:szCs w:val="24"/>
                <w:lang w:eastAsia="lv-LV"/>
              </w:rPr>
              <w:t>em, kas izmanto to pakalpojumus</w:t>
            </w:r>
            <w:r w:rsidRPr="00FA06D2">
              <w:rPr>
                <w:rFonts w:ascii="Times New Roman" w:eastAsia="Times New Roman" w:hAnsi="Times New Roman" w:cs="Times New Roman"/>
                <w:sz w:val="24"/>
                <w:szCs w:val="24"/>
                <w:lang w:eastAsia="lv-LV"/>
              </w:rPr>
              <w:t>, ir nepieciešami iedzīvotāju statistikas sagatavošanai, jo šos pakalpojumus ir iespējams izmantot tiem iedzīvotajiem, kuri faktiski dzīvo Latvijā. Šie dati, tos apvienojot ar jau izmantotajiem administratīvajiem datiem, palielinās aprēķinātās iedzīvotāju statistikas precizitāti un ticamību</w:t>
            </w:r>
            <w:r w:rsidR="003B77AA" w:rsidRPr="00FA06D2">
              <w:rPr>
                <w:rFonts w:ascii="Times New Roman" w:eastAsia="Times New Roman" w:hAnsi="Times New Roman" w:cs="Times New Roman"/>
                <w:sz w:val="24"/>
                <w:szCs w:val="24"/>
                <w:lang w:eastAsia="lv-LV"/>
              </w:rPr>
              <w:t>.</w:t>
            </w:r>
            <w:r w:rsidR="005E523A" w:rsidRPr="00FA06D2">
              <w:rPr>
                <w:rFonts w:ascii="Times New Roman" w:eastAsia="Times New Roman" w:hAnsi="Times New Roman" w:cs="Times New Roman"/>
                <w:sz w:val="24"/>
                <w:szCs w:val="24"/>
                <w:lang w:eastAsia="lv-LV"/>
              </w:rPr>
              <w:t xml:space="preserve"> Šobrīd iedzīvotāju skaita novērtējum</w:t>
            </w:r>
            <w:r w:rsidR="003B77AA" w:rsidRPr="00FA06D2">
              <w:rPr>
                <w:rFonts w:ascii="Times New Roman" w:eastAsia="Times New Roman" w:hAnsi="Times New Roman" w:cs="Times New Roman"/>
                <w:sz w:val="24"/>
                <w:szCs w:val="24"/>
                <w:lang w:eastAsia="lv-LV"/>
              </w:rPr>
              <w:t xml:space="preserve">a </w:t>
            </w:r>
            <w:r w:rsidR="005E523A" w:rsidRPr="00FA06D2">
              <w:rPr>
                <w:rFonts w:ascii="Times New Roman" w:eastAsia="Times New Roman" w:hAnsi="Times New Roman" w:cs="Times New Roman"/>
                <w:sz w:val="24"/>
                <w:szCs w:val="24"/>
                <w:lang w:eastAsia="lv-LV"/>
              </w:rPr>
              <w:t>pamatā izmanto valsts administratīvo datu reģistrus</w:t>
            </w:r>
            <w:r w:rsidR="00CF61FE" w:rsidRPr="00FA06D2">
              <w:rPr>
                <w:rFonts w:ascii="Times New Roman" w:eastAsia="Times New Roman" w:hAnsi="Times New Roman" w:cs="Times New Roman"/>
                <w:sz w:val="24"/>
                <w:szCs w:val="24"/>
                <w:lang w:eastAsia="lv-LV"/>
              </w:rPr>
              <w:t xml:space="preserve">, kurus uztur Valsts ieņēmumu dienests, Izglītības un zinātnes ministrija, Nacionālais </w:t>
            </w:r>
            <w:r w:rsidR="00CF61FE" w:rsidRPr="00FA06D2">
              <w:rPr>
                <w:rFonts w:ascii="Times New Roman" w:eastAsia="Times New Roman" w:hAnsi="Times New Roman" w:cs="Times New Roman"/>
                <w:sz w:val="24"/>
                <w:szCs w:val="24"/>
                <w:lang w:eastAsia="lv-LV"/>
              </w:rPr>
              <w:lastRenderedPageBreak/>
              <w:t xml:space="preserve">veselības dienests un Nodarbinātības valsts aģentūra, </w:t>
            </w:r>
            <w:r w:rsidR="005E523A" w:rsidRPr="00FA06D2">
              <w:rPr>
                <w:rFonts w:ascii="Times New Roman" w:eastAsia="Times New Roman" w:hAnsi="Times New Roman" w:cs="Times New Roman"/>
                <w:sz w:val="24"/>
                <w:szCs w:val="24"/>
                <w:lang w:eastAsia="lv-LV"/>
              </w:rPr>
              <w:t xml:space="preserve">bet </w:t>
            </w:r>
            <w:r w:rsidR="003B77AA" w:rsidRPr="00FA06D2">
              <w:rPr>
                <w:rFonts w:ascii="Times New Roman" w:eastAsia="Times New Roman" w:hAnsi="Times New Roman" w:cs="Times New Roman"/>
                <w:sz w:val="24"/>
                <w:szCs w:val="24"/>
                <w:lang w:eastAsia="lv-LV"/>
              </w:rPr>
              <w:t xml:space="preserve">ir personas, par kurām informācija </w:t>
            </w:r>
            <w:r w:rsidR="00CF61FE" w:rsidRPr="00FA06D2">
              <w:rPr>
                <w:rFonts w:ascii="Times New Roman" w:eastAsia="Times New Roman" w:hAnsi="Times New Roman" w:cs="Times New Roman"/>
                <w:sz w:val="24"/>
                <w:szCs w:val="24"/>
                <w:lang w:eastAsia="lv-LV"/>
              </w:rPr>
              <w:t>š</w:t>
            </w:r>
            <w:r w:rsidR="005E523A" w:rsidRPr="00FA06D2">
              <w:rPr>
                <w:rFonts w:ascii="Times New Roman" w:eastAsia="Times New Roman" w:hAnsi="Times New Roman" w:cs="Times New Roman"/>
                <w:sz w:val="24"/>
                <w:szCs w:val="24"/>
                <w:lang w:eastAsia="lv-LV"/>
              </w:rPr>
              <w:t>ajos reģ</w:t>
            </w:r>
            <w:r w:rsidR="003B77AA" w:rsidRPr="00FA06D2">
              <w:rPr>
                <w:rFonts w:ascii="Times New Roman" w:eastAsia="Times New Roman" w:hAnsi="Times New Roman" w:cs="Times New Roman"/>
                <w:sz w:val="24"/>
                <w:szCs w:val="24"/>
                <w:lang w:eastAsia="lv-LV"/>
              </w:rPr>
              <w:t xml:space="preserve">istros nav, piemēram, </w:t>
            </w:r>
            <w:r w:rsidR="005E523A" w:rsidRPr="00FA06D2">
              <w:rPr>
                <w:rFonts w:ascii="Times New Roman" w:eastAsia="Times New Roman" w:hAnsi="Times New Roman" w:cs="Times New Roman"/>
                <w:sz w:val="24"/>
                <w:szCs w:val="24"/>
                <w:lang w:eastAsia="lv-LV"/>
              </w:rPr>
              <w:t>personas, kuras nav oficiāli nodarbinātas,</w:t>
            </w:r>
            <w:r w:rsidR="00CF61FE" w:rsidRPr="00FA06D2">
              <w:rPr>
                <w:rFonts w:ascii="Times New Roman" w:eastAsia="Times New Roman" w:hAnsi="Times New Roman" w:cs="Times New Roman"/>
                <w:sz w:val="24"/>
                <w:szCs w:val="24"/>
                <w:lang w:eastAsia="lv-LV"/>
              </w:rPr>
              <w:t xml:space="preserve"> nesaņem</w:t>
            </w:r>
            <w:r w:rsidR="005E523A" w:rsidRPr="00FA06D2">
              <w:rPr>
                <w:rFonts w:ascii="Times New Roman" w:eastAsia="Times New Roman" w:hAnsi="Times New Roman" w:cs="Times New Roman"/>
                <w:sz w:val="24"/>
                <w:szCs w:val="24"/>
                <w:lang w:eastAsia="lv-LV"/>
              </w:rPr>
              <w:t xml:space="preserve"> pabalstus vai pensijas, ienākumus gūst no savas </w:t>
            </w:r>
            <w:r w:rsidR="001D096A" w:rsidRPr="00FA06D2">
              <w:rPr>
                <w:rFonts w:ascii="Times New Roman" w:eastAsia="Times New Roman" w:hAnsi="Times New Roman" w:cs="Times New Roman"/>
                <w:sz w:val="24"/>
                <w:szCs w:val="24"/>
                <w:lang w:eastAsia="lv-LV"/>
              </w:rPr>
              <w:t xml:space="preserve">piemājas </w:t>
            </w:r>
            <w:r w:rsidR="005E523A" w:rsidRPr="00FA06D2">
              <w:rPr>
                <w:rFonts w:ascii="Times New Roman" w:eastAsia="Times New Roman" w:hAnsi="Times New Roman" w:cs="Times New Roman"/>
                <w:sz w:val="24"/>
                <w:szCs w:val="24"/>
                <w:lang w:eastAsia="lv-LV"/>
              </w:rPr>
              <w:t>saimniecības</w:t>
            </w:r>
            <w:r w:rsidR="00D926A2" w:rsidRPr="00FA06D2">
              <w:rPr>
                <w:rFonts w:ascii="Times New Roman" w:eastAsia="Times New Roman" w:hAnsi="Times New Roman" w:cs="Times New Roman"/>
                <w:sz w:val="24"/>
                <w:szCs w:val="24"/>
                <w:lang w:eastAsia="lv-LV"/>
              </w:rPr>
              <w:t xml:space="preserve">, kā arī īpašās grupas </w:t>
            </w:r>
            <w:r w:rsidR="00CF61FE" w:rsidRPr="00FA06D2">
              <w:rPr>
                <w:rFonts w:ascii="Times New Roman" w:eastAsia="Times New Roman" w:hAnsi="Times New Roman" w:cs="Times New Roman"/>
                <w:sz w:val="24"/>
                <w:szCs w:val="24"/>
                <w:lang w:eastAsia="lv-LV"/>
              </w:rPr>
              <w:t xml:space="preserve">– </w:t>
            </w:r>
            <w:r w:rsidR="00D926A2" w:rsidRPr="00FA06D2">
              <w:rPr>
                <w:rFonts w:ascii="Times New Roman" w:eastAsia="Times New Roman" w:hAnsi="Times New Roman" w:cs="Times New Roman"/>
                <w:sz w:val="24"/>
                <w:szCs w:val="24"/>
                <w:lang w:eastAsia="lv-LV"/>
              </w:rPr>
              <w:t>personas bez noteiktas dzīves vietas, bērni un jaunieši, kuri neapmeklē mācību iestādes</w:t>
            </w:r>
            <w:r w:rsidR="00CF61FE" w:rsidRPr="00FA06D2">
              <w:rPr>
                <w:rFonts w:ascii="Times New Roman" w:eastAsia="Times New Roman" w:hAnsi="Times New Roman" w:cs="Times New Roman"/>
                <w:sz w:val="24"/>
                <w:szCs w:val="24"/>
                <w:lang w:eastAsia="lv-LV"/>
              </w:rPr>
              <w:t xml:space="preserve">. </w:t>
            </w:r>
            <w:r w:rsidR="00D926A2" w:rsidRPr="00FA06D2">
              <w:rPr>
                <w:rFonts w:ascii="Times New Roman" w:eastAsia="Times New Roman" w:hAnsi="Times New Roman" w:cs="Times New Roman"/>
                <w:sz w:val="24"/>
                <w:szCs w:val="24"/>
                <w:lang w:eastAsia="lv-LV"/>
              </w:rPr>
              <w:t>Šīs personas</w:t>
            </w:r>
            <w:r w:rsidR="003B77AA" w:rsidRPr="00FA06D2">
              <w:rPr>
                <w:rFonts w:ascii="Times New Roman" w:eastAsia="Times New Roman" w:hAnsi="Times New Roman" w:cs="Times New Roman"/>
                <w:sz w:val="24"/>
                <w:szCs w:val="24"/>
                <w:lang w:eastAsia="lv-LV"/>
              </w:rPr>
              <w:t>, par kurām citos reģistros informācijas nav,</w:t>
            </w:r>
            <w:r w:rsidR="001D096A" w:rsidRPr="00FA06D2">
              <w:rPr>
                <w:rFonts w:ascii="Times New Roman" w:eastAsia="Times New Roman" w:hAnsi="Times New Roman" w:cs="Times New Roman"/>
                <w:sz w:val="24"/>
                <w:szCs w:val="24"/>
                <w:lang w:eastAsia="lv-LV"/>
              </w:rPr>
              <w:t xml:space="preserve"> </w:t>
            </w:r>
            <w:r w:rsidR="003B77AA" w:rsidRPr="00FA06D2">
              <w:rPr>
                <w:rFonts w:ascii="Times New Roman" w:eastAsia="Times New Roman" w:hAnsi="Times New Roman" w:cs="Times New Roman"/>
                <w:sz w:val="24"/>
                <w:szCs w:val="24"/>
                <w:lang w:eastAsia="lv-LV"/>
              </w:rPr>
              <w:t xml:space="preserve">var </w:t>
            </w:r>
            <w:r w:rsidR="005E523A" w:rsidRPr="00FA06D2">
              <w:rPr>
                <w:rFonts w:ascii="Times New Roman" w:eastAsia="Times New Roman" w:hAnsi="Times New Roman" w:cs="Times New Roman"/>
                <w:sz w:val="24"/>
                <w:szCs w:val="24"/>
                <w:lang w:eastAsia="lv-LV"/>
              </w:rPr>
              <w:t>apmeklē</w:t>
            </w:r>
            <w:r w:rsidR="003B77AA" w:rsidRPr="00FA06D2">
              <w:rPr>
                <w:rFonts w:ascii="Times New Roman" w:eastAsia="Times New Roman" w:hAnsi="Times New Roman" w:cs="Times New Roman"/>
                <w:sz w:val="24"/>
                <w:szCs w:val="24"/>
                <w:lang w:eastAsia="lv-LV"/>
              </w:rPr>
              <w:t>t</w:t>
            </w:r>
            <w:r w:rsidR="005E523A" w:rsidRPr="00FA06D2">
              <w:rPr>
                <w:rFonts w:ascii="Times New Roman" w:eastAsia="Times New Roman" w:hAnsi="Times New Roman" w:cs="Times New Roman"/>
                <w:sz w:val="24"/>
                <w:szCs w:val="24"/>
                <w:lang w:eastAsia="lv-LV"/>
              </w:rPr>
              <w:t xml:space="preserve"> </w:t>
            </w:r>
            <w:r w:rsidR="00DA522F" w:rsidRPr="00FA06D2">
              <w:rPr>
                <w:rFonts w:ascii="Times New Roman" w:eastAsia="Times New Roman" w:hAnsi="Times New Roman" w:cs="Times New Roman"/>
                <w:sz w:val="24"/>
                <w:szCs w:val="24"/>
                <w:lang w:eastAsia="lv-LV"/>
              </w:rPr>
              <w:t xml:space="preserve">un apmeklē </w:t>
            </w:r>
            <w:r w:rsidR="005E523A" w:rsidRPr="00FA06D2">
              <w:rPr>
                <w:rFonts w:ascii="Times New Roman" w:eastAsia="Times New Roman" w:hAnsi="Times New Roman" w:cs="Times New Roman"/>
                <w:sz w:val="24"/>
                <w:szCs w:val="24"/>
                <w:lang w:eastAsia="lv-LV"/>
              </w:rPr>
              <w:t>bibliotēkas, kur ir iespēja iegūt jaunāko literat</w:t>
            </w:r>
            <w:r w:rsidR="00D926A2" w:rsidRPr="00FA06D2">
              <w:rPr>
                <w:rFonts w:ascii="Times New Roman" w:eastAsia="Times New Roman" w:hAnsi="Times New Roman" w:cs="Times New Roman"/>
                <w:sz w:val="24"/>
                <w:szCs w:val="24"/>
                <w:lang w:eastAsia="lv-LV"/>
              </w:rPr>
              <w:t>ūru</w:t>
            </w:r>
            <w:r w:rsidR="003B77AA" w:rsidRPr="00FA06D2">
              <w:rPr>
                <w:rFonts w:ascii="Times New Roman" w:eastAsia="Times New Roman" w:hAnsi="Times New Roman" w:cs="Times New Roman"/>
                <w:sz w:val="24"/>
                <w:szCs w:val="24"/>
                <w:lang w:eastAsia="lv-LV"/>
              </w:rPr>
              <w:t xml:space="preserve"> un</w:t>
            </w:r>
            <w:r w:rsidR="00D926A2" w:rsidRPr="00FA06D2">
              <w:rPr>
                <w:rFonts w:ascii="Times New Roman" w:eastAsia="Times New Roman" w:hAnsi="Times New Roman" w:cs="Times New Roman"/>
                <w:sz w:val="24"/>
                <w:szCs w:val="24"/>
                <w:lang w:eastAsia="lv-LV"/>
              </w:rPr>
              <w:t xml:space="preserve"> izmantot internetu.</w:t>
            </w:r>
          </w:p>
          <w:p w:rsidR="001F148A" w:rsidRPr="00FA06D2" w:rsidRDefault="003B77AA" w:rsidP="00DA522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2013.</w:t>
            </w:r>
            <w:r w:rsidR="0012041E" w:rsidRPr="00FA06D2">
              <w:rPr>
                <w:rFonts w:ascii="Times New Roman" w:eastAsia="Times New Roman" w:hAnsi="Times New Roman" w:cs="Times New Roman"/>
                <w:sz w:val="24"/>
                <w:szCs w:val="24"/>
                <w:lang w:eastAsia="lv-LV"/>
              </w:rPr>
              <w:t> </w:t>
            </w:r>
            <w:r w:rsidRPr="00FA06D2">
              <w:rPr>
                <w:rFonts w:ascii="Times New Roman" w:eastAsia="Times New Roman" w:hAnsi="Times New Roman" w:cs="Times New Roman"/>
                <w:sz w:val="24"/>
                <w:szCs w:val="24"/>
                <w:lang w:eastAsia="lv-LV"/>
              </w:rPr>
              <w:t>gadā publiskās bibliotēkas apmeklēja 432 tūkstoši lasītāju, kas ir 22% no kopējā Latvijas</w:t>
            </w:r>
            <w:r w:rsidR="00DA522F" w:rsidRPr="00FA06D2">
              <w:rPr>
                <w:rFonts w:ascii="Times New Roman" w:eastAsia="Times New Roman" w:hAnsi="Times New Roman" w:cs="Times New Roman"/>
                <w:sz w:val="24"/>
                <w:szCs w:val="24"/>
                <w:lang w:eastAsia="lv-LV"/>
              </w:rPr>
              <w:t xml:space="preserve"> pastāvīgo iedzīvotāju skaita, t</w:t>
            </w:r>
            <w:r w:rsidRPr="00FA06D2">
              <w:rPr>
                <w:rFonts w:ascii="Times New Roman" w:eastAsia="Times New Roman" w:hAnsi="Times New Roman" w:cs="Times New Roman"/>
                <w:sz w:val="24"/>
                <w:szCs w:val="24"/>
                <w:lang w:eastAsia="lv-LV"/>
              </w:rPr>
              <w:t>ā ir viena no skaitliski lielākajām personu datu bāzēm.</w:t>
            </w:r>
            <w:r w:rsidR="00D926A2" w:rsidRPr="00FA06D2">
              <w:rPr>
                <w:rFonts w:ascii="Times New Roman" w:eastAsia="Times New Roman" w:hAnsi="Times New Roman" w:cs="Times New Roman"/>
                <w:sz w:val="24"/>
                <w:szCs w:val="24"/>
                <w:lang w:eastAsia="lv-LV"/>
              </w:rPr>
              <w:t xml:space="preserve"> </w:t>
            </w:r>
            <w:r w:rsidRPr="00FA06D2">
              <w:rPr>
                <w:rFonts w:ascii="Times New Roman" w:eastAsia="Times New Roman" w:hAnsi="Times New Roman" w:cs="Times New Roman"/>
                <w:sz w:val="24"/>
                <w:szCs w:val="24"/>
                <w:lang w:eastAsia="lv-LV"/>
              </w:rPr>
              <w:t>Tā kā bibliotēku apmeklētāju skaits ir liels, arī to iedzīvotāju skaits</w:t>
            </w:r>
            <w:r w:rsidR="00DA522F" w:rsidRPr="00FA06D2">
              <w:rPr>
                <w:rFonts w:ascii="Times New Roman" w:eastAsia="Times New Roman" w:hAnsi="Times New Roman" w:cs="Times New Roman"/>
                <w:sz w:val="24"/>
                <w:szCs w:val="24"/>
                <w:lang w:eastAsia="lv-LV"/>
              </w:rPr>
              <w:t>, par kuriem informācija ir pieejama tikai datos no bibliotēkām, būs skaitliski liels, tādēļ šo iedzīvotāju n</w:t>
            </w:r>
            <w:r w:rsidR="00F378E6" w:rsidRPr="00FA06D2">
              <w:rPr>
                <w:rFonts w:ascii="Times New Roman" w:eastAsia="Times New Roman" w:hAnsi="Times New Roman" w:cs="Times New Roman"/>
                <w:sz w:val="24"/>
                <w:szCs w:val="24"/>
                <w:lang w:eastAsia="lv-LV"/>
              </w:rPr>
              <w:t>eiekļaušana iedzīvotāju skaitā ietekmēs sagatavoto datu kvalitāti</w:t>
            </w:r>
            <w:r w:rsidR="00DA522F" w:rsidRPr="00FA06D2">
              <w:rPr>
                <w:rFonts w:ascii="Times New Roman" w:eastAsia="Times New Roman" w:hAnsi="Times New Roman" w:cs="Times New Roman"/>
                <w:sz w:val="24"/>
                <w:szCs w:val="24"/>
                <w:lang w:eastAsia="lv-LV"/>
              </w:rPr>
              <w:t xml:space="preserve"> un</w:t>
            </w:r>
            <w:r w:rsidR="00F378E6" w:rsidRPr="00FA06D2">
              <w:rPr>
                <w:rFonts w:ascii="Times New Roman" w:eastAsia="Times New Roman" w:hAnsi="Times New Roman" w:cs="Times New Roman"/>
                <w:sz w:val="24"/>
                <w:szCs w:val="24"/>
                <w:lang w:eastAsia="lv-LV"/>
              </w:rPr>
              <w:t xml:space="preserve"> to atbilstību r</w:t>
            </w:r>
            <w:r w:rsidR="00DA522F" w:rsidRPr="00FA06D2">
              <w:rPr>
                <w:rFonts w:ascii="Times New Roman" w:eastAsia="Times New Roman" w:hAnsi="Times New Roman" w:cs="Times New Roman"/>
                <w:sz w:val="24"/>
                <w:szCs w:val="24"/>
                <w:lang w:eastAsia="lv-LV"/>
              </w:rPr>
              <w:t>egulā Nr. 1260/2013 noteiktajam</w:t>
            </w:r>
            <w:r w:rsidR="00F378E6" w:rsidRPr="00FA06D2">
              <w:rPr>
                <w:rFonts w:ascii="Times New Roman" w:eastAsia="Times New Roman" w:hAnsi="Times New Roman" w:cs="Times New Roman"/>
                <w:sz w:val="24"/>
                <w:szCs w:val="24"/>
                <w:lang w:eastAsia="lv-LV"/>
              </w:rPr>
              <w:t>.</w:t>
            </w:r>
          </w:p>
          <w:p w:rsidR="001F148A" w:rsidRPr="00FA06D2" w:rsidRDefault="001F148A" w:rsidP="001F148A">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5.3.2. 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trim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2014. gada sākumā ieslodzījuma vietās atradās 5,2 tūkst. personu, un</w:t>
            </w:r>
            <w:r w:rsidR="003B2745" w:rsidRPr="00FA06D2">
              <w:rPr>
                <w:rFonts w:ascii="Times New Roman" w:eastAsia="Times New Roman" w:hAnsi="Times New Roman" w:cs="Times New Roman"/>
                <w:sz w:val="24"/>
                <w:szCs w:val="24"/>
                <w:lang w:eastAsia="lv-LV"/>
              </w:rPr>
              <w:t>,</w:t>
            </w:r>
            <w:r w:rsidRPr="00FA06D2">
              <w:rPr>
                <w:rFonts w:ascii="Times New Roman" w:eastAsia="Times New Roman" w:hAnsi="Times New Roman" w:cs="Times New Roman"/>
                <w:sz w:val="24"/>
                <w:szCs w:val="24"/>
                <w:lang w:eastAsia="lv-LV"/>
              </w:rPr>
              <w:t xml:space="preserve"> </w:t>
            </w:r>
            <w:r w:rsidRPr="00FA06D2">
              <w:rPr>
                <w:rFonts w:ascii="Times New Roman" w:hAnsi="Times New Roman" w:cs="Times New Roman"/>
                <w:sz w:val="24"/>
                <w:szCs w:val="24"/>
              </w:rPr>
              <w:t xml:space="preserve">tā kā IeVP apkopotā informācija </w:t>
            </w:r>
            <w:r w:rsidRPr="00FA06D2">
              <w:rPr>
                <w:rFonts w:ascii="Times New Roman" w:hAnsi="Times New Roman" w:cs="Times New Roman"/>
                <w:sz w:val="24"/>
                <w:szCs w:val="24"/>
                <w:u w:val="single"/>
              </w:rPr>
              <w:t>ir vienīgais informācijas avots</w:t>
            </w:r>
            <w:r w:rsidRPr="00FA06D2">
              <w:rPr>
                <w:rFonts w:ascii="Times New Roman" w:hAnsi="Times New Roman" w:cs="Times New Roman"/>
                <w:sz w:val="24"/>
                <w:szCs w:val="24"/>
              </w:rPr>
              <w:t xml:space="preserve"> par aptuveni 2,2 tūkst. valsts iedzīvoju, šī informācija būtiski </w:t>
            </w:r>
            <w:r w:rsidRPr="00FA06D2">
              <w:rPr>
                <w:rFonts w:ascii="Times New Roman" w:eastAsia="Times New Roman" w:hAnsi="Times New Roman" w:cs="Times New Roman"/>
                <w:sz w:val="24"/>
                <w:szCs w:val="24"/>
                <w:lang w:eastAsia="lv-LV"/>
              </w:rPr>
              <w:t>palielinās aprēķinātās iedzīvotāju statistikas precizitāti un ticamību.</w:t>
            </w:r>
          </w:p>
          <w:p w:rsidR="00D2554E" w:rsidRDefault="001F148A" w:rsidP="00A15362">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5.3.3. </w:t>
            </w:r>
            <w:r w:rsidR="00DA2FA3" w:rsidRPr="00DA2FA3">
              <w:rPr>
                <w:rFonts w:ascii="Times New Roman" w:eastAsia="Times New Roman" w:hAnsi="Times New Roman" w:cs="Times New Roman"/>
                <w:sz w:val="24"/>
                <w:szCs w:val="24"/>
                <w:lang w:eastAsia="lv-LV"/>
              </w:rPr>
              <w:t>No bibliotēkām un IeVP iegūtie sākotnējie datu faili ar personas datiem tiks dzēsti viena gada laikā pēc to saņemšanas. Šāds maksimālais glabāšanas termiņš noteikts, jo plānošanas (MK noteikumu projekta sagatavošanas) brīdī CSP vēl nav informācijas par sākotnējo datu failu tehnoloģisko formātu un apjomu, kā arī to saturu.</w:t>
            </w:r>
          </w:p>
          <w:p w:rsidR="00DA2FA3" w:rsidRPr="00FA06D2" w:rsidRDefault="00DA2FA3" w:rsidP="00A15362">
            <w:pPr>
              <w:spacing w:after="0" w:line="240" w:lineRule="auto"/>
              <w:rPr>
                <w:rFonts w:ascii="Times New Roman" w:eastAsia="Times New Roman" w:hAnsi="Times New Roman" w:cs="Times New Roman"/>
                <w:sz w:val="24"/>
                <w:szCs w:val="24"/>
                <w:lang w:eastAsia="lv-LV"/>
              </w:rPr>
            </w:pPr>
          </w:p>
          <w:p w:rsidR="00CA658F" w:rsidRPr="00FA06D2" w:rsidRDefault="00AA6DA6" w:rsidP="00CA658F">
            <w:pPr>
              <w:spacing w:after="0" w:line="240" w:lineRule="auto"/>
              <w:rPr>
                <w:rFonts w:ascii="Times New Roman" w:eastAsia="Times New Roman" w:hAnsi="Times New Roman" w:cs="Times New Roman"/>
                <w:sz w:val="24"/>
                <w:szCs w:val="24"/>
                <w:lang w:eastAsia="lv-LV"/>
              </w:rPr>
            </w:pPr>
            <w:r w:rsidRPr="00FA06D2">
              <w:rPr>
                <w:rFonts w:ascii="Times New Roman" w:eastAsia="Times New Roman" w:hAnsi="Times New Roman" w:cs="Times New Roman"/>
                <w:sz w:val="24"/>
                <w:szCs w:val="24"/>
                <w:lang w:eastAsia="lv-LV"/>
              </w:rPr>
              <w:t xml:space="preserve">5.4. </w:t>
            </w:r>
            <w:r w:rsidR="00D2554E" w:rsidRPr="00FA06D2">
              <w:rPr>
                <w:rFonts w:ascii="Times New Roman" w:eastAsia="Times New Roman" w:hAnsi="Times New Roman" w:cs="Times New Roman"/>
                <w:sz w:val="24"/>
                <w:szCs w:val="24"/>
                <w:lang w:eastAsia="lv-LV"/>
              </w:rPr>
              <w:t xml:space="preserve">Ņemot vērā </w:t>
            </w:r>
            <w:r w:rsidRPr="00FA06D2">
              <w:rPr>
                <w:rFonts w:ascii="Times New Roman" w:eastAsia="Times New Roman" w:hAnsi="Times New Roman" w:cs="Times New Roman"/>
                <w:sz w:val="24"/>
                <w:szCs w:val="24"/>
                <w:lang w:eastAsia="lv-LV"/>
              </w:rPr>
              <w:t xml:space="preserve">anotācijas 2. rindas 4. un 5. punktā minēto, ir saprotams, ka no personas datu vākšanas un apstrādes iedzīvotāju statistikas nodrošināšanai </w:t>
            </w:r>
            <w:r w:rsidR="000A3C0B" w:rsidRPr="00FA06D2">
              <w:rPr>
                <w:rFonts w:ascii="Times New Roman" w:eastAsia="Times New Roman" w:hAnsi="Times New Roman" w:cs="Times New Roman"/>
                <w:sz w:val="24"/>
                <w:szCs w:val="24"/>
                <w:lang w:eastAsia="lv-LV"/>
              </w:rPr>
              <w:t>sabiedrības ieguvums ir lielāks</w:t>
            </w:r>
            <w:r w:rsidRPr="00FA06D2">
              <w:rPr>
                <w:rFonts w:ascii="Times New Roman" w:eastAsia="Times New Roman" w:hAnsi="Times New Roman" w:cs="Times New Roman"/>
                <w:sz w:val="24"/>
                <w:szCs w:val="24"/>
                <w:lang w:eastAsia="lv-LV"/>
              </w:rPr>
              <w:t xml:space="preserve"> nekā iespējamais fizisko personu tiesību uz privātumu aizskārums, tādēļ bibliotēku un IeVP rīcībā esošo personas datu izmantošana iedzīvotāju statistikas nodrošināšanai ir samērīga un iegūtais sabiedriskais labums būtiski pārsniedz personas tiesību ierobežojumu.</w:t>
            </w:r>
          </w:p>
        </w:tc>
      </w:tr>
      <w:tr w:rsidR="002C5318" w:rsidRPr="002C5318" w:rsidTr="009D10E9">
        <w:trPr>
          <w:trHeight w:val="465"/>
        </w:trPr>
        <w:tc>
          <w:tcPr>
            <w:tcW w:w="121"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lastRenderedPageBreak/>
              <w:t>3.</w:t>
            </w:r>
          </w:p>
        </w:tc>
        <w:tc>
          <w:tcPr>
            <w:tcW w:w="990" w:type="pct"/>
            <w:tcBorders>
              <w:top w:val="outset" w:sz="6" w:space="0" w:color="auto"/>
              <w:left w:val="outset" w:sz="6" w:space="0" w:color="auto"/>
              <w:bottom w:val="outset" w:sz="6" w:space="0" w:color="auto"/>
              <w:right w:val="outset" w:sz="6" w:space="0" w:color="auto"/>
            </w:tcBorders>
            <w:hideMark/>
          </w:tcPr>
          <w:p w:rsidR="002C5318" w:rsidRPr="00854E9F" w:rsidRDefault="002C5318" w:rsidP="002C5318">
            <w:pPr>
              <w:spacing w:after="0" w:line="240" w:lineRule="auto"/>
              <w:rPr>
                <w:rFonts w:ascii="Times New Roman" w:eastAsia="Times New Roman" w:hAnsi="Times New Roman" w:cs="Times New Roman"/>
                <w:sz w:val="24"/>
                <w:szCs w:val="24"/>
                <w:lang w:eastAsia="lv-LV"/>
              </w:rPr>
            </w:pPr>
            <w:r w:rsidRPr="00854E9F">
              <w:rPr>
                <w:rFonts w:ascii="Times New Roman" w:eastAsia="Times New Roman" w:hAnsi="Times New Roman" w:cs="Times New Roman"/>
                <w:sz w:val="24"/>
                <w:szCs w:val="24"/>
                <w:lang w:eastAsia="lv-LV"/>
              </w:rPr>
              <w:t>Projekta izstrādē iesaistītās institūcijas</w:t>
            </w:r>
          </w:p>
        </w:tc>
        <w:tc>
          <w:tcPr>
            <w:tcW w:w="3889" w:type="pct"/>
            <w:tcBorders>
              <w:top w:val="outset" w:sz="6" w:space="0" w:color="auto"/>
              <w:left w:val="outset" w:sz="6" w:space="0" w:color="auto"/>
              <w:bottom w:val="outset" w:sz="6" w:space="0" w:color="auto"/>
              <w:right w:val="outset" w:sz="6" w:space="0" w:color="auto"/>
            </w:tcBorders>
            <w:hideMark/>
          </w:tcPr>
          <w:p w:rsidR="002C5318" w:rsidRPr="00854E9F" w:rsidRDefault="003D58AE" w:rsidP="00A5178B">
            <w:pPr>
              <w:spacing w:after="0" w:line="240" w:lineRule="auto"/>
              <w:rPr>
                <w:rFonts w:ascii="Times New Roman" w:eastAsia="Times New Roman" w:hAnsi="Times New Roman" w:cs="Times New Roman"/>
                <w:sz w:val="24"/>
                <w:szCs w:val="24"/>
                <w:lang w:eastAsia="lv-LV"/>
              </w:rPr>
            </w:pPr>
            <w:r w:rsidRPr="00854E9F">
              <w:rPr>
                <w:rFonts w:ascii="Times New Roman" w:eastAsia="Times New Roman" w:hAnsi="Times New Roman" w:cs="Times New Roman"/>
                <w:sz w:val="24"/>
                <w:szCs w:val="24"/>
                <w:lang w:eastAsia="lv-LV"/>
              </w:rPr>
              <w:t xml:space="preserve">1. </w:t>
            </w:r>
            <w:r w:rsidR="00A5178B" w:rsidRPr="00854E9F">
              <w:rPr>
                <w:rFonts w:ascii="Times New Roman" w:eastAsia="Times New Roman" w:hAnsi="Times New Roman" w:cs="Times New Roman"/>
                <w:sz w:val="24"/>
                <w:szCs w:val="24"/>
                <w:lang w:eastAsia="lv-LV"/>
              </w:rPr>
              <w:t>Konsultācijas notikušas ar visām ministrijām, Latvijas Banku, Finanšu un kapitāla tirgus komisiju, Augstāko tiesu un Ģenerālprokuratūru.</w:t>
            </w:r>
          </w:p>
          <w:p w:rsidR="003D58AE" w:rsidRPr="00854E9F" w:rsidRDefault="003D58AE" w:rsidP="003D58AE">
            <w:pPr>
              <w:spacing w:after="0" w:line="240" w:lineRule="auto"/>
              <w:rPr>
                <w:rFonts w:ascii="Times New Roman" w:eastAsia="Times New Roman" w:hAnsi="Times New Roman" w:cs="Times New Roman"/>
                <w:sz w:val="24"/>
                <w:szCs w:val="24"/>
                <w:lang w:eastAsia="lv-LV"/>
              </w:rPr>
            </w:pPr>
          </w:p>
          <w:p w:rsidR="003D58AE" w:rsidRPr="00854E9F" w:rsidRDefault="003D58AE" w:rsidP="003D58AE">
            <w:pPr>
              <w:spacing w:after="0" w:line="240" w:lineRule="auto"/>
              <w:rPr>
                <w:rFonts w:ascii="Times New Roman" w:eastAsia="Times New Roman" w:hAnsi="Times New Roman" w:cs="Times New Roman"/>
                <w:sz w:val="24"/>
                <w:szCs w:val="24"/>
                <w:lang w:eastAsia="lv-LV"/>
              </w:rPr>
            </w:pPr>
            <w:r w:rsidRPr="00854E9F">
              <w:rPr>
                <w:rFonts w:ascii="Times New Roman" w:eastAsia="Times New Roman" w:hAnsi="Times New Roman" w:cs="Times New Roman"/>
                <w:sz w:val="24"/>
                <w:szCs w:val="24"/>
                <w:lang w:eastAsia="lv-LV"/>
              </w:rPr>
              <w:t>2. 2014. gada 23. septembrī notika ekspertu tikšanās par jautājumiem, kas saistīti ar CSP nodrošinātās valsts statistikas teritoriālo detalizāciju. Sanāksmē piedalījās CSP, Vides aizsardzības un reģionālās attīstības ministrijas, Latvijas Pašvaldību savienības, Rīgas plānošanas reģiona un Vidzemes plānošanas reģiona pārstāvji.</w:t>
            </w:r>
          </w:p>
          <w:p w:rsidR="00566D37" w:rsidRPr="00854E9F" w:rsidRDefault="00566D37" w:rsidP="003D58AE">
            <w:pPr>
              <w:spacing w:after="0" w:line="240" w:lineRule="auto"/>
              <w:rPr>
                <w:rFonts w:ascii="Times New Roman" w:eastAsia="Times New Roman" w:hAnsi="Times New Roman" w:cs="Times New Roman"/>
                <w:sz w:val="24"/>
                <w:szCs w:val="24"/>
                <w:lang w:eastAsia="lv-LV"/>
              </w:rPr>
            </w:pPr>
          </w:p>
          <w:p w:rsidR="00566D37" w:rsidRPr="00854E9F" w:rsidRDefault="00566D37" w:rsidP="003D58AE">
            <w:pPr>
              <w:spacing w:after="0" w:line="240" w:lineRule="auto"/>
              <w:rPr>
                <w:rFonts w:ascii="Times New Roman" w:eastAsia="Times New Roman" w:hAnsi="Times New Roman" w:cs="Times New Roman"/>
                <w:sz w:val="24"/>
                <w:szCs w:val="24"/>
                <w:lang w:eastAsia="lv-LV"/>
              </w:rPr>
            </w:pPr>
            <w:r w:rsidRPr="00854E9F">
              <w:rPr>
                <w:rFonts w:ascii="Times New Roman" w:eastAsia="Times New Roman" w:hAnsi="Times New Roman" w:cs="Times New Roman"/>
                <w:sz w:val="24"/>
                <w:szCs w:val="24"/>
                <w:lang w:eastAsia="lv-LV"/>
              </w:rPr>
              <w:t xml:space="preserve">3. 2014. gada 21. novembrī notika tikšanās ar Datu valsts inspekciju par jautājumiem, kas saistīti ar personas datu lietošanu valsts statistiskas </w:t>
            </w:r>
            <w:r w:rsidRPr="00854E9F">
              <w:rPr>
                <w:rFonts w:ascii="Times New Roman" w:eastAsia="Times New Roman" w:hAnsi="Times New Roman" w:cs="Times New Roman"/>
                <w:sz w:val="24"/>
                <w:szCs w:val="24"/>
                <w:lang w:eastAsia="lv-LV"/>
              </w:rPr>
              <w:lastRenderedPageBreak/>
              <w:t>nodrošināšanai.</w:t>
            </w:r>
          </w:p>
        </w:tc>
      </w:tr>
      <w:tr w:rsidR="002C5318" w:rsidRPr="002C5318" w:rsidTr="009D10E9">
        <w:tc>
          <w:tcPr>
            <w:tcW w:w="121"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lastRenderedPageBreak/>
              <w:t>4.</w:t>
            </w:r>
          </w:p>
        </w:tc>
        <w:tc>
          <w:tcPr>
            <w:tcW w:w="990"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 informācija</w:t>
            </w:r>
          </w:p>
        </w:tc>
        <w:tc>
          <w:tcPr>
            <w:tcW w:w="3889" w:type="pct"/>
            <w:tcBorders>
              <w:top w:val="outset" w:sz="6" w:space="0" w:color="auto"/>
              <w:left w:val="outset" w:sz="6" w:space="0" w:color="auto"/>
              <w:bottom w:val="outset" w:sz="6" w:space="0" w:color="auto"/>
              <w:right w:val="outset" w:sz="6" w:space="0" w:color="auto"/>
            </w:tcBorders>
            <w:hideMark/>
          </w:tcPr>
          <w:p w:rsidR="002C5318" w:rsidRPr="002C5318" w:rsidRDefault="00A5178B" w:rsidP="002C531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711"/>
        <w:tblOverlap w:val="never"/>
        <w:tblW w:w="593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2269"/>
        <w:gridCol w:w="7231"/>
      </w:tblGrid>
      <w:tr w:rsidR="009D10E9" w:rsidRPr="002C5318" w:rsidTr="00093655">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D10E9" w:rsidRPr="002C5318" w:rsidRDefault="009D10E9" w:rsidP="0009365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10E9" w:rsidRPr="002C5318" w:rsidTr="00093655">
        <w:trPr>
          <w:trHeight w:val="465"/>
        </w:trPr>
        <w:tc>
          <w:tcPr>
            <w:tcW w:w="214"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1.</w:t>
            </w:r>
          </w:p>
        </w:tc>
        <w:tc>
          <w:tcPr>
            <w:tcW w:w="1143"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Sabiedrības mērķgrupas, kuras tiesiskais regulējums ietekmē vai varētu ietekmēt</w:t>
            </w:r>
          </w:p>
        </w:tc>
        <w:tc>
          <w:tcPr>
            <w:tcW w:w="3643"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mērķgrupa, kuru ietekmēs tiesiskais regulējums, ko nosaka MK noteikumu projekts ir </w:t>
            </w:r>
            <w:r w:rsidRPr="00E21E59">
              <w:rPr>
                <w:rFonts w:ascii="Times New Roman" w:eastAsia="Times New Roman" w:hAnsi="Times New Roman" w:cs="Times New Roman"/>
                <w:sz w:val="24"/>
                <w:szCs w:val="24"/>
                <w:lang w:eastAsia="lv-LV"/>
              </w:rPr>
              <w:t>Ministru kabinetam padota tiešās pārvaldes iestāde, pārvaldes iestāde, kas nav padota Ministru kabinetam, plānošanas reģions, vietējā pašvaldība un tai padotā iestāde, cita atvasināta publisko tiesību juridiskā persona, tai skaitā publiskais nodibinājums un tā iestāde, kā arī privātpersona, kurai del</w:t>
            </w:r>
            <w:r>
              <w:rPr>
                <w:rFonts w:ascii="Times New Roman" w:eastAsia="Times New Roman" w:hAnsi="Times New Roman" w:cs="Times New Roman"/>
                <w:sz w:val="24"/>
                <w:szCs w:val="24"/>
                <w:lang w:eastAsia="lv-LV"/>
              </w:rPr>
              <w:t>eģēti valsts pārvaldes uzdevumi, kuras risina  valsts statistikas jautājumus Valsts statistiskās informācijas programmas ietvaros.</w:t>
            </w:r>
          </w:p>
        </w:tc>
      </w:tr>
      <w:tr w:rsidR="009D10E9" w:rsidRPr="006B11A0" w:rsidTr="00093655">
        <w:trPr>
          <w:trHeight w:val="510"/>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9D10E9" w:rsidRPr="006B11A0" w:rsidRDefault="009D10E9" w:rsidP="00093655">
            <w:pPr>
              <w:spacing w:after="0" w:line="240" w:lineRule="auto"/>
              <w:rPr>
                <w:rFonts w:ascii="Times New Roman" w:eastAsia="Times New Roman" w:hAnsi="Times New Roman" w:cs="Times New Roman"/>
                <w:sz w:val="24"/>
                <w:szCs w:val="24"/>
                <w:lang w:eastAsia="lv-LV"/>
              </w:rPr>
            </w:pPr>
            <w:r w:rsidRPr="006B11A0">
              <w:rPr>
                <w:rFonts w:ascii="Times New Roman" w:eastAsia="Times New Roman" w:hAnsi="Times New Roman" w:cs="Times New Roman"/>
                <w:sz w:val="24"/>
                <w:szCs w:val="24"/>
                <w:lang w:eastAsia="lv-LV"/>
              </w:rPr>
              <w:t>2.</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9D10E9" w:rsidRPr="006B11A0" w:rsidRDefault="009D10E9" w:rsidP="00093655">
            <w:pPr>
              <w:spacing w:after="0" w:line="240" w:lineRule="auto"/>
              <w:rPr>
                <w:rFonts w:ascii="Times New Roman" w:eastAsia="Times New Roman" w:hAnsi="Times New Roman" w:cs="Times New Roman"/>
                <w:sz w:val="24"/>
                <w:szCs w:val="24"/>
                <w:lang w:eastAsia="lv-LV"/>
              </w:rPr>
            </w:pPr>
            <w:r w:rsidRPr="006B11A0">
              <w:rPr>
                <w:rFonts w:ascii="Times New Roman" w:eastAsia="Times New Roman" w:hAnsi="Times New Roman" w:cs="Times New Roman"/>
                <w:sz w:val="24"/>
                <w:szCs w:val="24"/>
                <w:lang w:eastAsia="lv-LV"/>
              </w:rPr>
              <w:t>Tiesiskā regulējuma ietekme uz tautsaimniecību un administratīvo slogu</w:t>
            </w:r>
          </w:p>
        </w:tc>
        <w:tc>
          <w:tcPr>
            <w:tcW w:w="3643" w:type="pct"/>
            <w:tcBorders>
              <w:top w:val="outset" w:sz="6" w:space="0" w:color="auto"/>
              <w:left w:val="outset" w:sz="6" w:space="0" w:color="auto"/>
              <w:bottom w:val="outset" w:sz="6" w:space="0" w:color="auto"/>
              <w:right w:val="outset" w:sz="6" w:space="0" w:color="auto"/>
            </w:tcBorders>
            <w:shd w:val="clear" w:color="auto" w:fill="auto"/>
            <w:hideMark/>
          </w:tcPr>
          <w:p w:rsidR="009D10E9" w:rsidRPr="006B11A0" w:rsidRDefault="009D10E9" w:rsidP="00093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w:t>
            </w:r>
            <w:r w:rsidRPr="00C56392">
              <w:rPr>
                <w:rFonts w:ascii="Times New Roman" w:eastAsia="Times New Roman" w:hAnsi="Times New Roman" w:cs="Times New Roman"/>
                <w:sz w:val="24"/>
                <w:szCs w:val="24"/>
                <w:lang w:eastAsia="lv-LV"/>
              </w:rPr>
              <w:t xml:space="preserve">projekta tiesiskais regulējums nemaina </w:t>
            </w:r>
            <w:r>
              <w:rPr>
                <w:rFonts w:ascii="Times New Roman" w:eastAsia="Times New Roman" w:hAnsi="Times New Roman" w:cs="Times New Roman"/>
                <w:sz w:val="24"/>
                <w:szCs w:val="24"/>
                <w:lang w:eastAsia="lv-LV"/>
              </w:rPr>
              <w:t xml:space="preserve">sabiedrības mērķgrupas </w:t>
            </w:r>
            <w:r w:rsidRPr="00C56392">
              <w:rPr>
                <w:rFonts w:ascii="Times New Roman" w:eastAsia="Times New Roman" w:hAnsi="Times New Roman" w:cs="Times New Roman"/>
                <w:sz w:val="24"/>
                <w:szCs w:val="24"/>
                <w:lang w:eastAsia="lv-LV"/>
              </w:rPr>
              <w:t>tiesības un pienākumus, kā arī veicamās darbības.</w:t>
            </w:r>
          </w:p>
        </w:tc>
      </w:tr>
      <w:tr w:rsidR="009D10E9" w:rsidRPr="002C5318" w:rsidTr="00093655">
        <w:trPr>
          <w:trHeight w:val="510"/>
        </w:trPr>
        <w:tc>
          <w:tcPr>
            <w:tcW w:w="214" w:type="pct"/>
            <w:tcBorders>
              <w:top w:val="outset" w:sz="6" w:space="0" w:color="auto"/>
              <w:left w:val="outset" w:sz="6" w:space="0" w:color="auto"/>
              <w:bottom w:val="outset" w:sz="6" w:space="0" w:color="auto"/>
              <w:right w:val="outset" w:sz="6" w:space="0" w:color="auto"/>
            </w:tcBorders>
            <w:shd w:val="clear" w:color="auto" w:fill="auto"/>
            <w:hideMark/>
          </w:tcPr>
          <w:p w:rsidR="009D10E9" w:rsidRPr="006B11A0" w:rsidRDefault="009D10E9" w:rsidP="00093655">
            <w:pPr>
              <w:spacing w:after="0" w:line="240" w:lineRule="auto"/>
              <w:rPr>
                <w:rFonts w:ascii="Times New Roman" w:eastAsia="Times New Roman" w:hAnsi="Times New Roman" w:cs="Times New Roman"/>
                <w:sz w:val="24"/>
                <w:szCs w:val="24"/>
                <w:lang w:eastAsia="lv-LV"/>
              </w:rPr>
            </w:pPr>
            <w:r w:rsidRPr="006B11A0">
              <w:rPr>
                <w:rFonts w:ascii="Times New Roman" w:eastAsia="Times New Roman" w:hAnsi="Times New Roman" w:cs="Times New Roman"/>
                <w:sz w:val="24"/>
                <w:szCs w:val="24"/>
                <w:lang w:eastAsia="lv-LV"/>
              </w:rPr>
              <w:t>3.</w:t>
            </w:r>
          </w:p>
        </w:tc>
        <w:tc>
          <w:tcPr>
            <w:tcW w:w="1143" w:type="pct"/>
            <w:tcBorders>
              <w:top w:val="outset" w:sz="6" w:space="0" w:color="auto"/>
              <w:left w:val="outset" w:sz="6" w:space="0" w:color="auto"/>
              <w:bottom w:val="outset" w:sz="6" w:space="0" w:color="auto"/>
              <w:right w:val="outset" w:sz="6" w:space="0" w:color="auto"/>
            </w:tcBorders>
            <w:shd w:val="clear" w:color="auto" w:fill="auto"/>
            <w:hideMark/>
          </w:tcPr>
          <w:p w:rsidR="009D10E9" w:rsidRPr="00DC400F" w:rsidRDefault="009D10E9" w:rsidP="00093655">
            <w:pPr>
              <w:spacing w:after="0" w:line="240" w:lineRule="auto"/>
              <w:rPr>
                <w:rFonts w:ascii="Times New Roman" w:eastAsia="Times New Roman" w:hAnsi="Times New Roman" w:cs="Times New Roman"/>
                <w:sz w:val="24"/>
                <w:szCs w:val="24"/>
                <w:lang w:eastAsia="lv-LV"/>
              </w:rPr>
            </w:pPr>
            <w:r w:rsidRPr="00DC400F">
              <w:rPr>
                <w:rFonts w:ascii="Times New Roman" w:eastAsia="Times New Roman" w:hAnsi="Times New Roman" w:cs="Times New Roman"/>
                <w:sz w:val="24"/>
                <w:szCs w:val="24"/>
                <w:lang w:eastAsia="lv-LV"/>
              </w:rPr>
              <w:t>Administratīvo izmaksu monetārs novērtējums</w:t>
            </w:r>
          </w:p>
        </w:tc>
        <w:tc>
          <w:tcPr>
            <w:tcW w:w="3643" w:type="pct"/>
            <w:tcBorders>
              <w:top w:val="outset" w:sz="6" w:space="0" w:color="auto"/>
              <w:left w:val="outset" w:sz="6" w:space="0" w:color="auto"/>
              <w:bottom w:val="outset" w:sz="6" w:space="0" w:color="auto"/>
              <w:right w:val="outset" w:sz="6" w:space="0" w:color="auto"/>
            </w:tcBorders>
            <w:shd w:val="clear" w:color="auto" w:fill="auto"/>
          </w:tcPr>
          <w:p w:rsidR="009D10E9" w:rsidRDefault="009D10E9" w:rsidP="00093655">
            <w:pPr>
              <w:spacing w:after="0" w:line="240" w:lineRule="auto"/>
              <w:rPr>
                <w:rFonts w:ascii="Times New Roman" w:eastAsia="Times New Roman" w:hAnsi="Times New Roman" w:cs="Times New Roman"/>
                <w:sz w:val="24"/>
                <w:szCs w:val="24"/>
                <w:lang w:eastAsia="lv-LV"/>
              </w:rPr>
            </w:pPr>
            <w:r w:rsidRPr="00F43002">
              <w:rPr>
                <w:rFonts w:ascii="Times New Roman" w:eastAsia="Times New Roman" w:hAnsi="Times New Roman" w:cs="Times New Roman"/>
                <w:sz w:val="24"/>
                <w:szCs w:val="24"/>
                <w:u w:val="single"/>
                <w:lang w:eastAsia="lv-LV"/>
              </w:rPr>
              <w:t>Centrālā</w:t>
            </w:r>
            <w:r>
              <w:rPr>
                <w:rFonts w:ascii="Times New Roman" w:eastAsia="Times New Roman" w:hAnsi="Times New Roman" w:cs="Times New Roman"/>
                <w:sz w:val="24"/>
                <w:szCs w:val="24"/>
                <w:u w:val="single"/>
                <w:lang w:eastAsia="lv-LV"/>
              </w:rPr>
              <w:t>s</w:t>
            </w:r>
            <w:r w:rsidRPr="00F43002">
              <w:rPr>
                <w:rFonts w:ascii="Times New Roman" w:eastAsia="Times New Roman" w:hAnsi="Times New Roman" w:cs="Times New Roman"/>
                <w:sz w:val="24"/>
                <w:szCs w:val="24"/>
                <w:u w:val="single"/>
                <w:lang w:eastAsia="lv-LV"/>
              </w:rPr>
              <w:t xml:space="preserve"> statistikas pārvaldes</w:t>
            </w:r>
            <w:r>
              <w:rPr>
                <w:rFonts w:ascii="Times New Roman" w:eastAsia="Times New Roman" w:hAnsi="Times New Roman" w:cs="Times New Roman"/>
                <w:sz w:val="24"/>
                <w:szCs w:val="24"/>
                <w:lang w:eastAsia="lv-LV"/>
              </w:rPr>
              <w:t xml:space="preserve"> plānotās izmaksas MK noteikumu projektā noteikto darbību nodrošināšanai:</w:t>
            </w:r>
          </w:p>
          <w:p w:rsidR="009D10E9" w:rsidRDefault="009D10E9" w:rsidP="00093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7.76 milj. EUR (statistikas sagatavošana – ietver </w:t>
            </w:r>
            <w:r w:rsidRPr="00F43002">
              <w:rPr>
                <w:rFonts w:ascii="Times New Roman" w:hAnsi="Times New Roman" w:cs="Times New Roman"/>
                <w:sz w:val="24"/>
                <w:szCs w:val="24"/>
              </w:rPr>
              <w:t>statistikas plānošanu, izstrādi, datu iegūšanu (tai skaitā vākšanu no respondentiem), apstrādi, analīzi un izplatīšanu</w:t>
            </w:r>
            <w:r>
              <w:rPr>
                <w:rFonts w:ascii="Times New Roman" w:hAnsi="Times New Roman" w:cs="Times New Roman"/>
                <w:sz w:val="24"/>
                <w:szCs w:val="24"/>
              </w:rPr>
              <w:t>)</w:t>
            </w:r>
            <w:r w:rsidRPr="00F43002">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1.93 milj. EUR </w:t>
            </w:r>
            <w:r w:rsidRPr="00F43002">
              <w:rPr>
                <w:rFonts w:ascii="Times New Roman" w:eastAsia="Times New Roman" w:hAnsi="Times New Roman" w:cs="Times New Roman"/>
                <w:sz w:val="24"/>
                <w:szCs w:val="24"/>
                <w:lang w:eastAsia="lv-LV"/>
              </w:rPr>
              <w:t>(vadības un atbalsta funkciju</w:t>
            </w:r>
            <w:r>
              <w:rPr>
                <w:rFonts w:ascii="Times New Roman" w:eastAsia="Times New Roman" w:hAnsi="Times New Roman" w:cs="Times New Roman"/>
                <w:sz w:val="24"/>
                <w:szCs w:val="24"/>
                <w:lang w:eastAsia="lv-LV"/>
              </w:rPr>
              <w:t xml:space="preserve"> izmaksas) = 9.69 milj. EUR. </w:t>
            </w:r>
          </w:p>
          <w:p w:rsidR="009D10E9" w:rsidRPr="00DC400F" w:rsidRDefault="009D10E9" w:rsidP="00093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Aprēķinos ir ietvertas visas izmaksas, to sīkāks sadalījums un precīzas summas būs atspoguļotas pēc 2015. gada budžeta pieņemšanas Centrālās statistikas pārvaldes </w:t>
            </w:r>
            <w:r w:rsidRPr="0034234E">
              <w:rPr>
                <w:rFonts w:ascii="Times New Roman" w:eastAsia="Times New Roman" w:hAnsi="Times New Roman" w:cs="Times New Roman"/>
                <w:sz w:val="24"/>
                <w:szCs w:val="24"/>
                <w:lang w:eastAsia="lv-LV"/>
              </w:rPr>
              <w:t>tām</w:t>
            </w:r>
            <w:r>
              <w:rPr>
                <w:rFonts w:ascii="Times New Roman" w:eastAsia="Times New Roman" w:hAnsi="Times New Roman" w:cs="Times New Roman"/>
                <w:sz w:val="24"/>
                <w:szCs w:val="24"/>
                <w:lang w:eastAsia="lv-LV"/>
              </w:rPr>
              <w:t>ē</w:t>
            </w:r>
            <w:r w:rsidRPr="0034234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p w:rsidR="009D10E9" w:rsidRDefault="009D10E9" w:rsidP="00093655">
            <w:pPr>
              <w:spacing w:after="0" w:line="240" w:lineRule="auto"/>
              <w:rPr>
                <w:rFonts w:ascii="Times New Roman" w:eastAsia="Times New Roman" w:hAnsi="Times New Roman" w:cs="Times New Roman"/>
                <w:sz w:val="24"/>
                <w:szCs w:val="24"/>
                <w:u w:val="single"/>
                <w:lang w:eastAsia="lv-LV"/>
              </w:rPr>
            </w:pPr>
          </w:p>
          <w:p w:rsidR="009D10E9" w:rsidRPr="00F43002" w:rsidRDefault="009D10E9" w:rsidP="00093655">
            <w:pPr>
              <w:spacing w:after="0" w:line="240" w:lineRule="auto"/>
              <w:rPr>
                <w:rFonts w:ascii="Times New Roman" w:eastAsia="Times New Roman" w:hAnsi="Times New Roman" w:cs="Times New Roman"/>
                <w:sz w:val="24"/>
                <w:szCs w:val="24"/>
                <w:u w:val="single"/>
                <w:lang w:eastAsia="lv-LV"/>
              </w:rPr>
            </w:pPr>
            <w:r w:rsidRPr="00F43002">
              <w:rPr>
                <w:rFonts w:ascii="Times New Roman" w:eastAsia="Times New Roman" w:hAnsi="Times New Roman" w:cs="Times New Roman"/>
                <w:sz w:val="24"/>
                <w:szCs w:val="24"/>
                <w:u w:val="single"/>
                <w:lang w:eastAsia="lv-LV"/>
              </w:rPr>
              <w:t>Citas institūcijas:</w:t>
            </w:r>
          </w:p>
          <w:p w:rsidR="009D10E9" w:rsidRPr="00DC400F" w:rsidRDefault="009D10E9" w:rsidP="00093655">
            <w:pPr>
              <w:spacing w:after="0" w:line="240" w:lineRule="auto"/>
              <w:rPr>
                <w:rFonts w:ascii="Times New Roman" w:eastAsia="Times New Roman" w:hAnsi="Times New Roman" w:cs="Times New Roman"/>
                <w:sz w:val="24"/>
                <w:szCs w:val="24"/>
                <w:lang w:eastAsia="lv-LV"/>
              </w:rPr>
            </w:pPr>
            <w:r w:rsidRPr="00DC400F">
              <w:rPr>
                <w:rFonts w:ascii="Times New Roman" w:eastAsia="Times New Roman" w:hAnsi="Times New Roman" w:cs="Times New Roman"/>
                <w:sz w:val="24"/>
                <w:szCs w:val="24"/>
                <w:lang w:eastAsia="lv-LV"/>
              </w:rPr>
              <w:t>Aprēķinot administratīvās izmaksas</w:t>
            </w:r>
            <w:r>
              <w:rPr>
                <w:rFonts w:ascii="Times New Roman" w:eastAsia="Times New Roman" w:hAnsi="Times New Roman" w:cs="Times New Roman"/>
                <w:sz w:val="24"/>
                <w:szCs w:val="24"/>
                <w:lang w:eastAsia="lv-LV"/>
              </w:rPr>
              <w:t xml:space="preserve"> pēc</w:t>
            </w:r>
            <w:r w:rsidRPr="00DC400F">
              <w:rPr>
                <w:rFonts w:ascii="Times New Roman" w:eastAsia="Times New Roman" w:hAnsi="Times New Roman" w:cs="Times New Roman"/>
                <w:sz w:val="24"/>
                <w:szCs w:val="24"/>
                <w:lang w:eastAsia="lv-LV"/>
              </w:rPr>
              <w:t xml:space="preserve"> formul</w:t>
            </w:r>
            <w:r>
              <w:rPr>
                <w:rFonts w:ascii="Times New Roman" w:eastAsia="Times New Roman" w:hAnsi="Times New Roman" w:cs="Times New Roman"/>
                <w:sz w:val="24"/>
                <w:szCs w:val="24"/>
                <w:lang w:eastAsia="lv-LV"/>
              </w:rPr>
              <w:t>as</w:t>
            </w:r>
            <w:r w:rsidRPr="00DC400F">
              <w:rPr>
                <w:rFonts w:ascii="Times New Roman" w:eastAsia="Times New Roman" w:hAnsi="Times New Roman" w:cs="Times New Roman"/>
                <w:sz w:val="24"/>
                <w:szCs w:val="24"/>
                <w:lang w:eastAsia="lv-LV"/>
              </w:rPr>
              <w:t xml:space="preserve"> </w:t>
            </w:r>
            <w:r>
              <w:rPr>
                <w:rFonts w:ascii="Times New Roman" w:hAnsi="Times New Roman" w:cs="Times New Roman"/>
              </w:rPr>
              <w:t xml:space="preserve">C = (f x l) x (n x b), tiek pieņemts, ka </w:t>
            </w:r>
            <w:r>
              <w:rPr>
                <w:rFonts w:ascii="Times New Roman" w:eastAsia="Times New Roman" w:hAnsi="Times New Roman" w:cs="Times New Roman"/>
                <w:sz w:val="24"/>
                <w:szCs w:val="24"/>
                <w:lang w:eastAsia="lv-LV"/>
              </w:rPr>
              <w:t xml:space="preserve">n=b=1, tas ir, </w:t>
            </w:r>
            <w:r w:rsidRPr="00DC400F">
              <w:rPr>
                <w:rFonts w:ascii="Times New Roman" w:eastAsia="Times New Roman" w:hAnsi="Times New Roman" w:cs="Times New Roman"/>
                <w:sz w:val="24"/>
                <w:szCs w:val="24"/>
                <w:lang w:eastAsia="lv-LV"/>
              </w:rPr>
              <w:t>darba izpildes biežums tiek raksturots ar patērēto stundu skaitu, bet subjekts, uz kuru attiecas informācijas sniegšanas prasības</w:t>
            </w:r>
            <w:r>
              <w:rPr>
                <w:rFonts w:ascii="Times New Roman" w:eastAsia="Times New Roman" w:hAnsi="Times New Roman" w:cs="Times New Roman"/>
                <w:sz w:val="24"/>
                <w:szCs w:val="24"/>
                <w:lang w:eastAsia="lv-LV"/>
              </w:rPr>
              <w:t>,</w:t>
            </w:r>
            <w:r w:rsidRPr="00DC400F">
              <w:rPr>
                <w:rFonts w:ascii="Times New Roman" w:eastAsia="Times New Roman" w:hAnsi="Times New Roman" w:cs="Times New Roman"/>
                <w:sz w:val="24"/>
                <w:szCs w:val="24"/>
                <w:lang w:eastAsia="lv-LV"/>
              </w:rPr>
              <w:t xml:space="preserve"> ir viens –</w:t>
            </w:r>
            <w:r>
              <w:rPr>
                <w:rFonts w:ascii="Times New Roman" w:eastAsia="Times New Roman" w:hAnsi="Times New Roman" w:cs="Times New Roman"/>
                <w:sz w:val="24"/>
                <w:szCs w:val="24"/>
                <w:lang w:eastAsia="lv-LV"/>
              </w:rPr>
              <w:t xml:space="preserve"> cita par statistikas sagatavošanu atbildīgā institūcija</w:t>
            </w:r>
            <w:r w:rsidRPr="00DC400F">
              <w:rPr>
                <w:rFonts w:ascii="Times New Roman" w:eastAsia="Times New Roman" w:hAnsi="Times New Roman" w:cs="Times New Roman"/>
                <w:sz w:val="24"/>
                <w:szCs w:val="24"/>
                <w:lang w:eastAsia="lv-LV"/>
              </w:rPr>
              <w:t>.</w:t>
            </w:r>
          </w:p>
          <w:p w:rsidR="009D10E9" w:rsidRPr="00DC400F" w:rsidRDefault="009D10E9" w:rsidP="00093655">
            <w:pPr>
              <w:spacing w:after="0" w:line="240" w:lineRule="auto"/>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630"/>
              <w:gridCol w:w="1072"/>
              <w:gridCol w:w="1067"/>
              <w:gridCol w:w="1166"/>
              <w:gridCol w:w="1206"/>
            </w:tblGrid>
            <w:tr w:rsidR="009D10E9" w:rsidRPr="005A1665" w:rsidTr="00AE7E55">
              <w:trPr>
                <w:trHeight w:val="600"/>
              </w:trPr>
              <w:tc>
                <w:tcPr>
                  <w:tcW w:w="2630" w:type="dxa"/>
                  <w:tcBorders>
                    <w:top w:val="single" w:sz="12" w:space="0" w:color="auto"/>
                    <w:left w:val="single" w:sz="12" w:space="0" w:color="auto"/>
                    <w:bottom w:val="single" w:sz="12" w:space="0" w:color="auto"/>
                  </w:tcBorders>
                  <w:vAlign w:val="center"/>
                </w:tcPr>
                <w:p w:rsidR="009D10E9" w:rsidRPr="005A1665" w:rsidRDefault="009D10E9" w:rsidP="0040530D">
                  <w:pPr>
                    <w:framePr w:hSpace="180" w:wrap="around" w:vAnchor="text" w:hAnchor="margin" w:xAlign="center" w:y="711"/>
                    <w:suppressOverlap/>
                    <w:jc w:val="center"/>
                    <w:rPr>
                      <w:rFonts w:ascii="Times New Roman" w:hAnsi="Times New Roman" w:cs="Times New Roman"/>
                    </w:rPr>
                  </w:pPr>
                  <w:r w:rsidRPr="005A1665">
                    <w:rPr>
                      <w:rFonts w:ascii="Times New Roman" w:hAnsi="Times New Roman" w:cs="Times New Roman"/>
                    </w:rPr>
                    <w:t>Atbildīgā institūcija</w:t>
                  </w:r>
                </w:p>
              </w:tc>
              <w:tc>
                <w:tcPr>
                  <w:tcW w:w="1072" w:type="dxa"/>
                  <w:tcBorders>
                    <w:top w:val="single" w:sz="12" w:space="0" w:color="auto"/>
                    <w:bottom w:val="single" w:sz="12" w:space="0" w:color="auto"/>
                  </w:tcBorders>
                  <w:noWrap/>
                  <w:vAlign w:val="center"/>
                </w:tcPr>
                <w:p w:rsidR="009D10E9" w:rsidRPr="005A1665" w:rsidRDefault="009D10E9" w:rsidP="0040530D">
                  <w:pPr>
                    <w:framePr w:hSpace="180" w:wrap="around" w:vAnchor="text" w:hAnchor="margin" w:xAlign="center" w:y="711"/>
                    <w:suppressOverlap/>
                    <w:jc w:val="center"/>
                    <w:rPr>
                      <w:rFonts w:ascii="Times New Roman" w:hAnsi="Times New Roman" w:cs="Times New Roman"/>
                    </w:rPr>
                  </w:pPr>
                  <w:r w:rsidRPr="005A1665">
                    <w:rPr>
                      <w:rFonts w:ascii="Times New Roman" w:hAnsi="Times New Roman" w:cs="Times New Roman"/>
                    </w:rPr>
                    <w:t>Patērētais laiks, h</w:t>
                  </w:r>
                </w:p>
              </w:tc>
              <w:tc>
                <w:tcPr>
                  <w:tcW w:w="1067" w:type="dxa"/>
                  <w:tcBorders>
                    <w:top w:val="single" w:sz="12" w:space="0" w:color="auto"/>
                    <w:bottom w:val="single" w:sz="12" w:space="0" w:color="auto"/>
                  </w:tcBorders>
                  <w:noWrap/>
                  <w:vAlign w:val="center"/>
                </w:tcPr>
                <w:p w:rsidR="009D10E9" w:rsidRPr="005A1665" w:rsidRDefault="009D10E9" w:rsidP="0040530D">
                  <w:pPr>
                    <w:framePr w:hSpace="180" w:wrap="around" w:vAnchor="text" w:hAnchor="margin" w:xAlign="center" w:y="711"/>
                    <w:suppressOverlap/>
                    <w:jc w:val="center"/>
                    <w:rPr>
                      <w:rFonts w:ascii="Times New Roman" w:hAnsi="Times New Roman" w:cs="Times New Roman"/>
                    </w:rPr>
                  </w:pPr>
                  <w:r w:rsidRPr="005A1665">
                    <w:rPr>
                      <w:rFonts w:ascii="Times New Roman" w:hAnsi="Times New Roman" w:cs="Times New Roman"/>
                    </w:rPr>
                    <w:t>Stundas samaksas likme, EUR/h</w:t>
                  </w:r>
                </w:p>
              </w:tc>
              <w:tc>
                <w:tcPr>
                  <w:tcW w:w="1166" w:type="dxa"/>
                  <w:tcBorders>
                    <w:top w:val="single" w:sz="12" w:space="0" w:color="auto"/>
                    <w:bottom w:val="single" w:sz="12" w:space="0" w:color="auto"/>
                  </w:tcBorders>
                  <w:noWrap/>
                  <w:vAlign w:val="center"/>
                </w:tcPr>
                <w:p w:rsidR="009D10E9" w:rsidRPr="005A1665" w:rsidRDefault="009D10E9" w:rsidP="0040530D">
                  <w:pPr>
                    <w:framePr w:hSpace="180" w:wrap="around" w:vAnchor="text" w:hAnchor="margin" w:xAlign="center" w:y="711"/>
                    <w:suppressOverlap/>
                    <w:jc w:val="center"/>
                    <w:rPr>
                      <w:rFonts w:ascii="Times New Roman" w:hAnsi="Times New Roman" w:cs="Times New Roman"/>
                    </w:rPr>
                  </w:pPr>
                  <w:r w:rsidRPr="005A1665">
                    <w:rPr>
                      <w:rFonts w:ascii="Times New Roman" w:hAnsi="Times New Roman" w:cs="Times New Roman"/>
                    </w:rPr>
                    <w:t>Citas izmaksas, EUR</w:t>
                  </w:r>
                </w:p>
              </w:tc>
              <w:tc>
                <w:tcPr>
                  <w:tcW w:w="1206" w:type="dxa"/>
                  <w:tcBorders>
                    <w:top w:val="single" w:sz="12" w:space="0" w:color="auto"/>
                    <w:bottom w:val="single" w:sz="12" w:space="0" w:color="auto"/>
                    <w:right w:val="single" w:sz="12" w:space="0" w:color="auto"/>
                  </w:tcBorders>
                  <w:noWrap/>
                  <w:vAlign w:val="center"/>
                </w:tcPr>
                <w:p w:rsidR="009D10E9" w:rsidRPr="005A1665" w:rsidRDefault="009D10E9" w:rsidP="0040530D">
                  <w:pPr>
                    <w:framePr w:hSpace="180" w:wrap="around" w:vAnchor="text" w:hAnchor="margin" w:xAlign="center" w:y="711"/>
                    <w:suppressOverlap/>
                    <w:jc w:val="center"/>
                    <w:rPr>
                      <w:rFonts w:ascii="Times New Roman" w:hAnsi="Times New Roman" w:cs="Times New Roman"/>
                    </w:rPr>
                  </w:pPr>
                  <w:r w:rsidRPr="005A1665">
                    <w:rPr>
                      <w:rFonts w:ascii="Times New Roman" w:hAnsi="Times New Roman" w:cs="Times New Roman"/>
                    </w:rPr>
                    <w:t>Kopā, EUR</w:t>
                  </w:r>
                </w:p>
              </w:tc>
            </w:tr>
            <w:tr w:rsidR="009D10E9" w:rsidRPr="005A1665" w:rsidTr="00AE7E55">
              <w:trPr>
                <w:trHeight w:val="600"/>
              </w:trPr>
              <w:tc>
                <w:tcPr>
                  <w:tcW w:w="2630" w:type="dxa"/>
                  <w:tcBorders>
                    <w:top w:val="single" w:sz="12" w:space="0" w:color="auto"/>
                  </w:tcBorders>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ugunsdzēsības un glābšanas dienests</w:t>
                  </w:r>
                </w:p>
              </w:tc>
              <w:tc>
                <w:tcPr>
                  <w:tcW w:w="1072" w:type="dxa"/>
                  <w:tcBorders>
                    <w:top w:val="single" w:sz="12"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25.16</w:t>
                  </w:r>
                </w:p>
              </w:tc>
              <w:tc>
                <w:tcPr>
                  <w:tcW w:w="1067" w:type="dxa"/>
                  <w:tcBorders>
                    <w:top w:val="single" w:sz="12"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7.20</w:t>
                  </w:r>
                </w:p>
              </w:tc>
              <w:tc>
                <w:tcPr>
                  <w:tcW w:w="1166" w:type="dxa"/>
                  <w:tcBorders>
                    <w:top w:val="single" w:sz="12"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1.96</w:t>
                  </w:r>
                  <w:r w:rsidRPr="005A1665">
                    <w:rPr>
                      <w:rStyle w:val="FootnoteReference"/>
                      <w:rFonts w:ascii="Times New Roman" w:hAnsi="Times New Roman" w:cs="Times New Roman"/>
                    </w:rPr>
                    <w:footnoteReference w:id="1"/>
                  </w:r>
                </w:p>
              </w:tc>
              <w:tc>
                <w:tcPr>
                  <w:tcW w:w="1206" w:type="dxa"/>
                  <w:tcBorders>
                    <w:top w:val="single" w:sz="12"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183.11</w:t>
                  </w:r>
                </w:p>
              </w:tc>
            </w:tr>
            <w:tr w:rsidR="009D10E9" w:rsidRPr="005A1665" w:rsidTr="00AE7E55">
              <w:trPr>
                <w:trHeight w:val="300"/>
              </w:trPr>
              <w:tc>
                <w:tcPr>
                  <w:tcW w:w="2630" w:type="dxa"/>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zemes dienests</w:t>
                  </w:r>
                </w:p>
              </w:tc>
              <w:tc>
                <w:tcPr>
                  <w:tcW w:w="1072"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127</w:t>
                  </w:r>
                </w:p>
              </w:tc>
              <w:tc>
                <w:tcPr>
                  <w:tcW w:w="1067"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12.55</w:t>
                  </w:r>
                </w:p>
              </w:tc>
              <w:tc>
                <w:tcPr>
                  <w:tcW w:w="116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1 593.85</w:t>
                  </w:r>
                </w:p>
              </w:tc>
            </w:tr>
            <w:tr w:rsidR="009D10E9" w:rsidRPr="005A1665" w:rsidTr="00AE7E55">
              <w:trPr>
                <w:trHeight w:val="300"/>
              </w:trPr>
              <w:tc>
                <w:tcPr>
                  <w:tcW w:w="2630" w:type="dxa"/>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robežsardze</w:t>
                  </w:r>
                </w:p>
              </w:tc>
              <w:tc>
                <w:tcPr>
                  <w:tcW w:w="1072"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177.6</w:t>
                  </w:r>
                </w:p>
              </w:tc>
              <w:tc>
                <w:tcPr>
                  <w:tcW w:w="1067"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6.50</w:t>
                  </w:r>
                </w:p>
              </w:tc>
              <w:tc>
                <w:tcPr>
                  <w:tcW w:w="116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1 154.40</w:t>
                  </w:r>
                </w:p>
              </w:tc>
            </w:tr>
            <w:tr w:rsidR="009D10E9" w:rsidRPr="005A1665" w:rsidTr="00AE7E55">
              <w:trPr>
                <w:trHeight w:val="300"/>
              </w:trPr>
              <w:tc>
                <w:tcPr>
                  <w:tcW w:w="2630" w:type="dxa"/>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Veselības inspekcija</w:t>
                  </w:r>
                </w:p>
              </w:tc>
              <w:tc>
                <w:tcPr>
                  <w:tcW w:w="1072"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498</w:t>
                  </w:r>
                </w:p>
              </w:tc>
              <w:tc>
                <w:tcPr>
                  <w:tcW w:w="1067"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6.92</w:t>
                  </w:r>
                </w:p>
              </w:tc>
              <w:tc>
                <w:tcPr>
                  <w:tcW w:w="116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3 446.16</w:t>
                  </w:r>
                </w:p>
              </w:tc>
            </w:tr>
            <w:tr w:rsidR="009D10E9" w:rsidRPr="005A1665" w:rsidTr="00AE7E55">
              <w:trPr>
                <w:trHeight w:val="300"/>
              </w:trPr>
              <w:tc>
                <w:tcPr>
                  <w:tcW w:w="2630" w:type="dxa"/>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lastRenderedPageBreak/>
                    <w:t>Valsts izglītības satura centrs</w:t>
                  </w:r>
                </w:p>
              </w:tc>
              <w:tc>
                <w:tcPr>
                  <w:tcW w:w="1072"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720</w:t>
                  </w:r>
                </w:p>
              </w:tc>
              <w:tc>
                <w:tcPr>
                  <w:tcW w:w="1067"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4.4375</w:t>
                  </w:r>
                </w:p>
              </w:tc>
              <w:tc>
                <w:tcPr>
                  <w:tcW w:w="116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3 195.00</w:t>
                  </w:r>
                </w:p>
              </w:tc>
            </w:tr>
            <w:tr w:rsidR="009D10E9" w:rsidRPr="005A1665" w:rsidTr="00AE7E55">
              <w:trPr>
                <w:trHeight w:val="300"/>
              </w:trPr>
              <w:tc>
                <w:tcPr>
                  <w:tcW w:w="2630" w:type="dxa"/>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Neatliekamās medicīniskās palīdzības dienests</w:t>
                  </w:r>
                </w:p>
              </w:tc>
              <w:tc>
                <w:tcPr>
                  <w:tcW w:w="1072"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2 815</w:t>
                  </w:r>
                </w:p>
              </w:tc>
              <w:tc>
                <w:tcPr>
                  <w:tcW w:w="1067"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5.70</w:t>
                  </w:r>
                </w:p>
              </w:tc>
              <w:tc>
                <w:tcPr>
                  <w:tcW w:w="116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16 045.50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ieņēmumu dienests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768</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6.</w:t>
                  </w:r>
                  <w:r w:rsidRPr="00935587">
                    <w:rPr>
                      <w:rFonts w:ascii="Times New Roman" w:hAnsi="Times New Roman" w:cs="Times New Roman"/>
                      <w:color w:val="000000"/>
                    </w:rPr>
                    <w:t>4176</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0</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Pr>
                      <w:rFonts w:ascii="Times New Roman" w:hAnsi="Times New Roman" w:cs="Times New Roman"/>
                    </w:rPr>
                    <w:t>4 928.</w:t>
                  </w:r>
                  <w:r w:rsidRPr="00935587">
                    <w:rPr>
                      <w:rFonts w:ascii="Times New Roman" w:hAnsi="Times New Roman" w:cs="Times New Roman"/>
                    </w:rPr>
                    <w:t>72</w:t>
                  </w:r>
                </w:p>
              </w:tc>
            </w:tr>
            <w:tr w:rsidR="009D10E9" w:rsidRPr="005A1665" w:rsidTr="00AE7E55">
              <w:trPr>
                <w:trHeight w:val="300"/>
              </w:trPr>
              <w:tc>
                <w:tcPr>
                  <w:tcW w:w="2630" w:type="dxa"/>
                  <w:tcBorders>
                    <w:bottom w:val="single" w:sz="4" w:space="0" w:color="auto"/>
                  </w:tcBorders>
                  <w:vAlign w:val="bottom"/>
                  <w:hideMark/>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Izglītības un zinātnes ministrija</w:t>
                  </w:r>
                </w:p>
              </w:tc>
              <w:tc>
                <w:tcPr>
                  <w:tcW w:w="1072" w:type="dxa"/>
                  <w:tcBorders>
                    <w:bottom w:val="single" w:sz="4"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3 520</w:t>
                  </w:r>
                </w:p>
              </w:tc>
              <w:tc>
                <w:tcPr>
                  <w:tcW w:w="1067" w:type="dxa"/>
                  <w:tcBorders>
                    <w:bottom w:val="single" w:sz="4"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4.4375</w:t>
                  </w:r>
                </w:p>
              </w:tc>
              <w:tc>
                <w:tcPr>
                  <w:tcW w:w="1166" w:type="dxa"/>
                  <w:tcBorders>
                    <w:bottom w:val="single" w:sz="4"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w:t>
                  </w:r>
                </w:p>
              </w:tc>
              <w:tc>
                <w:tcPr>
                  <w:tcW w:w="1206" w:type="dxa"/>
                  <w:tcBorders>
                    <w:bottom w:val="single" w:sz="4" w:space="0" w:color="auto"/>
                  </w:tcBorders>
                  <w:noWrap/>
                  <w:vAlign w:val="bottom"/>
                  <w:hideMark/>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15 620.00</w:t>
                  </w:r>
                </w:p>
              </w:tc>
            </w:tr>
            <w:tr w:rsidR="009D10E9" w:rsidRPr="005A1665" w:rsidTr="00AE7E55">
              <w:trPr>
                <w:trHeight w:val="300"/>
              </w:trPr>
              <w:tc>
                <w:tcPr>
                  <w:tcW w:w="2630" w:type="dxa"/>
                  <w:tcBorders>
                    <w:top w:val="single" w:sz="4" w:space="0" w:color="auto"/>
                    <w:bottom w:val="single" w:sz="4" w:space="0" w:color="auto"/>
                  </w:tcBorders>
                </w:tcPr>
                <w:p w:rsidR="009D10E9" w:rsidRPr="00114F2F" w:rsidRDefault="009D10E9" w:rsidP="0040530D">
                  <w:pPr>
                    <w:framePr w:hSpace="180" w:wrap="around" w:vAnchor="text" w:hAnchor="margin" w:xAlign="center" w:y="711"/>
                    <w:suppressOverlap/>
                    <w:rPr>
                      <w:rFonts w:ascii="Times New Roman" w:hAnsi="Times New Roman" w:cs="Times New Roman"/>
                      <w:color w:val="000000"/>
                    </w:rPr>
                  </w:pPr>
                  <w:r w:rsidRPr="00114F2F">
                    <w:rPr>
                      <w:rFonts w:ascii="Times New Roman" w:hAnsi="Times New Roman" w:cs="Times New Roman"/>
                      <w:color w:val="000000"/>
                    </w:rPr>
                    <w:t>Iekšlietu ministrijas Informācijas centrs</w:t>
                  </w:r>
                </w:p>
              </w:tc>
              <w:tc>
                <w:tcPr>
                  <w:tcW w:w="1072"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4.66</w:t>
                  </w:r>
                </w:p>
              </w:tc>
              <w:tc>
                <w:tcPr>
                  <w:tcW w:w="1067"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4.17</w:t>
                  </w:r>
                </w:p>
              </w:tc>
              <w:tc>
                <w:tcPr>
                  <w:tcW w:w="1166"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3.69</w:t>
                  </w:r>
                  <w:r>
                    <w:rPr>
                      <w:rStyle w:val="FootnoteReference"/>
                      <w:rFonts w:ascii="Times New Roman" w:hAnsi="Times New Roman" w:cs="Times New Roman"/>
                      <w:color w:val="000000"/>
                    </w:rPr>
                    <w:footnoteReference w:id="2"/>
                  </w:r>
                </w:p>
              </w:tc>
              <w:tc>
                <w:tcPr>
                  <w:tcW w:w="1206"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Pr>
                      <w:rFonts w:ascii="Times New Roman" w:hAnsi="Times New Roman" w:cs="Times New Roman"/>
                    </w:rPr>
                    <w:t>23.12</w:t>
                  </w:r>
                </w:p>
              </w:tc>
            </w:tr>
            <w:tr w:rsidR="009D10E9" w:rsidRPr="005A1665" w:rsidTr="00AE7E55">
              <w:trPr>
                <w:trHeight w:val="300"/>
              </w:trPr>
              <w:tc>
                <w:tcPr>
                  <w:tcW w:w="2630" w:type="dxa"/>
                  <w:tcBorders>
                    <w:top w:val="single" w:sz="4" w:space="0" w:color="auto"/>
                    <w:bottom w:val="single" w:sz="12" w:space="0" w:color="auto"/>
                  </w:tcBorders>
                </w:tcPr>
                <w:p w:rsidR="009D10E9" w:rsidRPr="00114F2F" w:rsidRDefault="009D10E9" w:rsidP="0040530D">
                  <w:pPr>
                    <w:framePr w:hSpace="180" w:wrap="around" w:vAnchor="text" w:hAnchor="margin" w:xAlign="center" w:y="711"/>
                    <w:suppressOverlap/>
                    <w:rPr>
                      <w:rFonts w:ascii="Times New Roman" w:hAnsi="Times New Roman" w:cs="Times New Roman"/>
                      <w:color w:val="000000"/>
                    </w:rPr>
                  </w:pPr>
                  <w:r>
                    <w:rPr>
                      <w:rFonts w:ascii="Times New Roman" w:hAnsi="Times New Roman" w:cs="Times New Roman"/>
                      <w:color w:val="000000"/>
                    </w:rPr>
                    <w:t>Tiesībsargājošās institūcijas</w:t>
                  </w:r>
                </w:p>
              </w:tc>
              <w:tc>
                <w:tcPr>
                  <w:tcW w:w="1072" w:type="dxa"/>
                  <w:tcBorders>
                    <w:top w:val="single" w:sz="4" w:space="0" w:color="auto"/>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16 500</w:t>
                  </w:r>
                  <w:r>
                    <w:rPr>
                      <w:rStyle w:val="FootnoteReference"/>
                      <w:rFonts w:ascii="Times New Roman" w:hAnsi="Times New Roman" w:cs="Times New Roman"/>
                      <w:color w:val="000000"/>
                    </w:rPr>
                    <w:footnoteReference w:id="3"/>
                  </w:r>
                </w:p>
              </w:tc>
              <w:tc>
                <w:tcPr>
                  <w:tcW w:w="1067" w:type="dxa"/>
                  <w:tcBorders>
                    <w:top w:val="single" w:sz="4" w:space="0" w:color="auto"/>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6.74</w:t>
                  </w:r>
                </w:p>
              </w:tc>
              <w:tc>
                <w:tcPr>
                  <w:tcW w:w="1166" w:type="dxa"/>
                  <w:tcBorders>
                    <w:top w:val="single" w:sz="4" w:space="0" w:color="auto"/>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Pr>
                      <w:rFonts w:ascii="Times New Roman" w:hAnsi="Times New Roman" w:cs="Times New Roman"/>
                      <w:color w:val="000000"/>
                    </w:rPr>
                    <w:t>0</w:t>
                  </w:r>
                </w:p>
              </w:tc>
              <w:tc>
                <w:tcPr>
                  <w:tcW w:w="1206" w:type="dxa"/>
                  <w:tcBorders>
                    <w:top w:val="single" w:sz="4" w:space="0" w:color="auto"/>
                    <w:bottom w:val="single" w:sz="12" w:space="0" w:color="auto"/>
                  </w:tcBorders>
                  <w:noWrap/>
                  <w:vAlign w:val="bottom"/>
                </w:tcPr>
                <w:p w:rsidR="009D10E9" w:rsidRDefault="009D10E9" w:rsidP="0040530D">
                  <w:pPr>
                    <w:framePr w:hSpace="180" w:wrap="around" w:vAnchor="text" w:hAnchor="margin" w:xAlign="center" w:y="711"/>
                    <w:suppressOverlap/>
                    <w:jc w:val="right"/>
                    <w:rPr>
                      <w:rFonts w:ascii="Times New Roman" w:hAnsi="Times New Roman" w:cs="Times New Roman"/>
                    </w:rPr>
                  </w:pPr>
                  <w:r>
                    <w:rPr>
                      <w:rFonts w:ascii="Times New Roman" w:hAnsi="Times New Roman" w:cs="Times New Roman"/>
                    </w:rPr>
                    <w:t>111 210.00</w:t>
                  </w:r>
                </w:p>
              </w:tc>
            </w:tr>
            <w:tr w:rsidR="009D10E9" w:rsidRPr="005A1665" w:rsidTr="00AE7E55">
              <w:trPr>
                <w:trHeight w:val="300"/>
              </w:trPr>
              <w:tc>
                <w:tcPr>
                  <w:tcW w:w="2630" w:type="dxa"/>
                  <w:vMerge w:val="restart"/>
                  <w:tcBorders>
                    <w:top w:val="single" w:sz="12"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Slimību profilakses un kontroles centrs</w:t>
                  </w:r>
                </w:p>
              </w:tc>
              <w:tc>
                <w:tcPr>
                  <w:tcW w:w="1072"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10 404</w:t>
                  </w:r>
                </w:p>
              </w:tc>
              <w:tc>
                <w:tcPr>
                  <w:tcW w:w="1067"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5.50</w:t>
                  </w:r>
                </w:p>
              </w:tc>
              <w:tc>
                <w:tcPr>
                  <w:tcW w:w="1166"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34 625.00</w:t>
                  </w:r>
                  <w:bookmarkStart w:id="0" w:name="_Ref401221449"/>
                  <w:r w:rsidRPr="005A1665">
                    <w:rPr>
                      <w:rStyle w:val="FootnoteReference"/>
                      <w:rFonts w:ascii="Times New Roman" w:hAnsi="Times New Roman" w:cs="Times New Roman"/>
                      <w:color w:val="000000"/>
                    </w:rPr>
                    <w:footnoteReference w:id="4"/>
                  </w:r>
                  <w:bookmarkEnd w:id="0"/>
                </w:p>
              </w:tc>
              <w:tc>
                <w:tcPr>
                  <w:tcW w:w="1206"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91 847.00</w:t>
                  </w:r>
                </w:p>
              </w:tc>
            </w:tr>
            <w:tr w:rsidR="009D10E9" w:rsidRPr="005A1665" w:rsidTr="00AE7E55">
              <w:trPr>
                <w:trHeight w:val="300"/>
              </w:trPr>
              <w:tc>
                <w:tcPr>
                  <w:tcW w:w="2630" w:type="dxa"/>
                  <w:vMerge/>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3 226</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4.33</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0 </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13 968.58</w:t>
                  </w:r>
                </w:p>
              </w:tc>
            </w:tr>
            <w:tr w:rsidR="009D10E9" w:rsidRPr="005A1665" w:rsidTr="00AE7E55">
              <w:trPr>
                <w:trHeight w:val="300"/>
              </w:trPr>
              <w:tc>
                <w:tcPr>
                  <w:tcW w:w="2630" w:type="dxa"/>
                  <w:vMerge/>
                  <w:tcBorders>
                    <w:bottom w:val="single" w:sz="12"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067" w:type="dxa"/>
                  <w:tcBorders>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166" w:type="dxa"/>
                  <w:tcBorders>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206" w:type="dxa"/>
                  <w:tcBorders>
                    <w:bottom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105 815.58</w:t>
                  </w:r>
                </w:p>
              </w:tc>
            </w:tr>
            <w:tr w:rsidR="009D10E9" w:rsidRPr="005A1665" w:rsidTr="00AE7E55">
              <w:trPr>
                <w:trHeight w:val="300"/>
              </w:trPr>
              <w:tc>
                <w:tcPr>
                  <w:tcW w:w="2630" w:type="dxa"/>
                  <w:vMerge w:val="restart"/>
                  <w:tcBorders>
                    <w:top w:val="single" w:sz="12" w:space="0" w:color="auto"/>
                    <w:left w:val="single" w:sz="2" w:space="0" w:color="auto"/>
                    <w:bottom w:val="single" w:sz="2" w:space="0" w:color="auto"/>
                    <w:right w:val="single" w:sz="2"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Ģenerālprokuratūra</w:t>
                  </w:r>
                </w:p>
              </w:tc>
              <w:tc>
                <w:tcPr>
                  <w:tcW w:w="1072" w:type="dxa"/>
                  <w:tcBorders>
                    <w:top w:val="single" w:sz="1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1 152</w:t>
                  </w:r>
                </w:p>
              </w:tc>
              <w:tc>
                <w:tcPr>
                  <w:tcW w:w="1067" w:type="dxa"/>
                  <w:tcBorders>
                    <w:top w:val="single" w:sz="1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14.27</w:t>
                  </w:r>
                </w:p>
              </w:tc>
              <w:tc>
                <w:tcPr>
                  <w:tcW w:w="1166" w:type="dxa"/>
                  <w:tcBorders>
                    <w:top w:val="single" w:sz="1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0</w:t>
                  </w:r>
                </w:p>
              </w:tc>
              <w:tc>
                <w:tcPr>
                  <w:tcW w:w="1206" w:type="dxa"/>
                  <w:tcBorders>
                    <w:top w:val="single" w:sz="1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16 439.04</w:t>
                  </w:r>
                </w:p>
              </w:tc>
            </w:tr>
            <w:tr w:rsidR="009D10E9" w:rsidRPr="005A1665" w:rsidTr="00AE7E55">
              <w:trPr>
                <w:trHeight w:val="300"/>
              </w:trPr>
              <w:tc>
                <w:tcPr>
                  <w:tcW w:w="2630" w:type="dxa"/>
                  <w:vMerge/>
                  <w:tcBorders>
                    <w:top w:val="single" w:sz="2" w:space="0" w:color="auto"/>
                    <w:left w:val="single" w:sz="2" w:space="0" w:color="auto"/>
                    <w:bottom w:val="single" w:sz="2" w:space="0" w:color="auto"/>
                    <w:right w:val="single" w:sz="2"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top w:val="single" w:sz="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80</w:t>
                  </w:r>
                </w:p>
              </w:tc>
              <w:tc>
                <w:tcPr>
                  <w:tcW w:w="1067" w:type="dxa"/>
                  <w:tcBorders>
                    <w:top w:val="single" w:sz="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14.47</w:t>
                  </w:r>
                </w:p>
              </w:tc>
              <w:tc>
                <w:tcPr>
                  <w:tcW w:w="1166" w:type="dxa"/>
                  <w:tcBorders>
                    <w:top w:val="single" w:sz="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0</w:t>
                  </w:r>
                </w:p>
              </w:tc>
              <w:tc>
                <w:tcPr>
                  <w:tcW w:w="1206" w:type="dxa"/>
                  <w:tcBorders>
                    <w:top w:val="single" w:sz="2" w:space="0" w:color="auto"/>
                    <w:left w:val="single" w:sz="2" w:space="0" w:color="auto"/>
                    <w:bottom w:val="single" w:sz="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1 157.60</w:t>
                  </w:r>
                </w:p>
              </w:tc>
            </w:tr>
            <w:tr w:rsidR="009D10E9" w:rsidRPr="005A1665" w:rsidTr="00AE7E55">
              <w:trPr>
                <w:trHeight w:val="300"/>
              </w:trPr>
              <w:tc>
                <w:tcPr>
                  <w:tcW w:w="2630" w:type="dxa"/>
                  <w:vMerge/>
                  <w:tcBorders>
                    <w:top w:val="single" w:sz="2" w:space="0" w:color="auto"/>
                    <w:left w:val="single" w:sz="2" w:space="0" w:color="auto"/>
                    <w:bottom w:val="single" w:sz="12" w:space="0" w:color="auto"/>
                    <w:right w:val="single" w:sz="2"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top w:val="single" w:sz="2" w:space="0" w:color="auto"/>
                    <w:left w:val="single" w:sz="2" w:space="0" w:color="auto"/>
                    <w:bottom w:val="single" w:sz="1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067" w:type="dxa"/>
                  <w:tcBorders>
                    <w:top w:val="single" w:sz="2" w:space="0" w:color="auto"/>
                    <w:left w:val="single" w:sz="2" w:space="0" w:color="auto"/>
                    <w:bottom w:val="single" w:sz="1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166" w:type="dxa"/>
                  <w:tcBorders>
                    <w:top w:val="single" w:sz="2" w:space="0" w:color="auto"/>
                    <w:left w:val="single" w:sz="2" w:space="0" w:color="auto"/>
                    <w:bottom w:val="single" w:sz="1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p>
              </w:tc>
              <w:tc>
                <w:tcPr>
                  <w:tcW w:w="1206" w:type="dxa"/>
                  <w:tcBorders>
                    <w:top w:val="single" w:sz="2" w:space="0" w:color="auto"/>
                    <w:left w:val="single" w:sz="2" w:space="0" w:color="auto"/>
                    <w:bottom w:val="single" w:sz="12" w:space="0" w:color="auto"/>
                    <w:right w:val="single" w:sz="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17 596.64</w:t>
                  </w:r>
                </w:p>
              </w:tc>
            </w:tr>
            <w:tr w:rsidR="009D10E9" w:rsidRPr="005A1665" w:rsidTr="00AE7E55">
              <w:trPr>
                <w:trHeight w:val="300"/>
              </w:trPr>
              <w:tc>
                <w:tcPr>
                  <w:tcW w:w="2630" w:type="dxa"/>
                  <w:vMerge w:val="restart"/>
                  <w:tcBorders>
                    <w:top w:val="single" w:sz="4" w:space="0" w:color="auto"/>
                    <w:left w:val="single" w:sz="4" w:space="0" w:color="auto"/>
                    <w:right w:val="single" w:sz="4" w:space="0" w:color="auto"/>
                  </w:tcBorders>
                  <w:vAlign w:val="center"/>
                </w:tcPr>
                <w:p w:rsidR="009D10E9" w:rsidRPr="005A1665" w:rsidRDefault="009D10E9" w:rsidP="0040530D">
                  <w:pPr>
                    <w:framePr w:hSpace="180" w:wrap="around" w:vAnchor="text" w:hAnchor="margin" w:xAlign="center" w:y="711"/>
                    <w:suppressOverlap/>
                    <w:rPr>
                      <w:rFonts w:ascii="Times New Roman" w:hAnsi="Times New Roman" w:cs="Times New Roman"/>
                    </w:rPr>
                  </w:pPr>
                  <w:r>
                    <w:rPr>
                      <w:rFonts w:ascii="Times New Roman" w:hAnsi="Times New Roman" w:cs="Times New Roman"/>
                    </w:rPr>
                    <w:t>Pilsonības un migrācijas lietu pārvalde</w:t>
                  </w:r>
                </w:p>
              </w:tc>
              <w:tc>
                <w:tcPr>
                  <w:tcW w:w="1072"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48</w:t>
                  </w:r>
                </w:p>
              </w:tc>
              <w:tc>
                <w:tcPr>
                  <w:tcW w:w="1067"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7.68</w:t>
                  </w:r>
                </w:p>
              </w:tc>
              <w:tc>
                <w:tcPr>
                  <w:tcW w:w="116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9 507</w:t>
                  </w:r>
                  <w:r w:rsidRPr="00CA7267">
                    <w:rPr>
                      <w:rFonts w:ascii="Times New Roman" w:hAnsi="Times New Roman" w:cs="Times New Roman"/>
                      <w:color w:val="000000"/>
                    </w:rPr>
                    <w:fldChar w:fldCharType="begin"/>
                  </w:r>
                  <w:r w:rsidRPr="00CA7267">
                    <w:rPr>
                      <w:rFonts w:ascii="Times New Roman" w:hAnsi="Times New Roman" w:cs="Times New Roman"/>
                      <w:color w:val="000000"/>
                    </w:rPr>
                    <w:instrText xml:space="preserve"> NOTEREF _Ref401221449 \h \f</w:instrText>
                  </w:r>
                  <w:r>
                    <w:rPr>
                      <w:rFonts w:ascii="Times New Roman" w:hAnsi="Times New Roman" w:cs="Times New Roman"/>
                      <w:color w:val="000000"/>
                    </w:rPr>
                    <w:instrText xml:space="preserve"> \* MERGEFORMAT </w:instrText>
                  </w:r>
                  <w:r w:rsidRPr="00CA7267">
                    <w:rPr>
                      <w:rFonts w:ascii="Times New Roman" w:hAnsi="Times New Roman" w:cs="Times New Roman"/>
                      <w:color w:val="000000"/>
                    </w:rPr>
                  </w:r>
                  <w:r w:rsidRPr="00CA7267">
                    <w:rPr>
                      <w:rFonts w:ascii="Times New Roman" w:hAnsi="Times New Roman" w:cs="Times New Roman"/>
                      <w:color w:val="000000"/>
                    </w:rPr>
                    <w:fldChar w:fldCharType="separate"/>
                  </w:r>
                  <w:r w:rsidRPr="00CA7267">
                    <w:rPr>
                      <w:rStyle w:val="FootnoteReference"/>
                      <w:rFonts w:ascii="Times New Roman" w:hAnsi="Times New Roman" w:cs="Times New Roman"/>
                    </w:rPr>
                    <w:t>4</w:t>
                  </w:r>
                  <w:r w:rsidRPr="00CA7267">
                    <w:rPr>
                      <w:rFonts w:ascii="Times New Roman" w:hAnsi="Times New Roman" w:cs="Times New Roman"/>
                      <w:color w:val="000000"/>
                    </w:rPr>
                    <w:fldChar w:fldCharType="end"/>
                  </w:r>
                </w:p>
              </w:tc>
              <w:tc>
                <w:tcPr>
                  <w:tcW w:w="120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9 875.64</w:t>
                  </w:r>
                </w:p>
              </w:tc>
            </w:tr>
            <w:tr w:rsidR="009D10E9" w:rsidRPr="005A1665" w:rsidTr="00AE7E55">
              <w:trPr>
                <w:trHeight w:val="300"/>
              </w:trPr>
              <w:tc>
                <w:tcPr>
                  <w:tcW w:w="2630" w:type="dxa"/>
                  <w:vMerge/>
                  <w:tcBorders>
                    <w:left w:val="single" w:sz="4" w:space="0" w:color="auto"/>
                    <w:right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4</w:t>
                  </w:r>
                </w:p>
              </w:tc>
              <w:tc>
                <w:tcPr>
                  <w:tcW w:w="1067"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5.60</w:t>
                  </w:r>
                </w:p>
              </w:tc>
              <w:tc>
                <w:tcPr>
                  <w:tcW w:w="116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0</w:t>
                  </w:r>
                </w:p>
              </w:tc>
              <w:tc>
                <w:tcPr>
                  <w:tcW w:w="120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22.40</w:t>
                  </w:r>
                </w:p>
              </w:tc>
            </w:tr>
            <w:tr w:rsidR="009D10E9" w:rsidRPr="005A1665" w:rsidTr="00AE7E55">
              <w:trPr>
                <w:trHeight w:val="300"/>
              </w:trPr>
              <w:tc>
                <w:tcPr>
                  <w:tcW w:w="2630" w:type="dxa"/>
                  <w:vMerge/>
                  <w:tcBorders>
                    <w:left w:val="single" w:sz="4" w:space="0" w:color="auto"/>
                    <w:right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tcBorders>
                    <w:top w:val="single" w:sz="4"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14 742.00</w:t>
                  </w:r>
                  <w:r w:rsidRPr="00CA7267">
                    <w:rPr>
                      <w:rStyle w:val="FootnoteReference"/>
                      <w:rFonts w:ascii="Times New Roman" w:hAnsi="Times New Roman" w:cs="Times New Roman"/>
                      <w:color w:val="000000"/>
                    </w:rPr>
                    <w:footnoteReference w:id="5"/>
                  </w:r>
                </w:p>
              </w:tc>
            </w:tr>
            <w:tr w:rsidR="009D10E9" w:rsidRPr="005A1665" w:rsidTr="00AE7E55">
              <w:trPr>
                <w:trHeight w:val="300"/>
              </w:trPr>
              <w:tc>
                <w:tcPr>
                  <w:tcW w:w="2630" w:type="dxa"/>
                  <w:vMerge/>
                  <w:tcBorders>
                    <w:left w:val="single" w:sz="4" w:space="0" w:color="auto"/>
                    <w:bottom w:val="single" w:sz="12" w:space="0" w:color="auto"/>
                    <w:right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p>
              </w:tc>
              <w:tc>
                <w:tcPr>
                  <w:tcW w:w="1072" w:type="dxa"/>
                  <w:tcBorders>
                    <w:top w:val="single" w:sz="4" w:space="0" w:color="auto"/>
                    <w:left w:val="single" w:sz="4" w:space="0" w:color="auto"/>
                    <w:bottom w:val="single" w:sz="12"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p>
              </w:tc>
              <w:tc>
                <w:tcPr>
                  <w:tcW w:w="1067" w:type="dxa"/>
                  <w:tcBorders>
                    <w:top w:val="single" w:sz="4" w:space="0" w:color="auto"/>
                    <w:left w:val="single" w:sz="4" w:space="0" w:color="auto"/>
                    <w:bottom w:val="single" w:sz="12"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p>
              </w:tc>
              <w:tc>
                <w:tcPr>
                  <w:tcW w:w="1166" w:type="dxa"/>
                  <w:tcBorders>
                    <w:top w:val="single" w:sz="4" w:space="0" w:color="auto"/>
                    <w:left w:val="single" w:sz="4" w:space="0" w:color="auto"/>
                    <w:bottom w:val="single" w:sz="12"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p>
              </w:tc>
              <w:tc>
                <w:tcPr>
                  <w:tcW w:w="1206" w:type="dxa"/>
                  <w:tcBorders>
                    <w:top w:val="single" w:sz="4" w:space="0" w:color="auto"/>
                    <w:left w:val="single" w:sz="4" w:space="0" w:color="auto"/>
                    <w:bottom w:val="single" w:sz="12"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24 640.04</w:t>
                  </w:r>
                </w:p>
              </w:tc>
            </w:tr>
            <w:tr w:rsidR="009D10E9" w:rsidRPr="005A1665" w:rsidTr="00AE7E55">
              <w:trPr>
                <w:trHeight w:val="300"/>
              </w:trPr>
              <w:tc>
                <w:tcPr>
                  <w:tcW w:w="2630" w:type="dxa"/>
                  <w:tcBorders>
                    <w:top w:val="single" w:sz="12" w:space="0" w:color="auto"/>
                    <w:left w:val="single" w:sz="4" w:space="0" w:color="auto"/>
                    <w:bottom w:val="single" w:sz="4" w:space="0" w:color="auto"/>
                    <w:right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reģionālās attīstības aģentūra</w:t>
                  </w:r>
                </w:p>
              </w:tc>
              <w:tc>
                <w:tcPr>
                  <w:tcW w:w="1072" w:type="dxa"/>
                  <w:tcBorders>
                    <w:top w:val="single" w:sz="12"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tcBorders>
                    <w:top w:val="single" w:sz="12"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tcBorders>
                    <w:top w:val="single" w:sz="12"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tcBorders>
                    <w:top w:val="single" w:sz="12" w:space="0" w:color="auto"/>
                    <w:left w:val="single" w:sz="4" w:space="0" w:color="auto"/>
                    <w:bottom w:val="single" w:sz="4" w:space="0" w:color="auto"/>
                    <w:right w:val="single" w:sz="4"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rPr>
                  </w:pPr>
                  <w:r w:rsidRPr="00CA7267">
                    <w:rPr>
                      <w:rFonts w:ascii="Times New Roman" w:hAnsi="Times New Roman" w:cs="Times New Roman"/>
                      <w:color w:val="000000"/>
                    </w:rPr>
                    <w:t>1 130.34</w:t>
                  </w:r>
                </w:p>
              </w:tc>
            </w:tr>
            <w:tr w:rsidR="009D10E9" w:rsidRPr="005A1665" w:rsidTr="00AE7E55">
              <w:trPr>
                <w:trHeight w:val="300"/>
              </w:trPr>
              <w:tc>
                <w:tcPr>
                  <w:tcW w:w="2630" w:type="dxa"/>
                  <w:tcBorders>
                    <w:top w:val="single" w:sz="4" w:space="0" w:color="auto"/>
                    <w:left w:val="single" w:sz="2" w:space="0" w:color="auto"/>
                    <w:bottom w:val="single" w:sz="2" w:space="0" w:color="auto"/>
                    <w:right w:val="single" w:sz="2"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Labklājības ministrija</w:t>
                  </w:r>
                </w:p>
              </w:tc>
              <w:tc>
                <w:tcPr>
                  <w:tcW w:w="1072" w:type="dxa"/>
                  <w:tcBorders>
                    <w:top w:val="single" w:sz="4" w:space="0" w:color="auto"/>
                    <w:left w:val="single" w:sz="2" w:space="0" w:color="auto"/>
                    <w:bottom w:val="single" w:sz="2" w:space="0" w:color="auto"/>
                    <w:right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tcBorders>
                    <w:top w:val="single" w:sz="4" w:space="0" w:color="auto"/>
                    <w:left w:val="single" w:sz="2" w:space="0" w:color="auto"/>
                    <w:bottom w:val="single" w:sz="2" w:space="0" w:color="auto"/>
                    <w:right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tcBorders>
                    <w:top w:val="single" w:sz="4" w:space="0" w:color="auto"/>
                    <w:left w:val="single" w:sz="2" w:space="0" w:color="auto"/>
                    <w:bottom w:val="single" w:sz="2" w:space="0" w:color="auto"/>
                    <w:right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tcBorders>
                    <w:top w:val="single" w:sz="4" w:space="0" w:color="auto"/>
                    <w:left w:val="single" w:sz="2" w:space="0" w:color="auto"/>
                    <w:bottom w:val="single" w:sz="2" w:space="0" w:color="auto"/>
                    <w:right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rPr>
                  </w:pPr>
                  <w:r w:rsidRPr="00CA7267">
                    <w:rPr>
                      <w:rFonts w:ascii="Times New Roman" w:hAnsi="Times New Roman" w:cs="Times New Roman"/>
                    </w:rPr>
                    <w:t>5 791.00</w:t>
                  </w:r>
                </w:p>
              </w:tc>
            </w:tr>
            <w:tr w:rsidR="009D10E9" w:rsidRPr="005A1665" w:rsidTr="00AE7E55">
              <w:trPr>
                <w:trHeight w:val="300"/>
              </w:trPr>
              <w:tc>
                <w:tcPr>
                  <w:tcW w:w="2630" w:type="dxa"/>
                  <w:tcBorders>
                    <w:top w:val="single" w:sz="2"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sociālās apdrošināšanas aģentūra</w:t>
                  </w:r>
                </w:p>
              </w:tc>
              <w:tc>
                <w:tcPr>
                  <w:tcW w:w="1072" w:type="dxa"/>
                  <w:tcBorders>
                    <w:top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tcBorders>
                    <w:top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tcBorders>
                    <w:top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tcBorders>
                    <w:top w:val="single" w:sz="2" w:space="0" w:color="auto"/>
                  </w:tcBorders>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rPr>
                  </w:pPr>
                  <w:r w:rsidRPr="00CA7267">
                    <w:rPr>
                      <w:rFonts w:ascii="Times New Roman" w:hAnsi="Times New Roman" w:cs="Times New Roman"/>
                    </w:rPr>
                    <w:t>187 088.00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Nodarbinātības valsts aģentūra</w:t>
                  </w:r>
                </w:p>
              </w:tc>
              <w:tc>
                <w:tcPr>
                  <w:tcW w:w="1072"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rPr>
                  </w:pPr>
                  <w:r w:rsidRPr="00CA7267">
                    <w:rPr>
                      <w:rFonts w:ascii="Times New Roman" w:hAnsi="Times New Roman" w:cs="Times New Roman"/>
                    </w:rPr>
                    <w:t>15 612.00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bērnu tiesību aizsardzības inspekcija</w:t>
                  </w:r>
                </w:p>
              </w:tc>
              <w:tc>
                <w:tcPr>
                  <w:tcW w:w="1072"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067"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 –</w:t>
                  </w:r>
                </w:p>
              </w:tc>
              <w:tc>
                <w:tcPr>
                  <w:tcW w:w="1166"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color w:val="000000"/>
                    </w:rPr>
                  </w:pPr>
                  <w:r w:rsidRPr="00CA7267">
                    <w:rPr>
                      <w:rFonts w:ascii="Times New Roman" w:hAnsi="Times New Roman" w:cs="Times New Roman"/>
                      <w:color w:val="000000"/>
                    </w:rPr>
                    <w:t>–</w:t>
                  </w:r>
                </w:p>
              </w:tc>
              <w:tc>
                <w:tcPr>
                  <w:tcW w:w="1206" w:type="dxa"/>
                  <w:noWrap/>
                  <w:vAlign w:val="bottom"/>
                </w:tcPr>
                <w:p w:rsidR="009D10E9" w:rsidRPr="00CA7267" w:rsidRDefault="009D10E9" w:rsidP="0040530D">
                  <w:pPr>
                    <w:framePr w:hSpace="180" w:wrap="around" w:vAnchor="text" w:hAnchor="margin" w:xAlign="center" w:y="711"/>
                    <w:suppressOverlap/>
                    <w:jc w:val="right"/>
                    <w:rPr>
                      <w:rFonts w:ascii="Times New Roman" w:hAnsi="Times New Roman" w:cs="Times New Roman"/>
                    </w:rPr>
                  </w:pPr>
                  <w:r w:rsidRPr="00CA7267">
                    <w:rPr>
                      <w:rFonts w:ascii="Times New Roman" w:hAnsi="Times New Roman" w:cs="Times New Roman"/>
                    </w:rPr>
                    <w:t>628.00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darba inspekcija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3 929.00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Veselības un darbspēju ekspertīzes ārstu valsts komisija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954.00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Satiksmes ministrija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1 751.68</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sabiedrība ar ierobežotu atbildību „Autotransporta direkcija”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3 188.16</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akciju sabiedrība „Ceļu satiksmes drošības direkcija”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7 000.00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Nacionālais veselības dienests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32 960.00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lastRenderedPageBreak/>
                    <w:t>Zāļu valsts aģentūra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51 000.00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Finanšu kapitāla un tirgus komisija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130 000.00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 xml:space="preserve">Valsts vides dienesta Radiācijas drošības centrs </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300.00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 xml:space="preserve">Latvijas Valsts agrārās ekonomikas institūts </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200 470.00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Latvijas Valsts mežzinātnes institūts "Silava"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20.00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Lauksaimniecības datu centrs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2 336.40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Sabiedrība ar ierobežotu atbildību „Latvijas Lauku konsultāciju un izglītības centrs”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34 481.73</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Valsts meža dienests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554.00</w:t>
                  </w:r>
                </w:p>
              </w:tc>
            </w:tr>
            <w:tr w:rsidR="009D10E9" w:rsidRPr="005A1665" w:rsidTr="00AE7E55">
              <w:trPr>
                <w:trHeight w:val="300"/>
              </w:trPr>
              <w:tc>
                <w:tcPr>
                  <w:tcW w:w="2630" w:type="dxa"/>
                  <w:tcBorders>
                    <w:bottom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Zemkopības ministrija</w:t>
                  </w:r>
                </w:p>
              </w:tc>
              <w:tc>
                <w:tcPr>
                  <w:tcW w:w="1072" w:type="dxa"/>
                  <w:tcBorders>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tcBorders>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tcBorders>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723.00</w:t>
                  </w:r>
                </w:p>
              </w:tc>
            </w:tr>
            <w:tr w:rsidR="009D10E9" w:rsidRPr="005A1665" w:rsidTr="00AE7E55">
              <w:trPr>
                <w:trHeight w:val="300"/>
              </w:trPr>
              <w:tc>
                <w:tcPr>
                  <w:tcW w:w="2630" w:type="dxa"/>
                  <w:tcBorders>
                    <w:top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Kultūras ministrija</w:t>
                  </w:r>
                </w:p>
              </w:tc>
              <w:tc>
                <w:tcPr>
                  <w:tcW w:w="1072"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37</w:t>
                  </w:r>
                  <w:r>
                    <w:rPr>
                      <w:rFonts w:ascii="Times New Roman" w:hAnsi="Times New Roman" w:cs="Times New Roman"/>
                    </w:rPr>
                    <w:t> </w:t>
                  </w:r>
                  <w:r w:rsidRPr="005A1665">
                    <w:rPr>
                      <w:rFonts w:ascii="Times New Roman" w:hAnsi="Times New Roman" w:cs="Times New Roman"/>
                    </w:rPr>
                    <w:t>178</w:t>
                  </w:r>
                  <w:r>
                    <w:rPr>
                      <w:rFonts w:ascii="Times New Roman" w:hAnsi="Times New Roman" w:cs="Times New Roman"/>
                    </w:rPr>
                    <w:t>.00</w:t>
                  </w:r>
                </w:p>
              </w:tc>
            </w:tr>
            <w:tr w:rsidR="009D10E9" w:rsidRPr="005A1665" w:rsidTr="00AE7E55">
              <w:trPr>
                <w:trHeight w:val="300"/>
              </w:trPr>
              <w:tc>
                <w:tcPr>
                  <w:tcW w:w="2630" w:type="dxa"/>
                  <w:tcBorders>
                    <w:top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Latvijas Nacionālā bibliotēka</w:t>
                  </w:r>
                </w:p>
              </w:tc>
              <w:tc>
                <w:tcPr>
                  <w:tcW w:w="1072"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19</w:t>
                  </w:r>
                  <w:r>
                    <w:rPr>
                      <w:rFonts w:ascii="Times New Roman" w:hAnsi="Times New Roman" w:cs="Times New Roman"/>
                    </w:rPr>
                    <w:t> </w:t>
                  </w:r>
                  <w:r w:rsidRPr="005A1665">
                    <w:rPr>
                      <w:rFonts w:ascii="Times New Roman" w:hAnsi="Times New Roman" w:cs="Times New Roman"/>
                    </w:rPr>
                    <w:t>917</w:t>
                  </w:r>
                  <w:r>
                    <w:rPr>
                      <w:rFonts w:ascii="Times New Roman" w:hAnsi="Times New Roman" w:cs="Times New Roman"/>
                    </w:rPr>
                    <w:t>.00</w:t>
                  </w:r>
                </w:p>
              </w:tc>
            </w:tr>
            <w:tr w:rsidR="009D10E9" w:rsidRPr="005A1665" w:rsidTr="00AE7E55">
              <w:trPr>
                <w:trHeight w:val="300"/>
              </w:trPr>
              <w:tc>
                <w:tcPr>
                  <w:tcW w:w="2630" w:type="dxa"/>
                  <w:tcBorders>
                    <w:top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Nacionālais kino centrs</w:t>
                  </w:r>
                </w:p>
              </w:tc>
              <w:tc>
                <w:tcPr>
                  <w:tcW w:w="1072"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6</w:t>
                  </w:r>
                  <w:r>
                    <w:rPr>
                      <w:rFonts w:ascii="Times New Roman" w:hAnsi="Times New Roman" w:cs="Times New Roman"/>
                    </w:rPr>
                    <w:t> </w:t>
                  </w:r>
                  <w:r w:rsidRPr="005A1665">
                    <w:rPr>
                      <w:rFonts w:ascii="Times New Roman" w:hAnsi="Times New Roman" w:cs="Times New Roman"/>
                    </w:rPr>
                    <w:t>639</w:t>
                  </w:r>
                  <w:r>
                    <w:rPr>
                      <w:rFonts w:ascii="Times New Roman" w:hAnsi="Times New Roman" w:cs="Times New Roman"/>
                    </w:rPr>
                    <w:t>.00</w:t>
                  </w:r>
                </w:p>
              </w:tc>
            </w:tr>
            <w:tr w:rsidR="009D10E9" w:rsidRPr="005A1665" w:rsidTr="00AE7E55">
              <w:trPr>
                <w:trHeight w:val="300"/>
              </w:trPr>
              <w:tc>
                <w:tcPr>
                  <w:tcW w:w="2630" w:type="dxa"/>
                  <w:tcBorders>
                    <w:top w:val="single" w:sz="4" w:space="0" w:color="auto"/>
                    <w:bottom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Latvijas Nacionālais arhīvs</w:t>
                  </w:r>
                </w:p>
              </w:tc>
              <w:tc>
                <w:tcPr>
                  <w:tcW w:w="1072"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4" w:space="0" w:color="auto"/>
                    <w:bottom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13</w:t>
                  </w:r>
                  <w:r>
                    <w:rPr>
                      <w:rFonts w:ascii="Times New Roman" w:hAnsi="Times New Roman" w:cs="Times New Roman"/>
                    </w:rPr>
                    <w:t> </w:t>
                  </w:r>
                  <w:r w:rsidRPr="005A1665">
                    <w:rPr>
                      <w:rFonts w:ascii="Times New Roman" w:hAnsi="Times New Roman" w:cs="Times New Roman"/>
                    </w:rPr>
                    <w:t>278</w:t>
                  </w:r>
                  <w:r>
                    <w:rPr>
                      <w:rFonts w:ascii="Times New Roman" w:hAnsi="Times New Roman" w:cs="Times New Roman"/>
                    </w:rPr>
                    <w:t>.00</w:t>
                  </w:r>
                </w:p>
              </w:tc>
            </w:tr>
            <w:tr w:rsidR="009D10E9" w:rsidRPr="005A1665" w:rsidTr="00AE7E55">
              <w:trPr>
                <w:trHeight w:val="300"/>
              </w:trPr>
              <w:tc>
                <w:tcPr>
                  <w:tcW w:w="2630" w:type="dxa"/>
                  <w:tcBorders>
                    <w:top w:val="single" w:sz="4"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Kultūras informācijas sistēmu centrs</w:t>
                  </w:r>
                  <w:r w:rsidRPr="005A1665">
                    <w:rPr>
                      <w:rStyle w:val="FootnoteReference"/>
                      <w:rFonts w:ascii="Times New Roman" w:hAnsi="Times New Roman" w:cs="Times New Roman"/>
                      <w:color w:val="000000"/>
                    </w:rPr>
                    <w:footnoteReference w:id="6"/>
                  </w:r>
                </w:p>
              </w:tc>
              <w:tc>
                <w:tcPr>
                  <w:tcW w:w="1072"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4"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20</w:t>
                  </w:r>
                  <w:r>
                    <w:rPr>
                      <w:rFonts w:ascii="Times New Roman" w:hAnsi="Times New Roman" w:cs="Times New Roman"/>
                    </w:rPr>
                    <w:t> </w:t>
                  </w:r>
                  <w:r w:rsidRPr="005A1665">
                    <w:rPr>
                      <w:rFonts w:ascii="Times New Roman" w:hAnsi="Times New Roman" w:cs="Times New Roman"/>
                    </w:rPr>
                    <w:t>000</w:t>
                  </w:r>
                  <w:r>
                    <w:rPr>
                      <w:rFonts w:ascii="Times New Roman" w:hAnsi="Times New Roman" w:cs="Times New Roman"/>
                    </w:rPr>
                    <w:t>.00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rPr>
                  </w:pPr>
                  <w:r w:rsidRPr="005A1665">
                    <w:rPr>
                      <w:rFonts w:ascii="Times New Roman" w:hAnsi="Times New Roman" w:cs="Times New Roman"/>
                    </w:rPr>
                    <w:t>Vides aizsardzības un reģionālās attīstības ministrija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890CA4">
                    <w:rPr>
                      <w:rFonts w:ascii="Times New Roman" w:hAnsi="Times New Roman" w:cs="Times New Roman"/>
                    </w:rPr>
                    <w:t>101</w:t>
                  </w:r>
                  <w:r>
                    <w:rPr>
                      <w:rFonts w:ascii="Times New Roman" w:hAnsi="Times New Roman" w:cs="Times New Roman"/>
                    </w:rPr>
                    <w:t> </w:t>
                  </w:r>
                  <w:r w:rsidRPr="00890CA4">
                    <w:rPr>
                      <w:rFonts w:ascii="Times New Roman" w:hAnsi="Times New Roman" w:cs="Times New Roman"/>
                    </w:rPr>
                    <w:t>400</w:t>
                  </w:r>
                  <w:r>
                    <w:rPr>
                      <w:rFonts w:ascii="Times New Roman" w:hAnsi="Times New Roman" w:cs="Times New Roman"/>
                    </w:rPr>
                    <w:t>.00</w:t>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sabiedrība ar ierobežotu atbildību "Latvijas Vides, ģeoloģijas un meteoroloģijas centrs"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766451" w:rsidRDefault="009D10E9" w:rsidP="0040530D">
                  <w:pPr>
                    <w:framePr w:hSpace="180" w:wrap="around" w:vAnchor="text" w:hAnchor="margin" w:xAlign="center" w:y="711"/>
                    <w:suppressOverlap/>
                    <w:jc w:val="right"/>
                    <w:rPr>
                      <w:rFonts w:ascii="Times New Roman" w:hAnsi="Times New Roman" w:cs="Times New Roman"/>
                      <w:color w:val="000000"/>
                    </w:rPr>
                  </w:pPr>
                  <w:r w:rsidRPr="00766451">
                    <w:rPr>
                      <w:rFonts w:ascii="Times New Roman" w:hAnsi="Times New Roman" w:cs="Times New Roman"/>
                      <w:color w:val="000000"/>
                    </w:rPr>
                    <w:t> –</w:t>
                  </w:r>
                </w:p>
              </w:tc>
              <w:tc>
                <w:tcPr>
                  <w:tcW w:w="1166" w:type="dxa"/>
                  <w:noWrap/>
                  <w:vAlign w:val="bottom"/>
                </w:tcPr>
                <w:p w:rsidR="009D10E9" w:rsidRPr="00766451" w:rsidRDefault="009D10E9" w:rsidP="0040530D">
                  <w:pPr>
                    <w:framePr w:hSpace="180" w:wrap="around" w:vAnchor="text" w:hAnchor="margin" w:xAlign="center" w:y="711"/>
                    <w:suppressOverlap/>
                    <w:jc w:val="right"/>
                    <w:rPr>
                      <w:rFonts w:ascii="Times New Roman" w:hAnsi="Times New Roman" w:cs="Times New Roman"/>
                      <w:color w:val="000000"/>
                    </w:rPr>
                  </w:pPr>
                  <w:r w:rsidRPr="00766451">
                    <w:rPr>
                      <w:rFonts w:ascii="Times New Roman" w:hAnsi="Times New Roman" w:cs="Times New Roman"/>
                      <w:color w:val="000000"/>
                    </w:rPr>
                    <w:t>–</w:t>
                  </w:r>
                </w:p>
              </w:tc>
              <w:tc>
                <w:tcPr>
                  <w:tcW w:w="1206" w:type="dxa"/>
                  <w:noWrap/>
                  <w:vAlign w:val="bottom"/>
                </w:tcPr>
                <w:p w:rsidR="009D10E9" w:rsidRPr="00766451" w:rsidRDefault="009D10E9" w:rsidP="0040530D">
                  <w:pPr>
                    <w:framePr w:hSpace="180" w:wrap="around" w:vAnchor="text" w:hAnchor="margin" w:xAlign="center" w:y="711"/>
                    <w:suppressOverlap/>
                    <w:jc w:val="right"/>
                    <w:rPr>
                      <w:rFonts w:ascii="Times New Roman" w:hAnsi="Times New Roman" w:cs="Times New Roman"/>
                    </w:rPr>
                  </w:pPr>
                  <w:r w:rsidRPr="00766451">
                    <w:rPr>
                      <w:rFonts w:ascii="Times New Roman" w:hAnsi="Times New Roman" w:cs="Times New Roman"/>
                    </w:rPr>
                    <w:t>137</w:t>
                  </w:r>
                  <w:r>
                    <w:rPr>
                      <w:rFonts w:ascii="Times New Roman" w:hAnsi="Times New Roman" w:cs="Times New Roman"/>
                    </w:rPr>
                    <w:t> </w:t>
                  </w:r>
                  <w:r w:rsidRPr="00766451">
                    <w:rPr>
                      <w:rFonts w:ascii="Times New Roman" w:hAnsi="Times New Roman" w:cs="Times New Roman"/>
                    </w:rPr>
                    <w:t>243</w:t>
                  </w:r>
                  <w:r>
                    <w:rPr>
                      <w:rFonts w:ascii="Times New Roman" w:hAnsi="Times New Roman" w:cs="Times New Roman"/>
                    </w:rPr>
                    <w:t>.00</w:t>
                  </w:r>
                </w:p>
              </w:tc>
            </w:tr>
            <w:tr w:rsidR="009D10E9" w:rsidRPr="005A1665" w:rsidTr="00AE7E55">
              <w:trPr>
                <w:trHeight w:val="300"/>
              </w:trPr>
              <w:tc>
                <w:tcPr>
                  <w:tcW w:w="2630" w:type="dxa"/>
                  <w:tcBorders>
                    <w:top w:val="single" w:sz="12" w:space="0" w:color="auto"/>
                  </w:tcBorders>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Ekonomikas ministrija</w:t>
                  </w:r>
                </w:p>
              </w:tc>
              <w:tc>
                <w:tcPr>
                  <w:tcW w:w="1072"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tcBorders>
                    <w:top w:val="single" w:sz="12" w:space="0" w:color="auto"/>
                  </w:tcBorders>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bookmarkStart w:id="1" w:name="_Ref401221570"/>
                  <w:r w:rsidRPr="005A1665">
                    <w:rPr>
                      <w:rStyle w:val="FootnoteReference"/>
                      <w:rFonts w:ascii="Times New Roman" w:hAnsi="Times New Roman" w:cs="Times New Roman"/>
                    </w:rPr>
                    <w:footnoteReference w:id="7"/>
                  </w:r>
                  <w:bookmarkEnd w:id="1"/>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 xml:space="preserve">Latvijas Banka </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Augstākā tiesa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kase</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akciju sabiedrība „Latvijas Valsts radio un televīzijas centrs”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Ieslodzījuma vietu pārvalde</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Latvijas zvērinātu tiesu izpildītāju padome</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Patentu valde</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Tiesu administrācija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Uzturlīdzekļu garantiju fonda administrācija</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probācijas dienests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lastRenderedPageBreak/>
                    <w:t>Dabas aizsardzības pārvalde</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vAlign w:val="bottom"/>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Latvijas Hidroekoloģijas institūts</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r w:rsidR="009D10E9" w:rsidRPr="005A1665" w:rsidTr="00AE7E55">
              <w:trPr>
                <w:trHeight w:val="300"/>
              </w:trPr>
              <w:tc>
                <w:tcPr>
                  <w:tcW w:w="2630" w:type="dxa"/>
                </w:tcPr>
                <w:p w:rsidR="009D10E9" w:rsidRPr="005A1665" w:rsidRDefault="009D10E9" w:rsidP="0040530D">
                  <w:pPr>
                    <w:framePr w:hSpace="180" w:wrap="around" w:vAnchor="text" w:hAnchor="margin" w:xAlign="center" w:y="711"/>
                    <w:suppressOverlap/>
                    <w:rPr>
                      <w:rFonts w:ascii="Times New Roman" w:hAnsi="Times New Roman" w:cs="Times New Roman"/>
                      <w:color w:val="000000"/>
                    </w:rPr>
                  </w:pPr>
                  <w:r w:rsidRPr="005A1665">
                    <w:rPr>
                      <w:rFonts w:ascii="Times New Roman" w:hAnsi="Times New Roman" w:cs="Times New Roman"/>
                      <w:color w:val="000000"/>
                    </w:rPr>
                    <w:t>Valsts akciju sabiedrība "Elektroniskie sakari"</w:t>
                  </w:r>
                </w:p>
              </w:tc>
              <w:tc>
                <w:tcPr>
                  <w:tcW w:w="1072"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067"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 –</w:t>
                  </w:r>
                </w:p>
              </w:tc>
              <w:tc>
                <w:tcPr>
                  <w:tcW w:w="116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color w:val="000000"/>
                    </w:rPr>
                  </w:pPr>
                  <w:r w:rsidRPr="005A1665">
                    <w:rPr>
                      <w:rFonts w:ascii="Times New Roman" w:hAnsi="Times New Roman" w:cs="Times New Roman"/>
                      <w:color w:val="000000"/>
                    </w:rPr>
                    <w:t>–</w:t>
                  </w:r>
                </w:p>
              </w:tc>
              <w:tc>
                <w:tcPr>
                  <w:tcW w:w="1206" w:type="dxa"/>
                  <w:noWrap/>
                  <w:vAlign w:val="bottom"/>
                </w:tcPr>
                <w:p w:rsidR="009D10E9" w:rsidRPr="005A1665" w:rsidRDefault="009D10E9" w:rsidP="0040530D">
                  <w:pPr>
                    <w:framePr w:hSpace="180" w:wrap="around" w:vAnchor="text" w:hAnchor="margin" w:xAlign="center" w:y="711"/>
                    <w:suppressOverlap/>
                    <w:jc w:val="right"/>
                    <w:rPr>
                      <w:rFonts w:ascii="Times New Roman" w:hAnsi="Times New Roman" w:cs="Times New Roman"/>
                    </w:rPr>
                  </w:pPr>
                  <w:r w:rsidRPr="005A1665">
                    <w:rPr>
                      <w:rFonts w:ascii="Times New Roman" w:hAnsi="Times New Roman" w:cs="Times New Roman"/>
                    </w:rPr>
                    <w:t>0.00</w:t>
                  </w:r>
                  <w:r>
                    <w:rPr>
                      <w:rFonts w:ascii="Times New Roman" w:hAnsi="Times New Roman" w:cs="Times New Roman"/>
                    </w:rPr>
                    <w:fldChar w:fldCharType="begin"/>
                  </w:r>
                  <w:r>
                    <w:rPr>
                      <w:rFonts w:ascii="Times New Roman" w:hAnsi="Times New Roman" w:cs="Times New Roman"/>
                    </w:rPr>
                    <w:instrText xml:space="preserve"> NOTEREF _Ref401221570 \h \f</w:instrText>
                  </w:r>
                  <w:r>
                    <w:rPr>
                      <w:rFonts w:ascii="Times New Roman" w:hAnsi="Times New Roman" w:cs="Times New Roman"/>
                    </w:rPr>
                  </w:r>
                  <w:r>
                    <w:rPr>
                      <w:rFonts w:ascii="Times New Roman" w:hAnsi="Times New Roman" w:cs="Times New Roman"/>
                    </w:rPr>
                    <w:fldChar w:fldCharType="separate"/>
                  </w:r>
                  <w:r w:rsidRPr="00CA7267">
                    <w:rPr>
                      <w:rStyle w:val="FootnoteReference"/>
                    </w:rPr>
                    <w:t>7</w:t>
                  </w:r>
                  <w:r>
                    <w:rPr>
                      <w:rFonts w:ascii="Times New Roman" w:hAnsi="Times New Roman" w:cs="Times New Roman"/>
                    </w:rPr>
                    <w:fldChar w:fldCharType="end"/>
                  </w:r>
                </w:p>
              </w:tc>
            </w:tr>
          </w:tbl>
          <w:p w:rsidR="009D10E9" w:rsidRPr="00DC400F" w:rsidRDefault="009D10E9" w:rsidP="00093655">
            <w:pPr>
              <w:spacing w:after="0" w:line="240" w:lineRule="auto"/>
              <w:rPr>
                <w:rFonts w:ascii="Times New Roman" w:eastAsia="Times New Roman" w:hAnsi="Times New Roman" w:cs="Times New Roman"/>
                <w:sz w:val="24"/>
                <w:szCs w:val="24"/>
                <w:lang w:eastAsia="lv-LV"/>
              </w:rPr>
            </w:pPr>
          </w:p>
        </w:tc>
      </w:tr>
      <w:tr w:rsidR="009D10E9" w:rsidRPr="002C5318" w:rsidTr="00093655">
        <w:trPr>
          <w:trHeight w:val="345"/>
        </w:trPr>
        <w:tc>
          <w:tcPr>
            <w:tcW w:w="214"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lastRenderedPageBreak/>
              <w:t>4.</w:t>
            </w:r>
          </w:p>
        </w:tc>
        <w:tc>
          <w:tcPr>
            <w:tcW w:w="1143"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 informācija</w:t>
            </w:r>
          </w:p>
        </w:tc>
        <w:tc>
          <w:tcPr>
            <w:tcW w:w="3643" w:type="pct"/>
            <w:tcBorders>
              <w:top w:val="outset" w:sz="6" w:space="0" w:color="auto"/>
              <w:left w:val="outset" w:sz="6" w:space="0" w:color="auto"/>
              <w:bottom w:val="outset" w:sz="6" w:space="0" w:color="auto"/>
              <w:right w:val="outset" w:sz="6" w:space="0" w:color="auto"/>
            </w:tcBorders>
            <w:hideMark/>
          </w:tcPr>
          <w:p w:rsidR="009D10E9" w:rsidRPr="002C5318" w:rsidRDefault="009D10E9" w:rsidP="0009365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 </w:t>
      </w: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4"/>
        <w:gridCol w:w="2273"/>
        <w:gridCol w:w="7227"/>
      </w:tblGrid>
      <w:tr w:rsidR="002C5318" w:rsidRPr="002C5318"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2C5318" w:rsidRDefault="002C5318" w:rsidP="00EB363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V. Tiesību akta projekta atbilstība Latvijas Republikas starptautiskajām saistībām</w:t>
            </w:r>
          </w:p>
        </w:tc>
      </w:tr>
      <w:tr w:rsidR="002C5318" w:rsidRPr="002C5318" w:rsidTr="00524F38">
        <w:tc>
          <w:tcPr>
            <w:tcW w:w="214"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rsidR="002C5318" w:rsidRPr="002C5318" w:rsidRDefault="00524F38" w:rsidP="002C53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V </w:t>
            </w:r>
            <w:r w:rsidRPr="00524F38">
              <w:rPr>
                <w:rFonts w:ascii="Times New Roman" w:eastAsia="Times New Roman" w:hAnsi="Times New Roman" w:cs="Times New Roman"/>
                <w:sz w:val="24"/>
                <w:szCs w:val="24"/>
                <w:lang w:eastAsia="lv-LV"/>
              </w:rPr>
              <w:t>sadaļas 1.</w:t>
            </w:r>
            <w:r>
              <w:rPr>
                <w:rFonts w:ascii="Times New Roman" w:eastAsia="Times New Roman" w:hAnsi="Times New Roman" w:cs="Times New Roman"/>
                <w:sz w:val="24"/>
                <w:szCs w:val="24"/>
                <w:lang w:eastAsia="lv-LV"/>
              </w:rPr>
              <w:t> </w:t>
            </w:r>
            <w:r w:rsidRPr="00524F38">
              <w:rPr>
                <w:rFonts w:ascii="Times New Roman" w:eastAsia="Times New Roman" w:hAnsi="Times New Roman" w:cs="Times New Roman"/>
                <w:sz w:val="24"/>
                <w:szCs w:val="24"/>
                <w:lang w:eastAsia="lv-LV"/>
              </w:rPr>
              <w:t>tabulu</w:t>
            </w:r>
          </w:p>
        </w:tc>
      </w:tr>
      <w:tr w:rsidR="002C5318" w:rsidRPr="002C5318" w:rsidTr="00524F38">
        <w:tc>
          <w:tcPr>
            <w:tcW w:w="214"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rsidR="002C5318" w:rsidRPr="002C5318" w:rsidRDefault="00524F38" w:rsidP="002C531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C5318" w:rsidRPr="002C5318" w:rsidTr="00524F38">
        <w:tc>
          <w:tcPr>
            <w:tcW w:w="214"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rsidR="002C5318" w:rsidRPr="002C5318" w:rsidRDefault="00524F38" w:rsidP="002C531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C5318" w:rsidRPr="002C5318"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 </w:t>
      </w:r>
    </w:p>
    <w:tbl>
      <w:tblPr>
        <w:tblW w:w="9919" w:type="dxa"/>
        <w:jc w:val="center"/>
        <w:tblInd w:w="-50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E94502" w:rsidRPr="002C5318" w:rsidTr="007C0B0F">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1.tabula</w:t>
            </w:r>
            <w:r w:rsidRPr="002C5318">
              <w:rPr>
                <w:rFonts w:ascii="Times New Roman" w:eastAsia="Times New Roman" w:hAnsi="Times New Roman" w:cs="Times New Roman"/>
                <w:b/>
                <w:bCs/>
                <w:sz w:val="24"/>
                <w:szCs w:val="24"/>
                <w:lang w:eastAsia="lv-LV"/>
              </w:rPr>
              <w:br/>
              <w:t>Tiesību akta projekta atbilstība ES tiesību aktiem</w:t>
            </w:r>
          </w:p>
        </w:tc>
      </w:tr>
      <w:tr w:rsidR="00E94502" w:rsidRPr="002C5318" w:rsidTr="007C0B0F">
        <w:trPr>
          <w:jc w:val="center"/>
        </w:trPr>
        <w:tc>
          <w:tcPr>
            <w:tcW w:w="3784" w:type="dxa"/>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w:t>
            </w:r>
            <w:r w:rsidR="00CA7267">
              <w:rPr>
                <w:rFonts w:ascii="Times New Roman" w:eastAsia="Times New Roman" w:hAnsi="Times New Roman" w:cs="Times New Roman"/>
                <w:sz w:val="24"/>
                <w:szCs w:val="24"/>
                <w:lang w:eastAsia="lv-LV"/>
              </w:rPr>
              <w:t> </w:t>
            </w:r>
            <w:r w:rsidRPr="002C5318">
              <w:rPr>
                <w:rFonts w:ascii="Times New Roman" w:eastAsia="Times New Roman" w:hAnsi="Times New Roman" w:cs="Times New Roman"/>
                <w:sz w:val="24"/>
                <w:szCs w:val="24"/>
                <w:lang w:eastAsia="lv-LV"/>
              </w:rPr>
              <w:t>apakšpunktā un jau tikusi norādīta arī V sadaļas 1.punktā</w:t>
            </w:r>
          </w:p>
        </w:tc>
      </w:tr>
      <w:tr w:rsidR="00E94502" w:rsidRPr="002C5318" w:rsidTr="007C0B0F">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D</w:t>
            </w:r>
          </w:p>
        </w:tc>
      </w:tr>
      <w:tr w:rsidR="00E94502" w:rsidRPr="00EB363C" w:rsidTr="007C0B0F">
        <w:trPr>
          <w:jc w:val="center"/>
        </w:trPr>
        <w:tc>
          <w:tcPr>
            <w:tcW w:w="3784" w:type="dxa"/>
            <w:tcBorders>
              <w:top w:val="outset" w:sz="6" w:space="0" w:color="auto"/>
              <w:left w:val="outset" w:sz="6" w:space="0" w:color="auto"/>
              <w:bottom w:val="outset" w:sz="6" w:space="0" w:color="auto"/>
              <w:right w:val="outset" w:sz="6" w:space="0" w:color="auto"/>
            </w:tcBorders>
            <w:hideMark/>
          </w:tcPr>
          <w:p w:rsidR="00E94502" w:rsidRPr="00EB363C" w:rsidRDefault="00E94502" w:rsidP="007C0B0F">
            <w:pPr>
              <w:spacing w:after="0"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rsidR="00E94502" w:rsidRPr="00EB363C" w:rsidRDefault="00E94502" w:rsidP="007C0B0F">
            <w:pPr>
              <w:spacing w:after="0"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rsidR="00E94502" w:rsidRPr="00EB363C" w:rsidRDefault="00E94502" w:rsidP="007C0B0F">
            <w:pPr>
              <w:spacing w:after="0"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E94502" w:rsidRPr="00EB363C"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E94502" w:rsidRPr="00EB363C"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 xml:space="preserve">Norāda institūciju, kas ir atbildīga par </w:t>
            </w:r>
            <w:r w:rsidRPr="00EB363C">
              <w:rPr>
                <w:rFonts w:ascii="Times New Roman" w:eastAsia="Times New Roman" w:hAnsi="Times New Roman" w:cs="Times New Roman"/>
                <w:sz w:val="24"/>
                <w:szCs w:val="24"/>
                <w:lang w:eastAsia="lv-LV"/>
              </w:rPr>
              <w:lastRenderedPageBreak/>
              <w:t>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rsidR="00E94502" w:rsidRPr="00EB363C" w:rsidRDefault="00E94502" w:rsidP="007C0B0F">
            <w:pPr>
              <w:spacing w:after="0"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E94502" w:rsidRPr="00EB363C"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E94502" w:rsidRPr="00EB363C"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 xml:space="preserve">Norāda iespējamās alternatīvas (t.sk. alternatīvas, kas neparedz tiesiskā regulējuma izstrādi) – kādos gadījumos būtu </w:t>
            </w:r>
            <w:r w:rsidRPr="00EB363C">
              <w:rPr>
                <w:rFonts w:ascii="Times New Roman" w:eastAsia="Times New Roman" w:hAnsi="Times New Roman" w:cs="Times New Roman"/>
                <w:sz w:val="24"/>
                <w:szCs w:val="24"/>
                <w:lang w:eastAsia="lv-LV"/>
              </w:rPr>
              <w:lastRenderedPageBreak/>
              <w:t>iespējams izvairīties no stingrāku prasību noteikšanas, nekā paredzēts attiecīgajos ES tiesību aktos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Komisijas 2014. gada 27. janvāra Regula (ES) Nr. 67/2014, ar ko attiecībā uz to sekundāro mērķa mainīgo lielumu 2015. gada sarakstu, kuri attiecas uz līdzdalību sociālajā un kultūras dzīvē un materiālo nenodrošinātību, īsteno Eiropas Parlamenta un Padomes Regulu (EK) Nr. 1177/2003 par Kopienas statistiku attiecībā uz ienākumiem un dzīves apstākļiem ( EU-SILC )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2013.gada 1.februāra Regula (ES) Nr. 93/2013, ar ko nosaka sīki izstrādātus noteikumus par to, kā attiecībā uz īpašnieka apdzīvotā mājokļa cenu indeksu noteikšanu piemērot Padomes Regulu (EK) Nr. 2494/95 par saskaņotajiem patēriņa cenu indeksiem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5.15. un 5.16.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2013.gada 11. februāra Regula (ES) Nr. 119/2013, ar ko attiecībā uz nemainīgas nodokļu likmes saskaņoto patēriņa cenu indeksu ieviešanu groza Regulu (EK) Nr. 2214/96 par saskaņotajiem patēriņa cenu indeksiem (SPCI): SPCI apakšindeksu pārsūtīšana un izplatīšana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2013.gada 7.februāra Regula (ES) Nr. 112/2013, ar ko attiecībā uz to sekundāro mērķa mainīgo lielumu 2014.gada sarakstu, kuri attiecas uz materiālo nenodrošinātību, īsteno Eiropas Parlamenta un Padomes Regulu (EK) </w:t>
            </w:r>
            <w:r w:rsidRPr="00386448">
              <w:rPr>
                <w:rFonts w:ascii="Times New Roman" w:eastAsia="Times New Roman" w:hAnsi="Times New Roman" w:cs="Times New Roman"/>
                <w:sz w:val="24"/>
                <w:szCs w:val="24"/>
                <w:lang w:eastAsia="lv-LV"/>
              </w:rPr>
              <w:lastRenderedPageBreak/>
              <w:t>Nr. 1177/2003 par Kopienas statistiku attiecībā uz ienākumiem un dzīves apstākļiem (EU-SILC)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Paredz stingrākas prasības – statistika par ienākumiem un dzīves apstākļiem tiek nodrošināta sīkākā detalizācijā, kā noteikts ES tiesību aktā, lai </w:t>
            </w:r>
            <w:r w:rsidRPr="00386448">
              <w:rPr>
                <w:rFonts w:ascii="Times New Roman" w:eastAsia="Times New Roman" w:hAnsi="Times New Roman" w:cs="Times New Roman"/>
                <w:sz w:val="24"/>
                <w:szCs w:val="24"/>
                <w:lang w:eastAsia="lv-LV"/>
              </w:rPr>
              <w:lastRenderedPageBreak/>
              <w:t>nodrošinātu datu lietotāju (piemēram, Vides aizsardzības un reģionālās attīstības ministrijas un pašvaldību) pieprasījumu pēc datiem sīkā teritoriālā detalizācijā dažādu plānošanas dokumentu sagatavošanai.</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2013.gada 19. februāra Regula (ES) Nr. 141/2013, ar ko attiecībā uz statistiku, kas balstīta uz Eiropas veselības apsekojuma (EHIS), īsteno Eiropas Parlamenta un Padomes Regulu (EK) Nr. 1338/2008 attiecībā uz Kopienas statistiku par sabiedrības veselību un veselības aizsardzību un 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9.9.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Deleģētā 2013. gada 15. janvāra Regula (ES) Nr. 253/2013, ar ko attiecībā uz pielāgojumiem pēc Starptautiskās standartizētās izglītības klasifikācijas ISCED pārskatīšanas saistībā ar iesniedzamajiem mainīgajiem lielumiem un dalījumiem groza Eiropas Parlamenta un Padomes Regulas (ES) Nr. 692/2011 II pielikumu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26.1. un 26.2.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2013. gada 21. maija Regula (ES) Nr. 549/2013 par Eiropas nacionālo un reģionālo kontu sistēmu Eiropas Savienībā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1.1.–1.9., 1.11., 1.13.–1.17., 1.19.1., 1.19.2., 1.20.1., 1.20.2., 1.23., 1.26.–1.30., 23.4.2., 25.24., 25.25. un 25.27. punkti</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2013. gada 26. jūnija Regula (ES) Nr. 575/2013 par prudenciālajām prasībām attiecībā uz kredītiestādēm un ieguldījumu brokeru sabiedrībām, un ar ko groza Regulu (ES) Nr. 648/2012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3.13. un 3.18.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7.5.1.–7.5.4., 7.5.7., 7.6.1.–7.6.3., 7.6.6., 7.6.8. un 7.6.9.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2013. gada 22. oktobra Regula (ES, Euratom) Nr. 1023/2013 ( 2013. gada 22. oktobris ), ar ko groza Eiropas Savienības Civildienesta noteikumus un Eiropas Savienības Pārējo darbinieku nodarbināšanas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2013. gada 24. septembra Regula (ES) Nr. 1071/2013 par monetāro finanšu iestāžu sektora bilanci (pārstrādāta versija) (ECB/2013/33)</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3.1.–3.4. un 3.7.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2013. gada 24. septembra Regula Nr. 1072/2013 par monetāro finanšu iestāžu piemēroto procentu likmju statistiku (pārstrādāta versija) (ECB/2013/34)</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3.5. un 3.6.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2013. gada 18. oktobra Regula (ES) Nr. 1073/2013 par ieguldījumu fondu aktīvu un pasīvu statistiku (pārstrādāta versija)  (ECB/2013/38)</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2013. gada 20. novembra Regula (ES) Nr. 1260/2013 par Eiropas demogrāfijas statistiku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6.1., 6.3., 6.10., 6.12. un 6.13.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Paredz stingrākas prasības – demogrāfiskā statistika (pastāvīgo </w:t>
            </w:r>
            <w:r>
              <w:rPr>
                <w:rFonts w:ascii="Times New Roman" w:eastAsia="Times New Roman" w:hAnsi="Times New Roman" w:cs="Times New Roman"/>
                <w:sz w:val="24"/>
                <w:szCs w:val="24"/>
                <w:lang w:eastAsia="lv-LV"/>
              </w:rPr>
              <w:t>iedzīvotāju skaits, dzīvi dzimuš</w:t>
            </w:r>
            <w:r w:rsidRPr="00386448">
              <w:rPr>
                <w:rFonts w:ascii="Times New Roman" w:eastAsia="Times New Roman" w:hAnsi="Times New Roman" w:cs="Times New Roman"/>
                <w:sz w:val="24"/>
                <w:szCs w:val="24"/>
                <w:lang w:eastAsia="lv-LV"/>
              </w:rPr>
              <w:t xml:space="preserve">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w:t>
            </w:r>
            <w:r w:rsidRPr="00386448">
              <w:rPr>
                <w:rFonts w:ascii="Times New Roman" w:eastAsia="Times New Roman" w:hAnsi="Times New Roman" w:cs="Times New Roman"/>
                <w:sz w:val="24"/>
                <w:szCs w:val="24"/>
                <w:lang w:eastAsia="lv-LV"/>
              </w:rPr>
              <w:lastRenderedPageBreak/>
              <w:t>plānošanas dokumentu sagatavošanai.</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Centrālās Bankas 2013. gada 28. novembra Regula (ES) Nr. 1409/2013 par maksājumu statistiku  (ECB/2013/43)</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2012.gada 18.janvāra Regula (ES) Nr. 70/2012 par statistikas pārskatiem attiecībā uz autopārvadājumiem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2012.gada 26.oktobra Īstenošanas regulas (ES) Nr. 995/2012, ar ko pieņem sīki izstrādātus noteikumus par to, kā īstenojams Eiropas Parlamenta un Padomes Lēmums Nr. 1608/2003/EK par Kopienas zinātnes un tehnoloģijas statistikas izstrādāšanu un pilnveidošanu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7.14.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2012.gada 26.oktobra Īstenošanas regulas (ES) Nr. 995/2012, ar ko pieņem sīki izstrādātus noteikumus par to, kā īstenojams Eiropas Parlamenta un Padomes Lēmums Nr. 1608/2003/EK par Kopienas zinātnes un tehnoloģijas statistikas izstrādāšanu un pilnveidošanu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7.15.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2012.gada 26.oktobra Īstenošanas regula (ES) Nr. 995/2012, ar ko pieņem sīki izstrādātus noteikumus par to, kā īstenojams Eiropas Parlamenta un Padomes Lēmums Nr. 1608/2003/EK par Kopienas zinātnes un tehnoloģijas statistikas izstrādāšanu un pilnveidošanu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7.1.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2011. gada 5. aprīļa Regula (ES) Nr. 328/2011, ar ko attiecībā uz statistiku par nāves cēloņiem īsteno Eiropas Parlamenta un Padomes Regulu (EK) Nr. 1338/2008 attiecībā uz Kopienas statistiku par sabiedrības veselību un veselības aizsardzību un </w:t>
            </w:r>
            <w:r w:rsidRPr="00386448">
              <w:rPr>
                <w:rFonts w:ascii="Times New Roman" w:eastAsia="Times New Roman" w:hAnsi="Times New Roman" w:cs="Times New Roman"/>
                <w:sz w:val="24"/>
                <w:szCs w:val="24"/>
                <w:lang w:eastAsia="lv-LV"/>
              </w:rPr>
              <w:lastRenderedPageBreak/>
              <w:t>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6.14.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2011.gada 27.aprīļa Regula (ES) Nr. 408/2011, ar ko īsteno Eiropas Parlamenta un Padomes Regulu (EK) Nr. 1185/2009 attiecībā uz statistiku par pesticīdiem saistībā ar datu nosūtīšanas formātu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17.20.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2011.gada 7.jūlija Regula (ES) Nr. 656/2011, ar ko īsteno Eiropas Parlamenta un Padomes Regulu (EK) Nr. 1185/2009 attiecībā uz statistiku par pesticīdiem saistībā ar definīcijām un darbīgo vielu sarakstu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17.20.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2011.gada 6.jūlija Regulas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28.17.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2011.gada 6.jūlija Regulas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28.18.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2011.gada 6.jūlija Regulas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28.19.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2011.gada 6.jūlija Regula (ES) Nr. 692/2011 attiecībā uz Eiropas statistiku par tūrismu un ar ko atceļ Padomes Direktīvu 95/57/EK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26.1. un 26.2.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Īstenošanas 2011. gada 20.oktobra Regula (ES) Nr. 1051/2011, ar ko attiecībā uz kvalitātes ziņojumu struktūru un datu nosūtīšanu īsteno Eiropas Parlamenta un Padomes Regulu (ES) Nr. 692/2011 attiecībā uz Eiropas statistiku par tūrismu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26.1. un 26.2.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2011.gada 13.decembra Regula (ES) </w:t>
            </w:r>
            <w:r w:rsidRPr="00386448">
              <w:rPr>
                <w:rFonts w:ascii="Times New Roman" w:eastAsia="Times New Roman" w:hAnsi="Times New Roman" w:cs="Times New Roman"/>
                <w:sz w:val="24"/>
                <w:szCs w:val="24"/>
                <w:lang w:eastAsia="lv-LV"/>
              </w:rPr>
              <w:lastRenderedPageBreak/>
              <w:t>Nr. 1337/2011 attiecībā uz Eiropas statistiku par ilggadīgām kultūrām un ar ko atceļ Padomes Regulu (EEK) Nr. 357/79 un Eiropas Parlamenta un Padomes Direktīvu 2001/109/EK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1. tabulas </w:t>
            </w:r>
            <w:r w:rsidRPr="00386448">
              <w:rPr>
                <w:rFonts w:ascii="Times New Roman" w:eastAsia="Times New Roman" w:hAnsi="Times New Roman" w:cs="Times New Roman"/>
                <w:sz w:val="24"/>
                <w:szCs w:val="24"/>
                <w:lang w:eastAsia="lv-LV"/>
              </w:rPr>
              <w:lastRenderedPageBreak/>
              <w:t>17.2.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Nodrošina A ailē minētā ES tiesību </w:t>
            </w:r>
            <w:r w:rsidRPr="00386448">
              <w:rPr>
                <w:rFonts w:ascii="Times New Roman" w:eastAsia="Times New Roman" w:hAnsi="Times New Roman" w:cs="Times New Roman"/>
                <w:sz w:val="24"/>
                <w:szCs w:val="24"/>
                <w:lang w:eastAsia="lv-LV"/>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2010.gada 10.marta Regula (ES) Nr. 202/2010, ar ko groza Regulu (EK) Nr. 6/2003 par statistikas izplatīšanu attiecībā uz kravu autopārvadājumiem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2010. gada 1. jūnija Regula (ES) Nr. 479/2010, ar ko nosaka Padomes Regulas (EK) Nr. 1234/2007 īstenošanas noteikumus attiecībā uz dalībvalstu paziņojumiem Komisijai piena un piena produktu nozarē</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2010.gada 24.jūnija Regula (ES) Nr. 557/2010 , ar ko groza Regulas (EK) Nr. 1518/2003, (EK) Nr. 596/2004, (EK) Nr. 633/2004, (EK) Nr. 1345/2005, (EK) Nr. 2014/2005, (EK) Nr. 239/2007, (EK) Nr. 1299/2007, (EK) Nr. 543/2008, (EK) Nr. 589/2008, (EK) Nr. 617/2008 un (EK) Nr. 826/2008 attiecībā uz paziņošanas pienākumiem lauksaimniecības tirgu kopīgā organizācijā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2010.gada 10.augusta Regula (ES) Nr. 715/2010, ar ko groza Padomes Regulu (EK) Nr. 2223/96 attiecībā uz pielāgojumiem nacionālajos kontos pēc tam, kad pārskatīta NACE 2. red. saimniecisko darbību statistiskā klasifikācija un preču statistiskā klasifikācija pēc saimniecības nozarēm ( CPA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1.19.2. un 1.20.2.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2010.gada 10.novembra Regula (ES) Nr. 1013/2010, ar ko paredz īstenošanas noteikumus attiecībā uz Savienības flotes politiku, kura noteikta Padomes Regulas (EK) Nr. 2371/2002 III nodaļā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2010.gada 24.novembra Regula (ES) Nr. 1090/2010, ar ko groza Direktīvu </w:t>
            </w:r>
            <w:r w:rsidRPr="00386448">
              <w:rPr>
                <w:rFonts w:ascii="Times New Roman" w:eastAsia="Times New Roman" w:hAnsi="Times New Roman" w:cs="Times New Roman"/>
                <w:sz w:val="24"/>
                <w:szCs w:val="24"/>
                <w:lang w:eastAsia="lv-LV"/>
              </w:rPr>
              <w:lastRenderedPageBreak/>
              <w:t>2009/42/EK par statistikas pārskatiem attiecībā uz kravu un pasažieru pārvadājumiem pa jūru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25.7. un 25.8.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Nodrošina A ailē minētā ES tiesību akta prasību </w:t>
            </w:r>
            <w:r w:rsidRPr="00386448">
              <w:rPr>
                <w:rFonts w:ascii="Times New Roman" w:eastAsia="Times New Roman" w:hAnsi="Times New Roman" w:cs="Times New Roman"/>
                <w:sz w:val="24"/>
                <w:szCs w:val="24"/>
                <w:lang w:eastAsia="lv-LV"/>
              </w:rPr>
              <w:lastRenderedPageBreak/>
              <w:t>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2009.gada 13.janvāra Regula (EK) Nr. 19/2009, ar ko attiecībā uz brīvās darbvietas definīciju, datu vākšanas atsauces datumiem, datu nosūtīšanas specifikācijām un priekšizpēti īsteno Eiropas Parlamenta un Padomes Regulu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2009.gada 11.marta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2009.gada 11.marta Regula (EK) Nr. 216/2009 par to, kā dalībvalstis, kas zvejo apgabalos ārpus Ziemeļatlantijas, iesniedz nominālās nozvejas statistiku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19.2., 19.4., 19.5.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2009.gada 11.marta Regula (EK) Nr. 217/2009 par to, kā dalībvalstis, kas zvejo Ziemeļrietumu Atlantijā, iesniedz statistikas datus par nozveju un zvejas intensitāti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19.2., 19.4., 19.5.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2009.gada 11.marta Regula (EK) Nr. 218/2009 par to dalībvalstu nominālās nozvejas statistikas iesniegšanu, kuras zvejo Atlantijas okeāna ziemeļaustrumu daļā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19.2., 19.4., 19.5.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2009.gada 11.marta Regula (EK) Nr. </w:t>
            </w:r>
            <w:r w:rsidRPr="00386448">
              <w:rPr>
                <w:rFonts w:ascii="Times New Roman" w:eastAsia="Times New Roman" w:hAnsi="Times New Roman" w:cs="Times New Roman"/>
                <w:sz w:val="24"/>
                <w:szCs w:val="24"/>
                <w:lang w:eastAsia="lv-LV"/>
              </w:rPr>
              <w:lastRenderedPageBreak/>
              <w:t>223/2009, par Eiropas statistiku un ar ko atceļ Eiropas Parlamenta un Padomes Regulu (EK, Euratom) Nr. 1101/2008 par tādas statistikas informācijas nosūtīšanu Eiropas Kopienu Statistikas birojam, uz kuru attiecas konfidencialitāte, Padomes Regulu (EK) Nr. 322/97 par Kopienas statistiku un Padomes Lēmumu 89/382/EEK, Euratom, ar ko nodibina Eiropas Kopienu Statistikas programmu komiteju (Dokuments attiecas uz EEZ un Šveici)</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1. tabulas 6.18., </w:t>
            </w:r>
            <w:r w:rsidRPr="00386448">
              <w:rPr>
                <w:rFonts w:ascii="Times New Roman" w:eastAsia="Times New Roman" w:hAnsi="Times New Roman" w:cs="Times New Roman"/>
                <w:sz w:val="24"/>
                <w:szCs w:val="24"/>
                <w:lang w:eastAsia="lv-LV"/>
              </w:rPr>
              <w:lastRenderedPageBreak/>
              <w:t>10.3., 12.1., 12.4. un 12.5.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Nodrošina A ailē minētā ES tiesību </w:t>
            </w:r>
            <w:r w:rsidRPr="00386448">
              <w:rPr>
                <w:rFonts w:ascii="Times New Roman" w:eastAsia="Times New Roman" w:hAnsi="Times New Roman" w:cs="Times New Roman"/>
                <w:sz w:val="24"/>
                <w:szCs w:val="24"/>
                <w:lang w:eastAsia="lv-LV"/>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2009.gada 6.maija Regula (EK) Nr. 471/2009 par Kopienas statistiku attiecībā uz ārējo tirdzniecību ar ārpuskopienas valstīm un par Padomes Regulas (EK) Nr. 1172/95 atcelšanu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4.1.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2009.gada 25.maija Regula (EK) Nr. 479/2009 par to, kā piemērot Eiropas Kopienas dibināšanas līgumam pievienoto Protokolu par pārmērīga budžeta deficīta novēršanas procedūru (Kodificēta versija)</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1.10., 1.11., 1.19.1. un 1.20.1.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2009.gada 18.jūnija regula (EK) Nr. 543/2009, kas attiecas uz statistiku par augkopības kultūrām un ar ko atceļ Padomes Regulas (EEK) Nr. 837/90 un (EEK) Nr. 959/93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17.2., 17.3., 17.7., 17.11., 17.12. un 17.17.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 gada 16.septembra Regula (EK) Nr. 1006/2009, ar ko groza Regulu (EK) Nr. 808/2004 attiecībā uz Kopienas statistiku par informācijas sabiedrību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29.1. un 29.2.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2009.gada 25.novembra Regula (EK) Nr. 1185/2009 attiecībā uz statistiku par pesticīdiem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17.20.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Padomes 2009.gada 30.novembra Regula (EK) Nr. 1217/2009, ar ko izveido tīklu grāmatvedības datu </w:t>
            </w:r>
            <w:r w:rsidRPr="00386448">
              <w:rPr>
                <w:rFonts w:ascii="Times New Roman" w:eastAsia="Times New Roman" w:hAnsi="Times New Roman" w:cs="Times New Roman"/>
                <w:sz w:val="24"/>
                <w:szCs w:val="24"/>
                <w:lang w:eastAsia="lv-LV"/>
              </w:rPr>
              <w:lastRenderedPageBreak/>
              <w:t>savākšanai par ienākumiem un saimniecisko darbību lauku saimniecībās Eiropas Kopienā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17.10.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Nodrošina A ailē minētā ES tiesību akta prasību </w:t>
            </w:r>
            <w:r w:rsidRPr="00386448">
              <w:rPr>
                <w:rFonts w:ascii="Times New Roman" w:eastAsia="Times New Roman" w:hAnsi="Times New Roman" w:cs="Times New Roman"/>
                <w:sz w:val="24"/>
                <w:szCs w:val="24"/>
                <w:lang w:eastAsia="lv-LV"/>
              </w:rPr>
              <w:lastRenderedPageBreak/>
              <w:t>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2008.gada 8.janvāra Regula (EK) Nr. 10/2008, ar ko īsteno Eiropas Parlamenta un Padomes Regulu (EK) Nr. 458/2007 par Eiropas Integrētās sociālās aizsardzības statistikas sistēmu ( ESSPROS ) attiecībā uz ESSPROS pamatsistēmas un pensiju saņēmēju moduļa definīcijām, sīki izstrādātām klasifikācijām un izplatīšanas noteikumu atjaunināšanu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10.5. un 10.7.–10.10.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 gada 20.februāra Regula (EK) Nr. 177/2008, ar ko izveido kopēju uzņēmumu reģistru sistēmu statistikas vajadzībām un atceļ Padomes Regulu (EEK) Nr. 2186/93</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13.1.–13.4.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2008.gada 25.februāra Regula (EK) Nr. 199/2008 par Kopienas sistēmas izveidi datu vākšanai, pārvaldībai un izmantošanai zivsaimniecības nozarē un par atbalstu zinātniskā padoma izstrādei saistībā ar kopējo zivsaimniecības politiku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19.2.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2008.gada 7.marta Regula (EK) Nr. 212/2008, ar ko groza 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1.22., 5.7.–5.11., 17.1., 17.4. un 17.14.–17.16.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11.marta Regulas (EK) Nr. 295/2008 par uzņēmējdarbības strukturālo statistiku (pārstrādāta versija)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24.6.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11.marta Regulas (EK) Nr. 295/2008 par uzņēmējdarbības strukturālo statistiku (pārstrādāta versija)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24.4.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E9450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 stingrākas prasības</w:t>
            </w:r>
            <w:r w:rsidRPr="00386448">
              <w:rPr>
                <w:rFonts w:ascii="Times New Roman" w:eastAsia="Times New Roman" w:hAnsi="Times New Roman" w:cs="Times New Roman"/>
                <w:sz w:val="24"/>
                <w:szCs w:val="24"/>
                <w:lang w:eastAsia="lv-LV"/>
              </w:rPr>
              <w:t xml:space="preserve"> saskaņā ar granta projektu, lai sagatavotu biznesa statistikas ietvarregulas ieviešanu</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w:t>
            </w:r>
            <w:r w:rsidRPr="00386448">
              <w:rPr>
                <w:rFonts w:ascii="Times New Roman" w:eastAsia="Times New Roman" w:hAnsi="Times New Roman" w:cs="Times New Roman"/>
                <w:sz w:val="24"/>
                <w:szCs w:val="24"/>
                <w:lang w:eastAsia="lv-LV"/>
              </w:rPr>
              <w:lastRenderedPageBreak/>
              <w:t>2008.gada 11.marta Regulas (EK) Nr. 295/2008 par uzņēmējdarbības strukturālo statistiku (pārstrādāta versija) (Dokuments attiecas uz EEZ) 9.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w:t>
            </w:r>
            <w:r w:rsidRPr="00386448">
              <w:rPr>
                <w:rFonts w:ascii="Times New Roman" w:eastAsia="Times New Roman" w:hAnsi="Times New Roman" w:cs="Times New Roman"/>
                <w:sz w:val="24"/>
                <w:szCs w:val="24"/>
                <w:lang w:eastAsia="lv-LV"/>
              </w:rPr>
              <w:lastRenderedPageBreak/>
              <w:t>1. tabulas 13.5.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Nodrošina A ailē </w:t>
            </w:r>
            <w:r w:rsidRPr="00386448">
              <w:rPr>
                <w:rFonts w:ascii="Times New Roman" w:eastAsia="Times New Roman" w:hAnsi="Times New Roman" w:cs="Times New Roman"/>
                <w:sz w:val="24"/>
                <w:szCs w:val="24"/>
                <w:lang w:eastAsia="lv-LV"/>
              </w:rPr>
              <w:lastRenderedPageBreak/>
              <w:t>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Neparedz stingrākas </w:t>
            </w:r>
            <w:r w:rsidRPr="00386448">
              <w:rPr>
                <w:rFonts w:ascii="Times New Roman" w:eastAsia="Times New Roman" w:hAnsi="Times New Roman" w:cs="Times New Roman"/>
                <w:sz w:val="24"/>
                <w:szCs w:val="24"/>
                <w:lang w:eastAsia="lv-LV"/>
              </w:rPr>
              <w:lastRenderedPageBreak/>
              <w:t>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2008.gada 11.marta Regula (EK) Nr. 295/2008 par uzņēmējdarbības strukturālo statistiku (pārstrādāta versija)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14.1.–14.20., 14.23.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2008.gada 25.aprīļa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23.aprīļa Regula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 gada 6.jūnija Regula (EK) Nr. 507/2008, ar ko nosaka sīki izstrādātus noteikumus Padomes Regulas (EK) Nr. 1673/2000 par šķiedras linu un kaņepju tirgu kopīgo organizāciju piemērošanai (Kodificēta versija)</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2008.gada 27.jūnija Regula (EK) Nr. 617/2008 , ar ko nosaka sīki izstrādātus noteikumus Padomes Regulas (EK) Nr. 1234/2007 piemērošanai attiecībā uz inkubējamo olu un mājputnu cāļu ražošanu un tirdzniecību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2008.gada 14.jūlija Regula (EK) Nr. 665/2008, ar ko nosaka sīki izstrādātus piemērošanas noteikumus Padomes Regulai (EK) Nr. 199/2008 par Kopienas sistēmas izveidi datu vākšanai, pārvaldībai un izmantošanai zivsaimniecības nozarē un par atbalstu </w:t>
            </w:r>
            <w:r w:rsidRPr="00386448">
              <w:rPr>
                <w:rFonts w:ascii="Times New Roman" w:eastAsia="Times New Roman" w:hAnsi="Times New Roman" w:cs="Times New Roman"/>
                <w:sz w:val="24"/>
                <w:szCs w:val="24"/>
                <w:lang w:eastAsia="lv-LV"/>
              </w:rPr>
              <w:lastRenderedPageBreak/>
              <w:t>zinātniskā padoma izstrādei saistībā ar kopējo zivsaimniecības politiku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19.2.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2008.gada 9.jūlija Regula (EK) Nr. 762/2008 par to, kā dalībvalstis iesniedz statistiku par akvakultūru, un ar ko atceļ Padomes Regulu (EK) Nr. 788/96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19.2., 19.6.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2008.gada 5.septembra Regula (EK) Nr. 889/2008 ( 2008. gada 5. septembris ), ar ko paredz sīki izstrādātus bioloģiskās ražošanas, marķēšanas un kontroles noteikumus, lai īstenotu Padomes Regulu (EK) Nr. 834/2007 par bioloģisko ražošanu un bioloģisko produktu marķēšanu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17.21.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2008. gada 28. oktobra Regula (EK) Nr. 1062/2008, ar ko attiecībā uz sezonālās koriģēšanas procedūrām un kvalitātes ziņojumiem īsteno Eiropas Parlamenta un Padomes Regulu (EK) Nr. 453/2008 attiecībā uz ceturkšņa statistiku par brīvajām darbvietām Kopienā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 gada 22.oktobra Regula (EK) Nr. 1099/2008 par enerģētikas statistiku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21.1.–21.5., 21.9.–21.11., 21.19. un 21.20.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19.novembra Regula (EK) Nr. 1165/2008 par statistiku lauksaimniecības dzīvnieku un gaļas jomā, ar kuru atceļ Padomes Direktīvu Nr. 93/23/EEK, 93/24/EEK un 93/25/EEK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17.4., 17.5.1., 17.5.2., 17.6.1., 17.6.2., 17.7. un 17.13.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19.novembra Regula (EK) Nr. 1166/2008, kas attiecas uz lauku saimniecību struktūras apsekojumiem un lauksaimnieciskās ražošanas metožu apsekojumu un ar ko atceļ Padomes Regulu (EEK) Nr. 571/88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17.18. un 17.19.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2008.gada 8. decembra </w:t>
            </w:r>
            <w:r w:rsidRPr="00386448">
              <w:rPr>
                <w:rFonts w:ascii="Times New Roman" w:eastAsia="Times New Roman" w:hAnsi="Times New Roman" w:cs="Times New Roman"/>
                <w:sz w:val="24"/>
                <w:szCs w:val="24"/>
                <w:lang w:eastAsia="lv-LV"/>
              </w:rPr>
              <w:lastRenderedPageBreak/>
              <w:t>Regula (EK) Nr. 1242/2008 par Kopienas klasifikācijas izveidi lauku saimniecībām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w:t>
            </w:r>
            <w:r w:rsidRPr="00386448">
              <w:rPr>
                <w:rFonts w:ascii="Times New Roman" w:eastAsia="Times New Roman" w:hAnsi="Times New Roman" w:cs="Times New Roman"/>
                <w:sz w:val="24"/>
                <w:szCs w:val="24"/>
                <w:lang w:eastAsia="lv-LV"/>
              </w:rPr>
              <w:lastRenderedPageBreak/>
              <w:t>1. tabulas 17.8.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Nodrošina A ailē </w:t>
            </w:r>
            <w:r w:rsidRPr="00386448">
              <w:rPr>
                <w:rFonts w:ascii="Times New Roman" w:eastAsia="Times New Roman" w:hAnsi="Times New Roman" w:cs="Times New Roman"/>
                <w:sz w:val="24"/>
                <w:szCs w:val="24"/>
                <w:lang w:eastAsia="lv-LV"/>
              </w:rPr>
              <w:lastRenderedPageBreak/>
              <w:t>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Neparedz stingrākas </w:t>
            </w:r>
            <w:r w:rsidRPr="00386448">
              <w:rPr>
                <w:rFonts w:ascii="Times New Roman" w:eastAsia="Times New Roman" w:hAnsi="Times New Roman" w:cs="Times New Roman"/>
                <w:sz w:val="24"/>
                <w:szCs w:val="24"/>
                <w:lang w:eastAsia="lv-LV"/>
              </w:rPr>
              <w:lastRenderedPageBreak/>
              <w:t>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2008.gada 10. decembra Regula (EK) Nr. 1249/2008, ar ko paredz sīki izstrādātus noteikumus par Kopienas skalu ieviešanu liellopu, cūku un aitu liemeņu klasifikācijai un cenu paziņošanas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2008.gada 16. decembra Regula (EK) Nr. 1338/2008 attiecībā uz Kopienas statistiku par sabiedrības veselību un veselības aizsardzību un drošību darbā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9.1., 9.4., 9.5., 9.7., 9.10.–9.17., 9.21. un 9.22.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2007.gada 1.marta Regula (EK) Nr. 224/2007, ar ko groza Regulu (EK) Nr. 1216/2003 saistībā ar ekonomiskajām darbībām, uz kurām attiecas darbaspēka izmaksu indekss (Dokuments attiecas uz EEZ )</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2007.gada 25.aprīļa Regula (EK) Nr. 458/2007 par Eiropas Integrētās sociālās aizsardzības statistikas sistēmu ( ESSPROS )(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10.5. un 10.7.–10.10.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2007.gada 14.jūnija Regula (EK) Nr. 656/2007, ar ko groza Regulu (EK) Nr. 586/2001, ar kuru attiecībā uz ražošanas pamatgrupējumu (RP) definēšanu īsteno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15.1.1., 15.1.2. un 20.2.–20.4.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2007.gada 20.jūnija Regula (EK) Nr. 716/2007 attiecībā uz Kopienas statistiku par ārvalstu saistītu uzņēmumu struktūru un darbību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14.21. un 14.22.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2007.gada 11.jūlija Regulas (EK) Nr. 862/2007 par Kopienas statistiku attiecībā uz migrāciju un starptautisko aizsardzību, kā arī lai atceltu Padomes Regulu (EEK) Nr. 311/76 attiecībā uz statistikas vākšanu par ārvalstu darba ņēmējiem (Dokuments attiecas uz </w:t>
            </w:r>
            <w:r w:rsidRPr="00386448">
              <w:rPr>
                <w:rFonts w:ascii="Times New Roman" w:eastAsia="Times New Roman" w:hAnsi="Times New Roman" w:cs="Times New Roman"/>
                <w:sz w:val="24"/>
                <w:szCs w:val="24"/>
                <w:lang w:eastAsia="lv-LV"/>
              </w:rPr>
              <w:lastRenderedPageBreak/>
              <w:t>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6.1., 6.3., 6.5., 6.6. un 6.17.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2007.gada 11.jūlija Regula (EK) Nr. 862/2007 par Kopienas statistiku attiecībā uz migrāciju un starptautisko aizsardzību, kā arī lai atceltu Padomes Regulu (EEK) Nr. 311/76 attiecībā uz statistikas vākšanu par ārvalstu darba ņēmējiem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w:t>
            </w:r>
            <w:r w:rsidRPr="00386448">
              <w:rPr>
                <w:rFonts w:ascii="Times New Roman" w:eastAsia="Times New Roman" w:hAnsi="Times New Roman" w:cs="Times New Roman"/>
                <w:sz w:val="24"/>
                <w:szCs w:val="24"/>
                <w:lang w:eastAsia="lv-LV"/>
              </w:rPr>
              <w:br/>
              <w:t>6.18.–6.23. un 10.3.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2007.gada 11.jūlija Regula (EK) Nr. 862/2007 par Kopienas statistiku attiecībā uz migrāciju un starptautisko aizsardzību, kā arī lai atceltu Padomes Regulu (EEK) Nr. 311/76 attiecībā uz statistikas vākšanu par ārvalstu darba ņēmējiem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10.5. un 10.7.–10.10.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2007.gada 11.jūlija Regula (EK) Nr. 862/2007 par Kopienas statistiku attiecībā uz migrāciju un starptautisko aizsardzību, kā arī lai atceltu Padomes Regulu (EEK) Nr. 311/76 attiecībā uz statistikas vākšanu par ārvalstu darba ņēmējiem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 gada 13. novembra Regula Nr. 1392/2007, ar ko groza Padomes Regulu (EK) Nr. 2223/96 attiecībā uz nacionālo kontu datu nosūtīšanu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 1.7., 1.19.2. un 1.20.2.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2007. gada 11. decembra Regula Nr. 1445/2007, ar ko paredz kopējus noteikumus, lai sniegtu pamatinformāciju par pirktspējas paritātēm un lai tās aprēķinātu un izplatītu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5.5. un 27.1.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2006.gada 18.aprīļa Regula (EK) Nr. 602/2006, ar ko, atjauninot datu prasības, pielāgo Eiropas Parlamenta un Padomes Regulu (EK) Nr. 184/2005</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2.5.–2.9.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2006.gada 2.maija Regula (EK) Nr. 676/2006, ar ko groza </w:t>
            </w:r>
            <w:r w:rsidRPr="00386448">
              <w:rPr>
                <w:rFonts w:ascii="Times New Roman" w:eastAsia="Times New Roman" w:hAnsi="Times New Roman" w:cs="Times New Roman"/>
                <w:sz w:val="24"/>
                <w:szCs w:val="24"/>
                <w:lang w:eastAsia="lv-LV"/>
              </w:rPr>
              <w:lastRenderedPageBreak/>
              <w:t>Komisijas Regulu (EK) Nr. 1980/2003, ar ko īsteno Eiropas Parlamenta un Padomes Regulu (EK) Nr. 1177/2003 attiecībā uz Kopienas statistiku par ienākumiem un dzīves apstākļiem (EU-SILC) attiecībā uz definīcijām un atjauninātām definīcijām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1. tabulas </w:t>
            </w:r>
            <w:r w:rsidRPr="00386448">
              <w:rPr>
                <w:rFonts w:ascii="Times New Roman" w:eastAsia="Times New Roman" w:hAnsi="Times New Roman" w:cs="Times New Roman"/>
                <w:sz w:val="24"/>
                <w:szCs w:val="24"/>
                <w:lang w:eastAsia="lv-LV"/>
              </w:rPr>
              <w:lastRenderedPageBreak/>
              <w:t>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Nodrošina A ailē minētā ES tiesību </w:t>
            </w:r>
            <w:r w:rsidRPr="00386448">
              <w:rPr>
                <w:rFonts w:ascii="Times New Roman" w:eastAsia="Times New Roman" w:hAnsi="Times New Roman" w:cs="Times New Roman"/>
                <w:sz w:val="24"/>
                <w:szCs w:val="24"/>
                <w:lang w:eastAsia="lv-LV"/>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2006.gada 20.jūnija Regula (EK) Nr. 909/2006, ar ko groza I un II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1.22., 5.7.–5.11., 17.1., 17.4. un 17.14.–17.16.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2006.gada 28.septembra  Regula (EK) Nr. 1503/2006, ar ko īsteno un groza Padomes Regulu (EK) Nr. 1165/98 par īstermiņa statistiku attiecībā uz mainīgo lielumu definīcijām, mainīgo lielumu sarakstu un datu apkopošanas biežumu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15.1.1. un 15.1.2.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2006.gada 20.decembris Regula (EK) Nr. 1893/2006, ar ko izveido NACE 2. red. saimniecisko darbību statistisko klasifikāciju, kā arī groza Padomes Regulu (EEK) Nr. 3037/90 un dažas EK regulas par īpašām statistikas jomām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1.19.2., 1.20.2., 15.1.1., 15.1.2., 20.2.–20.4. un 24.1.–24.3.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2006.gada 18.decembra Regula (EK) Nr. 1921/2006, kas attiecas uz statistikas datu sniegšanu par dalībvalstīs izkrautajiem zvejniecības produktiem un ar ko atceļ Padomes Regulu (EEK) Nr. 1382/91 (Dokuments attiecas uz EEZ) 4.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2006.gada 18.decembra Regula (EK) Nr. 1921/2006, kas attiecas uz statistikas datu sniegšanu par dalībvalstīs izkrautajiem zvejniecības produktiem un ar ko atceļ Padomes Regulu (EEK) Nr. 1382/91 </w:t>
            </w:r>
            <w:r w:rsidRPr="00386448">
              <w:rPr>
                <w:rFonts w:ascii="Times New Roman" w:eastAsia="Times New Roman" w:hAnsi="Times New Roman" w:cs="Times New Roman"/>
                <w:sz w:val="24"/>
                <w:szCs w:val="24"/>
                <w:lang w:eastAsia="lv-LV"/>
              </w:rPr>
              <w:lastRenderedPageBreak/>
              <w:t>(Dokuments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19.2. un 19.7.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2005.gada 12.janvāra Regula (EK) Nr. 184/2005 par Kopienas statistiku attiecībā uz maksājumu bilanci, starptautisko pakalpojumu tirdzniecību un ārvalstu tiešajiem ieguldījumiem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2.5.–2.9.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2005.gada 26.janvāra Regula (EK, Euratom) Nr. 116/2005 par PVN atmaksu personām, kas nav nodokļu maksātājas, un nodokļa maksātājiem par to darbībām, kas atbrīvotas no nodokļa, lai piemērotu Padomes Regulu (EK, Euratom) Nr. 1287/2003 par to, kā saskaņot nacionālo kopienākumu tirgus cenās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2005.gada 24.februāra Regula (EK) Nr. 306/2005, ar ko groza I pielikumu Eiropas Parlamenta un Padomes Regulai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1.22., 5.7.–5.11., 17.1., 17.4. un 17.14. –17.16.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2005.gada 6.jūlija Regulas (EK) Nr. 1158/2005 ,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5.18.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2005.gada 6.jūlija Regulas (EK) Nr. 1158/2005 ,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24.1. un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2005.gada 6.jūlija Regulas (EK) Nr. 1158/2005 ,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5.4.  un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2005.gada 6.jūlija Regula (EK) Nr. 1158/2005 , ar ko groza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15.1.1. un 15.1.2.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Parlamenta un Padomes 2005.gada 6.jūlija Regula (EK) Nr. 1161/2005 par ceturkšņa nefinanšu kontu apkopošanu pa institucionāliem </w:t>
            </w:r>
            <w:r w:rsidRPr="00386448">
              <w:rPr>
                <w:rFonts w:ascii="Times New Roman" w:eastAsia="Times New Roman" w:hAnsi="Times New Roman" w:cs="Times New Roman"/>
                <w:sz w:val="24"/>
                <w:szCs w:val="24"/>
                <w:lang w:eastAsia="lv-LV"/>
              </w:rPr>
              <w:lastRenderedPageBreak/>
              <w:t>sektoriem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 xml:space="preserve">pielikuma 1. tabulas 1.4., 1.19.1., 1.19.2., 1.20.1., 1.20.2. </w:t>
            </w:r>
            <w:r w:rsidRPr="00386448">
              <w:rPr>
                <w:rFonts w:ascii="Times New Roman" w:eastAsia="Times New Roman" w:hAnsi="Times New Roman" w:cs="Times New Roman"/>
                <w:sz w:val="24"/>
                <w:szCs w:val="24"/>
                <w:lang w:eastAsia="lv-LV"/>
              </w:rPr>
              <w:lastRenderedPageBreak/>
              <w:t>un 23.4.1.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2005.gada 20.oktobra Regula (EK) Nr. 1722/2005 par mājokļu pakalpojumu novērtēšanas principiem saistībā ar Padomes Regulu (EK, Euratom) Nr. 1287/2003 par to, kā saskaņot nacionālo kopienākumu tirgus cenās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27.1.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2005. gada 21. oftobra Regula (EK) Nr. 1738/2005, ar ko groza Regulu (EK) Nr. 1916/2000 attiecībā uz informācijas par izpeļņas struktūru definēšanu un nosūtīšanu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2004.gada 5.janvāra Regula (EK) Nr. 28/2004, ar ko īsteno Eiropas Parlamenta un Padomes Regulu (EK) Nr. 1177/2003 par Kopienas statistiku attiecībā uz ienākumiem un dzīves apstākļiem (EU–SILC) saistībā ar starpposma un nobeiguma kvalitātes pārskatu sīku saturu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2003.gada 5.decembra Regula (EK) Nr. 138/2004 par ekonomikas pārskatiem Kopienas lauksaimniecībā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1.22., 5.7.–5.11., 17.1., 17.4. un 17.14.–17.16.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2004.gada 10.marta Regula (EK) Nr. 501/2004 par valsts pārvaldes ceturkšņa finanšu pārskatiem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1.8., 1.19.1. un 1.20.1.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2004.gada 31.marta Regula (EK) Nr. 638/2004 par Kopienas statistiku dalībvalstu savstarpējās preču tirdzniecības jomā un par Padomes Regulas (EEK) Nr. 3330/91 atcelšanu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4.2.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2004.gada 6.aprīļa Regula (EK) Nr. 642/2004 par to datu precizitātes prasībām, ko vāc saskaņā ar Padomes Regulu (EK) Nr. 1172/98 par statistikas pārskatiem, kuri attiecas uz kravu autopārvadājumiem </w:t>
            </w:r>
            <w:r w:rsidRPr="00386448">
              <w:rPr>
                <w:rFonts w:ascii="Times New Roman" w:eastAsia="Times New Roman" w:hAnsi="Times New Roman" w:cs="Times New Roman"/>
                <w:sz w:val="24"/>
                <w:szCs w:val="24"/>
                <w:lang w:eastAsia="lv-LV"/>
              </w:rPr>
              <w:lastRenderedPageBreak/>
              <w:t>(Dokuments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25.5.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Padomes 2004.gada 22.marta Regula (EK, Euratom) Nr. 723/2004, ar ko groza Eiropas Kopienu Civildienesta noteikumus un Kopienu pārējo darbinieku nodarbināšanas kārtību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2004. gada 21.aprīļa Regula (EK) Nr. 808/2004 attiecībā uz Kopienas statistiku par informācijas sabiedrību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29.1. un 29.2.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2004.gada 29. aprīļa Regula (EK) Nr. 912/2004, ar ko īsteno Padomes Regulu (EEK) Nr. 3924/91 par rūpnieciskās ražošanas Kopienas apsekojuma izveidi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2004.gada 28.jūnija Regula (EK) Nr. 1222/2004 par to, kā apkopot un sūtīt datus, kas attiecas uz valsts parādu ceturksnī</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1.9. un 1.26.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2002.gada 16.decembra Regula Nr. 91/2003 par dzelzceļa transporta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25.1.–25.4.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2003. gada 27.februāra Regula (EK) Nr. 450/2003 par darbaspēka izmaksu indeksu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2003.gada 27.marta Regula (EK) Nr. 546/2003 par dažiem paziņojumiem attiecībā uz Padomes Regulu (EEK) Nr. 2771/75, (EEK) Nr. 2777/75 un (EEK) Nr. 2783/75 piemērošanu olu un mājputnu gaļas nozarēs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2003.gada 26.maija Regula (EK) Nr. 1059/2003 par kopējas statistiski teritoriālo vienību klasifikācijas (NUTS) izveidi</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2003.gada 16.jūnija Regula (EK) Nr. 1177/2003 par Kopienas statistiku attiecībā uz ienākumiem un dzīves apstākļiem (EU-SILC)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2003.gada 3.jūlija Regula (EK) Nr. 1192/2003, ar ko groza Eiropas Parlamenta un Padomes Regulu (EK) Nr. 91/2003 par dzelzceļa transporta statistiku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25.1.–25.4.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2003.gada 7.jūlija Regula (EK) Nr. 1216/2003, ar ko ievieš Eiropas Parlamenta un Padomes Regulu (EK) Nr. 450/2003 par darbaspēka izmaksu indeksu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2003.gada 16.jūnija Regula (EK) Nr. 1267/2003, ar ko Padomes Regulu (EK) Nr. 2223/96 groza attiecībā uz nacionālo kontu galveno rādītāju nosūtīšanas termiņu, atkāpēm saistībā ar nacionālo kontu galveno rādītāju nosūtīšanu un nodarbinātības datu nosūtīšanu nostrādāto stundu izteiksmē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1.19.2. un 1.20.2.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2003.gada 31.jūlija Regula (EK) Nr. 1358/2003, ar ko īsteno Eiropas Parlamenta un Padomes Regulu (EK) Nr. 437/2003 par statistikas pārskatiem attiecībā uz pasažieru, kravu un pasta gaisa pārvadājumiem un ar ko groza tās I un II pielikumu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25.6.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2003. gada 12. septembra regula (EK) Nr. 1745/2003 par obligāto rezervju piemērošanu (ECB/2003/9)</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3.38.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2003.gada 21.oktobra Regula (EK) Nr. 1980/2003, ar ko īsteno Eiropas Parlamenta un Padomes Regulu (EK) Nr. 1177/2003 attiecībā uz Kopienas statistiku par ienākumiem un dzīves apstākļiem (EU-SILC) attiecībā uz definīcijām un atjauninātām definīcijām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2003.gada 21.oktobra Regula (EK) Nr. 1981/2003, ar ko īsteno Eiropas Parlamenta un </w:t>
            </w:r>
            <w:r w:rsidRPr="00386448">
              <w:rPr>
                <w:rFonts w:ascii="Times New Roman" w:eastAsia="Times New Roman" w:hAnsi="Times New Roman" w:cs="Times New Roman"/>
                <w:sz w:val="24"/>
                <w:szCs w:val="24"/>
                <w:lang w:eastAsia="lv-LV"/>
              </w:rPr>
              <w:lastRenderedPageBreak/>
              <w:t>Padomes Regulu (EK) Nr. 1177/2003 par Kopienas statistiku par ienākumiem un dzīves apstākļiem (EU-SILC) attiecībā uz faktiskā darba aspektiem un aprēķināšanas procedūrām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Nodrošina A ailē minētā ES tiesību akta prasību </w:t>
            </w:r>
            <w:r w:rsidRPr="00386448">
              <w:rPr>
                <w:rFonts w:ascii="Times New Roman" w:eastAsia="Times New Roman" w:hAnsi="Times New Roman" w:cs="Times New Roman"/>
                <w:sz w:val="24"/>
                <w:szCs w:val="24"/>
                <w:lang w:eastAsia="lv-LV"/>
              </w:rPr>
              <w:lastRenderedPageBreak/>
              <w:t>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2003.gada 21.oktobra Regula (EK) Nr. 1982/2003, ar ko īsteno Eiropas Parlamenta un Padomes Regulu (EK) Nr. 1177/2003 par Kopienas statistiku par ienākumiem un dzīves apstākļiem (EU-SILC) attiecībā uz izlasi un reģistrācijas noteikumiem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2003.gada 7.novembra Regula (EK) Nr. 1983/2003, ar ko īsteno Eiropas Parlamenta un Padomes Regulu (EK) Nr. 1177/2003 par Kopienas statistiku par ienākumiem un dzīves apstākļiem (EU-SILC) attiecībā uz primāro mērķa mainīgo lielumu sarakstu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2002. gada 23. janvāra Regula (EK) Nr. 113/2002, ar ko groza Padomes Regulu (EK) Nr. 2223/96 attiecībā uz pārskatītajām izdevumu veidu klasifikācijāmDokuments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2002.gada 12.februāra Regula (EK) Nr. 359/2002, ar ko Padomes Regulu (EK) Nr. 2223/96 groza attiecībā uz EKS 95 lietošanu, lai noteiktu dalībvalstu iemaksas pašu resursos no PVN</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Parlamenta un Padomes 2002.gada 10.jūnija Regula (EK) Nr. 1221/2002 par valsts ceturkšņa nefinanšu pārskatiem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2002.gada 23.oktobra Regula (EK) Nr. 1889/2002 par to, kā īstenot Padomes Regulu (EK) Nr. 448/98, ar ko papildina un groza Regulu (EK) Nr. 2223/96 attiecībā uz netieši novērtēto finanšu starpniecības pakalpojumu (FISIM) iedalīšanu Eiropas nacionālo un régionālo kontu sistēmā (EKS)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1.19.1., 1.20.1. un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2002.gada 8.oktobra Regula (EK) Nr. 1991/2002 par grozījumiem Padomes Regulā (EK) Nr. 577/98 par darbaspēka izlases veida apsekojuma organizēšanu Kopienā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2002. gada 25. novembra Regula (EK) Nr. 2150/2002 par statistiku attiecībā uz atkritumiem Dokuments attiecas uz EEZ</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28.20.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2001.gada 26.marta Regula (EK) Nr. 586/2001, ar ko attiecībā uz ražošanas pamatgrupējumu definēšanu īsteno Padomes Regulu (EK) Nr. 1165/98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20.2.–20.4.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2001.gada 22.maija Regula (EK) Nr. 995/2001, ar kuru īsteno Eiropas Parlamenta un Padomes Regulu (EK) Nr. 2516/2000, ar ko izdara izmaiņas Eiropas nacionālo un reģionālo kontu sistēmas Kopienā (ESA 95) kopējos principos attiecībā uz nodokļiem un sociālajām iemaksām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2000.gada 3.februāra Regula (EK) Nr. 264/2000  par Padomes Regulas (EK) Nr. 2223/96 īstenošanu attiecībā uz valsts finanšu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Komisijas Regula (EK) Nr. 1500/2000 (2000. gada 10. jūlijs) par Padomes Regulas (EK) Nr. 2223/96 īstenošanu attiecībā uz valsts izdevumiem un </w:t>
            </w:r>
            <w:r w:rsidRPr="00386448">
              <w:rPr>
                <w:rFonts w:ascii="Times New Roman" w:eastAsia="Times New Roman" w:hAnsi="Times New Roman" w:cs="Times New Roman"/>
                <w:sz w:val="24"/>
                <w:szCs w:val="24"/>
                <w:lang w:eastAsia="lv-LV"/>
              </w:rPr>
              <w:lastRenderedPageBreak/>
              <w:t>ieņēmumiem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1.5. un 1.7.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Komisijas 2000.gada 7.septembra Regula (EK) Nr. 1897/2000, ar ko īsteno Padomes Regulu (EK) Nr. 577/98 par darbaspēka izlases veida apsekojuma organizēšanu Kopienā attiecībā uz darbības definīciju bezdarbam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Parlamenta un Padomes 2000.gada 7.novembra Regula (EK) Nr. 2516/2000, ar ko izdara izmaiņas Eiropas nacionālo un reģionālo kontu sistēmas Kopienā (ESA 95) kopējos principos attiecībā uz nodokļiem un sociālajām iemaksām un groza Padomes Regulu (EK) Nr. 2223/96</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1999. gada 9.marta Regula (EK) Nr. 530/1999 par strukturālo statistiku attiecībā uz izpeļņu un darbaspēka izmaksām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15.5.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1998.gada 16.februāra Regula (EK) Nr. 448/98, ar ko papildina un groza Regulu (EK) Nr. 2223/96 attiecībā uz netieši novērtēto finanšu starpniecības pakalpojumu (FISIM) iedalīšanu Eiropas nacionālo un reģionālo kontu sistēmā (EKS)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1.19.1., 1.20.1. un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1998.gada 9.marta Regula (EK) Nr. 577/98 par darbaspēka izlases veida apsekojuma organizēšanu Kopienā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16.1.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Regulas (EK) Nr. 1165/98 (1998. gada 19. maijs)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Regulas (EK) Nr. 1165/98 (1998. gada 19. maijs)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Regula (EK) Nr. 1165/98 (1998. gada 19. maijs)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24.1.un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Regula (EK) Nr. 1165/98 (1998. gada 19. maijs)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Padomes Regula (EK) Nr. 1165/98 (1998. gada 19. maijs) par īstermiņa statistiku</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15.1.1., 15.1.2., 20.2.–20.4. un 22.1.–22.6.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1996.gada 25.jūnija Regula (EK) Nr. 2223/96 par Eiropas nacionālo un reģionālo kontu sistēmu Kopienā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1.10., 5.13. un 23.1.–23.3.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1995.gada 23.oktobra Regula (EK) 2494/95  par saskaņotajiem patēriņa cenu indeksiem</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5.1.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1993.gada 15.marta Regula (EEK) Nr. 696/93 par statistikas vienībām ražošanas sistēmas novērošanai un analīzei Kopienā</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13.1.–13.4.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1991.gada 19.decembra Regula (EEK) Nr. 3924/91 par rūpnieciskās ražošanas Kopienas apsekojuma izveidi</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Komisijas 1987.gada 22.decembra Regula (EEK) Nr. 3987/87, ar ko kombinētās nomenklatūras ieviešanas rezultātā groza dažādas regulas, kas nodrošina tirgu kopīgas organizācijas vienotu īstenošanu olu un mājputnu gaļas nozarē</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17.9.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386448"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Padomes 1968.gada 29.februāra Regula (EEK, Euratom, EOTK) Nr.259/68, ar ko nosaka Eiropas Kopienu Civildienesta noteikumus.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15.3.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2004. gada 16. jūlija Pamatnostādne par Eiropas Centrālās bankas prasībām attiecībā uz statistikas pārskatiem maksājumu bilances un starptautisko investīciju bilances statistikas jomā, kā arī starptautisko rezervju matricu (ECB/2004/15) (2004/808/EK)</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2.1. – 2.4. un 2.6. – 2.11.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 xml:space="preserve">Eiropas Centrālās bankas 2007. gada 31. maija Pamatnostādne, ar ko groza Pamatnostādni ECB/2004/15 par Eiropas Centrālās bankas prasībām attiecībā uz statistikas pārskatiem maksājumu bilances un starptautisko investīciju bilances statistikas jomā, </w:t>
            </w:r>
            <w:r w:rsidRPr="00386448">
              <w:rPr>
                <w:rFonts w:ascii="Times New Roman" w:eastAsia="Times New Roman" w:hAnsi="Times New Roman" w:cs="Times New Roman"/>
                <w:sz w:val="24"/>
                <w:szCs w:val="24"/>
                <w:lang w:eastAsia="lv-LV"/>
              </w:rPr>
              <w:lastRenderedPageBreak/>
              <w:t>kā arī starptautisko rezervju matricu (ECB/2007/3) (2007/426/EK)</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pielikuma 1. tabulas 2.1. – 2.4. un 2.6. – 2.11.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lastRenderedPageBreak/>
              <w:t>Eiropas Centrālās bankas 2007. gada 1.  augusta Pamatnostādne par monetāro, finanšu iestāžu un tirgu statistiku (pārstrādāta) (ECB/2007/9) (2007/830/EK)</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3.10.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2013. gada 25. jūlija Pamatnostādne par valdības finanšu statistiku (pārstrādāta versija) (ECB/2013/23)</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1.12.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2013. gada 25. jūlija Pamatnostādne par ECB statistikas pārskatu sniegšanas prasībām ceturkšņa finanšu pārskatu jomā (pārstrādāta versija) (ECB/2013/24) (2014/3/ES)</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1.24.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75044B" w:rsidTr="007C0B0F">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Eiropas Centrālās bankas 2014. gada 4. aprīļa Pamatnostādne par monetāro un finanšu statistiku (pārstrādātā versija) (ECB/2014/15)</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pielikuma 1. tabulas 3.8. punkts</w:t>
            </w:r>
          </w:p>
        </w:tc>
        <w:tc>
          <w:tcPr>
            <w:tcW w:w="2118"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hideMark/>
          </w:tcPr>
          <w:p w:rsidR="00E94502" w:rsidRPr="00386448" w:rsidRDefault="00E94502" w:rsidP="007C0B0F">
            <w:pPr>
              <w:spacing w:after="0" w:line="240" w:lineRule="auto"/>
              <w:rPr>
                <w:rFonts w:ascii="Times New Roman" w:eastAsia="Times New Roman" w:hAnsi="Times New Roman" w:cs="Times New Roman"/>
                <w:sz w:val="24"/>
                <w:szCs w:val="24"/>
                <w:lang w:eastAsia="lv-LV"/>
              </w:rPr>
            </w:pPr>
            <w:r w:rsidRPr="00386448">
              <w:rPr>
                <w:rFonts w:ascii="Times New Roman" w:eastAsia="Times New Roman" w:hAnsi="Times New Roman" w:cs="Times New Roman"/>
                <w:sz w:val="24"/>
                <w:szCs w:val="24"/>
                <w:lang w:eastAsia="lv-LV"/>
              </w:rPr>
              <w:t>Neparedz stingrākas prasības</w:t>
            </w:r>
          </w:p>
        </w:tc>
      </w:tr>
      <w:tr w:rsidR="00E94502" w:rsidRPr="002C5318" w:rsidTr="007C0B0F">
        <w:trPr>
          <w:jc w:val="center"/>
        </w:trPr>
        <w:tc>
          <w:tcPr>
            <w:tcW w:w="3784" w:type="dxa"/>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2C5318">
              <w:rPr>
                <w:rFonts w:ascii="Times New Roman" w:eastAsia="Times New Roman" w:hAnsi="Times New Roman" w:cs="Times New Roman"/>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EB363C">
              <w:rPr>
                <w:rFonts w:ascii="Times New Roman" w:eastAsia="Times New Roman" w:hAnsi="Times New Roman" w:cs="Times New Roman"/>
                <w:sz w:val="24"/>
                <w:szCs w:val="24"/>
                <w:lang w:eastAsia="lv-LV"/>
              </w:rPr>
              <w:t>Noteikumu projekts šo jomu neskar.</w:t>
            </w:r>
          </w:p>
        </w:tc>
      </w:tr>
      <w:tr w:rsidR="00E94502" w:rsidRPr="002C5318" w:rsidTr="007C0B0F">
        <w:trPr>
          <w:jc w:val="center"/>
        </w:trPr>
        <w:tc>
          <w:tcPr>
            <w:tcW w:w="3784" w:type="dxa"/>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V </w:t>
            </w:r>
            <w:r w:rsidRPr="00EB363C">
              <w:rPr>
                <w:rFonts w:ascii="Times New Roman" w:eastAsia="Times New Roman" w:hAnsi="Times New Roman" w:cs="Times New Roman"/>
                <w:sz w:val="24"/>
                <w:szCs w:val="24"/>
                <w:lang w:eastAsia="lv-LV"/>
              </w:rPr>
              <w:t>sadaļas 1.</w:t>
            </w:r>
            <w:r>
              <w:rPr>
                <w:rFonts w:ascii="Times New Roman" w:eastAsia="Times New Roman" w:hAnsi="Times New Roman" w:cs="Times New Roman"/>
                <w:sz w:val="24"/>
                <w:szCs w:val="24"/>
                <w:lang w:eastAsia="lv-LV"/>
              </w:rPr>
              <w:t> </w:t>
            </w:r>
            <w:r w:rsidRPr="00EB363C">
              <w:rPr>
                <w:rFonts w:ascii="Times New Roman" w:eastAsia="Times New Roman" w:hAnsi="Times New Roman" w:cs="Times New Roman"/>
                <w:sz w:val="24"/>
                <w:szCs w:val="24"/>
                <w:lang w:eastAsia="lv-LV"/>
              </w:rPr>
              <w:t xml:space="preserve"> tabulu</w:t>
            </w:r>
          </w:p>
        </w:tc>
      </w:tr>
      <w:tr w:rsidR="00E94502" w:rsidRPr="002C5318" w:rsidTr="007C0B0F">
        <w:trPr>
          <w:jc w:val="center"/>
        </w:trPr>
        <w:tc>
          <w:tcPr>
            <w:tcW w:w="3784" w:type="dxa"/>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rsidR="00E94502" w:rsidRPr="002C5318" w:rsidRDefault="00E94502" w:rsidP="007C0B0F">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94502" w:rsidRPr="002C5318" w:rsidTr="007C0B0F">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E94502" w:rsidRPr="002C5318" w:rsidRDefault="00E94502" w:rsidP="007C0B0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2.tabula</w:t>
            </w:r>
            <w:r w:rsidRPr="002C531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2C5318">
              <w:rPr>
                <w:rFonts w:ascii="Times New Roman" w:eastAsia="Times New Roman" w:hAnsi="Times New Roman" w:cs="Times New Roman"/>
                <w:b/>
                <w:bCs/>
                <w:sz w:val="24"/>
                <w:szCs w:val="24"/>
                <w:lang w:eastAsia="lv-LV"/>
              </w:rPr>
              <w:br/>
              <w:t>Pasākumi šo saistību izpildei</w:t>
            </w:r>
          </w:p>
        </w:tc>
      </w:tr>
      <w:tr w:rsidR="00E94502" w:rsidRPr="00EB363C" w:rsidTr="007C0B0F">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rsidR="00E94502" w:rsidRPr="00EB363C" w:rsidRDefault="00E94502" w:rsidP="007C0B0F">
            <w:pPr>
              <w:spacing w:before="100" w:beforeAutospacing="1" w:after="100" w:afterAutospacing="1" w:line="240" w:lineRule="auto"/>
              <w:rPr>
                <w:rFonts w:ascii="Times New Roman" w:eastAsia="Times New Roman" w:hAnsi="Times New Roman" w:cs="Times New Roman"/>
                <w:bCs/>
                <w:sz w:val="24"/>
                <w:szCs w:val="24"/>
                <w:lang w:eastAsia="lv-LV"/>
              </w:rPr>
            </w:pPr>
            <w:r w:rsidRPr="00EB363C">
              <w:rPr>
                <w:rFonts w:ascii="Times New Roman" w:eastAsia="Times New Roman" w:hAnsi="Times New Roman" w:cs="Times New Roman"/>
                <w:bCs/>
                <w:sz w:val="24"/>
                <w:szCs w:val="24"/>
                <w:lang w:eastAsia="lv-LV"/>
              </w:rPr>
              <w:t>Nav</w:t>
            </w:r>
          </w:p>
        </w:tc>
      </w:tr>
    </w:tbl>
    <w:p w:rsidR="00A13DD6" w:rsidRDefault="002C5318"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 </w:t>
      </w:r>
    </w:p>
    <w:tbl>
      <w:tblPr>
        <w:tblStyle w:val="TableGrid"/>
        <w:tblW w:w="5822" w:type="pct"/>
        <w:tblInd w:w="-743" w:type="dxa"/>
        <w:tblLook w:val="04A0" w:firstRow="1" w:lastRow="0" w:firstColumn="1" w:lastColumn="0" w:noHBand="0" w:noVBand="1"/>
      </w:tblPr>
      <w:tblGrid>
        <w:gridCol w:w="425"/>
        <w:gridCol w:w="4110"/>
        <w:gridCol w:w="5388"/>
      </w:tblGrid>
      <w:tr w:rsidR="00A13DD6" w:rsidRPr="00C637C6" w:rsidTr="00A13DD6">
        <w:trPr>
          <w:trHeight w:val="420"/>
        </w:trPr>
        <w:tc>
          <w:tcPr>
            <w:tcW w:w="5000" w:type="pct"/>
            <w:gridSpan w:val="3"/>
            <w:hideMark/>
          </w:tcPr>
          <w:p w:rsidR="008B1476" w:rsidRPr="00C637C6" w:rsidRDefault="00A13DD6" w:rsidP="008B1476">
            <w:pPr>
              <w:spacing w:before="100" w:beforeAutospacing="1" w:after="100" w:afterAutospacing="1"/>
              <w:jc w:val="center"/>
              <w:rPr>
                <w:rFonts w:ascii="Times New Roman" w:eastAsia="Times New Roman" w:hAnsi="Times New Roman" w:cs="Times New Roman"/>
                <w:b/>
                <w:bCs/>
                <w:sz w:val="24"/>
                <w:szCs w:val="24"/>
                <w:lang w:eastAsia="lv-LV"/>
              </w:rPr>
            </w:pPr>
            <w:r w:rsidRPr="00C637C6">
              <w:rPr>
                <w:rFonts w:ascii="Times New Roman" w:eastAsia="Times New Roman" w:hAnsi="Times New Roman" w:cs="Times New Roman"/>
                <w:b/>
                <w:bCs/>
                <w:sz w:val="24"/>
                <w:szCs w:val="24"/>
                <w:lang w:eastAsia="lv-LV"/>
              </w:rPr>
              <w:t>VI. Sabiedrības līdzdalība un komunikācijas aktivitātes</w:t>
            </w:r>
          </w:p>
        </w:tc>
      </w:tr>
      <w:tr w:rsidR="00A13DD6" w:rsidRPr="00C637C6" w:rsidTr="00A13DD6">
        <w:trPr>
          <w:trHeight w:val="540"/>
        </w:trPr>
        <w:tc>
          <w:tcPr>
            <w:tcW w:w="214"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1.</w:t>
            </w:r>
          </w:p>
        </w:tc>
        <w:tc>
          <w:tcPr>
            <w:tcW w:w="2071"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rsidR="00A13DD6" w:rsidRPr="00C637C6" w:rsidRDefault="00A13DD6" w:rsidP="008B147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13DD6" w:rsidRPr="00C637C6" w:rsidTr="00A13DD6">
        <w:trPr>
          <w:trHeight w:val="330"/>
        </w:trPr>
        <w:tc>
          <w:tcPr>
            <w:tcW w:w="214"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lastRenderedPageBreak/>
              <w:t>2.</w:t>
            </w:r>
          </w:p>
        </w:tc>
        <w:tc>
          <w:tcPr>
            <w:tcW w:w="2071"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Sabiedrības līdzdalība projekta izstrādē</w:t>
            </w:r>
          </w:p>
        </w:tc>
        <w:tc>
          <w:tcPr>
            <w:tcW w:w="2715" w:type="pct"/>
            <w:hideMark/>
          </w:tcPr>
          <w:p w:rsidR="00A13DD6" w:rsidRPr="00C637C6" w:rsidRDefault="00A13DD6" w:rsidP="00532A1B">
            <w:pPr>
              <w:rPr>
                <w:rFonts w:ascii="Times New Roman" w:eastAsia="Times New Roman" w:hAnsi="Times New Roman" w:cs="Times New Roman"/>
                <w:sz w:val="24"/>
                <w:szCs w:val="24"/>
                <w:lang w:eastAsia="lv-LV"/>
              </w:rPr>
            </w:pPr>
            <w:r w:rsidRPr="00A13DD6">
              <w:rPr>
                <w:rFonts w:ascii="Times New Roman" w:eastAsia="Times New Roman" w:hAnsi="Times New Roman" w:cs="Times New Roman"/>
                <w:sz w:val="24"/>
                <w:szCs w:val="24"/>
                <w:lang w:eastAsia="lv-LV"/>
              </w:rPr>
              <w:t>2014.</w:t>
            </w:r>
            <w:r>
              <w:rPr>
                <w:rFonts w:ascii="Times New Roman" w:eastAsia="Times New Roman" w:hAnsi="Times New Roman" w:cs="Times New Roman"/>
                <w:sz w:val="24"/>
                <w:szCs w:val="24"/>
                <w:lang w:eastAsia="lv-LV"/>
              </w:rPr>
              <w:t> </w:t>
            </w:r>
            <w:r w:rsidRPr="00A13DD6">
              <w:rPr>
                <w:rFonts w:ascii="Times New Roman" w:eastAsia="Times New Roman" w:hAnsi="Times New Roman" w:cs="Times New Roman"/>
                <w:sz w:val="24"/>
                <w:szCs w:val="24"/>
                <w:lang w:eastAsia="lv-LV"/>
              </w:rPr>
              <w:t xml:space="preserve">gada </w:t>
            </w:r>
            <w:r w:rsidR="00532A1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augustā</w:t>
            </w:r>
            <w:r w:rsidRPr="00A13D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Centrālā statistikas pārvalde</w:t>
            </w:r>
            <w:r w:rsidRPr="00A13DD6">
              <w:rPr>
                <w:rFonts w:ascii="Times New Roman" w:eastAsia="Times New Roman" w:hAnsi="Times New Roman" w:cs="Times New Roman"/>
                <w:sz w:val="24"/>
                <w:szCs w:val="24"/>
                <w:lang w:eastAsia="lv-LV"/>
              </w:rPr>
              <w:t xml:space="preserve"> publicēja MK noteikumu projektu savā māj</w:t>
            </w:r>
            <w:r w:rsidR="003D58AE">
              <w:rPr>
                <w:rFonts w:ascii="Times New Roman" w:eastAsia="Times New Roman" w:hAnsi="Times New Roman" w:cs="Times New Roman"/>
                <w:sz w:val="24"/>
                <w:szCs w:val="24"/>
                <w:lang w:eastAsia="lv-LV"/>
              </w:rPr>
              <w:t>aslapā sabiedrības apspriešanai, noteiktajā termiņā netika saņemts neviens priekšlikums vai ierosinājums.</w:t>
            </w:r>
          </w:p>
        </w:tc>
      </w:tr>
      <w:tr w:rsidR="00A13DD6" w:rsidRPr="00C637C6" w:rsidTr="00A13DD6">
        <w:trPr>
          <w:trHeight w:val="465"/>
        </w:trPr>
        <w:tc>
          <w:tcPr>
            <w:tcW w:w="214"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3.</w:t>
            </w:r>
          </w:p>
        </w:tc>
        <w:tc>
          <w:tcPr>
            <w:tcW w:w="2071"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Sabiedrības līdzdalības rezultāti</w:t>
            </w:r>
          </w:p>
        </w:tc>
        <w:tc>
          <w:tcPr>
            <w:tcW w:w="2715" w:type="pct"/>
            <w:hideMark/>
          </w:tcPr>
          <w:p w:rsidR="00A13DD6" w:rsidRPr="00C637C6" w:rsidRDefault="00A13DD6" w:rsidP="008B147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13DD6" w:rsidRPr="00C637C6" w:rsidTr="00A13DD6">
        <w:trPr>
          <w:trHeight w:val="465"/>
        </w:trPr>
        <w:tc>
          <w:tcPr>
            <w:tcW w:w="214"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4.</w:t>
            </w:r>
          </w:p>
        </w:tc>
        <w:tc>
          <w:tcPr>
            <w:tcW w:w="2071" w:type="pct"/>
            <w:hideMark/>
          </w:tcPr>
          <w:p w:rsidR="00A13DD6" w:rsidRPr="00C637C6" w:rsidRDefault="00A13DD6" w:rsidP="008B1476">
            <w:pPr>
              <w:rPr>
                <w:rFonts w:ascii="Times New Roman" w:eastAsia="Times New Roman" w:hAnsi="Times New Roman" w:cs="Times New Roman"/>
                <w:sz w:val="24"/>
                <w:szCs w:val="24"/>
                <w:lang w:eastAsia="lv-LV"/>
              </w:rPr>
            </w:pPr>
            <w:r w:rsidRPr="00C637C6">
              <w:rPr>
                <w:rFonts w:ascii="Times New Roman" w:eastAsia="Times New Roman" w:hAnsi="Times New Roman" w:cs="Times New Roman"/>
                <w:sz w:val="24"/>
                <w:szCs w:val="24"/>
                <w:lang w:eastAsia="lv-LV"/>
              </w:rPr>
              <w:t>Cita informācija</w:t>
            </w:r>
          </w:p>
        </w:tc>
        <w:tc>
          <w:tcPr>
            <w:tcW w:w="2715" w:type="pct"/>
            <w:hideMark/>
          </w:tcPr>
          <w:p w:rsidR="008B1476" w:rsidRPr="00C637C6" w:rsidRDefault="00A13DD6" w:rsidP="008B1476">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13DD6" w:rsidRPr="002C5318" w:rsidRDefault="00A13DD6" w:rsidP="002C5318">
      <w:pPr>
        <w:spacing w:before="100" w:beforeAutospacing="1" w:after="100" w:afterAutospacing="1" w:line="240" w:lineRule="auto"/>
        <w:rPr>
          <w:rFonts w:ascii="Times New Roman" w:eastAsia="Times New Roman" w:hAnsi="Times New Roman" w:cs="Times New Roman"/>
          <w:sz w:val="24"/>
          <w:szCs w:val="24"/>
          <w:lang w:eastAsia="lv-LV"/>
        </w:rPr>
      </w:pPr>
    </w:p>
    <w:tbl>
      <w:tblPr>
        <w:tblW w:w="5910" w:type="pct"/>
        <w:jc w:val="center"/>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4053"/>
        <w:gridCol w:w="5471"/>
      </w:tblGrid>
      <w:tr w:rsidR="002C5318" w:rsidRPr="002C5318"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2C5318" w:rsidRDefault="002C5318" w:rsidP="0079786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C5318">
              <w:rPr>
                <w:rFonts w:ascii="Times New Roman" w:eastAsia="Times New Roman" w:hAnsi="Times New Roman" w:cs="Times New Roman"/>
                <w:b/>
                <w:bCs/>
                <w:sz w:val="24"/>
                <w:szCs w:val="24"/>
                <w:lang w:eastAsia="lv-LV"/>
              </w:rPr>
              <w:t>VII. Tiesību akta projekta izpildes nodrošināšana un tās ietekme uz institūcijām</w:t>
            </w:r>
          </w:p>
        </w:tc>
      </w:tr>
      <w:tr w:rsidR="002C5318" w:rsidRPr="002C5318"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2C5318" w:rsidRPr="002C5318" w:rsidRDefault="006A2935" w:rsidP="002C5318">
            <w:pPr>
              <w:spacing w:after="0" w:line="240" w:lineRule="auto"/>
              <w:rPr>
                <w:rFonts w:ascii="Times New Roman" w:eastAsia="Times New Roman" w:hAnsi="Times New Roman" w:cs="Times New Roman"/>
                <w:sz w:val="24"/>
                <w:szCs w:val="24"/>
                <w:lang w:eastAsia="lv-LV"/>
              </w:rPr>
            </w:pPr>
            <w:r w:rsidRPr="006A2935">
              <w:rPr>
                <w:rFonts w:ascii="Times New Roman" w:eastAsia="Times New Roman" w:hAnsi="Times New Roman" w:cs="Times New Roman"/>
                <w:sz w:val="24"/>
                <w:szCs w:val="24"/>
                <w:lang w:eastAsia="lv-LV"/>
              </w:rPr>
              <w:t>Centrālā statistikas pārvalde, visas ministrijas un citas valsts institūcijas</w:t>
            </w:r>
          </w:p>
        </w:tc>
      </w:tr>
      <w:tr w:rsidR="002C5318" w:rsidRPr="002C5318"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rsidR="002C5318" w:rsidRPr="002C5318" w:rsidRDefault="002C5318" w:rsidP="006A2935">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Projekta izpildes ietekme uz pārvaldes funkcijām un institucionālo strukt</w:t>
            </w:r>
            <w:r w:rsidR="006A2935">
              <w:rPr>
                <w:rFonts w:ascii="Times New Roman" w:eastAsia="Times New Roman" w:hAnsi="Times New Roman" w:cs="Times New Roman"/>
                <w:sz w:val="24"/>
                <w:szCs w:val="24"/>
                <w:lang w:eastAsia="lv-LV"/>
              </w:rPr>
              <w:t xml:space="preserve">ūru. </w:t>
            </w:r>
            <w:r w:rsidRPr="002C531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2C5318" w:rsidRPr="002C5318" w:rsidRDefault="001E3C95" w:rsidP="00A657A1">
            <w:pPr>
              <w:spacing w:before="100" w:beforeAutospacing="1" w:after="100" w:afterAutospacing="1" w:line="240" w:lineRule="auto"/>
              <w:rPr>
                <w:rFonts w:ascii="Times New Roman" w:eastAsia="Times New Roman" w:hAnsi="Times New Roman" w:cs="Times New Roman"/>
                <w:sz w:val="24"/>
                <w:szCs w:val="24"/>
                <w:lang w:eastAsia="lv-LV"/>
              </w:rPr>
            </w:pPr>
            <w:r w:rsidRPr="001E3C95">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Pr>
                <w:rFonts w:ascii="Times New Roman" w:eastAsia="Times New Roman" w:hAnsi="Times New Roman" w:cs="Times New Roman"/>
                <w:sz w:val="24"/>
                <w:szCs w:val="24"/>
                <w:lang w:eastAsia="lv-LV"/>
              </w:rPr>
              <w:t>.</w:t>
            </w:r>
            <w:r>
              <w:t xml:space="preserve"> </w:t>
            </w:r>
            <w:r w:rsidRPr="001E3C95">
              <w:rPr>
                <w:rFonts w:ascii="Times New Roman" w:eastAsia="Times New Roman" w:hAnsi="Times New Roman" w:cs="Times New Roman"/>
                <w:sz w:val="24"/>
                <w:szCs w:val="24"/>
                <w:lang w:eastAsia="lv-LV"/>
              </w:rPr>
              <w:t>MK noteikuma projekta izpildei Pārvaldei un citām institūcijām nav nepieciešamas jaunas amata vietas</w:t>
            </w:r>
            <w:r>
              <w:rPr>
                <w:rFonts w:ascii="Times New Roman" w:eastAsia="Times New Roman" w:hAnsi="Times New Roman" w:cs="Times New Roman"/>
                <w:sz w:val="24"/>
                <w:szCs w:val="24"/>
                <w:lang w:eastAsia="lv-LV"/>
              </w:rPr>
              <w:t xml:space="preserve">. </w:t>
            </w:r>
          </w:p>
        </w:tc>
      </w:tr>
      <w:tr w:rsidR="002C5318" w:rsidRPr="002C5318"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rsidR="002C5318" w:rsidRPr="002C5318" w:rsidRDefault="002C5318" w:rsidP="002C5318">
            <w:pPr>
              <w:spacing w:after="0" w:line="240" w:lineRule="auto"/>
              <w:rPr>
                <w:rFonts w:ascii="Times New Roman" w:eastAsia="Times New Roman" w:hAnsi="Times New Roman" w:cs="Times New Roman"/>
                <w:sz w:val="24"/>
                <w:szCs w:val="24"/>
                <w:lang w:eastAsia="lv-LV"/>
              </w:rPr>
            </w:pPr>
            <w:r w:rsidRPr="002C5318">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2C5318" w:rsidRPr="002C5318" w:rsidRDefault="006A2935" w:rsidP="002C5318">
            <w:pPr>
              <w:spacing w:before="100" w:beforeAutospacing="1" w:after="100" w:afterAutospacing="1" w:line="240" w:lineRule="auto"/>
              <w:rPr>
                <w:rFonts w:ascii="Times New Roman" w:eastAsia="Times New Roman" w:hAnsi="Times New Roman" w:cs="Times New Roman"/>
                <w:sz w:val="24"/>
                <w:szCs w:val="24"/>
                <w:lang w:eastAsia="lv-LV"/>
              </w:rPr>
            </w:pPr>
            <w:r w:rsidRPr="006A2935">
              <w:rPr>
                <w:rFonts w:ascii="Times New Roman" w:eastAsia="Times New Roman" w:hAnsi="Times New Roman" w:cs="Times New Roman"/>
                <w:sz w:val="24"/>
                <w:szCs w:val="24"/>
                <w:lang w:eastAsia="lv-LV"/>
              </w:rPr>
              <w:t>Nav.</w:t>
            </w:r>
          </w:p>
        </w:tc>
      </w:tr>
    </w:tbl>
    <w:p w:rsidR="006A2935" w:rsidRDefault="006A2935" w:rsidP="006A2935"/>
    <w:p w:rsidR="006A2935" w:rsidRPr="006A2935" w:rsidRDefault="00A13DD6" w:rsidP="006A2935">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Anotācijas III un </w:t>
      </w:r>
      <w:r w:rsidR="006A2935" w:rsidRPr="006A2935">
        <w:rPr>
          <w:rFonts w:ascii="Times New Roman" w:eastAsia="Times New Roman" w:hAnsi="Times New Roman" w:cs="Times New Roman"/>
          <w:sz w:val="28"/>
          <w:szCs w:val="28"/>
          <w:lang w:eastAsia="lv-LV"/>
        </w:rPr>
        <w:t>IV sadaļa – projekts šīs jomas neskar.</w:t>
      </w:r>
    </w:p>
    <w:p w:rsidR="006A2935" w:rsidRPr="006A2935" w:rsidRDefault="006A2935" w:rsidP="006A2935">
      <w:pPr>
        <w:jc w:val="both"/>
        <w:rPr>
          <w:rFonts w:ascii="Times New Roman" w:eastAsia="Times New Roman" w:hAnsi="Times New Roman" w:cs="Times New Roman"/>
          <w:sz w:val="28"/>
          <w:szCs w:val="28"/>
          <w:lang w:eastAsia="lv-LV"/>
        </w:rPr>
      </w:pPr>
    </w:p>
    <w:p w:rsidR="006A2935" w:rsidRPr="006A2935" w:rsidRDefault="006A2935" w:rsidP="006A2935">
      <w:pPr>
        <w:jc w:val="both"/>
        <w:rPr>
          <w:rFonts w:ascii="Times New Roman" w:eastAsia="Times New Roman" w:hAnsi="Times New Roman" w:cs="Times New Roman"/>
          <w:sz w:val="28"/>
          <w:szCs w:val="28"/>
          <w:lang w:eastAsia="lv-LV"/>
        </w:rPr>
      </w:pPr>
      <w:r w:rsidRPr="006A2935">
        <w:rPr>
          <w:rFonts w:ascii="Times New Roman" w:eastAsia="Times New Roman" w:hAnsi="Times New Roman" w:cs="Times New Roman"/>
          <w:sz w:val="28"/>
          <w:szCs w:val="28"/>
          <w:lang w:eastAsia="lv-LV"/>
        </w:rPr>
        <w:t>Ekonomikas ministr</w:t>
      </w:r>
      <w:r w:rsidR="00BC3589">
        <w:rPr>
          <w:rFonts w:ascii="Times New Roman" w:eastAsia="Times New Roman" w:hAnsi="Times New Roman" w:cs="Times New Roman"/>
          <w:sz w:val="28"/>
          <w:szCs w:val="28"/>
          <w:lang w:eastAsia="lv-LV"/>
        </w:rPr>
        <w:t>e</w:t>
      </w:r>
      <w:r w:rsidRPr="006A2935">
        <w:rPr>
          <w:rFonts w:ascii="Times New Roman" w:eastAsia="Times New Roman" w:hAnsi="Times New Roman" w:cs="Times New Roman"/>
          <w:sz w:val="28"/>
          <w:szCs w:val="28"/>
          <w:lang w:eastAsia="lv-LV"/>
        </w:rPr>
        <w:tab/>
      </w:r>
      <w:r w:rsidR="00F43002">
        <w:rPr>
          <w:rFonts w:ascii="Times New Roman" w:eastAsia="Times New Roman" w:hAnsi="Times New Roman" w:cs="Times New Roman"/>
          <w:sz w:val="28"/>
          <w:szCs w:val="28"/>
          <w:lang w:eastAsia="lv-LV"/>
        </w:rPr>
        <w:tab/>
      </w:r>
      <w:r w:rsidR="00F43002">
        <w:rPr>
          <w:rFonts w:ascii="Times New Roman" w:eastAsia="Times New Roman" w:hAnsi="Times New Roman" w:cs="Times New Roman"/>
          <w:sz w:val="28"/>
          <w:szCs w:val="28"/>
          <w:lang w:eastAsia="lv-LV"/>
        </w:rPr>
        <w:tab/>
      </w:r>
      <w:r w:rsidR="00F43002">
        <w:rPr>
          <w:rFonts w:ascii="Times New Roman" w:eastAsia="Times New Roman" w:hAnsi="Times New Roman" w:cs="Times New Roman"/>
          <w:sz w:val="28"/>
          <w:szCs w:val="28"/>
          <w:lang w:eastAsia="lv-LV"/>
        </w:rPr>
        <w:tab/>
      </w:r>
      <w:r w:rsidR="00F43002">
        <w:rPr>
          <w:rFonts w:ascii="Times New Roman" w:eastAsia="Times New Roman" w:hAnsi="Times New Roman" w:cs="Times New Roman"/>
          <w:sz w:val="28"/>
          <w:szCs w:val="28"/>
          <w:lang w:eastAsia="lv-LV"/>
        </w:rPr>
        <w:tab/>
      </w:r>
      <w:r w:rsidR="00BC3589" w:rsidRPr="00BC3589">
        <w:rPr>
          <w:rFonts w:ascii="Times New Roman" w:eastAsia="Times New Roman" w:hAnsi="Times New Roman" w:cs="Times New Roman"/>
          <w:sz w:val="28"/>
          <w:szCs w:val="28"/>
          <w:lang w:eastAsia="lv-LV"/>
        </w:rPr>
        <w:t>D</w:t>
      </w:r>
      <w:r w:rsidR="00BC3589">
        <w:rPr>
          <w:rFonts w:ascii="Times New Roman" w:eastAsia="Times New Roman" w:hAnsi="Times New Roman" w:cs="Times New Roman"/>
          <w:sz w:val="28"/>
          <w:szCs w:val="28"/>
          <w:lang w:eastAsia="lv-LV"/>
        </w:rPr>
        <w:t>. </w:t>
      </w:r>
      <w:r w:rsidR="00BC3589" w:rsidRPr="00BC3589">
        <w:rPr>
          <w:rFonts w:ascii="Times New Roman" w:eastAsia="Times New Roman" w:hAnsi="Times New Roman" w:cs="Times New Roman"/>
          <w:sz w:val="28"/>
          <w:szCs w:val="28"/>
          <w:lang w:eastAsia="lv-LV"/>
        </w:rPr>
        <w:t>Reizniece-Ozola</w:t>
      </w:r>
    </w:p>
    <w:p w:rsidR="006A2935" w:rsidRPr="006A2935" w:rsidRDefault="006A2935" w:rsidP="006A2935">
      <w:pPr>
        <w:jc w:val="both"/>
        <w:rPr>
          <w:rFonts w:ascii="Times New Roman" w:eastAsia="Times New Roman" w:hAnsi="Times New Roman" w:cs="Times New Roman"/>
          <w:sz w:val="28"/>
          <w:szCs w:val="28"/>
          <w:lang w:eastAsia="lv-LV"/>
        </w:rPr>
      </w:pPr>
    </w:p>
    <w:p w:rsidR="00475BA9" w:rsidRPr="00475BA9" w:rsidRDefault="006A2935" w:rsidP="00475BA9">
      <w:pPr>
        <w:jc w:val="both"/>
        <w:rPr>
          <w:rFonts w:ascii="Times New Roman" w:eastAsia="Times New Roman" w:hAnsi="Times New Roman" w:cs="Times New Roman"/>
          <w:sz w:val="28"/>
          <w:szCs w:val="28"/>
          <w:lang w:eastAsia="lv-LV"/>
        </w:rPr>
      </w:pPr>
      <w:r w:rsidRPr="006A2935">
        <w:rPr>
          <w:rFonts w:ascii="Times New Roman" w:eastAsia="Times New Roman" w:hAnsi="Times New Roman" w:cs="Times New Roman"/>
          <w:sz w:val="28"/>
          <w:szCs w:val="28"/>
          <w:lang w:eastAsia="lv-LV"/>
        </w:rPr>
        <w:t xml:space="preserve">Vīza: </w:t>
      </w:r>
      <w:r w:rsidR="00475BA9" w:rsidRPr="00475BA9">
        <w:rPr>
          <w:rFonts w:ascii="Times New Roman" w:eastAsia="Times New Roman" w:hAnsi="Times New Roman" w:cs="Times New Roman"/>
          <w:sz w:val="28"/>
          <w:szCs w:val="28"/>
          <w:lang w:eastAsia="lv-LV"/>
        </w:rPr>
        <w:t xml:space="preserve">valsts sekretāra pienākumu izpildītāja </w:t>
      </w:r>
    </w:p>
    <w:p w:rsidR="00475BA9" w:rsidRPr="00475BA9" w:rsidRDefault="00475BA9" w:rsidP="00475BA9">
      <w:pPr>
        <w:jc w:val="both"/>
        <w:rPr>
          <w:rFonts w:ascii="Times New Roman" w:eastAsia="Times New Roman" w:hAnsi="Times New Roman" w:cs="Times New Roman"/>
          <w:sz w:val="28"/>
          <w:szCs w:val="28"/>
          <w:lang w:eastAsia="lv-LV"/>
        </w:rPr>
      </w:pPr>
      <w:r w:rsidRPr="00475BA9">
        <w:rPr>
          <w:rFonts w:ascii="Times New Roman" w:eastAsia="Times New Roman" w:hAnsi="Times New Roman" w:cs="Times New Roman"/>
          <w:sz w:val="28"/>
          <w:szCs w:val="28"/>
          <w:lang w:eastAsia="lv-LV"/>
        </w:rPr>
        <w:t xml:space="preserve">Stratēģiskās plānošanas un resursu vadības </w:t>
      </w:r>
    </w:p>
    <w:p w:rsidR="006A2935" w:rsidRPr="006A2935" w:rsidRDefault="00475BA9" w:rsidP="00475BA9">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departamenta direktore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40530D">
        <w:rPr>
          <w:rFonts w:ascii="Times New Roman" w:eastAsia="Times New Roman" w:hAnsi="Times New Roman" w:cs="Times New Roman"/>
          <w:sz w:val="28"/>
          <w:szCs w:val="28"/>
          <w:lang w:eastAsia="lv-LV"/>
        </w:rPr>
        <w:t>V. Feodorova</w:t>
      </w:r>
      <w:bookmarkStart w:id="2" w:name="_GoBack"/>
      <w:bookmarkEnd w:id="2"/>
    </w:p>
    <w:p w:rsidR="006A2935" w:rsidRDefault="006A2935" w:rsidP="006A2935">
      <w:pPr>
        <w:rPr>
          <w:rFonts w:ascii="Times New Roman" w:eastAsia="Times New Roman" w:hAnsi="Times New Roman" w:cs="Times New Roman"/>
          <w:sz w:val="28"/>
          <w:szCs w:val="28"/>
          <w:lang w:eastAsia="lv-LV"/>
        </w:rPr>
      </w:pPr>
    </w:p>
    <w:p w:rsidR="006A2935" w:rsidRDefault="006A2935" w:rsidP="006A2935">
      <w:pPr>
        <w:rPr>
          <w:rFonts w:ascii="Times New Roman" w:eastAsia="Times New Roman" w:hAnsi="Times New Roman" w:cs="Times New Roman"/>
          <w:sz w:val="28"/>
          <w:szCs w:val="28"/>
          <w:lang w:eastAsia="lv-LV"/>
        </w:rPr>
      </w:pPr>
    </w:p>
    <w:p w:rsidR="006A2935" w:rsidRPr="006A2935" w:rsidRDefault="0005570E" w:rsidP="0037623A">
      <w:pPr>
        <w:spacing w:after="0" w:line="240" w:lineRule="auto"/>
        <w:ind w:right="40"/>
        <w:jc w:val="both"/>
        <w:rPr>
          <w:rFonts w:ascii="Times New Roman" w:hAnsi="Times New Roman" w:cs="Times New Roman"/>
          <w:noProof/>
          <w:sz w:val="20"/>
          <w:szCs w:val="20"/>
        </w:rPr>
      </w:pPr>
      <w:r>
        <w:rPr>
          <w:rFonts w:ascii="Times New Roman" w:hAnsi="Times New Roman" w:cs="Times New Roman"/>
          <w:noProof/>
          <w:sz w:val="20"/>
          <w:szCs w:val="20"/>
        </w:rPr>
        <w:t>05.12.2014.</w:t>
      </w:r>
    </w:p>
    <w:p w:rsidR="00D40183" w:rsidRPr="00D40183" w:rsidRDefault="00D40183" w:rsidP="00D40183">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475BA9">
        <w:rPr>
          <w:rFonts w:ascii="Times New Roman" w:hAnsi="Times New Roman" w:cs="Times New Roman"/>
          <w:noProof/>
          <w:sz w:val="20"/>
          <w:szCs w:val="20"/>
        </w:rPr>
        <w:t>10496</w:t>
      </w:r>
      <w:r>
        <w:rPr>
          <w:rFonts w:ascii="Times New Roman" w:hAnsi="Times New Roman" w:cs="Times New Roman"/>
          <w:sz w:val="20"/>
          <w:szCs w:val="20"/>
        </w:rPr>
        <w:fldChar w:fldCharType="end"/>
      </w:r>
    </w:p>
    <w:p w:rsidR="006A2935" w:rsidRPr="00D40183" w:rsidRDefault="006A2935" w:rsidP="00D40183">
      <w:pPr>
        <w:pStyle w:val="naisf"/>
        <w:tabs>
          <w:tab w:val="left" w:pos="6804"/>
        </w:tabs>
        <w:spacing w:before="0" w:beforeAutospacing="0" w:after="0" w:afterAutospacing="0"/>
        <w:rPr>
          <w:sz w:val="20"/>
          <w:szCs w:val="20"/>
        </w:rPr>
      </w:pPr>
      <w:r w:rsidRPr="00D40183">
        <w:rPr>
          <w:sz w:val="20"/>
          <w:szCs w:val="20"/>
        </w:rPr>
        <w:t>I.</w:t>
      </w:r>
      <w:r w:rsidR="00144D58" w:rsidRPr="00D40183">
        <w:rPr>
          <w:sz w:val="20"/>
          <w:szCs w:val="20"/>
        </w:rPr>
        <w:t> </w:t>
      </w:r>
      <w:r w:rsidRPr="00D40183">
        <w:rPr>
          <w:sz w:val="20"/>
          <w:szCs w:val="20"/>
        </w:rPr>
        <w:t>Kurme</w:t>
      </w:r>
    </w:p>
    <w:p w:rsidR="006A2935" w:rsidRPr="00D40183" w:rsidRDefault="006A2935" w:rsidP="00D40183">
      <w:pPr>
        <w:pStyle w:val="naisf"/>
        <w:tabs>
          <w:tab w:val="left" w:pos="6804"/>
        </w:tabs>
        <w:spacing w:before="0" w:beforeAutospacing="0" w:after="0" w:afterAutospacing="0"/>
        <w:rPr>
          <w:sz w:val="20"/>
          <w:szCs w:val="20"/>
        </w:rPr>
      </w:pPr>
      <w:r w:rsidRPr="00D40183">
        <w:rPr>
          <w:sz w:val="20"/>
          <w:szCs w:val="20"/>
        </w:rPr>
        <w:t>67366619</w:t>
      </w:r>
    </w:p>
    <w:p w:rsidR="006A2935" w:rsidRPr="006A2935" w:rsidRDefault="006A2935" w:rsidP="0037623A">
      <w:pPr>
        <w:pStyle w:val="naisf"/>
        <w:tabs>
          <w:tab w:val="left" w:pos="6804"/>
        </w:tabs>
        <w:spacing w:before="0" w:beforeAutospacing="0" w:after="0" w:afterAutospacing="0"/>
        <w:rPr>
          <w:sz w:val="20"/>
          <w:szCs w:val="20"/>
        </w:rPr>
      </w:pPr>
      <w:r w:rsidRPr="006A2935">
        <w:rPr>
          <w:sz w:val="20"/>
          <w:szCs w:val="20"/>
        </w:rPr>
        <w:t>Ieva.Kurme@csb.gov.lv</w:t>
      </w:r>
    </w:p>
    <w:sectPr w:rsidR="006A2935" w:rsidRPr="006A2935" w:rsidSect="00B2286B">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FE" w:rsidRDefault="00CF61FE" w:rsidP="00744B0E">
      <w:pPr>
        <w:spacing w:after="0" w:line="240" w:lineRule="auto"/>
      </w:pPr>
      <w:r>
        <w:separator/>
      </w:r>
    </w:p>
  </w:endnote>
  <w:endnote w:type="continuationSeparator" w:id="0">
    <w:p w:rsidR="00CF61FE" w:rsidRDefault="00CF61FE" w:rsidP="0074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FE" w:rsidRPr="00735228" w:rsidRDefault="00CF61FE" w:rsidP="00735228">
    <w:pPr>
      <w:pStyle w:val="Footer"/>
      <w:tabs>
        <w:tab w:val="clear" w:pos="4513"/>
        <w:tab w:val="clear" w:pos="9026"/>
        <w:tab w:val="center" w:pos="4153"/>
      </w:tabs>
      <w:rPr>
        <w:rFonts w:ascii="Times New Roman" w:hAnsi="Times New Roman" w:cs="Times New Roman"/>
        <w:sz w:val="20"/>
        <w:szCs w:val="20"/>
      </w:rPr>
    </w:pPr>
    <w:r w:rsidRPr="00735228">
      <w:rPr>
        <w:rFonts w:ascii="Times New Roman" w:hAnsi="Times New Roman" w:cs="Times New Roman"/>
        <w:sz w:val="20"/>
        <w:szCs w:val="20"/>
      </w:rPr>
      <w:fldChar w:fldCharType="begin"/>
    </w:r>
    <w:r w:rsidRPr="00735228">
      <w:rPr>
        <w:rFonts w:ascii="Times New Roman" w:hAnsi="Times New Roman" w:cs="Times New Roman"/>
        <w:sz w:val="20"/>
        <w:szCs w:val="20"/>
      </w:rPr>
      <w:instrText xml:space="preserve"> FILENAME   \* MERGEFORMAT </w:instrText>
    </w:r>
    <w:r w:rsidRPr="00735228">
      <w:rPr>
        <w:rFonts w:ascii="Times New Roman" w:hAnsi="Times New Roman" w:cs="Times New Roman"/>
        <w:sz w:val="20"/>
        <w:szCs w:val="20"/>
      </w:rPr>
      <w:fldChar w:fldCharType="separate"/>
    </w:r>
    <w:r w:rsidR="0005570E">
      <w:rPr>
        <w:rFonts w:ascii="Times New Roman" w:hAnsi="Times New Roman" w:cs="Times New Roman"/>
        <w:noProof/>
        <w:sz w:val="20"/>
        <w:szCs w:val="20"/>
      </w:rPr>
      <w:t>EMAnot_05122014_statistika</w:t>
    </w:r>
    <w:r w:rsidRPr="00735228">
      <w:rPr>
        <w:rFonts w:ascii="Times New Roman" w:hAnsi="Times New Roman" w:cs="Times New Roman"/>
        <w:sz w:val="20"/>
        <w:szCs w:val="20"/>
      </w:rPr>
      <w:fldChar w:fldCharType="end"/>
    </w:r>
    <w:r w:rsidRPr="00735228">
      <w:rPr>
        <w:rFonts w:ascii="Times New Roman" w:hAnsi="Times New Roman" w:cs="Times New Roman"/>
        <w:sz w:val="20"/>
        <w:szCs w:val="20"/>
      </w:rPr>
      <w:t xml:space="preserve">, </w:t>
    </w:r>
    <w:r>
      <w:rPr>
        <w:rFonts w:ascii="Times New Roman" w:hAnsi="Times New Roman" w:cs="Times New Roman"/>
        <w:sz w:val="20"/>
        <w:szCs w:val="20"/>
      </w:rPr>
      <w:t>Noteikumi par Valsts statistiskās informācijas programmu 2015.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86B" w:rsidRPr="00735228" w:rsidRDefault="00B2286B" w:rsidP="00B2286B">
    <w:pPr>
      <w:pStyle w:val="Footer"/>
      <w:tabs>
        <w:tab w:val="clear" w:pos="4513"/>
        <w:tab w:val="clear" w:pos="9026"/>
        <w:tab w:val="center" w:pos="4153"/>
      </w:tabs>
      <w:rPr>
        <w:rFonts w:ascii="Times New Roman" w:hAnsi="Times New Roman" w:cs="Times New Roman"/>
        <w:sz w:val="20"/>
        <w:szCs w:val="20"/>
      </w:rPr>
    </w:pPr>
    <w:r w:rsidRPr="00735228">
      <w:rPr>
        <w:rFonts w:ascii="Times New Roman" w:hAnsi="Times New Roman" w:cs="Times New Roman"/>
        <w:sz w:val="20"/>
        <w:szCs w:val="20"/>
      </w:rPr>
      <w:fldChar w:fldCharType="begin"/>
    </w:r>
    <w:r w:rsidRPr="00735228">
      <w:rPr>
        <w:rFonts w:ascii="Times New Roman" w:hAnsi="Times New Roman" w:cs="Times New Roman"/>
        <w:sz w:val="20"/>
        <w:szCs w:val="20"/>
      </w:rPr>
      <w:instrText xml:space="preserve"> FILENAME   \* MERGEFORMAT </w:instrText>
    </w:r>
    <w:r w:rsidRPr="00735228">
      <w:rPr>
        <w:rFonts w:ascii="Times New Roman" w:hAnsi="Times New Roman" w:cs="Times New Roman"/>
        <w:sz w:val="20"/>
        <w:szCs w:val="20"/>
      </w:rPr>
      <w:fldChar w:fldCharType="separate"/>
    </w:r>
    <w:r w:rsidR="00C31E94">
      <w:rPr>
        <w:rFonts w:ascii="Times New Roman" w:hAnsi="Times New Roman" w:cs="Times New Roman"/>
        <w:noProof/>
        <w:sz w:val="20"/>
        <w:szCs w:val="20"/>
      </w:rPr>
      <w:t>EMAnot_05122014_statistika</w:t>
    </w:r>
    <w:r w:rsidRPr="00735228">
      <w:rPr>
        <w:rFonts w:ascii="Times New Roman" w:hAnsi="Times New Roman" w:cs="Times New Roman"/>
        <w:sz w:val="20"/>
        <w:szCs w:val="20"/>
      </w:rPr>
      <w:fldChar w:fldCharType="end"/>
    </w:r>
    <w:r w:rsidRPr="00735228">
      <w:rPr>
        <w:rFonts w:ascii="Times New Roman" w:hAnsi="Times New Roman" w:cs="Times New Roman"/>
        <w:sz w:val="20"/>
        <w:szCs w:val="20"/>
      </w:rPr>
      <w:t xml:space="preserve">, </w:t>
    </w:r>
    <w:r>
      <w:rPr>
        <w:rFonts w:ascii="Times New Roman" w:hAnsi="Times New Roman" w:cs="Times New Roman"/>
        <w:sz w:val="20"/>
        <w:szCs w:val="20"/>
      </w:rPr>
      <w:t>Noteikumi par Valsts statistiskās informācijas programmu 2015. gadam</w:t>
    </w:r>
  </w:p>
  <w:p w:rsidR="001E01C8" w:rsidRDefault="001E0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FE" w:rsidRDefault="00CF61FE" w:rsidP="00744B0E">
      <w:pPr>
        <w:spacing w:after="0" w:line="240" w:lineRule="auto"/>
      </w:pPr>
      <w:r>
        <w:separator/>
      </w:r>
    </w:p>
  </w:footnote>
  <w:footnote w:type="continuationSeparator" w:id="0">
    <w:p w:rsidR="00CF61FE" w:rsidRDefault="00CF61FE" w:rsidP="00744B0E">
      <w:pPr>
        <w:spacing w:after="0" w:line="240" w:lineRule="auto"/>
      </w:pPr>
      <w:r>
        <w:continuationSeparator/>
      </w:r>
    </w:p>
  </w:footnote>
  <w:footnote w:id="1">
    <w:p w:rsidR="00CF61FE" w:rsidRPr="00744B0E" w:rsidRDefault="00CF61FE" w:rsidP="009D10E9">
      <w:pPr>
        <w:pStyle w:val="FootnoteText"/>
        <w:rPr>
          <w:rFonts w:ascii="Times New Roman" w:hAnsi="Times New Roman" w:cs="Times New Roman"/>
        </w:rPr>
      </w:pPr>
      <w:r w:rsidRPr="00744B0E">
        <w:rPr>
          <w:rStyle w:val="FootnoteReference"/>
          <w:rFonts w:ascii="Times New Roman" w:hAnsi="Times New Roman" w:cs="Times New Roman"/>
        </w:rPr>
        <w:footnoteRef/>
      </w:r>
      <w:r w:rsidRPr="00744B0E">
        <w:rPr>
          <w:rFonts w:ascii="Times New Roman" w:hAnsi="Times New Roman" w:cs="Times New Roman"/>
        </w:rPr>
        <w:t xml:space="preserve"> </w:t>
      </w:r>
      <w:r>
        <w:rPr>
          <w:rFonts w:ascii="Times New Roman" w:hAnsi="Times New Roman" w:cs="Times New Roman"/>
        </w:rPr>
        <w:t>0.05 EUR (vienas papīra lapas izmaksas) × 7 (izmantoto lapu skaits) + 0.06 EUR (aploksnes cena) + 1.55 EUR (ierakstītas vēstules izmaksas)</w:t>
      </w:r>
    </w:p>
  </w:footnote>
  <w:footnote w:id="2">
    <w:p w:rsidR="00CF61FE" w:rsidRPr="00B263C3" w:rsidRDefault="00CF61FE" w:rsidP="009D10E9">
      <w:pPr>
        <w:pStyle w:val="FootnoteText"/>
        <w:rPr>
          <w:rFonts w:ascii="Times New Roman" w:hAnsi="Times New Roman" w:cs="Times New Roman"/>
        </w:rPr>
      </w:pPr>
      <w:r w:rsidRPr="00B263C3">
        <w:rPr>
          <w:rStyle w:val="FootnoteReference"/>
          <w:rFonts w:ascii="Times New Roman" w:hAnsi="Times New Roman" w:cs="Times New Roman"/>
        </w:rPr>
        <w:footnoteRef/>
      </w:r>
      <w:r w:rsidRPr="00B263C3">
        <w:rPr>
          <w:rFonts w:ascii="Times New Roman" w:hAnsi="Times New Roman" w:cs="Times New Roman"/>
        </w:rPr>
        <w:t xml:space="preserve"> 0.05 EUR (vienas papīra lapas izmaksas) × 2 (izmantoto lapu skaits) + 0.06 EUR (aploksnes cena) + 3.53 EUR (ierakstītas papīra sūtījuma izmaksas)</w:t>
      </w:r>
    </w:p>
  </w:footnote>
  <w:footnote w:id="3">
    <w:p w:rsidR="00CF61FE" w:rsidRPr="00B263C3" w:rsidRDefault="00CF61FE" w:rsidP="009D10E9">
      <w:pPr>
        <w:pStyle w:val="FootnoteText"/>
        <w:rPr>
          <w:rFonts w:ascii="Times New Roman" w:hAnsi="Times New Roman" w:cs="Times New Roman"/>
        </w:rPr>
      </w:pPr>
      <w:r w:rsidRPr="00B263C3">
        <w:rPr>
          <w:rStyle w:val="FootnoteReference"/>
          <w:rFonts w:ascii="Times New Roman" w:hAnsi="Times New Roman" w:cs="Times New Roman"/>
        </w:rPr>
        <w:footnoteRef/>
      </w:r>
      <w:r w:rsidRPr="00B263C3">
        <w:rPr>
          <w:rFonts w:ascii="Times New Roman" w:hAnsi="Times New Roman" w:cs="Times New Roman"/>
        </w:rPr>
        <w:t xml:space="preserve"> 0.33 h (ziņu ievadīšana par 1 valstī reģistrēto noziedzīgo nodarījumu) × 50 000 (noziedzīgo nodarījumu skaits vidēji gadā) </w:t>
      </w:r>
    </w:p>
  </w:footnote>
  <w:footnote w:id="4">
    <w:p w:rsidR="00CF61FE" w:rsidRPr="00B263C3" w:rsidRDefault="00CF61FE" w:rsidP="009D10E9">
      <w:pPr>
        <w:pStyle w:val="FootnoteText"/>
        <w:rPr>
          <w:rFonts w:ascii="Times New Roman" w:hAnsi="Times New Roman" w:cs="Times New Roman"/>
        </w:rPr>
      </w:pPr>
      <w:r w:rsidRPr="00B263C3">
        <w:rPr>
          <w:rStyle w:val="FootnoteReference"/>
          <w:rFonts w:ascii="Times New Roman" w:hAnsi="Times New Roman" w:cs="Times New Roman"/>
        </w:rPr>
        <w:footnoteRef/>
      </w:r>
      <w:r w:rsidRPr="00B263C3">
        <w:rPr>
          <w:rFonts w:ascii="Times New Roman" w:hAnsi="Times New Roman" w:cs="Times New Roman"/>
        </w:rPr>
        <w:t xml:space="preserve"> IT vidējās izmaksas gadā, programmatūras uzturēšana</w:t>
      </w:r>
    </w:p>
  </w:footnote>
  <w:footnote w:id="5">
    <w:p w:rsidR="00CF61FE" w:rsidRPr="00B263C3" w:rsidRDefault="00CF61FE" w:rsidP="009D10E9">
      <w:pPr>
        <w:pStyle w:val="FootnoteText"/>
        <w:rPr>
          <w:rFonts w:ascii="Times New Roman" w:hAnsi="Times New Roman" w:cs="Times New Roman"/>
        </w:rPr>
      </w:pPr>
      <w:r w:rsidRPr="00B263C3">
        <w:rPr>
          <w:rStyle w:val="FootnoteReference"/>
          <w:rFonts w:ascii="Times New Roman" w:hAnsi="Times New Roman" w:cs="Times New Roman"/>
        </w:rPr>
        <w:footnoteRef/>
      </w:r>
      <w:r w:rsidRPr="00B263C3">
        <w:rPr>
          <w:rFonts w:ascii="Times New Roman" w:hAnsi="Times New Roman" w:cs="Times New Roman"/>
        </w:rPr>
        <w:t xml:space="preserve"> vecākā referenta atlīdzība (35 amatu saime, 2 līmenis, 9 mēnešalgu grupas 3.kategorija, atlīdzība mēnesī 1228,48 eiro (tai skaitā atalgojums 994 eiro) x 12 = 14 742 </w:t>
      </w:r>
      <w:r w:rsidRPr="00B263C3">
        <w:rPr>
          <w:rFonts w:ascii="Times New Roman" w:hAnsi="Times New Roman" w:cs="Times New Roman"/>
          <w:i/>
        </w:rPr>
        <w:t>euro</w:t>
      </w:r>
      <w:r w:rsidRPr="00B263C3">
        <w:rPr>
          <w:rFonts w:ascii="Times New Roman" w:hAnsi="Times New Roman" w:cs="Times New Roman"/>
        </w:rPr>
        <w:t>)</w:t>
      </w:r>
    </w:p>
  </w:footnote>
  <w:footnote w:id="6">
    <w:p w:rsidR="00CF61FE" w:rsidRPr="00114F2F" w:rsidRDefault="00CF61FE" w:rsidP="009D10E9">
      <w:pPr>
        <w:pStyle w:val="FootnoteText"/>
        <w:rPr>
          <w:rFonts w:ascii="Times New Roman" w:hAnsi="Times New Roman" w:cs="Times New Roman"/>
        </w:rPr>
      </w:pPr>
      <w:r>
        <w:rPr>
          <w:rStyle w:val="FootnoteReference"/>
        </w:rPr>
        <w:footnoteRef/>
      </w:r>
      <w:r>
        <w:t xml:space="preserve"> </w:t>
      </w:r>
      <w:r w:rsidRPr="00D8093F">
        <w:rPr>
          <w:rFonts w:ascii="Times New Roman" w:hAnsi="Times New Roman" w:cs="Times New Roman"/>
        </w:rPr>
        <w:t>elektroni</w:t>
      </w:r>
      <w:r w:rsidRPr="00114F2F">
        <w:rPr>
          <w:rFonts w:ascii="Times New Roman" w:hAnsi="Times New Roman" w:cs="Times New Roman"/>
        </w:rPr>
        <w:t>skās datubāzes „Latvijas digitālā kultūras karte” uzturētājs</w:t>
      </w:r>
    </w:p>
  </w:footnote>
  <w:footnote w:id="7">
    <w:p w:rsidR="00CF61FE" w:rsidRPr="00114F2F" w:rsidRDefault="00CF61FE" w:rsidP="009D10E9">
      <w:pPr>
        <w:pStyle w:val="FootnoteText"/>
        <w:rPr>
          <w:rFonts w:ascii="Times New Roman" w:hAnsi="Times New Roman" w:cs="Times New Roman"/>
        </w:rPr>
      </w:pPr>
      <w:r>
        <w:rPr>
          <w:rStyle w:val="FootnoteReference"/>
          <w:rFonts w:ascii="Times New Roman" w:hAnsi="Times New Roman" w:cs="Times New Roman"/>
        </w:rPr>
        <w:t>7</w:t>
      </w:r>
      <w:r w:rsidRPr="00114F2F">
        <w:rPr>
          <w:rFonts w:ascii="Times New Roman" w:hAnsi="Times New Roman" w:cs="Times New Roman"/>
        </w:rPr>
        <w:t xml:space="preserve"> par valsts statistikas sagatavošanu atbildīgā institūcija norāda, ka administratīvās izmaksas nerodas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8872"/>
      <w:docPartObj>
        <w:docPartGallery w:val="Page Numbers (Top of Page)"/>
        <w:docPartUnique/>
      </w:docPartObj>
    </w:sdtPr>
    <w:sdtEndPr>
      <w:rPr>
        <w:rFonts w:ascii="Times New Roman" w:hAnsi="Times New Roman" w:cs="Times New Roman"/>
        <w:noProof/>
        <w:sz w:val="20"/>
        <w:szCs w:val="20"/>
      </w:rPr>
    </w:sdtEndPr>
    <w:sdtContent>
      <w:p w:rsidR="00CF61FE" w:rsidRPr="00735228" w:rsidRDefault="00CF61FE">
        <w:pPr>
          <w:pStyle w:val="Header"/>
          <w:jc w:val="center"/>
          <w:rPr>
            <w:rFonts w:ascii="Times New Roman" w:hAnsi="Times New Roman" w:cs="Times New Roman"/>
            <w:sz w:val="20"/>
            <w:szCs w:val="20"/>
          </w:rPr>
        </w:pPr>
        <w:r w:rsidRPr="00735228">
          <w:rPr>
            <w:rFonts w:ascii="Times New Roman" w:hAnsi="Times New Roman" w:cs="Times New Roman"/>
            <w:sz w:val="20"/>
            <w:szCs w:val="20"/>
          </w:rPr>
          <w:fldChar w:fldCharType="begin"/>
        </w:r>
        <w:r w:rsidRPr="00735228">
          <w:rPr>
            <w:rFonts w:ascii="Times New Roman" w:hAnsi="Times New Roman" w:cs="Times New Roman"/>
            <w:sz w:val="20"/>
            <w:szCs w:val="20"/>
          </w:rPr>
          <w:instrText xml:space="preserve"> PAGE   \* MERGEFORMAT </w:instrText>
        </w:r>
        <w:r w:rsidRPr="00735228">
          <w:rPr>
            <w:rFonts w:ascii="Times New Roman" w:hAnsi="Times New Roman" w:cs="Times New Roman"/>
            <w:sz w:val="20"/>
            <w:szCs w:val="20"/>
          </w:rPr>
          <w:fldChar w:fldCharType="separate"/>
        </w:r>
        <w:r w:rsidR="0040530D">
          <w:rPr>
            <w:rFonts w:ascii="Times New Roman" w:hAnsi="Times New Roman" w:cs="Times New Roman"/>
            <w:noProof/>
            <w:sz w:val="20"/>
            <w:szCs w:val="20"/>
          </w:rPr>
          <w:t>33</w:t>
        </w:r>
        <w:r w:rsidRPr="00735228">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1FE" w:rsidRPr="00735228" w:rsidRDefault="00CF61FE" w:rsidP="00735228">
    <w:pPr>
      <w:pStyle w:val="Header"/>
      <w:jc w:val="cent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02"/>
    <w:rsid w:val="00037348"/>
    <w:rsid w:val="00050197"/>
    <w:rsid w:val="0005570E"/>
    <w:rsid w:val="000608A5"/>
    <w:rsid w:val="00066251"/>
    <w:rsid w:val="00075E14"/>
    <w:rsid w:val="00087D6C"/>
    <w:rsid w:val="00093655"/>
    <w:rsid w:val="00094DCD"/>
    <w:rsid w:val="000A3C0B"/>
    <w:rsid w:val="000D602F"/>
    <w:rsid w:val="00114F2F"/>
    <w:rsid w:val="0012041E"/>
    <w:rsid w:val="00122DA1"/>
    <w:rsid w:val="00133F55"/>
    <w:rsid w:val="00134B4E"/>
    <w:rsid w:val="00140E93"/>
    <w:rsid w:val="00144D58"/>
    <w:rsid w:val="00160954"/>
    <w:rsid w:val="00163DA6"/>
    <w:rsid w:val="00165AA7"/>
    <w:rsid w:val="001A02D7"/>
    <w:rsid w:val="001A0F81"/>
    <w:rsid w:val="001C32CE"/>
    <w:rsid w:val="001D096A"/>
    <w:rsid w:val="001D7421"/>
    <w:rsid w:val="001E01C8"/>
    <w:rsid w:val="001E1666"/>
    <w:rsid w:val="001E3C95"/>
    <w:rsid w:val="001E6F50"/>
    <w:rsid w:val="001F148A"/>
    <w:rsid w:val="001F19C7"/>
    <w:rsid w:val="00210BC4"/>
    <w:rsid w:val="00215B11"/>
    <w:rsid w:val="00216974"/>
    <w:rsid w:val="00223CD9"/>
    <w:rsid w:val="00241F64"/>
    <w:rsid w:val="002A1776"/>
    <w:rsid w:val="002C0D3C"/>
    <w:rsid w:val="002C5318"/>
    <w:rsid w:val="002E1853"/>
    <w:rsid w:val="00336410"/>
    <w:rsid w:val="0034234E"/>
    <w:rsid w:val="00365BAC"/>
    <w:rsid w:val="0037623A"/>
    <w:rsid w:val="003B2745"/>
    <w:rsid w:val="003B4B1E"/>
    <w:rsid w:val="003B77AA"/>
    <w:rsid w:val="003C5F21"/>
    <w:rsid w:val="003D58AE"/>
    <w:rsid w:val="003D662F"/>
    <w:rsid w:val="003F0992"/>
    <w:rsid w:val="00405270"/>
    <w:rsid w:val="0040530D"/>
    <w:rsid w:val="00410EBC"/>
    <w:rsid w:val="00421A3E"/>
    <w:rsid w:val="004246CC"/>
    <w:rsid w:val="004266F4"/>
    <w:rsid w:val="00433691"/>
    <w:rsid w:val="004358E7"/>
    <w:rsid w:val="0044205E"/>
    <w:rsid w:val="00454C11"/>
    <w:rsid w:val="004675C2"/>
    <w:rsid w:val="00475BA9"/>
    <w:rsid w:val="004A593A"/>
    <w:rsid w:val="004A7C93"/>
    <w:rsid w:val="004C1EF4"/>
    <w:rsid w:val="004F119C"/>
    <w:rsid w:val="004F3651"/>
    <w:rsid w:val="00524F38"/>
    <w:rsid w:val="00532A1B"/>
    <w:rsid w:val="00543585"/>
    <w:rsid w:val="00566D37"/>
    <w:rsid w:val="00577717"/>
    <w:rsid w:val="005827E3"/>
    <w:rsid w:val="005A1665"/>
    <w:rsid w:val="005A174A"/>
    <w:rsid w:val="005C1065"/>
    <w:rsid w:val="005C2E52"/>
    <w:rsid w:val="005C6C89"/>
    <w:rsid w:val="005E2D22"/>
    <w:rsid w:val="005E523A"/>
    <w:rsid w:val="005E6ED8"/>
    <w:rsid w:val="005F7663"/>
    <w:rsid w:val="00613DBC"/>
    <w:rsid w:val="00621065"/>
    <w:rsid w:val="00623FDB"/>
    <w:rsid w:val="006261E2"/>
    <w:rsid w:val="006619E9"/>
    <w:rsid w:val="00680DA2"/>
    <w:rsid w:val="00687541"/>
    <w:rsid w:val="0069013D"/>
    <w:rsid w:val="006A2935"/>
    <w:rsid w:val="006B11A0"/>
    <w:rsid w:val="006B71B8"/>
    <w:rsid w:val="006D7D4E"/>
    <w:rsid w:val="00700EFE"/>
    <w:rsid w:val="0072613C"/>
    <w:rsid w:val="00735228"/>
    <w:rsid w:val="00744B0E"/>
    <w:rsid w:val="0075044B"/>
    <w:rsid w:val="00765FFD"/>
    <w:rsid w:val="00766451"/>
    <w:rsid w:val="00786CDF"/>
    <w:rsid w:val="00792562"/>
    <w:rsid w:val="007969C4"/>
    <w:rsid w:val="00797869"/>
    <w:rsid w:val="00797E38"/>
    <w:rsid w:val="007B2788"/>
    <w:rsid w:val="007C0B0F"/>
    <w:rsid w:val="007C7909"/>
    <w:rsid w:val="007D4896"/>
    <w:rsid w:val="00816AC1"/>
    <w:rsid w:val="00820B88"/>
    <w:rsid w:val="00834BAD"/>
    <w:rsid w:val="008351D0"/>
    <w:rsid w:val="00836E5C"/>
    <w:rsid w:val="00854E9F"/>
    <w:rsid w:val="00857385"/>
    <w:rsid w:val="00867037"/>
    <w:rsid w:val="008739DF"/>
    <w:rsid w:val="00890CA4"/>
    <w:rsid w:val="00894202"/>
    <w:rsid w:val="008A2F4B"/>
    <w:rsid w:val="008B024B"/>
    <w:rsid w:val="008B1476"/>
    <w:rsid w:val="008B4122"/>
    <w:rsid w:val="0090119B"/>
    <w:rsid w:val="00917B58"/>
    <w:rsid w:val="00935587"/>
    <w:rsid w:val="00944FE2"/>
    <w:rsid w:val="0095426A"/>
    <w:rsid w:val="00984E40"/>
    <w:rsid w:val="00992E49"/>
    <w:rsid w:val="009A16AE"/>
    <w:rsid w:val="009B104F"/>
    <w:rsid w:val="009B4131"/>
    <w:rsid w:val="009C6C10"/>
    <w:rsid w:val="009D10E9"/>
    <w:rsid w:val="009D4FD9"/>
    <w:rsid w:val="009E1BAF"/>
    <w:rsid w:val="00A1146C"/>
    <w:rsid w:val="00A139B4"/>
    <w:rsid w:val="00A13DD6"/>
    <w:rsid w:val="00A15362"/>
    <w:rsid w:val="00A513AB"/>
    <w:rsid w:val="00A5178B"/>
    <w:rsid w:val="00A657A1"/>
    <w:rsid w:val="00A712EB"/>
    <w:rsid w:val="00A725D5"/>
    <w:rsid w:val="00A74941"/>
    <w:rsid w:val="00A859E7"/>
    <w:rsid w:val="00A875E8"/>
    <w:rsid w:val="00AA6DA6"/>
    <w:rsid w:val="00AB5570"/>
    <w:rsid w:val="00AC25F8"/>
    <w:rsid w:val="00AC2AA7"/>
    <w:rsid w:val="00AD4A7A"/>
    <w:rsid w:val="00AD6C34"/>
    <w:rsid w:val="00AE7E55"/>
    <w:rsid w:val="00AF3D48"/>
    <w:rsid w:val="00B2286B"/>
    <w:rsid w:val="00B263C3"/>
    <w:rsid w:val="00B328C1"/>
    <w:rsid w:val="00B704F3"/>
    <w:rsid w:val="00B72DD5"/>
    <w:rsid w:val="00B743C0"/>
    <w:rsid w:val="00B759ED"/>
    <w:rsid w:val="00B84C9D"/>
    <w:rsid w:val="00B86AAE"/>
    <w:rsid w:val="00BA4B29"/>
    <w:rsid w:val="00BC14DC"/>
    <w:rsid w:val="00BC30A0"/>
    <w:rsid w:val="00BC3589"/>
    <w:rsid w:val="00BF1A41"/>
    <w:rsid w:val="00C31E94"/>
    <w:rsid w:val="00C32F46"/>
    <w:rsid w:val="00C56392"/>
    <w:rsid w:val="00C72BDD"/>
    <w:rsid w:val="00C80A43"/>
    <w:rsid w:val="00C911F2"/>
    <w:rsid w:val="00CA27F0"/>
    <w:rsid w:val="00CA658F"/>
    <w:rsid w:val="00CA7267"/>
    <w:rsid w:val="00CD5605"/>
    <w:rsid w:val="00CF61FE"/>
    <w:rsid w:val="00D15FC1"/>
    <w:rsid w:val="00D24A33"/>
    <w:rsid w:val="00D2554E"/>
    <w:rsid w:val="00D329A3"/>
    <w:rsid w:val="00D40183"/>
    <w:rsid w:val="00D44B02"/>
    <w:rsid w:val="00D663C7"/>
    <w:rsid w:val="00D66D16"/>
    <w:rsid w:val="00D8093F"/>
    <w:rsid w:val="00D831E6"/>
    <w:rsid w:val="00D872E3"/>
    <w:rsid w:val="00D91D15"/>
    <w:rsid w:val="00D926A2"/>
    <w:rsid w:val="00DA2FA3"/>
    <w:rsid w:val="00DA522F"/>
    <w:rsid w:val="00DA5255"/>
    <w:rsid w:val="00DC400F"/>
    <w:rsid w:val="00DF5CA2"/>
    <w:rsid w:val="00E10B0F"/>
    <w:rsid w:val="00E11266"/>
    <w:rsid w:val="00E21E59"/>
    <w:rsid w:val="00E22C14"/>
    <w:rsid w:val="00E252A7"/>
    <w:rsid w:val="00E94502"/>
    <w:rsid w:val="00E9658C"/>
    <w:rsid w:val="00EA6AEE"/>
    <w:rsid w:val="00EB363C"/>
    <w:rsid w:val="00EB6863"/>
    <w:rsid w:val="00EF77BE"/>
    <w:rsid w:val="00F0155A"/>
    <w:rsid w:val="00F256C3"/>
    <w:rsid w:val="00F2676A"/>
    <w:rsid w:val="00F30729"/>
    <w:rsid w:val="00F31A25"/>
    <w:rsid w:val="00F33DFD"/>
    <w:rsid w:val="00F36391"/>
    <w:rsid w:val="00F378E6"/>
    <w:rsid w:val="00F43002"/>
    <w:rsid w:val="00F934C3"/>
    <w:rsid w:val="00FA06D2"/>
    <w:rsid w:val="00FA5606"/>
    <w:rsid w:val="00FB2092"/>
    <w:rsid w:val="00FC1F9B"/>
    <w:rsid w:val="00FC70B1"/>
    <w:rsid w:val="00FC7647"/>
    <w:rsid w:val="00FF2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82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pPr>
      <w:spacing w:line="240" w:lineRule="auto"/>
    </w:pPr>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unhideWhenUsed/>
    <w:rsid w:val="00744B0E"/>
    <w:rPr>
      <w:vertAlign w:val="superscript"/>
    </w:rPr>
  </w:style>
  <w:style w:type="paragraph" w:styleId="EndnoteText">
    <w:name w:val="endnote text"/>
    <w:basedOn w:val="Normal"/>
    <w:link w:val="EndnoteTextChar"/>
    <w:uiPriority w:val="99"/>
    <w:semiHidden/>
    <w:unhideWhenUsed/>
    <w:rsid w:val="00744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A33"/>
  </w:style>
  <w:style w:type="paragraph" w:styleId="ListParagraph">
    <w:name w:val="List Paragraph"/>
    <w:basedOn w:val="Normal"/>
    <w:uiPriority w:val="34"/>
    <w:qFormat/>
    <w:rsid w:val="00B328C1"/>
    <w:pPr>
      <w:ind w:left="720"/>
      <w:contextualSpacing/>
    </w:pPr>
  </w:style>
  <w:style w:type="character" w:styleId="Hyperlink">
    <w:name w:val="Hyperlink"/>
    <w:basedOn w:val="DefaultParagraphFont"/>
    <w:uiPriority w:val="99"/>
    <w:unhideWhenUsed/>
    <w:rsid w:val="00454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82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pPr>
      <w:spacing w:line="240" w:lineRule="auto"/>
    </w:pPr>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unhideWhenUsed/>
    <w:rsid w:val="00744B0E"/>
    <w:rPr>
      <w:vertAlign w:val="superscript"/>
    </w:rPr>
  </w:style>
  <w:style w:type="paragraph" w:styleId="EndnoteText">
    <w:name w:val="endnote text"/>
    <w:basedOn w:val="Normal"/>
    <w:link w:val="EndnoteTextChar"/>
    <w:uiPriority w:val="99"/>
    <w:semiHidden/>
    <w:unhideWhenUsed/>
    <w:rsid w:val="00744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A33"/>
  </w:style>
  <w:style w:type="paragraph" w:styleId="ListParagraph">
    <w:name w:val="List Paragraph"/>
    <w:basedOn w:val="Normal"/>
    <w:uiPriority w:val="34"/>
    <w:qFormat/>
    <w:rsid w:val="00B328C1"/>
    <w:pPr>
      <w:ind w:left="720"/>
      <w:contextualSpacing/>
    </w:pPr>
  </w:style>
  <w:style w:type="character" w:styleId="Hyperlink">
    <w:name w:val="Hyperlink"/>
    <w:basedOn w:val="DefaultParagraphFont"/>
    <w:uiPriority w:val="99"/>
    <w:unhideWhenUsed/>
    <w:rsid w:val="00454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3315-92BF-4DA8-A08F-71981DA1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50671</Words>
  <Characters>28884</Characters>
  <Application>Microsoft Office Word</Application>
  <DocSecurity>0</DocSecurity>
  <Lines>240</Lines>
  <Paragraphs>158</Paragraphs>
  <ScaleCrop>false</ScaleCrop>
  <HeadingPairs>
    <vt:vector size="2" baseType="variant">
      <vt:variant>
        <vt:lpstr>Title</vt:lpstr>
      </vt:variant>
      <vt:variant>
        <vt:i4>1</vt:i4>
      </vt:variant>
    </vt:vector>
  </HeadingPairs>
  <TitlesOfParts>
    <vt:vector size="1" baseType="lpstr">
      <vt:lpstr/>
    </vt:vector>
  </TitlesOfParts>
  <Company>CSP</Company>
  <LinksUpToDate>false</LinksUpToDate>
  <CharactersWithSpaces>79397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Kurme</dc:creator>
  <cp:lastModifiedBy>Ieva Kurme</cp:lastModifiedBy>
  <cp:revision>7</cp:revision>
  <cp:lastPrinted>2014-08-06T10:59:00Z</cp:lastPrinted>
  <dcterms:created xsi:type="dcterms:W3CDTF">2014-12-05T14:00:00Z</dcterms:created>
  <dcterms:modified xsi:type="dcterms:W3CDTF">2014-12-08T12:56:00Z</dcterms:modified>
</cp:coreProperties>
</file>