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A1431" w14:textId="77777777" w:rsidR="00C74CAE" w:rsidRPr="00E74C48" w:rsidRDefault="00C74CAE" w:rsidP="001E6A3D">
      <w:pPr>
        <w:pStyle w:val="naislab"/>
        <w:spacing w:before="0" w:after="0"/>
        <w:jc w:val="center"/>
        <w:outlineLvl w:val="0"/>
        <w:rPr>
          <w:b/>
          <w:sz w:val="28"/>
          <w:szCs w:val="28"/>
        </w:rPr>
      </w:pPr>
      <w:r w:rsidRPr="00E74C48">
        <w:rPr>
          <w:b/>
          <w:sz w:val="28"/>
          <w:szCs w:val="28"/>
        </w:rPr>
        <w:t>Likumprojekta</w:t>
      </w:r>
    </w:p>
    <w:p w14:paraId="7FD55B56" w14:textId="77777777" w:rsidR="00C74CAE" w:rsidRPr="00E74C48" w:rsidRDefault="00C74CAE">
      <w:pPr>
        <w:pStyle w:val="naislab"/>
        <w:spacing w:before="0" w:after="0"/>
        <w:jc w:val="center"/>
        <w:outlineLvl w:val="0"/>
        <w:rPr>
          <w:b/>
          <w:sz w:val="28"/>
          <w:szCs w:val="28"/>
        </w:rPr>
      </w:pPr>
      <w:r w:rsidRPr="00E74C48">
        <w:rPr>
          <w:b/>
          <w:sz w:val="28"/>
          <w:szCs w:val="28"/>
        </w:rPr>
        <w:t>„Grozījumi Konkurences likumā”</w:t>
      </w:r>
    </w:p>
    <w:p w14:paraId="371DF3A5" w14:textId="77777777" w:rsidR="00C74CAE" w:rsidRPr="00E74C48" w:rsidRDefault="00C74CAE">
      <w:pPr>
        <w:pStyle w:val="naislab"/>
        <w:spacing w:before="0" w:after="0"/>
        <w:jc w:val="center"/>
        <w:outlineLvl w:val="0"/>
        <w:rPr>
          <w:b/>
          <w:sz w:val="28"/>
          <w:szCs w:val="28"/>
        </w:rPr>
      </w:pPr>
      <w:r w:rsidRPr="00E74C48">
        <w:rPr>
          <w:b/>
          <w:sz w:val="28"/>
          <w:szCs w:val="28"/>
        </w:rPr>
        <w:t xml:space="preserve">sākotnējās ietekmes novērtējuma </w:t>
      </w:r>
      <w:smartTag w:uri="schemas-tilde-lv/tildestengine" w:element="veidnes">
        <w:smartTagPr>
          <w:attr w:name="text" w:val="ziņojums"/>
          <w:attr w:name="baseform" w:val="ziņojums"/>
          <w:attr w:name="id" w:val="-1"/>
        </w:smartTagPr>
        <w:r w:rsidRPr="00E74C48">
          <w:rPr>
            <w:b/>
            <w:sz w:val="28"/>
            <w:szCs w:val="28"/>
          </w:rPr>
          <w:t>ziņojums</w:t>
        </w:r>
      </w:smartTag>
      <w:r w:rsidRPr="00E74C48">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
        <w:gridCol w:w="1187"/>
        <w:gridCol w:w="8504"/>
      </w:tblGrid>
      <w:tr w:rsidR="00E74C48" w:rsidRPr="00E74C48" w14:paraId="39CD9081" w14:textId="77777777" w:rsidTr="006C07BE">
        <w:tc>
          <w:tcPr>
            <w:tcW w:w="9725" w:type="dxa"/>
            <w:gridSpan w:val="3"/>
            <w:vAlign w:val="center"/>
          </w:tcPr>
          <w:p w14:paraId="1318CF18" w14:textId="77777777" w:rsidR="00C74CAE" w:rsidRPr="00E74C48" w:rsidRDefault="00C74CAE">
            <w:pPr>
              <w:pStyle w:val="naisnod"/>
              <w:spacing w:before="0" w:after="0"/>
            </w:pPr>
            <w:r w:rsidRPr="00E74C48">
              <w:t>I. Tiesību akta projekta izstrādes nepieciešamība</w:t>
            </w:r>
          </w:p>
        </w:tc>
      </w:tr>
      <w:tr w:rsidR="00E74C48" w:rsidRPr="00E74C48" w14:paraId="44F077CF" w14:textId="77777777" w:rsidTr="006C07BE">
        <w:trPr>
          <w:trHeight w:val="2972"/>
        </w:trPr>
        <w:tc>
          <w:tcPr>
            <w:tcW w:w="419" w:type="dxa"/>
          </w:tcPr>
          <w:p w14:paraId="1E2D74F7" w14:textId="77777777" w:rsidR="00C74CAE" w:rsidRPr="00E74C48" w:rsidRDefault="00C74CAE">
            <w:pPr>
              <w:pStyle w:val="naiskr"/>
              <w:spacing w:before="0" w:after="0"/>
            </w:pPr>
            <w:r w:rsidRPr="00E74C48">
              <w:rPr>
                <w:sz w:val="22"/>
                <w:szCs w:val="22"/>
              </w:rPr>
              <w:t>1.</w:t>
            </w:r>
          </w:p>
        </w:tc>
        <w:tc>
          <w:tcPr>
            <w:tcW w:w="1509" w:type="dxa"/>
          </w:tcPr>
          <w:p w14:paraId="50ECE1E0" w14:textId="77777777" w:rsidR="00C74CAE" w:rsidRPr="0043354D" w:rsidRDefault="00C74CAE">
            <w:pPr>
              <w:pStyle w:val="naiskr"/>
              <w:spacing w:before="0" w:after="0"/>
              <w:ind w:hanging="10"/>
            </w:pPr>
            <w:r w:rsidRPr="0043354D">
              <w:t>Pamatojums</w:t>
            </w:r>
          </w:p>
        </w:tc>
        <w:tc>
          <w:tcPr>
            <w:tcW w:w="7797" w:type="dxa"/>
          </w:tcPr>
          <w:p w14:paraId="2AA2266B" w14:textId="77777777" w:rsidR="00C74CAE" w:rsidRPr="0043354D" w:rsidRDefault="00C74CAE" w:rsidP="00DB49EC">
            <w:pPr>
              <w:pStyle w:val="naiskr"/>
              <w:spacing w:before="0" w:after="80"/>
              <w:ind w:left="-12"/>
              <w:jc w:val="both"/>
              <w:rPr>
                <w:shd w:val="clear" w:color="auto" w:fill="FFFFFF"/>
              </w:rPr>
            </w:pPr>
            <w:r w:rsidRPr="0043354D">
              <w:rPr>
                <w:shd w:val="clear" w:color="auto" w:fill="FFFFFF"/>
              </w:rPr>
              <w:t>19.05.2011. pieņemti grozījumi Elektronisko sakaru likumā, kas paredz, ka Konkurences padomes tiesības, izmeklējot konkurences tiesību pārkāpumus, pieprasīt saglabājamos datus un elektronisko sakaru komersantu pienākumu tos nodot, stāsies spēkā vienlaikus ar attiecīgiem grozījumiem Konkurences likumā.</w:t>
            </w:r>
          </w:p>
          <w:p w14:paraId="29A89AC2" w14:textId="77777777" w:rsidR="00C74CAE" w:rsidRPr="0043354D" w:rsidRDefault="00C74CAE" w:rsidP="00DB49EC">
            <w:pPr>
              <w:pStyle w:val="naiskr"/>
              <w:spacing w:before="0" w:after="80"/>
              <w:ind w:left="-12"/>
              <w:jc w:val="both"/>
              <w:rPr>
                <w:shd w:val="clear" w:color="auto" w:fill="FFFFFF"/>
              </w:rPr>
            </w:pPr>
            <w:r w:rsidRPr="0043354D">
              <w:rPr>
                <w:shd w:val="clear" w:color="auto" w:fill="FFFFFF"/>
              </w:rPr>
              <w:t>22.03.2012. pieņemti</w:t>
            </w:r>
            <w:r w:rsidR="001D67E1" w:rsidRPr="0043354D">
              <w:rPr>
                <w:shd w:val="clear" w:color="auto" w:fill="FFFFFF"/>
              </w:rPr>
              <w:t xml:space="preserve"> </w:t>
            </w:r>
            <w:r w:rsidRPr="0043354D">
              <w:rPr>
                <w:shd w:val="clear" w:color="auto" w:fill="FFFFFF"/>
              </w:rPr>
              <w:t xml:space="preserve"> grozījumi Kredītiestāžu likumā, kas paredz, ka Konkurences padomes tiesības, izmeklējot konkurences tiesību pārkāpumus, pieprasīt kredītiestādei neizpaužamas ziņas, stāsies spēkā ar attiecīgiem grozījumiem Konkurences likumā. </w:t>
            </w:r>
          </w:p>
          <w:p w14:paraId="4445CDAE" w14:textId="77777777" w:rsidR="00C74CAE" w:rsidRPr="0043354D" w:rsidRDefault="00C74CAE" w:rsidP="006C07BE">
            <w:pPr>
              <w:spacing w:after="80"/>
              <w:jc w:val="both"/>
            </w:pPr>
            <w:r w:rsidRPr="0043354D">
              <w:t xml:space="preserve">Ministru kabineta 19.10.2011. sēdes protokola Nr.60, 62.§ 6.punkts paredz, ka konkurences tiesību pārkāpumi, atbildība par kuriem paredzēta Latvijas Administratīvo pārkāpumu kodeksā </w:t>
            </w:r>
            <w:r w:rsidRPr="0043354D">
              <w:rPr>
                <w:iCs/>
              </w:rPr>
              <w:t>(turpmāk – LAPK)</w:t>
            </w:r>
            <w:r w:rsidRPr="0043354D">
              <w:t xml:space="preserve"> turpmāk īstenojami Administratīvā procesa likumā noteiktajā kārtībā saskaņā ar Konkurences likumā noteikto.</w:t>
            </w:r>
            <w:r w:rsidR="006C07BE" w:rsidRPr="0043354D">
              <w:t xml:space="preserve"> </w:t>
            </w:r>
          </w:p>
        </w:tc>
      </w:tr>
      <w:tr w:rsidR="00E74C48" w:rsidRPr="00E74C48" w14:paraId="67ED1AB2" w14:textId="77777777" w:rsidTr="006C07BE">
        <w:trPr>
          <w:trHeight w:val="472"/>
        </w:trPr>
        <w:tc>
          <w:tcPr>
            <w:tcW w:w="419" w:type="dxa"/>
          </w:tcPr>
          <w:p w14:paraId="583113BE" w14:textId="77777777" w:rsidR="00C74CAE" w:rsidRPr="00E74C48" w:rsidRDefault="00C74CAE">
            <w:pPr>
              <w:pStyle w:val="naiskr"/>
              <w:spacing w:before="0" w:after="0"/>
            </w:pPr>
            <w:r w:rsidRPr="00E74C48">
              <w:rPr>
                <w:sz w:val="22"/>
                <w:szCs w:val="22"/>
              </w:rPr>
              <w:t>2.</w:t>
            </w:r>
          </w:p>
        </w:tc>
        <w:tc>
          <w:tcPr>
            <w:tcW w:w="1509" w:type="dxa"/>
          </w:tcPr>
          <w:p w14:paraId="6DCF4E2A" w14:textId="77777777" w:rsidR="00C74CAE" w:rsidRPr="0043354D" w:rsidRDefault="00C74CAE">
            <w:pPr>
              <w:pStyle w:val="naiskr"/>
              <w:tabs>
                <w:tab w:val="left" w:pos="170"/>
              </w:tabs>
              <w:spacing w:before="0" w:after="0"/>
            </w:pPr>
            <w:r w:rsidRPr="0043354D">
              <w:t>Pašreizējā situācija un problēmas</w:t>
            </w:r>
          </w:p>
        </w:tc>
        <w:tc>
          <w:tcPr>
            <w:tcW w:w="7797" w:type="dxa"/>
          </w:tcPr>
          <w:p w14:paraId="44F6A1E9" w14:textId="05C9F7FF" w:rsidR="00556C66" w:rsidRPr="0043354D" w:rsidRDefault="00556C66" w:rsidP="00B1657C">
            <w:pPr>
              <w:pStyle w:val="naiskr"/>
              <w:spacing w:before="0" w:after="80"/>
              <w:jc w:val="both"/>
              <w:rPr>
                <w:iCs/>
              </w:rPr>
            </w:pPr>
            <w:r w:rsidRPr="0043354D">
              <w:rPr>
                <w:iCs/>
              </w:rPr>
              <w:t xml:space="preserve">Konkurences regulējumu Latvijā veido gan nacionālais konkurences regulējums (Konkurences likums un tam pakārtotie Ministru kabineta noteikumi), gan Eiropas Savienības konkurences tiesības. Atbilstoši   Padomes 2002.gada 16.decembra regulas </w:t>
            </w:r>
            <w:proofErr w:type="spellStart"/>
            <w:r w:rsidRPr="0043354D">
              <w:rPr>
                <w:iCs/>
              </w:rPr>
              <w:t>Nr</w:t>
            </w:r>
            <w:proofErr w:type="spellEnd"/>
            <w:r w:rsidRPr="0043354D">
              <w:rPr>
                <w:iCs/>
              </w:rPr>
              <w:t xml:space="preserve">. 1/2003 (turpmāk – regula 1/2003) 5.un 6.pantam Konkurences padome un vispārējās jurisdikcijas tiesas ir tiesīgas piemēro Eiropas Savienības </w:t>
            </w:r>
            <w:r w:rsidR="005B58AC">
              <w:rPr>
                <w:iCs/>
              </w:rPr>
              <w:t xml:space="preserve">(ES) </w:t>
            </w:r>
            <w:r w:rsidRPr="0043354D">
              <w:rPr>
                <w:iCs/>
              </w:rPr>
              <w:t>konkurences tiesības (Līguma par Eiropas Savienības darbību</w:t>
            </w:r>
            <w:r w:rsidR="005B58AC">
              <w:rPr>
                <w:iCs/>
              </w:rPr>
              <w:t xml:space="preserve"> (LESD)</w:t>
            </w:r>
            <w:r w:rsidRPr="0043354D">
              <w:rPr>
                <w:iCs/>
              </w:rPr>
              <w:t xml:space="preserve"> 101. un 102.pantu).</w:t>
            </w:r>
            <w:r w:rsidR="00AC56A7" w:rsidRPr="0043354D">
              <w:rPr>
                <w:iCs/>
              </w:rPr>
              <w:t xml:space="preserve"> LESD 101.pants attiecas uz aizliegtām vienošanām, bet 102.pants uz dominējošā stāvokļa ļaunprātīgu izmantošanu.</w:t>
            </w:r>
          </w:p>
          <w:p w14:paraId="44AE3CD7" w14:textId="77777777" w:rsidR="0094325C" w:rsidRPr="0043354D" w:rsidRDefault="0094325C" w:rsidP="00B1657C">
            <w:pPr>
              <w:pStyle w:val="naiskr"/>
              <w:spacing w:before="0" w:after="80"/>
              <w:jc w:val="both"/>
              <w:rPr>
                <w:iCs/>
              </w:rPr>
            </w:pPr>
            <w:r w:rsidRPr="0043354D">
              <w:rPr>
                <w:iCs/>
              </w:rPr>
              <w:t>Regulas 1/2003 35.panta 1.punkts paredz pienākumu dalībvalstīm nodrošināt efektīvu Eiropas Savienības konkurences tiesību piemērošanu</w:t>
            </w:r>
            <w:r w:rsidR="00AC56A7" w:rsidRPr="0043354D">
              <w:rPr>
                <w:iCs/>
              </w:rPr>
              <w:t>.</w:t>
            </w:r>
          </w:p>
          <w:p w14:paraId="6B60CBBC" w14:textId="77777777" w:rsidR="00B1657C" w:rsidRPr="0043354D" w:rsidRDefault="00B1657C" w:rsidP="00B1657C">
            <w:pPr>
              <w:pStyle w:val="naiskr"/>
              <w:spacing w:before="0" w:after="80"/>
              <w:jc w:val="both"/>
              <w:rPr>
                <w:iCs/>
                <w:u w:val="single"/>
              </w:rPr>
            </w:pPr>
            <w:r w:rsidRPr="0043354D">
              <w:rPr>
                <w:iCs/>
                <w:u w:val="single"/>
              </w:rPr>
              <w:t>Atbildība par procesuāl</w:t>
            </w:r>
            <w:r w:rsidR="001D6764" w:rsidRPr="0043354D">
              <w:rPr>
                <w:iCs/>
                <w:u w:val="single"/>
              </w:rPr>
              <w:t xml:space="preserve">ajiem </w:t>
            </w:r>
            <w:r w:rsidRPr="0043354D">
              <w:rPr>
                <w:iCs/>
                <w:u w:val="single"/>
              </w:rPr>
              <w:t>pārkāpumiem</w:t>
            </w:r>
          </w:p>
          <w:p w14:paraId="7B74DE02" w14:textId="54CC033B" w:rsidR="00C74CAE" w:rsidRPr="0043354D" w:rsidRDefault="00B1657C" w:rsidP="00B1657C">
            <w:pPr>
              <w:pStyle w:val="naiskr"/>
              <w:spacing w:before="0" w:after="80"/>
              <w:jc w:val="both"/>
            </w:pPr>
            <w:r w:rsidRPr="0043354D">
              <w:rPr>
                <w:iCs/>
              </w:rPr>
              <w:t>Šobrīd atbildība p</w:t>
            </w:r>
            <w:r w:rsidR="001D6764" w:rsidRPr="0043354D">
              <w:rPr>
                <w:iCs/>
              </w:rPr>
              <w:t>ar tirgus dalībnieku procesuālajiem</w:t>
            </w:r>
            <w:r w:rsidRPr="0043354D">
              <w:rPr>
                <w:iCs/>
              </w:rPr>
              <w:t xml:space="preserve"> pārkāpumiem konkurences lietu izmeklēšanas procesā (informācijas nesniegšana, Konkurences padomes amatpersonu likumīgo prasību nepildīšana) ir noteikta LAPK, kamēr sodi par materiāliem pārkāpumiem paredzēti Konkurences likuma 1</w:t>
            </w:r>
            <w:r w:rsidR="002E0977" w:rsidRPr="0043354D">
              <w:rPr>
                <w:iCs/>
              </w:rPr>
              <w:t>2</w:t>
            </w:r>
            <w:r w:rsidRPr="0043354D">
              <w:rPr>
                <w:iCs/>
              </w:rPr>
              <w:t>., 1</w:t>
            </w:r>
            <w:r w:rsidR="002E0977" w:rsidRPr="0043354D">
              <w:rPr>
                <w:iCs/>
              </w:rPr>
              <w:t>4</w:t>
            </w:r>
            <w:r w:rsidRPr="0043354D">
              <w:rPr>
                <w:iCs/>
              </w:rPr>
              <w:t xml:space="preserve">. un 17.pantā. Ņemot vērā konkurences tiesību specifiku, nepieciešams paredzēt, lai visi </w:t>
            </w:r>
            <w:r w:rsidRPr="0043354D">
              <w:t>pārkāpumi konkurences tiesību jomā tiktu izskatīti vienota regulējuma ietvaros Konkurences likumā paredzētajā k</w:t>
            </w:r>
            <w:r w:rsidR="005B58AC">
              <w:t>ā</w:t>
            </w:r>
            <w:r w:rsidRPr="0043354D">
              <w:t>rtībā, ievērojot administratīvā procesa principus. Vienlaicīgi atbildība par procesuāl</w:t>
            </w:r>
            <w:r w:rsidR="001D6764" w:rsidRPr="0043354D">
              <w:t>ajiem</w:t>
            </w:r>
            <w:r w:rsidRPr="0043354D">
              <w:t xml:space="preserve"> pārkāpumiem ir samērojama ar atbildību par materiāliem pārkāpumiem, kas paredzēti Konkurences likuma 11., 13. un 17.pantā, kā arī</w:t>
            </w:r>
            <w:r w:rsidRPr="0043354D">
              <w:rPr>
                <w:iCs/>
              </w:rPr>
              <w:t xml:space="preserve"> regula</w:t>
            </w:r>
            <w:r w:rsidR="00556C66" w:rsidRPr="0043354D">
              <w:rPr>
                <w:iCs/>
              </w:rPr>
              <w:t>s</w:t>
            </w:r>
            <w:r w:rsidRPr="0043354D">
              <w:rPr>
                <w:iCs/>
              </w:rPr>
              <w:t xml:space="preserve"> 1/2003 23.pantā, </w:t>
            </w:r>
            <w:r w:rsidRPr="0043354D">
              <w:t xml:space="preserve">tādējādi nodrošinot atbilstošu </w:t>
            </w:r>
            <w:proofErr w:type="spellStart"/>
            <w:r w:rsidRPr="0043354D">
              <w:t>prevenciju</w:t>
            </w:r>
            <w:proofErr w:type="spellEnd"/>
            <w:r w:rsidRPr="0043354D">
              <w:t xml:space="preserve"> un nacionālo un  ES konkurences pārkāpumu izmeklēšanas procesa efektivitāti.</w:t>
            </w:r>
          </w:p>
          <w:p w14:paraId="4D75F686" w14:textId="77777777" w:rsidR="00C74CAE" w:rsidRPr="0043354D" w:rsidRDefault="00C74CAE" w:rsidP="00B1657C">
            <w:pPr>
              <w:pStyle w:val="naiskr"/>
              <w:spacing w:before="0" w:after="80"/>
              <w:jc w:val="both"/>
              <w:rPr>
                <w:iCs/>
                <w:u w:val="single"/>
              </w:rPr>
            </w:pPr>
            <w:r w:rsidRPr="0043354D">
              <w:rPr>
                <w:iCs/>
                <w:u w:val="single"/>
              </w:rPr>
              <w:t>Tiesisko pienākumu piespiedu izpilde</w:t>
            </w:r>
          </w:p>
          <w:p w14:paraId="417F6000" w14:textId="31A4CAF9" w:rsidR="00C74CAE" w:rsidRPr="0043354D" w:rsidRDefault="00C74CAE" w:rsidP="00B1657C">
            <w:pPr>
              <w:pStyle w:val="naiskr"/>
              <w:spacing w:before="0" w:after="80"/>
              <w:jc w:val="both"/>
              <w:rPr>
                <w:iCs/>
              </w:rPr>
            </w:pPr>
            <w:r w:rsidRPr="0043354D">
              <w:rPr>
                <w:iCs/>
              </w:rPr>
              <w:t xml:space="preserve">Atbilstoši Konkurences likuma 8.panta pirmās daļa 3.punktam Konkurences padome ir tiesīga pieņemt lēmumu par tiesisko pienākumu uzlikšanu. Administratīvā procesa likuma (turpmāk – APL) ‘D’ daļas astotā sadaļa nosaka administratīvā akta izpildes vispārējos noteikumus. Ja tiesisko pienākumu izpilde netiek veikta labprātīgi, APL 368.pants paredz uz noteiktu darbību vai darbības aizliegumu vērsta administratīvā akta piespiedu izpildes līdzekļus – </w:t>
            </w:r>
            <w:proofErr w:type="spellStart"/>
            <w:r w:rsidRPr="0043354D">
              <w:rPr>
                <w:iCs/>
              </w:rPr>
              <w:t>aizvietotājizpilde</w:t>
            </w:r>
            <w:proofErr w:type="spellEnd"/>
            <w:r w:rsidRPr="0043354D">
              <w:rPr>
                <w:iCs/>
              </w:rPr>
              <w:t xml:space="preserve">, tiešā spēkā pielietošana vai piespiedu nauda. Pirmie divi piespiedu līdzekļi konkurences lietās nav piemērojami. </w:t>
            </w:r>
            <w:proofErr w:type="spellStart"/>
            <w:r w:rsidRPr="0043354D">
              <w:rPr>
                <w:iCs/>
              </w:rPr>
              <w:t>Aizvietotājizpilde</w:t>
            </w:r>
            <w:proofErr w:type="spellEnd"/>
            <w:r w:rsidRPr="0043354D">
              <w:rPr>
                <w:iCs/>
              </w:rPr>
              <w:t xml:space="preserve"> nav faktiski un tiesiski iespējama, jo tiesisko pienākumu mērķis ir panākt konkrētu rīcību no tirgus dalībnieka un iestāde nevar aizstāt to ar savu izpildi. Arī tiešā spēka pielietošana ir izslēgta, jo tiesisko pienākumu izpilde ir juridisks process </w:t>
            </w:r>
            <w:r w:rsidRPr="0043354D">
              <w:rPr>
                <w:i/>
                <w:iCs/>
              </w:rPr>
              <w:t>(tiesību jautājums)</w:t>
            </w:r>
            <w:r w:rsidRPr="0043354D">
              <w:rPr>
                <w:iCs/>
              </w:rPr>
              <w:t xml:space="preserve">, un tā izpildei tiešā spēka pielietošana nav piemērojama. Konkurences padomes lēmuma par tiesisko pienākumu uzlikšanu piespiedu izpildi ir iespējams nodrošināt ar piespiedu naudu, attiecīgi paredzot izpildes speciālu kārtību </w:t>
            </w:r>
            <w:r w:rsidRPr="0043354D">
              <w:rPr>
                <w:iCs/>
              </w:rPr>
              <w:lastRenderedPageBreak/>
              <w:t>konkurences lietām attiecībā uz piespiedu naudas apmēru, uzlikšanas un pārsūdzēšanas kārtību, pietuvinot izpildes procesu Eiropas Savienības konkurences tiesībām, ņemot vērā, ka atbilstoši Konkurences likuma 28.pant</w:t>
            </w:r>
            <w:r w:rsidR="005B58AC">
              <w:rPr>
                <w:iCs/>
              </w:rPr>
              <w:t>am</w:t>
            </w:r>
            <w:r w:rsidRPr="0043354D">
              <w:rPr>
                <w:iCs/>
              </w:rPr>
              <w:t xml:space="preserve"> lietas par iespējamo Eiropas Savienības konkurences tiesību pārkāpumu Konkurences padome izmeklē, izskata un piemēro sankcijas, tajā skaitā uzliek tiesiskos pienākumus, saskaņā ar Konkurences likumu.</w:t>
            </w:r>
          </w:p>
          <w:p w14:paraId="4E92BA5D" w14:textId="77777777" w:rsidR="00C74CAE" w:rsidRPr="0043354D" w:rsidRDefault="00C74CAE" w:rsidP="00DB49EC">
            <w:pPr>
              <w:pStyle w:val="naisf"/>
              <w:spacing w:before="0" w:after="80"/>
              <w:ind w:firstLine="0"/>
              <w:rPr>
                <w:iCs/>
              </w:rPr>
            </w:pPr>
            <w:r w:rsidRPr="0043354D">
              <w:rPr>
                <w:iCs/>
              </w:rPr>
              <w:t>Šobrīd atbildība par tiesisko pienākumu nepildīšanu paredzēta Konkurences likuma 12.panta ceturtā daļā un 14.panta trešā daļā, kas paredz uzliktā naudas soda par konkurences tiesību pārkāpumu palielināšanu. Šāds regulējums nav piemērots lēmuma izpildei, jo palielina naudas sodu, kas uzlikts, izdodot administratīvā aktu administratīvā procesa iestādē ietvaros (APL ‘B’ daļa). Ietekmēšanas līdzeklim, kas vērsts uz lēmuma izpildi, savukārt, ir piemērojami APL ‘D’ daļas noteikumi, kas regulē administratīvo aktu izpildi, nevis administratīvā akta izdošanu.</w:t>
            </w:r>
          </w:p>
          <w:p w14:paraId="6E045DDF" w14:textId="77777777" w:rsidR="00C74CAE" w:rsidRPr="0043354D" w:rsidRDefault="00C74CAE" w:rsidP="00B1657C">
            <w:pPr>
              <w:pStyle w:val="naiskr"/>
              <w:spacing w:before="0" w:after="80"/>
              <w:jc w:val="both"/>
              <w:rPr>
                <w:iCs/>
                <w:u w:val="single"/>
              </w:rPr>
            </w:pPr>
            <w:r w:rsidRPr="0043354D">
              <w:rPr>
                <w:iCs/>
                <w:u w:val="single"/>
              </w:rPr>
              <w:t>Lietu ierosināšana tikai uz iestādes iniciatīvas pamata</w:t>
            </w:r>
          </w:p>
          <w:p w14:paraId="389216EB" w14:textId="77777777" w:rsidR="00C74CAE" w:rsidRPr="0043354D" w:rsidRDefault="00C74CAE" w:rsidP="00B1657C">
            <w:pPr>
              <w:pStyle w:val="naiskr"/>
              <w:spacing w:before="0" w:after="80"/>
              <w:jc w:val="both"/>
              <w:rPr>
                <w:iCs/>
              </w:rPr>
            </w:pPr>
            <w:r w:rsidRPr="0043354D">
              <w:rPr>
                <w:iCs/>
              </w:rPr>
              <w:t>Pašreiz Konkurences likuma 23.pants paredz, ka Konkurences padome ierosina lietas uz iesnieguma pamata, ja tās satur ziņas par iespējamu pārkāpumu. Šāds process pavēra iespēju pamatoti ieinteresētām personām tiesības prasīt iestādes aktīvu rīcību (lietas izmeklēšanu) katrā gadījumā, kur pastāvēja aizdomas par konkurences tiesību pārkāpumu. Lielā skaitā gadījumos, kur Konkurences padome iesniegumā paustajos apstākļos nesaskatīja likuma pārkāpuma sastāva pazīmes, privātpersonas ir pārsūdzējušas tiesā lēmumus par lietas neierosināšanu. Vienlaicīgi Konkurences padomei ir bijis pienākums vērtēt un padziļināti izmeklēt ikvienu iesniegumu un lietu, neskatoties uz iespējamā pārkāpuma apstākļiem un nozīmi tautsaimniecībā un sabiedrībai (2011.g. pieņemti 15 lēmumi par lietas neierosināšanu, bet 2012.g. 8 lēmumi). Lai gan Konkurences padomei līdz šim ir bijušas tiesības neierosināt lietu, ja iespējamais pārkāpums ir maznozīmīgs, tas neliedza privātpersonām pārsūdzēt šos lēmumus tiesā.</w:t>
            </w:r>
          </w:p>
          <w:p w14:paraId="57860638" w14:textId="77777777" w:rsidR="00C74CAE" w:rsidRPr="0043354D" w:rsidRDefault="00C74CAE" w:rsidP="00B1657C">
            <w:pPr>
              <w:pStyle w:val="naiskr"/>
              <w:spacing w:before="0" w:after="80"/>
              <w:jc w:val="both"/>
              <w:rPr>
                <w:iCs/>
                <w:u w:val="single"/>
              </w:rPr>
            </w:pPr>
            <w:r w:rsidRPr="0043354D">
              <w:rPr>
                <w:iCs/>
              </w:rPr>
              <w:t xml:space="preserve">Jāņem vērā, ka konkurences tiesību pārkāpumu izmeklēšana ir resursu un laika ietilpīga. Piemēram, izmeklējot dominējošā stāvokļa ļaunprātīgas izmantošanas aizlieguma pārkāpumus, nepieciešams analizēt un iegūt no tirgus dalībniekiem informāciju par </w:t>
            </w:r>
            <w:r w:rsidR="00B70BC3" w:rsidRPr="0043354D">
              <w:rPr>
                <w:iCs/>
              </w:rPr>
              <w:t>piedāvājuma un pieprasījuma aizvietojamību</w:t>
            </w:r>
            <w:r w:rsidRPr="0043354D">
              <w:rPr>
                <w:iCs/>
              </w:rPr>
              <w:t xml:space="preserve"> tirg</w:t>
            </w:r>
            <w:r w:rsidR="00B70BC3" w:rsidRPr="0043354D">
              <w:rPr>
                <w:iCs/>
              </w:rPr>
              <w:t>ū</w:t>
            </w:r>
            <w:r w:rsidRPr="0043354D">
              <w:rPr>
                <w:iCs/>
              </w:rPr>
              <w:t>, definēt konkrēto tirgu un novērtēt tajā tirgus varu. Izmeklēšanas un pierādīšanas standarts jāievēro gan atsakot ierosināt pārkāpuma lietu, gan izbeidzot lietu pārkāpuma sastāva neesamības dēļ. Lai nodrošinātu, ka Konkurences padome savus uzdevumus izpilda efektīvi un tās darbība ir vērsta uz sabiedrībai nozīmīgu saimniecisko nozaru konkurences uzraudzību, ir nepieciešams iestādes darbību vērst tikai uz to likumu pārkāpumu izpēti, kuru iespējamās sekas ir būtiskas un iestādes iejaukšanās tirgū ir visvairāk nepieciešama.</w:t>
            </w:r>
          </w:p>
          <w:p w14:paraId="4BA96BCF" w14:textId="77777777" w:rsidR="00C74CAE" w:rsidRPr="0043354D" w:rsidRDefault="00C74CAE" w:rsidP="00B1657C">
            <w:pPr>
              <w:pStyle w:val="naiskr"/>
              <w:spacing w:before="0" w:after="80"/>
              <w:jc w:val="both"/>
              <w:rPr>
                <w:iCs/>
                <w:u w:val="single"/>
              </w:rPr>
            </w:pPr>
            <w:r w:rsidRPr="0043354D">
              <w:rPr>
                <w:iCs/>
                <w:u w:val="single"/>
              </w:rPr>
              <w:t>Iecietības programma</w:t>
            </w:r>
          </w:p>
          <w:p w14:paraId="3D99B965" w14:textId="77777777" w:rsidR="00C74CAE" w:rsidRPr="0043354D" w:rsidRDefault="00C74CAE" w:rsidP="00B1657C">
            <w:pPr>
              <w:pStyle w:val="naiskr"/>
              <w:spacing w:before="0" w:after="80"/>
              <w:jc w:val="both"/>
              <w:rPr>
                <w:iCs/>
              </w:rPr>
            </w:pPr>
            <w:r w:rsidRPr="0043354D">
              <w:rPr>
                <w:iCs/>
              </w:rPr>
              <w:t xml:space="preserve">Kārtību, kādā naudas sodu samazina vai atbrīvo no tā paredz Ministru kabineta 2008.gada 29.septembra noteikumi Nr.796 „Kārtība, kādā nosakāms naudas sods par Konkurences likuma 11.panta pirmajā daļā un 13.pantā paredzētajiem pārkāpumiem” (turpmāk – Sodu noteikumi). Sodu noteikumi izdoti pamatojoties uz KL 12.panta piekto daļu, kur noteikts, ka Ministru kabinets nosaka </w:t>
            </w:r>
            <w:r w:rsidRPr="0043354D">
              <w:rPr>
                <w:shd w:val="clear" w:color="auto" w:fill="FFFFFF"/>
              </w:rPr>
              <w:t>gadījumus, kad naudas sodu var samazināt vai kad tirgus dalībnieku var atbrīvot no naudas soda samaksas</w:t>
            </w:r>
            <w:r w:rsidRPr="0043354D">
              <w:rPr>
                <w:iCs/>
              </w:rPr>
              <w:t>. Konkurences likuma 12.pants paredz atbildību par vienošanās aizlieguma pārkāpumu, neparedzot nekādus principus regulējumam par naudas soda samazināšanu vai atbrīvošanu no tā (iecietības programma). Ņemot vērā iecietības programmas svarīgo lomu karteļu vienošanās atklāšanā, tās pašreizējās darbības zemo aktivitāti, kā arī lai tirgus dalībniekiem nodrošinātu augstāku tiesisko paļāvību par naudas soda samazināšanu vai atbrīvošanu no tā un veicinātu iecietības programmas priekšrocību izmantošanu, KL ir papildināms ar iecietības programmas vispārēju regulējumu.</w:t>
            </w:r>
          </w:p>
          <w:p w14:paraId="784DC7E0" w14:textId="77777777" w:rsidR="00C74CAE" w:rsidRPr="0043354D" w:rsidRDefault="00C74CAE" w:rsidP="00B1657C">
            <w:pPr>
              <w:pStyle w:val="naiskr"/>
              <w:spacing w:before="0" w:after="80"/>
              <w:jc w:val="both"/>
              <w:rPr>
                <w:b/>
                <w:iCs/>
              </w:rPr>
            </w:pPr>
            <w:r w:rsidRPr="0043354D">
              <w:rPr>
                <w:iCs/>
                <w:u w:val="single"/>
              </w:rPr>
              <w:lastRenderedPageBreak/>
              <w:t>Konkurences tiesību pārkāpuma rezultātā nodarīto zaudējumu pierādīšana</w:t>
            </w:r>
          </w:p>
          <w:p w14:paraId="5AF9E14C" w14:textId="77777777" w:rsidR="00C74CAE" w:rsidRPr="0043354D" w:rsidRDefault="00C74CAE" w:rsidP="00B1657C">
            <w:pPr>
              <w:pStyle w:val="naiskr"/>
              <w:spacing w:before="0" w:after="80"/>
              <w:jc w:val="both"/>
            </w:pPr>
            <w:r w:rsidRPr="0043354D">
              <w:t>Zaudējumu piedziņa, kas radušies tādu konkurences tiesību pārkāpuma rezultātā, kā aizliegtas vienošanās, šobrīd ir apgrūtināta, jo praksē ir grūti noteikt precīzu nodarīto zaudējumu apmēru, kā arī to pierādīt tiesā. Augstākminētā rezultātā zaudējumi netiek piedzīti un konkurences tiesību pārkāpēji var turpināt lietot nelikumīgu iegūtos līdzekļus, tādējādi  arī turpinot izmantot pārkāpuma rezultātā gūtās priekšrocības pret pārējiem tirgus dalībniekiem un konkurentiem, kā rezultātā pārkāpuma negatīvās sekas paliek nenovērstas un pat ilgtermiņā var pieaugt.</w:t>
            </w:r>
            <w:r w:rsidR="00301327">
              <w:t xml:space="preserve"> Tāpēc ir nepieciešams atvieglot zaudējumu pierādīšanas procesu. </w:t>
            </w:r>
            <w:r w:rsidRPr="0043354D">
              <w:t xml:space="preserve"> </w:t>
            </w:r>
          </w:p>
          <w:p w14:paraId="3F450371" w14:textId="77777777" w:rsidR="00BD4BD6" w:rsidRPr="0043354D" w:rsidRDefault="005A77B6" w:rsidP="00B1657C">
            <w:pPr>
              <w:pStyle w:val="naiskr"/>
              <w:spacing w:before="0" w:after="80"/>
              <w:jc w:val="both"/>
              <w:rPr>
                <w:iCs/>
                <w:u w:val="single"/>
              </w:rPr>
            </w:pPr>
            <w:r w:rsidRPr="0043354D">
              <w:rPr>
                <w:iCs/>
                <w:u w:val="single"/>
              </w:rPr>
              <w:t xml:space="preserve">Apvienošanās paziņošanas un izskatīšanas </w:t>
            </w:r>
            <w:proofErr w:type="spellStart"/>
            <w:r w:rsidRPr="0043354D">
              <w:rPr>
                <w:iCs/>
                <w:u w:val="single"/>
              </w:rPr>
              <w:t>efektivizēšana</w:t>
            </w:r>
            <w:proofErr w:type="spellEnd"/>
            <w:r w:rsidR="00BD4BD6" w:rsidRPr="0043354D">
              <w:rPr>
                <w:iCs/>
                <w:u w:val="single"/>
              </w:rPr>
              <w:t xml:space="preserve"> </w:t>
            </w:r>
          </w:p>
          <w:p w14:paraId="55A1CFEE" w14:textId="77777777" w:rsidR="00C74CAE" w:rsidRPr="0043354D" w:rsidRDefault="00BD4BD6" w:rsidP="00B1657C">
            <w:pPr>
              <w:pStyle w:val="naiskr"/>
              <w:numPr>
                <w:ilvl w:val="0"/>
                <w:numId w:val="21"/>
              </w:numPr>
              <w:spacing w:before="0" w:after="80"/>
              <w:jc w:val="both"/>
              <w:rPr>
                <w:iCs/>
                <w:u w:val="single"/>
              </w:rPr>
            </w:pPr>
            <w:r w:rsidRPr="0043354D">
              <w:rPr>
                <w:iCs/>
                <w:u w:val="single"/>
              </w:rPr>
              <w:t>P</w:t>
            </w:r>
            <w:r w:rsidR="00C74CAE" w:rsidRPr="0043354D">
              <w:rPr>
                <w:iCs/>
                <w:u w:val="single"/>
              </w:rPr>
              <w:t>aziņošanas sliekšņi</w:t>
            </w:r>
          </w:p>
          <w:p w14:paraId="3BB2BB0C" w14:textId="77777777" w:rsidR="00C74CAE" w:rsidRPr="0043354D" w:rsidRDefault="00C74CAE" w:rsidP="00B1657C">
            <w:pPr>
              <w:pStyle w:val="naiskr"/>
              <w:spacing w:before="0" w:after="80"/>
              <w:jc w:val="both"/>
              <w:rPr>
                <w:iCs/>
              </w:rPr>
            </w:pPr>
            <w:r w:rsidRPr="0043354D">
              <w:rPr>
                <w:iCs/>
              </w:rPr>
              <w:t xml:space="preserve">Atbilstoši Konkurences likuma 15.panta otrās daļas 2.punktam tirgus dalībnieki, kuri nolēmuši apvienoties, iesniedz Konkurences padomei ziņojumu, ja to kopējā tirgus daļa konkrētajā tirgū pārsniedz 40 procentus. </w:t>
            </w:r>
            <w:r w:rsidR="00861990" w:rsidRPr="0043354D">
              <w:t xml:space="preserve"> </w:t>
            </w:r>
            <w:r w:rsidR="00861990" w:rsidRPr="0043354D">
              <w:rPr>
                <w:iCs/>
              </w:rPr>
              <w:t xml:space="preserve">Tirgus daļas slieksnis ir viens no kritērijiem, kura izpildes gadījumā tirgus dalībniekiem ir jāiesniedz ziņojums par apvienošanos Konkurences padomei. </w:t>
            </w:r>
            <w:r w:rsidRPr="0043354D">
              <w:rPr>
                <w:iCs/>
              </w:rPr>
              <w:t>Informācija par tirgus dalībnieku individuālajām tirgus daļām</w:t>
            </w:r>
            <w:r w:rsidR="00C21ECD" w:rsidRPr="0043354D">
              <w:rPr>
                <w:iCs/>
              </w:rPr>
              <w:t xml:space="preserve"> (ne pēc apjoma, ne vērtības)</w:t>
            </w:r>
            <w:r w:rsidRPr="0043354D">
              <w:rPr>
                <w:iCs/>
              </w:rPr>
              <w:t xml:space="preserve"> konkrētajos tirgos parasti nav publiski pieejama</w:t>
            </w:r>
            <w:r w:rsidR="00D87F0C" w:rsidRPr="0043354D">
              <w:rPr>
                <w:iCs/>
              </w:rPr>
              <w:t>. Š</w:t>
            </w:r>
            <w:r w:rsidR="002F4533" w:rsidRPr="0043354D">
              <w:rPr>
                <w:iCs/>
              </w:rPr>
              <w:t xml:space="preserve">ādu informāciju apvienošanās dalībniekiem ir sarežģīti un </w:t>
            </w:r>
            <w:proofErr w:type="spellStart"/>
            <w:r w:rsidR="002F4533" w:rsidRPr="0043354D">
              <w:rPr>
                <w:iCs/>
              </w:rPr>
              <w:t>resursietilpīgi</w:t>
            </w:r>
            <w:proofErr w:type="spellEnd"/>
            <w:r w:rsidR="002F4533" w:rsidRPr="0043354D">
              <w:rPr>
                <w:iCs/>
              </w:rPr>
              <w:t xml:space="preserve"> iegūt</w:t>
            </w:r>
            <w:r w:rsidRPr="0043354D">
              <w:rPr>
                <w:iCs/>
              </w:rPr>
              <w:t>. Turklāt tirgus dalībnieka tirgus daļas lielums ir atkarīgs no konkrētā tirgus definēšanas, ko, izvērtējot pieprasījuma un piedāvājuma noteikumus, kā arī citus tirgus apstākļus, katru reizi</w:t>
            </w:r>
            <w:r w:rsidR="00D87F0C" w:rsidRPr="0043354D">
              <w:rPr>
                <w:iCs/>
              </w:rPr>
              <w:t xml:space="preserve"> ir jāveic </w:t>
            </w:r>
            <w:r w:rsidR="00C21ECD" w:rsidRPr="0043354D">
              <w:rPr>
                <w:iCs/>
              </w:rPr>
              <w:t>individuāli katrā lietā</w:t>
            </w:r>
            <w:r w:rsidR="00D87F0C" w:rsidRPr="0043354D">
              <w:rPr>
                <w:iCs/>
              </w:rPr>
              <w:t xml:space="preserve">. </w:t>
            </w:r>
            <w:r w:rsidRPr="0043354D">
              <w:rPr>
                <w:iCs/>
              </w:rPr>
              <w:t>Līdz ar to precīzas konkrēto tirgu definīcijas</w:t>
            </w:r>
            <w:r w:rsidR="00D87F0C" w:rsidRPr="0043354D">
              <w:rPr>
                <w:iCs/>
              </w:rPr>
              <w:t>, jo īpaši gadījumos, kad konkrētos tirgus Konkurences padome iepriekš nav definējusi, var nebūt</w:t>
            </w:r>
            <w:r w:rsidRPr="0043354D">
              <w:rPr>
                <w:iCs/>
              </w:rPr>
              <w:t xml:space="preserve"> zināmas. Minētie apstākļi tirgus dalībniekiem, kuri vēlas apvienoties, </w:t>
            </w:r>
            <w:r w:rsidR="00D87F0C" w:rsidRPr="0043354D">
              <w:rPr>
                <w:iCs/>
              </w:rPr>
              <w:t>var radīt neskaidrības pa to</w:t>
            </w:r>
            <w:r w:rsidRPr="0043354D">
              <w:rPr>
                <w:iCs/>
              </w:rPr>
              <w:t xml:space="preserve"> vai konkrētā apvienošanās ir paziņojama. </w:t>
            </w:r>
            <w:r w:rsidR="00D87F0C" w:rsidRPr="0043354D">
              <w:rPr>
                <w:iCs/>
              </w:rPr>
              <w:t xml:space="preserve">Savukārt par </w:t>
            </w:r>
            <w:r w:rsidR="00642453" w:rsidRPr="0043354D">
              <w:rPr>
                <w:iCs/>
              </w:rPr>
              <w:t>apvienošanās, kas ir paziņojama</w:t>
            </w:r>
            <w:r w:rsidR="00B6395F" w:rsidRPr="0043354D">
              <w:rPr>
                <w:iCs/>
              </w:rPr>
              <w:t>,</w:t>
            </w:r>
            <w:r w:rsidR="00D87F0C" w:rsidRPr="0043354D">
              <w:rPr>
                <w:iCs/>
              </w:rPr>
              <w:t xml:space="preserve"> nepaziņošanu iestājas Konkurences likumā noteiktā atbildība.</w:t>
            </w:r>
          </w:p>
          <w:p w14:paraId="52BE902D" w14:textId="77777777" w:rsidR="00B6395F" w:rsidRPr="0043354D" w:rsidRDefault="00C74CAE" w:rsidP="00B1657C">
            <w:pPr>
              <w:pStyle w:val="naiskr"/>
              <w:spacing w:before="0" w:after="80"/>
              <w:jc w:val="both"/>
              <w:rPr>
                <w:iCs/>
              </w:rPr>
            </w:pPr>
            <w:r w:rsidRPr="0043354D">
              <w:rPr>
                <w:iCs/>
              </w:rPr>
              <w:t>No 28 Eiropas Savienības dalībvalstīm tikai piecās kā apvienošanās paziņošanas kritērijs ir paredzēta tirgus daļa. Lietuvā un Igaunijā tirg</w:t>
            </w:r>
            <w:r w:rsidR="00C21ECD" w:rsidRPr="0043354D">
              <w:rPr>
                <w:iCs/>
              </w:rPr>
              <w:t>us daļas kritērijs nav noteikts</w:t>
            </w:r>
            <w:r w:rsidRPr="0043354D">
              <w:rPr>
                <w:iCs/>
              </w:rPr>
              <w:t xml:space="preserve"> kā apvienošanās paziņošanas slieksnis. </w:t>
            </w:r>
            <w:r w:rsidR="00712D97" w:rsidRPr="0043354D">
              <w:rPr>
                <w:iCs/>
              </w:rPr>
              <w:t>30.05.2013.</w:t>
            </w:r>
            <w:r w:rsidR="00712D97" w:rsidRPr="0043354D">
              <w:t xml:space="preserve"> </w:t>
            </w:r>
            <w:r w:rsidR="00712D97" w:rsidRPr="0043354D">
              <w:rPr>
                <w:iCs/>
              </w:rPr>
              <w:t xml:space="preserve">Ekonomiskās sadarbības un attīstības organizācija (OECD) Ministru padome ir pieņēmusi lēmumu par sarunu uzsākšanu ar Latviju. Lai pievienotos OECD, Latvijas normatīvajai un regulatīvajai videi jāatbilst OECD izstrādātājām rekomendācijām, lēmumiem un citiem instrumentiem. </w:t>
            </w:r>
            <w:r w:rsidR="0060796A" w:rsidRPr="0043354D">
              <w:t xml:space="preserve"> </w:t>
            </w:r>
            <w:r w:rsidR="0060796A" w:rsidRPr="0043354D">
              <w:rPr>
                <w:iCs/>
              </w:rPr>
              <w:t>OECD Padomes 2005.gada 23.marta Rekomendācijās par apvienošanos izskatīšanu C(2005)34</w:t>
            </w:r>
            <w:r w:rsidR="00712D97" w:rsidRPr="0043354D">
              <w:rPr>
                <w:iCs/>
              </w:rPr>
              <w:t xml:space="preserve"> (OECD </w:t>
            </w:r>
            <w:proofErr w:type="spellStart"/>
            <w:r w:rsidR="00712D97" w:rsidRPr="0043354D">
              <w:rPr>
                <w:iCs/>
              </w:rPr>
              <w:t>Recommendation</w:t>
            </w:r>
            <w:proofErr w:type="spellEnd"/>
            <w:r w:rsidR="00712D97" w:rsidRPr="0043354D">
              <w:rPr>
                <w:iCs/>
              </w:rPr>
              <w:t xml:space="preserve"> </w:t>
            </w:r>
            <w:proofErr w:type="spellStart"/>
            <w:r w:rsidR="00712D97" w:rsidRPr="0043354D">
              <w:rPr>
                <w:iCs/>
              </w:rPr>
              <w:t>of</w:t>
            </w:r>
            <w:proofErr w:type="spellEnd"/>
            <w:r w:rsidR="00712D97" w:rsidRPr="0043354D">
              <w:rPr>
                <w:iCs/>
              </w:rPr>
              <w:t xml:space="preserve"> </w:t>
            </w:r>
            <w:proofErr w:type="spellStart"/>
            <w:r w:rsidR="00712D97" w:rsidRPr="0043354D">
              <w:rPr>
                <w:iCs/>
              </w:rPr>
              <w:t>the</w:t>
            </w:r>
            <w:proofErr w:type="spellEnd"/>
            <w:r w:rsidR="00712D97" w:rsidRPr="0043354D">
              <w:rPr>
                <w:iCs/>
              </w:rPr>
              <w:t xml:space="preserve"> </w:t>
            </w:r>
            <w:r w:rsidR="0060796A" w:rsidRPr="0043354D">
              <w:rPr>
                <w:iCs/>
              </w:rPr>
              <w:t xml:space="preserve">                   </w:t>
            </w:r>
            <w:proofErr w:type="spellStart"/>
            <w:r w:rsidR="00712D97" w:rsidRPr="0043354D">
              <w:rPr>
                <w:iCs/>
              </w:rPr>
              <w:t>Council</w:t>
            </w:r>
            <w:proofErr w:type="spellEnd"/>
            <w:r w:rsidR="00712D97" w:rsidRPr="0043354D">
              <w:rPr>
                <w:iCs/>
              </w:rPr>
              <w:t xml:space="preserve"> </w:t>
            </w:r>
            <w:proofErr w:type="spellStart"/>
            <w:r w:rsidR="00712D97" w:rsidRPr="0043354D">
              <w:rPr>
                <w:iCs/>
              </w:rPr>
              <w:t>on</w:t>
            </w:r>
            <w:proofErr w:type="spellEnd"/>
            <w:r w:rsidR="00712D97" w:rsidRPr="0043354D">
              <w:rPr>
                <w:iCs/>
              </w:rPr>
              <w:t xml:space="preserve"> </w:t>
            </w:r>
            <w:proofErr w:type="spellStart"/>
            <w:r w:rsidR="00712D97" w:rsidRPr="0043354D">
              <w:rPr>
                <w:iCs/>
              </w:rPr>
              <w:t>Merger</w:t>
            </w:r>
            <w:proofErr w:type="spellEnd"/>
            <w:r w:rsidR="00712D97" w:rsidRPr="0043354D">
              <w:rPr>
                <w:iCs/>
              </w:rPr>
              <w:t xml:space="preserve"> </w:t>
            </w:r>
            <w:proofErr w:type="spellStart"/>
            <w:r w:rsidR="00712D97" w:rsidRPr="0043354D">
              <w:rPr>
                <w:iCs/>
              </w:rPr>
              <w:t>Review</w:t>
            </w:r>
            <w:proofErr w:type="spellEnd"/>
            <w:r w:rsidR="00712D97" w:rsidRPr="0043354D">
              <w:rPr>
                <w:iCs/>
              </w:rPr>
              <w:t xml:space="preserve">  </w:t>
            </w:r>
            <w:hyperlink r:id="rId9" w:history="1">
              <w:r w:rsidR="00712D97" w:rsidRPr="0043354D">
                <w:rPr>
                  <w:rStyle w:val="Hyperlink"/>
                  <w:iCs/>
                </w:rPr>
                <w:t>http://acts.oecd.org/Instruments/ShowInstrumentView.aspx?InstrumentID=195&amp;Instr</w:t>
              </w:r>
            </w:hyperlink>
            <w:r w:rsidR="00712D97" w:rsidRPr="0043354D">
              <w:rPr>
                <w:iCs/>
              </w:rPr>
              <w:t>...)</w:t>
            </w:r>
            <w:r w:rsidR="0060796A" w:rsidRPr="0043354D">
              <w:rPr>
                <w:iCs/>
              </w:rPr>
              <w:t xml:space="preserve"> </w:t>
            </w:r>
            <w:r w:rsidRPr="0043354D">
              <w:rPr>
                <w:iCs/>
              </w:rPr>
              <w:t>noteikts, ka apvienošanās paziņošanas kritērijiem ir</w:t>
            </w:r>
            <w:r w:rsidR="00712D97" w:rsidRPr="0043354D">
              <w:rPr>
                <w:iCs/>
              </w:rPr>
              <w:t xml:space="preserve"> jābūt skaidriem</w:t>
            </w:r>
            <w:r w:rsidR="00F242A5" w:rsidRPr="0043354D">
              <w:rPr>
                <w:iCs/>
              </w:rPr>
              <w:t xml:space="preserve"> un objektīviem</w:t>
            </w:r>
            <w:r w:rsidR="000442A7" w:rsidRPr="0043354D">
              <w:rPr>
                <w:iCs/>
              </w:rPr>
              <w:t>. Arī Starpta</w:t>
            </w:r>
            <w:r w:rsidR="0060796A" w:rsidRPr="0043354D">
              <w:rPr>
                <w:iCs/>
              </w:rPr>
              <w:t>utiskais</w:t>
            </w:r>
            <w:r w:rsidR="000442A7" w:rsidRPr="0043354D">
              <w:rPr>
                <w:iCs/>
              </w:rPr>
              <w:t xml:space="preserve"> konkurences iestāžu tīkls (ICN) </w:t>
            </w:r>
            <w:r w:rsidR="0060796A" w:rsidRPr="0043354D">
              <w:rPr>
                <w:iCs/>
              </w:rPr>
              <w:t xml:space="preserve">savās rekomendācijās apvienošanos paziņošanas un izskatīšanas procedūrai </w:t>
            </w:r>
            <w:r w:rsidR="000442A7" w:rsidRPr="0043354D">
              <w:rPr>
                <w:iCs/>
              </w:rPr>
              <w:t>(</w:t>
            </w:r>
            <w:r w:rsidR="0060796A" w:rsidRPr="0043354D">
              <w:rPr>
                <w:iCs/>
              </w:rPr>
              <w:t xml:space="preserve">ICN </w:t>
            </w:r>
            <w:proofErr w:type="spellStart"/>
            <w:r w:rsidR="000442A7" w:rsidRPr="0043354D">
              <w:rPr>
                <w:iCs/>
              </w:rPr>
              <w:t>Recommended</w:t>
            </w:r>
            <w:proofErr w:type="spellEnd"/>
            <w:r w:rsidR="000442A7" w:rsidRPr="0043354D">
              <w:rPr>
                <w:iCs/>
              </w:rPr>
              <w:t xml:space="preserve"> </w:t>
            </w:r>
            <w:proofErr w:type="spellStart"/>
            <w:r w:rsidR="000442A7" w:rsidRPr="0043354D">
              <w:rPr>
                <w:iCs/>
              </w:rPr>
              <w:t>Practices</w:t>
            </w:r>
            <w:proofErr w:type="spellEnd"/>
            <w:r w:rsidR="000442A7" w:rsidRPr="0043354D">
              <w:rPr>
                <w:iCs/>
              </w:rPr>
              <w:t xml:space="preserve"> </w:t>
            </w:r>
            <w:proofErr w:type="spellStart"/>
            <w:r w:rsidR="000442A7" w:rsidRPr="0043354D">
              <w:rPr>
                <w:iCs/>
              </w:rPr>
              <w:t>for</w:t>
            </w:r>
            <w:proofErr w:type="spellEnd"/>
            <w:r w:rsidR="000442A7" w:rsidRPr="0043354D">
              <w:rPr>
                <w:iCs/>
              </w:rPr>
              <w:t xml:space="preserve"> </w:t>
            </w:r>
            <w:proofErr w:type="spellStart"/>
            <w:r w:rsidR="000442A7" w:rsidRPr="0043354D">
              <w:rPr>
                <w:iCs/>
              </w:rPr>
              <w:t>Merger</w:t>
            </w:r>
            <w:proofErr w:type="spellEnd"/>
            <w:r w:rsidR="000442A7" w:rsidRPr="0043354D">
              <w:rPr>
                <w:iCs/>
              </w:rPr>
              <w:t xml:space="preserve"> </w:t>
            </w:r>
            <w:proofErr w:type="spellStart"/>
            <w:r w:rsidR="000442A7" w:rsidRPr="0043354D">
              <w:rPr>
                <w:iCs/>
              </w:rPr>
              <w:t>Noti</w:t>
            </w:r>
            <w:r w:rsidR="005B5892" w:rsidRPr="0043354D">
              <w:rPr>
                <w:iCs/>
              </w:rPr>
              <w:t>fication</w:t>
            </w:r>
            <w:proofErr w:type="spellEnd"/>
            <w:r w:rsidR="005B5892" w:rsidRPr="0043354D">
              <w:rPr>
                <w:iCs/>
              </w:rPr>
              <w:t xml:space="preserve"> </w:t>
            </w:r>
            <w:proofErr w:type="spellStart"/>
            <w:r w:rsidR="005B5892" w:rsidRPr="0043354D">
              <w:rPr>
                <w:iCs/>
              </w:rPr>
              <w:t>and</w:t>
            </w:r>
            <w:proofErr w:type="spellEnd"/>
            <w:r w:rsidR="005B5892" w:rsidRPr="0043354D">
              <w:rPr>
                <w:iCs/>
              </w:rPr>
              <w:t xml:space="preserve"> </w:t>
            </w:r>
            <w:proofErr w:type="spellStart"/>
            <w:r w:rsidR="005B5892" w:rsidRPr="0043354D">
              <w:rPr>
                <w:iCs/>
              </w:rPr>
              <w:t>Review</w:t>
            </w:r>
            <w:proofErr w:type="spellEnd"/>
            <w:r w:rsidR="005B5892" w:rsidRPr="0043354D">
              <w:rPr>
                <w:iCs/>
              </w:rPr>
              <w:t xml:space="preserve"> </w:t>
            </w:r>
            <w:proofErr w:type="spellStart"/>
            <w:r w:rsidR="005B5892" w:rsidRPr="0043354D">
              <w:rPr>
                <w:iCs/>
              </w:rPr>
              <w:t>Procedures</w:t>
            </w:r>
            <w:proofErr w:type="spellEnd"/>
            <w:r w:rsidR="005B5892" w:rsidRPr="0043354D">
              <w:rPr>
                <w:iCs/>
              </w:rPr>
              <w:t xml:space="preserve">, </w:t>
            </w:r>
            <w:proofErr w:type="spellStart"/>
            <w:r w:rsidR="005B5892" w:rsidRPr="0043354D">
              <w:rPr>
                <w:iCs/>
              </w:rPr>
              <w:t>May</w:t>
            </w:r>
            <w:proofErr w:type="spellEnd"/>
            <w:r w:rsidR="000442A7" w:rsidRPr="0043354D">
              <w:rPr>
                <w:iCs/>
              </w:rPr>
              <w:t xml:space="preserve"> 2006</w:t>
            </w:r>
            <w:r w:rsidR="005B5892" w:rsidRPr="0043354D">
              <w:rPr>
                <w:iCs/>
              </w:rPr>
              <w:t>,</w:t>
            </w:r>
            <w:r w:rsidR="000442A7" w:rsidRPr="0043354D">
              <w:rPr>
                <w:iCs/>
              </w:rPr>
              <w:t xml:space="preserve"> </w:t>
            </w:r>
            <w:r w:rsidR="005B5892" w:rsidRPr="0043354D">
              <w:t xml:space="preserve"> </w:t>
            </w:r>
            <w:hyperlink r:id="rId10" w:history="1">
              <w:r w:rsidR="005B5892" w:rsidRPr="0043354D">
                <w:rPr>
                  <w:rStyle w:val="Hyperlink"/>
                  <w:iCs/>
                </w:rPr>
                <w:t>http://www.internationalcompetitionnetwork.org/uploads/library/doc588.pdf</w:t>
              </w:r>
            </w:hyperlink>
            <w:r w:rsidR="005B5892" w:rsidRPr="0043354D">
              <w:rPr>
                <w:iCs/>
              </w:rPr>
              <w:t>)</w:t>
            </w:r>
            <w:r w:rsidR="000442A7" w:rsidRPr="0043354D">
              <w:rPr>
                <w:iCs/>
              </w:rPr>
              <w:t xml:space="preserve"> un </w:t>
            </w:r>
            <w:r w:rsidR="0060796A" w:rsidRPr="0043354D">
              <w:rPr>
                <w:iCs/>
              </w:rPr>
              <w:t xml:space="preserve">rekomendētās prakses un vadlīniju ieviešanas rokasgrāmatā un labās prakses apkopojumos </w:t>
            </w:r>
            <w:r w:rsidR="000442A7" w:rsidRPr="0043354D">
              <w:rPr>
                <w:iCs/>
              </w:rPr>
              <w:t xml:space="preserve">(ICN </w:t>
            </w:r>
            <w:proofErr w:type="spellStart"/>
            <w:r w:rsidR="000442A7" w:rsidRPr="0043354D">
              <w:rPr>
                <w:iCs/>
              </w:rPr>
              <w:t>Implementation</w:t>
            </w:r>
            <w:proofErr w:type="spellEnd"/>
            <w:r w:rsidR="000442A7" w:rsidRPr="0043354D">
              <w:rPr>
                <w:iCs/>
              </w:rPr>
              <w:t xml:space="preserve"> </w:t>
            </w:r>
            <w:proofErr w:type="spellStart"/>
            <w:r w:rsidR="000442A7" w:rsidRPr="0043354D">
              <w:rPr>
                <w:iCs/>
              </w:rPr>
              <w:t>handbook</w:t>
            </w:r>
            <w:proofErr w:type="spellEnd"/>
            <w:r w:rsidR="000442A7" w:rsidRPr="0043354D">
              <w:rPr>
                <w:iCs/>
              </w:rPr>
              <w:t xml:space="preserve">. </w:t>
            </w:r>
            <w:proofErr w:type="spellStart"/>
            <w:r w:rsidR="000442A7" w:rsidRPr="0043354D">
              <w:rPr>
                <w:iCs/>
              </w:rPr>
              <w:t>Examples</w:t>
            </w:r>
            <w:proofErr w:type="spellEnd"/>
            <w:r w:rsidR="000442A7" w:rsidRPr="0043354D">
              <w:rPr>
                <w:iCs/>
              </w:rPr>
              <w:t xml:space="preserve"> </w:t>
            </w:r>
            <w:proofErr w:type="spellStart"/>
            <w:r w:rsidR="000442A7" w:rsidRPr="0043354D">
              <w:rPr>
                <w:iCs/>
              </w:rPr>
              <w:t>of</w:t>
            </w:r>
            <w:proofErr w:type="spellEnd"/>
            <w:r w:rsidR="000442A7" w:rsidRPr="0043354D">
              <w:rPr>
                <w:iCs/>
              </w:rPr>
              <w:t xml:space="preserve"> </w:t>
            </w:r>
            <w:proofErr w:type="spellStart"/>
            <w:r w:rsidR="000442A7" w:rsidRPr="0043354D">
              <w:rPr>
                <w:iCs/>
              </w:rPr>
              <w:t>legislative</w:t>
            </w:r>
            <w:proofErr w:type="spellEnd"/>
            <w:r w:rsidR="000442A7" w:rsidRPr="0043354D">
              <w:rPr>
                <w:iCs/>
              </w:rPr>
              <w:t xml:space="preserve"> </w:t>
            </w:r>
            <w:proofErr w:type="spellStart"/>
            <w:r w:rsidR="000442A7" w:rsidRPr="0043354D">
              <w:rPr>
                <w:iCs/>
              </w:rPr>
              <w:t>text</w:t>
            </w:r>
            <w:proofErr w:type="spellEnd"/>
            <w:r w:rsidR="000442A7" w:rsidRPr="0043354D">
              <w:rPr>
                <w:iCs/>
              </w:rPr>
              <w:t xml:space="preserve">, </w:t>
            </w:r>
            <w:proofErr w:type="spellStart"/>
            <w:r w:rsidR="000442A7" w:rsidRPr="0043354D">
              <w:rPr>
                <w:iCs/>
              </w:rPr>
              <w:t>rules</w:t>
            </w:r>
            <w:proofErr w:type="spellEnd"/>
            <w:r w:rsidR="000442A7" w:rsidRPr="0043354D">
              <w:rPr>
                <w:iCs/>
              </w:rPr>
              <w:t xml:space="preserve"> </w:t>
            </w:r>
            <w:proofErr w:type="spellStart"/>
            <w:r w:rsidR="000442A7" w:rsidRPr="0043354D">
              <w:rPr>
                <w:iCs/>
              </w:rPr>
              <w:t>and</w:t>
            </w:r>
            <w:proofErr w:type="spellEnd"/>
            <w:r w:rsidR="000442A7" w:rsidRPr="0043354D">
              <w:rPr>
                <w:iCs/>
              </w:rPr>
              <w:t xml:space="preserve"> </w:t>
            </w:r>
            <w:proofErr w:type="spellStart"/>
            <w:r w:rsidR="000442A7" w:rsidRPr="0043354D">
              <w:rPr>
                <w:iCs/>
              </w:rPr>
              <w:t>practices</w:t>
            </w:r>
            <w:proofErr w:type="spellEnd"/>
            <w:r w:rsidR="000442A7" w:rsidRPr="0043354D">
              <w:rPr>
                <w:iCs/>
              </w:rPr>
              <w:t xml:space="preserve"> </w:t>
            </w:r>
            <w:proofErr w:type="spellStart"/>
            <w:r w:rsidR="000442A7" w:rsidRPr="0043354D">
              <w:rPr>
                <w:iCs/>
              </w:rPr>
              <w:t>that</w:t>
            </w:r>
            <w:proofErr w:type="spellEnd"/>
            <w:r w:rsidR="000442A7" w:rsidRPr="0043354D">
              <w:rPr>
                <w:iCs/>
              </w:rPr>
              <w:t xml:space="preserve"> </w:t>
            </w:r>
            <w:proofErr w:type="spellStart"/>
            <w:r w:rsidR="000442A7" w:rsidRPr="0043354D">
              <w:rPr>
                <w:iCs/>
              </w:rPr>
              <w:t>conform</w:t>
            </w:r>
            <w:proofErr w:type="spellEnd"/>
            <w:r w:rsidR="000442A7" w:rsidRPr="0043354D">
              <w:rPr>
                <w:iCs/>
              </w:rPr>
              <w:t xml:space="preserve"> to </w:t>
            </w:r>
            <w:proofErr w:type="spellStart"/>
            <w:r w:rsidR="000442A7" w:rsidRPr="0043354D">
              <w:rPr>
                <w:iCs/>
              </w:rPr>
              <w:t>selected</w:t>
            </w:r>
            <w:proofErr w:type="spellEnd"/>
            <w:r w:rsidR="000442A7" w:rsidRPr="0043354D">
              <w:rPr>
                <w:iCs/>
              </w:rPr>
              <w:t xml:space="preserve"> ICN </w:t>
            </w:r>
            <w:proofErr w:type="spellStart"/>
            <w:r w:rsidR="000442A7" w:rsidRPr="0043354D">
              <w:rPr>
                <w:iCs/>
              </w:rPr>
              <w:t>guiding</w:t>
            </w:r>
            <w:proofErr w:type="spellEnd"/>
            <w:r w:rsidR="000442A7" w:rsidRPr="0043354D">
              <w:rPr>
                <w:iCs/>
              </w:rPr>
              <w:t xml:space="preserve"> </w:t>
            </w:r>
            <w:proofErr w:type="spellStart"/>
            <w:r w:rsidR="000442A7" w:rsidRPr="0043354D">
              <w:rPr>
                <w:iCs/>
              </w:rPr>
              <w:t>principles</w:t>
            </w:r>
            <w:proofErr w:type="spellEnd"/>
            <w:r w:rsidR="000442A7" w:rsidRPr="0043354D">
              <w:rPr>
                <w:iCs/>
              </w:rPr>
              <w:t xml:space="preserve"> </w:t>
            </w:r>
            <w:proofErr w:type="spellStart"/>
            <w:r w:rsidR="000442A7" w:rsidRPr="0043354D">
              <w:rPr>
                <w:iCs/>
              </w:rPr>
              <w:t>and</w:t>
            </w:r>
            <w:proofErr w:type="spellEnd"/>
            <w:r w:rsidR="000442A7" w:rsidRPr="0043354D">
              <w:rPr>
                <w:iCs/>
              </w:rPr>
              <w:t xml:space="preserve"> </w:t>
            </w:r>
            <w:proofErr w:type="spellStart"/>
            <w:r w:rsidR="000442A7" w:rsidRPr="0043354D">
              <w:rPr>
                <w:iCs/>
              </w:rPr>
              <w:t>recommended</w:t>
            </w:r>
            <w:proofErr w:type="spellEnd"/>
            <w:r w:rsidR="000442A7" w:rsidRPr="0043354D">
              <w:rPr>
                <w:iCs/>
              </w:rPr>
              <w:t xml:space="preserve"> </w:t>
            </w:r>
            <w:proofErr w:type="spellStart"/>
            <w:r w:rsidR="000442A7" w:rsidRPr="0043354D">
              <w:rPr>
                <w:iCs/>
              </w:rPr>
              <w:t>practices</w:t>
            </w:r>
            <w:proofErr w:type="spellEnd"/>
            <w:r w:rsidR="000442A7" w:rsidRPr="0043354D">
              <w:rPr>
                <w:iCs/>
              </w:rPr>
              <w:t xml:space="preserve"> </w:t>
            </w:r>
            <w:proofErr w:type="spellStart"/>
            <w:r w:rsidR="000442A7" w:rsidRPr="0043354D">
              <w:rPr>
                <w:iCs/>
              </w:rPr>
              <w:t>for</w:t>
            </w:r>
            <w:proofErr w:type="spellEnd"/>
            <w:r w:rsidR="000442A7" w:rsidRPr="0043354D">
              <w:rPr>
                <w:iCs/>
              </w:rPr>
              <w:t xml:space="preserve"> </w:t>
            </w:r>
            <w:proofErr w:type="spellStart"/>
            <w:r w:rsidR="000442A7" w:rsidRPr="0043354D">
              <w:rPr>
                <w:iCs/>
              </w:rPr>
              <w:t>merger</w:t>
            </w:r>
            <w:proofErr w:type="spellEnd"/>
            <w:r w:rsidR="000442A7" w:rsidRPr="0043354D">
              <w:rPr>
                <w:iCs/>
              </w:rPr>
              <w:t xml:space="preserve"> </w:t>
            </w:r>
            <w:proofErr w:type="spellStart"/>
            <w:r w:rsidR="000442A7" w:rsidRPr="0043354D">
              <w:rPr>
                <w:iCs/>
              </w:rPr>
              <w:t>notification</w:t>
            </w:r>
            <w:proofErr w:type="spellEnd"/>
            <w:r w:rsidR="000442A7" w:rsidRPr="0043354D">
              <w:rPr>
                <w:iCs/>
              </w:rPr>
              <w:t xml:space="preserve"> </w:t>
            </w:r>
            <w:proofErr w:type="spellStart"/>
            <w:r w:rsidR="000442A7" w:rsidRPr="0043354D">
              <w:rPr>
                <w:iCs/>
              </w:rPr>
              <w:t>and</w:t>
            </w:r>
            <w:proofErr w:type="spellEnd"/>
            <w:r w:rsidR="000442A7" w:rsidRPr="0043354D">
              <w:rPr>
                <w:iCs/>
              </w:rPr>
              <w:t xml:space="preserve"> </w:t>
            </w:r>
            <w:proofErr w:type="spellStart"/>
            <w:r w:rsidR="000442A7" w:rsidRPr="0043354D">
              <w:rPr>
                <w:iCs/>
              </w:rPr>
              <w:t>review</w:t>
            </w:r>
            <w:proofErr w:type="spellEnd"/>
            <w:r w:rsidR="000442A7" w:rsidRPr="0043354D">
              <w:rPr>
                <w:iCs/>
              </w:rPr>
              <w:t xml:space="preserve"> </w:t>
            </w:r>
            <w:proofErr w:type="spellStart"/>
            <w:r w:rsidR="000442A7" w:rsidRPr="0043354D">
              <w:rPr>
                <w:iCs/>
              </w:rPr>
              <w:t>procedures</w:t>
            </w:r>
            <w:proofErr w:type="spellEnd"/>
            <w:r w:rsidR="000442A7" w:rsidRPr="0043354D">
              <w:rPr>
                <w:iCs/>
              </w:rPr>
              <w:t xml:space="preserve">, </w:t>
            </w:r>
            <w:proofErr w:type="spellStart"/>
            <w:r w:rsidR="000442A7" w:rsidRPr="0043354D">
              <w:rPr>
                <w:iCs/>
              </w:rPr>
              <w:t>April</w:t>
            </w:r>
            <w:proofErr w:type="spellEnd"/>
            <w:r w:rsidR="000442A7" w:rsidRPr="0043354D">
              <w:rPr>
                <w:iCs/>
              </w:rPr>
              <w:t xml:space="preserve"> 2006</w:t>
            </w:r>
            <w:r w:rsidR="00F242A5" w:rsidRPr="0043354D">
              <w:rPr>
                <w:iCs/>
              </w:rPr>
              <w:t xml:space="preserve"> </w:t>
            </w:r>
            <w:hyperlink r:id="rId11" w:history="1">
              <w:r w:rsidR="00F242A5" w:rsidRPr="0043354D">
                <w:rPr>
                  <w:rStyle w:val="Hyperlink"/>
                  <w:iCs/>
                </w:rPr>
                <w:t>http://www.internationalcompetitionnetwork.org/uploads/library/doc325.pdf</w:t>
              </w:r>
            </w:hyperlink>
            <w:r w:rsidR="00F242A5" w:rsidRPr="0043354D">
              <w:rPr>
                <w:iCs/>
              </w:rPr>
              <w:t xml:space="preserve">; </w:t>
            </w:r>
            <w:proofErr w:type="spellStart"/>
            <w:r w:rsidR="00F242A5" w:rsidRPr="0043354D">
              <w:t>Setting</w:t>
            </w:r>
            <w:proofErr w:type="spellEnd"/>
            <w:r w:rsidR="00F242A5" w:rsidRPr="0043354D">
              <w:t xml:space="preserve"> </w:t>
            </w:r>
            <w:proofErr w:type="spellStart"/>
            <w:r w:rsidR="00F242A5" w:rsidRPr="0043354D">
              <w:t>norification</w:t>
            </w:r>
            <w:proofErr w:type="spellEnd"/>
            <w:r w:rsidR="00F242A5" w:rsidRPr="0043354D">
              <w:t xml:space="preserve"> </w:t>
            </w:r>
            <w:proofErr w:type="spellStart"/>
            <w:r w:rsidR="00F242A5" w:rsidRPr="0043354D">
              <w:t>thresholds</w:t>
            </w:r>
            <w:proofErr w:type="spellEnd"/>
            <w:r w:rsidR="00F242A5" w:rsidRPr="0043354D">
              <w:t xml:space="preserve"> </w:t>
            </w:r>
            <w:proofErr w:type="spellStart"/>
            <w:r w:rsidR="00F242A5" w:rsidRPr="0043354D">
              <w:t>for</w:t>
            </w:r>
            <w:proofErr w:type="spellEnd"/>
            <w:r w:rsidR="00F242A5" w:rsidRPr="0043354D">
              <w:t xml:space="preserve"> </w:t>
            </w:r>
            <w:proofErr w:type="spellStart"/>
            <w:r w:rsidR="00F242A5" w:rsidRPr="0043354D">
              <w:t>merger</w:t>
            </w:r>
            <w:proofErr w:type="spellEnd"/>
            <w:r w:rsidR="00F242A5" w:rsidRPr="0043354D">
              <w:t xml:space="preserve"> </w:t>
            </w:r>
            <w:proofErr w:type="spellStart"/>
            <w:r w:rsidR="00F242A5" w:rsidRPr="0043354D">
              <w:t>review</w:t>
            </w:r>
            <w:proofErr w:type="spellEnd"/>
            <w:r w:rsidR="00F242A5" w:rsidRPr="0043354D">
              <w:rPr>
                <w:iCs/>
              </w:rPr>
              <w:t xml:space="preserve">, </w:t>
            </w:r>
            <w:proofErr w:type="spellStart"/>
            <w:r w:rsidR="00F242A5" w:rsidRPr="0043354D">
              <w:rPr>
                <w:iCs/>
              </w:rPr>
              <w:t>April</w:t>
            </w:r>
            <w:proofErr w:type="spellEnd"/>
            <w:r w:rsidR="00F242A5" w:rsidRPr="0043354D">
              <w:rPr>
                <w:iCs/>
              </w:rPr>
              <w:t xml:space="preserve"> 2008  </w:t>
            </w:r>
            <w:hyperlink r:id="rId12" w:history="1">
              <w:r w:rsidR="00F242A5" w:rsidRPr="0043354D">
                <w:rPr>
                  <w:rStyle w:val="Hyperlink"/>
                  <w:iCs/>
                </w:rPr>
                <w:t>http://www.jftc.go.jp/en/int_relations/kyoto_materials.files/Merger_WG_2.pdf</w:t>
              </w:r>
            </w:hyperlink>
            <w:r w:rsidR="000442A7" w:rsidRPr="0043354D">
              <w:rPr>
                <w:iCs/>
              </w:rPr>
              <w:t>) ir norādījis, ka apvienošanās paziņošanas kritērijiem jābūt skaidriem, saprotamiem, jābalstās uz objektīviem kvantitatīviem kritērijiem, kas ir viegli pieejami apvienošanās dalībniekiem, piemēram, tirgus dalībnieku aktīvu vai pārdošan</w:t>
            </w:r>
            <w:r w:rsidR="00F242A5" w:rsidRPr="0043354D">
              <w:rPr>
                <w:iCs/>
              </w:rPr>
              <w:t>as ieņēmumu (apgrozījuma) dati</w:t>
            </w:r>
            <w:r w:rsidR="000442A7" w:rsidRPr="0043354D">
              <w:rPr>
                <w:iCs/>
              </w:rPr>
              <w:t>.</w:t>
            </w:r>
            <w:r w:rsidR="00712D97" w:rsidRPr="0043354D">
              <w:rPr>
                <w:iCs/>
              </w:rPr>
              <w:t xml:space="preserve"> </w:t>
            </w:r>
            <w:r w:rsidRPr="0043354D">
              <w:rPr>
                <w:iCs/>
              </w:rPr>
              <w:t xml:space="preserve">Tirgus daļas izmantošana apvienošanās paziņošanas kritērijam neatbilst </w:t>
            </w:r>
            <w:r w:rsidR="000442A7" w:rsidRPr="0043354D">
              <w:rPr>
                <w:iCs/>
              </w:rPr>
              <w:t xml:space="preserve">OECD rekomendācijām un </w:t>
            </w:r>
            <w:r w:rsidR="00F242A5" w:rsidRPr="0043354D">
              <w:rPr>
                <w:iCs/>
              </w:rPr>
              <w:t xml:space="preserve"> starptautiski atzītai </w:t>
            </w:r>
            <w:r w:rsidRPr="0043354D">
              <w:rPr>
                <w:iCs/>
              </w:rPr>
              <w:t>labākajai praksei.</w:t>
            </w:r>
          </w:p>
          <w:p w14:paraId="73ADFFDC" w14:textId="77777777" w:rsidR="00C74CAE" w:rsidRPr="0043354D" w:rsidRDefault="00C74CAE" w:rsidP="00B1657C">
            <w:pPr>
              <w:pStyle w:val="naiskr"/>
              <w:spacing w:before="0" w:after="80"/>
              <w:jc w:val="both"/>
              <w:rPr>
                <w:iCs/>
              </w:rPr>
            </w:pPr>
            <w:r w:rsidRPr="0043354D">
              <w:rPr>
                <w:iCs/>
              </w:rPr>
              <w:lastRenderedPageBreak/>
              <w:t>Iepriekšējās konsultācijās, kuras veica Konkurences padome, sagatavojot grozījumus, tika identificēts, ka tirgus daļas noskaidrošana ir būtisks apgrūtinājums tirgus dalībniekiem, kuri plāno apvienoties.</w:t>
            </w:r>
          </w:p>
          <w:p w14:paraId="753DA23D" w14:textId="6A5003E7" w:rsidR="00AA005B" w:rsidRPr="009541D3" w:rsidRDefault="00C74CAE" w:rsidP="00B1657C">
            <w:pPr>
              <w:pStyle w:val="naiskr"/>
              <w:spacing w:before="0" w:after="80"/>
              <w:jc w:val="both"/>
              <w:rPr>
                <w:iCs/>
                <w:color w:val="FF0000"/>
              </w:rPr>
            </w:pPr>
            <w:r w:rsidRPr="0043354D">
              <w:rPr>
                <w:iCs/>
              </w:rPr>
              <w:t xml:space="preserve">Konkurences likumā esošais regulējums nepakļauj apvienošanās kontrolei darījumus, kad vienam no apvienošanās dalībniekiem ir mazs (zem </w:t>
            </w:r>
            <w:r w:rsidR="005B58AC" w:rsidRPr="00C00931">
              <w:rPr>
                <w:color w:val="414142"/>
                <w:shd w:val="clear" w:color="auto" w:fill="F1F1F1"/>
              </w:rPr>
              <w:t>2</w:t>
            </w:r>
            <w:r w:rsidR="005B58AC">
              <w:rPr>
                <w:color w:val="414142"/>
                <w:shd w:val="clear" w:color="auto" w:fill="F1F1F1"/>
              </w:rPr>
              <w:t>,</w:t>
            </w:r>
            <w:r w:rsidR="005B58AC" w:rsidRPr="00C00931">
              <w:rPr>
                <w:color w:val="414142"/>
                <w:shd w:val="clear" w:color="auto" w:fill="F1F1F1"/>
              </w:rPr>
              <w:t xml:space="preserve">134 </w:t>
            </w:r>
            <w:proofErr w:type="spellStart"/>
            <w:r w:rsidR="005B58AC">
              <w:rPr>
                <w:color w:val="414142"/>
                <w:shd w:val="clear" w:color="auto" w:fill="F1F1F1"/>
              </w:rPr>
              <w:t>mlj</w:t>
            </w:r>
            <w:proofErr w:type="spellEnd"/>
            <w:r w:rsidR="005B58AC">
              <w:rPr>
                <w:color w:val="414142"/>
                <w:shd w:val="clear" w:color="auto" w:fill="F1F1F1"/>
              </w:rPr>
              <w:t xml:space="preserve">. </w:t>
            </w:r>
            <w:proofErr w:type="spellStart"/>
            <w:r w:rsidR="005B58AC" w:rsidRPr="00C00931">
              <w:rPr>
                <w:i/>
                <w:iCs/>
                <w:color w:val="414142"/>
                <w:shd w:val="clear" w:color="auto" w:fill="F1F1F1"/>
              </w:rPr>
              <w:t>euro</w:t>
            </w:r>
            <w:proofErr w:type="spellEnd"/>
            <w:r w:rsidRPr="0043354D">
              <w:rPr>
                <w:iCs/>
              </w:rPr>
              <w:t xml:space="preserve">) apgrozījums. Farmācijas nozarē ir raksturīgi, ka individuālo aptieku apgrozījumi ir salīdzinoši nelieli, tikai 2% aptieku individuālais apgrozījums ir virs </w:t>
            </w:r>
            <w:r w:rsidR="005B58AC">
              <w:rPr>
                <w:iCs/>
              </w:rPr>
              <w:t xml:space="preserve">1,4 </w:t>
            </w:r>
            <w:proofErr w:type="spellStart"/>
            <w:r w:rsidR="005B58AC">
              <w:rPr>
                <w:iCs/>
              </w:rPr>
              <w:t>mlj</w:t>
            </w:r>
            <w:proofErr w:type="spellEnd"/>
            <w:r w:rsidR="005B58AC">
              <w:rPr>
                <w:iCs/>
              </w:rPr>
              <w:t xml:space="preserve">. </w:t>
            </w:r>
            <w:proofErr w:type="spellStart"/>
            <w:r w:rsidR="005B58AC">
              <w:rPr>
                <w:i/>
                <w:iCs/>
              </w:rPr>
              <w:t>euro</w:t>
            </w:r>
            <w:proofErr w:type="spellEnd"/>
            <w:r w:rsidRPr="0043354D">
              <w:rPr>
                <w:iCs/>
              </w:rPr>
              <w:t xml:space="preserve">, 87% aptieku apgrozījums ir zem </w:t>
            </w:r>
            <w:r w:rsidR="005B58AC">
              <w:rPr>
                <w:iCs/>
              </w:rPr>
              <w:t>711</w:t>
            </w:r>
            <w:r w:rsidR="005B58AC" w:rsidRPr="0043354D">
              <w:rPr>
                <w:iCs/>
              </w:rPr>
              <w:t xml:space="preserve"> </w:t>
            </w:r>
            <w:proofErr w:type="spellStart"/>
            <w:r w:rsidRPr="0043354D">
              <w:rPr>
                <w:iCs/>
              </w:rPr>
              <w:t>tūkst</w:t>
            </w:r>
            <w:proofErr w:type="spellEnd"/>
            <w:r w:rsidRPr="0043354D">
              <w:rPr>
                <w:iCs/>
              </w:rPr>
              <w:t>.</w:t>
            </w:r>
            <w:r w:rsidR="005B58AC">
              <w:rPr>
                <w:iCs/>
              </w:rPr>
              <w:t xml:space="preserve"> </w:t>
            </w:r>
            <w:proofErr w:type="spellStart"/>
            <w:r w:rsidR="005B58AC">
              <w:rPr>
                <w:i/>
                <w:iCs/>
              </w:rPr>
              <w:t>euro</w:t>
            </w:r>
            <w:proofErr w:type="spellEnd"/>
            <w:r w:rsidRPr="0043354D">
              <w:rPr>
                <w:iCs/>
              </w:rPr>
              <w:t xml:space="preserve">, vidējais vienas aptiekas apgrozījums ir </w:t>
            </w:r>
            <w:r w:rsidR="005B58AC">
              <w:rPr>
                <w:iCs/>
              </w:rPr>
              <w:t>502</w:t>
            </w:r>
            <w:r w:rsidR="005B58AC" w:rsidRPr="0043354D">
              <w:rPr>
                <w:iCs/>
              </w:rPr>
              <w:t xml:space="preserve"> </w:t>
            </w:r>
            <w:proofErr w:type="spellStart"/>
            <w:r w:rsidRPr="0043354D">
              <w:rPr>
                <w:iCs/>
              </w:rPr>
              <w:t>tūkst</w:t>
            </w:r>
            <w:proofErr w:type="spellEnd"/>
            <w:r w:rsidRPr="0043354D">
              <w:rPr>
                <w:iCs/>
              </w:rPr>
              <w:t>.</w:t>
            </w:r>
            <w:r w:rsidR="005B58AC">
              <w:rPr>
                <w:iCs/>
              </w:rPr>
              <w:t xml:space="preserve"> </w:t>
            </w:r>
            <w:proofErr w:type="spellStart"/>
            <w:r w:rsidR="005B58AC" w:rsidRPr="00C00931">
              <w:rPr>
                <w:i/>
                <w:iCs/>
              </w:rPr>
              <w:t>euro</w:t>
            </w:r>
            <w:proofErr w:type="spellEnd"/>
            <w:r w:rsidR="005B58AC">
              <w:rPr>
                <w:iCs/>
              </w:rPr>
              <w:t>.</w:t>
            </w:r>
            <w:r w:rsidRPr="0043354D">
              <w:rPr>
                <w:iCs/>
              </w:rPr>
              <w:t xml:space="preserve"> Tomēr arī šādā situācijā tirgus dalībnieku apvienošanās, koncentrējot tirgus varu atsevišķu aptieku ķēžu rokās, var izraisīt būtiskas izmaiņas lokālos (pilsētas teritorija, tās tuvākā apkārtne) ģeogrāfiskos tirgos ar negatīvām sekām konkurencei. Līdzīgi riski pastāv arī citās veselības aprūpes jomās.</w:t>
            </w:r>
            <w:r w:rsidR="00AA005B" w:rsidRPr="0043354D">
              <w:t xml:space="preserve"> </w:t>
            </w:r>
            <w:r w:rsidR="00AA005B" w:rsidRPr="0043354D">
              <w:rPr>
                <w:iCs/>
              </w:rPr>
              <w:t xml:space="preserve">Tādējādi, lai novērstu nekontrolētu darījumu īstenošanu un pakļautu valstiskai kontrolei patērētājiem nelabvēlīgu pārmērīgu tirgus koncentrāciju, ir nepieciešams noteikt </w:t>
            </w:r>
            <w:r w:rsidR="009541D3">
              <w:rPr>
                <w:iCs/>
              </w:rPr>
              <w:t xml:space="preserve">Konkurences padomei tiesības nepieciešamības gadījumā, ja apvienošanās var negatīvi ietekmēt konkurenci, pieprasīt iesniegt apvienošanās ziņojumu </w:t>
            </w:r>
            <w:r w:rsidR="009541D3" w:rsidRPr="009541D3">
              <w:rPr>
                <w:iCs/>
              </w:rPr>
              <w:t xml:space="preserve">arī  ja apvienošanās neatbilst likumā noteiktajiem paziņošanas sliekšņiem. </w:t>
            </w:r>
          </w:p>
          <w:p w14:paraId="58860029" w14:textId="77777777" w:rsidR="00C74CAE" w:rsidRPr="0043354D" w:rsidRDefault="0061407D" w:rsidP="00B1657C">
            <w:pPr>
              <w:pStyle w:val="naiskr"/>
              <w:numPr>
                <w:ilvl w:val="0"/>
                <w:numId w:val="21"/>
              </w:numPr>
              <w:spacing w:before="0" w:after="80"/>
              <w:jc w:val="both"/>
              <w:rPr>
                <w:iCs/>
                <w:u w:val="single"/>
              </w:rPr>
            </w:pPr>
            <w:r w:rsidRPr="0043354D">
              <w:rPr>
                <w:iCs/>
                <w:u w:val="single"/>
              </w:rPr>
              <w:t>Tiesības pieprasīt apvienošanās ziņojuma iesniegšanu</w:t>
            </w:r>
            <w:r w:rsidR="003743F9" w:rsidRPr="0043354D">
              <w:rPr>
                <w:iCs/>
                <w:u w:val="single"/>
              </w:rPr>
              <w:t>, ja apvienošanās neatbilst likumā noteiktajiem paziņošanas sliekšņiem</w:t>
            </w:r>
          </w:p>
          <w:p w14:paraId="27C1046E" w14:textId="11769382" w:rsidR="00F6136C" w:rsidRPr="0043354D" w:rsidRDefault="00F55DC5" w:rsidP="00B1657C">
            <w:pPr>
              <w:pStyle w:val="naiskr"/>
              <w:spacing w:before="0" w:after="80"/>
              <w:jc w:val="both"/>
              <w:rPr>
                <w:iCs/>
              </w:rPr>
            </w:pPr>
            <w:r w:rsidRPr="0043354D">
              <w:rPr>
                <w:iCs/>
              </w:rPr>
              <w:t>Esošais apvienošanās kontroles regulējums ne pie kādiem nosacījumiem nepakļauj valstiskai kontrolei darījumus, kas neatbilst Konkurences likumā noteiktajiem apvi</w:t>
            </w:r>
            <w:r w:rsidR="0061407D" w:rsidRPr="0043354D">
              <w:rPr>
                <w:iCs/>
              </w:rPr>
              <w:t>enošanās paziņošanas sliekšņ</w:t>
            </w:r>
            <w:r w:rsidR="00544BC4" w:rsidRPr="0043354D">
              <w:rPr>
                <w:iCs/>
              </w:rPr>
              <w:t>iem, pat</w:t>
            </w:r>
            <w:r w:rsidR="00277B4A">
              <w:rPr>
                <w:iCs/>
              </w:rPr>
              <w:t>,</w:t>
            </w:r>
            <w:r w:rsidR="00544BC4" w:rsidRPr="0043354D">
              <w:rPr>
                <w:iCs/>
              </w:rPr>
              <w:t xml:space="preserve"> ja šādiem darījumiem</w:t>
            </w:r>
            <w:r w:rsidR="005309F2" w:rsidRPr="0043354D">
              <w:rPr>
                <w:iCs/>
              </w:rPr>
              <w:t xml:space="preserve"> pēc to īstenošanas </w:t>
            </w:r>
            <w:r w:rsidR="00544BC4" w:rsidRPr="0043354D">
              <w:rPr>
                <w:iCs/>
              </w:rPr>
              <w:t>ir negatīva ietekme uz konkurenci</w:t>
            </w:r>
            <w:r w:rsidR="0061407D" w:rsidRPr="0043354D">
              <w:rPr>
                <w:iCs/>
              </w:rPr>
              <w:t>, klientiem</w:t>
            </w:r>
            <w:r w:rsidR="00544BC4" w:rsidRPr="0043354D">
              <w:rPr>
                <w:iCs/>
              </w:rPr>
              <w:t xml:space="preserve"> un patērētājiem.</w:t>
            </w:r>
            <w:r w:rsidRPr="0043354D">
              <w:rPr>
                <w:iCs/>
              </w:rPr>
              <w:t xml:space="preserve"> Tomēr </w:t>
            </w:r>
            <w:r w:rsidR="00E7722A" w:rsidRPr="0043354D">
              <w:rPr>
                <w:iCs/>
              </w:rPr>
              <w:t xml:space="preserve">kā rāda Konkurences padomes apvienošanās lietu izskatīšanas prakse un veiktās tirgus uzraudzības, </w:t>
            </w:r>
            <w:r w:rsidR="005309F2" w:rsidRPr="0043354D">
              <w:rPr>
                <w:iCs/>
              </w:rPr>
              <w:t xml:space="preserve">arī tirgus dalībnieku </w:t>
            </w:r>
            <w:r w:rsidR="00E7722A" w:rsidRPr="0043354D">
              <w:rPr>
                <w:iCs/>
              </w:rPr>
              <w:t>apvienošanās nozarēs</w:t>
            </w:r>
            <w:r w:rsidR="0061407D" w:rsidRPr="0043354D">
              <w:rPr>
                <w:iCs/>
              </w:rPr>
              <w:t xml:space="preserve">, kurās ir zemi </w:t>
            </w:r>
            <w:r w:rsidR="005309F2" w:rsidRPr="0043354D">
              <w:rPr>
                <w:iCs/>
              </w:rPr>
              <w:t xml:space="preserve">nozares </w:t>
            </w:r>
            <w:r w:rsidR="0061407D" w:rsidRPr="0043354D">
              <w:rPr>
                <w:iCs/>
              </w:rPr>
              <w:t>kopējie apgrozījumi</w:t>
            </w:r>
            <w:r w:rsidR="00E7722A" w:rsidRPr="0043354D">
              <w:rPr>
                <w:iCs/>
              </w:rPr>
              <w:t xml:space="preserve"> vai apvienošanās lokālos tirgos</w:t>
            </w:r>
            <w:r w:rsidRPr="0043354D">
              <w:rPr>
                <w:iCs/>
              </w:rPr>
              <w:t xml:space="preserve"> </w:t>
            </w:r>
            <w:r w:rsidR="00E7722A" w:rsidRPr="0043354D">
              <w:rPr>
                <w:iCs/>
              </w:rPr>
              <w:t xml:space="preserve">var radīt </w:t>
            </w:r>
            <w:r w:rsidR="00B6395F" w:rsidRPr="0043354D">
              <w:rPr>
                <w:iCs/>
              </w:rPr>
              <w:t>augstu tirgus koncentrāciju un</w:t>
            </w:r>
            <w:r w:rsidR="00D20CB2" w:rsidRPr="0043354D">
              <w:rPr>
                <w:iCs/>
              </w:rPr>
              <w:t xml:space="preserve"> </w:t>
            </w:r>
            <w:r w:rsidR="00E7722A" w:rsidRPr="0043354D">
              <w:rPr>
                <w:iCs/>
              </w:rPr>
              <w:t>būtisku konkurences samazināšanos</w:t>
            </w:r>
            <w:r w:rsidR="00544BC4" w:rsidRPr="0043354D">
              <w:rPr>
                <w:iCs/>
              </w:rPr>
              <w:t xml:space="preserve"> vai pat dominējošā stāvokļa rašanos</w:t>
            </w:r>
            <w:r w:rsidR="003743F9" w:rsidRPr="0043354D">
              <w:rPr>
                <w:iCs/>
              </w:rPr>
              <w:t xml:space="preserve"> par sliktu </w:t>
            </w:r>
            <w:r w:rsidR="00B10E30" w:rsidRPr="0043354D">
              <w:rPr>
                <w:iCs/>
              </w:rPr>
              <w:t>tirgus dalībniekiem</w:t>
            </w:r>
            <w:r w:rsidR="003743F9" w:rsidRPr="0043354D">
              <w:rPr>
                <w:iCs/>
              </w:rPr>
              <w:t>, klientiem un patērētājiem</w:t>
            </w:r>
            <w:r w:rsidR="00544BC4" w:rsidRPr="0043354D">
              <w:rPr>
                <w:iCs/>
              </w:rPr>
              <w:t>.</w:t>
            </w:r>
            <w:r w:rsidR="003743F9" w:rsidRPr="0043354D">
              <w:rPr>
                <w:iCs/>
              </w:rPr>
              <w:t xml:space="preserve"> </w:t>
            </w:r>
          </w:p>
          <w:p w14:paraId="32D3BA24" w14:textId="77777777" w:rsidR="00F6136C" w:rsidRPr="0043354D" w:rsidRDefault="00D0166B" w:rsidP="00B1657C">
            <w:pPr>
              <w:pStyle w:val="naiskr"/>
              <w:spacing w:before="0" w:after="80"/>
              <w:jc w:val="both"/>
              <w:rPr>
                <w:iCs/>
              </w:rPr>
            </w:pPr>
            <w:r w:rsidRPr="0043354D">
              <w:rPr>
                <w:iCs/>
              </w:rPr>
              <w:t>Lietuvā un atsevišķās citās valstīs, piemēram Zviedrijā un Islandē, pastāvošais apvienošanās kontroles regulējums paredz tiesības nacionālajai konkurences iestādei</w:t>
            </w:r>
            <w:r w:rsidR="00D50CC0" w:rsidRPr="0043354D">
              <w:rPr>
                <w:iCs/>
              </w:rPr>
              <w:t xml:space="preserve"> pieprasīt ziņojuma iesniegšanu un </w:t>
            </w:r>
            <w:r w:rsidRPr="0043354D">
              <w:rPr>
                <w:iCs/>
              </w:rPr>
              <w:t>izvērtēt arī tās apvienošanās, kas nekvalificējas normatīvajos aktos noteiktajiem paziņoša</w:t>
            </w:r>
            <w:r w:rsidR="0060796A" w:rsidRPr="0043354D">
              <w:rPr>
                <w:iCs/>
              </w:rPr>
              <w:t>nas sliekšņiem, tomēr</w:t>
            </w:r>
            <w:r w:rsidRPr="0043354D">
              <w:rPr>
                <w:iCs/>
              </w:rPr>
              <w:t xml:space="preserve"> var kaitēt konkurencei.</w:t>
            </w:r>
          </w:p>
          <w:p w14:paraId="7F98CA2C" w14:textId="77777777" w:rsidR="00C74CAE" w:rsidRPr="0043354D" w:rsidRDefault="00C74CAE" w:rsidP="00B1657C">
            <w:pPr>
              <w:pStyle w:val="naiskr"/>
              <w:numPr>
                <w:ilvl w:val="0"/>
                <w:numId w:val="21"/>
              </w:numPr>
              <w:spacing w:before="0" w:after="80"/>
              <w:jc w:val="both"/>
              <w:rPr>
                <w:iCs/>
                <w:u w:val="single"/>
              </w:rPr>
            </w:pPr>
            <w:r w:rsidRPr="0043354D">
              <w:rPr>
                <w:iCs/>
                <w:u w:val="single"/>
              </w:rPr>
              <w:t>Gadījumu skaita, kad iesniedzams saīsinātais apvienošanās ziņojums, paplašināšana</w:t>
            </w:r>
          </w:p>
          <w:p w14:paraId="2390E4AF" w14:textId="77777777" w:rsidR="001768BF" w:rsidRPr="0043354D" w:rsidRDefault="0061407D" w:rsidP="00B1657C">
            <w:pPr>
              <w:pStyle w:val="naiskr"/>
              <w:spacing w:before="0" w:after="80"/>
              <w:jc w:val="both"/>
              <w:rPr>
                <w:iCs/>
              </w:rPr>
            </w:pPr>
            <w:r w:rsidRPr="0043354D">
              <w:rPr>
                <w:iCs/>
              </w:rPr>
              <w:t xml:space="preserve">Pašreiz </w:t>
            </w:r>
            <w:r w:rsidR="00EB7DB3" w:rsidRPr="0043354D">
              <w:rPr>
                <w:iCs/>
              </w:rPr>
              <w:t xml:space="preserve">Konkurences likumā noteiktais </w:t>
            </w:r>
            <w:r w:rsidR="006966AD" w:rsidRPr="0043354D">
              <w:rPr>
                <w:iCs/>
              </w:rPr>
              <w:t>apvienošanās regulējums dod iespējas tirgus dalībniekiem iesniegt saīsināto apvienošanās ziņojumu</w:t>
            </w:r>
            <w:r w:rsidR="009658F4" w:rsidRPr="0043354D">
              <w:rPr>
                <w:iCs/>
              </w:rPr>
              <w:t xml:space="preserve"> tikai divos likumā noteiktos gadījumos</w:t>
            </w:r>
            <w:r w:rsidR="006966AD" w:rsidRPr="0043354D">
              <w:rPr>
                <w:iCs/>
              </w:rPr>
              <w:t xml:space="preserve">, </w:t>
            </w:r>
            <w:r w:rsidR="002021B4" w:rsidRPr="0043354D">
              <w:rPr>
                <w:iCs/>
              </w:rPr>
              <w:t>ja</w:t>
            </w:r>
            <w:r w:rsidR="001768BF" w:rsidRPr="0043354D">
              <w:rPr>
                <w:iCs/>
              </w:rPr>
              <w:t>:</w:t>
            </w:r>
          </w:p>
          <w:p w14:paraId="08A1DA3B" w14:textId="77777777" w:rsidR="001768BF" w:rsidRPr="0043354D" w:rsidRDefault="001768BF" w:rsidP="00B1657C">
            <w:pPr>
              <w:pStyle w:val="naiskr"/>
              <w:spacing w:before="0" w:after="80"/>
              <w:jc w:val="both"/>
              <w:rPr>
                <w:iCs/>
              </w:rPr>
            </w:pPr>
            <w:r w:rsidRPr="0043354D">
              <w:rPr>
                <w:iCs/>
              </w:rPr>
              <w:t>1) neviens no apvienošanās dalībniekiem nedarbojas vienā konkrētajā tirgū vai</w:t>
            </w:r>
            <w:r w:rsidR="00EB7DB3" w:rsidRPr="0043354D">
              <w:rPr>
                <w:iCs/>
              </w:rPr>
              <w:t xml:space="preserve"> ar to vertikāli saistītā tirgū un</w:t>
            </w:r>
          </w:p>
          <w:p w14:paraId="443DB5F1" w14:textId="77777777" w:rsidR="001768BF" w:rsidRPr="0043354D" w:rsidRDefault="001768BF" w:rsidP="00B1657C">
            <w:pPr>
              <w:pStyle w:val="naiskr"/>
              <w:spacing w:before="0" w:after="80"/>
              <w:jc w:val="both"/>
              <w:rPr>
                <w:iCs/>
              </w:rPr>
            </w:pPr>
            <w:r w:rsidRPr="0043354D">
              <w:rPr>
                <w:iCs/>
              </w:rPr>
              <w:t>2) apvienošanā iesaistīto tirgus dalībnieku kopējā tirgus daļa konkrētajā tirgū nepārsniedz 15 procentus.</w:t>
            </w:r>
          </w:p>
          <w:p w14:paraId="0E79B459" w14:textId="77777777" w:rsidR="00EB7DB3" w:rsidRPr="0043354D" w:rsidRDefault="00764AE7" w:rsidP="00B1657C">
            <w:pPr>
              <w:pStyle w:val="naiskr"/>
              <w:spacing w:before="0" w:after="80"/>
              <w:jc w:val="both"/>
              <w:rPr>
                <w:iCs/>
              </w:rPr>
            </w:pPr>
            <w:r w:rsidRPr="0043354D">
              <w:rPr>
                <w:iCs/>
              </w:rPr>
              <w:t xml:space="preserve">Kopš 2008. gada, kad </w:t>
            </w:r>
            <w:r w:rsidR="00602D09" w:rsidRPr="0043354D">
              <w:rPr>
                <w:iCs/>
              </w:rPr>
              <w:t>Konkurences likumā tika paredzētas tiesības apvienošanās dalībniekiem iesniegt saīsinātu apvienošanās ziņojumu, tirgus dalībnieki aktī</w:t>
            </w:r>
            <w:r w:rsidR="003743F9" w:rsidRPr="0043354D">
              <w:rPr>
                <w:iCs/>
              </w:rPr>
              <w:t>vi šo iespēju ir izmantojuši. Piemēram,</w:t>
            </w:r>
            <w:r w:rsidR="00602D09" w:rsidRPr="0043354D">
              <w:rPr>
                <w:iCs/>
              </w:rPr>
              <w:t xml:space="preserve"> 2011.gadā saīsināto ziņojumu īpatsvars sasniedza 50% no iesniegto apvienošanās ziņojumu kopējā skaita. </w:t>
            </w:r>
            <w:r w:rsidR="0031706E" w:rsidRPr="0043354D">
              <w:rPr>
                <w:iCs/>
              </w:rPr>
              <w:t xml:space="preserve">Esošie apvienošanās </w:t>
            </w:r>
            <w:r w:rsidR="00602D09" w:rsidRPr="0043354D">
              <w:rPr>
                <w:iCs/>
              </w:rPr>
              <w:t xml:space="preserve">saīsināto </w:t>
            </w:r>
            <w:r w:rsidR="0031706E" w:rsidRPr="0043354D">
              <w:rPr>
                <w:iCs/>
              </w:rPr>
              <w:t>ziņojumu izskatīšanas gadījumi neliecina</w:t>
            </w:r>
            <w:r w:rsidR="00602D09" w:rsidRPr="0043354D">
              <w:rPr>
                <w:iCs/>
              </w:rPr>
              <w:t xml:space="preserve">, ka </w:t>
            </w:r>
            <w:r w:rsidR="0031706E" w:rsidRPr="0043354D">
              <w:rPr>
                <w:iCs/>
              </w:rPr>
              <w:t xml:space="preserve">šādas </w:t>
            </w:r>
            <w:r w:rsidR="00602D09" w:rsidRPr="0043354D">
              <w:rPr>
                <w:iCs/>
              </w:rPr>
              <w:t xml:space="preserve">apvienošanās </w:t>
            </w:r>
            <w:r w:rsidR="0031706E" w:rsidRPr="0043354D">
              <w:rPr>
                <w:iCs/>
              </w:rPr>
              <w:t>var radīt</w:t>
            </w:r>
            <w:r w:rsidR="00602D09" w:rsidRPr="0043354D">
              <w:rPr>
                <w:iCs/>
              </w:rPr>
              <w:t xml:space="preserve"> negatīvas sekas konkurencei.</w:t>
            </w:r>
            <w:r w:rsidR="00EB7DB3" w:rsidRPr="0043354D">
              <w:rPr>
                <w:iCs/>
              </w:rPr>
              <w:t xml:space="preserve"> </w:t>
            </w:r>
          </w:p>
          <w:p w14:paraId="6E086CFB" w14:textId="77777777" w:rsidR="00265F61" w:rsidRPr="0043354D" w:rsidRDefault="00265F61" w:rsidP="00B1657C">
            <w:pPr>
              <w:pStyle w:val="naiskr"/>
              <w:spacing w:before="0" w:after="80"/>
              <w:jc w:val="both"/>
              <w:rPr>
                <w:iCs/>
              </w:rPr>
            </w:pPr>
            <w:r w:rsidRPr="0043354D">
              <w:rPr>
                <w:iCs/>
              </w:rPr>
              <w:t xml:space="preserve">Pilna apvienošanās ziņojuma sagatavošana un iesniegšana, salīdzinot ar saīsinātu apvienošanās ziņojumu, prasa lielāku laika patēriņu, kā arī ziņojuma iesniedzēja paša vai piesaistīto finansu un juridisko konsultantu resursus nepieciešamās informācijas </w:t>
            </w:r>
            <w:r w:rsidRPr="0043354D">
              <w:rPr>
                <w:iCs/>
              </w:rPr>
              <w:lastRenderedPageBreak/>
              <w:t>sagatavošanai un līdz ar to rada lielākas izmaksas apvienošanās dalībniekiem.</w:t>
            </w:r>
          </w:p>
          <w:p w14:paraId="5449D14B" w14:textId="77777777" w:rsidR="00904AA0" w:rsidRPr="0043354D" w:rsidRDefault="003743F9" w:rsidP="00B1657C">
            <w:pPr>
              <w:pStyle w:val="naiskr"/>
              <w:spacing w:before="0" w:after="80"/>
              <w:jc w:val="both"/>
              <w:rPr>
                <w:iCs/>
              </w:rPr>
            </w:pPr>
            <w:r w:rsidRPr="0043354D">
              <w:rPr>
                <w:iCs/>
              </w:rPr>
              <w:t>L</w:t>
            </w:r>
            <w:r w:rsidR="008723E2" w:rsidRPr="0043354D">
              <w:rPr>
                <w:iCs/>
              </w:rPr>
              <w:t>īdzšinējā</w:t>
            </w:r>
            <w:r w:rsidR="00EB7DB3" w:rsidRPr="0043354D">
              <w:rPr>
                <w:iCs/>
              </w:rPr>
              <w:t xml:space="preserve"> apvienošanās lietu izskatī</w:t>
            </w:r>
            <w:r w:rsidR="008723E2" w:rsidRPr="0043354D">
              <w:rPr>
                <w:iCs/>
              </w:rPr>
              <w:t xml:space="preserve">šanas praksē </w:t>
            </w:r>
            <w:r w:rsidRPr="0043354D">
              <w:rPr>
                <w:iCs/>
              </w:rPr>
              <w:t xml:space="preserve">Konkurences padome </w:t>
            </w:r>
            <w:r w:rsidR="008723E2" w:rsidRPr="0043354D">
              <w:rPr>
                <w:iCs/>
              </w:rPr>
              <w:t xml:space="preserve">ir konstatējusi, ka </w:t>
            </w:r>
            <w:r w:rsidRPr="0043354D">
              <w:rPr>
                <w:iCs/>
              </w:rPr>
              <w:t>noteiktu veidu apvienošanās</w:t>
            </w:r>
            <w:r w:rsidR="009C0C09" w:rsidRPr="0043354D">
              <w:rPr>
                <w:iCs/>
              </w:rPr>
              <w:t>, ja vien nepastāv īpaši apstākļi,</w:t>
            </w:r>
            <w:r w:rsidRPr="0043354D">
              <w:rPr>
                <w:iCs/>
              </w:rPr>
              <w:t xml:space="preserve"> parasti neizraisa negatīvu ietekmi konkurencei, kā dēļ pilna apvienošanās ziņojuma iesniegšana, lai</w:t>
            </w:r>
            <w:r w:rsidR="00265F61" w:rsidRPr="0043354D">
              <w:rPr>
                <w:iCs/>
              </w:rPr>
              <w:t xml:space="preserve"> objektīvi</w:t>
            </w:r>
            <w:r w:rsidRPr="0043354D">
              <w:rPr>
                <w:iCs/>
              </w:rPr>
              <w:t xml:space="preserve"> izvērtētu apvienošanās ietekmi uz konkurenci, patērētājiem un klientiem, nav nepieciešama.</w:t>
            </w:r>
            <w:r w:rsidR="000E5526" w:rsidRPr="0043354D">
              <w:rPr>
                <w:iCs/>
              </w:rPr>
              <w:t xml:space="preserve"> Tas jo īpaši attiecas uz apvienošanām starp konkurentiem, ja to kopējā tirgus daļa nepārsniedz 20%, vertikālām apvienošanām, ja apvienošanās dalībnieku tirgus daļa nepārsniedz 30%, vienpersoniskas izšķirošas ietekmes iegūšanu, ja apvienošanās dalībniekam jau bija kopēja izšķiroša ietekme tirgus dalībniekā </w:t>
            </w:r>
            <w:r w:rsidR="004C60D1" w:rsidRPr="0043354D">
              <w:rPr>
                <w:iCs/>
              </w:rPr>
              <w:t>un izšķirošas ietekmes iegūšanu apvienošanās dalībniekā, kura mērķis nav komercdarbība Latvijas teritorijā.</w:t>
            </w:r>
          </w:p>
          <w:p w14:paraId="2EEF0AAE" w14:textId="77777777" w:rsidR="009C0C09" w:rsidRPr="0043354D" w:rsidRDefault="00265F61" w:rsidP="00B1657C">
            <w:pPr>
              <w:pStyle w:val="naiskr"/>
              <w:spacing w:before="0" w:after="80"/>
              <w:jc w:val="both"/>
              <w:rPr>
                <w:iCs/>
              </w:rPr>
            </w:pPr>
            <w:r w:rsidRPr="0043354D">
              <w:rPr>
                <w:iCs/>
              </w:rPr>
              <w:t>Lielā daļā ES dalībvalstu ir paredzētas tirgus dalībnieku tiesības noteiktos gadījumos iesniegt saīsinātu apvienošanās ziņojumu</w:t>
            </w:r>
            <w:r w:rsidR="0068399C" w:rsidRPr="0043354D">
              <w:rPr>
                <w:iCs/>
              </w:rPr>
              <w:t xml:space="preserve">. Papildus </w:t>
            </w:r>
            <w:r w:rsidR="000D0877" w:rsidRPr="0043354D">
              <w:rPr>
                <w:iCs/>
              </w:rPr>
              <w:t xml:space="preserve">Konkurences likumā ietvertajiem gadījumiem, kad apvienošanās dalībniekiem ir tiesības iesniegt saīsinātu apvienošanās ziņojumu, vairākās ES dalībvalstīs ir paredzētas papildus situācijas, kad var tikt iesniegts saīsināts apvienošanās ziņojums, tā kā parasti šie gadījumi neizraisa riskus konkurencei. Eiropas Komisija </w:t>
            </w:r>
            <w:r w:rsidR="009C0C09" w:rsidRPr="0043354D">
              <w:rPr>
                <w:iCs/>
              </w:rPr>
              <w:t>ir ierosinājusi paplašināt gadījumu skaitu, kad</w:t>
            </w:r>
            <w:r w:rsidR="004621BC" w:rsidRPr="0043354D">
              <w:rPr>
                <w:iCs/>
              </w:rPr>
              <w:t xml:space="preserve"> Eiropas Savienības līmeņa apvienošanos gadījumā</w:t>
            </w:r>
            <w:r w:rsidR="009C0C09" w:rsidRPr="0043354D">
              <w:rPr>
                <w:iCs/>
              </w:rPr>
              <w:t xml:space="preserve"> apvienošanās dalībniekiem ir tiesības iesniegt saīsinātu apvienošanās ziņojumu (EU </w:t>
            </w:r>
            <w:proofErr w:type="spellStart"/>
            <w:r w:rsidR="009C0C09" w:rsidRPr="0043354D">
              <w:rPr>
                <w:iCs/>
              </w:rPr>
              <w:t>merger</w:t>
            </w:r>
            <w:proofErr w:type="spellEnd"/>
            <w:r w:rsidR="009C0C09" w:rsidRPr="0043354D">
              <w:rPr>
                <w:iCs/>
              </w:rPr>
              <w:t xml:space="preserve"> </w:t>
            </w:r>
            <w:proofErr w:type="spellStart"/>
            <w:r w:rsidR="009C0C09" w:rsidRPr="0043354D">
              <w:rPr>
                <w:iCs/>
              </w:rPr>
              <w:t>control</w:t>
            </w:r>
            <w:proofErr w:type="spellEnd"/>
            <w:r w:rsidR="009C0C09" w:rsidRPr="0043354D">
              <w:rPr>
                <w:iCs/>
              </w:rPr>
              <w:t xml:space="preserve"> – </w:t>
            </w:r>
            <w:proofErr w:type="spellStart"/>
            <w:r w:rsidR="009C0C09" w:rsidRPr="0043354D">
              <w:rPr>
                <w:iCs/>
              </w:rPr>
              <w:t>Draft</w:t>
            </w:r>
            <w:proofErr w:type="spellEnd"/>
            <w:r w:rsidR="009C0C09" w:rsidRPr="0043354D">
              <w:rPr>
                <w:iCs/>
              </w:rPr>
              <w:t xml:space="preserve"> </w:t>
            </w:r>
            <w:proofErr w:type="spellStart"/>
            <w:r w:rsidR="009C0C09" w:rsidRPr="0043354D">
              <w:rPr>
                <w:iCs/>
              </w:rPr>
              <w:t>revision</w:t>
            </w:r>
            <w:proofErr w:type="spellEnd"/>
            <w:r w:rsidR="009C0C09" w:rsidRPr="0043354D">
              <w:rPr>
                <w:iCs/>
              </w:rPr>
              <w:t xml:space="preserve"> </w:t>
            </w:r>
            <w:proofErr w:type="spellStart"/>
            <w:r w:rsidR="009C0C09" w:rsidRPr="0043354D">
              <w:rPr>
                <w:iCs/>
              </w:rPr>
              <w:t>of</w:t>
            </w:r>
            <w:proofErr w:type="spellEnd"/>
            <w:r w:rsidR="009C0C09" w:rsidRPr="0043354D">
              <w:rPr>
                <w:iCs/>
              </w:rPr>
              <w:t xml:space="preserve"> </w:t>
            </w:r>
            <w:proofErr w:type="spellStart"/>
            <w:r w:rsidR="009C0C09" w:rsidRPr="0043354D">
              <w:rPr>
                <w:iCs/>
              </w:rPr>
              <w:t>simplified</w:t>
            </w:r>
            <w:proofErr w:type="spellEnd"/>
            <w:r w:rsidR="009C0C09" w:rsidRPr="0043354D">
              <w:rPr>
                <w:iCs/>
              </w:rPr>
              <w:t xml:space="preserve"> </w:t>
            </w:r>
            <w:proofErr w:type="spellStart"/>
            <w:r w:rsidR="009C0C09" w:rsidRPr="0043354D">
              <w:rPr>
                <w:iCs/>
              </w:rPr>
              <w:t>procedure</w:t>
            </w:r>
            <w:proofErr w:type="spellEnd"/>
            <w:r w:rsidR="009C0C09" w:rsidRPr="0043354D">
              <w:rPr>
                <w:iCs/>
              </w:rPr>
              <w:t xml:space="preserve"> </w:t>
            </w:r>
            <w:proofErr w:type="spellStart"/>
            <w:r w:rsidR="009C0C09" w:rsidRPr="0043354D">
              <w:rPr>
                <w:iCs/>
              </w:rPr>
              <w:t>and</w:t>
            </w:r>
            <w:proofErr w:type="spellEnd"/>
            <w:r w:rsidR="009C0C09" w:rsidRPr="0043354D">
              <w:rPr>
                <w:iCs/>
              </w:rPr>
              <w:t xml:space="preserve"> </w:t>
            </w:r>
            <w:proofErr w:type="spellStart"/>
            <w:r w:rsidR="009C0C09" w:rsidRPr="0043354D">
              <w:rPr>
                <w:iCs/>
              </w:rPr>
              <w:t>merger</w:t>
            </w:r>
            <w:proofErr w:type="spellEnd"/>
            <w:r w:rsidR="009C0C09" w:rsidRPr="0043354D">
              <w:rPr>
                <w:iCs/>
              </w:rPr>
              <w:t xml:space="preserve"> </w:t>
            </w:r>
            <w:proofErr w:type="spellStart"/>
            <w:r w:rsidR="009C0C09" w:rsidRPr="0043354D">
              <w:rPr>
                <w:iCs/>
              </w:rPr>
              <w:t>implementing</w:t>
            </w:r>
            <w:proofErr w:type="spellEnd"/>
            <w:r w:rsidR="009C0C09" w:rsidRPr="0043354D">
              <w:rPr>
                <w:iCs/>
              </w:rPr>
              <w:t xml:space="preserve"> </w:t>
            </w:r>
            <w:proofErr w:type="spellStart"/>
            <w:r w:rsidR="009C0C09" w:rsidRPr="0043354D">
              <w:rPr>
                <w:iCs/>
              </w:rPr>
              <w:t>regulation</w:t>
            </w:r>
            <w:proofErr w:type="spellEnd"/>
            <w:r w:rsidR="009C0C09" w:rsidRPr="0043354D">
              <w:rPr>
                <w:iCs/>
              </w:rPr>
              <w:t xml:space="preserve"> </w:t>
            </w:r>
            <w:hyperlink r:id="rId13" w:history="1">
              <w:r w:rsidR="009C0C09" w:rsidRPr="0043354D">
                <w:rPr>
                  <w:rStyle w:val="Hyperlink"/>
                  <w:iCs/>
                </w:rPr>
                <w:t>http://ec.europa.eu/competition/consultations/2013_merger_regulation/index_en.html</w:t>
              </w:r>
            </w:hyperlink>
            <w:r w:rsidR="009C0C09" w:rsidRPr="0043354D">
              <w:rPr>
                <w:iCs/>
              </w:rPr>
              <w:t>)</w:t>
            </w:r>
            <w:r w:rsidR="004621BC" w:rsidRPr="0043354D">
              <w:rPr>
                <w:iCs/>
              </w:rPr>
              <w:t>. Arī OECD rekomendācijas un starptautiski atzītā labā praks</w:t>
            </w:r>
            <w:r w:rsidR="00B7438E" w:rsidRPr="0043354D">
              <w:rPr>
                <w:iCs/>
              </w:rPr>
              <w:t>e</w:t>
            </w:r>
            <w:r w:rsidR="004621BC" w:rsidRPr="0043354D">
              <w:rPr>
                <w:iCs/>
              </w:rPr>
              <w:t xml:space="preserve"> paredz, ka </w:t>
            </w:r>
            <w:r w:rsidR="00B7438E" w:rsidRPr="0043354D">
              <w:rPr>
                <w:iCs/>
              </w:rPr>
              <w:t>attiecībā uz apvienošanām, kas nerada riskus konkurencei, ir jānodrošina tiesiskais regulējums par paātrinātu šādu apvienošanos izskatīšanu.</w:t>
            </w:r>
          </w:p>
          <w:p w14:paraId="23798649" w14:textId="77777777" w:rsidR="00C74CAE" w:rsidRPr="0043354D" w:rsidRDefault="00AA1AE6" w:rsidP="00B1657C">
            <w:pPr>
              <w:pStyle w:val="naiskr"/>
              <w:numPr>
                <w:ilvl w:val="0"/>
                <w:numId w:val="21"/>
              </w:numPr>
              <w:spacing w:before="0" w:after="80"/>
              <w:jc w:val="both"/>
              <w:rPr>
                <w:iCs/>
                <w:u w:val="single"/>
              </w:rPr>
            </w:pPr>
            <w:r w:rsidRPr="0043354D">
              <w:rPr>
                <w:iCs/>
                <w:u w:val="single"/>
              </w:rPr>
              <w:t>Tiesības a</w:t>
            </w:r>
            <w:r w:rsidR="00C74CAE" w:rsidRPr="0043354D">
              <w:rPr>
                <w:iCs/>
                <w:u w:val="single"/>
              </w:rPr>
              <w:t>tbrīvo</w:t>
            </w:r>
            <w:r w:rsidRPr="0043354D">
              <w:rPr>
                <w:iCs/>
                <w:u w:val="single"/>
              </w:rPr>
              <w:t xml:space="preserve">t </w:t>
            </w:r>
            <w:r w:rsidR="00C74CAE" w:rsidRPr="0043354D">
              <w:rPr>
                <w:iCs/>
                <w:u w:val="single"/>
              </w:rPr>
              <w:t xml:space="preserve">no </w:t>
            </w:r>
            <w:r w:rsidR="00B00B55" w:rsidRPr="0043354D">
              <w:rPr>
                <w:iCs/>
                <w:u w:val="single"/>
              </w:rPr>
              <w:t xml:space="preserve">atsevišķas </w:t>
            </w:r>
            <w:r w:rsidR="00C74CAE" w:rsidRPr="0043354D">
              <w:rPr>
                <w:iCs/>
                <w:u w:val="single"/>
              </w:rPr>
              <w:t>informācijas sniegšanas pienākuma</w:t>
            </w:r>
            <w:r w:rsidR="00B00B55" w:rsidRPr="0043354D">
              <w:rPr>
                <w:iCs/>
                <w:u w:val="single"/>
              </w:rPr>
              <w:t xml:space="preserve"> </w:t>
            </w:r>
          </w:p>
          <w:p w14:paraId="08216688" w14:textId="77777777" w:rsidR="000E77B8" w:rsidRPr="0043354D" w:rsidRDefault="00EC60C1" w:rsidP="00B1657C">
            <w:pPr>
              <w:pStyle w:val="naiskr"/>
              <w:spacing w:before="0" w:after="80"/>
              <w:jc w:val="both"/>
              <w:rPr>
                <w:iCs/>
              </w:rPr>
            </w:pPr>
            <w:r w:rsidRPr="0043354D">
              <w:rPr>
                <w:iCs/>
              </w:rPr>
              <w:t>Atbilstoši esošajam Konkurences likuma un Ministru kabineta 29.09.2008. noteikumu nr.800 „Kārtība, kādā iesniedz un izskata pilno un saīsināto ziņojumu par tirgus dalībnieku apvienošanos”</w:t>
            </w:r>
            <w:r w:rsidR="00A40133" w:rsidRPr="0043354D">
              <w:rPr>
                <w:iCs/>
              </w:rPr>
              <w:t xml:space="preserve"> regulējumam</w:t>
            </w:r>
            <w:r w:rsidR="00FA7E99" w:rsidRPr="0043354D">
              <w:rPr>
                <w:iCs/>
              </w:rPr>
              <w:t xml:space="preserve"> apvienošanās ziņojuma iesniedzējam ir pienākums iesniegt </w:t>
            </w:r>
            <w:r w:rsidR="00C0328E" w:rsidRPr="0043354D">
              <w:rPr>
                <w:iCs/>
              </w:rPr>
              <w:t>informāciju, kas atbilst</w:t>
            </w:r>
            <w:r w:rsidR="00FA7E99" w:rsidRPr="0043354D">
              <w:rPr>
                <w:iCs/>
              </w:rPr>
              <w:t xml:space="preserve"> Minis</w:t>
            </w:r>
            <w:r w:rsidR="00C0328E" w:rsidRPr="0043354D">
              <w:rPr>
                <w:iCs/>
              </w:rPr>
              <w:t>tru kabineta noteikumos noteiktajai</w:t>
            </w:r>
            <w:r w:rsidR="00FA7E99" w:rsidRPr="0043354D">
              <w:rPr>
                <w:iCs/>
              </w:rPr>
              <w:t>.</w:t>
            </w:r>
            <w:r w:rsidR="00A40133" w:rsidRPr="0043354D">
              <w:rPr>
                <w:iCs/>
              </w:rPr>
              <w:t xml:space="preserve"> </w:t>
            </w:r>
            <w:r w:rsidR="00FA7E99" w:rsidRPr="0043354D">
              <w:rPr>
                <w:iCs/>
              </w:rPr>
              <w:t>Gadījumā, ja netiek iesniegta</w:t>
            </w:r>
            <w:r w:rsidR="00C0328E" w:rsidRPr="0043354D">
              <w:rPr>
                <w:iCs/>
              </w:rPr>
              <w:t xml:space="preserve"> visa</w:t>
            </w:r>
            <w:r w:rsidR="00FA7E99" w:rsidRPr="0043354D">
              <w:rPr>
                <w:iCs/>
              </w:rPr>
              <w:t xml:space="preserve"> </w:t>
            </w:r>
            <w:r w:rsidR="00C0328E" w:rsidRPr="0043354D">
              <w:rPr>
                <w:iCs/>
              </w:rPr>
              <w:t xml:space="preserve">Ministru kabineta noteikumos paredzētā </w:t>
            </w:r>
            <w:r w:rsidR="00FA7E99" w:rsidRPr="0043354D">
              <w:rPr>
                <w:iCs/>
              </w:rPr>
              <w:t xml:space="preserve">informācija,  ziņojums uzskatāms par neiesniegtu. </w:t>
            </w:r>
          </w:p>
          <w:p w14:paraId="046711E1" w14:textId="77777777" w:rsidR="008E68DD" w:rsidRPr="0043354D" w:rsidRDefault="000E77B8" w:rsidP="00B1657C">
            <w:pPr>
              <w:pStyle w:val="naiskr"/>
              <w:spacing w:before="0" w:after="80"/>
              <w:jc w:val="both"/>
              <w:rPr>
                <w:iCs/>
              </w:rPr>
            </w:pPr>
            <w:r w:rsidRPr="0043354D">
              <w:rPr>
                <w:iCs/>
              </w:rPr>
              <w:t>I</w:t>
            </w:r>
            <w:r w:rsidR="00FA7E99" w:rsidRPr="0043354D">
              <w:rPr>
                <w:iCs/>
              </w:rPr>
              <w:t>evērojot konkrētās apvienošanās veidu un ar apvienošanos saistītos apstākļus</w:t>
            </w:r>
            <w:r w:rsidR="00C0328E" w:rsidRPr="0043354D">
              <w:rPr>
                <w:iCs/>
              </w:rPr>
              <w:t>,</w:t>
            </w:r>
            <w:r w:rsidR="00FA7E99" w:rsidRPr="0043354D">
              <w:rPr>
                <w:iCs/>
              </w:rPr>
              <w:t xml:space="preserve"> var būt gadījumi, kad, lai objektīvi izvērtētu konkrēto apvienošanos</w:t>
            </w:r>
            <w:r w:rsidR="00645EAA" w:rsidRPr="0043354D">
              <w:rPr>
                <w:iCs/>
              </w:rPr>
              <w:t>,</w:t>
            </w:r>
            <w:r w:rsidR="00FA7E99" w:rsidRPr="0043354D">
              <w:rPr>
                <w:iCs/>
              </w:rPr>
              <w:t xml:space="preserve"> </w:t>
            </w:r>
            <w:r w:rsidR="00645EAA" w:rsidRPr="0043354D">
              <w:rPr>
                <w:iCs/>
              </w:rPr>
              <w:t>nav nepieciešams iesniegt atsevišķu Ministru kabineta noteikumos noteikto informāciju</w:t>
            </w:r>
            <w:r w:rsidR="00C0328E" w:rsidRPr="0043354D">
              <w:rPr>
                <w:iCs/>
              </w:rPr>
              <w:t>.</w:t>
            </w:r>
            <w:r w:rsidR="008E68DD" w:rsidRPr="0043354D">
              <w:rPr>
                <w:iCs/>
              </w:rPr>
              <w:t xml:space="preserve"> Esošais apvienošanās regulējums neparedz, ka, izvērtējot konkrētos apstākļus, Konkurences padome var atbrīvot ziņojuma iesniedzējus no atsevišķas informācijas iesniegšanas.</w:t>
            </w:r>
          </w:p>
          <w:p w14:paraId="01258722" w14:textId="77777777" w:rsidR="00645EAA" w:rsidRPr="0043354D" w:rsidRDefault="008E68DD" w:rsidP="00B1657C">
            <w:pPr>
              <w:pStyle w:val="naiskr"/>
              <w:spacing w:before="0" w:after="80"/>
              <w:jc w:val="both"/>
              <w:rPr>
                <w:iCs/>
              </w:rPr>
            </w:pPr>
            <w:r w:rsidRPr="0043354D">
              <w:rPr>
                <w:iCs/>
              </w:rPr>
              <w:t>Lietuvas</w:t>
            </w:r>
            <w:r w:rsidR="009825FB" w:rsidRPr="0043354D">
              <w:rPr>
                <w:iCs/>
              </w:rPr>
              <w:t xml:space="preserve">, </w:t>
            </w:r>
            <w:r w:rsidRPr="0043354D">
              <w:rPr>
                <w:iCs/>
              </w:rPr>
              <w:t xml:space="preserve">Igaunijas </w:t>
            </w:r>
            <w:r w:rsidR="009825FB" w:rsidRPr="0043354D">
              <w:rPr>
                <w:iCs/>
              </w:rPr>
              <w:t xml:space="preserve">un vairāku citu ES valstu </w:t>
            </w:r>
            <w:r w:rsidRPr="0043354D">
              <w:rPr>
                <w:iCs/>
              </w:rPr>
              <w:t xml:space="preserve">konkurences iestādēm ir tiesības </w:t>
            </w:r>
            <w:r w:rsidR="00F93BE3" w:rsidRPr="0043354D">
              <w:rPr>
                <w:iCs/>
              </w:rPr>
              <w:t xml:space="preserve">individuāli </w:t>
            </w:r>
            <w:r w:rsidRPr="0043354D">
              <w:rPr>
                <w:iCs/>
              </w:rPr>
              <w:t>atbrīvot apvienošanās ziņojuma iesniedzējus no informācijas iesniegšanas, kas nav nepieciešama konkrētā apvienošanās darījuma izskatīšanai</w:t>
            </w:r>
            <w:r w:rsidR="00F93BE3" w:rsidRPr="0043354D">
              <w:rPr>
                <w:iCs/>
              </w:rPr>
              <w:t xml:space="preserve">. Arī Eiropas Komisija atbilstoši regulai Nr.802/2004 (2004.gada 7.aprīlis) </w:t>
            </w:r>
            <w:r w:rsidR="00F93BE3" w:rsidRPr="0043354D">
              <w:rPr>
                <w:i/>
                <w:iCs/>
              </w:rPr>
              <w:t>ar ko īsteno Padomes Regulu (EK) Nr.139/2004 par kontroli pār uzņēmumu koncentrāciju</w:t>
            </w:r>
            <w:r w:rsidR="00F93BE3" w:rsidRPr="0043354D">
              <w:rPr>
                <w:iCs/>
              </w:rPr>
              <w:t xml:space="preserve"> apvienošanās ziņojuma iesniedzēju var atbrīvot no pienākuma iesniegt informāciju, kas konkrētā darījuma izskatīšanā nav vajadzīga. </w:t>
            </w:r>
            <w:r w:rsidRPr="0043354D">
              <w:rPr>
                <w:iCs/>
              </w:rPr>
              <w:t xml:space="preserve"> </w:t>
            </w:r>
          </w:p>
          <w:p w14:paraId="17BDE524" w14:textId="77777777" w:rsidR="00C74CAE" w:rsidRPr="0043354D" w:rsidRDefault="008E68DD" w:rsidP="00B1657C">
            <w:pPr>
              <w:pStyle w:val="naiskr"/>
              <w:numPr>
                <w:ilvl w:val="0"/>
                <w:numId w:val="21"/>
              </w:numPr>
              <w:spacing w:before="0" w:after="80"/>
              <w:jc w:val="both"/>
              <w:rPr>
                <w:iCs/>
                <w:u w:val="single"/>
              </w:rPr>
            </w:pPr>
            <w:r w:rsidRPr="0043354D">
              <w:rPr>
                <w:iCs/>
                <w:u w:val="single"/>
              </w:rPr>
              <w:t>L</w:t>
            </w:r>
            <w:r w:rsidR="00C74CAE" w:rsidRPr="0043354D">
              <w:rPr>
                <w:iCs/>
                <w:u w:val="single"/>
              </w:rPr>
              <w:t>ēmuma pieņemšanas termiņa pagarināšana saistošo noteikumu izvērtēšanai</w:t>
            </w:r>
          </w:p>
          <w:p w14:paraId="6B0C5BFC" w14:textId="77777777" w:rsidR="008E68DD" w:rsidRPr="0043354D" w:rsidRDefault="00F93BE3" w:rsidP="00B1657C">
            <w:pPr>
              <w:pStyle w:val="naiskr"/>
              <w:spacing w:before="0" w:after="80"/>
              <w:jc w:val="both"/>
              <w:rPr>
                <w:iCs/>
              </w:rPr>
            </w:pPr>
            <w:r w:rsidRPr="0043354D">
              <w:rPr>
                <w:iCs/>
              </w:rPr>
              <w:t xml:space="preserve">Konkurences likumā noteikts, ka maksimālais apvienošanās ziņojuma izskatīšanas termiņš ir četri mēneši </w:t>
            </w:r>
            <w:r w:rsidR="00E27375" w:rsidRPr="0043354D">
              <w:rPr>
                <w:iCs/>
              </w:rPr>
              <w:t xml:space="preserve">no pilna ziņojuma vai trīs mēneši </w:t>
            </w:r>
            <w:r w:rsidRPr="0043354D">
              <w:rPr>
                <w:iCs/>
              </w:rPr>
              <w:t xml:space="preserve">no </w:t>
            </w:r>
            <w:r w:rsidR="00E27375" w:rsidRPr="0043354D">
              <w:rPr>
                <w:iCs/>
              </w:rPr>
              <w:t xml:space="preserve">saīsināta </w:t>
            </w:r>
            <w:r w:rsidRPr="0043354D">
              <w:rPr>
                <w:iCs/>
              </w:rPr>
              <w:t xml:space="preserve">ziņojuma saņemšanas dienas. </w:t>
            </w:r>
            <w:r w:rsidR="00E27375" w:rsidRPr="0043354D">
              <w:rPr>
                <w:iCs/>
              </w:rPr>
              <w:t xml:space="preserve">Ja iepriekš minētajā termiņā lēmums netiek pieņemts, apvienošanās uzskatāma par atļautu. </w:t>
            </w:r>
            <w:r w:rsidRPr="0043354D">
              <w:rPr>
                <w:iCs/>
              </w:rPr>
              <w:t>Likumā nav paredzēta iespēja pagarināt šo termiņu.</w:t>
            </w:r>
          </w:p>
          <w:p w14:paraId="5431C9F2" w14:textId="77777777" w:rsidR="00B47F95" w:rsidRPr="0043354D" w:rsidRDefault="00B758CB" w:rsidP="00B1657C">
            <w:pPr>
              <w:pStyle w:val="naiskr"/>
              <w:spacing w:before="0" w:after="80"/>
              <w:jc w:val="both"/>
              <w:rPr>
                <w:iCs/>
              </w:rPr>
            </w:pPr>
            <w:r w:rsidRPr="0043354D">
              <w:rPr>
                <w:iCs/>
              </w:rPr>
              <w:t>Gadījumā, ja apvienošanā</w:t>
            </w:r>
            <w:r w:rsidR="007E2B14" w:rsidRPr="0043354D">
              <w:rPr>
                <w:iCs/>
              </w:rPr>
              <w:t>s</w:t>
            </w:r>
            <w:r w:rsidRPr="0043354D">
              <w:rPr>
                <w:iCs/>
              </w:rPr>
              <w:t xml:space="preserve"> rezultātā rodas vai nostiprinās dominējošais stāvoklis vai var tikt būtiski samazināta konkurence jebkurā konkrētajā tirgū</w:t>
            </w:r>
            <w:r w:rsidR="007E2B14" w:rsidRPr="0043354D">
              <w:rPr>
                <w:iCs/>
              </w:rPr>
              <w:t xml:space="preserve">, </w:t>
            </w:r>
            <w:r w:rsidRPr="0043354D">
              <w:rPr>
                <w:iCs/>
              </w:rPr>
              <w:t xml:space="preserve">Konkurences padome ar </w:t>
            </w:r>
            <w:r w:rsidRPr="0043354D">
              <w:rPr>
                <w:iCs/>
              </w:rPr>
              <w:lastRenderedPageBreak/>
              <w:t>lēmumu aizliedz apvienošanos vai ir tiesīga</w:t>
            </w:r>
            <w:r w:rsidRPr="0043354D">
              <w:t xml:space="preserve"> </w:t>
            </w:r>
            <w:r w:rsidRPr="0043354D">
              <w:rPr>
                <w:iCs/>
              </w:rPr>
              <w:t>atļaut šādu apvienošanos, nosakot tirgus dalībniekam saistošus noteikumus, kuri novērš apvienošanās negatīvās sekas  konkurenc</w:t>
            </w:r>
            <w:r w:rsidR="007E2B14" w:rsidRPr="0043354D">
              <w:rPr>
                <w:iCs/>
              </w:rPr>
              <w:t>e</w:t>
            </w:r>
            <w:r w:rsidRPr="0043354D">
              <w:rPr>
                <w:iCs/>
              </w:rPr>
              <w:t xml:space="preserve">i. Apvienošanās ziņojuma iesniedzēji, lai novērstu paziņotās </w:t>
            </w:r>
            <w:r w:rsidR="003D539C" w:rsidRPr="0043354D">
              <w:rPr>
                <w:iCs/>
              </w:rPr>
              <w:t xml:space="preserve">konkurenci negatīvi ietekmējošās </w:t>
            </w:r>
            <w:r w:rsidRPr="0043354D">
              <w:rPr>
                <w:iCs/>
              </w:rPr>
              <w:t>apvienošanās aizliegšanu</w:t>
            </w:r>
            <w:r w:rsidR="007E2B14" w:rsidRPr="0043354D">
              <w:rPr>
                <w:iCs/>
              </w:rPr>
              <w:t>,</w:t>
            </w:r>
            <w:r w:rsidRPr="0043354D">
              <w:rPr>
                <w:iCs/>
              </w:rPr>
              <w:t xml:space="preserve"> ir ieinteresēti iesniegt Konkurences padomei tādus saistošus noteikumus, kas novērš apvienoša</w:t>
            </w:r>
            <w:r w:rsidR="003D539C" w:rsidRPr="0043354D">
              <w:rPr>
                <w:iCs/>
              </w:rPr>
              <w:t>nās negatīvo ietekmi</w:t>
            </w:r>
            <w:r w:rsidRPr="0043354D">
              <w:rPr>
                <w:iCs/>
              </w:rPr>
              <w:t xml:space="preserve">. </w:t>
            </w:r>
            <w:r w:rsidR="007E2B14" w:rsidRPr="0043354D">
              <w:rPr>
                <w:iCs/>
              </w:rPr>
              <w:t>Kā rāda apvienošanās lietu izskatīšanas prakse, saistošie noteikumi bieži tiek piedāvāti tuvu likumā noteiktajam apvienošanās lietu izskatīšanas maksimālajam termiņam.</w:t>
            </w:r>
            <w:r w:rsidR="00B47F95" w:rsidRPr="0043354D">
              <w:rPr>
                <w:iCs/>
              </w:rPr>
              <w:t xml:space="preserve"> Tas rada risku, ka piedāvātie saistošie noteikumi, laika trūkuma dēļ, var netikt pienācīgi izvērtēti un/vai saskaņoti un Konkurences padomei ir jāpieņem lēmums par paziņotās apvienošanās aizliegšanu.</w:t>
            </w:r>
          </w:p>
          <w:p w14:paraId="151D20A8" w14:textId="77777777" w:rsidR="008E68DD" w:rsidRPr="0043354D" w:rsidRDefault="00B47F95" w:rsidP="00B1657C">
            <w:pPr>
              <w:pStyle w:val="naiskr"/>
              <w:spacing w:before="0" w:after="80"/>
              <w:jc w:val="both"/>
              <w:rPr>
                <w:iCs/>
              </w:rPr>
            </w:pPr>
            <w:r w:rsidRPr="0043354D">
              <w:rPr>
                <w:iCs/>
              </w:rPr>
              <w:t>Lietuvas konkurences iestādei ir</w:t>
            </w:r>
            <w:r w:rsidRPr="0043354D">
              <w:t xml:space="preserve"> </w:t>
            </w:r>
            <w:r w:rsidRPr="0043354D">
              <w:rPr>
                <w:iCs/>
              </w:rPr>
              <w:t xml:space="preserve">paredzētas tiesības pagarināt apvienošanās ziņojuma izskatīšanu par vienu mēnesi, ja apvienošanās dalībnieki piedāvā noteikt saistošos noteikumus, kas novērš dominējošā stāvokļa rašanos vai nostiprināšanos. Arī </w:t>
            </w:r>
            <w:r w:rsidR="00E215AE" w:rsidRPr="0043354D">
              <w:rPr>
                <w:iCs/>
              </w:rPr>
              <w:t xml:space="preserve">Eiropas Komisijai un </w:t>
            </w:r>
            <w:r w:rsidR="003D539C" w:rsidRPr="0043354D">
              <w:rPr>
                <w:iCs/>
              </w:rPr>
              <w:t xml:space="preserve">lielākajai daļai </w:t>
            </w:r>
            <w:r w:rsidRPr="0043354D">
              <w:rPr>
                <w:iCs/>
              </w:rPr>
              <w:t>cit</w:t>
            </w:r>
            <w:r w:rsidR="00E215AE" w:rsidRPr="0043354D">
              <w:rPr>
                <w:iCs/>
              </w:rPr>
              <w:t>u</w:t>
            </w:r>
            <w:r w:rsidRPr="0043354D">
              <w:rPr>
                <w:iCs/>
              </w:rPr>
              <w:t xml:space="preserve"> ES </w:t>
            </w:r>
            <w:r w:rsidR="00BC21D4" w:rsidRPr="0043354D">
              <w:rPr>
                <w:iCs/>
              </w:rPr>
              <w:t>dalīb</w:t>
            </w:r>
            <w:r w:rsidRPr="0043354D">
              <w:rPr>
                <w:iCs/>
              </w:rPr>
              <w:t>valst</w:t>
            </w:r>
            <w:r w:rsidR="00E215AE" w:rsidRPr="0043354D">
              <w:rPr>
                <w:iCs/>
              </w:rPr>
              <w:t>u</w:t>
            </w:r>
            <w:r w:rsidRPr="0043354D">
              <w:rPr>
                <w:iCs/>
              </w:rPr>
              <w:t xml:space="preserve"> konkurences iestādēm ir piešķirtas tiesības</w:t>
            </w:r>
            <w:r w:rsidR="00BC21D4" w:rsidRPr="0043354D">
              <w:rPr>
                <w:iCs/>
              </w:rPr>
              <w:t xml:space="preserve"> </w:t>
            </w:r>
            <w:r w:rsidRPr="0043354D">
              <w:rPr>
                <w:iCs/>
              </w:rPr>
              <w:t>pagarināt apvienošanās lietas izskatīšanas termiņu, ja apvienošanās dalībnieki piedāvā saistošos noteikumus, kas to ieskatā novērš negatīv</w:t>
            </w:r>
            <w:r w:rsidR="00BC21D4" w:rsidRPr="0043354D">
              <w:rPr>
                <w:iCs/>
              </w:rPr>
              <w:t>o</w:t>
            </w:r>
            <w:r w:rsidRPr="0043354D">
              <w:rPr>
                <w:iCs/>
              </w:rPr>
              <w:t xml:space="preserve"> ietekmi konkurencei. </w:t>
            </w:r>
            <w:r w:rsidR="00E215AE" w:rsidRPr="0043354D">
              <w:rPr>
                <w:iCs/>
              </w:rPr>
              <w:t xml:space="preserve">Pagarinājuma termiņš atkarībā no jurisdikcijas ir no </w:t>
            </w:r>
            <w:r w:rsidR="00FA79CC" w:rsidRPr="0043354D">
              <w:rPr>
                <w:iCs/>
              </w:rPr>
              <w:t>14 dienām līdz diviem mēnešiem</w:t>
            </w:r>
            <w:r w:rsidR="00C21ECD" w:rsidRPr="0043354D">
              <w:rPr>
                <w:iCs/>
              </w:rPr>
              <w:t>.</w:t>
            </w:r>
          </w:p>
          <w:p w14:paraId="197A9B69" w14:textId="77777777" w:rsidR="00C74CAE" w:rsidRPr="0043354D" w:rsidRDefault="00C74CAE" w:rsidP="00B1657C">
            <w:pPr>
              <w:pStyle w:val="naiskr"/>
              <w:numPr>
                <w:ilvl w:val="0"/>
                <w:numId w:val="21"/>
              </w:numPr>
              <w:spacing w:before="0" w:after="80"/>
              <w:jc w:val="both"/>
              <w:rPr>
                <w:iCs/>
                <w:u w:val="single"/>
              </w:rPr>
            </w:pPr>
            <w:r w:rsidRPr="0043354D">
              <w:rPr>
                <w:iCs/>
                <w:u w:val="single"/>
              </w:rPr>
              <w:t xml:space="preserve">Apvienošanās </w:t>
            </w:r>
            <w:r w:rsidR="00B271B3">
              <w:rPr>
                <w:iCs/>
                <w:u w:val="single"/>
              </w:rPr>
              <w:t>izvērtēšanas</w:t>
            </w:r>
            <w:r w:rsidRPr="0043354D">
              <w:rPr>
                <w:iCs/>
                <w:u w:val="single"/>
              </w:rPr>
              <w:t xml:space="preserve"> nodeva</w:t>
            </w:r>
          </w:p>
          <w:p w14:paraId="0FA8BE79" w14:textId="77777777" w:rsidR="00C74CAE" w:rsidRPr="0043354D" w:rsidRDefault="00C74CAE" w:rsidP="00B1657C">
            <w:pPr>
              <w:pStyle w:val="naiskr"/>
              <w:spacing w:before="0" w:after="80"/>
              <w:jc w:val="both"/>
            </w:pPr>
            <w:r w:rsidRPr="0043354D">
              <w:rPr>
                <w:iCs/>
              </w:rPr>
              <w:t xml:space="preserve">Nodeva vai maksājums par apvienošanās </w:t>
            </w:r>
            <w:r w:rsidR="00B271B3">
              <w:rPr>
                <w:iCs/>
              </w:rPr>
              <w:t>izvērtēšanu</w:t>
            </w:r>
            <w:r w:rsidRPr="0043354D">
              <w:rPr>
                <w:iCs/>
              </w:rPr>
              <w:t xml:space="preserve"> ir noteikta lielākajā daļā ES dalībvalstu:</w:t>
            </w:r>
            <w:r w:rsidRPr="0043354D">
              <w:t xml:space="preserve"> Bulgārijā (iestādes budžetā), Grieķijā, Itālijā (iestādes budžetā), Īrijā, Maltā, Nīderlandē, Slovākijā, Slovēnijā, Spānijā, Polijā, Portugālē, Rumānijā, Vācijā, Apvienotā karalistē, Ungārijā, </w:t>
            </w:r>
            <w:proofErr w:type="spellStart"/>
            <w:r w:rsidRPr="0043354D">
              <w:t>t.sk</w:t>
            </w:r>
            <w:proofErr w:type="spellEnd"/>
            <w:r w:rsidRPr="0043354D">
              <w:t>. arī kaimiņvalstīs Igaunijā un Lietuvā.</w:t>
            </w:r>
          </w:p>
          <w:p w14:paraId="579FEBB1" w14:textId="77777777" w:rsidR="00C74CAE" w:rsidRPr="0043354D" w:rsidRDefault="00C74CAE" w:rsidP="00B1657C">
            <w:pPr>
              <w:pStyle w:val="naiskr"/>
              <w:spacing w:before="0" w:after="80"/>
              <w:jc w:val="both"/>
            </w:pPr>
            <w:r w:rsidRPr="0043354D">
              <w:t>Tās nav noteiktas tikai sekojošās ES dalībvalstīs: Francijā, Luksemburgā, Somijā, Zviedrijā, Dānijā, Kiprā, Beļģijā.</w:t>
            </w:r>
          </w:p>
          <w:p w14:paraId="2D21C6EF" w14:textId="77777777" w:rsidR="00C74CAE" w:rsidRPr="0043354D" w:rsidRDefault="00C74CAE" w:rsidP="00B1657C">
            <w:pPr>
              <w:pStyle w:val="naiskr"/>
              <w:spacing w:before="0" w:after="80"/>
              <w:jc w:val="both"/>
              <w:rPr>
                <w:iCs/>
              </w:rPr>
            </w:pPr>
            <w:r w:rsidRPr="0043354D">
              <w:rPr>
                <w:iCs/>
              </w:rPr>
              <w:t xml:space="preserve">Konkurences likums pašreiz neparedz nodevu par apvienošanās </w:t>
            </w:r>
            <w:r w:rsidR="00B271B3">
              <w:rPr>
                <w:iCs/>
              </w:rPr>
              <w:t>izvērtēšanu</w:t>
            </w:r>
            <w:r w:rsidRPr="0043354D">
              <w:rPr>
                <w:iCs/>
              </w:rPr>
              <w:t xml:space="preserve">. Tā kā Konkurences padome tiek finansēta no valsts budžeta, apvienošanos izvērtēšanas izmaksas sedz visi nodokļu maksātāji, nevis tie, kas saņem pakalpojumu un no tā iegūst. Attiecīgi nepieciešams noteikt nodevu par apvienošanās </w:t>
            </w:r>
            <w:r w:rsidR="00B271B3">
              <w:rPr>
                <w:iCs/>
              </w:rPr>
              <w:t>izvērtēšanu</w:t>
            </w:r>
            <w:r w:rsidRPr="0043354D">
              <w:rPr>
                <w:iCs/>
              </w:rPr>
              <w:t>, lai daļēji kompensētu apvienošanās izvērtēšanas izmaksas</w:t>
            </w:r>
            <w:r w:rsidR="007A61F4" w:rsidRPr="0043354D">
              <w:rPr>
                <w:iCs/>
              </w:rPr>
              <w:t xml:space="preserve"> un Konkurences padomes uzlikto saistošo noteikumu </w:t>
            </w:r>
            <w:r w:rsidR="009F62D9" w:rsidRPr="0043354D">
              <w:rPr>
                <w:iCs/>
              </w:rPr>
              <w:t>uzraudzību</w:t>
            </w:r>
            <w:r w:rsidRPr="0043354D">
              <w:rPr>
                <w:iCs/>
              </w:rPr>
              <w:t xml:space="preserve">. </w:t>
            </w:r>
          </w:p>
          <w:p w14:paraId="03D98C4E" w14:textId="77777777" w:rsidR="00C74CAE" w:rsidRPr="0043354D" w:rsidRDefault="00C74CAE" w:rsidP="00B1657C">
            <w:pPr>
              <w:pStyle w:val="naiskr"/>
              <w:spacing w:before="0" w:after="80"/>
              <w:jc w:val="both"/>
              <w:rPr>
                <w:iCs/>
                <w:u w:val="single"/>
              </w:rPr>
            </w:pPr>
            <w:r w:rsidRPr="0043354D">
              <w:rPr>
                <w:iCs/>
                <w:u w:val="single"/>
              </w:rPr>
              <w:t>Administratīvais līgums</w:t>
            </w:r>
          </w:p>
          <w:p w14:paraId="4BE838C5" w14:textId="77777777" w:rsidR="00C74CAE" w:rsidRPr="0043354D" w:rsidRDefault="00C74CAE" w:rsidP="00B1657C">
            <w:pPr>
              <w:pStyle w:val="naiskr"/>
              <w:spacing w:before="0" w:after="80"/>
              <w:jc w:val="both"/>
              <w:rPr>
                <w:iCs/>
              </w:rPr>
            </w:pPr>
            <w:r w:rsidRPr="0043354D">
              <w:rPr>
                <w:iCs/>
              </w:rPr>
              <w:t>Šobrīd Konkurences likumā noteiktās tiesības slēgt administratīvo līgumu neatbilst APL, jo paredz iespēju slēgt administratīvo līgumu tikai nolūkā izbeigt tiesas procesu. Minētais ierobežojums liedz iestādei slēgt administratīvo līgumu, ja konkrētās izmeklēšanas lietās tiesiskie un faktiskie apstākļi ļauj slēgt administratīvo līgumu administratīvā procesa iestādē ietvaros. Tāpat tirgus dalībnieku iespējas lūgt Administratīvo tiesu veikt ar Konkurences padomi noslēgtā administratīvā līguma kontroli neatbilst kārtībai, kādā tiesā pārsūdz Konkurences padomes lēmumus.</w:t>
            </w:r>
          </w:p>
          <w:p w14:paraId="26D6AC65" w14:textId="77777777" w:rsidR="00C74CAE" w:rsidRPr="0043354D" w:rsidRDefault="00C74CAE" w:rsidP="00B1657C">
            <w:pPr>
              <w:pStyle w:val="naiskr"/>
              <w:spacing w:before="0" w:after="80"/>
              <w:jc w:val="both"/>
              <w:rPr>
                <w:iCs/>
                <w:u w:val="single"/>
              </w:rPr>
            </w:pPr>
            <w:r w:rsidRPr="0043354D">
              <w:rPr>
                <w:iCs/>
                <w:u w:val="single"/>
              </w:rPr>
              <w:t>Atsevišķi jautājumi</w:t>
            </w:r>
          </w:p>
          <w:p w14:paraId="14A05578" w14:textId="77777777" w:rsidR="00C74CAE" w:rsidRPr="0043354D" w:rsidRDefault="00C74CAE" w:rsidP="00B1657C">
            <w:pPr>
              <w:pStyle w:val="naiskr"/>
              <w:spacing w:before="0" w:after="80"/>
              <w:jc w:val="both"/>
              <w:rPr>
                <w:iCs/>
              </w:rPr>
            </w:pPr>
            <w:r w:rsidRPr="0043354D">
              <w:rPr>
                <w:iCs/>
              </w:rPr>
              <w:t>Konkurences likuma 8.pants nesniedz izsmeļošu lēmumu uzskatījumu, kurus Konkurences padome ir tiesīga pieņemt. Konkurences padome var pieņemt lēmumu par procesuālā termiņā atjaunošanu, par trešās personas pieaicināšanu.</w:t>
            </w:r>
          </w:p>
          <w:p w14:paraId="65FB879A" w14:textId="77777777" w:rsidR="00C74CAE" w:rsidRPr="0043354D" w:rsidRDefault="00C74CAE" w:rsidP="00B1657C">
            <w:pPr>
              <w:pStyle w:val="naiskr"/>
              <w:spacing w:before="0" w:after="80"/>
              <w:jc w:val="both"/>
              <w:rPr>
                <w:shd w:val="clear" w:color="auto" w:fill="FFFFFF"/>
              </w:rPr>
            </w:pPr>
            <w:r w:rsidRPr="0043354D">
              <w:rPr>
                <w:iCs/>
              </w:rPr>
              <w:t xml:space="preserve">Grozījumi </w:t>
            </w:r>
            <w:r w:rsidRPr="0043354D">
              <w:rPr>
                <w:shd w:val="clear" w:color="auto" w:fill="FFFFFF"/>
              </w:rPr>
              <w:t>Elektronisko sakaru likumā un Kredītiestāžu likumā paredz plašākas Konkurences padomes pilnvaras, kas stāsies spēkā pēc attiecīgu grozījumu izdarīšanas Konkurences likumā.</w:t>
            </w:r>
          </w:p>
          <w:p w14:paraId="7D8E02D2" w14:textId="77777777" w:rsidR="00C74CAE" w:rsidRPr="0043354D" w:rsidRDefault="00C74CAE" w:rsidP="00B1657C">
            <w:pPr>
              <w:pStyle w:val="naiskr"/>
              <w:spacing w:before="0" w:after="80"/>
              <w:jc w:val="both"/>
              <w:rPr>
                <w:shd w:val="clear" w:color="auto" w:fill="FFFFFF"/>
              </w:rPr>
            </w:pPr>
            <w:r w:rsidRPr="0043354D">
              <w:rPr>
                <w:shd w:val="clear" w:color="auto" w:fill="FFFFFF"/>
              </w:rPr>
              <w:t xml:space="preserve">Konkurences likums nosaka, Konkurences padomes strukturālo iedalījumu, kas ierobežo veikt strukturālas </w:t>
            </w:r>
            <w:r w:rsidR="002A7D51" w:rsidRPr="0043354D">
              <w:rPr>
                <w:shd w:val="clear" w:color="auto" w:fill="FFFFFF"/>
              </w:rPr>
              <w:t xml:space="preserve">un funkcionālas </w:t>
            </w:r>
            <w:r w:rsidRPr="0043354D">
              <w:rPr>
                <w:shd w:val="clear" w:color="auto" w:fill="FFFFFF"/>
              </w:rPr>
              <w:t xml:space="preserve">izmaiņas iestādē, lai </w:t>
            </w:r>
            <w:proofErr w:type="spellStart"/>
            <w:r w:rsidRPr="0043354D">
              <w:rPr>
                <w:shd w:val="clear" w:color="auto" w:fill="FFFFFF"/>
              </w:rPr>
              <w:t>efektivizētu</w:t>
            </w:r>
            <w:proofErr w:type="spellEnd"/>
            <w:r w:rsidRPr="0043354D">
              <w:rPr>
                <w:shd w:val="clear" w:color="auto" w:fill="FFFFFF"/>
              </w:rPr>
              <w:t xml:space="preserve"> tās darbību.</w:t>
            </w:r>
          </w:p>
          <w:p w14:paraId="4C0F375C" w14:textId="77777777" w:rsidR="00C74CAE" w:rsidRPr="0043354D" w:rsidRDefault="00C74CAE" w:rsidP="00B1657C">
            <w:pPr>
              <w:pStyle w:val="naiskr"/>
              <w:spacing w:before="0" w:after="80"/>
              <w:jc w:val="both"/>
              <w:rPr>
                <w:shd w:val="clear" w:color="auto" w:fill="FFFFFF"/>
              </w:rPr>
            </w:pPr>
            <w:r w:rsidRPr="0043354D">
              <w:rPr>
                <w:shd w:val="clear" w:color="auto" w:fill="FFFFFF"/>
              </w:rPr>
              <w:t xml:space="preserve">Konkurences likums šobrīd neparedz kārtību tirgus dalībnieka mutiskai uzklausīšanai </w:t>
            </w:r>
            <w:r w:rsidRPr="0043354D">
              <w:rPr>
                <w:shd w:val="clear" w:color="auto" w:fill="FFFFFF"/>
              </w:rPr>
              <w:lastRenderedPageBreak/>
              <w:t>par tā izteikto viedokli un papildu iesniegto info</w:t>
            </w:r>
            <w:r w:rsidR="00B70BC3" w:rsidRPr="0043354D">
              <w:rPr>
                <w:shd w:val="clear" w:color="auto" w:fill="FFFFFF"/>
              </w:rPr>
              <w:t>r</w:t>
            </w:r>
            <w:r w:rsidRPr="0043354D">
              <w:rPr>
                <w:shd w:val="clear" w:color="auto" w:fill="FFFFFF"/>
              </w:rPr>
              <w:t>māciju.</w:t>
            </w:r>
            <w:r w:rsidR="001A12C7" w:rsidRPr="0043354D">
              <w:rPr>
                <w:shd w:val="clear" w:color="auto" w:fill="FFFFFF"/>
              </w:rPr>
              <w:t xml:space="preserve"> </w:t>
            </w:r>
          </w:p>
          <w:p w14:paraId="7ECBB509" w14:textId="77777777" w:rsidR="00C74CAE" w:rsidRPr="0043354D" w:rsidRDefault="00C74CAE" w:rsidP="00B1657C">
            <w:pPr>
              <w:pStyle w:val="naiskr"/>
              <w:spacing w:before="0" w:after="80"/>
              <w:ind w:left="-17"/>
              <w:jc w:val="both"/>
              <w:rPr>
                <w:iCs/>
              </w:rPr>
            </w:pPr>
          </w:p>
        </w:tc>
      </w:tr>
      <w:tr w:rsidR="00E74C48" w:rsidRPr="00E74C48" w14:paraId="0067376A" w14:textId="77777777" w:rsidTr="006C07BE">
        <w:trPr>
          <w:trHeight w:val="1071"/>
        </w:trPr>
        <w:tc>
          <w:tcPr>
            <w:tcW w:w="419" w:type="dxa"/>
          </w:tcPr>
          <w:p w14:paraId="0E260565" w14:textId="77777777" w:rsidR="00C74CAE" w:rsidRPr="00E74C48" w:rsidRDefault="00C74CAE">
            <w:pPr>
              <w:pStyle w:val="naiskr"/>
              <w:spacing w:before="0" w:after="0"/>
            </w:pPr>
            <w:r w:rsidRPr="00E74C48">
              <w:rPr>
                <w:sz w:val="22"/>
                <w:szCs w:val="22"/>
              </w:rPr>
              <w:lastRenderedPageBreak/>
              <w:t>3.</w:t>
            </w:r>
          </w:p>
        </w:tc>
        <w:tc>
          <w:tcPr>
            <w:tcW w:w="1509" w:type="dxa"/>
          </w:tcPr>
          <w:p w14:paraId="63A9A84A" w14:textId="77777777" w:rsidR="00C74CAE" w:rsidRPr="0043354D" w:rsidRDefault="00C74CAE">
            <w:pPr>
              <w:pStyle w:val="naiskr"/>
              <w:spacing w:before="0" w:after="0"/>
            </w:pPr>
            <w:r w:rsidRPr="0043354D">
              <w:t>Saistītie politikas ietekmes novērtējumi un pētījumi</w:t>
            </w:r>
          </w:p>
        </w:tc>
        <w:tc>
          <w:tcPr>
            <w:tcW w:w="7797" w:type="dxa"/>
          </w:tcPr>
          <w:p w14:paraId="7EAA0C59" w14:textId="77777777" w:rsidR="00C74CAE" w:rsidRPr="0043354D" w:rsidRDefault="005B5892" w:rsidP="00B1657C">
            <w:pPr>
              <w:pStyle w:val="naiskr"/>
              <w:spacing w:before="0" w:after="80"/>
            </w:pPr>
            <w:r w:rsidRPr="0043354D">
              <w:t xml:space="preserve">OECD </w:t>
            </w:r>
            <w:r w:rsidR="00C74CAE" w:rsidRPr="0043354D">
              <w:t xml:space="preserve">Padomes 2005.gada 23.marta </w:t>
            </w:r>
            <w:hyperlink r:id="rId14" w:history="1">
              <w:r w:rsidR="00C74CAE" w:rsidRPr="0043354D">
                <w:rPr>
                  <w:rStyle w:val="Hyperlink"/>
                  <w:color w:val="auto"/>
                </w:rPr>
                <w:t>Rekomendācijas par apvienošanās kontroli</w:t>
              </w:r>
            </w:hyperlink>
            <w:r w:rsidR="00C74CAE" w:rsidRPr="0043354D">
              <w:t xml:space="preserve"> </w:t>
            </w:r>
            <w:r w:rsidRPr="0043354D">
              <w:t xml:space="preserve"> C(2005)34  </w:t>
            </w:r>
            <w:r w:rsidR="009860E1" w:rsidRPr="0043354D">
              <w:t xml:space="preserve">(OECD </w:t>
            </w:r>
            <w:proofErr w:type="spellStart"/>
            <w:r w:rsidR="009860E1" w:rsidRPr="0043354D">
              <w:t>Recommendation</w:t>
            </w:r>
            <w:proofErr w:type="spellEnd"/>
            <w:r w:rsidR="009860E1" w:rsidRPr="0043354D">
              <w:t xml:space="preserve"> </w:t>
            </w:r>
            <w:proofErr w:type="spellStart"/>
            <w:r w:rsidR="009860E1" w:rsidRPr="0043354D">
              <w:t>of</w:t>
            </w:r>
            <w:proofErr w:type="spellEnd"/>
            <w:r w:rsidR="009860E1" w:rsidRPr="0043354D">
              <w:t xml:space="preserve"> </w:t>
            </w:r>
            <w:proofErr w:type="spellStart"/>
            <w:r w:rsidR="009860E1" w:rsidRPr="0043354D">
              <w:t>the</w:t>
            </w:r>
            <w:proofErr w:type="spellEnd"/>
            <w:r w:rsidR="009860E1" w:rsidRPr="0043354D">
              <w:t xml:space="preserve"> </w:t>
            </w:r>
            <w:proofErr w:type="spellStart"/>
            <w:r w:rsidR="009860E1" w:rsidRPr="0043354D">
              <w:t>Council</w:t>
            </w:r>
            <w:proofErr w:type="spellEnd"/>
            <w:r w:rsidR="009860E1" w:rsidRPr="0043354D">
              <w:t xml:space="preserve"> </w:t>
            </w:r>
            <w:proofErr w:type="spellStart"/>
            <w:r w:rsidR="009860E1" w:rsidRPr="0043354D">
              <w:t>on</w:t>
            </w:r>
            <w:proofErr w:type="spellEnd"/>
            <w:r w:rsidR="009860E1" w:rsidRPr="0043354D">
              <w:t xml:space="preserve"> </w:t>
            </w:r>
            <w:proofErr w:type="spellStart"/>
            <w:r w:rsidR="009860E1" w:rsidRPr="0043354D">
              <w:t>Merger</w:t>
            </w:r>
            <w:proofErr w:type="spellEnd"/>
            <w:r w:rsidR="009860E1" w:rsidRPr="0043354D">
              <w:t xml:space="preserve"> </w:t>
            </w:r>
            <w:proofErr w:type="spellStart"/>
            <w:r w:rsidR="009860E1" w:rsidRPr="0043354D">
              <w:t>Review</w:t>
            </w:r>
            <w:proofErr w:type="spellEnd"/>
            <w:r w:rsidR="009860E1" w:rsidRPr="0043354D">
              <w:t xml:space="preserve">) </w:t>
            </w:r>
            <w:hyperlink r:id="rId15" w:history="1">
              <w:r w:rsidRPr="0043354D">
                <w:rPr>
                  <w:rStyle w:val="Hyperlink"/>
                </w:rPr>
                <w:t>http://acts.oecd.org/Instruments/ShowInstrumentView.aspx?InstrumentID=195&amp;Instr</w:t>
              </w:r>
            </w:hyperlink>
            <w:r w:rsidRPr="0043354D">
              <w:t xml:space="preserve">... </w:t>
            </w:r>
          </w:p>
          <w:p w14:paraId="5CA8C0FE" w14:textId="77777777" w:rsidR="00ED54A2" w:rsidRPr="0043354D" w:rsidRDefault="00ED54A2" w:rsidP="00B1657C">
            <w:pPr>
              <w:pStyle w:val="naiskr"/>
              <w:spacing w:before="0" w:after="80"/>
              <w:rPr>
                <w:iCs/>
              </w:rPr>
            </w:pPr>
            <w:proofErr w:type="spellStart"/>
            <w:r w:rsidRPr="0043354D">
              <w:rPr>
                <w:iCs/>
              </w:rPr>
              <w:t>International</w:t>
            </w:r>
            <w:proofErr w:type="spellEnd"/>
            <w:r w:rsidRPr="0043354D">
              <w:rPr>
                <w:iCs/>
              </w:rPr>
              <w:t xml:space="preserve"> </w:t>
            </w:r>
            <w:proofErr w:type="spellStart"/>
            <w:r w:rsidRPr="0043354D">
              <w:rPr>
                <w:iCs/>
              </w:rPr>
              <w:t>Competition</w:t>
            </w:r>
            <w:proofErr w:type="spellEnd"/>
            <w:r w:rsidRPr="0043354D">
              <w:rPr>
                <w:iCs/>
              </w:rPr>
              <w:t xml:space="preserve"> </w:t>
            </w:r>
            <w:proofErr w:type="spellStart"/>
            <w:r w:rsidRPr="0043354D">
              <w:rPr>
                <w:iCs/>
              </w:rPr>
              <w:t>Network</w:t>
            </w:r>
            <w:proofErr w:type="spellEnd"/>
            <w:r w:rsidRPr="0043354D">
              <w:rPr>
                <w:iCs/>
              </w:rPr>
              <w:t xml:space="preserve"> (</w:t>
            </w:r>
            <w:r w:rsidR="009860E1" w:rsidRPr="0043354D">
              <w:rPr>
                <w:iCs/>
              </w:rPr>
              <w:t>ICN, Starptautiskā konkurences tīkls</w:t>
            </w:r>
            <w:r w:rsidRPr="0043354D">
              <w:rPr>
                <w:iCs/>
              </w:rPr>
              <w:t xml:space="preserve">) izstrādātā: </w:t>
            </w:r>
            <w:r w:rsidR="009860E1" w:rsidRPr="0043354D">
              <w:rPr>
                <w:iCs/>
              </w:rPr>
              <w:t xml:space="preserve">Iestāžu efektivitātes rokasgrāmata </w:t>
            </w:r>
            <w:proofErr w:type="spellStart"/>
            <w:r w:rsidRPr="0043354D">
              <w:rPr>
                <w:iCs/>
              </w:rPr>
              <w:t>Agency</w:t>
            </w:r>
            <w:proofErr w:type="spellEnd"/>
            <w:r w:rsidRPr="0043354D">
              <w:rPr>
                <w:iCs/>
              </w:rPr>
              <w:t xml:space="preserve"> </w:t>
            </w:r>
            <w:proofErr w:type="spellStart"/>
            <w:r w:rsidRPr="0043354D">
              <w:rPr>
                <w:iCs/>
              </w:rPr>
              <w:t>Effectiveness</w:t>
            </w:r>
            <w:proofErr w:type="spellEnd"/>
            <w:r w:rsidRPr="0043354D">
              <w:rPr>
                <w:iCs/>
              </w:rPr>
              <w:t xml:space="preserve"> </w:t>
            </w:r>
            <w:proofErr w:type="spellStart"/>
            <w:r w:rsidRPr="0043354D">
              <w:rPr>
                <w:iCs/>
              </w:rPr>
              <w:t>Handbook</w:t>
            </w:r>
            <w:proofErr w:type="spellEnd"/>
            <w:r w:rsidRPr="0043354D">
              <w:rPr>
                <w:iCs/>
              </w:rPr>
              <w:t xml:space="preserve"> sadaļa par </w:t>
            </w:r>
            <w:proofErr w:type="spellStart"/>
            <w:r w:rsidRPr="0043354D">
              <w:rPr>
                <w:iCs/>
              </w:rPr>
              <w:t>prioritizēšanu</w:t>
            </w:r>
            <w:proofErr w:type="spellEnd"/>
            <w:r w:rsidRPr="0043354D">
              <w:rPr>
                <w:iCs/>
              </w:rPr>
              <w:t xml:space="preserve"> konkurences iestādēs </w:t>
            </w:r>
            <w:r w:rsidR="009860E1" w:rsidRPr="0043354D">
              <w:rPr>
                <w:iCs/>
              </w:rPr>
              <w:t xml:space="preserve">(ICN </w:t>
            </w:r>
            <w:proofErr w:type="spellStart"/>
            <w:r w:rsidR="009860E1" w:rsidRPr="0043354D">
              <w:rPr>
                <w:iCs/>
              </w:rPr>
              <w:t>Agency</w:t>
            </w:r>
            <w:proofErr w:type="spellEnd"/>
            <w:r w:rsidR="009860E1" w:rsidRPr="0043354D">
              <w:rPr>
                <w:iCs/>
              </w:rPr>
              <w:t xml:space="preserve"> </w:t>
            </w:r>
            <w:proofErr w:type="spellStart"/>
            <w:r w:rsidR="009860E1" w:rsidRPr="0043354D">
              <w:rPr>
                <w:iCs/>
              </w:rPr>
              <w:t>Effectiveness</w:t>
            </w:r>
            <w:proofErr w:type="spellEnd"/>
            <w:r w:rsidR="009860E1" w:rsidRPr="0043354D">
              <w:rPr>
                <w:iCs/>
              </w:rPr>
              <w:t xml:space="preserve"> </w:t>
            </w:r>
            <w:proofErr w:type="spellStart"/>
            <w:r w:rsidR="009860E1" w:rsidRPr="0043354D">
              <w:rPr>
                <w:iCs/>
              </w:rPr>
              <w:t>Handbook</w:t>
            </w:r>
            <w:proofErr w:type="spellEnd"/>
            <w:r w:rsidR="009860E1" w:rsidRPr="0043354D">
              <w:rPr>
                <w:iCs/>
              </w:rPr>
              <w:t xml:space="preserve"> </w:t>
            </w:r>
            <w:proofErr w:type="spellStart"/>
            <w:r w:rsidR="009860E1" w:rsidRPr="0043354D">
              <w:rPr>
                <w:iCs/>
              </w:rPr>
              <w:t>Strategic</w:t>
            </w:r>
            <w:proofErr w:type="spellEnd"/>
            <w:r w:rsidR="009860E1" w:rsidRPr="0043354D">
              <w:rPr>
                <w:iCs/>
              </w:rPr>
              <w:t xml:space="preserve"> </w:t>
            </w:r>
            <w:proofErr w:type="spellStart"/>
            <w:r w:rsidR="009860E1" w:rsidRPr="0043354D">
              <w:rPr>
                <w:iCs/>
              </w:rPr>
              <w:t>Planning</w:t>
            </w:r>
            <w:proofErr w:type="spellEnd"/>
            <w:r w:rsidR="009860E1" w:rsidRPr="0043354D">
              <w:rPr>
                <w:iCs/>
              </w:rPr>
              <w:t xml:space="preserve"> </w:t>
            </w:r>
            <w:proofErr w:type="spellStart"/>
            <w:r w:rsidR="009860E1" w:rsidRPr="0043354D">
              <w:rPr>
                <w:iCs/>
              </w:rPr>
              <w:t>and</w:t>
            </w:r>
            <w:proofErr w:type="spellEnd"/>
            <w:r w:rsidR="009860E1" w:rsidRPr="0043354D">
              <w:rPr>
                <w:iCs/>
              </w:rPr>
              <w:t xml:space="preserve"> </w:t>
            </w:r>
            <w:proofErr w:type="spellStart"/>
            <w:r w:rsidR="009860E1" w:rsidRPr="0043354D">
              <w:rPr>
                <w:iCs/>
              </w:rPr>
              <w:t>Prioritisation</w:t>
            </w:r>
            <w:proofErr w:type="spellEnd"/>
            <w:r w:rsidR="009860E1" w:rsidRPr="0043354D">
              <w:rPr>
                <w:iCs/>
              </w:rPr>
              <w:t xml:space="preserve">) </w:t>
            </w:r>
            <w:hyperlink r:id="rId16" w:history="1">
              <w:r w:rsidRPr="0043354D">
                <w:rPr>
                  <w:rStyle w:val="Hyperlink"/>
                  <w:color w:val="auto"/>
                </w:rPr>
                <w:t>http://www.internationalcompetitionnetwork.org/uploads/library/doc744.pdf</w:t>
              </w:r>
            </w:hyperlink>
            <w:r w:rsidR="009860E1" w:rsidRPr="0043354D">
              <w:rPr>
                <w:iCs/>
              </w:rPr>
              <w:t xml:space="preserve"> un ICN</w:t>
            </w:r>
          </w:p>
          <w:p w14:paraId="5100CA7B" w14:textId="77777777" w:rsidR="00ED54A2" w:rsidRPr="0043354D" w:rsidRDefault="009860E1" w:rsidP="00B1657C">
            <w:pPr>
              <w:pStyle w:val="naiskr"/>
              <w:spacing w:before="0" w:after="80"/>
            </w:pPr>
            <w:r w:rsidRPr="0043354D">
              <w:t xml:space="preserve">Rekomendētā prakse apvienošanos paziņošanas un izskatīšanas procedūrai (ICN </w:t>
            </w:r>
            <w:proofErr w:type="spellStart"/>
            <w:r w:rsidRPr="0043354D">
              <w:t>Recommended</w:t>
            </w:r>
            <w:proofErr w:type="spellEnd"/>
            <w:r w:rsidRPr="0043354D">
              <w:t xml:space="preserve"> </w:t>
            </w:r>
            <w:proofErr w:type="spellStart"/>
            <w:r w:rsidRPr="0043354D">
              <w:t>Practices</w:t>
            </w:r>
            <w:proofErr w:type="spellEnd"/>
            <w:r w:rsidRPr="0043354D">
              <w:t xml:space="preserve"> </w:t>
            </w:r>
            <w:proofErr w:type="spellStart"/>
            <w:r w:rsidRPr="0043354D">
              <w:t>for</w:t>
            </w:r>
            <w:proofErr w:type="spellEnd"/>
            <w:r w:rsidRPr="0043354D">
              <w:t xml:space="preserve"> </w:t>
            </w:r>
            <w:proofErr w:type="spellStart"/>
            <w:r w:rsidRPr="0043354D">
              <w:t>Merger</w:t>
            </w:r>
            <w:proofErr w:type="spellEnd"/>
            <w:r w:rsidRPr="0043354D">
              <w:t xml:space="preserve"> </w:t>
            </w:r>
            <w:proofErr w:type="spellStart"/>
            <w:r w:rsidRPr="0043354D">
              <w:t>Notification</w:t>
            </w:r>
            <w:proofErr w:type="spellEnd"/>
            <w:r w:rsidRPr="0043354D">
              <w:t xml:space="preserve"> </w:t>
            </w:r>
            <w:proofErr w:type="spellStart"/>
            <w:r w:rsidRPr="0043354D">
              <w:t>and</w:t>
            </w:r>
            <w:proofErr w:type="spellEnd"/>
            <w:r w:rsidRPr="0043354D">
              <w:t xml:space="preserve"> </w:t>
            </w:r>
            <w:proofErr w:type="spellStart"/>
            <w:r w:rsidRPr="0043354D">
              <w:t>Review</w:t>
            </w:r>
            <w:proofErr w:type="spellEnd"/>
            <w:r w:rsidRPr="0043354D">
              <w:t xml:space="preserve"> </w:t>
            </w:r>
            <w:proofErr w:type="spellStart"/>
            <w:r w:rsidRPr="0043354D">
              <w:t>Procedures</w:t>
            </w:r>
            <w:proofErr w:type="spellEnd"/>
            <w:r w:rsidRPr="0043354D">
              <w:t>)</w:t>
            </w:r>
            <w:r w:rsidR="00ED54A2" w:rsidRPr="0043354D">
              <w:t xml:space="preserve">, </w:t>
            </w:r>
            <w:hyperlink r:id="rId17" w:history="1">
              <w:r w:rsidR="00ED54A2" w:rsidRPr="0043354D">
                <w:rPr>
                  <w:rStyle w:val="Hyperlink"/>
                </w:rPr>
                <w:t>http://www.internationalcompetitionnetwork.org/uploads/library/doc588.pdf</w:t>
              </w:r>
            </w:hyperlink>
            <w:r w:rsidR="00ED54A2" w:rsidRPr="0043354D">
              <w:t xml:space="preserve"> </w:t>
            </w:r>
          </w:p>
          <w:p w14:paraId="2664B457" w14:textId="77777777" w:rsidR="00C74CAE" w:rsidRPr="0043354D" w:rsidRDefault="00C74CAE" w:rsidP="00B1657C">
            <w:pPr>
              <w:pStyle w:val="FootnoteText"/>
              <w:spacing w:after="80"/>
              <w:jc w:val="both"/>
              <w:rPr>
                <w:sz w:val="24"/>
                <w:szCs w:val="24"/>
              </w:rPr>
            </w:pPr>
          </w:p>
        </w:tc>
      </w:tr>
      <w:tr w:rsidR="00E74C48" w:rsidRPr="00E74C48" w14:paraId="0C355626" w14:textId="77777777" w:rsidTr="006C07BE">
        <w:trPr>
          <w:trHeight w:val="384"/>
        </w:trPr>
        <w:tc>
          <w:tcPr>
            <w:tcW w:w="419" w:type="dxa"/>
          </w:tcPr>
          <w:p w14:paraId="12C58DC4" w14:textId="77777777" w:rsidR="00C74CAE" w:rsidRPr="00E74C48" w:rsidRDefault="00C74CAE">
            <w:pPr>
              <w:pStyle w:val="naiskr"/>
              <w:spacing w:before="0" w:after="0"/>
            </w:pPr>
            <w:r w:rsidRPr="00E74C48">
              <w:rPr>
                <w:sz w:val="22"/>
                <w:szCs w:val="22"/>
              </w:rPr>
              <w:t>4.</w:t>
            </w:r>
          </w:p>
        </w:tc>
        <w:tc>
          <w:tcPr>
            <w:tcW w:w="1509" w:type="dxa"/>
          </w:tcPr>
          <w:p w14:paraId="3FDC4AC8" w14:textId="77777777" w:rsidR="00C74CAE" w:rsidRPr="0043354D" w:rsidRDefault="00C74CAE">
            <w:pPr>
              <w:pStyle w:val="naiskr"/>
              <w:spacing w:before="0" w:after="0"/>
            </w:pPr>
            <w:r w:rsidRPr="0043354D">
              <w:t>Tiesiskā regulējuma mērķis un būtība</w:t>
            </w:r>
          </w:p>
        </w:tc>
        <w:tc>
          <w:tcPr>
            <w:tcW w:w="7797" w:type="dxa"/>
          </w:tcPr>
          <w:p w14:paraId="012DB3CE" w14:textId="77777777" w:rsidR="00B1657C" w:rsidRPr="0043354D" w:rsidRDefault="00B1657C" w:rsidP="00B1657C">
            <w:pPr>
              <w:spacing w:after="80"/>
              <w:jc w:val="both"/>
              <w:rPr>
                <w:iCs/>
                <w:u w:val="single"/>
              </w:rPr>
            </w:pPr>
            <w:r w:rsidRPr="0043354D">
              <w:rPr>
                <w:iCs/>
                <w:u w:val="single"/>
              </w:rPr>
              <w:t>Atbildība par procesuāl</w:t>
            </w:r>
            <w:r w:rsidR="001D6764" w:rsidRPr="0043354D">
              <w:rPr>
                <w:iCs/>
                <w:u w:val="single"/>
              </w:rPr>
              <w:t xml:space="preserve">ajiem </w:t>
            </w:r>
            <w:r w:rsidRPr="0043354D">
              <w:rPr>
                <w:iCs/>
                <w:u w:val="single"/>
              </w:rPr>
              <w:t>pārkāpumiem</w:t>
            </w:r>
          </w:p>
          <w:p w14:paraId="5157A706" w14:textId="1AB29BB9" w:rsidR="00B1657C" w:rsidRPr="0043354D" w:rsidRDefault="00B1657C" w:rsidP="00B1657C">
            <w:pPr>
              <w:spacing w:after="80"/>
              <w:jc w:val="both"/>
            </w:pPr>
            <w:r w:rsidRPr="0043354D">
              <w:rPr>
                <w:iCs/>
              </w:rPr>
              <w:t xml:space="preserve">Likumprojekta mērķis, ievērojot </w:t>
            </w:r>
            <w:r w:rsidRPr="0043354D">
              <w:t>Ministru kabineta 19.10.2011. sēdes protokola Nr.60, 62.§ 6.punktu,</w:t>
            </w:r>
            <w:r w:rsidRPr="0043354D">
              <w:rPr>
                <w:iCs/>
              </w:rPr>
              <w:t xml:space="preserve"> ir ietvert Konkurences likumā atbildību par tirgus dalībnieku pārkāpumiem konkurences lietu izmeklēšanas procesā (informācijas nesniegšana, Konkurences padomes amatpersonu likumīgo prasību nepildīšana inspekciju un apmeklējumu laikā). Līdz ar to atbildība par procesuāl</w:t>
            </w:r>
            <w:r w:rsidR="001D6764" w:rsidRPr="0043354D">
              <w:rPr>
                <w:iCs/>
              </w:rPr>
              <w:t>ajiem</w:t>
            </w:r>
            <w:r w:rsidRPr="0043354D">
              <w:rPr>
                <w:iCs/>
              </w:rPr>
              <w:t xml:space="preserve"> pārkāpumiem </w:t>
            </w:r>
            <w:r w:rsidR="00277B4A">
              <w:rPr>
                <w:iCs/>
              </w:rPr>
              <w:t>izslēdzama</w:t>
            </w:r>
            <w:r w:rsidR="00277B4A" w:rsidRPr="0043354D">
              <w:rPr>
                <w:iCs/>
              </w:rPr>
              <w:t xml:space="preserve"> </w:t>
            </w:r>
            <w:r w:rsidRPr="0043354D">
              <w:rPr>
                <w:iCs/>
              </w:rPr>
              <w:t>no LAPK 175.</w:t>
            </w:r>
            <w:r w:rsidRPr="0043354D">
              <w:rPr>
                <w:iCs/>
                <w:vertAlign w:val="superscript"/>
              </w:rPr>
              <w:t>5</w:t>
            </w:r>
            <w:r w:rsidRPr="0043354D">
              <w:rPr>
                <w:iCs/>
              </w:rPr>
              <w:t>, 175.</w:t>
            </w:r>
            <w:r w:rsidRPr="0043354D">
              <w:rPr>
                <w:iCs/>
                <w:vertAlign w:val="superscript"/>
              </w:rPr>
              <w:t>6</w:t>
            </w:r>
            <w:r w:rsidRPr="0043354D">
              <w:rPr>
                <w:iCs/>
              </w:rPr>
              <w:t xml:space="preserve"> un </w:t>
            </w:r>
            <w:r w:rsidRPr="0043354D">
              <w:rPr>
                <w:bCs/>
                <w:shd w:val="clear" w:color="auto" w:fill="FFFFFF"/>
              </w:rPr>
              <w:t>215.</w:t>
            </w:r>
            <w:r w:rsidRPr="0043354D">
              <w:rPr>
                <w:bCs/>
                <w:shd w:val="clear" w:color="auto" w:fill="FFFFFF"/>
                <w:vertAlign w:val="superscript"/>
              </w:rPr>
              <w:t>8</w:t>
            </w:r>
            <w:r w:rsidRPr="0043354D">
              <w:rPr>
                <w:rStyle w:val="apple-converted-space"/>
                <w:bCs/>
                <w:shd w:val="clear" w:color="auto" w:fill="FFFFFF"/>
              </w:rPr>
              <w:t> </w:t>
            </w:r>
            <w:r w:rsidRPr="0043354D">
              <w:rPr>
                <w:iCs/>
              </w:rPr>
              <w:t xml:space="preserve">pantiem un procesuālo pārkāpumu izmeklēšanas process turpmāk </w:t>
            </w:r>
            <w:r w:rsidRPr="0043354D">
              <w:t>tiks īstenots Konkurences likuma noteiktajā kārtībā atbilstoši Administratīvā procesa likumā noteiktajiem principiem. Šāds regulējums nodrošinās, ka vienkopus ir noteikta atbildība gan par materiāliem pārkāpumiem (Konkurences likuma 11., 13. un 17.pants un LESD 101. un 102.pants), gan par procesuāl</w:t>
            </w:r>
            <w:r w:rsidR="001D6764" w:rsidRPr="0043354D">
              <w:t>aj</w:t>
            </w:r>
            <w:r w:rsidRPr="0043354D">
              <w:t>iem pārkāpumiem.</w:t>
            </w:r>
          </w:p>
          <w:p w14:paraId="2AAF6C12" w14:textId="77777777" w:rsidR="00B1657C" w:rsidRPr="0043354D" w:rsidRDefault="00B1657C" w:rsidP="00B1657C">
            <w:pPr>
              <w:spacing w:after="80"/>
              <w:jc w:val="both"/>
            </w:pPr>
            <w:r w:rsidRPr="0043354D">
              <w:t>Konkurences padomes iziešana no administratīvo sodu sistēmas, turpmāk paredzot  procesuālo pārkāpumu konkurences tiesību jomā izmeklēšanu Konkurences likumā atbilstoši APL ir saskaņota arī ar Tieslietu ministrijas izstrādāto likumprojektu „Administratīvo pārkāpumu procesa likums” (VSS-195) (turpmāk – APPL).</w:t>
            </w:r>
          </w:p>
          <w:p w14:paraId="26D1BA25" w14:textId="77777777" w:rsidR="001D6764" w:rsidRPr="0043354D" w:rsidRDefault="00B1657C" w:rsidP="001D6764">
            <w:pPr>
              <w:spacing w:after="80"/>
              <w:jc w:val="both"/>
            </w:pPr>
            <w:r w:rsidRPr="0043354D">
              <w:t>Vienlaicīgi, naudas soda noteikšanas kārtība par procesuāl</w:t>
            </w:r>
            <w:r w:rsidR="001D6764" w:rsidRPr="0043354D">
              <w:t>aj</w:t>
            </w:r>
            <w:r w:rsidRPr="0043354D">
              <w:t xml:space="preserve">iem pārkāpumiem tiek pietuvināta ES </w:t>
            </w:r>
            <w:r w:rsidRPr="0043354D">
              <w:rPr>
                <w:iCs/>
              </w:rPr>
              <w:t xml:space="preserve">konkurences tiesībām un regulas 1/2003 23.pantam. Atbildības maksimālais apmērs par Konkurences likumā un LESD paredzētajiem konkurences tiesību pārkāpumiem ir līdz 10% apmērā no tirgus dalībnieka pēdējā finanšu gada neto apgrozījuma. Ja par izmeklēšanas darbību pārkāpumiem atbildība (LAPK šobrīd līdz 10 000 latiem, APPL līdz 20 000 </w:t>
            </w:r>
            <w:proofErr w:type="spellStart"/>
            <w:r w:rsidRPr="0043354D">
              <w:rPr>
                <w:i/>
                <w:iCs/>
              </w:rPr>
              <w:t>euro</w:t>
            </w:r>
            <w:proofErr w:type="spellEnd"/>
            <w:r w:rsidRPr="0043354D">
              <w:rPr>
                <w:iCs/>
              </w:rPr>
              <w:t>) ir ievērojami zemāka par atbildību par Konkurences likuma un LESD pārkāpumiem, tad tirgus dalībnieki var būt tieši ieinteresēti slēpt pierādījumus, nesniegt informāciju, sniegt nepatiesu informāciju vai nepakļauties izmeklēšanas darbībām, jo nesniedzot inkriminējošu informāciju vai nepakļaujoties izmeklēšanas darbībām var izvairīties no atbildības par materiāliem pārkāpumiem un saņemt ievērojami mazāku sodu par procesuāl</w:t>
            </w:r>
            <w:r w:rsidR="001D6764" w:rsidRPr="0043354D">
              <w:rPr>
                <w:iCs/>
              </w:rPr>
              <w:t>aj</w:t>
            </w:r>
            <w:r w:rsidRPr="0043354D">
              <w:rPr>
                <w:iCs/>
              </w:rPr>
              <w:t>iem pārkāpumiem, nekā sniedzot vai pakļaujoties izmeklēšanas darbībām.</w:t>
            </w:r>
            <w:r w:rsidR="001D6764" w:rsidRPr="0043354D">
              <w:rPr>
                <w:iCs/>
              </w:rPr>
              <w:t xml:space="preserve"> Līdz ar to sods par informācijas nesniegšanu un Konkurences padomes likumīgo prasību nepildīšanu nosakāms par pamatu ņemot vērā tirgus dalībnieka vai tirgus dalībnieku apvienības pēdējā finanšu gada neto apgrozījumu, soda apmēru nosakot to līdz 1 % apmēram, bet ne mazāk par </w:t>
            </w:r>
            <w:r w:rsidR="001D6764" w:rsidRPr="0043354D">
              <w:t xml:space="preserve">50 </w:t>
            </w:r>
            <w:proofErr w:type="spellStart"/>
            <w:r w:rsidR="001D6764" w:rsidRPr="0043354D">
              <w:rPr>
                <w:i/>
              </w:rPr>
              <w:t>euro</w:t>
            </w:r>
            <w:proofErr w:type="spellEnd"/>
            <w:r w:rsidR="001D6764" w:rsidRPr="0043354D">
              <w:rPr>
                <w:iCs/>
              </w:rPr>
              <w:t>. Savukārt p</w:t>
            </w:r>
            <w:r w:rsidR="001D6764" w:rsidRPr="0043354D">
              <w:t xml:space="preserve">ersonām, kuras nav tirgus dalībnieki, tirgus dalībnieku apvienības, naudas sodu uzliek no 50 līdz </w:t>
            </w:r>
            <w:r w:rsidR="00716AE1" w:rsidRPr="0043354D">
              <w:t xml:space="preserve">1400 </w:t>
            </w:r>
            <w:proofErr w:type="spellStart"/>
            <w:r w:rsidR="001D6764" w:rsidRPr="0043354D">
              <w:rPr>
                <w:i/>
              </w:rPr>
              <w:t>euro</w:t>
            </w:r>
            <w:proofErr w:type="spellEnd"/>
            <w:r w:rsidR="001D6764" w:rsidRPr="0043354D">
              <w:t>.</w:t>
            </w:r>
          </w:p>
          <w:p w14:paraId="56DEDB7B" w14:textId="77777777" w:rsidR="001D6764" w:rsidRPr="0043354D" w:rsidRDefault="001D6764" w:rsidP="001D6764">
            <w:pPr>
              <w:spacing w:after="60"/>
              <w:jc w:val="both"/>
            </w:pPr>
            <w:r w:rsidRPr="0043354D">
              <w:t xml:space="preserve">Ņemot vērā, ka Konkurences likuma 9.panta piektās daļas 4.punkta “g” apakšpunkts paredz Konkurences padomes Izpilddirekcijas amatpersonām tiesības uz laiku, līdz 72 stundām, aizzīmogot neapdzīvojamās telpas, transportlīdzekļus, būves un citus objektus un tajos esošās glabātavas nolūkā nodrošināt pierādījumu saglabāšanu, likumprojekts </w:t>
            </w:r>
            <w:r w:rsidRPr="0043354D">
              <w:lastRenderedPageBreak/>
              <w:t>vienlaicīgi paredz skaidri izdalīt atbildību par šāda aizzīmogojuma bojāšanu.</w:t>
            </w:r>
          </w:p>
          <w:p w14:paraId="3E96E6CF" w14:textId="77777777" w:rsidR="00C74CAE" w:rsidRPr="0043354D" w:rsidRDefault="001D6764" w:rsidP="0002238E">
            <w:pPr>
              <w:spacing w:after="80"/>
              <w:jc w:val="both"/>
              <w:rPr>
                <w:iCs/>
              </w:rPr>
            </w:pPr>
            <w:r w:rsidRPr="0043354D">
              <w:rPr>
                <w:iCs/>
              </w:rPr>
              <w:t>Nepieciešams svītrot Konkurences likuma 8.panta trešajā daļa ietverto atsauci par administratīvās atbildības iestāšanos. Atbildība par informācijas nesniegšanu un Konkurences padomes amatpersonu likumīgo prasību nepildīšanu tiks iekļauta Konkurences likuma 9.</w:t>
            </w:r>
            <w:r w:rsidRPr="0043354D">
              <w:rPr>
                <w:iCs/>
                <w:vertAlign w:val="superscript"/>
              </w:rPr>
              <w:t>4</w:t>
            </w:r>
            <w:r w:rsidRPr="0043354D">
              <w:rPr>
                <w:iCs/>
              </w:rPr>
              <w:t> pantā, un no LAPK ir izslēdzami 175.</w:t>
            </w:r>
            <w:r w:rsidRPr="0043354D">
              <w:rPr>
                <w:iCs/>
                <w:vertAlign w:val="superscript"/>
              </w:rPr>
              <w:t>5</w:t>
            </w:r>
            <w:r w:rsidRPr="0043354D">
              <w:rPr>
                <w:iCs/>
              </w:rPr>
              <w:t>, 175.</w:t>
            </w:r>
            <w:r w:rsidRPr="0043354D">
              <w:rPr>
                <w:iCs/>
                <w:vertAlign w:val="superscript"/>
              </w:rPr>
              <w:t>6</w:t>
            </w:r>
            <w:r w:rsidRPr="0043354D">
              <w:rPr>
                <w:iCs/>
              </w:rPr>
              <w:t xml:space="preserve"> un </w:t>
            </w:r>
            <w:r w:rsidRPr="0043354D">
              <w:rPr>
                <w:bCs/>
                <w:shd w:val="clear" w:color="auto" w:fill="FFFFFF"/>
              </w:rPr>
              <w:t>215.</w:t>
            </w:r>
            <w:r w:rsidRPr="0043354D">
              <w:rPr>
                <w:bCs/>
                <w:shd w:val="clear" w:color="auto" w:fill="FFFFFF"/>
                <w:vertAlign w:val="superscript"/>
              </w:rPr>
              <w:t>8</w:t>
            </w:r>
            <w:r w:rsidRPr="0043354D">
              <w:rPr>
                <w:rStyle w:val="apple-converted-space"/>
                <w:bCs/>
                <w:shd w:val="clear" w:color="auto" w:fill="FFFFFF"/>
              </w:rPr>
              <w:t> </w:t>
            </w:r>
            <w:r w:rsidRPr="0043354D">
              <w:rPr>
                <w:iCs/>
              </w:rPr>
              <w:t>panti</w:t>
            </w:r>
            <w:r w:rsidR="00B07E8C" w:rsidRPr="0043354D">
              <w:rPr>
                <w:iCs/>
              </w:rPr>
              <w:t>.</w:t>
            </w:r>
          </w:p>
          <w:p w14:paraId="3E2166F8" w14:textId="77777777" w:rsidR="00B07E8C" w:rsidRPr="0043354D" w:rsidRDefault="00B07E8C" w:rsidP="00B07E8C">
            <w:pPr>
              <w:pStyle w:val="naisc"/>
              <w:spacing w:before="0" w:after="0"/>
              <w:jc w:val="left"/>
            </w:pPr>
            <w:r w:rsidRPr="0043354D">
              <w:t>Pamatojoties uz statistiku par pieņemtajiem lēmumiem, ar kuriem konstatēts Latvijas Administratīvo pārkāpumu kodeksa 175.</w:t>
            </w:r>
            <w:r w:rsidRPr="0043354D">
              <w:rPr>
                <w:vertAlign w:val="superscript"/>
              </w:rPr>
              <w:t>5</w:t>
            </w:r>
            <w:r w:rsidRPr="0043354D">
              <w:t xml:space="preserve"> un 175.</w:t>
            </w:r>
            <w:r w:rsidRPr="0043354D">
              <w:rPr>
                <w:vertAlign w:val="superscript"/>
              </w:rPr>
              <w:t xml:space="preserve">6 </w:t>
            </w:r>
            <w:r w:rsidRPr="0043354D">
              <w:t>pantu pārkāpumi (APK lēmumi), secinām, ka gadā vidēji prognozējami 2 gadījumi, kad varētu tikt pārsūdzēts Konkurences padomes lēmums par procesuāliem pārkāpumiem.</w:t>
            </w:r>
          </w:p>
          <w:p w14:paraId="227814C8" w14:textId="77777777" w:rsidR="00B07E8C" w:rsidRPr="0043354D" w:rsidRDefault="00B07E8C" w:rsidP="00B07E8C">
            <w:pPr>
              <w:pStyle w:val="naisc"/>
              <w:spacing w:before="0" w:after="0"/>
              <w:jc w:val="left"/>
            </w:pPr>
            <w:r w:rsidRPr="0043354D">
              <w:t>Attiecīgi:</w:t>
            </w:r>
          </w:p>
          <w:p w14:paraId="73C20A94" w14:textId="77777777" w:rsidR="00B07E8C" w:rsidRPr="0043354D" w:rsidRDefault="00B07E8C" w:rsidP="00B07E8C">
            <w:pPr>
              <w:pStyle w:val="naisc"/>
              <w:spacing w:before="0" w:after="0"/>
              <w:jc w:val="left"/>
            </w:pPr>
            <w:r w:rsidRPr="0043354D">
              <w:t xml:space="preserve"> 2013.gadā pieņemti 2 APK lēmumi, no tiem pārsūdzēti 2;</w:t>
            </w:r>
          </w:p>
          <w:p w14:paraId="761CCC5E" w14:textId="77777777" w:rsidR="00B07E8C" w:rsidRPr="0043354D" w:rsidRDefault="00B07E8C" w:rsidP="00B07E8C">
            <w:pPr>
              <w:pStyle w:val="naisc"/>
              <w:spacing w:before="0" w:after="0"/>
              <w:jc w:val="left"/>
            </w:pPr>
            <w:r w:rsidRPr="0043354D">
              <w:t>2012.g. -8 APK lēmumi (pārsūdzēti 3);</w:t>
            </w:r>
          </w:p>
          <w:p w14:paraId="49D9350C" w14:textId="77777777" w:rsidR="00B07E8C" w:rsidRPr="0043354D" w:rsidRDefault="00B07E8C" w:rsidP="00B07E8C">
            <w:r w:rsidRPr="0043354D">
              <w:t>2011.g.-15 APK lēmumi ((pārsūdzēti 3);</w:t>
            </w:r>
          </w:p>
          <w:p w14:paraId="2CD4F3CA" w14:textId="77777777" w:rsidR="00B07E8C" w:rsidRPr="0043354D" w:rsidRDefault="00B07E8C" w:rsidP="00B07E8C">
            <w:r w:rsidRPr="0043354D">
              <w:t>2010.- nav pieņemtu APK lēmumu</w:t>
            </w:r>
          </w:p>
          <w:p w14:paraId="00994B7A" w14:textId="77777777" w:rsidR="00B07E8C" w:rsidRPr="0043354D" w:rsidRDefault="00B07E8C" w:rsidP="00B07E8C">
            <w:r w:rsidRPr="0043354D">
              <w:t>2009.g.-1 APK lēmums (pārsūdzēts);</w:t>
            </w:r>
          </w:p>
          <w:p w14:paraId="13F1388D" w14:textId="77777777" w:rsidR="00B07E8C" w:rsidRPr="0043354D" w:rsidRDefault="00B07E8C" w:rsidP="00B07E8C">
            <w:r w:rsidRPr="0043354D">
              <w:t>2008.g.- 1 APK lēmums (pārsūdzēts);</w:t>
            </w:r>
          </w:p>
          <w:p w14:paraId="281339AA" w14:textId="77777777" w:rsidR="00B07E8C" w:rsidRPr="0043354D" w:rsidRDefault="00B07E8C" w:rsidP="00B07E8C">
            <w:r w:rsidRPr="0043354D">
              <w:t>2007.g. 8 APK lēmumi (3 pārsūdzēti);</w:t>
            </w:r>
          </w:p>
          <w:p w14:paraId="0497F5D5" w14:textId="77777777" w:rsidR="00B07E8C" w:rsidRPr="0043354D" w:rsidRDefault="00B07E8C" w:rsidP="00B07E8C">
            <w:r w:rsidRPr="0043354D">
              <w:t>2006.g. 11 APK lēmumi (4 pārsūdzēti);</w:t>
            </w:r>
          </w:p>
          <w:p w14:paraId="54BE97A6" w14:textId="77777777" w:rsidR="00B07E8C" w:rsidRPr="0043354D" w:rsidRDefault="00B07E8C" w:rsidP="0002238E">
            <w:pPr>
              <w:spacing w:after="80"/>
              <w:jc w:val="both"/>
            </w:pPr>
          </w:p>
          <w:p w14:paraId="2ECCA465" w14:textId="77777777" w:rsidR="00C74CAE" w:rsidRPr="0043354D" w:rsidRDefault="00C74CAE" w:rsidP="00B1657C">
            <w:pPr>
              <w:pStyle w:val="naiskr"/>
              <w:spacing w:before="0" w:after="80"/>
              <w:rPr>
                <w:u w:val="single"/>
              </w:rPr>
            </w:pPr>
            <w:r w:rsidRPr="0043354D">
              <w:rPr>
                <w:u w:val="single"/>
              </w:rPr>
              <w:t>Tiesisko pienākumu piespiedu izpilde</w:t>
            </w:r>
          </w:p>
          <w:p w14:paraId="7BCB73D4" w14:textId="510CC3C6" w:rsidR="00C74CAE" w:rsidRPr="0043354D" w:rsidRDefault="00C74CAE" w:rsidP="00B1657C">
            <w:pPr>
              <w:pStyle w:val="naiskr"/>
              <w:spacing w:before="0" w:after="80"/>
              <w:jc w:val="both"/>
              <w:rPr>
                <w:iCs/>
              </w:rPr>
            </w:pPr>
            <w:r w:rsidRPr="0043354D">
              <w:rPr>
                <w:iCs/>
              </w:rPr>
              <w:t xml:space="preserve">Likumprojekts paredz nodrošināt tiesisko pienākumu efektīvu izpildi Konkurences likuma pārkāpumu lietās un </w:t>
            </w:r>
            <w:r w:rsidR="00277B4A">
              <w:rPr>
                <w:iCs/>
              </w:rPr>
              <w:t>ES</w:t>
            </w:r>
            <w:r w:rsidRPr="0043354D">
              <w:rPr>
                <w:iCs/>
              </w:rPr>
              <w:t xml:space="preserve"> konkurences tiesību pārkāpumu lietās par pamatu ņemot vērā tiesisko pienākumu izpildes regulējumu APL ‘D’ daļā un Padomes 2002.gada 16.decembra regulā 1/2003. Tiesiskie pienākumi tiek vērsti uz pārkāpuma izbeigšanu. Tāpēc piespiedu naudas maksimālajam apmēram jābūt samērotam ar atbildību par materiālajiem konkurences tiesību pārkāpumiem (Konkurences likuma 11., 13. un 17.pants). Pretējā gadījumā tirgus dalībniekiem lēmumā uzlikto tiesisko pienākumu neizpilde nerada pietiekami atturošu efektu. Saskaņā ar APL 370.panta trešo daļu piespiedu naudas maksimālais apmērs ir 1000 lati, turklāt ņemot vērā APL noteikto piespiedu naudas uzlikšanas kārtību, atkārtoti piespiedu naudu var uzlikt ne ātrāk kā pēc 7 dienām (APL 370.panta otrā daļa)</w:t>
            </w:r>
            <w:r w:rsidR="00B70BC3" w:rsidRPr="0043354D">
              <w:rPr>
                <w:iCs/>
              </w:rPr>
              <w:t>.</w:t>
            </w:r>
            <w:r w:rsidRPr="0043354D">
              <w:rPr>
                <w:iCs/>
              </w:rPr>
              <w:t xml:space="preserve">  Šāds piespiedu naudas apmērs ir nesamērīgi mazs attiecībā pret paredzēto pamatsodu apmēru par konkurences tiesību pārkāpumiem. Par konkurences tiesību pārkāpumiem ir paredzētas smagas sankcijas – līdz 5% vai 10% apmērā no tirgus dalībnieka pēdējā finanšu gada neto apgrozījuma. APL noteiktais piespiedu naudas apmērs līdz ar to nespēj pietiekami motivēt pārkāpēju izpildīt Konkurences padomes lēmumā uzliktos tiesiskos pienākumus. Tieši pretēji, praksē konstatēti gadījumi, kad neizbeidzot konkurences tiesību pārkāpumu, pārkāpējam ir tieši izdevīgi turpināt gūt nelikumīgus ienākumus, kropļojot konkurenci un nodarot neatgriezenisku kaitējumu tirgū (piemēram, konkurenta izslēgšana no tirgus). Šādos gadījumos Konkurences padomes vienīgā iespēja ir uzsākt jaunu izmeklēšanas lietu un sodīt tirgus dalībnieku par to pašu Konkurences likuma pārkāpumu, bet jau par jaunu periodu. Tas nepamatoti Konkurences padomei ar administratīvo procesu iestādē (APL ‘B’ daļa) risināt lēmuma izpildes jautājumus (APL ‘D’ daļa). Tād</w:t>
            </w:r>
            <w:r w:rsidR="009541D3">
              <w:rPr>
                <w:iCs/>
              </w:rPr>
              <w:t>ē</w:t>
            </w:r>
            <w:r w:rsidRPr="0043354D">
              <w:rPr>
                <w:iCs/>
              </w:rPr>
              <w:t xml:space="preserve">jādi Konkurences padome nelietderīgi izmanto iestādes resursus, kā arī noslogo Administratīvās tiesas, jo jauns lēmums paver iespēju tirgus dalībniekam no jauna uzsākt tiesvedības procesu pēc būtības. Šādā situācija kopumā </w:t>
            </w:r>
            <w:proofErr w:type="spellStart"/>
            <w:r w:rsidRPr="0043354D">
              <w:rPr>
                <w:iCs/>
              </w:rPr>
              <w:t>palēlina</w:t>
            </w:r>
            <w:proofErr w:type="spellEnd"/>
            <w:r w:rsidRPr="0043354D">
              <w:rPr>
                <w:iCs/>
              </w:rPr>
              <w:t xml:space="preserve"> Konkurences padomes lēmumu iedar</w:t>
            </w:r>
            <w:r w:rsidR="00CC123D" w:rsidRPr="0043354D">
              <w:rPr>
                <w:iCs/>
              </w:rPr>
              <w:t>b</w:t>
            </w:r>
            <w:r w:rsidRPr="0043354D">
              <w:rPr>
                <w:iCs/>
              </w:rPr>
              <w:t xml:space="preserve">ību tirgū, negatīvi ietekmē konkurences tiesību efektivitāti un procesuālo ekonomiju iestādē un tiesā. Ņemot vērā minēto, likumprojekts paredz noteikt piespiedu naudu līdz 5 % </w:t>
            </w:r>
            <w:r w:rsidRPr="0043354D">
              <w:t xml:space="preserve">apmēram no pēdējā finanšu gada </w:t>
            </w:r>
            <w:r w:rsidR="00FD5698" w:rsidRPr="0043354D">
              <w:t xml:space="preserve">vidējā vienas dienas </w:t>
            </w:r>
            <w:r w:rsidRPr="0043354D">
              <w:t xml:space="preserve">neto apgrozījuma par katru dienu, bet ne mazāk kā </w:t>
            </w:r>
            <w:r w:rsidR="009541D3">
              <w:t>2</w:t>
            </w:r>
            <w:r w:rsidR="002B5BF9" w:rsidRPr="0043354D">
              <w:t xml:space="preserve">50 </w:t>
            </w:r>
            <w:proofErr w:type="spellStart"/>
            <w:r w:rsidR="002B5BF9" w:rsidRPr="0043354D">
              <w:rPr>
                <w:i/>
              </w:rPr>
              <w:t>euro</w:t>
            </w:r>
            <w:proofErr w:type="spellEnd"/>
            <w:r w:rsidR="002B5BF9" w:rsidRPr="0043354D">
              <w:t xml:space="preserve"> </w:t>
            </w:r>
            <w:r w:rsidRPr="0043354D">
              <w:t>par katru dienu līdz tiesiskā pienākuma izpildīšanai.</w:t>
            </w:r>
          </w:p>
          <w:p w14:paraId="4727949C" w14:textId="277C73FE" w:rsidR="00C74CAE" w:rsidRPr="0043354D" w:rsidRDefault="00C74CAE" w:rsidP="00B1657C">
            <w:pPr>
              <w:pStyle w:val="naiskr"/>
              <w:spacing w:before="0" w:after="80"/>
              <w:jc w:val="both"/>
              <w:rPr>
                <w:iCs/>
              </w:rPr>
            </w:pPr>
            <w:r w:rsidRPr="0043354D">
              <w:rPr>
                <w:iCs/>
              </w:rPr>
              <w:t xml:space="preserve">Piespiedu naudas piemērošana un apmēra noteikšanas kārtība konkurences lietās ir </w:t>
            </w:r>
            <w:r w:rsidRPr="0043354D">
              <w:rPr>
                <w:iCs/>
              </w:rPr>
              <w:lastRenderedPageBreak/>
              <w:t xml:space="preserve">samērota ar </w:t>
            </w:r>
            <w:r w:rsidR="00277B4A">
              <w:rPr>
                <w:iCs/>
              </w:rPr>
              <w:t>ES</w:t>
            </w:r>
            <w:r w:rsidRPr="0043354D">
              <w:rPr>
                <w:iCs/>
              </w:rPr>
              <w:t xml:space="preserve"> konkurences tiesībām. Regulas 1/2003 5.panta pirmā daļa paredz nacionālo konkurences iestāžu kompetenci, skatot lietas par  </w:t>
            </w:r>
            <w:r w:rsidR="00277B4A">
              <w:rPr>
                <w:iCs/>
              </w:rPr>
              <w:t>LESD</w:t>
            </w:r>
            <w:r w:rsidRPr="0043354D">
              <w:rPr>
                <w:iCs/>
              </w:rPr>
              <w:t xml:space="preserve"> 101.panta un 102.panta pārkāpumiem, piemērot nacionālā likumā paredzētos periodiskos soda maksājumus, lai nodrošinātu uzlikto tiesisko pienākumu izpildi. Savukārt atbilstoši regulas 1/2003 24.pantam Eiropas Komisija nolūkā piespiest tirgus dalībniekus izpildīt Komisijas lēmumu, sniegt pieprasīto informāciju, pakļauties izmeklēšanas darbībām ir tiesīga uzlikt tirgus dalībniekiem periodiskus piespiedu maksājumus (piespiedu naudu) līdz 5 % no </w:t>
            </w:r>
            <w:r w:rsidR="00FD5698" w:rsidRPr="0043354D">
              <w:t>pēdējā finanšu gada vidējā vienas dienas neto apgrozījuma</w:t>
            </w:r>
            <w:r w:rsidR="00FD5698" w:rsidRPr="0043354D" w:rsidDel="00FD5698">
              <w:rPr>
                <w:iCs/>
              </w:rPr>
              <w:t xml:space="preserve"> </w:t>
            </w:r>
            <w:r w:rsidRPr="0043354D">
              <w:rPr>
                <w:iCs/>
              </w:rPr>
              <w:t xml:space="preserve"> par katru dienu līdz tirgus dalībnieks veic izpildi vai pakļaujas Komisijas likumīgajām darbībām. Līdz ar to, lai nodrošinātu efektīvu tiesisko pienākumu izpildi atbilstoši </w:t>
            </w:r>
            <w:r w:rsidR="00277B4A">
              <w:rPr>
                <w:iCs/>
              </w:rPr>
              <w:t>ES</w:t>
            </w:r>
            <w:r w:rsidRPr="0043354D">
              <w:rPr>
                <w:iCs/>
              </w:rPr>
              <w:t xml:space="preserve"> konkurences tiesībām, nacionālajā likumā – Konkurences likumā – ir nepieciešams ieviest piespiedu naudas jēdzienu, tās apmēru nosakot līdzvērtīgā apjomā.</w:t>
            </w:r>
          </w:p>
          <w:p w14:paraId="547D039B" w14:textId="77777777" w:rsidR="00C74CAE" w:rsidRPr="0043354D" w:rsidRDefault="00C74CAE" w:rsidP="00B1657C">
            <w:pPr>
              <w:pStyle w:val="naiskr"/>
              <w:spacing w:before="0" w:after="80"/>
              <w:jc w:val="both"/>
              <w:rPr>
                <w:iCs/>
              </w:rPr>
            </w:pPr>
            <w:r w:rsidRPr="0043354D">
              <w:rPr>
                <w:iCs/>
              </w:rPr>
              <w:t xml:space="preserve">APL izpildes vispārējie noteikumi paredz, ka piespiedu naudu uzliek ar </w:t>
            </w:r>
            <w:proofErr w:type="spellStart"/>
            <w:r w:rsidRPr="0043354D">
              <w:rPr>
                <w:iCs/>
              </w:rPr>
              <w:t>izpildrīkojumu</w:t>
            </w:r>
            <w:proofErr w:type="spellEnd"/>
            <w:r w:rsidRPr="0043354D">
              <w:rPr>
                <w:iCs/>
              </w:rPr>
              <w:t xml:space="preserve"> (370.panta ceturtā daļa), pirms tam rakstveidā brīdinot (361.panta pirmā un otrā daļa). Gan brīdinājums, gan </w:t>
            </w:r>
            <w:proofErr w:type="spellStart"/>
            <w:r w:rsidRPr="0043354D">
              <w:rPr>
                <w:iCs/>
              </w:rPr>
              <w:t>izpildrīkojums</w:t>
            </w:r>
            <w:proofErr w:type="spellEnd"/>
            <w:r w:rsidRPr="0043354D">
              <w:rPr>
                <w:iCs/>
              </w:rPr>
              <w:t xml:space="preserve"> ir pārsūdzami tiesā (361.panta piektā daļa un 370.panta sestā daļa). Lai nodrošinātu efektīvu izpildes procesu, lieki nenoslogotu tiesu un ievērotu procesuālo ekonomiju, likumprojekts paredz, ka brīdinājums par piespiedu izpildes uzsākšanu konkurences lietās nav pārsūdzams. Ņemot vērā, ka likumprojekts atšķirībā no APL paredz tiesības tirgus dalībniekam pirms </w:t>
            </w:r>
            <w:proofErr w:type="spellStart"/>
            <w:r w:rsidRPr="0043354D">
              <w:rPr>
                <w:iCs/>
              </w:rPr>
              <w:t>izpildrīkojuma</w:t>
            </w:r>
            <w:proofErr w:type="spellEnd"/>
            <w:r w:rsidRPr="0043354D">
              <w:rPr>
                <w:iCs/>
              </w:rPr>
              <w:t xml:space="preserve"> izdošanas iepazīties ar izpildes lietu, izteikt savu viedokli un iesniegt papildu informāciju, tirgus dalībniekam ir dota iespēja norādīt uz iestādes pieļautajām kļūdām, kuras iestāde var novērst pirms </w:t>
            </w:r>
            <w:proofErr w:type="spellStart"/>
            <w:r w:rsidRPr="0043354D">
              <w:rPr>
                <w:iCs/>
              </w:rPr>
              <w:t>izpildrīkojuma</w:t>
            </w:r>
            <w:proofErr w:type="spellEnd"/>
            <w:r w:rsidRPr="0043354D">
              <w:rPr>
                <w:iCs/>
              </w:rPr>
              <w:t xml:space="preserve"> izdošanas. Tā kā </w:t>
            </w:r>
            <w:proofErr w:type="spellStart"/>
            <w:r w:rsidRPr="0043354D">
              <w:rPr>
                <w:iCs/>
              </w:rPr>
              <w:t>izpildrīkojums</w:t>
            </w:r>
            <w:proofErr w:type="spellEnd"/>
            <w:r w:rsidRPr="0043354D">
              <w:rPr>
                <w:iCs/>
              </w:rPr>
              <w:t xml:space="preserve"> par piespiedu naudas uzlikšanu ir pārsūdzams, tad visas kļūdas, kuras iestāde, iespējams, pieļāvusi piespiedu izpildes procesā, būs iespējams pakļaut tiesas pilnīgai kontrolei, tai skaitā, par rakstveida brīdinājuma atbilstību un izpildu lietas uzsākšanas pamatotību.</w:t>
            </w:r>
          </w:p>
          <w:p w14:paraId="5B003077" w14:textId="6C7AAD4A" w:rsidR="00C74CAE" w:rsidRPr="0043354D" w:rsidRDefault="00C74CAE" w:rsidP="00B1657C">
            <w:pPr>
              <w:pStyle w:val="naiskr"/>
              <w:spacing w:before="0" w:after="80"/>
              <w:jc w:val="both"/>
              <w:rPr>
                <w:iCs/>
              </w:rPr>
            </w:pPr>
            <w:r w:rsidRPr="0043354D">
              <w:rPr>
                <w:iCs/>
              </w:rPr>
              <w:t xml:space="preserve">Šāda piespiedu izpildes kontrole konkurences lietās ir samērota ar </w:t>
            </w:r>
            <w:r w:rsidR="00277B4A">
              <w:rPr>
                <w:iCs/>
              </w:rPr>
              <w:t>ES</w:t>
            </w:r>
            <w:r w:rsidRPr="0043354D">
              <w:rPr>
                <w:iCs/>
              </w:rPr>
              <w:t xml:space="preserve"> konkurences tiesībām. Atbilstoši regulas 1/2003 31.pantam tiesā pārsūdzams ir vienīgi regulas 1/2003 24.panta otrajā daļā paredzētā lēmuma par periodiskā piespiedu maksājuma uzlikšanu. Lēmums par piespiedu izpildes uzsākšanu, kas paredzēts regulas 1/2003 24.panta pirmajā daļā un kas ir salīdzināms ar APL paredzēto brīdinājumu, nav pārsūdzams. Šādu pārsūdzības kārtību ir apstiprinājusi arī Eiropas Savienības Tiesa (</w:t>
            </w:r>
            <w:proofErr w:type="spellStart"/>
            <w:r w:rsidRPr="0043354D">
              <w:rPr>
                <w:i/>
                <w:iCs/>
              </w:rPr>
              <w:t>Skat</w:t>
            </w:r>
            <w:proofErr w:type="spellEnd"/>
            <w:r w:rsidRPr="0043354D">
              <w:rPr>
                <w:i/>
                <w:iCs/>
              </w:rPr>
              <w:t xml:space="preserve">.: Eiropas Savienības Tiesas 1989.gada 21.septembra spriedums apvienotajās lietās 46/87 un 227/88 </w:t>
            </w:r>
            <w:proofErr w:type="spellStart"/>
            <w:r w:rsidRPr="0043354D">
              <w:rPr>
                <w:i/>
                <w:iCs/>
              </w:rPr>
              <w:t>Hoechst</w:t>
            </w:r>
            <w:proofErr w:type="spellEnd"/>
            <w:r w:rsidRPr="0043354D">
              <w:rPr>
                <w:i/>
                <w:iCs/>
              </w:rPr>
              <w:t xml:space="preserve"> AG pret Eiropas Kopienu Komisiju , 55. – 57.rindkopa</w:t>
            </w:r>
            <w:r w:rsidRPr="0043354D">
              <w:rPr>
                <w:iCs/>
              </w:rPr>
              <w:t>).</w:t>
            </w:r>
          </w:p>
          <w:p w14:paraId="3150394C" w14:textId="77777777" w:rsidR="00C74CAE" w:rsidRPr="0043354D" w:rsidRDefault="00C74CAE" w:rsidP="00B1657C">
            <w:pPr>
              <w:pStyle w:val="naiskr"/>
              <w:spacing w:before="0" w:after="80"/>
              <w:jc w:val="both"/>
              <w:rPr>
                <w:iCs/>
              </w:rPr>
            </w:pPr>
            <w:r w:rsidRPr="0043354D">
              <w:rPr>
                <w:iCs/>
              </w:rPr>
              <w:t xml:space="preserve">Ņemot vērā, ka atbilstoši Konkurences likuma 8.panta otrajai daļai Konkurences padomes lēmumus pārsūdz Administratīvajā apgabaltiesā, un šī tiesa izskata arī pieteikumu par lēmuma daļā par tiesiskā pienākuma uzlikšanu apturēšanu, likumprojekts paredz </w:t>
            </w:r>
            <w:proofErr w:type="spellStart"/>
            <w:r w:rsidRPr="0043354D">
              <w:rPr>
                <w:iCs/>
              </w:rPr>
              <w:t>izpildrīkojumu</w:t>
            </w:r>
            <w:proofErr w:type="spellEnd"/>
            <w:r w:rsidRPr="0043354D">
              <w:rPr>
                <w:iCs/>
              </w:rPr>
              <w:t xml:space="preserve"> pārsūdzēt Administratīvajā apgabaltiesā.</w:t>
            </w:r>
            <w:r w:rsidR="00BC5E9E" w:rsidRPr="0043354D">
              <w:rPr>
                <w:iCs/>
              </w:rPr>
              <w:t xml:space="preserve"> Jāatzīmē, ka pašreiz Konkurences likumā esošās tiesības palielināt  naudas sodu līdz maksimālajam apmēram, ja netiek pildīts uzliktais tiesiskais pienākums, Konkurences padome ir izmantojusi vienreiz, līdz ar to arī nav sagaidāma būtiska tiesas noslodzes palielināšanās, gluži pretēji jaunais regulējums salīdzinot ar esošo  ļaus ietaupīt arī tiesas resursus. </w:t>
            </w:r>
          </w:p>
          <w:p w14:paraId="6DB2D9F2" w14:textId="77777777" w:rsidR="00C74CAE" w:rsidRPr="0043354D" w:rsidRDefault="00C74CAE" w:rsidP="00B1657C">
            <w:pPr>
              <w:pStyle w:val="naiskr"/>
              <w:spacing w:before="0" w:after="80"/>
              <w:jc w:val="both"/>
              <w:rPr>
                <w:iCs/>
                <w:u w:val="single"/>
              </w:rPr>
            </w:pPr>
            <w:r w:rsidRPr="0043354D">
              <w:rPr>
                <w:iCs/>
                <w:u w:val="single"/>
              </w:rPr>
              <w:t>Lietu ierosināšana tikai uz iestādes iniciatīvas pamata</w:t>
            </w:r>
          </w:p>
          <w:p w14:paraId="016001BE" w14:textId="77777777" w:rsidR="00E03710" w:rsidRPr="0043354D" w:rsidRDefault="00C74CAE" w:rsidP="00E03710">
            <w:pPr>
              <w:pStyle w:val="naiskr"/>
              <w:spacing w:before="0" w:after="80"/>
              <w:jc w:val="both"/>
              <w:rPr>
                <w:lang w:eastAsia="en-US"/>
              </w:rPr>
            </w:pPr>
            <w:r w:rsidRPr="0043354D">
              <w:rPr>
                <w:iCs/>
              </w:rPr>
              <w:t>Ar grozījumiem ir paredzēts noteikt Konkurences padomei tiesības ierosināt lietas par likuma pārkāpumiem tikai pēc savas iniciatīvas. Attiecīgās tiesības tiktu izmantotas atbilstoši iestādes noteiktajām prioritātēm, kā to likumprojekts paredz Konkurences likuma 7.panta pirmās daļas 9.punktā.</w:t>
            </w:r>
            <w:r w:rsidR="008374AB" w:rsidRPr="0043354D">
              <w:rPr>
                <w:iCs/>
              </w:rPr>
              <w:t xml:space="preserve"> </w:t>
            </w:r>
            <w:r w:rsidR="00814DE2" w:rsidRPr="0043354D">
              <w:rPr>
                <w:iCs/>
              </w:rPr>
              <w:t xml:space="preserve">Galvenās prioritātes, ko iestāde izvērtēs, ierosinot  lietu, būs smagāko Konkurences likuma pārkāpumu (karteļi), kā arī pārkāpumu, kas būtiski ietekmē konkurenci vai patērētāju kolektīvās intereses, </w:t>
            </w:r>
            <w:r w:rsidR="00814DE2" w:rsidRPr="0043354D">
              <w:rPr>
                <w:lang w:eastAsia="en-US"/>
              </w:rPr>
              <w:t>iestādei piešķirto finanšu resursu maksimāli efektīvu izmantošana</w:t>
            </w:r>
            <w:r w:rsidR="00E03710" w:rsidRPr="0043354D">
              <w:rPr>
                <w:lang w:eastAsia="en-US"/>
              </w:rPr>
              <w:t>, attiecīgā tirgus sektora aktualitāte.</w:t>
            </w:r>
            <w:r w:rsidR="00F47165" w:rsidRPr="0080642A">
              <w:rPr>
                <w:sz w:val="28"/>
                <w:szCs w:val="28"/>
                <w:u w:val="single"/>
              </w:rPr>
              <w:t xml:space="preserve"> </w:t>
            </w:r>
          </w:p>
          <w:p w14:paraId="5B2F8DFE" w14:textId="77777777" w:rsidR="00814DE2" w:rsidRPr="0043354D" w:rsidRDefault="00E03710" w:rsidP="00E03710">
            <w:pPr>
              <w:pStyle w:val="naiskr"/>
              <w:spacing w:before="0" w:after="80"/>
              <w:jc w:val="both"/>
              <w:rPr>
                <w:iCs/>
              </w:rPr>
            </w:pPr>
            <w:r w:rsidRPr="0043354D">
              <w:rPr>
                <w:lang w:eastAsia="en-US"/>
              </w:rPr>
              <w:t xml:space="preserve">Noteiktās prioritātes tiks publiskotas, ciktāl tas nekaitēs pārkāpumu izmeklēšanas </w:t>
            </w:r>
            <w:r w:rsidRPr="0043354D">
              <w:rPr>
                <w:lang w:eastAsia="en-US"/>
              </w:rPr>
              <w:lastRenderedPageBreak/>
              <w:t>interesēm, kā arī tiks nodrošināta iespēja ieinteresētajām pusēm paust savu viedokli par plānotajām nākošā perioda prioritātēm</w:t>
            </w:r>
            <w:r w:rsidR="00C62DD6">
              <w:rPr>
                <w:lang w:eastAsia="en-US"/>
              </w:rPr>
              <w:t>.</w:t>
            </w:r>
            <w:r w:rsidR="001C3BBE">
              <w:rPr>
                <w:lang w:eastAsia="en-US"/>
              </w:rPr>
              <w:t xml:space="preserve"> </w:t>
            </w:r>
            <w:r w:rsidR="00C62DD6">
              <w:rPr>
                <w:lang w:eastAsia="en-US"/>
              </w:rPr>
              <w:t>Vienlaikus Konkurences padome, lemjot par lieta ierosināšanu, ņems vērā arī iespējamā pārkāpuma ietekmi uz konkurenci un būtiskām sabiedrības interesēm.</w:t>
            </w:r>
            <w:r w:rsidRPr="0043354D">
              <w:rPr>
                <w:lang w:eastAsia="en-US"/>
              </w:rPr>
              <w:t xml:space="preserve"> </w:t>
            </w:r>
          </w:p>
          <w:p w14:paraId="4A673D6A" w14:textId="77777777" w:rsidR="00C74CAE" w:rsidRPr="0043354D" w:rsidRDefault="00C74CAE" w:rsidP="00B1657C">
            <w:pPr>
              <w:pStyle w:val="naiskr"/>
              <w:spacing w:before="0" w:after="80"/>
              <w:jc w:val="both"/>
              <w:rPr>
                <w:iCs/>
                <w:u w:val="single"/>
              </w:rPr>
            </w:pPr>
            <w:r w:rsidRPr="0043354D">
              <w:rPr>
                <w:iCs/>
              </w:rPr>
              <w:t>Likumprojekts ļau</w:t>
            </w:r>
            <w:r w:rsidR="00B70BC3" w:rsidRPr="0043354D">
              <w:rPr>
                <w:iCs/>
              </w:rPr>
              <w:t>j</w:t>
            </w:r>
            <w:r w:rsidRPr="0043354D">
              <w:rPr>
                <w:iCs/>
              </w:rPr>
              <w:t xml:space="preserve"> Konkurences padomei novirzīt savus administratīvos resursus būtiskāko likuma pārkāpumu izpētei un izmantot savas tiesības efektīvā veidā atbilstoši konkrētam gadījumam, piem</w:t>
            </w:r>
            <w:r w:rsidR="00814DE2" w:rsidRPr="0043354D">
              <w:rPr>
                <w:iCs/>
              </w:rPr>
              <w:t>ēram</w:t>
            </w:r>
            <w:r w:rsidRPr="0043354D">
              <w:rPr>
                <w:iCs/>
              </w:rPr>
              <w:t xml:space="preserve">, kur iespējamā likuma pārkāpuma novēršana ir iespējama bez lietas ierosināšanas. Vienlaicīgi likumprojekts paredz iespēju tirgus dalībniekiem vērsties Konkurences padomē un ziņot par faktiem, pamatojoties uz kuriem var konstatēt šā likuma pārkāpumu. </w:t>
            </w:r>
          </w:p>
          <w:p w14:paraId="75ABDF46" w14:textId="77777777" w:rsidR="00C74CAE" w:rsidRPr="0043354D" w:rsidRDefault="00C74CAE" w:rsidP="00B1657C">
            <w:pPr>
              <w:pStyle w:val="naisc"/>
              <w:spacing w:before="0" w:after="80"/>
              <w:jc w:val="both"/>
            </w:pPr>
            <w:r w:rsidRPr="0043354D">
              <w:t>Šāda kārtība ir pamatota ar apsvērumiem, ka tiesības uz administratīvo procesu iestādē nav absolūtas un valsts ne vienmēr nodrošina privātpersonām jebkura jautājuma izskatīšanu iestādē. Tā, laikā no 2008.gada 16.aprīļa līdz 2009.gada 1.janvārim Konkurences padomes kompetence izskatīt negodīgas konkurences aizlieguma pārkāpumus tika pakāpeniski samazināta, līdz pilnībā aizvietota ar tiesas kompetenci, kā tas šobrīd ir noteikts Konkurences likuma 18.</w:t>
            </w:r>
            <w:r w:rsidRPr="0043354D">
              <w:rPr>
                <w:vertAlign w:val="superscript"/>
              </w:rPr>
              <w:t>1</w:t>
            </w:r>
            <w:r w:rsidRPr="0043354D">
              <w:t> pantā. Turklāt ierosinātais likumprojekts „Negodīgas mazumtirdzniecības prakses aizlieguma likums” arī paredz pārkāpumu lietu ierosināšanu vienīgi uz iestādes pašiniciatīvas  pamata, vienlaicīgi paredzot tirgus dalībniekiem iespēju ziņot par likuma pārkāpumiem. Turklāt privātpersonām tiek saglabātas tiesības vērsties tiesā un lūgt konstatēt konkurences tiesību pārkāpumu un saņemt zaudējumu atlīdzību.</w:t>
            </w:r>
          </w:p>
          <w:p w14:paraId="5DA1837A" w14:textId="77777777" w:rsidR="00C74CAE" w:rsidRPr="0043354D" w:rsidRDefault="00C74CAE" w:rsidP="00B1657C">
            <w:pPr>
              <w:pStyle w:val="naisc"/>
              <w:spacing w:before="0" w:after="80"/>
              <w:jc w:val="both"/>
            </w:pPr>
            <w:r w:rsidRPr="0043354D">
              <w:t>Konkurences iestāžu darbību un to efektivitāti tieši atkarīga no iespējas noteikt lietas, kurās iestādes resursus būtu vislabāk izmantot, sasniedzot sev izvirzītos uzdevumus. Tas ir saistīts ar vienotas stratēģijas izveidi un mērķtiecīgu tās izpildi, kas nav iespējams, ja personas tiesības uz administratīvo procesu iestādē (lietas ierosināšanu) netiek ierobežotas.</w:t>
            </w:r>
          </w:p>
          <w:p w14:paraId="183DD3B0" w14:textId="77777777" w:rsidR="00C74CAE" w:rsidRPr="0043354D" w:rsidRDefault="00C74CAE" w:rsidP="00B1657C">
            <w:pPr>
              <w:pStyle w:val="naisc"/>
              <w:spacing w:before="0" w:after="80"/>
              <w:jc w:val="both"/>
            </w:pPr>
            <w:r w:rsidRPr="0043354D">
              <w:t>Privātpersonu tiesību ierobežojums ir samērīgs, vērtējot to ar Konkurences padomes uzdevumu nozīmi kopējās sabiedrības labklājības nodrošināšanai un tautsaimniecības attīstības veicināšanā. Šobrīd var identificēt šādus ieguvumus iestādes darbībā konkurences veicināšanai Latvijas teritorijā:</w:t>
            </w:r>
          </w:p>
          <w:p w14:paraId="16EEBDCA" w14:textId="77777777" w:rsidR="00C74CAE" w:rsidRPr="0043354D" w:rsidRDefault="00C74CAE" w:rsidP="00B1657C">
            <w:pPr>
              <w:pStyle w:val="naisc"/>
              <w:spacing w:before="0" w:after="80"/>
              <w:ind w:left="240" w:hanging="240"/>
              <w:jc w:val="both"/>
              <w:rPr>
                <w:rFonts w:eastAsiaTheme="majorEastAsia"/>
                <w:b/>
                <w:bCs/>
                <w:kern w:val="32"/>
              </w:rPr>
            </w:pPr>
            <w:r w:rsidRPr="0043354D">
              <w:t>-</w:t>
            </w:r>
            <w:r w:rsidRPr="0043354D">
              <w:tab/>
              <w:t>Iestādes administratīvais resurss tiek izmantots tikai sabiedrībai svarīgāko lietu izpētē un pārkāpumu novēršanā;</w:t>
            </w:r>
          </w:p>
          <w:p w14:paraId="5FF3A05C" w14:textId="77777777" w:rsidR="00C74CAE" w:rsidRPr="0043354D" w:rsidRDefault="00C74CAE" w:rsidP="00B1657C">
            <w:pPr>
              <w:pStyle w:val="naisc"/>
              <w:spacing w:before="0" w:after="80"/>
              <w:ind w:left="240" w:hanging="240"/>
              <w:jc w:val="both"/>
              <w:rPr>
                <w:rFonts w:eastAsiaTheme="majorEastAsia"/>
                <w:b/>
                <w:bCs/>
                <w:kern w:val="32"/>
              </w:rPr>
            </w:pPr>
            <w:r w:rsidRPr="0043354D">
              <w:t>-</w:t>
            </w:r>
            <w:r w:rsidRPr="0043354D">
              <w:tab/>
              <w:t>Iestādei ļauj efektīvāk veikt stratēģisko konkurences uzraudzības plānošanu, par ko pati ir atbildīga;</w:t>
            </w:r>
          </w:p>
          <w:p w14:paraId="205BC92F" w14:textId="77777777" w:rsidR="00C74CAE" w:rsidRPr="0043354D" w:rsidRDefault="00C74CAE" w:rsidP="00B1657C">
            <w:pPr>
              <w:pStyle w:val="naisc"/>
              <w:spacing w:before="0" w:after="80"/>
              <w:ind w:left="240" w:hanging="240"/>
              <w:jc w:val="both"/>
              <w:rPr>
                <w:rFonts w:eastAsiaTheme="majorEastAsia"/>
                <w:b/>
                <w:bCs/>
                <w:kern w:val="32"/>
              </w:rPr>
            </w:pPr>
            <w:r w:rsidRPr="0043354D">
              <w:t>-</w:t>
            </w:r>
            <w:r w:rsidRPr="0043354D">
              <w:tab/>
              <w:t>Tiek uzlabotas iestādes tiesības pārtraukt likuma pārkāpumus ārpus administratīvā procesa, veidojot ciešāku sadarbību ar pārkāpumos iesaistītajiem tirgus dalībniekiem, kur labumu sabiedrības interesēm var panākt bez lietas apstākļu izvērsta vērtējumu un naudas soda piemērošanas;</w:t>
            </w:r>
          </w:p>
          <w:p w14:paraId="7C41C8CB" w14:textId="77777777" w:rsidR="00FD5698" w:rsidRPr="0043354D" w:rsidRDefault="00C74CAE" w:rsidP="00DE0244">
            <w:pPr>
              <w:pStyle w:val="naisc"/>
              <w:spacing w:before="0" w:after="80"/>
              <w:ind w:left="240" w:hanging="240"/>
              <w:jc w:val="both"/>
            </w:pPr>
            <w:r w:rsidRPr="0043354D">
              <w:t>-</w:t>
            </w:r>
            <w:r w:rsidRPr="0043354D">
              <w:tab/>
              <w:t>Iestādes loma konkurences aizsardzībā tiek pastiprināta atbilstoši iestādes prioritātēm, ļaujot veidot ciešāku un paredzamāku sadarbību ar atbildīgajām valsts iestādēm un tirgus dalībniekiem.</w:t>
            </w:r>
          </w:p>
          <w:p w14:paraId="02C100D9" w14:textId="77777777" w:rsidR="00FD5698" w:rsidRPr="0043354D" w:rsidRDefault="00FD5698" w:rsidP="00FD5698">
            <w:pPr>
              <w:pStyle w:val="naiskr"/>
              <w:spacing w:before="0" w:after="80"/>
              <w:rPr>
                <w:u w:val="single"/>
              </w:rPr>
            </w:pPr>
            <w:r w:rsidRPr="0043354D">
              <w:rPr>
                <w:u w:val="single"/>
              </w:rPr>
              <w:t>Iecietības programma</w:t>
            </w:r>
          </w:p>
          <w:p w14:paraId="414A23ED" w14:textId="77777777" w:rsidR="00CF05F7" w:rsidRPr="0043354D" w:rsidRDefault="00FD5698" w:rsidP="00B1657C">
            <w:pPr>
              <w:pStyle w:val="naiskr"/>
              <w:spacing w:before="0" w:after="80"/>
              <w:jc w:val="both"/>
            </w:pPr>
            <w:r w:rsidRPr="0043354D">
              <w:t>Likumprojekts paredz pārņemt Sodu noteikumos iekļauto vispārējo regulējumu par tirgus dalībnieka tiesībām saņemt atbrīvojumu vai samazināju par attiecīgi karteļa vienošanās atklāšanu vai aktīvu sadarbošanos karteļa vienošanās aizlieguma pārkāpuma lietas izmeklēšanā. Vienlaicīgi paredzēts paplašināt gadījumu skaitu, kad tirgus dalībnieks var saņemt naudas soda samazinājumu. Likumprojekts noteic, ka Konkurences padome var samazināt naudas sodu, ja tirgus dalībnieks pirmais iesniedz pierādījumus par citu karteļa vienošanās aizlieguma pārkāpumu.</w:t>
            </w:r>
            <w:r w:rsidR="00FD1F92">
              <w:t xml:space="preserve"> Papildus arī likumā noteikts, ka iesniegumā par iecietības programmas piemē</w:t>
            </w:r>
            <w:r w:rsidR="00FD1F92" w:rsidRPr="00FD1F92">
              <w:t>rošanu iek</w:t>
            </w:r>
            <w:r w:rsidR="00FD1F92" w:rsidRPr="00C62DD6">
              <w:t xml:space="preserve">ļautā informācija ir </w:t>
            </w:r>
            <w:r w:rsidR="00FD1F92" w:rsidRPr="00C62DD6">
              <w:lastRenderedPageBreak/>
              <w:t>ierobe</w:t>
            </w:r>
            <w:r w:rsidR="00FD1F92" w:rsidRPr="00220264">
              <w:t xml:space="preserve">žotas pieejamības informācija, kas </w:t>
            </w:r>
            <w:r w:rsidR="00FD1F92" w:rsidRPr="00FD1F92">
              <w:t xml:space="preserve"> var tikt izpausta tikai procesa dalībniekiem Konkurences padomes ierosinātajā lietā, lai nodrošinātu to tiesību un tiesisko interešu aizstāvību.</w:t>
            </w:r>
          </w:p>
          <w:p w14:paraId="5451238D" w14:textId="77777777" w:rsidR="00CF05F7" w:rsidRPr="0043354D" w:rsidRDefault="00CF05F7" w:rsidP="00B1657C">
            <w:pPr>
              <w:pStyle w:val="naiskr"/>
              <w:spacing w:before="0" w:after="80"/>
              <w:jc w:val="both"/>
            </w:pPr>
          </w:p>
          <w:p w14:paraId="17803843" w14:textId="69480581" w:rsidR="004D78DB" w:rsidRDefault="004D78DB" w:rsidP="00B1657C">
            <w:pPr>
              <w:pStyle w:val="naiskr"/>
              <w:spacing w:before="0" w:after="80"/>
              <w:jc w:val="both"/>
            </w:pPr>
          </w:p>
          <w:p w14:paraId="7CE1AE13" w14:textId="77777777" w:rsidR="00C74CAE" w:rsidRPr="0043354D" w:rsidRDefault="00A56DAE" w:rsidP="00B1657C">
            <w:pPr>
              <w:pStyle w:val="naiskr"/>
              <w:spacing w:before="0" w:after="80"/>
              <w:jc w:val="both"/>
              <w:rPr>
                <w:iCs/>
                <w:u w:val="single"/>
              </w:rPr>
            </w:pPr>
            <w:r w:rsidRPr="0043354D">
              <w:rPr>
                <w:iCs/>
                <w:u w:val="single"/>
              </w:rPr>
              <w:t>Kaitējuma atlīdzības prasības un z</w:t>
            </w:r>
            <w:r w:rsidR="00C74CAE" w:rsidRPr="0043354D">
              <w:rPr>
                <w:iCs/>
                <w:u w:val="single"/>
              </w:rPr>
              <w:t>audējumu apmēra prezumpcija</w:t>
            </w:r>
          </w:p>
          <w:p w14:paraId="78E01C84" w14:textId="77777777" w:rsidR="00C74CAE" w:rsidRPr="0043354D" w:rsidRDefault="00C74CAE" w:rsidP="00B1657C">
            <w:pPr>
              <w:pStyle w:val="naiskr"/>
              <w:spacing w:before="0" w:after="80"/>
              <w:jc w:val="both"/>
              <w:rPr>
                <w:iCs/>
              </w:rPr>
            </w:pPr>
            <w:r w:rsidRPr="0043354D">
              <w:rPr>
                <w:iCs/>
              </w:rPr>
              <w:t xml:space="preserve">Ņemot vērā zaudējumu atlīdzības noteikšanas sarežģītību, likumprojekts paredz, ka Konkurences tiesību pārkāpumam, kas izpaužas kā vertikālā vienošanās, kuras mērķis ir ierobežot pircēja iespēju noteikt tālākpārdošanas cenu vai tirgus sadale, vai kā horizontālā karteļa vienošanās, vērtējot tā ietekmi uz pārkāpēja piemērotajām cenām, tiek </w:t>
            </w:r>
            <w:proofErr w:type="spellStart"/>
            <w:r w:rsidRPr="0043354D">
              <w:rPr>
                <w:iCs/>
              </w:rPr>
              <w:t>prezumēts</w:t>
            </w:r>
            <w:proofErr w:type="spellEnd"/>
            <w:r w:rsidRPr="0043354D">
              <w:rPr>
                <w:iCs/>
              </w:rPr>
              <w:t>, ka pārkāpum</w:t>
            </w:r>
            <w:r w:rsidR="00DD4A76" w:rsidRPr="0043354D">
              <w:rPr>
                <w:iCs/>
              </w:rPr>
              <w:t>s ir radījis kaitējumu un ka tā</w:t>
            </w:r>
            <w:r w:rsidRPr="0043354D">
              <w:rPr>
                <w:iCs/>
              </w:rPr>
              <w:t xml:space="preserve"> rezultātā cena ir pieaugusi par 10 procentiem, ja vien netiek pierādīts citādi. Līdzīgs regulējums, lai veicinātu zaudējumu atlīdzības prasības, noteikts Ungārijas Konkurences likumā.</w:t>
            </w:r>
            <w:r w:rsidR="00DD4A76" w:rsidRPr="0043354D">
              <w:rPr>
                <w:iCs/>
              </w:rPr>
              <w:t xml:space="preserve"> Jāņem vērā, ka atbilstoši pētījumiem </w:t>
            </w:r>
            <w:r w:rsidR="00DD4A76" w:rsidRPr="0043354D">
              <w:t xml:space="preserve"> karteļu vidējā (mediāna) pārmaksa ir 25% (</w:t>
            </w:r>
            <w:r w:rsidR="00DD4A76" w:rsidRPr="0043354D">
              <w:rPr>
                <w:rStyle w:val="apple-style-span"/>
                <w:lang w:val="en-US"/>
              </w:rPr>
              <w:t>Connor, John M.,</w:t>
            </w:r>
            <w:r w:rsidR="00DD4A76" w:rsidRPr="0043354D">
              <w:rPr>
                <w:rStyle w:val="apple-converted-space"/>
                <w:lang w:val="en-US"/>
              </w:rPr>
              <w:t> </w:t>
            </w:r>
            <w:r w:rsidR="00DD4A76" w:rsidRPr="0043354D">
              <w:rPr>
                <w:rStyle w:val="apple-style-span"/>
                <w:bCs/>
                <w:lang w:val="en-US"/>
              </w:rPr>
              <w:t>Price-Fixing Overcharges: Legal and Economic Evidence</w:t>
            </w:r>
            <w:r w:rsidR="00DD4A76" w:rsidRPr="0043354D">
              <w:rPr>
                <w:rStyle w:val="apple-style-span"/>
                <w:lang w:val="en-US"/>
              </w:rPr>
              <w:t xml:space="preserve">. </w:t>
            </w:r>
            <w:proofErr w:type="spellStart"/>
            <w:r w:rsidR="00DD4A76" w:rsidRPr="0043354D">
              <w:rPr>
                <w:rStyle w:val="apple-style-span"/>
                <w:lang w:val="en-US"/>
              </w:rPr>
              <w:t>Pieejams</w:t>
            </w:r>
            <w:proofErr w:type="spellEnd"/>
            <w:r w:rsidR="00DD4A76" w:rsidRPr="0043354D">
              <w:rPr>
                <w:rStyle w:val="apple-style-span"/>
                <w:lang w:val="en-US"/>
              </w:rPr>
              <w:t xml:space="preserve"> SSRN: </w:t>
            </w:r>
            <w:hyperlink r:id="rId18" w:history="1">
              <w:r w:rsidR="00DD4A76" w:rsidRPr="0043354D">
                <w:rPr>
                  <w:rStyle w:val="Hyperlink"/>
                  <w:color w:val="auto"/>
                  <w:lang w:val="en-US"/>
                </w:rPr>
                <w:t>http://papers.ssrn.com/sol3/papers.cfm?abstract_id=787924</w:t>
              </w:r>
            </w:hyperlink>
            <w:r w:rsidR="00DD4A76" w:rsidRPr="0043354D">
              <w:rPr>
                <w:lang w:val="en-US"/>
              </w:rPr>
              <w:t xml:space="preserve">, 105 </w:t>
            </w:r>
            <w:proofErr w:type="spellStart"/>
            <w:r w:rsidR="00DD4A76" w:rsidRPr="0043354D">
              <w:rPr>
                <w:lang w:val="en-US"/>
              </w:rPr>
              <w:t>lpp</w:t>
            </w:r>
            <w:proofErr w:type="spellEnd"/>
            <w:r w:rsidR="00DD4A76" w:rsidRPr="0043354D">
              <w:rPr>
                <w:lang w:val="en-US"/>
              </w:rPr>
              <w:t>.)</w:t>
            </w:r>
            <w:r w:rsidRPr="0043354D">
              <w:rPr>
                <w:iCs/>
              </w:rPr>
              <w:t xml:space="preserve"> Tādējādi tiks  veicināts, ka personas, kas tieši vai netieši cietušas konkurences tiesību pārkāpuma rezultātā, vismaz daļēji atgūs tiem nodarītos zaudējumus un pārkāpējiem būs ierobežota iespēja saglabāt nelikumīgi iegūtos līdzekļus. Likumprojekts arī paredz solidāru atbildību par zaudējumiem, kas nodarīti ar aizliegtas vienošanās pārkāpumu, par cik šāda veida pārkāpumi tiek izdarīti kopīgi. Kā izņēmumu no solidārās atbildības tiek izdalīts iecietības programmas dalībnieks, kas atbrīvots no naudas soda par sadarbību karteļa vienošanās atklāšanā. Tādējādi tiks veicināta </w:t>
            </w:r>
            <w:proofErr w:type="spellStart"/>
            <w:r w:rsidRPr="0043354D">
              <w:rPr>
                <w:iCs/>
              </w:rPr>
              <w:t>prevencija</w:t>
            </w:r>
            <w:proofErr w:type="spellEnd"/>
            <w:r w:rsidRPr="0043354D">
              <w:rPr>
                <w:iCs/>
              </w:rPr>
              <w:t xml:space="preserve"> pret aizliegtas vienošanās pārkāpumiem, kā arī iecietības programmas izmantošana.</w:t>
            </w:r>
          </w:p>
          <w:p w14:paraId="48B2D97B" w14:textId="77777777" w:rsidR="00312FA7" w:rsidRPr="0043354D" w:rsidRDefault="00312FA7" w:rsidP="00DE0244">
            <w:pPr>
              <w:jc w:val="both"/>
            </w:pPr>
          </w:p>
          <w:p w14:paraId="104E2252" w14:textId="77777777" w:rsidR="005A77B6" w:rsidRPr="0043354D" w:rsidRDefault="005A77B6" w:rsidP="00B1657C">
            <w:pPr>
              <w:pStyle w:val="naiskr"/>
              <w:spacing w:before="0" w:after="80"/>
              <w:jc w:val="both"/>
              <w:rPr>
                <w:iCs/>
                <w:u w:val="single"/>
              </w:rPr>
            </w:pPr>
            <w:r w:rsidRPr="0043354D">
              <w:rPr>
                <w:iCs/>
                <w:u w:val="single"/>
              </w:rPr>
              <w:t xml:space="preserve">Apvienošanās paziņošanas un izskatīšanas </w:t>
            </w:r>
            <w:proofErr w:type="spellStart"/>
            <w:r w:rsidRPr="0043354D">
              <w:rPr>
                <w:iCs/>
                <w:u w:val="single"/>
              </w:rPr>
              <w:t>efektivizēšana</w:t>
            </w:r>
            <w:proofErr w:type="spellEnd"/>
            <w:r w:rsidRPr="0043354D">
              <w:rPr>
                <w:iCs/>
                <w:u w:val="single"/>
              </w:rPr>
              <w:t xml:space="preserve"> </w:t>
            </w:r>
          </w:p>
          <w:p w14:paraId="20876714" w14:textId="77777777" w:rsidR="00C74CAE" w:rsidRPr="0043354D" w:rsidRDefault="005A77B6" w:rsidP="00B1657C">
            <w:pPr>
              <w:pStyle w:val="naiskr"/>
              <w:numPr>
                <w:ilvl w:val="0"/>
                <w:numId w:val="22"/>
              </w:numPr>
              <w:spacing w:before="0" w:after="80"/>
              <w:jc w:val="both"/>
              <w:rPr>
                <w:iCs/>
              </w:rPr>
            </w:pPr>
            <w:r w:rsidRPr="0043354D">
              <w:rPr>
                <w:iCs/>
              </w:rPr>
              <w:t>Paziņošanas sliekšņi</w:t>
            </w:r>
          </w:p>
          <w:p w14:paraId="058A2217" w14:textId="77777777" w:rsidR="00D60732" w:rsidRPr="0043354D" w:rsidRDefault="00A80F16" w:rsidP="00B1657C">
            <w:pPr>
              <w:pStyle w:val="naiskr"/>
              <w:spacing w:before="0" w:after="80"/>
              <w:jc w:val="both"/>
              <w:rPr>
                <w:iCs/>
              </w:rPr>
            </w:pPr>
            <w:r w:rsidRPr="0043354D">
              <w:rPr>
                <w:iCs/>
              </w:rPr>
              <w:t xml:space="preserve">Likumprojekts paredz atcelt 40% tirgus daļas slieksni kā apvienošanās paziņošanas kritēriju. </w:t>
            </w:r>
            <w:r w:rsidR="00D60732" w:rsidRPr="0043354D">
              <w:rPr>
                <w:iCs/>
              </w:rPr>
              <w:t>P</w:t>
            </w:r>
            <w:r w:rsidR="00DA5843" w:rsidRPr="0043354D">
              <w:rPr>
                <w:iCs/>
              </w:rPr>
              <w:t xml:space="preserve">ēc šo grozījumu pieņemšanas apvienošanās dalībniekiem </w:t>
            </w:r>
            <w:r w:rsidR="00D60732" w:rsidRPr="0043354D">
              <w:rPr>
                <w:iCs/>
              </w:rPr>
              <w:t xml:space="preserve">saglabāsies </w:t>
            </w:r>
            <w:r w:rsidR="00DA5843" w:rsidRPr="0043354D">
              <w:rPr>
                <w:iCs/>
              </w:rPr>
              <w:t xml:space="preserve">pienākums iesniegt ziņojumu par </w:t>
            </w:r>
            <w:r w:rsidR="00D60732" w:rsidRPr="0043354D">
              <w:rPr>
                <w:iCs/>
              </w:rPr>
              <w:t xml:space="preserve">apvienošanās </w:t>
            </w:r>
            <w:r w:rsidR="00DA5843" w:rsidRPr="0043354D">
              <w:rPr>
                <w:iCs/>
              </w:rPr>
              <w:t>darījumu</w:t>
            </w:r>
            <w:r w:rsidR="00D60732" w:rsidRPr="0043354D">
              <w:rPr>
                <w:iCs/>
              </w:rPr>
              <w:t>, ja to</w:t>
            </w:r>
            <w:r w:rsidR="00D60732" w:rsidRPr="0043354D">
              <w:t xml:space="preserve"> </w:t>
            </w:r>
            <w:r w:rsidR="00D60732" w:rsidRPr="0043354D">
              <w:rPr>
                <w:iCs/>
              </w:rPr>
              <w:t xml:space="preserve">kopējais apgrozījums iepriekšējā finanšu gadā Latvijas teritorijā ir bijis ne mazāks par 30 miljoniem </w:t>
            </w:r>
            <w:proofErr w:type="spellStart"/>
            <w:r w:rsidR="00D60732" w:rsidRPr="0043354D">
              <w:rPr>
                <w:iCs/>
              </w:rPr>
              <w:t>euro</w:t>
            </w:r>
            <w:proofErr w:type="spellEnd"/>
            <w:r w:rsidR="000C3D80" w:rsidRPr="0043354D">
              <w:rPr>
                <w:iCs/>
              </w:rPr>
              <w:t xml:space="preserve"> </w:t>
            </w:r>
            <w:r w:rsidR="00D60732" w:rsidRPr="0043354D">
              <w:rPr>
                <w:iCs/>
              </w:rPr>
              <w:t xml:space="preserve">un vismaz divu apvienošanās dalībnieku apgrozījums iepriekšējā finanšu gadā Latvijas teritorijā ir bijis ne mazāks par 1,5 miljoniem </w:t>
            </w:r>
            <w:proofErr w:type="spellStart"/>
            <w:r w:rsidR="00D60732" w:rsidRPr="0043354D">
              <w:rPr>
                <w:iCs/>
              </w:rPr>
              <w:t>euro</w:t>
            </w:r>
            <w:proofErr w:type="spellEnd"/>
            <w:r w:rsidR="00D60732" w:rsidRPr="0043354D">
              <w:rPr>
                <w:iCs/>
              </w:rPr>
              <w:t xml:space="preserve"> katram</w:t>
            </w:r>
            <w:r w:rsidR="000C3D80" w:rsidRPr="0043354D">
              <w:rPr>
                <w:iCs/>
              </w:rPr>
              <w:t>.</w:t>
            </w:r>
          </w:p>
          <w:p w14:paraId="1F4A8C32" w14:textId="77777777" w:rsidR="002F4533" w:rsidRPr="0043354D" w:rsidRDefault="0040557C" w:rsidP="00B1657C">
            <w:pPr>
              <w:pStyle w:val="naiskr"/>
              <w:spacing w:before="0" w:after="80"/>
              <w:jc w:val="both"/>
              <w:rPr>
                <w:iCs/>
                <w:color w:val="FF0000"/>
              </w:rPr>
            </w:pPr>
            <w:r w:rsidRPr="0043354D">
              <w:rPr>
                <w:iCs/>
              </w:rPr>
              <w:t>Ar grozījumiem tiks novēr</w:t>
            </w:r>
            <w:r w:rsidR="00042F60" w:rsidRPr="0043354D">
              <w:rPr>
                <w:iCs/>
              </w:rPr>
              <w:t>sta pašreiz esošā</w:t>
            </w:r>
            <w:r w:rsidRPr="0043354D">
              <w:rPr>
                <w:iCs/>
              </w:rPr>
              <w:t xml:space="preserve"> nenoteiktība saistībā ar pienākumu paziņot apvienošanās darījumus, </w:t>
            </w:r>
            <w:r w:rsidR="00042F60" w:rsidRPr="0043354D">
              <w:rPr>
                <w:iCs/>
              </w:rPr>
              <w:t xml:space="preserve">ja apvienošanās dalībnieku kopējā tirgus daļa </w:t>
            </w:r>
            <w:r w:rsidR="00CF4E0F" w:rsidRPr="0043354D">
              <w:rPr>
                <w:iCs/>
              </w:rPr>
              <w:t>konkrētajā</w:t>
            </w:r>
            <w:r w:rsidR="00042F60" w:rsidRPr="0043354D">
              <w:rPr>
                <w:iCs/>
              </w:rPr>
              <w:t xml:space="preserve"> tirgū pārsniedz 40%</w:t>
            </w:r>
            <w:r w:rsidRPr="0043354D">
              <w:rPr>
                <w:iCs/>
              </w:rPr>
              <w:t xml:space="preserve">. </w:t>
            </w:r>
          </w:p>
          <w:p w14:paraId="09F12AB7" w14:textId="3AA634E7" w:rsidR="008745A4" w:rsidRPr="0043354D" w:rsidRDefault="00127B31" w:rsidP="00B1657C">
            <w:pPr>
              <w:pStyle w:val="naiskr"/>
              <w:spacing w:before="0" w:after="80"/>
              <w:jc w:val="both"/>
              <w:rPr>
                <w:iCs/>
              </w:rPr>
            </w:pPr>
            <w:r w:rsidRPr="0043354D">
              <w:rPr>
                <w:iCs/>
              </w:rPr>
              <w:t xml:space="preserve">Ievērojot Latvijas tautsaimniecības nozaru kopējos apgrozījumus, tirgus dalībnieku </w:t>
            </w:r>
            <w:r w:rsidR="00204889" w:rsidRPr="0043354D">
              <w:rPr>
                <w:iCs/>
              </w:rPr>
              <w:t xml:space="preserve">individuālos </w:t>
            </w:r>
            <w:r w:rsidRPr="0043354D">
              <w:rPr>
                <w:iCs/>
              </w:rPr>
              <w:t>apgroz</w:t>
            </w:r>
            <w:r w:rsidR="00204889" w:rsidRPr="0043354D">
              <w:rPr>
                <w:iCs/>
              </w:rPr>
              <w:t>ījumus, korelāciju starp apvienošanās sliekšņiem un apvienošanās kontrolei potenciāli pakļauto tautsaimniecības nozaru un tirgus dalībnieku</w:t>
            </w:r>
            <w:r w:rsidR="00B26BAA" w:rsidRPr="0043354D">
              <w:rPr>
                <w:iCs/>
              </w:rPr>
              <w:t xml:space="preserve"> skaitu (</w:t>
            </w:r>
            <w:r w:rsidR="00921EF5" w:rsidRPr="0043354D">
              <w:rPr>
                <w:iCs/>
              </w:rPr>
              <w:t xml:space="preserve">465 uzņēmumi no 80 052 ekonomiski aktīvajiem uzņēmumiem) </w:t>
            </w:r>
            <w:r w:rsidR="00B26BAA" w:rsidRPr="0043354D">
              <w:rPr>
                <w:iCs/>
              </w:rPr>
              <w:t xml:space="preserve">un </w:t>
            </w:r>
            <w:r w:rsidR="00204889" w:rsidRPr="0043354D">
              <w:rPr>
                <w:iCs/>
              </w:rPr>
              <w:t>propor</w:t>
            </w:r>
            <w:r w:rsidR="00B26BAA" w:rsidRPr="0043354D">
              <w:rPr>
                <w:iCs/>
              </w:rPr>
              <w:t>ciju</w:t>
            </w:r>
            <w:r w:rsidR="00921EF5" w:rsidRPr="0043354D">
              <w:rPr>
                <w:iCs/>
              </w:rPr>
              <w:t xml:space="preserve"> (~ 0,6% no ekonomiski aktīvajiem uzņēmumiem)</w:t>
            </w:r>
            <w:r w:rsidR="00CF4E0F" w:rsidRPr="0043354D">
              <w:rPr>
                <w:iCs/>
              </w:rPr>
              <w:t xml:space="preserve">, līdz šim </w:t>
            </w:r>
            <w:r w:rsidR="00921EF5" w:rsidRPr="0043354D">
              <w:rPr>
                <w:iCs/>
              </w:rPr>
              <w:t xml:space="preserve">Konkurences padomes </w:t>
            </w:r>
            <w:r w:rsidR="00CF4E0F" w:rsidRPr="0043354D">
              <w:rPr>
                <w:iCs/>
              </w:rPr>
              <w:t xml:space="preserve">izvērtētajās problemātiskajās (kas var radīt </w:t>
            </w:r>
            <w:r w:rsidR="00B26BAA" w:rsidRPr="0043354D">
              <w:rPr>
                <w:iCs/>
              </w:rPr>
              <w:t>negatīvu ietekmi konkurencei</w:t>
            </w:r>
            <w:r w:rsidR="00CF4E0F" w:rsidRPr="0043354D">
              <w:rPr>
                <w:iCs/>
              </w:rPr>
              <w:t xml:space="preserve">) apvienošanās iesaistīto apvienošanās dalībnieku </w:t>
            </w:r>
            <w:r w:rsidR="00F52670" w:rsidRPr="0043354D">
              <w:rPr>
                <w:iCs/>
              </w:rPr>
              <w:t xml:space="preserve">kopējos un individuālos </w:t>
            </w:r>
            <w:r w:rsidR="00CF4E0F" w:rsidRPr="0043354D">
              <w:rPr>
                <w:iCs/>
              </w:rPr>
              <w:t xml:space="preserve">apgrozījumus, Lietuvas, Igaunijas un citu ES dalībvalstu apvienošanās kontroles regulējumā noteiktos apvienošanās </w:t>
            </w:r>
            <w:r w:rsidR="00F52670" w:rsidRPr="0043354D">
              <w:rPr>
                <w:iCs/>
              </w:rPr>
              <w:t xml:space="preserve">paziņošanas </w:t>
            </w:r>
            <w:r w:rsidR="00CF4E0F" w:rsidRPr="0043354D">
              <w:rPr>
                <w:iCs/>
              </w:rPr>
              <w:t>sliekšņus</w:t>
            </w:r>
            <w:r w:rsidR="00F52670" w:rsidRPr="0043354D">
              <w:rPr>
                <w:iCs/>
              </w:rPr>
              <w:t xml:space="preserve"> un to, ka kā apvienošanās paziņošanas kritērijs tiek atcelts tirgus daļas slieksnis, likumprojekts paredz nelielu apvienošanās dalībnieku kopējā </w:t>
            </w:r>
            <w:r w:rsidR="008745A4" w:rsidRPr="0043354D">
              <w:rPr>
                <w:iCs/>
              </w:rPr>
              <w:t>(</w:t>
            </w:r>
            <w:r w:rsidR="009E6EE2">
              <w:rPr>
                <w:iCs/>
              </w:rPr>
              <w:t>35,5</w:t>
            </w:r>
            <w:r w:rsidR="009E6EE2" w:rsidRPr="0043354D">
              <w:rPr>
                <w:iCs/>
              </w:rPr>
              <w:t xml:space="preserve"> </w:t>
            </w:r>
            <w:proofErr w:type="spellStart"/>
            <w:r w:rsidR="008745A4" w:rsidRPr="0043354D">
              <w:rPr>
                <w:iCs/>
              </w:rPr>
              <w:t>mlj</w:t>
            </w:r>
            <w:proofErr w:type="spellEnd"/>
            <w:r w:rsidR="008745A4" w:rsidRPr="0043354D">
              <w:rPr>
                <w:iCs/>
              </w:rPr>
              <w:t xml:space="preserve">. </w:t>
            </w:r>
            <w:r w:rsidR="009E6EE2">
              <w:rPr>
                <w:iCs/>
              </w:rPr>
              <w:t>EUR</w:t>
            </w:r>
            <w:r w:rsidR="009E6EE2" w:rsidRPr="0043354D">
              <w:rPr>
                <w:iCs/>
              </w:rPr>
              <w:t xml:space="preserve"> </w:t>
            </w:r>
            <w:r w:rsidR="008745A4" w:rsidRPr="0043354D">
              <w:rPr>
                <w:iCs/>
              </w:rPr>
              <w:t xml:space="preserve">uz 30 </w:t>
            </w:r>
            <w:proofErr w:type="spellStart"/>
            <w:r w:rsidR="008745A4" w:rsidRPr="0043354D">
              <w:rPr>
                <w:iCs/>
              </w:rPr>
              <w:t>mlj</w:t>
            </w:r>
            <w:proofErr w:type="spellEnd"/>
            <w:r w:rsidR="008745A4" w:rsidRPr="0043354D">
              <w:rPr>
                <w:iCs/>
              </w:rPr>
              <w:t xml:space="preserve">. EUR) </w:t>
            </w:r>
            <w:r w:rsidR="00F52670" w:rsidRPr="0043354D">
              <w:rPr>
                <w:iCs/>
              </w:rPr>
              <w:t>un individuālā</w:t>
            </w:r>
            <w:r w:rsidR="008745A4" w:rsidRPr="0043354D">
              <w:rPr>
                <w:iCs/>
              </w:rPr>
              <w:t xml:space="preserve"> (</w:t>
            </w:r>
            <w:r w:rsidR="009E6EE2">
              <w:rPr>
                <w:iCs/>
              </w:rPr>
              <w:t>2</w:t>
            </w:r>
            <w:r w:rsidR="008745A4" w:rsidRPr="0043354D">
              <w:rPr>
                <w:iCs/>
              </w:rPr>
              <w:t>,</w:t>
            </w:r>
            <w:r w:rsidR="009E6EE2">
              <w:rPr>
                <w:iCs/>
              </w:rPr>
              <w:t>134</w:t>
            </w:r>
            <w:r w:rsidR="009E6EE2" w:rsidRPr="0043354D">
              <w:rPr>
                <w:iCs/>
              </w:rPr>
              <w:t xml:space="preserve"> </w:t>
            </w:r>
            <w:proofErr w:type="spellStart"/>
            <w:r w:rsidR="008745A4" w:rsidRPr="0043354D">
              <w:rPr>
                <w:iCs/>
              </w:rPr>
              <w:t>mlj</w:t>
            </w:r>
            <w:proofErr w:type="spellEnd"/>
            <w:r w:rsidR="008745A4" w:rsidRPr="0043354D">
              <w:rPr>
                <w:iCs/>
              </w:rPr>
              <w:t xml:space="preserve">. </w:t>
            </w:r>
            <w:r w:rsidR="009E6EE2">
              <w:rPr>
                <w:iCs/>
              </w:rPr>
              <w:t>EUR</w:t>
            </w:r>
            <w:r w:rsidR="009E6EE2" w:rsidRPr="0043354D">
              <w:rPr>
                <w:iCs/>
              </w:rPr>
              <w:t xml:space="preserve"> </w:t>
            </w:r>
            <w:r w:rsidR="008745A4" w:rsidRPr="0043354D">
              <w:rPr>
                <w:iCs/>
              </w:rPr>
              <w:t xml:space="preserve">uz 1,5 </w:t>
            </w:r>
            <w:proofErr w:type="spellStart"/>
            <w:r w:rsidR="008745A4" w:rsidRPr="0043354D">
              <w:rPr>
                <w:iCs/>
              </w:rPr>
              <w:t>mlj</w:t>
            </w:r>
            <w:proofErr w:type="spellEnd"/>
            <w:r w:rsidR="008745A4" w:rsidRPr="0043354D">
              <w:rPr>
                <w:iCs/>
              </w:rPr>
              <w:t xml:space="preserve"> EUR)</w:t>
            </w:r>
            <w:r w:rsidR="00F52670" w:rsidRPr="0043354D">
              <w:rPr>
                <w:iCs/>
              </w:rPr>
              <w:t xml:space="preserve"> apgrozījuma samazinājumu apvienošanās paziņošanas sliekšņiem, salīdzinot ar </w:t>
            </w:r>
            <w:r w:rsidR="008745A4" w:rsidRPr="0043354D">
              <w:rPr>
                <w:iCs/>
              </w:rPr>
              <w:t xml:space="preserve">Konkurences likumā </w:t>
            </w:r>
            <w:r w:rsidR="00F52670" w:rsidRPr="0043354D">
              <w:rPr>
                <w:iCs/>
              </w:rPr>
              <w:t xml:space="preserve">esošo regulējumu. </w:t>
            </w:r>
          </w:p>
          <w:p w14:paraId="04006C13" w14:textId="77777777" w:rsidR="005A77B6" w:rsidRPr="0043354D" w:rsidRDefault="00D60732" w:rsidP="00B1657C">
            <w:pPr>
              <w:pStyle w:val="naiskr"/>
              <w:spacing w:before="0" w:after="80"/>
              <w:jc w:val="both"/>
              <w:rPr>
                <w:iCs/>
              </w:rPr>
            </w:pPr>
            <w:r w:rsidRPr="0043354D">
              <w:rPr>
                <w:iCs/>
              </w:rPr>
              <w:t>Paredzētie grozījumi nodrošinās</w:t>
            </w:r>
            <w:r w:rsidR="000C3D80" w:rsidRPr="0043354D">
              <w:rPr>
                <w:iCs/>
              </w:rPr>
              <w:t xml:space="preserve"> Latvijas apvienošanās paziņošanas regulējuma </w:t>
            </w:r>
            <w:r w:rsidR="000C3D80" w:rsidRPr="0043354D">
              <w:rPr>
                <w:iCs/>
              </w:rPr>
              <w:lastRenderedPageBreak/>
              <w:t>atbilstību OECD rekomendācijām un starptautiski atzītai labai praksei, kas nosaka</w:t>
            </w:r>
            <w:r w:rsidRPr="0043354D">
              <w:rPr>
                <w:iCs/>
              </w:rPr>
              <w:t xml:space="preserve">, ka </w:t>
            </w:r>
            <w:r w:rsidR="000C3D80" w:rsidRPr="0043354D">
              <w:rPr>
                <w:iCs/>
              </w:rPr>
              <w:t>apvienošanās paziņošanas kritērijiem jābūt objektīviem, skaidriem, saprotamiem</w:t>
            </w:r>
            <w:r w:rsidR="00473696" w:rsidRPr="0043354D">
              <w:rPr>
                <w:iCs/>
              </w:rPr>
              <w:t xml:space="preserve"> un</w:t>
            </w:r>
            <w:r w:rsidR="000C3D80" w:rsidRPr="0043354D">
              <w:rPr>
                <w:iCs/>
              </w:rPr>
              <w:t xml:space="preserve"> jābalstās uz kvantitatīviem kritērijiem, kas ir viegli pieejami apvienošanās dalībniekiem.</w:t>
            </w:r>
          </w:p>
          <w:p w14:paraId="1F3ED438" w14:textId="77777777" w:rsidR="005A77B6" w:rsidRPr="0043354D" w:rsidRDefault="005A77B6" w:rsidP="00B1657C">
            <w:pPr>
              <w:pStyle w:val="ListParagraph"/>
              <w:numPr>
                <w:ilvl w:val="0"/>
                <w:numId w:val="22"/>
              </w:numPr>
              <w:spacing w:after="80"/>
              <w:rPr>
                <w:iCs/>
              </w:rPr>
            </w:pPr>
            <w:r w:rsidRPr="0043354D">
              <w:rPr>
                <w:iCs/>
              </w:rPr>
              <w:t>Tiesības pieprasīt apvienošanās ziņojuma iesniegšanu, ja apvienošanās neatbilst likumā noteiktajiem paziņošanas sliekšņiem</w:t>
            </w:r>
          </w:p>
          <w:p w14:paraId="48602E7A" w14:textId="77777777" w:rsidR="00F11FEE" w:rsidRPr="0043354D" w:rsidRDefault="00F61665" w:rsidP="00B1657C">
            <w:pPr>
              <w:spacing w:after="80"/>
              <w:jc w:val="both"/>
              <w:rPr>
                <w:iCs/>
              </w:rPr>
            </w:pPr>
            <w:r w:rsidRPr="0043354D">
              <w:rPr>
                <w:iCs/>
              </w:rPr>
              <w:t xml:space="preserve">Likumprojekts </w:t>
            </w:r>
            <w:r w:rsidR="0019151F" w:rsidRPr="0043354D">
              <w:rPr>
                <w:iCs/>
              </w:rPr>
              <w:t>paredz</w:t>
            </w:r>
            <w:r w:rsidR="00B57253" w:rsidRPr="0043354D">
              <w:rPr>
                <w:iCs/>
              </w:rPr>
              <w:t xml:space="preserve">, ka </w:t>
            </w:r>
            <w:r w:rsidR="00B10E30" w:rsidRPr="0043354D">
              <w:rPr>
                <w:iCs/>
              </w:rPr>
              <w:t>sabiedrības interesēs, lai novērstu negat</w:t>
            </w:r>
            <w:r w:rsidR="003D296E" w:rsidRPr="0043354D">
              <w:rPr>
                <w:iCs/>
              </w:rPr>
              <w:t>īvu ietekmi uz  konkurenc</w:t>
            </w:r>
            <w:r w:rsidR="00B10E30" w:rsidRPr="0043354D">
              <w:rPr>
                <w:iCs/>
              </w:rPr>
              <w:t>i (klientiem, patērētājiem, tirgus dalībniekiem)</w:t>
            </w:r>
            <w:r w:rsidR="00CE0E49" w:rsidRPr="0043354D">
              <w:rPr>
                <w:iCs/>
              </w:rPr>
              <w:t>,</w:t>
            </w:r>
            <w:r w:rsidR="00B10E30" w:rsidRPr="0043354D">
              <w:rPr>
                <w:iCs/>
              </w:rPr>
              <w:t xml:space="preserve"> </w:t>
            </w:r>
            <w:r w:rsidR="003D296E" w:rsidRPr="0043354D">
              <w:rPr>
                <w:iCs/>
              </w:rPr>
              <w:t>Konkurences padomei ir tiesības pie noteiktiem nosacījumiem pieprasīt apvienošanās dalībniekiem iesniegt ziņojumu par apvienošanos</w:t>
            </w:r>
            <w:r w:rsidR="00022603" w:rsidRPr="0043354D">
              <w:rPr>
                <w:iCs/>
              </w:rPr>
              <w:t xml:space="preserve"> arī</w:t>
            </w:r>
            <w:r w:rsidR="00CE0E49" w:rsidRPr="0043354D">
              <w:rPr>
                <w:iCs/>
              </w:rPr>
              <w:t>,</w:t>
            </w:r>
            <w:r w:rsidR="00022603" w:rsidRPr="0043354D">
              <w:rPr>
                <w:iCs/>
              </w:rPr>
              <w:t xml:space="preserve"> ja apvienošanās neatbilst Konkurences likumā noteiktajiem </w:t>
            </w:r>
            <w:r w:rsidR="003125A8" w:rsidRPr="0043354D">
              <w:rPr>
                <w:iCs/>
              </w:rPr>
              <w:t>sliekšņiem</w:t>
            </w:r>
            <w:r w:rsidR="00236ACA" w:rsidRPr="0043354D">
              <w:rPr>
                <w:iCs/>
              </w:rPr>
              <w:t>, kad apvienošanās dalībniekiem ir pienākums iesniegt apvienošanās ziņojumu</w:t>
            </w:r>
            <w:r w:rsidR="003D296E" w:rsidRPr="0043354D">
              <w:rPr>
                <w:iCs/>
              </w:rPr>
              <w:t xml:space="preserve">. Proti, </w:t>
            </w:r>
            <w:r w:rsidR="00B57253" w:rsidRPr="0043354D">
              <w:rPr>
                <w:iCs/>
              </w:rPr>
              <w:t>gadījumos</w:t>
            </w:r>
            <w:r w:rsidR="001A01B1" w:rsidRPr="0043354D">
              <w:rPr>
                <w:iCs/>
              </w:rPr>
              <w:t>,</w:t>
            </w:r>
            <w:r w:rsidR="00B57253" w:rsidRPr="0043354D">
              <w:rPr>
                <w:iCs/>
              </w:rPr>
              <w:t xml:space="preserve"> </w:t>
            </w:r>
            <w:r w:rsidR="001A01B1" w:rsidRPr="0043354D">
              <w:rPr>
                <w:iCs/>
              </w:rPr>
              <w:t>kad</w:t>
            </w:r>
            <w:r w:rsidR="00F11FEE" w:rsidRPr="0043354D">
              <w:rPr>
                <w:iCs/>
              </w:rPr>
              <w:t xml:space="preserve"> apvienošanās</w:t>
            </w:r>
            <w:r w:rsidR="001A01B1" w:rsidRPr="0043354D">
              <w:rPr>
                <w:iCs/>
              </w:rPr>
              <w:t xml:space="preserve"> </w:t>
            </w:r>
            <w:r w:rsidR="00A00DAE" w:rsidRPr="0043354D">
              <w:rPr>
                <w:iCs/>
              </w:rPr>
              <w:t xml:space="preserve">ir </w:t>
            </w:r>
            <w:r w:rsidR="001A01B1" w:rsidRPr="0043354D">
              <w:rPr>
                <w:iCs/>
              </w:rPr>
              <w:t xml:space="preserve">starp konkurentiem tirgū, kurā </w:t>
            </w:r>
            <w:r w:rsidR="007B48EB" w:rsidRPr="0043354D">
              <w:rPr>
                <w:iCs/>
              </w:rPr>
              <w:t xml:space="preserve">tie </w:t>
            </w:r>
            <w:r w:rsidR="00A00DAE" w:rsidRPr="0043354D">
              <w:rPr>
                <w:iCs/>
              </w:rPr>
              <w:t xml:space="preserve">darbojas </w:t>
            </w:r>
            <w:r w:rsidR="001A01B1" w:rsidRPr="0043354D">
              <w:rPr>
                <w:iCs/>
              </w:rPr>
              <w:t xml:space="preserve">un </w:t>
            </w:r>
            <w:r w:rsidR="00D50CC0" w:rsidRPr="0043354D">
              <w:rPr>
                <w:iCs/>
              </w:rPr>
              <w:t xml:space="preserve">apvienošanās rezultātā </w:t>
            </w:r>
            <w:r w:rsidR="007B48EB" w:rsidRPr="0043354D">
              <w:rPr>
                <w:iCs/>
              </w:rPr>
              <w:t xml:space="preserve">to </w:t>
            </w:r>
            <w:r w:rsidR="001A01B1" w:rsidRPr="0043354D">
              <w:rPr>
                <w:iCs/>
              </w:rPr>
              <w:t xml:space="preserve">kopējā tirgus daļa </w:t>
            </w:r>
            <w:r w:rsidR="00F11FEE" w:rsidRPr="0043354D">
              <w:rPr>
                <w:iCs/>
              </w:rPr>
              <w:t xml:space="preserve">šajā tirgū </w:t>
            </w:r>
            <w:r w:rsidR="001A01B1" w:rsidRPr="0043354D">
              <w:rPr>
                <w:iCs/>
              </w:rPr>
              <w:t>pārsniedz 40%</w:t>
            </w:r>
            <w:r w:rsidR="00A00DAE" w:rsidRPr="0043354D">
              <w:rPr>
                <w:iCs/>
              </w:rPr>
              <w:t>,</w:t>
            </w:r>
            <w:r w:rsidR="003D296E" w:rsidRPr="0043354D">
              <w:rPr>
                <w:iCs/>
              </w:rPr>
              <w:t xml:space="preserve"> kā arī </w:t>
            </w:r>
            <w:r w:rsidR="00A00DAE" w:rsidRPr="0043354D">
              <w:rPr>
                <w:iCs/>
              </w:rPr>
              <w:t xml:space="preserve">tirgus </w:t>
            </w:r>
            <w:r w:rsidR="00A00DAE" w:rsidRPr="0043354D">
              <w:t xml:space="preserve">koncentrācijas rezultātā var </w:t>
            </w:r>
            <w:r w:rsidR="00A00DAE" w:rsidRPr="0043354D">
              <w:rPr>
                <w:iCs/>
              </w:rPr>
              <w:t xml:space="preserve">tikt būtiski samazināta konkurence vai var rasties vai nostiprināties dominējošais stāvoklis, </w:t>
            </w:r>
            <w:r w:rsidR="00F11FEE" w:rsidRPr="0043354D">
              <w:rPr>
                <w:iCs/>
              </w:rPr>
              <w:t>Konkurences padomei ir tiesības pieprasīt apvienošanās dalībniekiem iesniegt ziņojumu par plānoto vai jau notikušo apvienošanos</w:t>
            </w:r>
            <w:r w:rsidR="003A02FD" w:rsidRPr="0043354D">
              <w:rPr>
                <w:iCs/>
              </w:rPr>
              <w:t>, ja nav pagājuši 12 mēneši no apvienošanās īstenošanas dienas.</w:t>
            </w:r>
          </w:p>
          <w:p w14:paraId="2CE3D8C3" w14:textId="77777777" w:rsidR="00CE0E49" w:rsidRPr="0043354D" w:rsidRDefault="00A24B57" w:rsidP="00B1657C">
            <w:pPr>
              <w:spacing w:after="80"/>
              <w:jc w:val="both"/>
              <w:rPr>
                <w:iCs/>
              </w:rPr>
            </w:pPr>
            <w:r w:rsidRPr="0043354D">
              <w:rPr>
                <w:iCs/>
              </w:rPr>
              <w:t>Līdz šim spēkā esošais Konkurences likuma regulējums 40% tirgus daļ</w:t>
            </w:r>
            <w:r w:rsidR="00CE0E49" w:rsidRPr="0043354D">
              <w:rPr>
                <w:iCs/>
              </w:rPr>
              <w:t>as slieksni pa</w:t>
            </w:r>
            <w:r w:rsidRPr="0043354D">
              <w:rPr>
                <w:iCs/>
              </w:rPr>
              <w:t>redzēja kā slieksni, kuru pārsniedzot</w:t>
            </w:r>
            <w:r w:rsidR="003125A8" w:rsidRPr="0043354D">
              <w:rPr>
                <w:iCs/>
              </w:rPr>
              <w:t>,</w:t>
            </w:r>
            <w:r w:rsidRPr="0043354D">
              <w:rPr>
                <w:iCs/>
              </w:rPr>
              <w:t xml:space="preserve"> apvienošanās dalībniekiem iestājas </w:t>
            </w:r>
            <w:r w:rsidR="006A010D" w:rsidRPr="0043354D">
              <w:rPr>
                <w:iCs/>
              </w:rPr>
              <w:t xml:space="preserve"> pienākums paziņot Konkurences padomei par plānoto </w:t>
            </w:r>
            <w:r w:rsidRPr="0043354D">
              <w:rPr>
                <w:iCs/>
              </w:rPr>
              <w:t>apvienošan</w:t>
            </w:r>
            <w:r w:rsidR="006A010D" w:rsidRPr="0043354D">
              <w:rPr>
                <w:iCs/>
              </w:rPr>
              <w:t>o</w:t>
            </w:r>
            <w:r w:rsidRPr="0043354D">
              <w:rPr>
                <w:iCs/>
              </w:rPr>
              <w:t>s</w:t>
            </w:r>
            <w:r w:rsidR="003125A8" w:rsidRPr="0043354D">
              <w:rPr>
                <w:iCs/>
              </w:rPr>
              <w:t>. Šī pienākuma neizpildes</w:t>
            </w:r>
            <w:r w:rsidRPr="0043354D">
              <w:rPr>
                <w:iCs/>
              </w:rPr>
              <w:t xml:space="preserve"> </w:t>
            </w:r>
            <w:r w:rsidR="00CE0E49" w:rsidRPr="0043354D">
              <w:rPr>
                <w:iCs/>
              </w:rPr>
              <w:t xml:space="preserve">gadījumā </w:t>
            </w:r>
            <w:r w:rsidRPr="0043354D">
              <w:rPr>
                <w:iCs/>
              </w:rPr>
              <w:t xml:space="preserve">Konkurences likumā </w:t>
            </w:r>
            <w:r w:rsidR="003125A8" w:rsidRPr="0043354D">
              <w:rPr>
                <w:iCs/>
              </w:rPr>
              <w:t xml:space="preserve">noteikta </w:t>
            </w:r>
            <w:r w:rsidRPr="0043354D">
              <w:rPr>
                <w:iCs/>
              </w:rPr>
              <w:t xml:space="preserve">atbildība. </w:t>
            </w:r>
            <w:r w:rsidR="003125A8" w:rsidRPr="0043354D">
              <w:rPr>
                <w:iCs/>
              </w:rPr>
              <w:t xml:space="preserve">Ar </w:t>
            </w:r>
            <w:r w:rsidR="00771C34" w:rsidRPr="0043354D">
              <w:rPr>
                <w:iCs/>
              </w:rPr>
              <w:t xml:space="preserve">apvienošanās dalībnieku </w:t>
            </w:r>
            <w:r w:rsidR="003125A8" w:rsidRPr="0043354D">
              <w:rPr>
                <w:iCs/>
              </w:rPr>
              <w:t xml:space="preserve">40% tirgus daļas slieksni likumdevējs </w:t>
            </w:r>
            <w:proofErr w:type="spellStart"/>
            <w:r w:rsidR="003125A8" w:rsidRPr="0043354D">
              <w:rPr>
                <w:iCs/>
              </w:rPr>
              <w:t>prezumēja</w:t>
            </w:r>
            <w:proofErr w:type="spellEnd"/>
            <w:r w:rsidR="003125A8" w:rsidRPr="0043354D">
              <w:rPr>
                <w:iCs/>
              </w:rPr>
              <w:t xml:space="preserve">, ka </w:t>
            </w:r>
            <w:r w:rsidR="00F17FCC" w:rsidRPr="0043354D">
              <w:rPr>
                <w:iCs/>
              </w:rPr>
              <w:t xml:space="preserve">šādas </w:t>
            </w:r>
            <w:r w:rsidR="003125A8" w:rsidRPr="0043354D">
              <w:rPr>
                <w:iCs/>
              </w:rPr>
              <w:t xml:space="preserve">apvienošanās potenciāli var radīt </w:t>
            </w:r>
            <w:r w:rsidR="00771C34" w:rsidRPr="0043354D">
              <w:rPr>
                <w:iCs/>
              </w:rPr>
              <w:t xml:space="preserve">pārmērīgu tirgus koncentrāciju un </w:t>
            </w:r>
            <w:r w:rsidR="003125A8" w:rsidRPr="0043354D">
              <w:rPr>
                <w:iCs/>
              </w:rPr>
              <w:t>negat</w:t>
            </w:r>
            <w:r w:rsidR="006A010D" w:rsidRPr="0043354D">
              <w:rPr>
                <w:iCs/>
              </w:rPr>
              <w:t>īvas sekas konkurencei</w:t>
            </w:r>
            <w:r w:rsidR="00771C34" w:rsidRPr="0043354D">
              <w:rPr>
                <w:iCs/>
              </w:rPr>
              <w:t>,</w:t>
            </w:r>
            <w:r w:rsidR="006A010D" w:rsidRPr="0043354D">
              <w:rPr>
                <w:iCs/>
              </w:rPr>
              <w:t xml:space="preserve"> un šī iemesla dēļ </w:t>
            </w:r>
            <w:r w:rsidR="00F17FCC" w:rsidRPr="0043354D">
              <w:rPr>
                <w:iCs/>
              </w:rPr>
              <w:t>minētās</w:t>
            </w:r>
            <w:r w:rsidR="006A010D" w:rsidRPr="0043354D">
              <w:rPr>
                <w:iCs/>
              </w:rPr>
              <w:t xml:space="preserve"> apvienošanās ir pakļaujamas valstiskai kontrolei</w:t>
            </w:r>
            <w:r w:rsidR="00771C34" w:rsidRPr="0043354D">
              <w:rPr>
                <w:iCs/>
              </w:rPr>
              <w:t>, uzliekot par pienākumu apvienošanās dalībniekiem par šādām apvienošanām paziņot.</w:t>
            </w:r>
            <w:r w:rsidRPr="0043354D">
              <w:rPr>
                <w:iCs/>
              </w:rPr>
              <w:t xml:space="preserve"> </w:t>
            </w:r>
          </w:p>
          <w:p w14:paraId="3BFF6D88" w14:textId="77777777" w:rsidR="00F47165" w:rsidRDefault="00F17FCC" w:rsidP="00F47165">
            <w:pPr>
              <w:pStyle w:val="naisc"/>
              <w:spacing w:before="0" w:after="0"/>
              <w:jc w:val="both"/>
            </w:pPr>
            <w:r w:rsidRPr="0043354D">
              <w:rPr>
                <w:iCs/>
              </w:rPr>
              <w:t xml:space="preserve">Atsakoties no pienākuma un ar to saistītās atbildības uzlikšanas </w:t>
            </w:r>
            <w:r w:rsidR="00D20606" w:rsidRPr="0043354D">
              <w:rPr>
                <w:iCs/>
              </w:rPr>
              <w:t xml:space="preserve">pašiem </w:t>
            </w:r>
            <w:r w:rsidRPr="0043354D">
              <w:rPr>
                <w:iCs/>
              </w:rPr>
              <w:t xml:space="preserve">apvienošanās dalībniekiem paziņot par plānoto apvienošanos, </w:t>
            </w:r>
            <w:r w:rsidR="00D20606" w:rsidRPr="0043354D">
              <w:rPr>
                <w:iCs/>
              </w:rPr>
              <w:t xml:space="preserve">ja to </w:t>
            </w:r>
            <w:r w:rsidRPr="0043354D">
              <w:rPr>
                <w:iCs/>
              </w:rPr>
              <w:t>kopējā tirgus daļa pārsniedz 40 %, l</w:t>
            </w:r>
            <w:r w:rsidR="00A24B57" w:rsidRPr="0043354D">
              <w:rPr>
                <w:iCs/>
              </w:rPr>
              <w:t xml:space="preserve">ikumprojekts </w:t>
            </w:r>
            <w:r w:rsidRPr="0043354D">
              <w:rPr>
                <w:iCs/>
              </w:rPr>
              <w:t>paredz</w:t>
            </w:r>
            <w:r w:rsidR="00D20606" w:rsidRPr="0043354D">
              <w:rPr>
                <w:iCs/>
              </w:rPr>
              <w:t xml:space="preserve"> ierobežotus gadījumus, kad </w:t>
            </w:r>
            <w:r w:rsidRPr="0043354D">
              <w:rPr>
                <w:iCs/>
              </w:rPr>
              <w:t xml:space="preserve">Konkurences padomei būs tiesības pēc savas iniciatīvas </w:t>
            </w:r>
            <w:r w:rsidR="005F297F" w:rsidRPr="0043354D">
              <w:rPr>
                <w:iCs/>
              </w:rPr>
              <w:t>nodrošināt</w:t>
            </w:r>
            <w:r w:rsidRPr="0043354D">
              <w:rPr>
                <w:iCs/>
              </w:rPr>
              <w:t xml:space="preserve"> apvienošanās valstisko kontroli</w:t>
            </w:r>
            <w:r w:rsidR="005F297F" w:rsidRPr="0043354D">
              <w:rPr>
                <w:iCs/>
              </w:rPr>
              <w:t>, ja netiek pārsniegts apvienošanās dalībn</w:t>
            </w:r>
            <w:r w:rsidR="00473696" w:rsidRPr="0043354D">
              <w:rPr>
                <w:iCs/>
              </w:rPr>
              <w:t>ieku apgrozījuma slieksnis, kuru</w:t>
            </w:r>
            <w:r w:rsidR="005F297F" w:rsidRPr="0043354D">
              <w:rPr>
                <w:iCs/>
              </w:rPr>
              <w:t xml:space="preserve"> sasniedzot apvienošanās ir obligāti paziņojama</w:t>
            </w:r>
            <w:r w:rsidR="00D20606" w:rsidRPr="0043354D">
              <w:rPr>
                <w:iCs/>
              </w:rPr>
              <w:t xml:space="preserve">. </w:t>
            </w:r>
            <w:proofErr w:type="spellStart"/>
            <w:r w:rsidR="00D20606" w:rsidRPr="0043354D">
              <w:rPr>
                <w:iCs/>
              </w:rPr>
              <w:t>T.i</w:t>
            </w:r>
            <w:proofErr w:type="spellEnd"/>
            <w:r w:rsidR="00D20606" w:rsidRPr="0043354D">
              <w:rPr>
                <w:iCs/>
              </w:rPr>
              <w:t>. tikai gadījumos, kad</w:t>
            </w:r>
            <w:r w:rsidR="00D66CA5" w:rsidRPr="0043354D">
              <w:rPr>
                <w:iCs/>
              </w:rPr>
              <w:t>, pirmkārt,</w:t>
            </w:r>
            <w:r w:rsidR="00D20606" w:rsidRPr="0043354D">
              <w:rPr>
                <w:iCs/>
              </w:rPr>
              <w:t xml:space="preserve"> apvienojās konkurenti</w:t>
            </w:r>
            <w:r w:rsidR="00D66CA5" w:rsidRPr="0043354D">
              <w:rPr>
                <w:iCs/>
              </w:rPr>
              <w:t xml:space="preserve">, otrkārt, </w:t>
            </w:r>
            <w:r w:rsidR="00D20606" w:rsidRPr="0043354D">
              <w:rPr>
                <w:iCs/>
              </w:rPr>
              <w:t xml:space="preserve">to tirgus daļa ietekmētajā tirgū </w:t>
            </w:r>
            <w:r w:rsidRPr="0043354D">
              <w:rPr>
                <w:iCs/>
              </w:rPr>
              <w:t xml:space="preserve">apvienošanās </w:t>
            </w:r>
            <w:r w:rsidR="00D20606" w:rsidRPr="0043354D">
              <w:rPr>
                <w:iCs/>
              </w:rPr>
              <w:t xml:space="preserve">īstenošanas </w:t>
            </w:r>
            <w:r w:rsidRPr="0043354D">
              <w:rPr>
                <w:iCs/>
              </w:rPr>
              <w:t xml:space="preserve">rezultātā </w:t>
            </w:r>
            <w:r w:rsidR="00D20606" w:rsidRPr="0043354D">
              <w:rPr>
                <w:iCs/>
              </w:rPr>
              <w:t>pārsniedz</w:t>
            </w:r>
            <w:r w:rsidRPr="0043354D">
              <w:rPr>
                <w:iCs/>
              </w:rPr>
              <w:t xml:space="preserve"> </w:t>
            </w:r>
            <w:r w:rsidR="00A24B57" w:rsidRPr="0043354D">
              <w:rPr>
                <w:iCs/>
              </w:rPr>
              <w:t xml:space="preserve">40% </w:t>
            </w:r>
            <w:r w:rsidR="00771C34" w:rsidRPr="0043354D">
              <w:rPr>
                <w:iCs/>
              </w:rPr>
              <w:t>tirgus daļas slieksni</w:t>
            </w:r>
            <w:r w:rsidR="00D20606" w:rsidRPr="0043354D">
              <w:rPr>
                <w:iCs/>
              </w:rPr>
              <w:t xml:space="preserve"> un</w:t>
            </w:r>
            <w:r w:rsidR="00D66CA5" w:rsidRPr="0043354D">
              <w:rPr>
                <w:iCs/>
              </w:rPr>
              <w:t xml:space="preserve">, treškārt, </w:t>
            </w:r>
            <w:r w:rsidR="00D20606" w:rsidRPr="0043354D">
              <w:rPr>
                <w:iCs/>
              </w:rPr>
              <w:t>pastāv pamatotas aizdomas, ka apvienošanās rezultātā var rasties vai nostiprināties dominējošais stāvoklis vai var tikt būtiski samazināta konkurence</w:t>
            </w:r>
            <w:r w:rsidR="00D66CA5" w:rsidRPr="0043354D">
              <w:rPr>
                <w:iCs/>
              </w:rPr>
              <w:t xml:space="preserve">, </w:t>
            </w:r>
            <w:r w:rsidR="00D20606" w:rsidRPr="0043354D">
              <w:rPr>
                <w:iCs/>
              </w:rPr>
              <w:t xml:space="preserve">Konkurences padomei ir tiesības </w:t>
            </w:r>
            <w:r w:rsidR="00D66CA5" w:rsidRPr="0043354D">
              <w:rPr>
                <w:iCs/>
              </w:rPr>
              <w:t>veikt apvienošanās kontroli.</w:t>
            </w:r>
            <w:r w:rsidR="00771C34" w:rsidRPr="0043354D">
              <w:rPr>
                <w:iCs/>
              </w:rPr>
              <w:t xml:space="preserve"> </w:t>
            </w:r>
            <w:r w:rsidR="00D66CA5" w:rsidRPr="0043354D">
              <w:rPr>
                <w:iCs/>
              </w:rPr>
              <w:t xml:space="preserve">Turklāt šādu tiesību izmantošana tiek ierobežota laikā, </w:t>
            </w:r>
            <w:proofErr w:type="spellStart"/>
            <w:r w:rsidR="00D66CA5" w:rsidRPr="0043354D">
              <w:rPr>
                <w:iCs/>
              </w:rPr>
              <w:t>t.i</w:t>
            </w:r>
            <w:proofErr w:type="spellEnd"/>
            <w:r w:rsidR="00D66CA5" w:rsidRPr="0043354D">
              <w:rPr>
                <w:iCs/>
              </w:rPr>
              <w:t>.</w:t>
            </w:r>
            <w:r w:rsidR="00453835">
              <w:rPr>
                <w:iCs/>
              </w:rPr>
              <w:t>,</w:t>
            </w:r>
            <w:r w:rsidR="00D66CA5" w:rsidRPr="0043354D">
              <w:rPr>
                <w:iCs/>
              </w:rPr>
              <w:t xml:space="preserve"> 12 mēneši no apvienošanās īstenošanas dienas.</w:t>
            </w:r>
            <w:r w:rsidR="00771C34" w:rsidRPr="0043354D">
              <w:rPr>
                <w:iCs/>
              </w:rPr>
              <w:t xml:space="preserve"> </w:t>
            </w:r>
            <w:r w:rsidR="00F47165">
              <w:t xml:space="preserve"> Kontroli paredzēts īstenot, atbilstoši Konkurences likuma 16.pantā  noteiktajai  kārtībai. Attiecīgi negatīvu seku konstatācijas gadījumā, Konkurences padome varēs piemērot efektīvus saistošus noteikumus (gan uzvedības, gan strukturālos), kas novērš kaitējumu konkurencei un klientiem, patērētājiem.</w:t>
            </w:r>
          </w:p>
          <w:p w14:paraId="5119D931" w14:textId="61DA6982" w:rsidR="00C62DD6" w:rsidRPr="0043354D" w:rsidRDefault="00947DAF" w:rsidP="00B1657C">
            <w:pPr>
              <w:spacing w:after="80"/>
              <w:jc w:val="both"/>
              <w:rPr>
                <w:iCs/>
              </w:rPr>
            </w:pPr>
            <w:r w:rsidRPr="0043354D">
              <w:rPr>
                <w:iCs/>
              </w:rPr>
              <w:t>Ar grozījumiem tik novērstas situācijas, kad</w:t>
            </w:r>
            <w:r w:rsidR="005F297F" w:rsidRPr="0043354D">
              <w:rPr>
                <w:iCs/>
              </w:rPr>
              <w:t>,</w:t>
            </w:r>
            <w:r w:rsidRPr="0043354D">
              <w:rPr>
                <w:iCs/>
              </w:rPr>
              <w:t xml:space="preserve"> </w:t>
            </w:r>
            <w:r w:rsidR="005F297F" w:rsidRPr="0043354D">
              <w:rPr>
                <w:iCs/>
              </w:rPr>
              <w:t>nepastāvot valstisk</w:t>
            </w:r>
            <w:r w:rsidR="00E906FE">
              <w:rPr>
                <w:iCs/>
              </w:rPr>
              <w:t>a</w:t>
            </w:r>
            <w:r w:rsidR="005F297F" w:rsidRPr="0043354D">
              <w:rPr>
                <w:iCs/>
              </w:rPr>
              <w:t xml:space="preserve">i kontrolei, </w:t>
            </w:r>
            <w:r w:rsidRPr="0043354D">
              <w:rPr>
                <w:iCs/>
              </w:rPr>
              <w:t>tirgus dalībnieku apvienošanās nozarēs, kurās ir zemi nozares kopējie apgrozījumi vai apvienošanās lokālos tirgos var radīt būtisku konkurences samazināšanos vai pat dominējošā stāvokļa rašanos par sliktu tirgus dalībniekiem, klientiem un patērētājiem.</w:t>
            </w:r>
          </w:p>
          <w:p w14:paraId="67ADFE05" w14:textId="69766332" w:rsidR="00D20CB2" w:rsidRPr="0043354D" w:rsidRDefault="005F297F" w:rsidP="00DE0244">
            <w:pPr>
              <w:spacing w:after="80"/>
              <w:jc w:val="both"/>
              <w:rPr>
                <w:iCs/>
              </w:rPr>
            </w:pPr>
            <w:r w:rsidRPr="0043354D">
              <w:rPr>
                <w:iCs/>
              </w:rPr>
              <w:t>Tāpat likumprojekts piešķir tiesības apvienošanās dalībniekiem</w:t>
            </w:r>
            <w:r w:rsidRPr="00C62DD6">
              <w:rPr>
                <w:iCs/>
              </w:rPr>
              <w:t xml:space="preserve"> </w:t>
            </w:r>
            <w:r w:rsidR="00C62DD6" w:rsidRPr="00C62DD6">
              <w:t xml:space="preserve">lūgt rakstisku apstiprinājumu tam, ka Konkurences padome neizmantos noteiktās tiesības pieprasīt apvienošanās dalībniekiem iesniegt ziņojumu par apvienošanos, kā arī </w:t>
            </w:r>
            <w:r w:rsidRPr="00C62DD6">
              <w:rPr>
                <w:iCs/>
              </w:rPr>
              <w:t>iesniegt Konkurences padomei apvienošanās ziņojumu</w:t>
            </w:r>
            <w:r w:rsidR="00E906FE">
              <w:rPr>
                <w:iCs/>
              </w:rPr>
              <w:t xml:space="preserve"> pēc savas iniciatīvas</w:t>
            </w:r>
            <w:r w:rsidRPr="0043354D">
              <w:rPr>
                <w:iCs/>
              </w:rPr>
              <w:t>, ja neizpildās likumā noteiktais paziņošanas pienākums</w:t>
            </w:r>
            <w:r w:rsidR="00860CF7" w:rsidRPr="0043354D">
              <w:rPr>
                <w:iCs/>
              </w:rPr>
              <w:t xml:space="preserve"> un</w:t>
            </w:r>
            <w:r w:rsidRPr="0043354D">
              <w:rPr>
                <w:iCs/>
              </w:rPr>
              <w:t xml:space="preserve"> apvienošanās dal</w:t>
            </w:r>
            <w:r w:rsidR="00860CF7" w:rsidRPr="0043354D">
              <w:rPr>
                <w:iCs/>
              </w:rPr>
              <w:t>ībnieki vēlas iegūt tiesisko noteiktību, ka to plānotā vai jau īstenotā apvienošanās nerada negatīvas sekas konkurencei.</w:t>
            </w:r>
            <w:r w:rsidR="00A6468F" w:rsidRPr="0043354D">
              <w:rPr>
                <w:iCs/>
              </w:rPr>
              <w:t xml:space="preserve"> Tādējādi, ja ir prognozējams, ka apvienošanās dalībnieku tirgus daļa pēc</w:t>
            </w:r>
            <w:r w:rsidR="00A6468F" w:rsidRPr="0043354D">
              <w:t xml:space="preserve"> </w:t>
            </w:r>
            <w:r w:rsidR="00A6468F" w:rsidRPr="0043354D">
              <w:rPr>
                <w:iCs/>
              </w:rPr>
              <w:t>apvienošanās īstenošanas var pārsniegt 40% ietekmētajā tirgū un pastāv risks,</w:t>
            </w:r>
            <w:r w:rsidR="00A6468F" w:rsidRPr="0043354D">
              <w:t xml:space="preserve"> </w:t>
            </w:r>
            <w:r w:rsidR="00A6468F" w:rsidRPr="0043354D">
              <w:rPr>
                <w:iCs/>
              </w:rPr>
              <w:t xml:space="preserve">ka </w:t>
            </w:r>
            <w:r w:rsidR="00A6468F" w:rsidRPr="0043354D">
              <w:rPr>
                <w:iCs/>
              </w:rPr>
              <w:lastRenderedPageBreak/>
              <w:t>apvienošanās rezultātā var rasties vai nostiprināties dominējošais stāvoklis vai var tikt būtiski samazināta konkurence, apvienošanās dalībnieki var laicīgi saņemt Konkurences padomes vērtējumu, novēršot tiesisko nenoteiktību.</w:t>
            </w:r>
            <w:r w:rsidRPr="0043354D">
              <w:rPr>
                <w:iCs/>
              </w:rPr>
              <w:t xml:space="preserve"> </w:t>
            </w:r>
          </w:p>
          <w:p w14:paraId="18F70220" w14:textId="77777777" w:rsidR="005A77B6" w:rsidRPr="0043354D" w:rsidRDefault="005A77B6" w:rsidP="00B1657C">
            <w:pPr>
              <w:pStyle w:val="ListParagraph"/>
              <w:numPr>
                <w:ilvl w:val="0"/>
                <w:numId w:val="22"/>
              </w:numPr>
              <w:spacing w:after="80"/>
              <w:rPr>
                <w:iCs/>
              </w:rPr>
            </w:pPr>
            <w:r w:rsidRPr="0043354D">
              <w:rPr>
                <w:iCs/>
              </w:rPr>
              <w:t>Gadījumu skaita, kad iesniedzams saīsinātais apvienošanās ziņojums, paplašināšana</w:t>
            </w:r>
          </w:p>
          <w:p w14:paraId="57194636" w14:textId="77777777" w:rsidR="00800F9D" w:rsidRPr="0043354D" w:rsidRDefault="00800F9D" w:rsidP="00B1657C">
            <w:pPr>
              <w:spacing w:after="80"/>
              <w:jc w:val="both"/>
              <w:rPr>
                <w:iCs/>
              </w:rPr>
            </w:pPr>
            <w:r w:rsidRPr="0043354D">
              <w:rPr>
                <w:iCs/>
              </w:rPr>
              <w:t>Likumprojekts</w:t>
            </w:r>
            <w:r w:rsidR="00290F4F" w:rsidRPr="0043354D">
              <w:rPr>
                <w:iCs/>
              </w:rPr>
              <w:t>, ievērojot Konkurences padomes pieredzi apvienošanās lietu izskatīšanā, citu ES dalībvalstu un Eiropas Komisijas labo praksi,</w:t>
            </w:r>
            <w:r w:rsidRPr="0043354D">
              <w:rPr>
                <w:iCs/>
              </w:rPr>
              <w:t xml:space="preserve"> </w:t>
            </w:r>
            <w:r w:rsidR="00290F4F" w:rsidRPr="0043354D">
              <w:rPr>
                <w:iCs/>
              </w:rPr>
              <w:t xml:space="preserve">paplašina iespējas </w:t>
            </w:r>
            <w:r w:rsidR="00EB19E6" w:rsidRPr="0043354D">
              <w:rPr>
                <w:iCs/>
              </w:rPr>
              <w:t>apvienošanās dalībniekiem pilna ziņojuma vietā iesniegt saīsināto ziņojumu</w:t>
            </w:r>
            <w:r w:rsidR="00290F4F" w:rsidRPr="0043354D">
              <w:rPr>
                <w:iCs/>
              </w:rPr>
              <w:t xml:space="preserve">. </w:t>
            </w:r>
          </w:p>
          <w:p w14:paraId="7FA7757B" w14:textId="77777777" w:rsidR="00290F4F" w:rsidRPr="0043354D" w:rsidRDefault="00290F4F" w:rsidP="00B1657C">
            <w:pPr>
              <w:spacing w:after="80"/>
              <w:jc w:val="both"/>
              <w:rPr>
                <w:iCs/>
              </w:rPr>
            </w:pPr>
            <w:r w:rsidRPr="0043354D">
              <w:rPr>
                <w:iCs/>
              </w:rPr>
              <w:t>Ar grozījumiem apvienošanās dalībniekiem tiks samazināti ar apvienošanās ziņojumu sagatavošanu un iesniegšanu saistītie šķēršļi un izmaksas, vienlaikus nekaitējot efektīvai tirgus dalībnieku apvienošanās kontrol</w:t>
            </w:r>
            <w:r w:rsidR="009B4DCC" w:rsidRPr="0043354D">
              <w:rPr>
                <w:iCs/>
              </w:rPr>
              <w:t>e</w:t>
            </w:r>
            <w:r w:rsidRPr="0043354D">
              <w:rPr>
                <w:iCs/>
              </w:rPr>
              <w:t>i sabiedrības interesēs.</w:t>
            </w:r>
          </w:p>
          <w:p w14:paraId="5652F727" w14:textId="77777777" w:rsidR="005A77B6" w:rsidRPr="0043354D" w:rsidRDefault="005A77B6" w:rsidP="00B1657C">
            <w:pPr>
              <w:pStyle w:val="ListParagraph"/>
              <w:numPr>
                <w:ilvl w:val="0"/>
                <w:numId w:val="22"/>
              </w:numPr>
              <w:spacing w:after="80"/>
              <w:rPr>
                <w:iCs/>
              </w:rPr>
            </w:pPr>
            <w:r w:rsidRPr="0043354D">
              <w:rPr>
                <w:iCs/>
              </w:rPr>
              <w:t xml:space="preserve">Tiesības atbrīvot no atsevišķas informācijas sniegšanas pienākuma </w:t>
            </w:r>
          </w:p>
          <w:p w14:paraId="47E07C98" w14:textId="77777777" w:rsidR="0048392A" w:rsidRPr="0043354D" w:rsidRDefault="009B4DCC" w:rsidP="00B1657C">
            <w:pPr>
              <w:spacing w:after="80"/>
              <w:jc w:val="both"/>
              <w:rPr>
                <w:iCs/>
              </w:rPr>
            </w:pPr>
            <w:r w:rsidRPr="0043354D">
              <w:rPr>
                <w:iCs/>
              </w:rPr>
              <w:t>Likumprojekts, ievērojot Konkurences padomes pieredzi apvienošanās lietu izskatīšanā, citu ES dalībvalstu un Eiropas Komisijas labo praksi</w:t>
            </w:r>
            <w:r w:rsidR="0048392A" w:rsidRPr="0043354D">
              <w:rPr>
                <w:iCs/>
              </w:rPr>
              <w:t>,</w:t>
            </w:r>
            <w:r w:rsidRPr="0043354D">
              <w:rPr>
                <w:iCs/>
              </w:rPr>
              <w:t xml:space="preserve"> </w:t>
            </w:r>
            <w:r w:rsidR="0048392A" w:rsidRPr="0043354D">
              <w:rPr>
                <w:iCs/>
              </w:rPr>
              <w:t>paredz Konkurences padomes tiesības atbrīvot apvienošanās ziņojuma iesniedzējus no atsevišķas informācijas iesniegšanas, ja šāda informācija vai dokumenti nav nepieciešami konkrētā ziņojuma izskatīšanai.</w:t>
            </w:r>
          </w:p>
          <w:p w14:paraId="0A189C81" w14:textId="77777777" w:rsidR="0048392A" w:rsidRPr="0043354D" w:rsidRDefault="0048392A" w:rsidP="00B1657C">
            <w:pPr>
              <w:spacing w:after="80"/>
              <w:jc w:val="both"/>
              <w:rPr>
                <w:iCs/>
              </w:rPr>
            </w:pPr>
            <w:r w:rsidRPr="0043354D">
              <w:rPr>
                <w:iCs/>
              </w:rPr>
              <w:t>Ar grozījumiem apvienošanās dalībniekiem tiks samazināti ar apvienošanās ziņojumu sagatavošanu un iesniegšanu saistītie šķēršļi un izmaksas, vienlaikus nekaitējot efektīvai tirgus dalībnieku apvienošanās kontrolei sabiedrības interesēs.</w:t>
            </w:r>
          </w:p>
          <w:p w14:paraId="6D38A6B3" w14:textId="77777777" w:rsidR="005A77B6" w:rsidRPr="0043354D" w:rsidRDefault="005A77B6" w:rsidP="00B1657C">
            <w:pPr>
              <w:pStyle w:val="ListParagraph"/>
              <w:numPr>
                <w:ilvl w:val="0"/>
                <w:numId w:val="22"/>
              </w:numPr>
              <w:spacing w:after="80"/>
              <w:rPr>
                <w:iCs/>
              </w:rPr>
            </w:pPr>
            <w:r w:rsidRPr="0043354D">
              <w:rPr>
                <w:iCs/>
              </w:rPr>
              <w:t>Lēmuma pieņemšanas termiņa pagarināšana saistošo noteikumu izvērtēšanai</w:t>
            </w:r>
          </w:p>
          <w:p w14:paraId="316016D1" w14:textId="77777777" w:rsidR="003B4860" w:rsidRPr="0043354D" w:rsidRDefault="000665F5" w:rsidP="00B1657C">
            <w:pPr>
              <w:spacing w:after="80"/>
              <w:jc w:val="both"/>
              <w:rPr>
                <w:iCs/>
              </w:rPr>
            </w:pPr>
            <w:r w:rsidRPr="0043354D">
              <w:rPr>
                <w:iCs/>
              </w:rPr>
              <w:t>Likumprojekts</w:t>
            </w:r>
            <w:r w:rsidR="003B4860" w:rsidRPr="0043354D">
              <w:rPr>
                <w:iCs/>
              </w:rPr>
              <w:t>,</w:t>
            </w:r>
            <w:r w:rsidR="003B4860" w:rsidRPr="0043354D">
              <w:t xml:space="preserve"> </w:t>
            </w:r>
            <w:r w:rsidR="003B4860" w:rsidRPr="0043354D">
              <w:rPr>
                <w:iCs/>
              </w:rPr>
              <w:t xml:space="preserve">ievērojot Konkurences padomes pieredzi apvienošanās lietu izskatīšanā, citu ES dalībvalstu un Eiropas Komisijas labo praksi, </w:t>
            </w:r>
            <w:r w:rsidRPr="0043354D">
              <w:rPr>
                <w:iCs/>
              </w:rPr>
              <w:t>paredz</w:t>
            </w:r>
            <w:r w:rsidRPr="0043354D">
              <w:t xml:space="preserve">, ka gadījumā, ja </w:t>
            </w:r>
            <w:r w:rsidR="00936233" w:rsidRPr="0043354D">
              <w:t>apvienošanās rezultātā rodas vai nostiprinās dominējošais stāvoklis vai var tikt būtiski samazināta konkurence</w:t>
            </w:r>
            <w:r w:rsidR="003B4860" w:rsidRPr="0043354D">
              <w:t xml:space="preserve"> un apvienošanās dalībnieki ir iesnieguši saistošos noteikumus</w:t>
            </w:r>
            <w:r w:rsidR="00936233" w:rsidRPr="0043354D">
              <w:t xml:space="preserve">, lai novērstu negatīvās sekas konkurencei, </w:t>
            </w:r>
            <w:r w:rsidRPr="0043354D">
              <w:rPr>
                <w:iCs/>
              </w:rPr>
              <w:t>Konkurences padome</w:t>
            </w:r>
            <w:r w:rsidR="00936233" w:rsidRPr="0043354D">
              <w:rPr>
                <w:iCs/>
              </w:rPr>
              <w:t>i pēc apvienošanās dal</w:t>
            </w:r>
            <w:r w:rsidR="003B4860" w:rsidRPr="0043354D">
              <w:rPr>
                <w:iCs/>
              </w:rPr>
              <w:t>ībnieku</w:t>
            </w:r>
            <w:r w:rsidR="00936233" w:rsidRPr="0043354D">
              <w:rPr>
                <w:iCs/>
              </w:rPr>
              <w:t xml:space="preserve"> lūguma vai savas iniciatīvas ir tiesības pagarināt lēmuma pieņemšanu par 15 darba dienām, lai izvērtētu </w:t>
            </w:r>
            <w:r w:rsidR="003B4860" w:rsidRPr="0043354D">
              <w:rPr>
                <w:iCs/>
              </w:rPr>
              <w:t xml:space="preserve">iesniegtos </w:t>
            </w:r>
            <w:r w:rsidR="00936233" w:rsidRPr="0043354D">
              <w:rPr>
                <w:iCs/>
              </w:rPr>
              <w:t>saistošos noteikumus.</w:t>
            </w:r>
          </w:p>
          <w:p w14:paraId="4E581815" w14:textId="77777777" w:rsidR="006E02E5" w:rsidRPr="0043354D" w:rsidRDefault="00490AB1" w:rsidP="00DE0244">
            <w:pPr>
              <w:spacing w:after="80"/>
              <w:jc w:val="both"/>
              <w:rPr>
                <w:iCs/>
              </w:rPr>
            </w:pPr>
            <w:r w:rsidRPr="0043354D">
              <w:rPr>
                <w:iCs/>
              </w:rPr>
              <w:t>Ar grozījumiem tiks paredzēts papildus laiks, kurā apvienošanās dalībnieki var saskaņot saistošos noteikumus ar Konkurences padomi, lai piedāvātie saistoši noteikumi novēstu konstat</w:t>
            </w:r>
            <w:r w:rsidR="005A1384" w:rsidRPr="0043354D">
              <w:rPr>
                <w:iCs/>
              </w:rPr>
              <w:t>ētās</w:t>
            </w:r>
            <w:r w:rsidRPr="0043354D">
              <w:rPr>
                <w:iCs/>
              </w:rPr>
              <w:t xml:space="preserve"> apvienošanās </w:t>
            </w:r>
            <w:r w:rsidR="005A1384" w:rsidRPr="0043354D">
              <w:rPr>
                <w:iCs/>
              </w:rPr>
              <w:t xml:space="preserve">negatīvās sekas </w:t>
            </w:r>
            <w:r w:rsidRPr="0043354D">
              <w:rPr>
                <w:iCs/>
              </w:rPr>
              <w:t>konkurencei</w:t>
            </w:r>
            <w:r w:rsidR="005A1384" w:rsidRPr="0043354D">
              <w:rPr>
                <w:iCs/>
              </w:rPr>
              <w:t xml:space="preserve">, kā rezultātā netiktu pieņemts Konkurences padomes lēmums par </w:t>
            </w:r>
            <w:r w:rsidRPr="0043354D">
              <w:rPr>
                <w:iCs/>
              </w:rPr>
              <w:t>apvienošanās aizliegšanu</w:t>
            </w:r>
            <w:r w:rsidR="005A1384" w:rsidRPr="0043354D">
              <w:rPr>
                <w:iCs/>
              </w:rPr>
              <w:t>.</w:t>
            </w:r>
          </w:p>
          <w:p w14:paraId="24A0B466" w14:textId="77777777" w:rsidR="005A77B6" w:rsidRPr="0043354D" w:rsidRDefault="005A77B6" w:rsidP="00B1657C">
            <w:pPr>
              <w:pStyle w:val="ListParagraph"/>
              <w:numPr>
                <w:ilvl w:val="0"/>
                <w:numId w:val="22"/>
              </w:numPr>
              <w:spacing w:after="80"/>
              <w:rPr>
                <w:iCs/>
                <w:u w:val="single"/>
              </w:rPr>
            </w:pPr>
            <w:r w:rsidRPr="0043354D">
              <w:rPr>
                <w:iCs/>
                <w:u w:val="single"/>
              </w:rPr>
              <w:t xml:space="preserve">Apvienošanās </w:t>
            </w:r>
            <w:r w:rsidR="00005034" w:rsidRPr="0043354D">
              <w:rPr>
                <w:iCs/>
                <w:u w:val="single"/>
              </w:rPr>
              <w:t xml:space="preserve">izvērtēšanas </w:t>
            </w:r>
            <w:r w:rsidRPr="0043354D">
              <w:rPr>
                <w:iCs/>
                <w:u w:val="single"/>
              </w:rPr>
              <w:t>nodeva</w:t>
            </w:r>
          </w:p>
          <w:p w14:paraId="44356D91" w14:textId="77777777" w:rsidR="00606E1A" w:rsidRPr="0043354D" w:rsidRDefault="00C74CAE" w:rsidP="00B1657C">
            <w:pPr>
              <w:pStyle w:val="naiskr"/>
              <w:spacing w:before="0" w:after="80"/>
              <w:jc w:val="both"/>
              <w:rPr>
                <w:iCs/>
              </w:rPr>
            </w:pPr>
            <w:r w:rsidRPr="0043354D">
              <w:rPr>
                <w:iCs/>
              </w:rPr>
              <w:t>Likumprojekts paredz ieviest apvienošanās izvērtēšanas nodevu, kas daļēji segtu apvienošanās izvērtēšanas</w:t>
            </w:r>
            <w:r w:rsidR="002A7D51" w:rsidRPr="0043354D">
              <w:rPr>
                <w:iCs/>
              </w:rPr>
              <w:t xml:space="preserve"> un iespējamās turpmākās uzraudzīšanas (saistošo noteikumu gadījumā)</w:t>
            </w:r>
            <w:r w:rsidRPr="0043354D">
              <w:rPr>
                <w:iCs/>
              </w:rPr>
              <w:t xml:space="preserve"> izmaksas, tādējādi nodrošinot, ka  apvienošanās izvērtēšanas izmaksas sedz tie, kuru rīcība var ierobežot konkurenci un kas tieši  saņem attiecīgo pakalpojumu. </w:t>
            </w:r>
          </w:p>
          <w:p w14:paraId="50B93C93" w14:textId="77777777" w:rsidR="00606E1A" w:rsidRPr="0043354D" w:rsidRDefault="00606E1A" w:rsidP="003A0046">
            <w:pPr>
              <w:pStyle w:val="naiskr"/>
              <w:spacing w:before="0" w:after="80"/>
              <w:jc w:val="both"/>
              <w:rPr>
                <w:iCs/>
              </w:rPr>
            </w:pPr>
            <w:r w:rsidRPr="0043354D">
              <w:rPr>
                <w:iCs/>
              </w:rPr>
              <w:t xml:space="preserve">Valsts realizētās apvienošanās kontroles mērķis ir </w:t>
            </w:r>
            <w:r w:rsidR="007B4ACB" w:rsidRPr="0043354D">
              <w:rPr>
                <w:iCs/>
              </w:rPr>
              <w:t xml:space="preserve">ierobežot tirgus koncentrāciju un </w:t>
            </w:r>
            <w:r w:rsidRPr="0043354D">
              <w:rPr>
                <w:iCs/>
              </w:rPr>
              <w:t>aizsargāt konkurences struktūru tirgos, novēršot apvienošanos, kuras rezultātā varētu veidoties dominējošais stāvoklis vai būtiski samazināta konkurences konkrētajā tirgū. Lai nodrošinātu valsts kontroli pār tirgus dalībnieku apvienošanās</w:t>
            </w:r>
            <w:r w:rsidR="00E60362" w:rsidRPr="0043354D">
              <w:rPr>
                <w:iCs/>
              </w:rPr>
              <w:t>, Konkurences likums ir noteicis pienākumu konkrētu apvienošanās, kas atbilst likumā noteiktajiem kritērijiem, dalībniekiem iesniegt apvienošanās ziņojumu. Pēc apvienošanās ziņojuma saņemšanas Konkurences padome likumā noteiktajā termiņā izvērtē apvienošanos un ar lēmumu to atļauj, atļauj ar</w:t>
            </w:r>
            <w:r w:rsidR="00177220" w:rsidRPr="0043354D">
              <w:rPr>
                <w:iCs/>
              </w:rPr>
              <w:t xml:space="preserve"> saistošiem noteikumiem, kuri novērš apvienošanās negatīvās sekas attiecībā uz konkurenci,</w:t>
            </w:r>
            <w:r w:rsidR="00E60362" w:rsidRPr="0043354D">
              <w:rPr>
                <w:iCs/>
              </w:rPr>
              <w:t xml:space="preserve"> vai aizliedz apvienošanos. Vienlaicīgi jāņem vērā, ka Konkurences padomei, lai izvērtētu apvienošanos </w:t>
            </w:r>
            <w:r w:rsidR="003A0046" w:rsidRPr="0043354D">
              <w:rPr>
                <w:iCs/>
              </w:rPr>
              <w:t>parasti</w:t>
            </w:r>
            <w:r w:rsidR="00E60362" w:rsidRPr="0043354D">
              <w:rPr>
                <w:iCs/>
              </w:rPr>
              <w:t xml:space="preserve"> ir nepieciešams iegūt papildus informāciju par konkrēto tirgu, </w:t>
            </w:r>
            <w:r w:rsidR="003A0046" w:rsidRPr="0043354D">
              <w:rPr>
                <w:iCs/>
              </w:rPr>
              <w:t>jo</w:t>
            </w:r>
            <w:r w:rsidR="00E60362" w:rsidRPr="0043354D">
              <w:rPr>
                <w:iCs/>
              </w:rPr>
              <w:t xml:space="preserve"> ar apvienošanās ziņojumā ietvertās informācijas izvērtēšanu </w:t>
            </w:r>
            <w:r w:rsidR="003A0046" w:rsidRPr="0043354D">
              <w:rPr>
                <w:iCs/>
              </w:rPr>
              <w:t xml:space="preserve">lēmuma pieņemšanai bieži vien nepietiek. </w:t>
            </w:r>
          </w:p>
          <w:p w14:paraId="6D55B8A1" w14:textId="77777777" w:rsidR="00BB5555" w:rsidRPr="0043354D" w:rsidRDefault="003A0046">
            <w:pPr>
              <w:pStyle w:val="naiskr"/>
              <w:spacing w:before="0" w:after="80"/>
              <w:jc w:val="both"/>
              <w:rPr>
                <w:iCs/>
              </w:rPr>
            </w:pPr>
            <w:r w:rsidRPr="0043354D">
              <w:rPr>
                <w:iCs/>
              </w:rPr>
              <w:lastRenderedPageBreak/>
              <w:t xml:space="preserve">Apvienošanās ziņojuma iesniegšana, apvienošanās dalībnieku kopējam apgrozījumā pārsniedzot noteiktos sliekšņus, ir obligāta, un bez </w:t>
            </w:r>
            <w:r w:rsidR="007B4ACB" w:rsidRPr="0043354D">
              <w:rPr>
                <w:iCs/>
              </w:rPr>
              <w:t xml:space="preserve">Konkurences padomes </w:t>
            </w:r>
            <w:r w:rsidRPr="0043354D">
              <w:rPr>
                <w:iCs/>
              </w:rPr>
              <w:t xml:space="preserve">lēmuma par apvienošanās atļaušanu, apvienošanās nevar tikt realizēta.  </w:t>
            </w:r>
            <w:r w:rsidR="007B4ACB" w:rsidRPr="0043354D">
              <w:rPr>
                <w:iCs/>
              </w:rPr>
              <w:t>Apvienošanās kontroles realizēšana ir Konkurences padomes viens no pamatpienākumiem</w:t>
            </w:r>
            <w:r w:rsidR="00BB5555" w:rsidRPr="0043354D">
              <w:rPr>
                <w:iCs/>
              </w:rPr>
              <w:t xml:space="preserve">. Nodevu paredzēts maksāt par apvienošanās izvērtēšanu neatkarīgi no tā kāda veida lēmums ir pieņemts, jo apvienošanās izvērtēšana patērē valsts resursus neatkarīgi no izvērtēšanas rezultāta. </w:t>
            </w:r>
          </w:p>
          <w:p w14:paraId="0C98E18B" w14:textId="77777777" w:rsidR="00BB5555" w:rsidRPr="0043354D" w:rsidRDefault="00BB5555" w:rsidP="003A0046">
            <w:pPr>
              <w:pStyle w:val="naiskr"/>
              <w:spacing w:before="0" w:after="80"/>
              <w:jc w:val="both"/>
              <w:rPr>
                <w:iCs/>
              </w:rPr>
            </w:pPr>
            <w:r w:rsidRPr="0043354D">
              <w:rPr>
                <w:iCs/>
              </w:rPr>
              <w:t>Vienlaicīgi jāņem vērā, ka apvienošanās it sevišķi, ja apvienojas lieli tirgus dalībnieki var radīt arī konkurences riskus, nelabvēlīgi ietekmējot tirgu un sabiedrības intereses</w:t>
            </w:r>
            <w:r w:rsidR="00B14FFF" w:rsidRPr="0043354D">
              <w:rPr>
                <w:iCs/>
              </w:rPr>
              <w:t>, jo tiek samazināts konkurentu skaits</w:t>
            </w:r>
            <w:r w:rsidRPr="0043354D">
              <w:rPr>
                <w:iCs/>
              </w:rPr>
              <w:t>.</w:t>
            </w:r>
            <w:r w:rsidR="00B14FFF" w:rsidRPr="0043354D">
              <w:rPr>
                <w:iCs/>
              </w:rPr>
              <w:t xml:space="preserve"> Apvienošanās </w:t>
            </w:r>
            <w:r w:rsidR="00B271B3">
              <w:rPr>
                <w:iCs/>
              </w:rPr>
              <w:t xml:space="preserve">izvērtēšanas </w:t>
            </w:r>
            <w:r w:rsidR="00B14FFF" w:rsidRPr="0043354D">
              <w:rPr>
                <w:iCs/>
              </w:rPr>
              <w:t>nodeva  nodrošinās to, ka  apvienošanās izvērtēšanas izmaksas vismaz daļēji segs tie, kuru rīcība var ierobežot konkurenci un kas tieši saņem attiecīgo pakalpojumus.</w:t>
            </w:r>
            <w:r w:rsidRPr="0043354D">
              <w:rPr>
                <w:iCs/>
              </w:rPr>
              <w:t xml:space="preserve"> </w:t>
            </w:r>
          </w:p>
          <w:p w14:paraId="60113815" w14:textId="77777777" w:rsidR="00C74CAE" w:rsidRPr="0043354D" w:rsidRDefault="00C74CAE" w:rsidP="00B1657C">
            <w:pPr>
              <w:pStyle w:val="naiskr"/>
              <w:spacing w:before="0" w:after="80"/>
              <w:jc w:val="both"/>
              <w:rPr>
                <w:iCs/>
              </w:rPr>
            </w:pPr>
            <w:r w:rsidRPr="0043354D">
              <w:rPr>
                <w:iCs/>
              </w:rPr>
              <w:t xml:space="preserve">Nodevas apjomu un maksāšanas kārtību noteiks Ministru kabinets. Nodevas apjoms plānots diferencēts atkarībā no apvienošanās nozīmības un ietekmes, </w:t>
            </w:r>
            <w:proofErr w:type="spellStart"/>
            <w:r w:rsidRPr="0043354D">
              <w:rPr>
                <w:iCs/>
              </w:rPr>
              <w:t>t.i</w:t>
            </w:r>
            <w:proofErr w:type="spellEnd"/>
            <w:r w:rsidRPr="0043354D">
              <w:rPr>
                <w:iCs/>
              </w:rPr>
              <w:t xml:space="preserve">., atbilstoši apvienošanās iesaistīto tirgus dalībnieku apgrozījumam Latvijā. </w:t>
            </w:r>
          </w:p>
          <w:p w14:paraId="0FA16C60" w14:textId="12B5E182" w:rsidR="00C74CAE" w:rsidRPr="0043354D" w:rsidRDefault="00C74CAE" w:rsidP="00B1657C">
            <w:pPr>
              <w:pStyle w:val="naiskr"/>
              <w:spacing w:before="0" w:after="80"/>
              <w:jc w:val="both"/>
              <w:rPr>
                <w:iCs/>
              </w:rPr>
            </w:pPr>
            <w:r w:rsidRPr="0043354D">
              <w:rPr>
                <w:iCs/>
              </w:rPr>
              <w:t>Attiecīgi, ja tiek iesniegts saīsinātais apvienošanās ziņojums</w:t>
            </w:r>
            <w:r w:rsidR="003C0043">
              <w:rPr>
                <w:iCs/>
              </w:rPr>
              <w:t>,</w:t>
            </w:r>
            <w:r w:rsidRPr="0043354D">
              <w:rPr>
                <w:iCs/>
              </w:rPr>
              <w:t xml:space="preserve"> </w:t>
            </w:r>
            <w:r w:rsidR="003C0043">
              <w:rPr>
                <w:iCs/>
              </w:rPr>
              <w:t xml:space="preserve">apvienošanās izvērtēšanas </w:t>
            </w:r>
            <w:r w:rsidRPr="0043354D">
              <w:rPr>
                <w:iCs/>
              </w:rPr>
              <w:t xml:space="preserve">nodeva paredzēta 2000 </w:t>
            </w:r>
            <w:proofErr w:type="spellStart"/>
            <w:r w:rsidRPr="0043354D">
              <w:rPr>
                <w:iCs/>
              </w:rPr>
              <w:t>euro</w:t>
            </w:r>
            <w:proofErr w:type="spellEnd"/>
            <w:r w:rsidRPr="0043354D">
              <w:rPr>
                <w:iCs/>
              </w:rPr>
              <w:t xml:space="preserve"> apmērā, šāda summa paredzēta arī gadījumiem, kad apvienošanās neatbilst paziņošanas kritērijiem, tomēr ziņojums tiek iesniegts pēc Konkurences padomes lūguma. Apvienošanās </w:t>
            </w:r>
            <w:r w:rsidR="003C0043">
              <w:rPr>
                <w:iCs/>
              </w:rPr>
              <w:t>izvērtēšanas</w:t>
            </w:r>
            <w:r w:rsidR="003C0043" w:rsidRPr="0043354D">
              <w:rPr>
                <w:iCs/>
              </w:rPr>
              <w:t xml:space="preserve"> </w:t>
            </w:r>
            <w:r w:rsidRPr="0043354D">
              <w:rPr>
                <w:iCs/>
              </w:rPr>
              <w:t xml:space="preserve">nodeva paredzēta 4000 </w:t>
            </w:r>
            <w:proofErr w:type="spellStart"/>
            <w:r w:rsidRPr="0043354D">
              <w:rPr>
                <w:i/>
                <w:shd w:val="clear" w:color="auto" w:fill="FFFFFF"/>
              </w:rPr>
              <w:t>euro</w:t>
            </w:r>
            <w:proofErr w:type="spellEnd"/>
            <w:r w:rsidRPr="0043354D">
              <w:rPr>
                <w:shd w:val="clear" w:color="auto" w:fill="FFFFFF"/>
              </w:rPr>
              <w:t xml:space="preserve"> apmērā, ja apvienošanās dalībnieku </w:t>
            </w:r>
            <w:r w:rsidRPr="0043354D">
              <w:t xml:space="preserve">kopējais apgrozījums iepriekšējā finanšu gadā Latvijas teritorijā ir starp 30 miljoniem </w:t>
            </w:r>
            <w:proofErr w:type="spellStart"/>
            <w:r w:rsidRPr="0043354D">
              <w:rPr>
                <w:i/>
              </w:rPr>
              <w:t>euro</w:t>
            </w:r>
            <w:proofErr w:type="spellEnd"/>
            <w:r w:rsidRPr="0043354D">
              <w:t xml:space="preserve"> un 80 miljoniem </w:t>
            </w:r>
            <w:proofErr w:type="spellStart"/>
            <w:r w:rsidRPr="0043354D">
              <w:rPr>
                <w:i/>
              </w:rPr>
              <w:t>euro</w:t>
            </w:r>
            <w:proofErr w:type="spellEnd"/>
            <w:r w:rsidRPr="0043354D">
              <w:t xml:space="preserve"> un </w:t>
            </w:r>
            <w:r w:rsidRPr="0043354D">
              <w:rPr>
                <w:shd w:val="clear" w:color="auto" w:fill="FFFFFF"/>
              </w:rPr>
              <w:t xml:space="preserve">8000 </w:t>
            </w:r>
            <w:proofErr w:type="spellStart"/>
            <w:r w:rsidRPr="0043354D">
              <w:rPr>
                <w:i/>
                <w:shd w:val="clear" w:color="auto" w:fill="FFFFFF"/>
              </w:rPr>
              <w:t>euro</w:t>
            </w:r>
            <w:proofErr w:type="spellEnd"/>
            <w:r w:rsidRPr="0043354D">
              <w:t xml:space="preserve"> apmērā,  </w:t>
            </w:r>
            <w:r w:rsidRPr="0043354D">
              <w:rPr>
                <w:shd w:val="clear" w:color="auto" w:fill="FFFFFF"/>
              </w:rPr>
              <w:t xml:space="preserve">ja apvienošanās dalībnieku </w:t>
            </w:r>
            <w:r w:rsidRPr="0043354D">
              <w:t xml:space="preserve">kopējais apgrozījums iepriekšējā finanšu gadā Latvijas teritorijā pārsniedz 80 miljonus </w:t>
            </w:r>
            <w:proofErr w:type="spellStart"/>
            <w:r w:rsidRPr="0043354D">
              <w:rPr>
                <w:i/>
              </w:rPr>
              <w:t>euro</w:t>
            </w:r>
            <w:proofErr w:type="spellEnd"/>
            <w:r w:rsidRPr="0043354D">
              <w:t xml:space="preserve">. </w:t>
            </w:r>
          </w:p>
          <w:p w14:paraId="3EC7642F" w14:textId="77777777" w:rsidR="00C74CAE" w:rsidRPr="0043354D" w:rsidRDefault="00C74CAE" w:rsidP="00B1657C">
            <w:pPr>
              <w:pStyle w:val="naiskr"/>
              <w:spacing w:before="0" w:after="80"/>
              <w:jc w:val="both"/>
              <w:rPr>
                <w:iCs/>
              </w:rPr>
            </w:pPr>
            <w:r w:rsidRPr="0043354D">
              <w:rPr>
                <w:iCs/>
              </w:rPr>
              <w:t xml:space="preserve">Salīdzinājumam Igaunijā noteikta konstanta apvienošanās </w:t>
            </w:r>
            <w:r w:rsidR="00B271B3">
              <w:rPr>
                <w:iCs/>
              </w:rPr>
              <w:t xml:space="preserve">izvērtēšanas </w:t>
            </w:r>
            <w:r w:rsidRPr="0043354D">
              <w:rPr>
                <w:iCs/>
              </w:rPr>
              <w:t xml:space="preserve">nodeva 1917,34 </w:t>
            </w:r>
            <w:proofErr w:type="spellStart"/>
            <w:r w:rsidRPr="0043354D">
              <w:rPr>
                <w:iCs/>
              </w:rPr>
              <w:t>euro</w:t>
            </w:r>
            <w:proofErr w:type="spellEnd"/>
            <w:r w:rsidRPr="0043354D">
              <w:rPr>
                <w:iCs/>
              </w:rPr>
              <w:t xml:space="preserve"> apmērā. Savukārt Lietuvā tā noteikta  atbilstoši apvienošanās iesaistīto apvienošanās dalībnieku apgrozījumam, </w:t>
            </w:r>
            <w:proofErr w:type="spellStart"/>
            <w:r w:rsidRPr="0043354D">
              <w:rPr>
                <w:iCs/>
              </w:rPr>
              <w:t>t.i</w:t>
            </w:r>
            <w:proofErr w:type="spellEnd"/>
            <w:r w:rsidRPr="0043354D">
              <w:rPr>
                <w:iCs/>
              </w:rPr>
              <w:t xml:space="preserve">., 1625 </w:t>
            </w:r>
            <w:proofErr w:type="spellStart"/>
            <w:r w:rsidRPr="0043354D">
              <w:rPr>
                <w:iCs/>
              </w:rPr>
              <w:t>euro</w:t>
            </w:r>
            <w:proofErr w:type="spellEnd"/>
            <w:r w:rsidRPr="0043354D">
              <w:rPr>
                <w:iCs/>
              </w:rPr>
              <w:t xml:space="preserve"> apmērā, ja kopējais apgrozījums nepārsniedz ~30 miljonus </w:t>
            </w:r>
            <w:proofErr w:type="spellStart"/>
            <w:r w:rsidRPr="0043354D">
              <w:rPr>
                <w:iCs/>
              </w:rPr>
              <w:t>euro</w:t>
            </w:r>
            <w:proofErr w:type="spellEnd"/>
            <w:r w:rsidRPr="0043354D">
              <w:rPr>
                <w:iCs/>
              </w:rPr>
              <w:t xml:space="preserve">, 2322 </w:t>
            </w:r>
            <w:proofErr w:type="spellStart"/>
            <w:r w:rsidRPr="0043354D">
              <w:rPr>
                <w:iCs/>
              </w:rPr>
              <w:t>euro</w:t>
            </w:r>
            <w:proofErr w:type="spellEnd"/>
            <w:r w:rsidRPr="0043354D">
              <w:rPr>
                <w:iCs/>
              </w:rPr>
              <w:t xml:space="preserve">, ja kopējais apgrozījums ir starp ~30 </w:t>
            </w:r>
            <w:proofErr w:type="spellStart"/>
            <w:r w:rsidRPr="0043354D">
              <w:rPr>
                <w:iCs/>
              </w:rPr>
              <w:t>milj</w:t>
            </w:r>
            <w:proofErr w:type="spellEnd"/>
            <w:r w:rsidRPr="0043354D">
              <w:rPr>
                <w:iCs/>
              </w:rPr>
              <w:t xml:space="preserve">. </w:t>
            </w:r>
            <w:proofErr w:type="spellStart"/>
            <w:r w:rsidRPr="0043354D">
              <w:rPr>
                <w:iCs/>
              </w:rPr>
              <w:t>euro</w:t>
            </w:r>
            <w:proofErr w:type="spellEnd"/>
            <w:r w:rsidRPr="0043354D">
              <w:rPr>
                <w:iCs/>
              </w:rPr>
              <w:t xml:space="preserve"> un ~145 </w:t>
            </w:r>
            <w:proofErr w:type="spellStart"/>
            <w:r w:rsidRPr="0043354D">
              <w:rPr>
                <w:iCs/>
              </w:rPr>
              <w:t>milj</w:t>
            </w:r>
            <w:proofErr w:type="spellEnd"/>
            <w:r w:rsidRPr="0043354D">
              <w:rPr>
                <w:iCs/>
              </w:rPr>
              <w:t xml:space="preserve">. </w:t>
            </w:r>
            <w:proofErr w:type="spellStart"/>
            <w:r w:rsidRPr="0043354D">
              <w:rPr>
                <w:iCs/>
              </w:rPr>
              <w:t>euro</w:t>
            </w:r>
            <w:proofErr w:type="spellEnd"/>
            <w:r w:rsidRPr="0043354D">
              <w:rPr>
                <w:iCs/>
              </w:rPr>
              <w:t xml:space="preserve"> un 3250 </w:t>
            </w:r>
            <w:proofErr w:type="spellStart"/>
            <w:r w:rsidRPr="0043354D">
              <w:rPr>
                <w:iCs/>
              </w:rPr>
              <w:t>euro</w:t>
            </w:r>
            <w:proofErr w:type="spellEnd"/>
            <w:r w:rsidRPr="0043354D">
              <w:rPr>
                <w:iCs/>
              </w:rPr>
              <w:t xml:space="preserve">, ja kopējais apgrozījums pārsniedz 145 miljonus </w:t>
            </w:r>
            <w:proofErr w:type="spellStart"/>
            <w:r w:rsidRPr="0043354D">
              <w:rPr>
                <w:iCs/>
              </w:rPr>
              <w:t>euro</w:t>
            </w:r>
            <w:proofErr w:type="spellEnd"/>
            <w:r w:rsidRPr="0043354D">
              <w:rPr>
                <w:iCs/>
              </w:rPr>
              <w:t>.  Attiecībā uz abām valstīm jāņem vērā, ka tajā ir būtiski zemāki apvieno</w:t>
            </w:r>
            <w:r w:rsidR="002A7D51" w:rsidRPr="0043354D">
              <w:rPr>
                <w:iCs/>
              </w:rPr>
              <w:t>ša</w:t>
            </w:r>
            <w:r w:rsidRPr="0043354D">
              <w:rPr>
                <w:iCs/>
              </w:rPr>
              <w:t>nās paziņojuma kritēriji, kā rezultātā nodeva attiecas uz plašāku tirgus dalībnieku loku.</w:t>
            </w:r>
          </w:p>
          <w:p w14:paraId="025B3997" w14:textId="77777777" w:rsidR="00C74CAE" w:rsidRPr="0043354D" w:rsidRDefault="00C74CAE" w:rsidP="00DE0244">
            <w:pPr>
              <w:spacing w:after="80"/>
              <w:jc w:val="both"/>
            </w:pPr>
            <w:r w:rsidRPr="0043354D">
              <w:t xml:space="preserve">2012.gadā KP tika iesniegti 11 apvienošanās ziņojumi. Atbilstoši plānotajam nodevas apmēram tas kopā nodrošinātu nodevas ~60 000 </w:t>
            </w:r>
            <w:proofErr w:type="spellStart"/>
            <w:r w:rsidRPr="0043354D">
              <w:t>euro</w:t>
            </w:r>
            <w:proofErr w:type="spellEnd"/>
            <w:r w:rsidRPr="0043354D">
              <w:t xml:space="preserve"> apmērā.</w:t>
            </w:r>
          </w:p>
          <w:p w14:paraId="00BD1985" w14:textId="77777777" w:rsidR="00C74CAE" w:rsidRPr="0043354D" w:rsidRDefault="00C74CAE" w:rsidP="00B1657C">
            <w:pPr>
              <w:pStyle w:val="naiskr"/>
              <w:spacing w:before="0" w:after="80"/>
              <w:jc w:val="both"/>
              <w:rPr>
                <w:iCs/>
                <w:u w:val="single"/>
              </w:rPr>
            </w:pPr>
            <w:r w:rsidRPr="0043354D">
              <w:rPr>
                <w:iCs/>
                <w:u w:val="single"/>
              </w:rPr>
              <w:t xml:space="preserve">Administratīvais līgums </w:t>
            </w:r>
          </w:p>
          <w:p w14:paraId="7188B79E" w14:textId="77777777" w:rsidR="00F47165" w:rsidRDefault="00C74CAE" w:rsidP="00B1657C">
            <w:pPr>
              <w:pStyle w:val="naiskr"/>
              <w:spacing w:before="0" w:after="80"/>
              <w:jc w:val="both"/>
              <w:rPr>
                <w:iCs/>
              </w:rPr>
            </w:pPr>
            <w:r w:rsidRPr="0043354D">
              <w:rPr>
                <w:iCs/>
              </w:rPr>
              <w:t xml:space="preserve">Likumprojekts paredz, ka pieteikumu par Konkurences padomes noslēgto administratīvo līgumu izskata kārtībā, kāda paredzēta Konkurences padomes pieņemto lēmumu izskatīšanai, </w:t>
            </w:r>
            <w:proofErr w:type="spellStart"/>
            <w:r w:rsidRPr="0043354D">
              <w:rPr>
                <w:iCs/>
              </w:rPr>
              <w:t>t.i</w:t>
            </w:r>
            <w:proofErr w:type="spellEnd"/>
            <w:r w:rsidRPr="0043354D">
              <w:rPr>
                <w:iCs/>
              </w:rPr>
              <w:t>., divās tiesu insta</w:t>
            </w:r>
            <w:r w:rsidR="002B5BF9" w:rsidRPr="0043354D">
              <w:rPr>
                <w:iCs/>
              </w:rPr>
              <w:t>n</w:t>
            </w:r>
            <w:r w:rsidRPr="0043354D">
              <w:rPr>
                <w:iCs/>
              </w:rPr>
              <w:t>cēs saskaņā ar Konkurences likuma 8.panta otro daļu. Vienlaicīgi likumprojekts paredz, ka administr</w:t>
            </w:r>
            <w:r w:rsidR="00F47165">
              <w:rPr>
                <w:iCs/>
              </w:rPr>
              <w:t>atīvā</w:t>
            </w:r>
            <w:r w:rsidRPr="0043354D">
              <w:rPr>
                <w:iCs/>
              </w:rPr>
              <w:t xml:space="preserve"> līgum</w:t>
            </w:r>
            <w:r w:rsidR="00F47165">
              <w:rPr>
                <w:iCs/>
              </w:rPr>
              <w:t>a</w:t>
            </w:r>
            <w:r w:rsidRPr="0043354D">
              <w:rPr>
                <w:iCs/>
              </w:rPr>
              <w:t xml:space="preserve">, ar kuru izbeigts tiesas process </w:t>
            </w:r>
            <w:r w:rsidR="00F47165" w:rsidRPr="00F47165">
              <w:rPr>
                <w:rStyle w:val="apple-style-span"/>
              </w:rPr>
              <w:t>pārsūdzēšana neaptur tā izpildi</w:t>
            </w:r>
            <w:r w:rsidR="00F47165">
              <w:rPr>
                <w:rStyle w:val="apple-style-span"/>
              </w:rPr>
              <w:t>.</w:t>
            </w:r>
          </w:p>
          <w:p w14:paraId="24F910FF" w14:textId="77777777" w:rsidR="00C74CAE" w:rsidRPr="0043354D" w:rsidRDefault="00C74CAE" w:rsidP="00B1657C">
            <w:pPr>
              <w:pStyle w:val="naiskr"/>
              <w:spacing w:before="0" w:after="80"/>
              <w:jc w:val="both"/>
              <w:rPr>
                <w:iCs/>
                <w:u w:val="single"/>
              </w:rPr>
            </w:pPr>
            <w:r w:rsidRPr="0043354D">
              <w:rPr>
                <w:iCs/>
                <w:u w:val="single"/>
              </w:rPr>
              <w:t>Atsevišķi jautājumi</w:t>
            </w:r>
          </w:p>
          <w:p w14:paraId="020DBCF7" w14:textId="77777777" w:rsidR="00C74CAE" w:rsidRPr="0043354D" w:rsidRDefault="00C74CAE" w:rsidP="00B1657C">
            <w:pPr>
              <w:pStyle w:val="naiskr"/>
              <w:spacing w:before="0" w:after="80"/>
              <w:jc w:val="both"/>
              <w:rPr>
                <w:iCs/>
              </w:rPr>
            </w:pPr>
            <w:r w:rsidRPr="0043354D">
              <w:rPr>
                <w:iCs/>
              </w:rPr>
              <w:t xml:space="preserve">Nepieciešams atbilstoši veiktajiem grozījumiem </w:t>
            </w:r>
            <w:r w:rsidRPr="0043354D">
              <w:rPr>
                <w:shd w:val="clear" w:color="auto" w:fill="FFFFFF"/>
              </w:rPr>
              <w:t>Elektronisko sakaru likumā un Kredītiestāžu likumā, veikt attiecīgus grozījumus Konkurences likumā, lai nodrošinātu plašāku Konkurences padomes pilnvaru spēkā stāšanos.</w:t>
            </w:r>
          </w:p>
          <w:p w14:paraId="6416F74A" w14:textId="77777777" w:rsidR="00C74CAE" w:rsidRPr="0043354D" w:rsidRDefault="00C74CAE" w:rsidP="00B1657C">
            <w:pPr>
              <w:pStyle w:val="naiskr"/>
              <w:spacing w:before="0" w:after="80"/>
              <w:jc w:val="both"/>
              <w:rPr>
                <w:shd w:val="clear" w:color="auto" w:fill="FFFFFF"/>
              </w:rPr>
            </w:pPr>
            <w:r w:rsidRPr="0043354D">
              <w:rPr>
                <w:shd w:val="clear" w:color="auto" w:fill="FFFFFF"/>
              </w:rPr>
              <w:t xml:space="preserve">Jānodrošina elastīgāks regulējums Konkurences likumā noteiktajam Konkurences padomes strukturālajam iedalījumam, lai būtu iespējams vieglāk veikt strukturālas </w:t>
            </w:r>
            <w:r w:rsidR="002A7D51" w:rsidRPr="0043354D">
              <w:rPr>
                <w:shd w:val="clear" w:color="auto" w:fill="FFFFFF"/>
              </w:rPr>
              <w:t xml:space="preserve">un funkcionālas </w:t>
            </w:r>
            <w:r w:rsidRPr="0043354D">
              <w:rPr>
                <w:shd w:val="clear" w:color="auto" w:fill="FFFFFF"/>
              </w:rPr>
              <w:t xml:space="preserve">izmaiņas iestādē, </w:t>
            </w:r>
            <w:proofErr w:type="spellStart"/>
            <w:r w:rsidRPr="0043354D">
              <w:rPr>
                <w:shd w:val="clear" w:color="auto" w:fill="FFFFFF"/>
              </w:rPr>
              <w:t>efektivizējot</w:t>
            </w:r>
            <w:proofErr w:type="spellEnd"/>
            <w:r w:rsidRPr="0043354D">
              <w:rPr>
                <w:shd w:val="clear" w:color="auto" w:fill="FFFFFF"/>
              </w:rPr>
              <w:t xml:space="preserve"> tās darbību.</w:t>
            </w:r>
          </w:p>
          <w:p w14:paraId="6019CE7D" w14:textId="77777777" w:rsidR="00C74CAE" w:rsidRPr="0043354D" w:rsidRDefault="00C74CAE" w:rsidP="00B1657C">
            <w:pPr>
              <w:pStyle w:val="naiskr"/>
              <w:spacing w:before="0" w:after="80"/>
              <w:jc w:val="both"/>
              <w:rPr>
                <w:shd w:val="clear" w:color="auto" w:fill="FFFFFF"/>
              </w:rPr>
            </w:pPr>
            <w:r w:rsidRPr="0043354D">
              <w:rPr>
                <w:shd w:val="clear" w:color="auto" w:fill="FFFFFF"/>
              </w:rPr>
              <w:t>Likumprojekts paredz iespēju tirgus dalībniekam, vēršoties ar motivētu lūgumu, lūgt Konkurences padomi uzklausīt to mutiski sakarā ar tā Konkurences likuma 26.panta septītās daļas ietvaros izteikto viedokli un papildu iesniegto informāciju. Mutisko uzklausīšanu paredz arī Eiropas Komisijas izmeklēšanas procedūra, izskatot lietas par Eiropas Savienības konkurences tiesību pārkāpumiem.</w:t>
            </w:r>
          </w:p>
          <w:p w14:paraId="591384E0" w14:textId="77777777" w:rsidR="005F0BA1" w:rsidRDefault="005F0BA1" w:rsidP="00C00931">
            <w:pPr>
              <w:jc w:val="both"/>
            </w:pPr>
          </w:p>
          <w:p w14:paraId="3743E22D" w14:textId="4936DD82" w:rsidR="006867C1" w:rsidRPr="0043354D" w:rsidRDefault="006867C1" w:rsidP="00C00931">
            <w:pPr>
              <w:jc w:val="both"/>
            </w:pPr>
            <w:r w:rsidRPr="00C00931">
              <w:t>Lai nodrošinātu to, ka Konkurences padome var īstenot regulā  Nr.1/2003 noteiktās konkurences iestādes tiesības  sniegt atzinumu  gadījumos, kad tiesa taisās piemērot LESD 101. vai 102.pantu, likumprojektā paredzēts, ka tiesa informē Konkurences padomi par lietas ierosināšanu par ES konkurences tiesību pārkāpumu.</w:t>
            </w:r>
          </w:p>
          <w:p w14:paraId="5CDD5BB1" w14:textId="322845B1" w:rsidR="005F0BA1" w:rsidRPr="0043354D" w:rsidRDefault="005F0BA1" w:rsidP="005F0BA1">
            <w:pPr>
              <w:jc w:val="both"/>
            </w:pPr>
          </w:p>
          <w:p w14:paraId="331378BB" w14:textId="77777777" w:rsidR="005F0BA1" w:rsidRPr="0043354D" w:rsidRDefault="005F0BA1" w:rsidP="005F0BA1">
            <w:pPr>
              <w:jc w:val="both"/>
            </w:pPr>
            <w:r w:rsidRPr="0043354D">
              <w:t xml:space="preserve">Papildus tā kā regula Nr.1/2003 nosaka pienākumu dalībvalstīm nosūtīt ES Komisijai tiesas sprieduma, kurā lemts par LESD 101., 102.panta piemērošanu, kopiju, likumprojekts paredz pienākumu konkrētajai tiesai septiņu dienu laikā pēc sprieduma sastādīšanas nosūtīt spriedumu Komisijai, papildus paredzot pienākumu nosūtīt to arī  Konkurences padomei. </w:t>
            </w:r>
          </w:p>
          <w:p w14:paraId="0D0B7933" w14:textId="77777777" w:rsidR="005F0BA1" w:rsidRPr="0043354D" w:rsidRDefault="005F0BA1" w:rsidP="00B1657C">
            <w:pPr>
              <w:pStyle w:val="naiskr"/>
              <w:spacing w:before="0" w:after="80"/>
              <w:jc w:val="both"/>
              <w:rPr>
                <w:iCs/>
              </w:rPr>
            </w:pPr>
          </w:p>
        </w:tc>
      </w:tr>
      <w:tr w:rsidR="00E74C48" w:rsidRPr="00E74C48" w14:paraId="6B1D1666" w14:textId="77777777" w:rsidTr="006C07BE">
        <w:trPr>
          <w:trHeight w:val="476"/>
        </w:trPr>
        <w:tc>
          <w:tcPr>
            <w:tcW w:w="419" w:type="dxa"/>
          </w:tcPr>
          <w:p w14:paraId="7536A141" w14:textId="65A3BAA4" w:rsidR="00C74CAE" w:rsidRPr="00E74C48" w:rsidRDefault="00C74CAE">
            <w:pPr>
              <w:pStyle w:val="naiskr"/>
              <w:spacing w:before="0" w:after="0"/>
            </w:pPr>
            <w:r w:rsidRPr="00E74C48">
              <w:rPr>
                <w:sz w:val="22"/>
                <w:szCs w:val="22"/>
              </w:rPr>
              <w:lastRenderedPageBreak/>
              <w:t>5.</w:t>
            </w:r>
          </w:p>
        </w:tc>
        <w:tc>
          <w:tcPr>
            <w:tcW w:w="1509" w:type="dxa"/>
          </w:tcPr>
          <w:p w14:paraId="4BD53652" w14:textId="77777777" w:rsidR="00C74CAE" w:rsidRPr="0043354D" w:rsidRDefault="00C74CAE">
            <w:pPr>
              <w:pStyle w:val="naiskr"/>
              <w:spacing w:before="0" w:after="0"/>
            </w:pPr>
            <w:r w:rsidRPr="0043354D">
              <w:t>Projekta izstrādē iesaistītās institūcijas</w:t>
            </w:r>
          </w:p>
        </w:tc>
        <w:tc>
          <w:tcPr>
            <w:tcW w:w="7797" w:type="dxa"/>
          </w:tcPr>
          <w:p w14:paraId="4D91BD6E" w14:textId="77777777" w:rsidR="00C74CAE" w:rsidRPr="0043354D" w:rsidRDefault="00C74CAE" w:rsidP="00B1657C">
            <w:pPr>
              <w:pStyle w:val="naiskr"/>
              <w:spacing w:before="0" w:after="80"/>
            </w:pPr>
            <w:r w:rsidRPr="0043354D">
              <w:rPr>
                <w:shd w:val="clear" w:color="auto" w:fill="FFFFFF"/>
              </w:rPr>
              <w:t>Ekonomikas ministrija, Konkurences padome, Latvijas Zvērinātu tiesu izpildītāju padome.</w:t>
            </w:r>
          </w:p>
        </w:tc>
      </w:tr>
      <w:tr w:rsidR="00E74C48" w:rsidRPr="00E74C48" w14:paraId="4BD43A2F" w14:textId="77777777" w:rsidTr="006C07BE">
        <w:trPr>
          <w:trHeight w:val="1340"/>
        </w:trPr>
        <w:tc>
          <w:tcPr>
            <w:tcW w:w="419" w:type="dxa"/>
          </w:tcPr>
          <w:p w14:paraId="55F14768" w14:textId="77777777" w:rsidR="00C74CAE" w:rsidRPr="00E74C48" w:rsidRDefault="00C74CAE">
            <w:pPr>
              <w:pStyle w:val="naiskr"/>
              <w:spacing w:before="0" w:after="0"/>
            </w:pPr>
            <w:r w:rsidRPr="00E74C48">
              <w:rPr>
                <w:sz w:val="22"/>
                <w:szCs w:val="22"/>
              </w:rPr>
              <w:t>6.</w:t>
            </w:r>
          </w:p>
        </w:tc>
        <w:tc>
          <w:tcPr>
            <w:tcW w:w="1509" w:type="dxa"/>
          </w:tcPr>
          <w:p w14:paraId="244D4077" w14:textId="77777777" w:rsidR="00C74CAE" w:rsidRPr="0043354D" w:rsidRDefault="00C74CAE">
            <w:pPr>
              <w:pStyle w:val="naiskr"/>
              <w:spacing w:before="0" w:after="0"/>
              <w:rPr>
                <w:i/>
              </w:rPr>
            </w:pPr>
            <w:r w:rsidRPr="0043354D">
              <w:t>Iemesli, kādēļ netika nodrošināta sabiedrības līdzdalība</w:t>
            </w:r>
          </w:p>
        </w:tc>
        <w:tc>
          <w:tcPr>
            <w:tcW w:w="7797" w:type="dxa"/>
          </w:tcPr>
          <w:p w14:paraId="42AEED59" w14:textId="77777777" w:rsidR="00C74CAE" w:rsidRPr="0043354D" w:rsidRDefault="00C74CAE" w:rsidP="00B1657C">
            <w:pPr>
              <w:pStyle w:val="FootnoteText"/>
              <w:spacing w:after="80"/>
              <w:rPr>
                <w:sz w:val="24"/>
                <w:szCs w:val="24"/>
              </w:rPr>
            </w:pPr>
            <w:r w:rsidRPr="0043354D">
              <w:rPr>
                <w:sz w:val="24"/>
                <w:szCs w:val="24"/>
              </w:rPr>
              <w:t>Projekts šo jomu neskar.</w:t>
            </w:r>
          </w:p>
        </w:tc>
      </w:tr>
      <w:tr w:rsidR="00E74C48" w:rsidRPr="00E74C48" w14:paraId="1FEC7DD3" w14:textId="77777777" w:rsidTr="006C07BE">
        <w:tc>
          <w:tcPr>
            <w:tcW w:w="419" w:type="dxa"/>
          </w:tcPr>
          <w:p w14:paraId="27C90886" w14:textId="77777777" w:rsidR="00C74CAE" w:rsidRPr="00E74C48" w:rsidRDefault="00C74CAE">
            <w:pPr>
              <w:pStyle w:val="naiskr"/>
              <w:spacing w:before="0" w:after="0"/>
            </w:pPr>
            <w:r w:rsidRPr="00E74C48">
              <w:rPr>
                <w:sz w:val="22"/>
                <w:szCs w:val="22"/>
              </w:rPr>
              <w:t>7.</w:t>
            </w:r>
          </w:p>
        </w:tc>
        <w:tc>
          <w:tcPr>
            <w:tcW w:w="1509" w:type="dxa"/>
          </w:tcPr>
          <w:p w14:paraId="6658C249" w14:textId="77777777" w:rsidR="00C74CAE" w:rsidRPr="00E74C48" w:rsidRDefault="00C74CAE">
            <w:pPr>
              <w:pStyle w:val="naiskr"/>
              <w:spacing w:before="0" w:after="0"/>
            </w:pPr>
            <w:r w:rsidRPr="00E74C48">
              <w:rPr>
                <w:sz w:val="22"/>
                <w:szCs w:val="22"/>
              </w:rPr>
              <w:t>Cita informācija</w:t>
            </w:r>
          </w:p>
        </w:tc>
        <w:tc>
          <w:tcPr>
            <w:tcW w:w="7797" w:type="dxa"/>
          </w:tcPr>
          <w:p w14:paraId="762260E7" w14:textId="77777777" w:rsidR="00C74CAE" w:rsidRPr="00E74C48" w:rsidRDefault="0043354D" w:rsidP="00B1657C">
            <w:pPr>
              <w:pStyle w:val="naiskr"/>
              <w:spacing w:before="0" w:after="80"/>
            </w:pPr>
            <w:r>
              <w:t>Nav</w:t>
            </w:r>
          </w:p>
        </w:tc>
      </w:tr>
    </w:tbl>
    <w:p w14:paraId="4EA3BD86" w14:textId="77777777" w:rsidR="00C74CAE" w:rsidRPr="00E74C48" w:rsidRDefault="00C74CAE">
      <w:pPr>
        <w:pStyle w:val="naisf"/>
        <w:spacing w:before="0" w:after="0"/>
      </w:pPr>
    </w:p>
    <w:p w14:paraId="7AAAAE85" w14:textId="77777777" w:rsidR="00C74CAE" w:rsidRPr="00E74C48" w:rsidRDefault="00C74CAE">
      <w:pPr>
        <w:pStyle w:val="naisf"/>
        <w:spacing w:before="0" w:after="0"/>
        <w:ind w:firstLine="0"/>
      </w:pPr>
    </w:p>
    <w:tbl>
      <w:tblPr>
        <w:tblpPr w:leftFromText="180" w:rightFromText="180" w:vertAnchor="text" w:horzAnchor="margin" w:tblpXSpec="center" w:tblpY="149"/>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1"/>
        <w:gridCol w:w="3153"/>
        <w:gridCol w:w="6033"/>
      </w:tblGrid>
      <w:tr w:rsidR="00E74C48" w:rsidRPr="00E74C48" w14:paraId="7B4EB1CE" w14:textId="77777777" w:rsidTr="006C07BE">
        <w:tc>
          <w:tcPr>
            <w:tcW w:w="10037" w:type="dxa"/>
            <w:gridSpan w:val="3"/>
            <w:vAlign w:val="center"/>
          </w:tcPr>
          <w:p w14:paraId="00F6134A" w14:textId="77777777" w:rsidR="00C74CAE" w:rsidRPr="00E74C48" w:rsidRDefault="00C74CAE">
            <w:pPr>
              <w:pStyle w:val="naisnod"/>
              <w:spacing w:before="0" w:after="0"/>
            </w:pPr>
            <w:r w:rsidRPr="00E74C48">
              <w:t>II. Tiesību akta projekta ietekme uz sabiedrību</w:t>
            </w:r>
          </w:p>
        </w:tc>
      </w:tr>
      <w:tr w:rsidR="00E74C48" w:rsidRPr="00E74C48" w14:paraId="6C8FDE2E" w14:textId="77777777" w:rsidTr="006C07BE">
        <w:trPr>
          <w:trHeight w:val="467"/>
        </w:trPr>
        <w:tc>
          <w:tcPr>
            <w:tcW w:w="851" w:type="dxa"/>
          </w:tcPr>
          <w:p w14:paraId="15082752" w14:textId="77777777" w:rsidR="00C74CAE" w:rsidRPr="00E74C48" w:rsidRDefault="00C74CAE">
            <w:pPr>
              <w:pStyle w:val="naiskr"/>
              <w:spacing w:before="0" w:after="0"/>
            </w:pPr>
            <w:r w:rsidRPr="00E74C48">
              <w:rPr>
                <w:sz w:val="22"/>
                <w:szCs w:val="22"/>
              </w:rPr>
              <w:t>1.</w:t>
            </w:r>
          </w:p>
        </w:tc>
        <w:tc>
          <w:tcPr>
            <w:tcW w:w="3153" w:type="dxa"/>
          </w:tcPr>
          <w:p w14:paraId="74D940FD" w14:textId="77777777" w:rsidR="00C74CAE" w:rsidRPr="0043354D" w:rsidRDefault="00C74CAE">
            <w:pPr>
              <w:pStyle w:val="naiskr"/>
              <w:spacing w:before="0" w:after="0"/>
            </w:pPr>
            <w:r w:rsidRPr="0043354D">
              <w:t xml:space="preserve">Sabiedrības </w:t>
            </w:r>
            <w:proofErr w:type="spellStart"/>
            <w:r w:rsidRPr="0043354D">
              <w:t>mērķgrupa</w:t>
            </w:r>
            <w:proofErr w:type="spellEnd"/>
          </w:p>
        </w:tc>
        <w:tc>
          <w:tcPr>
            <w:tcW w:w="6033" w:type="dxa"/>
          </w:tcPr>
          <w:p w14:paraId="4D9F1FB2" w14:textId="77777777" w:rsidR="00C74CAE" w:rsidRPr="0043354D" w:rsidRDefault="00C74CAE">
            <w:pPr>
              <w:pStyle w:val="naiskr"/>
              <w:spacing w:before="0" w:after="0"/>
              <w:ind w:hanging="57"/>
            </w:pPr>
            <w:r w:rsidRPr="0043354D">
              <w:rPr>
                <w:iCs/>
              </w:rPr>
              <w:t xml:space="preserve"> Tirgus dalībnieki, </w:t>
            </w:r>
            <w:proofErr w:type="spellStart"/>
            <w:r w:rsidRPr="0043354D">
              <w:rPr>
                <w:iCs/>
              </w:rPr>
              <w:t>t.i</w:t>
            </w:r>
            <w:proofErr w:type="spellEnd"/>
            <w:r w:rsidRPr="0043354D">
              <w:rPr>
                <w:iCs/>
              </w:rPr>
              <w:t>., visas personas, kas veic saimniecisko darbību un var ietekmēt konkurenci</w:t>
            </w:r>
          </w:p>
        </w:tc>
      </w:tr>
      <w:tr w:rsidR="00E74C48" w:rsidRPr="00E74C48" w14:paraId="265FBDCA" w14:textId="77777777" w:rsidTr="006C07BE">
        <w:trPr>
          <w:trHeight w:val="523"/>
        </w:trPr>
        <w:tc>
          <w:tcPr>
            <w:tcW w:w="851" w:type="dxa"/>
          </w:tcPr>
          <w:p w14:paraId="664B87D7" w14:textId="77777777" w:rsidR="00C74CAE" w:rsidRPr="00E74C48" w:rsidRDefault="00C74CAE">
            <w:pPr>
              <w:pStyle w:val="naiskr"/>
              <w:spacing w:before="0" w:after="0"/>
            </w:pPr>
            <w:r w:rsidRPr="00E74C48">
              <w:rPr>
                <w:sz w:val="22"/>
                <w:szCs w:val="22"/>
              </w:rPr>
              <w:t>2.</w:t>
            </w:r>
          </w:p>
        </w:tc>
        <w:tc>
          <w:tcPr>
            <w:tcW w:w="3153" w:type="dxa"/>
          </w:tcPr>
          <w:p w14:paraId="7AA72A21" w14:textId="77777777" w:rsidR="00C74CAE" w:rsidRPr="0043354D" w:rsidRDefault="00C74CAE">
            <w:pPr>
              <w:pStyle w:val="naiskr"/>
              <w:spacing w:before="0" w:after="0"/>
            </w:pPr>
            <w:r w:rsidRPr="0043354D">
              <w:t xml:space="preserve">Citas sabiedrības grupas (bez </w:t>
            </w:r>
            <w:proofErr w:type="spellStart"/>
            <w:r w:rsidRPr="0043354D">
              <w:t>mērķgrupas</w:t>
            </w:r>
            <w:proofErr w:type="spellEnd"/>
            <w:r w:rsidRPr="0043354D">
              <w:t>), kuras tiesiskais regulējums arī ietekmē vai varētu ietekmēt</w:t>
            </w:r>
          </w:p>
        </w:tc>
        <w:tc>
          <w:tcPr>
            <w:tcW w:w="6033" w:type="dxa"/>
          </w:tcPr>
          <w:p w14:paraId="7A082AD2" w14:textId="77777777" w:rsidR="00C74CAE" w:rsidRPr="0043354D" w:rsidRDefault="00C74CAE">
            <w:pPr>
              <w:pStyle w:val="naiskr"/>
              <w:spacing w:before="0" w:after="0"/>
            </w:pPr>
            <w:r w:rsidRPr="0043354D">
              <w:rPr>
                <w:iCs/>
              </w:rPr>
              <w:t>Patērētāji</w:t>
            </w:r>
            <w:r w:rsidR="005A1384" w:rsidRPr="0043354D">
              <w:rPr>
                <w:iCs/>
              </w:rPr>
              <w:t xml:space="preserve"> un jebkura cita persona, kas cietusi zaudējumus no konkurences tiesību pārkāpuma</w:t>
            </w:r>
          </w:p>
        </w:tc>
      </w:tr>
      <w:tr w:rsidR="00E74C48" w:rsidRPr="00E74C48" w14:paraId="7E359600" w14:textId="77777777" w:rsidTr="006C07BE">
        <w:trPr>
          <w:trHeight w:val="517"/>
        </w:trPr>
        <w:tc>
          <w:tcPr>
            <w:tcW w:w="851" w:type="dxa"/>
          </w:tcPr>
          <w:p w14:paraId="4200BFD4" w14:textId="77777777" w:rsidR="00C74CAE" w:rsidRPr="00E74C48" w:rsidRDefault="00C74CAE">
            <w:pPr>
              <w:pStyle w:val="naiskr"/>
              <w:spacing w:before="0" w:after="0"/>
            </w:pPr>
            <w:r w:rsidRPr="00E74C48">
              <w:rPr>
                <w:sz w:val="22"/>
                <w:szCs w:val="22"/>
              </w:rPr>
              <w:t>3.</w:t>
            </w:r>
          </w:p>
        </w:tc>
        <w:tc>
          <w:tcPr>
            <w:tcW w:w="3153" w:type="dxa"/>
          </w:tcPr>
          <w:p w14:paraId="31CC12DD" w14:textId="77777777" w:rsidR="00C74CAE" w:rsidRPr="0043354D" w:rsidRDefault="00C74CAE">
            <w:pPr>
              <w:pStyle w:val="naiskr"/>
              <w:spacing w:before="0" w:after="0"/>
            </w:pPr>
            <w:r w:rsidRPr="0043354D">
              <w:t>Tiesiskā regulējuma finansiālā ietekme</w:t>
            </w:r>
          </w:p>
        </w:tc>
        <w:tc>
          <w:tcPr>
            <w:tcW w:w="6033" w:type="dxa"/>
          </w:tcPr>
          <w:p w14:paraId="7CFC82DF" w14:textId="65358605" w:rsidR="00C74CAE" w:rsidRPr="0043354D" w:rsidRDefault="00C74CAE" w:rsidP="003C0043">
            <w:pPr>
              <w:pStyle w:val="naiskr"/>
              <w:spacing w:before="0" w:after="0"/>
              <w:jc w:val="both"/>
            </w:pPr>
            <w:r w:rsidRPr="0043354D">
              <w:rPr>
                <w:iCs/>
              </w:rPr>
              <w:t>Likumprojekts paredz ieviest valsts nodevu par apvienošanās izvērtēšanu. Nodevas lielums un maksāšanas kārtība tiks noteikta Ministru kabineta noteikumos. 2012.gadā tika iesniegti 11 apvienošanās ziņojumi (pieņemti 10 lēmumi, kā arī viens lēmums par pārkāpumu, kas izpaužas, kā apvienošanās ziņojuma neiesniegšana). 2013.gada pirmajā pusē pieņemti 8 lēmumi par apvienošanos. Kā rezultātā ieviestā valsts nodeva varētu skart ļoti mazu tirgus</w:t>
            </w:r>
            <w:r w:rsidR="00B83603" w:rsidRPr="0043354D">
              <w:rPr>
                <w:iCs/>
              </w:rPr>
              <w:t xml:space="preserve"> dalībnieku loku. Nodevas apjomu</w:t>
            </w:r>
            <w:r w:rsidRPr="0043354D">
              <w:rPr>
                <w:iCs/>
              </w:rPr>
              <w:t xml:space="preserve"> plānots diferencēt atbilstoši apvienošanās iesaistīto tirgus dalībnieku apgrozījumam Latvijā. Attiecīgi, ja tiek iesniegts saīsinātais apvienošanās ziņojums</w:t>
            </w:r>
            <w:r w:rsidR="00D14192">
              <w:rPr>
                <w:iCs/>
              </w:rPr>
              <w:t>,</w:t>
            </w:r>
            <w:r w:rsidRPr="0043354D">
              <w:rPr>
                <w:iCs/>
              </w:rPr>
              <w:t xml:space="preserve"> nodeva paredzēta 2000 </w:t>
            </w:r>
            <w:proofErr w:type="spellStart"/>
            <w:r w:rsidRPr="0043354D">
              <w:rPr>
                <w:iCs/>
              </w:rPr>
              <w:t>euro</w:t>
            </w:r>
            <w:proofErr w:type="spellEnd"/>
            <w:r w:rsidRPr="0043354D">
              <w:rPr>
                <w:iCs/>
              </w:rPr>
              <w:t xml:space="preserve"> apmērā, šāda summa paredzēta arī gadījumiem, kad apvienošanās neatbilst paziņošanas kritērijiem, tomēr ziņojums tiek iesniegts pēc Konkurences padomes </w:t>
            </w:r>
            <w:r w:rsidR="00B83603" w:rsidRPr="0043354D">
              <w:rPr>
                <w:iCs/>
              </w:rPr>
              <w:t>pieprasījuma</w:t>
            </w:r>
            <w:r w:rsidRPr="0043354D">
              <w:rPr>
                <w:iCs/>
              </w:rPr>
              <w:t xml:space="preserve">. Apvienošanās </w:t>
            </w:r>
            <w:r w:rsidR="003C0043">
              <w:rPr>
                <w:iCs/>
              </w:rPr>
              <w:t xml:space="preserve">izvērtēšanas </w:t>
            </w:r>
            <w:r w:rsidRPr="0043354D">
              <w:rPr>
                <w:iCs/>
              </w:rPr>
              <w:t xml:space="preserve">nodeva paredzēta 4000 </w:t>
            </w:r>
            <w:proofErr w:type="spellStart"/>
            <w:r w:rsidRPr="0043354D">
              <w:rPr>
                <w:i/>
                <w:shd w:val="clear" w:color="auto" w:fill="FFFFFF"/>
              </w:rPr>
              <w:t>euro</w:t>
            </w:r>
            <w:proofErr w:type="spellEnd"/>
            <w:r w:rsidRPr="0043354D">
              <w:rPr>
                <w:shd w:val="clear" w:color="auto" w:fill="FFFFFF"/>
              </w:rPr>
              <w:t xml:space="preserve"> apmērā, ja apvienošanās dalībnieku </w:t>
            </w:r>
            <w:r w:rsidRPr="0043354D">
              <w:t xml:space="preserve">kopējais apgrozījums iepriekšējā finanšu gadā Latvijas teritorijā ir starp 30 miljoniem </w:t>
            </w:r>
            <w:proofErr w:type="spellStart"/>
            <w:r w:rsidRPr="0043354D">
              <w:rPr>
                <w:i/>
              </w:rPr>
              <w:t>euro</w:t>
            </w:r>
            <w:proofErr w:type="spellEnd"/>
            <w:r w:rsidRPr="0043354D">
              <w:t xml:space="preserve"> un 80 miljoniem </w:t>
            </w:r>
            <w:proofErr w:type="spellStart"/>
            <w:r w:rsidRPr="0043354D">
              <w:rPr>
                <w:i/>
              </w:rPr>
              <w:t>euro</w:t>
            </w:r>
            <w:proofErr w:type="spellEnd"/>
            <w:r w:rsidRPr="0043354D">
              <w:t xml:space="preserve"> un </w:t>
            </w:r>
            <w:r w:rsidRPr="0043354D">
              <w:rPr>
                <w:shd w:val="clear" w:color="auto" w:fill="FFFFFF"/>
              </w:rPr>
              <w:t xml:space="preserve">8000 </w:t>
            </w:r>
            <w:proofErr w:type="spellStart"/>
            <w:r w:rsidRPr="0043354D">
              <w:rPr>
                <w:i/>
                <w:shd w:val="clear" w:color="auto" w:fill="FFFFFF"/>
              </w:rPr>
              <w:t>euro</w:t>
            </w:r>
            <w:proofErr w:type="spellEnd"/>
            <w:r w:rsidRPr="0043354D">
              <w:t xml:space="preserve"> apmērā,  </w:t>
            </w:r>
            <w:r w:rsidRPr="0043354D">
              <w:rPr>
                <w:shd w:val="clear" w:color="auto" w:fill="FFFFFF"/>
              </w:rPr>
              <w:t xml:space="preserve">ja apvienošanās dalībnieku </w:t>
            </w:r>
            <w:r w:rsidRPr="0043354D">
              <w:t xml:space="preserve">kopējais apgrozījums iepriekšējā finanšu gadā </w:t>
            </w:r>
            <w:r w:rsidRPr="0043354D">
              <w:lastRenderedPageBreak/>
              <w:t xml:space="preserve">Latvijas teritorijā pārsniedz 80 miljonus </w:t>
            </w:r>
            <w:proofErr w:type="spellStart"/>
            <w:r w:rsidRPr="0043354D">
              <w:rPr>
                <w:i/>
              </w:rPr>
              <w:t>euro</w:t>
            </w:r>
            <w:proofErr w:type="spellEnd"/>
            <w:r w:rsidRPr="0043354D">
              <w:t>.</w:t>
            </w:r>
          </w:p>
        </w:tc>
      </w:tr>
      <w:tr w:rsidR="00E74C48" w:rsidRPr="00E74C48" w14:paraId="56B4F3BC" w14:textId="77777777" w:rsidTr="006C07BE">
        <w:trPr>
          <w:trHeight w:val="517"/>
        </w:trPr>
        <w:tc>
          <w:tcPr>
            <w:tcW w:w="851" w:type="dxa"/>
          </w:tcPr>
          <w:p w14:paraId="68C87AE7" w14:textId="77777777" w:rsidR="00C74CAE" w:rsidRPr="00E74C48" w:rsidRDefault="00C74CAE">
            <w:pPr>
              <w:pStyle w:val="naiskr"/>
              <w:spacing w:before="0" w:after="0"/>
            </w:pPr>
            <w:r w:rsidRPr="00E74C48">
              <w:rPr>
                <w:sz w:val="22"/>
                <w:szCs w:val="22"/>
              </w:rPr>
              <w:lastRenderedPageBreak/>
              <w:t>4.</w:t>
            </w:r>
          </w:p>
        </w:tc>
        <w:tc>
          <w:tcPr>
            <w:tcW w:w="3153" w:type="dxa"/>
          </w:tcPr>
          <w:p w14:paraId="6E1FE853" w14:textId="77777777" w:rsidR="00C74CAE" w:rsidRPr="0043354D" w:rsidRDefault="00C74CAE">
            <w:pPr>
              <w:pStyle w:val="naiskr"/>
              <w:spacing w:before="0" w:after="0"/>
            </w:pPr>
            <w:r w:rsidRPr="0043354D">
              <w:t>Tiesiskā regulējuma nefinansiālā ietekme</w:t>
            </w:r>
          </w:p>
        </w:tc>
        <w:tc>
          <w:tcPr>
            <w:tcW w:w="6033" w:type="dxa"/>
          </w:tcPr>
          <w:p w14:paraId="5920B462" w14:textId="77777777" w:rsidR="00C74CAE" w:rsidRPr="0043354D" w:rsidRDefault="00C74CAE" w:rsidP="00CF30FF">
            <w:pPr>
              <w:pStyle w:val="naiskr"/>
              <w:spacing w:before="0" w:after="0"/>
              <w:jc w:val="both"/>
            </w:pPr>
            <w:r w:rsidRPr="0043354D">
              <w:rPr>
                <w:iCs/>
              </w:rPr>
              <w:t xml:space="preserve">Likumprojekts </w:t>
            </w:r>
            <w:proofErr w:type="spellStart"/>
            <w:r w:rsidR="00CF30FF" w:rsidRPr="0043354D">
              <w:rPr>
                <w:iCs/>
              </w:rPr>
              <w:t>efektivizēs</w:t>
            </w:r>
            <w:proofErr w:type="spellEnd"/>
            <w:r w:rsidR="00CF30FF" w:rsidRPr="0043354D">
              <w:rPr>
                <w:iCs/>
              </w:rPr>
              <w:t xml:space="preserve"> konkurences lietu izskatīšanu, </w:t>
            </w:r>
            <w:r w:rsidRPr="0043354D">
              <w:rPr>
                <w:iCs/>
              </w:rPr>
              <w:t xml:space="preserve">preventīvi veicinās konkurences tiesību ievērošanu, piemērotā naudassoda samaksu, tiesisko pienākumu izpildi, ar konkurences tiesību pārkāpuma rezultātā nodarīto zaudējumu atlīdzību un apvienošanās kontroli, tādējādi sekmējot godīgu konkurenci.  </w:t>
            </w:r>
          </w:p>
        </w:tc>
      </w:tr>
      <w:tr w:rsidR="00E74C48" w:rsidRPr="00E74C48" w14:paraId="60FC29D1" w14:textId="77777777" w:rsidTr="006C07BE">
        <w:trPr>
          <w:trHeight w:val="531"/>
        </w:trPr>
        <w:tc>
          <w:tcPr>
            <w:tcW w:w="851" w:type="dxa"/>
          </w:tcPr>
          <w:p w14:paraId="76F74EDB" w14:textId="77777777" w:rsidR="00C74CAE" w:rsidRPr="00E74C48" w:rsidRDefault="00C74CAE">
            <w:pPr>
              <w:pStyle w:val="naiskr"/>
              <w:spacing w:before="0" w:after="0"/>
            </w:pPr>
            <w:r w:rsidRPr="00E74C48">
              <w:rPr>
                <w:sz w:val="22"/>
                <w:szCs w:val="22"/>
              </w:rPr>
              <w:t>5.</w:t>
            </w:r>
          </w:p>
        </w:tc>
        <w:tc>
          <w:tcPr>
            <w:tcW w:w="3153" w:type="dxa"/>
          </w:tcPr>
          <w:p w14:paraId="0899266A" w14:textId="77777777" w:rsidR="00C74CAE" w:rsidRPr="0043354D" w:rsidRDefault="00C74CAE">
            <w:pPr>
              <w:pStyle w:val="naiskr"/>
              <w:spacing w:before="0" w:after="0"/>
            </w:pPr>
            <w:r w:rsidRPr="0043354D">
              <w:t>Administratīvās procedūras raksturojums</w:t>
            </w:r>
          </w:p>
        </w:tc>
        <w:tc>
          <w:tcPr>
            <w:tcW w:w="6033" w:type="dxa"/>
          </w:tcPr>
          <w:p w14:paraId="766377E9" w14:textId="77777777" w:rsidR="00C74CAE" w:rsidRPr="0043354D" w:rsidRDefault="00C74CAE">
            <w:pPr>
              <w:pStyle w:val="naiskr"/>
              <w:spacing w:before="0" w:after="0"/>
            </w:pPr>
            <w:r w:rsidRPr="0043354D">
              <w:t>Personas savas tiesības varēs aizstāvēt normatīvajos aktos noteiktajā kārtībā (Administratīvā procesa likums).</w:t>
            </w:r>
          </w:p>
        </w:tc>
      </w:tr>
      <w:tr w:rsidR="00E74C48" w:rsidRPr="00E74C48" w14:paraId="2DDB148E" w14:textId="77777777" w:rsidTr="006C07BE">
        <w:trPr>
          <w:trHeight w:val="357"/>
        </w:trPr>
        <w:tc>
          <w:tcPr>
            <w:tcW w:w="851" w:type="dxa"/>
          </w:tcPr>
          <w:p w14:paraId="44DD20A6" w14:textId="77777777" w:rsidR="00C74CAE" w:rsidRPr="00E74C48" w:rsidRDefault="00C74CAE">
            <w:pPr>
              <w:pStyle w:val="naiskr"/>
              <w:spacing w:before="0" w:after="0"/>
            </w:pPr>
            <w:r w:rsidRPr="00E74C48">
              <w:rPr>
                <w:sz w:val="22"/>
                <w:szCs w:val="22"/>
              </w:rPr>
              <w:t>6.</w:t>
            </w:r>
          </w:p>
        </w:tc>
        <w:tc>
          <w:tcPr>
            <w:tcW w:w="3153" w:type="dxa"/>
          </w:tcPr>
          <w:p w14:paraId="723A6575" w14:textId="77777777" w:rsidR="00C74CAE" w:rsidRPr="0043354D" w:rsidRDefault="00C74CAE">
            <w:pPr>
              <w:pStyle w:val="naiskr"/>
              <w:spacing w:before="0" w:after="0"/>
            </w:pPr>
            <w:r w:rsidRPr="0043354D">
              <w:t>Administratīvo izmaksu monetārs novērtējums</w:t>
            </w:r>
          </w:p>
        </w:tc>
        <w:tc>
          <w:tcPr>
            <w:tcW w:w="6033" w:type="dxa"/>
          </w:tcPr>
          <w:p w14:paraId="45531B96" w14:textId="77777777" w:rsidR="00C74CAE" w:rsidRPr="0043354D" w:rsidRDefault="00CF30FF">
            <w:pPr>
              <w:pStyle w:val="naiskr"/>
              <w:spacing w:before="0" w:after="0"/>
              <w:jc w:val="both"/>
              <w:rPr>
                <w:iCs/>
              </w:rPr>
            </w:pPr>
            <w:r w:rsidRPr="0043354D">
              <w:rPr>
                <w:iCs/>
              </w:rPr>
              <w:t>Precīzs a</w:t>
            </w:r>
            <w:r w:rsidR="00C74CAE" w:rsidRPr="0043354D">
              <w:rPr>
                <w:iCs/>
              </w:rPr>
              <w:t>dministratīvo izmaksu monetārs novērtējums nav nosakāms, bet tas nav uzskatāms par nozīmīgu.</w:t>
            </w:r>
          </w:p>
          <w:p w14:paraId="20561A7E" w14:textId="77777777" w:rsidR="009E6544" w:rsidRPr="0043354D" w:rsidRDefault="00C74CAE" w:rsidP="00D936D7">
            <w:pPr>
              <w:pStyle w:val="naiskr"/>
              <w:spacing w:before="0" w:after="0"/>
              <w:jc w:val="both"/>
              <w:rPr>
                <w:iCs/>
              </w:rPr>
            </w:pPr>
            <w:r w:rsidRPr="0043354D">
              <w:rPr>
                <w:iCs/>
              </w:rPr>
              <w:t xml:space="preserve">Likumprojekts </w:t>
            </w:r>
            <w:r w:rsidR="00800D58" w:rsidRPr="0043354D">
              <w:rPr>
                <w:iCs/>
              </w:rPr>
              <w:t>groza</w:t>
            </w:r>
            <w:r w:rsidRPr="0043354D">
              <w:rPr>
                <w:iCs/>
              </w:rPr>
              <w:t xml:space="preserve"> apvienošanās paziņošanas kritērijus, atceļot</w:t>
            </w:r>
            <w:r w:rsidR="009E6544" w:rsidRPr="0043354D">
              <w:rPr>
                <w:iCs/>
              </w:rPr>
              <w:t xml:space="preserve"> 40 % tirgus daļas slieksni, kuru pārsniedzot apvienošanās ir paziņojama. Līdz ar to apvienošanās dalībniekiem tiks samazinātas</w:t>
            </w:r>
            <w:r w:rsidR="00D936D7" w:rsidRPr="0043354D">
              <w:rPr>
                <w:iCs/>
              </w:rPr>
              <w:t xml:space="preserve"> izmaksas, kas saistītas ar šīs grūti pieejamās informācijas iegūšanu. </w:t>
            </w:r>
          </w:p>
          <w:p w14:paraId="224314D0" w14:textId="77777777" w:rsidR="00C74CAE" w:rsidRPr="0043354D" w:rsidRDefault="00D936D7">
            <w:pPr>
              <w:pStyle w:val="naiskr"/>
              <w:spacing w:before="0" w:after="0"/>
              <w:jc w:val="both"/>
              <w:rPr>
                <w:iCs/>
              </w:rPr>
            </w:pPr>
            <w:r w:rsidRPr="0043354D">
              <w:rPr>
                <w:iCs/>
              </w:rPr>
              <w:t xml:space="preserve">Apvienošanās dalībnieku izmaksas apvienošanās ziņojuma sagatavošanai tiks samazinātas arī ievērojot, ka likumprojekts paredz </w:t>
            </w:r>
            <w:r w:rsidR="00C74CAE" w:rsidRPr="0043354D">
              <w:rPr>
                <w:iCs/>
              </w:rPr>
              <w:t>paplašināt to gadījumu skaits, kad iespējams iesniegt saīsinātu ziņojumu par apvienošanos</w:t>
            </w:r>
            <w:r w:rsidRPr="0043354D">
              <w:rPr>
                <w:iCs/>
              </w:rPr>
              <w:t>, kā arī tiesības Konkurences padomei atbrīvot apvienošanās dalībnieku no noteiktas informācijas iesniegšanas.</w:t>
            </w:r>
            <w:r w:rsidR="00C74CAE" w:rsidRPr="0043354D">
              <w:rPr>
                <w:iCs/>
              </w:rPr>
              <w:t>.</w:t>
            </w:r>
          </w:p>
          <w:p w14:paraId="02823C85" w14:textId="77777777" w:rsidR="00C74CAE" w:rsidRPr="0043354D" w:rsidRDefault="00C74CAE">
            <w:pPr>
              <w:pStyle w:val="naiskr"/>
              <w:spacing w:before="0" w:after="0"/>
              <w:jc w:val="both"/>
              <w:rPr>
                <w:iCs/>
              </w:rPr>
            </w:pPr>
            <w:r w:rsidRPr="0043354D">
              <w:rPr>
                <w:iCs/>
              </w:rPr>
              <w:t xml:space="preserve">2012.gadā tika iesniegti 11 apvienošanās ziņojumi (pieņemti 10 lēmumi, kā arī viens lēmums par pārkāpumu, kas izpaužas, kā apvienošanās ziņojuma neiesniegšana). 2013.gada pirmajā pusē pieņemti 8 lēmumi par apvienošanos. </w:t>
            </w:r>
          </w:p>
          <w:p w14:paraId="59585C55" w14:textId="77777777" w:rsidR="00C74CAE" w:rsidRPr="0043354D" w:rsidRDefault="00C74CAE">
            <w:pPr>
              <w:pStyle w:val="naiskr"/>
              <w:spacing w:before="0" w:after="0"/>
              <w:jc w:val="both"/>
              <w:rPr>
                <w:shd w:val="clear" w:color="auto" w:fill="FFFFFF"/>
              </w:rPr>
            </w:pPr>
            <w:r w:rsidRPr="0043354D">
              <w:rPr>
                <w:shd w:val="clear" w:color="auto" w:fill="FFFFFF"/>
              </w:rPr>
              <w:t>Finanšu līdzekļu apjoms, kas nepieciešams, lai nodrošinātu apvienošanās ziņojuma pienākuma izpildi</w:t>
            </w:r>
            <w:r w:rsidRPr="0043354D">
              <w:rPr>
                <w:rStyle w:val="apple-converted-space"/>
                <w:shd w:val="clear" w:color="auto" w:fill="FFFFFF"/>
              </w:rPr>
              <w:t xml:space="preserve"> katrā konkrētā gadījumā var atšķirties atkarībā no apvienošanās darījuma komplicētības un izvēlētā apvienošanās ziņojuma sagatavotāja.</w:t>
            </w:r>
          </w:p>
        </w:tc>
      </w:tr>
      <w:tr w:rsidR="00E74C48" w:rsidRPr="00E74C48" w14:paraId="3F45F6FD" w14:textId="77777777" w:rsidTr="006C07BE">
        <w:tc>
          <w:tcPr>
            <w:tcW w:w="851" w:type="dxa"/>
          </w:tcPr>
          <w:p w14:paraId="48B056BD" w14:textId="77777777" w:rsidR="00C74CAE" w:rsidRPr="00E74C48" w:rsidRDefault="00C74CAE">
            <w:pPr>
              <w:pStyle w:val="naiskr"/>
              <w:spacing w:before="0" w:after="0"/>
            </w:pPr>
            <w:r w:rsidRPr="00E74C48">
              <w:rPr>
                <w:sz w:val="22"/>
                <w:szCs w:val="22"/>
              </w:rPr>
              <w:t>7.</w:t>
            </w:r>
          </w:p>
        </w:tc>
        <w:tc>
          <w:tcPr>
            <w:tcW w:w="3153" w:type="dxa"/>
          </w:tcPr>
          <w:p w14:paraId="2FFC719E" w14:textId="77777777" w:rsidR="00C74CAE" w:rsidRPr="0043354D" w:rsidRDefault="00C74CAE">
            <w:pPr>
              <w:pStyle w:val="naiskr"/>
              <w:spacing w:before="0" w:after="0"/>
            </w:pPr>
            <w:r w:rsidRPr="0043354D">
              <w:t>Cita informācija</w:t>
            </w:r>
          </w:p>
        </w:tc>
        <w:tc>
          <w:tcPr>
            <w:tcW w:w="6033" w:type="dxa"/>
          </w:tcPr>
          <w:p w14:paraId="029F95E4" w14:textId="77777777" w:rsidR="00C74CAE" w:rsidRPr="0043354D" w:rsidRDefault="0043354D">
            <w:pPr>
              <w:pStyle w:val="naiskr"/>
              <w:spacing w:before="0" w:after="0"/>
            </w:pPr>
            <w:r>
              <w:t>Nav</w:t>
            </w:r>
          </w:p>
        </w:tc>
      </w:tr>
    </w:tbl>
    <w:p w14:paraId="7A21135D" w14:textId="77777777" w:rsidR="00C74CAE" w:rsidRPr="00E74C48" w:rsidRDefault="00C74CAE">
      <w:pPr>
        <w:rPr>
          <w:vanish/>
        </w:rPr>
      </w:pPr>
    </w:p>
    <w:p w14:paraId="61F0C441" w14:textId="77777777" w:rsidR="00C74CAE" w:rsidRPr="00E74C48" w:rsidRDefault="00C74CAE">
      <w:pPr>
        <w:pStyle w:val="NormalWeb"/>
        <w:spacing w:before="0" w:beforeAutospacing="0" w:after="0" w:afterAutospacing="0"/>
      </w:pPr>
    </w:p>
    <w:tbl>
      <w:tblPr>
        <w:tblW w:w="5434" w:type="pct"/>
        <w:tblInd w:w="-53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468"/>
        <w:gridCol w:w="1005"/>
        <w:gridCol w:w="1442"/>
        <w:gridCol w:w="994"/>
        <w:gridCol w:w="994"/>
        <w:gridCol w:w="2021"/>
      </w:tblGrid>
      <w:tr w:rsidR="00E74C48" w:rsidRPr="0043354D" w14:paraId="31A899B9" w14:textId="77777777" w:rsidTr="006C07BE">
        <w:tc>
          <w:tcPr>
            <w:tcW w:w="5000" w:type="pct"/>
            <w:gridSpan w:val="6"/>
            <w:tcBorders>
              <w:top w:val="outset" w:sz="6" w:space="0" w:color="000000"/>
              <w:bottom w:val="outset" w:sz="6" w:space="0" w:color="000000"/>
            </w:tcBorders>
          </w:tcPr>
          <w:p w14:paraId="6CA5D9FC" w14:textId="77777777" w:rsidR="00C74CAE" w:rsidRPr="0043354D" w:rsidRDefault="00C74CAE">
            <w:pPr>
              <w:pStyle w:val="NormalWeb"/>
              <w:jc w:val="center"/>
              <w:rPr>
                <w:b/>
                <w:bCs/>
              </w:rPr>
            </w:pPr>
            <w:r w:rsidRPr="0043354D">
              <w:rPr>
                <w:b/>
                <w:bCs/>
              </w:rPr>
              <w:t>III. Tiesību akta projekta ietekme uz valsts budžetu un pašvaldību budžetiem</w:t>
            </w:r>
          </w:p>
        </w:tc>
      </w:tr>
      <w:tr w:rsidR="00E74C48" w:rsidRPr="0043354D" w14:paraId="4E99333F" w14:textId="77777777" w:rsidTr="00E005CB">
        <w:tc>
          <w:tcPr>
            <w:tcW w:w="0" w:type="auto"/>
            <w:vMerge w:val="restart"/>
            <w:tcBorders>
              <w:top w:val="outset" w:sz="6" w:space="0" w:color="000000"/>
              <w:bottom w:val="outset" w:sz="6" w:space="0" w:color="000000"/>
              <w:right w:val="outset" w:sz="6" w:space="0" w:color="000000"/>
            </w:tcBorders>
            <w:vAlign w:val="center"/>
          </w:tcPr>
          <w:p w14:paraId="2C1E2DBE" w14:textId="77777777" w:rsidR="00C74CAE" w:rsidRPr="0043354D" w:rsidRDefault="00C74CAE">
            <w:pPr>
              <w:pStyle w:val="NormalWeb"/>
              <w:jc w:val="center"/>
              <w:rPr>
                <w:b/>
                <w:bCs/>
              </w:rPr>
            </w:pPr>
            <w:r w:rsidRPr="0043354D">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1CCD9C34" w14:textId="77777777" w:rsidR="00C74CAE" w:rsidRPr="0043354D" w:rsidRDefault="00C74CAE" w:rsidP="004F0159">
            <w:pPr>
              <w:pStyle w:val="NormalWeb"/>
              <w:jc w:val="center"/>
              <w:rPr>
                <w:b/>
                <w:bCs/>
              </w:rPr>
            </w:pPr>
            <w:r w:rsidRPr="0043354D">
              <w:rPr>
                <w:b/>
                <w:bCs/>
              </w:rPr>
              <w:t>201</w:t>
            </w:r>
            <w:r w:rsidR="004F0159">
              <w:rPr>
                <w:b/>
                <w:bCs/>
              </w:rPr>
              <w:t>4</w:t>
            </w:r>
            <w:r w:rsidRPr="0043354D">
              <w:rPr>
                <w:b/>
                <w:bCs/>
              </w:rPr>
              <w:t>. gads</w:t>
            </w:r>
          </w:p>
        </w:tc>
        <w:tc>
          <w:tcPr>
            <w:tcW w:w="2030" w:type="pct"/>
            <w:gridSpan w:val="3"/>
            <w:tcBorders>
              <w:top w:val="outset" w:sz="6" w:space="0" w:color="000000"/>
              <w:left w:val="outset" w:sz="6" w:space="0" w:color="000000"/>
              <w:bottom w:val="outset" w:sz="6" w:space="0" w:color="000000"/>
            </w:tcBorders>
            <w:vAlign w:val="center"/>
          </w:tcPr>
          <w:p w14:paraId="16EE49FD" w14:textId="2BE34A16" w:rsidR="00C74CAE" w:rsidRPr="0043354D" w:rsidRDefault="00E005CB" w:rsidP="00E005CB">
            <w:pPr>
              <w:pStyle w:val="NormalWeb"/>
              <w:jc w:val="center"/>
            </w:pPr>
            <w:r>
              <w:t>Turpmākie trīs gadi (</w:t>
            </w:r>
            <w:proofErr w:type="spellStart"/>
            <w:r w:rsidR="003B45C0" w:rsidRPr="0043354D">
              <w:rPr>
                <w:i/>
              </w:rPr>
              <w:t>euro</w:t>
            </w:r>
            <w:proofErr w:type="spellEnd"/>
            <w:r w:rsidR="00C74CAE" w:rsidRPr="0043354D">
              <w:t>)</w:t>
            </w:r>
          </w:p>
        </w:tc>
      </w:tr>
      <w:tr w:rsidR="00E74C48" w:rsidRPr="0043354D" w14:paraId="3363B6AB" w14:textId="77777777" w:rsidTr="00E005CB">
        <w:tc>
          <w:tcPr>
            <w:tcW w:w="0" w:type="auto"/>
            <w:vMerge/>
            <w:tcBorders>
              <w:top w:val="outset" w:sz="6" w:space="0" w:color="000000"/>
              <w:bottom w:val="outset" w:sz="6" w:space="0" w:color="000000"/>
              <w:right w:val="outset" w:sz="6" w:space="0" w:color="000000"/>
            </w:tcBorders>
            <w:vAlign w:val="center"/>
          </w:tcPr>
          <w:p w14:paraId="664FC489" w14:textId="77777777" w:rsidR="00C74CAE" w:rsidRPr="0043354D" w:rsidRDefault="00C74CAE">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1D33B502" w14:textId="77777777" w:rsidR="00C74CAE" w:rsidRPr="0043354D" w:rsidRDefault="00C74CAE">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63B3BD28" w14:textId="77777777" w:rsidR="00C74CAE" w:rsidRPr="0043354D" w:rsidRDefault="00C74CAE">
            <w:pPr>
              <w:pStyle w:val="NormalWeb"/>
              <w:jc w:val="center"/>
              <w:rPr>
                <w:b/>
                <w:bCs/>
              </w:rPr>
            </w:pPr>
            <w:r w:rsidRPr="00902BBE">
              <w:rPr>
                <w:b/>
                <w:bCs/>
              </w:rPr>
              <w:t>201</w:t>
            </w:r>
            <w:r w:rsidR="004F0159" w:rsidRPr="00902BBE">
              <w:rPr>
                <w:b/>
                <w:bCs/>
              </w:rPr>
              <w:t>5</w:t>
            </w:r>
          </w:p>
        </w:tc>
        <w:tc>
          <w:tcPr>
            <w:tcW w:w="0" w:type="auto"/>
            <w:tcBorders>
              <w:top w:val="outset" w:sz="6" w:space="0" w:color="000000"/>
              <w:left w:val="outset" w:sz="6" w:space="0" w:color="000000"/>
              <w:bottom w:val="outset" w:sz="6" w:space="0" w:color="000000"/>
              <w:right w:val="outset" w:sz="6" w:space="0" w:color="000000"/>
            </w:tcBorders>
            <w:vAlign w:val="center"/>
          </w:tcPr>
          <w:p w14:paraId="016C808D" w14:textId="77777777" w:rsidR="00C74CAE" w:rsidRPr="0043354D" w:rsidRDefault="00C74CAE">
            <w:pPr>
              <w:pStyle w:val="NormalWeb"/>
              <w:jc w:val="center"/>
              <w:rPr>
                <w:b/>
                <w:bCs/>
              </w:rPr>
            </w:pPr>
            <w:r w:rsidRPr="0043354D">
              <w:rPr>
                <w:b/>
                <w:bCs/>
              </w:rPr>
              <w:t>201</w:t>
            </w:r>
            <w:r w:rsidR="004F0159">
              <w:rPr>
                <w:b/>
                <w:bCs/>
              </w:rPr>
              <w:t>6</w:t>
            </w:r>
          </w:p>
        </w:tc>
        <w:tc>
          <w:tcPr>
            <w:tcW w:w="1029" w:type="pct"/>
            <w:tcBorders>
              <w:top w:val="outset" w:sz="6" w:space="0" w:color="000000"/>
              <w:left w:val="outset" w:sz="6" w:space="0" w:color="000000"/>
              <w:bottom w:val="outset" w:sz="6" w:space="0" w:color="000000"/>
            </w:tcBorders>
            <w:vAlign w:val="center"/>
          </w:tcPr>
          <w:p w14:paraId="3A8C4C9B" w14:textId="77777777" w:rsidR="00C74CAE" w:rsidRPr="0043354D" w:rsidRDefault="00C74CAE">
            <w:pPr>
              <w:pStyle w:val="NormalWeb"/>
              <w:jc w:val="center"/>
              <w:rPr>
                <w:b/>
                <w:bCs/>
              </w:rPr>
            </w:pPr>
            <w:r w:rsidRPr="0043354D">
              <w:rPr>
                <w:b/>
                <w:bCs/>
              </w:rPr>
              <w:t>201</w:t>
            </w:r>
            <w:r w:rsidR="004F0159">
              <w:rPr>
                <w:b/>
                <w:bCs/>
              </w:rPr>
              <w:t>7</w:t>
            </w:r>
          </w:p>
        </w:tc>
      </w:tr>
      <w:tr w:rsidR="00E74C48" w:rsidRPr="0043354D" w14:paraId="0F33F678" w14:textId="77777777" w:rsidTr="00E005CB">
        <w:tc>
          <w:tcPr>
            <w:tcW w:w="0" w:type="auto"/>
            <w:vMerge/>
            <w:tcBorders>
              <w:top w:val="outset" w:sz="6" w:space="0" w:color="000000"/>
              <w:bottom w:val="outset" w:sz="6" w:space="0" w:color="000000"/>
              <w:right w:val="outset" w:sz="6" w:space="0" w:color="000000"/>
            </w:tcBorders>
            <w:vAlign w:val="center"/>
          </w:tcPr>
          <w:p w14:paraId="136393B1" w14:textId="77777777" w:rsidR="00C74CAE" w:rsidRPr="0043354D" w:rsidRDefault="00C74CAE">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6E25B168" w14:textId="77777777" w:rsidR="00C74CAE" w:rsidRPr="0043354D" w:rsidRDefault="00C74CAE">
            <w:pPr>
              <w:pStyle w:val="NormalWeb"/>
              <w:jc w:val="center"/>
            </w:pPr>
            <w:r w:rsidRPr="0043354D">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3713E741" w14:textId="77777777" w:rsidR="00C74CAE" w:rsidRPr="0043354D" w:rsidRDefault="00C74CAE">
            <w:pPr>
              <w:pStyle w:val="NormalWeb"/>
              <w:jc w:val="center"/>
            </w:pPr>
            <w:r w:rsidRPr="0043354D">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119B87DA" w14:textId="77777777" w:rsidR="00C74CAE" w:rsidRPr="0043354D" w:rsidRDefault="00C74CAE">
            <w:pPr>
              <w:pStyle w:val="NormalWeb"/>
              <w:jc w:val="center"/>
            </w:pPr>
            <w:r w:rsidRPr="0043354D">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16B76481" w14:textId="77777777" w:rsidR="00C74CAE" w:rsidRPr="0043354D" w:rsidRDefault="00C74CAE">
            <w:pPr>
              <w:pStyle w:val="NormalWeb"/>
              <w:jc w:val="center"/>
            </w:pPr>
            <w:r w:rsidRPr="0043354D">
              <w:t>Izmaiņas, salīdzinot ar kārtējo (n) gadu</w:t>
            </w:r>
          </w:p>
        </w:tc>
        <w:tc>
          <w:tcPr>
            <w:tcW w:w="1029" w:type="pct"/>
            <w:tcBorders>
              <w:top w:val="outset" w:sz="6" w:space="0" w:color="000000"/>
              <w:left w:val="outset" w:sz="6" w:space="0" w:color="000000"/>
              <w:bottom w:val="outset" w:sz="6" w:space="0" w:color="000000"/>
            </w:tcBorders>
            <w:vAlign w:val="center"/>
          </w:tcPr>
          <w:p w14:paraId="14976615" w14:textId="77777777" w:rsidR="00C74CAE" w:rsidRPr="0043354D" w:rsidRDefault="00C74CAE">
            <w:pPr>
              <w:pStyle w:val="NormalWeb"/>
              <w:jc w:val="center"/>
            </w:pPr>
            <w:r w:rsidRPr="0043354D">
              <w:t>Izmaiņas, salīdzinot ar kārtējo (n) gadu</w:t>
            </w:r>
          </w:p>
        </w:tc>
      </w:tr>
      <w:tr w:rsidR="00E74C48" w:rsidRPr="0043354D" w14:paraId="1990F102" w14:textId="77777777" w:rsidTr="00E005CB">
        <w:trPr>
          <w:trHeight w:val="112"/>
        </w:trPr>
        <w:tc>
          <w:tcPr>
            <w:tcW w:w="0" w:type="auto"/>
            <w:tcBorders>
              <w:top w:val="outset" w:sz="6" w:space="0" w:color="000000"/>
              <w:bottom w:val="outset" w:sz="6" w:space="0" w:color="000000"/>
              <w:right w:val="outset" w:sz="6" w:space="0" w:color="000000"/>
            </w:tcBorders>
            <w:vAlign w:val="center"/>
          </w:tcPr>
          <w:p w14:paraId="57830DF8" w14:textId="77777777" w:rsidR="00C74CAE" w:rsidRPr="0043354D" w:rsidRDefault="00C74CAE">
            <w:pPr>
              <w:pStyle w:val="NormalWeb"/>
              <w:jc w:val="center"/>
            </w:pPr>
            <w:r w:rsidRPr="0043354D">
              <w:t>1</w:t>
            </w:r>
          </w:p>
        </w:tc>
        <w:tc>
          <w:tcPr>
            <w:tcW w:w="0" w:type="auto"/>
            <w:tcBorders>
              <w:top w:val="outset" w:sz="6" w:space="0" w:color="000000"/>
              <w:left w:val="outset" w:sz="6" w:space="0" w:color="000000"/>
              <w:bottom w:val="outset" w:sz="6" w:space="0" w:color="000000"/>
              <w:right w:val="outset" w:sz="6" w:space="0" w:color="000000"/>
            </w:tcBorders>
            <w:vAlign w:val="center"/>
          </w:tcPr>
          <w:p w14:paraId="59BBBBA8" w14:textId="77777777" w:rsidR="00C74CAE" w:rsidRPr="0043354D" w:rsidRDefault="00C74CAE">
            <w:pPr>
              <w:pStyle w:val="NormalWeb"/>
              <w:jc w:val="center"/>
            </w:pPr>
            <w:r w:rsidRPr="0043354D">
              <w:t>2</w:t>
            </w:r>
          </w:p>
        </w:tc>
        <w:tc>
          <w:tcPr>
            <w:tcW w:w="0" w:type="auto"/>
            <w:tcBorders>
              <w:top w:val="outset" w:sz="6" w:space="0" w:color="000000"/>
              <w:left w:val="outset" w:sz="6" w:space="0" w:color="000000"/>
              <w:bottom w:val="outset" w:sz="6" w:space="0" w:color="000000"/>
              <w:right w:val="outset" w:sz="6" w:space="0" w:color="000000"/>
            </w:tcBorders>
            <w:vAlign w:val="center"/>
          </w:tcPr>
          <w:p w14:paraId="121B10B3" w14:textId="77777777" w:rsidR="00C74CAE" w:rsidRPr="0043354D" w:rsidRDefault="00C74CAE">
            <w:pPr>
              <w:pStyle w:val="NormalWeb"/>
              <w:jc w:val="center"/>
            </w:pPr>
            <w:r w:rsidRPr="0043354D">
              <w:t>3</w:t>
            </w:r>
          </w:p>
        </w:tc>
        <w:tc>
          <w:tcPr>
            <w:tcW w:w="0" w:type="auto"/>
            <w:tcBorders>
              <w:top w:val="outset" w:sz="6" w:space="0" w:color="000000"/>
              <w:left w:val="outset" w:sz="6" w:space="0" w:color="000000"/>
              <w:bottom w:val="outset" w:sz="6" w:space="0" w:color="000000"/>
              <w:right w:val="outset" w:sz="6" w:space="0" w:color="000000"/>
            </w:tcBorders>
            <w:vAlign w:val="center"/>
          </w:tcPr>
          <w:p w14:paraId="335C4F63" w14:textId="77777777" w:rsidR="00C74CAE" w:rsidRPr="0043354D" w:rsidRDefault="00C74CAE">
            <w:pPr>
              <w:pStyle w:val="NormalWeb"/>
              <w:jc w:val="center"/>
            </w:pPr>
            <w:r w:rsidRPr="0043354D">
              <w:t>4</w:t>
            </w:r>
          </w:p>
        </w:tc>
        <w:tc>
          <w:tcPr>
            <w:tcW w:w="0" w:type="auto"/>
            <w:tcBorders>
              <w:top w:val="outset" w:sz="6" w:space="0" w:color="000000"/>
              <w:left w:val="outset" w:sz="6" w:space="0" w:color="000000"/>
              <w:bottom w:val="outset" w:sz="6" w:space="0" w:color="000000"/>
              <w:right w:val="outset" w:sz="6" w:space="0" w:color="000000"/>
            </w:tcBorders>
            <w:vAlign w:val="center"/>
          </w:tcPr>
          <w:p w14:paraId="775E50D1" w14:textId="77777777" w:rsidR="00C74CAE" w:rsidRPr="0043354D" w:rsidRDefault="00C74CAE">
            <w:pPr>
              <w:pStyle w:val="NormalWeb"/>
              <w:jc w:val="center"/>
            </w:pPr>
            <w:r w:rsidRPr="0043354D">
              <w:t>5</w:t>
            </w:r>
          </w:p>
        </w:tc>
        <w:tc>
          <w:tcPr>
            <w:tcW w:w="1029" w:type="pct"/>
            <w:tcBorders>
              <w:top w:val="outset" w:sz="6" w:space="0" w:color="000000"/>
              <w:left w:val="outset" w:sz="6" w:space="0" w:color="000000"/>
              <w:bottom w:val="outset" w:sz="6" w:space="0" w:color="000000"/>
            </w:tcBorders>
            <w:vAlign w:val="center"/>
          </w:tcPr>
          <w:p w14:paraId="784F698B" w14:textId="77777777" w:rsidR="00C74CAE" w:rsidRPr="0043354D" w:rsidRDefault="00C74CAE">
            <w:pPr>
              <w:pStyle w:val="NormalWeb"/>
              <w:jc w:val="center"/>
            </w:pPr>
            <w:r w:rsidRPr="0043354D">
              <w:t>6</w:t>
            </w:r>
          </w:p>
        </w:tc>
      </w:tr>
      <w:tr w:rsidR="00E74C48" w:rsidRPr="0043354D" w14:paraId="2C5D4B2A" w14:textId="77777777" w:rsidTr="00E005CB">
        <w:tc>
          <w:tcPr>
            <w:tcW w:w="0" w:type="auto"/>
            <w:tcBorders>
              <w:top w:val="outset" w:sz="6" w:space="0" w:color="000000"/>
              <w:bottom w:val="outset" w:sz="6" w:space="0" w:color="000000"/>
              <w:right w:val="outset" w:sz="6" w:space="0" w:color="000000"/>
            </w:tcBorders>
          </w:tcPr>
          <w:p w14:paraId="687AA8C6" w14:textId="77777777" w:rsidR="00C74CAE" w:rsidRPr="0043354D" w:rsidRDefault="00C74CAE">
            <w:pPr>
              <w:pStyle w:val="NormalWeb"/>
            </w:pPr>
            <w:r w:rsidRPr="0043354D">
              <w:t>1. Budžeta ieņēmumi:</w:t>
            </w:r>
          </w:p>
        </w:tc>
        <w:tc>
          <w:tcPr>
            <w:tcW w:w="0" w:type="auto"/>
            <w:tcBorders>
              <w:top w:val="outset" w:sz="6" w:space="0" w:color="000000"/>
              <w:left w:val="outset" w:sz="6" w:space="0" w:color="000000"/>
              <w:bottom w:val="outset" w:sz="6" w:space="0" w:color="000000"/>
              <w:right w:val="outset" w:sz="6" w:space="0" w:color="000000"/>
            </w:tcBorders>
          </w:tcPr>
          <w:p w14:paraId="44A9A5F8"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3B510677"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E71E83C" w14:textId="77777777" w:rsidR="00C74CAE" w:rsidRPr="0043354D" w:rsidRDefault="00C74CAE">
            <w:pPr>
              <w:spacing w:line="270" w:lineRule="atLeast"/>
              <w:rPr>
                <w:b/>
                <w:bCs/>
              </w:rPr>
            </w:pPr>
            <w:r w:rsidRPr="0043354D">
              <w:rPr>
                <w:b/>
                <w:bCs/>
              </w:rPr>
              <w:t>0 </w:t>
            </w:r>
          </w:p>
        </w:tc>
        <w:tc>
          <w:tcPr>
            <w:tcW w:w="0" w:type="auto"/>
            <w:tcBorders>
              <w:top w:val="outset" w:sz="6" w:space="0" w:color="000000"/>
              <w:left w:val="outset" w:sz="6" w:space="0" w:color="000000"/>
              <w:bottom w:val="outset" w:sz="6" w:space="0" w:color="000000"/>
              <w:right w:val="outset" w:sz="6" w:space="0" w:color="000000"/>
            </w:tcBorders>
          </w:tcPr>
          <w:p w14:paraId="62E719F1" w14:textId="18EBFA08" w:rsidR="00C74CAE" w:rsidRPr="0043354D" w:rsidRDefault="00C74CAE" w:rsidP="00CE67A6">
            <w:pPr>
              <w:spacing w:line="270" w:lineRule="atLeast"/>
              <w:rPr>
                <w:b/>
                <w:bCs/>
              </w:rPr>
            </w:pPr>
            <w:r w:rsidRPr="0043354D">
              <w:t> </w:t>
            </w:r>
            <w:r w:rsidR="00902BBE">
              <w:rPr>
                <w:b/>
                <w:bCs/>
              </w:rPr>
              <w:t>58000</w:t>
            </w:r>
          </w:p>
        </w:tc>
        <w:tc>
          <w:tcPr>
            <w:tcW w:w="1029" w:type="pct"/>
            <w:tcBorders>
              <w:top w:val="outset" w:sz="6" w:space="0" w:color="000000"/>
              <w:left w:val="outset" w:sz="6" w:space="0" w:color="000000"/>
              <w:bottom w:val="outset" w:sz="6" w:space="0" w:color="000000"/>
            </w:tcBorders>
          </w:tcPr>
          <w:p w14:paraId="56DB0BB7" w14:textId="01D5EFF8" w:rsidR="00C74CAE" w:rsidRPr="0043354D" w:rsidRDefault="00C74CAE" w:rsidP="00CE67A6">
            <w:pPr>
              <w:spacing w:line="270" w:lineRule="atLeast"/>
              <w:rPr>
                <w:b/>
                <w:bCs/>
              </w:rPr>
            </w:pPr>
            <w:r w:rsidRPr="0043354D">
              <w:t> </w:t>
            </w:r>
            <w:r w:rsidR="00902BBE">
              <w:rPr>
                <w:b/>
                <w:bCs/>
              </w:rPr>
              <w:t>60000</w:t>
            </w:r>
          </w:p>
        </w:tc>
      </w:tr>
      <w:tr w:rsidR="00E005CB" w:rsidRPr="0043354D" w14:paraId="765A7B9D" w14:textId="77777777" w:rsidTr="00E005CB">
        <w:tc>
          <w:tcPr>
            <w:tcW w:w="0" w:type="auto"/>
            <w:tcBorders>
              <w:top w:val="outset" w:sz="6" w:space="0" w:color="000000"/>
              <w:bottom w:val="outset" w:sz="6" w:space="0" w:color="000000"/>
              <w:right w:val="outset" w:sz="6" w:space="0" w:color="000000"/>
            </w:tcBorders>
          </w:tcPr>
          <w:p w14:paraId="12196260" w14:textId="77777777" w:rsidR="00E005CB" w:rsidRPr="0043354D" w:rsidRDefault="00E005CB">
            <w:pPr>
              <w:pStyle w:val="NormalWeb"/>
            </w:pPr>
            <w:r w:rsidRPr="0043354D">
              <w:t>1.1. valsts pamatbudžets, tai skaitā ieņēmumi no maksas pakalpo-</w:t>
            </w:r>
            <w:proofErr w:type="spellStart"/>
            <w:r w:rsidRPr="0043354D">
              <w:t>jumiem</w:t>
            </w:r>
            <w:proofErr w:type="spellEnd"/>
            <w:r w:rsidRPr="0043354D">
              <w:t xml:space="preserve"> un citi pašu ieņēmumi</w:t>
            </w:r>
          </w:p>
        </w:tc>
        <w:tc>
          <w:tcPr>
            <w:tcW w:w="0" w:type="auto"/>
            <w:tcBorders>
              <w:top w:val="outset" w:sz="6" w:space="0" w:color="000000"/>
              <w:left w:val="outset" w:sz="6" w:space="0" w:color="000000"/>
              <w:bottom w:val="outset" w:sz="6" w:space="0" w:color="000000"/>
              <w:right w:val="outset" w:sz="6" w:space="0" w:color="000000"/>
            </w:tcBorders>
          </w:tcPr>
          <w:p w14:paraId="72DFC7BA" w14:textId="77777777" w:rsidR="00E005CB" w:rsidRPr="0043354D" w:rsidRDefault="00E005CB">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DFE1605" w14:textId="77777777" w:rsidR="00E005CB" w:rsidRPr="0043354D" w:rsidRDefault="00E005CB">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679F8393" w14:textId="77777777" w:rsidR="00E005CB" w:rsidRPr="0043354D" w:rsidRDefault="00E005CB">
            <w:pPr>
              <w:spacing w:line="270" w:lineRule="atLeast"/>
              <w:rPr>
                <w:b/>
                <w:bCs/>
              </w:rPr>
            </w:pPr>
            <w:r w:rsidRPr="0043354D">
              <w:rPr>
                <w:b/>
                <w:bCs/>
              </w:rPr>
              <w:t>0</w:t>
            </w:r>
          </w:p>
        </w:tc>
        <w:tc>
          <w:tcPr>
            <w:tcW w:w="0" w:type="auto"/>
            <w:tcBorders>
              <w:top w:val="outset" w:sz="6" w:space="0" w:color="000000"/>
              <w:left w:val="outset" w:sz="6" w:space="0" w:color="000000"/>
              <w:bottom w:val="outset" w:sz="6" w:space="0" w:color="000000"/>
              <w:right w:val="outset" w:sz="6" w:space="0" w:color="000000"/>
            </w:tcBorders>
          </w:tcPr>
          <w:p w14:paraId="6D877C5C" w14:textId="51D9EE98" w:rsidR="00E005CB" w:rsidRPr="0043354D" w:rsidRDefault="00E005CB" w:rsidP="00CE67A6">
            <w:pPr>
              <w:spacing w:line="270" w:lineRule="atLeast"/>
              <w:rPr>
                <w:b/>
                <w:bCs/>
              </w:rPr>
            </w:pPr>
            <w:r w:rsidRPr="0043354D">
              <w:t> </w:t>
            </w:r>
            <w:r w:rsidR="00902BBE">
              <w:rPr>
                <w:b/>
                <w:bCs/>
              </w:rPr>
              <w:t>58000</w:t>
            </w:r>
          </w:p>
        </w:tc>
        <w:tc>
          <w:tcPr>
            <w:tcW w:w="1029" w:type="pct"/>
            <w:tcBorders>
              <w:top w:val="outset" w:sz="6" w:space="0" w:color="000000"/>
              <w:left w:val="outset" w:sz="6" w:space="0" w:color="000000"/>
              <w:bottom w:val="outset" w:sz="6" w:space="0" w:color="000000"/>
            </w:tcBorders>
          </w:tcPr>
          <w:p w14:paraId="01BACD16" w14:textId="16BE9F9D" w:rsidR="00E005CB" w:rsidRPr="0043354D" w:rsidRDefault="00E005CB" w:rsidP="00CE67A6">
            <w:pPr>
              <w:spacing w:line="270" w:lineRule="atLeast"/>
              <w:rPr>
                <w:b/>
                <w:bCs/>
              </w:rPr>
            </w:pPr>
            <w:r w:rsidRPr="0043354D">
              <w:t> </w:t>
            </w:r>
            <w:r w:rsidR="00902BBE">
              <w:rPr>
                <w:b/>
                <w:bCs/>
              </w:rPr>
              <w:t>60000</w:t>
            </w:r>
          </w:p>
        </w:tc>
      </w:tr>
      <w:tr w:rsidR="00E005CB" w:rsidRPr="0043354D" w14:paraId="5A23F534" w14:textId="77777777" w:rsidTr="00E005CB">
        <w:tc>
          <w:tcPr>
            <w:tcW w:w="0" w:type="auto"/>
            <w:tcBorders>
              <w:top w:val="outset" w:sz="6" w:space="0" w:color="000000"/>
              <w:bottom w:val="outset" w:sz="6" w:space="0" w:color="000000"/>
              <w:right w:val="outset" w:sz="6" w:space="0" w:color="000000"/>
            </w:tcBorders>
          </w:tcPr>
          <w:p w14:paraId="08451FD7" w14:textId="77777777" w:rsidR="00E005CB" w:rsidRPr="0043354D" w:rsidRDefault="00E005CB">
            <w:pPr>
              <w:pStyle w:val="NormalWeb"/>
            </w:pPr>
            <w:r w:rsidRPr="0043354D">
              <w:t>1.2. valsts speciālais budžets</w:t>
            </w:r>
          </w:p>
        </w:tc>
        <w:tc>
          <w:tcPr>
            <w:tcW w:w="0" w:type="auto"/>
            <w:tcBorders>
              <w:top w:val="outset" w:sz="6" w:space="0" w:color="000000"/>
              <w:left w:val="outset" w:sz="6" w:space="0" w:color="000000"/>
              <w:bottom w:val="outset" w:sz="6" w:space="0" w:color="000000"/>
              <w:right w:val="outset" w:sz="6" w:space="0" w:color="000000"/>
            </w:tcBorders>
          </w:tcPr>
          <w:p w14:paraId="5EE33194" w14:textId="77777777" w:rsidR="00E005CB" w:rsidRPr="0043354D" w:rsidRDefault="00E005CB">
            <w:pPr>
              <w:spacing w:line="270" w:lineRule="atLeast"/>
              <w:rPr>
                <w:b/>
              </w:rPr>
            </w:pPr>
            <w:r w:rsidRPr="0043354D">
              <w:rPr>
                <w:b/>
              </w:rPr>
              <w:t> 0</w:t>
            </w:r>
          </w:p>
        </w:tc>
        <w:tc>
          <w:tcPr>
            <w:tcW w:w="0" w:type="auto"/>
            <w:tcBorders>
              <w:top w:val="outset" w:sz="6" w:space="0" w:color="000000"/>
              <w:left w:val="outset" w:sz="6" w:space="0" w:color="000000"/>
              <w:bottom w:val="outset" w:sz="6" w:space="0" w:color="000000"/>
              <w:right w:val="outset" w:sz="6" w:space="0" w:color="000000"/>
            </w:tcBorders>
          </w:tcPr>
          <w:p w14:paraId="4CF1D6A1" w14:textId="77777777" w:rsidR="00E005CB" w:rsidRPr="0043354D" w:rsidRDefault="00E005CB">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74C3AC7C" w14:textId="77777777" w:rsidR="00E005CB" w:rsidRPr="0043354D" w:rsidRDefault="00E005CB">
            <w:pPr>
              <w:spacing w:line="270" w:lineRule="atLeast"/>
              <w:rPr>
                <w:b/>
                <w:bCs/>
              </w:rPr>
            </w:pPr>
            <w:r w:rsidRPr="0043354D">
              <w:rPr>
                <w:b/>
                <w:bCs/>
              </w:rPr>
              <w:t>0</w:t>
            </w:r>
          </w:p>
        </w:tc>
        <w:tc>
          <w:tcPr>
            <w:tcW w:w="0" w:type="auto"/>
            <w:tcBorders>
              <w:top w:val="outset" w:sz="6" w:space="0" w:color="000000"/>
              <w:left w:val="outset" w:sz="6" w:space="0" w:color="000000"/>
              <w:bottom w:val="outset" w:sz="6" w:space="0" w:color="000000"/>
              <w:right w:val="outset" w:sz="6" w:space="0" w:color="000000"/>
            </w:tcBorders>
          </w:tcPr>
          <w:p w14:paraId="11BD14A0" w14:textId="7ED1C86C" w:rsidR="00E005CB" w:rsidRPr="0043354D" w:rsidRDefault="00902BBE" w:rsidP="003B45C0">
            <w:pPr>
              <w:spacing w:line="270" w:lineRule="atLeast"/>
              <w:rPr>
                <w:b/>
                <w:bCs/>
              </w:rPr>
            </w:pPr>
            <w:r>
              <w:rPr>
                <w:b/>
                <w:bCs/>
              </w:rPr>
              <w:t>58000</w:t>
            </w:r>
          </w:p>
        </w:tc>
        <w:tc>
          <w:tcPr>
            <w:tcW w:w="1029" w:type="pct"/>
            <w:tcBorders>
              <w:top w:val="outset" w:sz="6" w:space="0" w:color="000000"/>
              <w:left w:val="outset" w:sz="6" w:space="0" w:color="000000"/>
              <w:bottom w:val="outset" w:sz="6" w:space="0" w:color="000000"/>
            </w:tcBorders>
          </w:tcPr>
          <w:p w14:paraId="1DCCF01B" w14:textId="6A8C3CA8" w:rsidR="00E005CB" w:rsidRPr="0043354D" w:rsidRDefault="00E005CB" w:rsidP="00902BBE">
            <w:pPr>
              <w:spacing w:line="270" w:lineRule="atLeast"/>
              <w:rPr>
                <w:b/>
                <w:bCs/>
              </w:rPr>
            </w:pPr>
            <w:r w:rsidRPr="0043354D">
              <w:t> </w:t>
            </w:r>
            <w:r w:rsidR="00902BBE">
              <w:rPr>
                <w:b/>
                <w:bCs/>
              </w:rPr>
              <w:t>60</w:t>
            </w:r>
            <w:r>
              <w:rPr>
                <w:b/>
                <w:bCs/>
              </w:rPr>
              <w:t>000</w:t>
            </w:r>
          </w:p>
        </w:tc>
      </w:tr>
      <w:tr w:rsidR="00E74C48" w:rsidRPr="0043354D" w14:paraId="5510B251" w14:textId="77777777" w:rsidTr="00E005CB">
        <w:tc>
          <w:tcPr>
            <w:tcW w:w="0" w:type="auto"/>
            <w:tcBorders>
              <w:top w:val="outset" w:sz="6" w:space="0" w:color="000000"/>
              <w:bottom w:val="outset" w:sz="6" w:space="0" w:color="000000"/>
              <w:right w:val="outset" w:sz="6" w:space="0" w:color="000000"/>
            </w:tcBorders>
          </w:tcPr>
          <w:p w14:paraId="3082AAFA" w14:textId="77777777" w:rsidR="00C74CAE" w:rsidRPr="0043354D" w:rsidRDefault="00C74CAE">
            <w:pPr>
              <w:pStyle w:val="NormalWeb"/>
            </w:pPr>
            <w:r w:rsidRPr="0043354D">
              <w:t>1.3. pašvaldību budžets</w:t>
            </w:r>
          </w:p>
        </w:tc>
        <w:tc>
          <w:tcPr>
            <w:tcW w:w="0" w:type="auto"/>
            <w:tcBorders>
              <w:top w:val="outset" w:sz="6" w:space="0" w:color="000000"/>
              <w:left w:val="outset" w:sz="6" w:space="0" w:color="000000"/>
              <w:bottom w:val="outset" w:sz="6" w:space="0" w:color="000000"/>
              <w:right w:val="outset" w:sz="6" w:space="0" w:color="000000"/>
            </w:tcBorders>
          </w:tcPr>
          <w:p w14:paraId="1FE5FF8E" w14:textId="77777777" w:rsidR="00C74CAE" w:rsidRPr="0043354D" w:rsidRDefault="00C74CAE">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589B00B" w14:textId="77777777" w:rsidR="00C74CAE" w:rsidRPr="0043354D" w:rsidRDefault="00C74CAE">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1E337E73" w14:textId="77777777" w:rsidR="00C74CAE" w:rsidRPr="0043354D" w:rsidRDefault="00C74CAE">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3886BD32" w14:textId="77777777" w:rsidR="00C74CAE" w:rsidRPr="0043354D" w:rsidRDefault="00C74CAE">
            <w:pPr>
              <w:spacing w:line="270" w:lineRule="atLeast"/>
            </w:pPr>
            <w:r w:rsidRPr="0043354D">
              <w:rPr>
                <w:b/>
                <w:bCs/>
              </w:rPr>
              <w:t> 0</w:t>
            </w:r>
          </w:p>
        </w:tc>
        <w:tc>
          <w:tcPr>
            <w:tcW w:w="1029" w:type="pct"/>
            <w:tcBorders>
              <w:top w:val="outset" w:sz="6" w:space="0" w:color="000000"/>
              <w:left w:val="outset" w:sz="6" w:space="0" w:color="000000"/>
              <w:bottom w:val="outset" w:sz="6" w:space="0" w:color="000000"/>
            </w:tcBorders>
          </w:tcPr>
          <w:p w14:paraId="24150294" w14:textId="77777777" w:rsidR="00C74CAE" w:rsidRPr="0043354D" w:rsidRDefault="00C74CAE">
            <w:pPr>
              <w:spacing w:line="270" w:lineRule="atLeast"/>
            </w:pPr>
            <w:r w:rsidRPr="0043354D">
              <w:rPr>
                <w:b/>
                <w:bCs/>
              </w:rPr>
              <w:t> 0</w:t>
            </w:r>
          </w:p>
        </w:tc>
      </w:tr>
      <w:tr w:rsidR="00E74C48" w:rsidRPr="0043354D" w14:paraId="0331730F" w14:textId="77777777" w:rsidTr="00E005CB">
        <w:tc>
          <w:tcPr>
            <w:tcW w:w="0" w:type="auto"/>
            <w:tcBorders>
              <w:top w:val="outset" w:sz="6" w:space="0" w:color="000000"/>
              <w:bottom w:val="outset" w:sz="6" w:space="0" w:color="000000"/>
              <w:right w:val="outset" w:sz="6" w:space="0" w:color="000000"/>
            </w:tcBorders>
          </w:tcPr>
          <w:p w14:paraId="7C95C35C" w14:textId="77777777" w:rsidR="00C74CAE" w:rsidRPr="0043354D" w:rsidRDefault="00C74CAE">
            <w:pPr>
              <w:pStyle w:val="NormalWeb"/>
            </w:pPr>
            <w:r w:rsidRPr="0043354D">
              <w:lastRenderedPageBreak/>
              <w:t>2. Budžeta izdevumi:</w:t>
            </w:r>
          </w:p>
        </w:tc>
        <w:tc>
          <w:tcPr>
            <w:tcW w:w="0" w:type="auto"/>
            <w:tcBorders>
              <w:top w:val="outset" w:sz="6" w:space="0" w:color="000000"/>
              <w:left w:val="outset" w:sz="6" w:space="0" w:color="000000"/>
              <w:bottom w:val="outset" w:sz="6" w:space="0" w:color="000000"/>
              <w:right w:val="outset" w:sz="6" w:space="0" w:color="000000"/>
            </w:tcBorders>
          </w:tcPr>
          <w:p w14:paraId="18749CE1" w14:textId="77777777" w:rsidR="00C74CAE" w:rsidRPr="0043354D" w:rsidRDefault="00C74CAE">
            <w:pPr>
              <w:spacing w:line="270" w:lineRule="atLeast"/>
              <w:rPr>
                <w:b/>
                <w:bCs/>
              </w:rPr>
            </w:pPr>
            <w:r w:rsidRPr="0043354D">
              <w:rPr>
                <w:b/>
                <w:bCs/>
              </w:rPr>
              <w:t> 0</w:t>
            </w:r>
          </w:p>
          <w:p w14:paraId="4CB33256" w14:textId="77777777" w:rsidR="00C74CAE" w:rsidRPr="0043354D" w:rsidRDefault="00C74CAE">
            <w:pPr>
              <w:spacing w:line="270" w:lineRule="atLeast"/>
              <w:rPr>
                <w:b/>
                <w:bCs/>
              </w:rPr>
            </w:pPr>
          </w:p>
        </w:tc>
        <w:tc>
          <w:tcPr>
            <w:tcW w:w="0" w:type="auto"/>
            <w:tcBorders>
              <w:top w:val="outset" w:sz="6" w:space="0" w:color="000000"/>
              <w:left w:val="outset" w:sz="6" w:space="0" w:color="000000"/>
              <w:bottom w:val="outset" w:sz="6" w:space="0" w:color="000000"/>
              <w:right w:val="outset" w:sz="6" w:space="0" w:color="000000"/>
            </w:tcBorders>
          </w:tcPr>
          <w:p w14:paraId="119EFBD7"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1B301E7B" w14:textId="77777777" w:rsidR="00C74CAE" w:rsidRPr="0043354D" w:rsidRDefault="00C74CAE">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00E1114" w14:textId="77777777" w:rsidR="00C74CAE" w:rsidRPr="0043354D" w:rsidRDefault="00C74CAE">
            <w:pPr>
              <w:spacing w:line="270" w:lineRule="atLeast"/>
            </w:pPr>
            <w:r w:rsidRPr="0043354D">
              <w:rPr>
                <w:b/>
                <w:bCs/>
              </w:rPr>
              <w:t> 0</w:t>
            </w:r>
          </w:p>
        </w:tc>
        <w:tc>
          <w:tcPr>
            <w:tcW w:w="1029" w:type="pct"/>
            <w:tcBorders>
              <w:top w:val="outset" w:sz="6" w:space="0" w:color="000000"/>
              <w:left w:val="outset" w:sz="6" w:space="0" w:color="000000"/>
              <w:bottom w:val="outset" w:sz="6" w:space="0" w:color="000000"/>
            </w:tcBorders>
          </w:tcPr>
          <w:p w14:paraId="56B1EF2D" w14:textId="77777777" w:rsidR="00C74CAE" w:rsidRPr="0043354D" w:rsidRDefault="00C74CAE">
            <w:pPr>
              <w:spacing w:line="270" w:lineRule="atLeast"/>
            </w:pPr>
            <w:r w:rsidRPr="0043354D">
              <w:rPr>
                <w:b/>
                <w:bCs/>
              </w:rPr>
              <w:t> 0</w:t>
            </w:r>
          </w:p>
        </w:tc>
      </w:tr>
      <w:tr w:rsidR="00E74C48" w:rsidRPr="0043354D" w14:paraId="4FA86571" w14:textId="77777777" w:rsidTr="00E005CB">
        <w:tc>
          <w:tcPr>
            <w:tcW w:w="0" w:type="auto"/>
            <w:tcBorders>
              <w:top w:val="outset" w:sz="6" w:space="0" w:color="000000"/>
              <w:bottom w:val="outset" w:sz="6" w:space="0" w:color="000000"/>
              <w:right w:val="outset" w:sz="6" w:space="0" w:color="000000"/>
            </w:tcBorders>
          </w:tcPr>
          <w:p w14:paraId="1B17B488" w14:textId="77777777" w:rsidR="00C74CAE" w:rsidRPr="0043354D" w:rsidRDefault="00C74CAE">
            <w:pPr>
              <w:pStyle w:val="NormalWeb"/>
            </w:pPr>
            <w:r w:rsidRPr="0043354D">
              <w:t>2.1. valsts pamatbudžets</w:t>
            </w:r>
          </w:p>
        </w:tc>
        <w:tc>
          <w:tcPr>
            <w:tcW w:w="0" w:type="auto"/>
            <w:tcBorders>
              <w:top w:val="outset" w:sz="6" w:space="0" w:color="000000"/>
              <w:left w:val="outset" w:sz="6" w:space="0" w:color="000000"/>
              <w:bottom w:val="outset" w:sz="6" w:space="0" w:color="000000"/>
              <w:right w:val="outset" w:sz="6" w:space="0" w:color="000000"/>
            </w:tcBorders>
          </w:tcPr>
          <w:p w14:paraId="77759415"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74BECFD4"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737EEED" w14:textId="77777777" w:rsidR="00C74CAE" w:rsidRPr="0043354D" w:rsidRDefault="00C74CAE">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17D5DE21" w14:textId="77777777" w:rsidR="00C74CAE" w:rsidRPr="0043354D" w:rsidRDefault="00C74CAE">
            <w:pPr>
              <w:spacing w:line="270" w:lineRule="atLeast"/>
            </w:pPr>
            <w:r w:rsidRPr="0043354D">
              <w:rPr>
                <w:b/>
                <w:bCs/>
              </w:rPr>
              <w:t> 0</w:t>
            </w:r>
          </w:p>
        </w:tc>
        <w:tc>
          <w:tcPr>
            <w:tcW w:w="1029" w:type="pct"/>
            <w:tcBorders>
              <w:top w:val="outset" w:sz="6" w:space="0" w:color="000000"/>
              <w:left w:val="outset" w:sz="6" w:space="0" w:color="000000"/>
              <w:bottom w:val="outset" w:sz="6" w:space="0" w:color="000000"/>
            </w:tcBorders>
          </w:tcPr>
          <w:p w14:paraId="02B75E46" w14:textId="77777777" w:rsidR="00C74CAE" w:rsidRPr="0043354D" w:rsidRDefault="00C74CAE">
            <w:pPr>
              <w:spacing w:line="270" w:lineRule="atLeast"/>
            </w:pPr>
            <w:r w:rsidRPr="0043354D">
              <w:rPr>
                <w:b/>
                <w:bCs/>
              </w:rPr>
              <w:t> 0</w:t>
            </w:r>
          </w:p>
        </w:tc>
      </w:tr>
      <w:tr w:rsidR="00E74C48" w:rsidRPr="0043354D" w14:paraId="26142DCC" w14:textId="77777777" w:rsidTr="00E005CB">
        <w:tc>
          <w:tcPr>
            <w:tcW w:w="0" w:type="auto"/>
            <w:tcBorders>
              <w:top w:val="outset" w:sz="6" w:space="0" w:color="000000"/>
              <w:bottom w:val="outset" w:sz="6" w:space="0" w:color="000000"/>
              <w:right w:val="outset" w:sz="6" w:space="0" w:color="000000"/>
            </w:tcBorders>
          </w:tcPr>
          <w:p w14:paraId="0A487ADF" w14:textId="77777777" w:rsidR="00C74CAE" w:rsidRPr="0043354D" w:rsidRDefault="00C74CAE">
            <w:pPr>
              <w:pStyle w:val="NormalWeb"/>
            </w:pPr>
            <w:r w:rsidRPr="0043354D">
              <w:t>2.2. valsts speciālais budžets</w:t>
            </w:r>
          </w:p>
        </w:tc>
        <w:tc>
          <w:tcPr>
            <w:tcW w:w="0" w:type="auto"/>
            <w:tcBorders>
              <w:top w:val="outset" w:sz="6" w:space="0" w:color="000000"/>
              <w:left w:val="outset" w:sz="6" w:space="0" w:color="000000"/>
              <w:bottom w:val="outset" w:sz="6" w:space="0" w:color="000000"/>
              <w:right w:val="outset" w:sz="6" w:space="0" w:color="000000"/>
            </w:tcBorders>
          </w:tcPr>
          <w:p w14:paraId="199E66D3" w14:textId="77777777" w:rsidR="00C74CAE" w:rsidRPr="0043354D" w:rsidRDefault="00C74CAE">
            <w:pPr>
              <w:spacing w:line="270" w:lineRule="atLeast"/>
              <w:rPr>
                <w:b/>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6CDB6DC3" w14:textId="77777777" w:rsidR="00C74CAE" w:rsidRPr="0043354D" w:rsidRDefault="00C74CAE">
            <w:pPr>
              <w:spacing w:line="270" w:lineRule="atLeast"/>
              <w:rPr>
                <w:b/>
              </w:rPr>
            </w:pPr>
            <w:r w:rsidRPr="0043354D">
              <w:rPr>
                <w:b/>
              </w:rPr>
              <w:t> 0</w:t>
            </w:r>
          </w:p>
        </w:tc>
        <w:tc>
          <w:tcPr>
            <w:tcW w:w="0" w:type="auto"/>
            <w:tcBorders>
              <w:top w:val="outset" w:sz="6" w:space="0" w:color="000000"/>
              <w:left w:val="outset" w:sz="6" w:space="0" w:color="000000"/>
              <w:bottom w:val="outset" w:sz="6" w:space="0" w:color="000000"/>
              <w:right w:val="outset" w:sz="6" w:space="0" w:color="000000"/>
            </w:tcBorders>
          </w:tcPr>
          <w:p w14:paraId="390ECC20" w14:textId="77777777" w:rsidR="00C74CAE" w:rsidRPr="0043354D" w:rsidRDefault="00C74CAE">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7B9ABE3" w14:textId="77777777" w:rsidR="00C74CAE" w:rsidRPr="0043354D" w:rsidRDefault="00C74CAE">
            <w:pPr>
              <w:spacing w:line="270" w:lineRule="atLeast"/>
            </w:pPr>
            <w:r w:rsidRPr="0043354D">
              <w:rPr>
                <w:b/>
                <w:bCs/>
              </w:rPr>
              <w:t> 0</w:t>
            </w:r>
          </w:p>
        </w:tc>
        <w:tc>
          <w:tcPr>
            <w:tcW w:w="1029" w:type="pct"/>
            <w:tcBorders>
              <w:top w:val="outset" w:sz="6" w:space="0" w:color="000000"/>
              <w:left w:val="outset" w:sz="6" w:space="0" w:color="000000"/>
              <w:bottom w:val="outset" w:sz="6" w:space="0" w:color="000000"/>
            </w:tcBorders>
          </w:tcPr>
          <w:p w14:paraId="7903E925" w14:textId="77777777" w:rsidR="00C74CAE" w:rsidRPr="0043354D" w:rsidRDefault="00C74CAE">
            <w:pPr>
              <w:spacing w:line="270" w:lineRule="atLeast"/>
            </w:pPr>
            <w:r w:rsidRPr="0043354D">
              <w:rPr>
                <w:b/>
                <w:bCs/>
              </w:rPr>
              <w:t> 0</w:t>
            </w:r>
          </w:p>
        </w:tc>
      </w:tr>
      <w:tr w:rsidR="00E74C48" w:rsidRPr="0043354D" w14:paraId="4ADC2B04" w14:textId="77777777" w:rsidTr="00E005CB">
        <w:tc>
          <w:tcPr>
            <w:tcW w:w="0" w:type="auto"/>
            <w:tcBorders>
              <w:top w:val="outset" w:sz="6" w:space="0" w:color="000000"/>
              <w:bottom w:val="outset" w:sz="6" w:space="0" w:color="000000"/>
              <w:right w:val="outset" w:sz="6" w:space="0" w:color="000000"/>
            </w:tcBorders>
          </w:tcPr>
          <w:p w14:paraId="6F2DC09A" w14:textId="77777777" w:rsidR="00C74CAE" w:rsidRPr="0043354D" w:rsidRDefault="00C74CAE">
            <w:pPr>
              <w:pStyle w:val="NormalWeb"/>
            </w:pPr>
            <w:r w:rsidRPr="0043354D">
              <w:t>2.3. pašvaldību budžets</w:t>
            </w:r>
          </w:p>
        </w:tc>
        <w:tc>
          <w:tcPr>
            <w:tcW w:w="0" w:type="auto"/>
            <w:tcBorders>
              <w:top w:val="outset" w:sz="6" w:space="0" w:color="000000"/>
              <w:left w:val="outset" w:sz="6" w:space="0" w:color="000000"/>
              <w:bottom w:val="outset" w:sz="6" w:space="0" w:color="000000"/>
              <w:right w:val="outset" w:sz="6" w:space="0" w:color="000000"/>
            </w:tcBorders>
          </w:tcPr>
          <w:p w14:paraId="4942B773" w14:textId="77777777" w:rsidR="00C74CAE" w:rsidRPr="0043354D" w:rsidRDefault="00C74CAE">
            <w:pPr>
              <w:spacing w:line="270" w:lineRule="atLeast"/>
              <w:rPr>
                <w:b/>
              </w:rPr>
            </w:pPr>
            <w:r w:rsidRPr="0043354D">
              <w:rPr>
                <w:b/>
              </w:rPr>
              <w:t>0</w:t>
            </w:r>
          </w:p>
        </w:tc>
        <w:tc>
          <w:tcPr>
            <w:tcW w:w="0" w:type="auto"/>
            <w:tcBorders>
              <w:top w:val="outset" w:sz="6" w:space="0" w:color="000000"/>
              <w:left w:val="outset" w:sz="6" w:space="0" w:color="000000"/>
              <w:bottom w:val="outset" w:sz="6" w:space="0" w:color="000000"/>
              <w:right w:val="outset" w:sz="6" w:space="0" w:color="000000"/>
            </w:tcBorders>
          </w:tcPr>
          <w:p w14:paraId="1F849903" w14:textId="77777777" w:rsidR="00C74CAE" w:rsidRPr="0043354D" w:rsidRDefault="00C74CAE">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3CEEC096" w14:textId="77777777" w:rsidR="00C74CAE" w:rsidRPr="0043354D" w:rsidRDefault="00C74CAE">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E5F12AF" w14:textId="77777777" w:rsidR="00C74CAE" w:rsidRPr="0043354D" w:rsidRDefault="00C74CAE">
            <w:pPr>
              <w:spacing w:line="270" w:lineRule="atLeast"/>
            </w:pPr>
            <w:r w:rsidRPr="0043354D">
              <w:rPr>
                <w:b/>
                <w:bCs/>
              </w:rPr>
              <w:t> 0</w:t>
            </w:r>
          </w:p>
        </w:tc>
        <w:tc>
          <w:tcPr>
            <w:tcW w:w="1029" w:type="pct"/>
            <w:tcBorders>
              <w:top w:val="outset" w:sz="6" w:space="0" w:color="000000"/>
              <w:left w:val="outset" w:sz="6" w:space="0" w:color="000000"/>
              <w:bottom w:val="outset" w:sz="6" w:space="0" w:color="000000"/>
            </w:tcBorders>
          </w:tcPr>
          <w:p w14:paraId="105C9566" w14:textId="77777777" w:rsidR="00C74CAE" w:rsidRPr="0043354D" w:rsidRDefault="00C74CAE">
            <w:pPr>
              <w:spacing w:line="270" w:lineRule="atLeast"/>
            </w:pPr>
            <w:r w:rsidRPr="0043354D">
              <w:rPr>
                <w:b/>
                <w:bCs/>
              </w:rPr>
              <w:t> 0</w:t>
            </w:r>
          </w:p>
        </w:tc>
      </w:tr>
      <w:tr w:rsidR="00E74C48" w:rsidRPr="0043354D" w14:paraId="44C1FF17" w14:textId="77777777" w:rsidTr="00E005CB">
        <w:tc>
          <w:tcPr>
            <w:tcW w:w="0" w:type="auto"/>
            <w:tcBorders>
              <w:top w:val="outset" w:sz="6" w:space="0" w:color="000000"/>
              <w:bottom w:val="outset" w:sz="6" w:space="0" w:color="000000"/>
              <w:right w:val="outset" w:sz="6" w:space="0" w:color="000000"/>
            </w:tcBorders>
          </w:tcPr>
          <w:p w14:paraId="7B6B24CC" w14:textId="77777777" w:rsidR="00C74CAE" w:rsidRPr="0043354D" w:rsidRDefault="00C74CAE">
            <w:pPr>
              <w:pStyle w:val="NormalWeb"/>
            </w:pPr>
            <w:r w:rsidRPr="0043354D">
              <w:t>3. Finansiālā ietekme:</w:t>
            </w:r>
          </w:p>
        </w:tc>
        <w:tc>
          <w:tcPr>
            <w:tcW w:w="0" w:type="auto"/>
            <w:tcBorders>
              <w:top w:val="outset" w:sz="6" w:space="0" w:color="000000"/>
              <w:left w:val="outset" w:sz="6" w:space="0" w:color="000000"/>
              <w:bottom w:val="outset" w:sz="6" w:space="0" w:color="000000"/>
              <w:right w:val="outset" w:sz="6" w:space="0" w:color="000000"/>
            </w:tcBorders>
          </w:tcPr>
          <w:p w14:paraId="586F98F9" w14:textId="77777777" w:rsidR="00C74CAE" w:rsidRPr="0043354D" w:rsidRDefault="00C74CAE">
            <w:pPr>
              <w:spacing w:line="270" w:lineRule="atLeast"/>
              <w:rPr>
                <w:b/>
                <w:bCs/>
              </w:rPr>
            </w:pPr>
            <w:r w:rsidRPr="0043354D">
              <w:rPr>
                <w:b/>
                <w:bCs/>
              </w:rPr>
              <w:t>0</w:t>
            </w:r>
          </w:p>
        </w:tc>
        <w:tc>
          <w:tcPr>
            <w:tcW w:w="0" w:type="auto"/>
            <w:tcBorders>
              <w:top w:val="outset" w:sz="6" w:space="0" w:color="000000"/>
              <w:left w:val="outset" w:sz="6" w:space="0" w:color="000000"/>
              <w:bottom w:val="outset" w:sz="6" w:space="0" w:color="000000"/>
              <w:right w:val="outset" w:sz="6" w:space="0" w:color="000000"/>
            </w:tcBorders>
          </w:tcPr>
          <w:p w14:paraId="4C4C73D4"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C047105" w14:textId="77777777" w:rsidR="00C74CAE" w:rsidRPr="0043354D" w:rsidRDefault="00C74CAE">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170A0F6" w14:textId="49FD96FD" w:rsidR="00C74CAE" w:rsidRPr="0043354D" w:rsidRDefault="00902BBE" w:rsidP="003B45C0">
            <w:pPr>
              <w:spacing w:line="270" w:lineRule="atLeast"/>
              <w:rPr>
                <w:b/>
                <w:bCs/>
              </w:rPr>
            </w:pPr>
            <w:r>
              <w:rPr>
                <w:b/>
                <w:bCs/>
              </w:rPr>
              <w:t>+</w:t>
            </w:r>
            <w:r>
              <w:rPr>
                <w:b/>
                <w:bCs/>
              </w:rPr>
              <w:t>58000</w:t>
            </w:r>
          </w:p>
        </w:tc>
        <w:tc>
          <w:tcPr>
            <w:tcW w:w="1029" w:type="pct"/>
            <w:tcBorders>
              <w:top w:val="outset" w:sz="6" w:space="0" w:color="000000"/>
              <w:left w:val="outset" w:sz="6" w:space="0" w:color="000000"/>
              <w:bottom w:val="outset" w:sz="6" w:space="0" w:color="000000"/>
            </w:tcBorders>
          </w:tcPr>
          <w:p w14:paraId="18DBD689" w14:textId="10015FA5" w:rsidR="00C74CAE" w:rsidRPr="0043354D" w:rsidRDefault="00C74CAE" w:rsidP="00CE67A6">
            <w:pPr>
              <w:spacing w:line="270" w:lineRule="atLeast"/>
              <w:rPr>
                <w:b/>
                <w:bCs/>
              </w:rPr>
            </w:pPr>
            <w:r w:rsidRPr="0043354D">
              <w:rPr>
                <w:b/>
                <w:bCs/>
              </w:rPr>
              <w:t>+</w:t>
            </w:r>
            <w:r w:rsidR="00902BBE">
              <w:rPr>
                <w:b/>
                <w:bCs/>
              </w:rPr>
              <w:t>60000</w:t>
            </w:r>
          </w:p>
        </w:tc>
      </w:tr>
      <w:tr w:rsidR="00E005CB" w:rsidRPr="0043354D" w14:paraId="6F0AD794" w14:textId="77777777" w:rsidTr="00E005CB">
        <w:tc>
          <w:tcPr>
            <w:tcW w:w="0" w:type="auto"/>
            <w:tcBorders>
              <w:top w:val="outset" w:sz="6" w:space="0" w:color="000000"/>
              <w:bottom w:val="outset" w:sz="6" w:space="0" w:color="000000"/>
              <w:right w:val="outset" w:sz="6" w:space="0" w:color="000000"/>
            </w:tcBorders>
          </w:tcPr>
          <w:p w14:paraId="6163ED78" w14:textId="77777777" w:rsidR="00E005CB" w:rsidRPr="0043354D" w:rsidRDefault="00E005CB">
            <w:pPr>
              <w:pStyle w:val="NormalWeb"/>
            </w:pPr>
            <w:r w:rsidRPr="0043354D">
              <w:t>3.1. valsts pamatbudžets</w:t>
            </w:r>
          </w:p>
        </w:tc>
        <w:tc>
          <w:tcPr>
            <w:tcW w:w="0" w:type="auto"/>
            <w:tcBorders>
              <w:top w:val="outset" w:sz="6" w:space="0" w:color="000000"/>
              <w:left w:val="outset" w:sz="6" w:space="0" w:color="000000"/>
              <w:bottom w:val="outset" w:sz="6" w:space="0" w:color="000000"/>
              <w:right w:val="outset" w:sz="6" w:space="0" w:color="000000"/>
            </w:tcBorders>
          </w:tcPr>
          <w:p w14:paraId="519A05CF" w14:textId="77777777" w:rsidR="00E005CB" w:rsidRPr="0043354D" w:rsidRDefault="00E005CB">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1CDDC1A6" w14:textId="77777777" w:rsidR="00E005CB" w:rsidRPr="0043354D" w:rsidRDefault="00E005CB">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25AC2EB" w14:textId="77777777" w:rsidR="00E005CB" w:rsidRPr="0043354D" w:rsidRDefault="00E005CB">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6EF45B07" w14:textId="35243B24" w:rsidR="00E005CB" w:rsidRPr="0043354D" w:rsidRDefault="00902BBE" w:rsidP="003B45C0">
            <w:pPr>
              <w:spacing w:line="270" w:lineRule="atLeast"/>
              <w:rPr>
                <w:b/>
                <w:bCs/>
              </w:rPr>
            </w:pPr>
            <w:r>
              <w:rPr>
                <w:b/>
                <w:bCs/>
              </w:rPr>
              <w:t>+</w:t>
            </w:r>
            <w:r>
              <w:rPr>
                <w:b/>
                <w:bCs/>
              </w:rPr>
              <w:t>58000</w:t>
            </w:r>
          </w:p>
        </w:tc>
        <w:tc>
          <w:tcPr>
            <w:tcW w:w="1029" w:type="pct"/>
            <w:tcBorders>
              <w:top w:val="outset" w:sz="6" w:space="0" w:color="000000"/>
              <w:left w:val="outset" w:sz="6" w:space="0" w:color="000000"/>
              <w:bottom w:val="outset" w:sz="6" w:space="0" w:color="000000"/>
            </w:tcBorders>
          </w:tcPr>
          <w:p w14:paraId="2F551B73" w14:textId="7B075B61" w:rsidR="00E005CB" w:rsidRPr="0043354D" w:rsidRDefault="00E005CB" w:rsidP="00CE67A6">
            <w:pPr>
              <w:spacing w:line="270" w:lineRule="atLeast"/>
              <w:rPr>
                <w:b/>
                <w:bCs/>
              </w:rPr>
            </w:pPr>
            <w:r w:rsidRPr="0043354D">
              <w:rPr>
                <w:b/>
                <w:bCs/>
              </w:rPr>
              <w:t>+</w:t>
            </w:r>
            <w:r w:rsidR="00902BBE">
              <w:rPr>
                <w:b/>
                <w:bCs/>
              </w:rPr>
              <w:t>60000</w:t>
            </w:r>
          </w:p>
        </w:tc>
      </w:tr>
      <w:tr w:rsidR="00E74C48" w:rsidRPr="0043354D" w14:paraId="6ABA27D2" w14:textId="77777777" w:rsidTr="00E005CB">
        <w:tc>
          <w:tcPr>
            <w:tcW w:w="0" w:type="auto"/>
            <w:tcBorders>
              <w:top w:val="outset" w:sz="6" w:space="0" w:color="000000"/>
              <w:bottom w:val="outset" w:sz="6" w:space="0" w:color="000000"/>
              <w:right w:val="outset" w:sz="6" w:space="0" w:color="000000"/>
            </w:tcBorders>
          </w:tcPr>
          <w:p w14:paraId="0DFD2994" w14:textId="77777777" w:rsidR="00C74CAE" w:rsidRPr="0043354D" w:rsidRDefault="00C74CAE">
            <w:pPr>
              <w:pStyle w:val="NormalWeb"/>
            </w:pPr>
            <w:r w:rsidRPr="0043354D">
              <w:t>3.2. speciālais budžets</w:t>
            </w:r>
          </w:p>
        </w:tc>
        <w:tc>
          <w:tcPr>
            <w:tcW w:w="0" w:type="auto"/>
            <w:tcBorders>
              <w:top w:val="outset" w:sz="6" w:space="0" w:color="000000"/>
              <w:left w:val="outset" w:sz="6" w:space="0" w:color="000000"/>
              <w:bottom w:val="outset" w:sz="6" w:space="0" w:color="000000"/>
              <w:right w:val="outset" w:sz="6" w:space="0" w:color="000000"/>
            </w:tcBorders>
          </w:tcPr>
          <w:p w14:paraId="4430B9F4"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1C5A9F68"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BA2237C"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7638298E" w14:textId="77777777" w:rsidR="00C74CAE" w:rsidRPr="0043354D" w:rsidRDefault="00C74CAE">
            <w:pPr>
              <w:spacing w:line="270" w:lineRule="atLeast"/>
              <w:rPr>
                <w:b/>
                <w:bCs/>
              </w:rPr>
            </w:pPr>
            <w:r w:rsidRPr="0043354D">
              <w:rPr>
                <w:b/>
                <w:bCs/>
              </w:rPr>
              <w:t> 0</w:t>
            </w:r>
          </w:p>
        </w:tc>
        <w:tc>
          <w:tcPr>
            <w:tcW w:w="1029" w:type="pct"/>
            <w:tcBorders>
              <w:top w:val="outset" w:sz="6" w:space="0" w:color="000000"/>
              <w:left w:val="outset" w:sz="6" w:space="0" w:color="000000"/>
              <w:bottom w:val="outset" w:sz="6" w:space="0" w:color="000000"/>
            </w:tcBorders>
          </w:tcPr>
          <w:p w14:paraId="639F20CC" w14:textId="77777777" w:rsidR="00C74CAE" w:rsidRPr="0043354D" w:rsidRDefault="00C74CAE">
            <w:pPr>
              <w:spacing w:line="270" w:lineRule="atLeast"/>
              <w:rPr>
                <w:b/>
                <w:bCs/>
              </w:rPr>
            </w:pPr>
            <w:r w:rsidRPr="0043354D">
              <w:rPr>
                <w:b/>
                <w:bCs/>
              </w:rPr>
              <w:t> 0</w:t>
            </w:r>
          </w:p>
        </w:tc>
      </w:tr>
      <w:tr w:rsidR="00E74C48" w:rsidRPr="0043354D" w14:paraId="70B17ADA" w14:textId="77777777" w:rsidTr="00E005CB">
        <w:tc>
          <w:tcPr>
            <w:tcW w:w="0" w:type="auto"/>
            <w:tcBorders>
              <w:top w:val="outset" w:sz="6" w:space="0" w:color="000000"/>
              <w:bottom w:val="outset" w:sz="6" w:space="0" w:color="000000"/>
              <w:right w:val="outset" w:sz="6" w:space="0" w:color="000000"/>
            </w:tcBorders>
          </w:tcPr>
          <w:p w14:paraId="02968AD8" w14:textId="77777777" w:rsidR="00C74CAE" w:rsidRPr="0043354D" w:rsidRDefault="00C74CAE">
            <w:pPr>
              <w:pStyle w:val="NormalWeb"/>
            </w:pPr>
            <w:r w:rsidRPr="0043354D">
              <w:t>3.3. pašvaldību budžets</w:t>
            </w:r>
          </w:p>
        </w:tc>
        <w:tc>
          <w:tcPr>
            <w:tcW w:w="0" w:type="auto"/>
            <w:tcBorders>
              <w:top w:val="outset" w:sz="6" w:space="0" w:color="000000"/>
              <w:left w:val="outset" w:sz="6" w:space="0" w:color="000000"/>
              <w:bottom w:val="outset" w:sz="6" w:space="0" w:color="000000"/>
              <w:right w:val="outset" w:sz="6" w:space="0" w:color="000000"/>
            </w:tcBorders>
          </w:tcPr>
          <w:p w14:paraId="645934FE"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D52DAC7"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7E9FE15A"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6952A76" w14:textId="77777777" w:rsidR="00C74CAE" w:rsidRPr="0043354D" w:rsidRDefault="00C74CAE">
            <w:pPr>
              <w:spacing w:line="270" w:lineRule="atLeast"/>
              <w:rPr>
                <w:b/>
                <w:bCs/>
              </w:rPr>
            </w:pPr>
            <w:r w:rsidRPr="0043354D">
              <w:rPr>
                <w:b/>
                <w:bCs/>
              </w:rPr>
              <w:t> 0</w:t>
            </w:r>
          </w:p>
        </w:tc>
        <w:tc>
          <w:tcPr>
            <w:tcW w:w="1029" w:type="pct"/>
            <w:tcBorders>
              <w:top w:val="outset" w:sz="6" w:space="0" w:color="000000"/>
              <w:left w:val="outset" w:sz="6" w:space="0" w:color="000000"/>
              <w:bottom w:val="outset" w:sz="6" w:space="0" w:color="000000"/>
            </w:tcBorders>
          </w:tcPr>
          <w:p w14:paraId="338AD8F2" w14:textId="77777777" w:rsidR="00C74CAE" w:rsidRPr="0043354D" w:rsidRDefault="00C74CAE">
            <w:pPr>
              <w:spacing w:line="270" w:lineRule="atLeast"/>
              <w:rPr>
                <w:b/>
                <w:bCs/>
              </w:rPr>
            </w:pPr>
            <w:r w:rsidRPr="0043354D">
              <w:rPr>
                <w:b/>
                <w:bCs/>
              </w:rPr>
              <w:t> 0</w:t>
            </w:r>
          </w:p>
        </w:tc>
      </w:tr>
      <w:tr w:rsidR="00E74C48" w:rsidRPr="0043354D" w14:paraId="53D65F3A" w14:textId="77777777" w:rsidTr="00E005CB">
        <w:trPr>
          <w:trHeight w:val="1932"/>
        </w:trPr>
        <w:tc>
          <w:tcPr>
            <w:tcW w:w="0" w:type="auto"/>
            <w:tcBorders>
              <w:top w:val="outset" w:sz="6" w:space="0" w:color="000000"/>
              <w:bottom w:val="outset" w:sz="6" w:space="0" w:color="000000"/>
              <w:right w:val="outset" w:sz="6" w:space="0" w:color="000000"/>
            </w:tcBorders>
          </w:tcPr>
          <w:p w14:paraId="63C2ED36" w14:textId="77777777" w:rsidR="00C74CAE" w:rsidRPr="0043354D" w:rsidRDefault="00C74CAE">
            <w:pPr>
              <w:pStyle w:val="NormalWeb"/>
            </w:pPr>
            <w:r w:rsidRPr="0043354D">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14:paraId="48131FBC" w14:textId="77777777" w:rsidR="00C74CAE" w:rsidRPr="0043354D" w:rsidRDefault="00C74CAE">
            <w:pPr>
              <w:pStyle w:val="NormalWeb"/>
            </w:pPr>
            <w:r w:rsidRPr="0043354D">
              <w:rPr>
                <w:b/>
                <w:bCs/>
              </w:rPr>
              <w:t xml:space="preserve"> 0</w:t>
            </w:r>
          </w:p>
        </w:tc>
        <w:tc>
          <w:tcPr>
            <w:tcW w:w="0" w:type="auto"/>
            <w:tcBorders>
              <w:top w:val="outset" w:sz="6" w:space="0" w:color="000000"/>
              <w:left w:val="outset" w:sz="6" w:space="0" w:color="000000"/>
              <w:bottom w:val="nil"/>
              <w:right w:val="outset" w:sz="6" w:space="0" w:color="000000"/>
            </w:tcBorders>
          </w:tcPr>
          <w:p w14:paraId="20B55773" w14:textId="77777777" w:rsidR="00C74CAE" w:rsidRPr="0043354D" w:rsidRDefault="00C74CAE">
            <w:pPr>
              <w:spacing w:line="270" w:lineRule="atLeast"/>
              <w:rPr>
                <w:b/>
                <w:bCs/>
              </w:rPr>
            </w:pPr>
            <w:r w:rsidRPr="0043354D">
              <w:rPr>
                <w:b/>
                <w:bCs/>
              </w:rPr>
              <w:t> 0</w:t>
            </w:r>
          </w:p>
        </w:tc>
        <w:tc>
          <w:tcPr>
            <w:tcW w:w="0" w:type="auto"/>
            <w:tcBorders>
              <w:top w:val="outset" w:sz="6" w:space="0" w:color="000000"/>
              <w:left w:val="outset" w:sz="6" w:space="0" w:color="000000"/>
              <w:bottom w:val="nil"/>
              <w:right w:val="outset" w:sz="6" w:space="0" w:color="000000"/>
            </w:tcBorders>
          </w:tcPr>
          <w:p w14:paraId="67E89CAF" w14:textId="77777777" w:rsidR="00C74CAE" w:rsidRPr="0043354D" w:rsidRDefault="00C74CAE">
            <w:pPr>
              <w:spacing w:line="270" w:lineRule="atLeast"/>
              <w:rPr>
                <w:b/>
                <w:bCs/>
              </w:rPr>
            </w:pPr>
            <w:r w:rsidRPr="0043354D">
              <w:rPr>
                <w:b/>
                <w:bCs/>
              </w:rPr>
              <w:t> </w:t>
            </w:r>
          </w:p>
          <w:p w14:paraId="61CFD178" w14:textId="77777777" w:rsidR="00C74CAE" w:rsidRPr="0043354D" w:rsidRDefault="00C74CAE">
            <w:pPr>
              <w:spacing w:line="270" w:lineRule="atLeast"/>
              <w:rPr>
                <w:b/>
                <w:bCs/>
              </w:rPr>
            </w:pPr>
            <w:r w:rsidRPr="0043354D">
              <w:rPr>
                <w:b/>
                <w:bCs/>
              </w:rPr>
              <w:t> </w:t>
            </w:r>
          </w:p>
          <w:p w14:paraId="7CA3D802" w14:textId="77777777" w:rsidR="00C74CAE" w:rsidRPr="0043354D" w:rsidRDefault="00C74CAE">
            <w:pPr>
              <w:spacing w:line="270" w:lineRule="atLeast"/>
              <w:rPr>
                <w:b/>
                <w:bCs/>
              </w:rPr>
            </w:pPr>
            <w:r w:rsidRPr="0043354D">
              <w:rPr>
                <w:b/>
                <w:bCs/>
              </w:rPr>
              <w:t> </w:t>
            </w:r>
          </w:p>
        </w:tc>
        <w:tc>
          <w:tcPr>
            <w:tcW w:w="0" w:type="auto"/>
            <w:tcBorders>
              <w:top w:val="outset" w:sz="6" w:space="0" w:color="000000"/>
              <w:left w:val="outset" w:sz="6" w:space="0" w:color="000000"/>
              <w:bottom w:val="nil"/>
              <w:right w:val="outset" w:sz="6" w:space="0" w:color="000000"/>
            </w:tcBorders>
          </w:tcPr>
          <w:p w14:paraId="34A2C8C0" w14:textId="77777777" w:rsidR="00C74CAE" w:rsidRPr="0043354D" w:rsidRDefault="00C74CAE">
            <w:pPr>
              <w:spacing w:line="270" w:lineRule="atLeast"/>
              <w:rPr>
                <w:b/>
                <w:bCs/>
              </w:rPr>
            </w:pPr>
            <w:r w:rsidRPr="0043354D">
              <w:rPr>
                <w:b/>
                <w:bCs/>
              </w:rPr>
              <w:t> </w:t>
            </w:r>
          </w:p>
          <w:p w14:paraId="63FC49AF" w14:textId="77777777" w:rsidR="00C74CAE" w:rsidRPr="0043354D" w:rsidRDefault="00C74CAE">
            <w:pPr>
              <w:spacing w:line="270" w:lineRule="atLeast"/>
              <w:rPr>
                <w:b/>
                <w:bCs/>
              </w:rPr>
            </w:pPr>
            <w:r w:rsidRPr="0043354D">
              <w:rPr>
                <w:b/>
                <w:bCs/>
              </w:rPr>
              <w:t> </w:t>
            </w:r>
          </w:p>
          <w:p w14:paraId="60A3B9E8" w14:textId="77777777" w:rsidR="00C74CAE" w:rsidRPr="0043354D" w:rsidRDefault="00C74CAE">
            <w:pPr>
              <w:spacing w:line="270" w:lineRule="atLeast"/>
              <w:rPr>
                <w:b/>
                <w:bCs/>
              </w:rPr>
            </w:pPr>
            <w:r w:rsidRPr="0043354D">
              <w:rPr>
                <w:b/>
                <w:bCs/>
              </w:rPr>
              <w:t> </w:t>
            </w:r>
          </w:p>
        </w:tc>
        <w:tc>
          <w:tcPr>
            <w:tcW w:w="1029" w:type="pct"/>
            <w:tcBorders>
              <w:top w:val="outset" w:sz="6" w:space="0" w:color="000000"/>
              <w:left w:val="outset" w:sz="6" w:space="0" w:color="000000"/>
              <w:bottom w:val="nil"/>
            </w:tcBorders>
          </w:tcPr>
          <w:p w14:paraId="041FD260" w14:textId="77777777" w:rsidR="00C74CAE" w:rsidRPr="0043354D" w:rsidRDefault="00C74CAE">
            <w:pPr>
              <w:spacing w:line="270" w:lineRule="atLeast"/>
              <w:rPr>
                <w:b/>
                <w:bCs/>
              </w:rPr>
            </w:pPr>
          </w:p>
        </w:tc>
      </w:tr>
      <w:tr w:rsidR="00E005CB" w:rsidRPr="0043354D" w14:paraId="1356B8F3" w14:textId="77777777" w:rsidTr="00E005CB">
        <w:tc>
          <w:tcPr>
            <w:tcW w:w="0" w:type="auto"/>
            <w:tcBorders>
              <w:top w:val="outset" w:sz="6" w:space="0" w:color="000000"/>
              <w:bottom w:val="outset" w:sz="6" w:space="0" w:color="000000"/>
              <w:right w:val="outset" w:sz="6" w:space="0" w:color="000000"/>
            </w:tcBorders>
          </w:tcPr>
          <w:p w14:paraId="6210104E" w14:textId="77777777" w:rsidR="00E005CB" w:rsidRPr="0043354D" w:rsidRDefault="00E005CB">
            <w:pPr>
              <w:pStyle w:val="NormalWeb"/>
            </w:pPr>
            <w:r w:rsidRPr="0043354D">
              <w:t>5. Precizēta finansiālā ietekme:</w:t>
            </w:r>
          </w:p>
        </w:tc>
        <w:tc>
          <w:tcPr>
            <w:tcW w:w="0" w:type="auto"/>
            <w:tcBorders>
              <w:top w:val="outset" w:sz="6" w:space="0" w:color="000000"/>
              <w:left w:val="outset" w:sz="6" w:space="0" w:color="000000"/>
              <w:bottom w:val="single" w:sz="4" w:space="0" w:color="auto"/>
              <w:right w:val="outset" w:sz="6" w:space="0" w:color="000000"/>
            </w:tcBorders>
          </w:tcPr>
          <w:p w14:paraId="1D4E712E" w14:textId="77777777" w:rsidR="00E005CB" w:rsidRPr="0043354D" w:rsidRDefault="00E005CB">
            <w:pPr>
              <w:pStyle w:val="NormalWeb"/>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6558BA51" w14:textId="77777777" w:rsidR="00E005CB" w:rsidRPr="0043354D" w:rsidRDefault="00E005CB">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17F08FA4" w14:textId="77777777" w:rsidR="00E005CB" w:rsidRPr="0043354D" w:rsidRDefault="00E005CB">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2C354BB" w14:textId="680769A3" w:rsidR="00E005CB" w:rsidRPr="0043354D" w:rsidRDefault="00902BBE" w:rsidP="003B45C0">
            <w:pPr>
              <w:spacing w:line="270" w:lineRule="atLeast"/>
              <w:rPr>
                <w:b/>
                <w:bCs/>
              </w:rPr>
            </w:pPr>
            <w:r>
              <w:rPr>
                <w:b/>
                <w:bCs/>
              </w:rPr>
              <w:t>+58000</w:t>
            </w:r>
          </w:p>
        </w:tc>
        <w:tc>
          <w:tcPr>
            <w:tcW w:w="1029" w:type="pct"/>
            <w:tcBorders>
              <w:top w:val="outset" w:sz="6" w:space="0" w:color="000000"/>
              <w:left w:val="outset" w:sz="6" w:space="0" w:color="000000"/>
              <w:bottom w:val="outset" w:sz="6" w:space="0" w:color="000000"/>
            </w:tcBorders>
          </w:tcPr>
          <w:p w14:paraId="1A964EB8" w14:textId="777C7C7B" w:rsidR="00E005CB" w:rsidRPr="0043354D" w:rsidRDefault="00E005CB" w:rsidP="00CE67A6">
            <w:pPr>
              <w:spacing w:line="270" w:lineRule="atLeast"/>
              <w:rPr>
                <w:b/>
                <w:bCs/>
              </w:rPr>
            </w:pPr>
            <w:r w:rsidRPr="0043354D">
              <w:rPr>
                <w:b/>
                <w:bCs/>
              </w:rPr>
              <w:t>+</w:t>
            </w:r>
            <w:r w:rsidR="00902BBE">
              <w:rPr>
                <w:b/>
                <w:bCs/>
              </w:rPr>
              <w:t>60000</w:t>
            </w:r>
          </w:p>
        </w:tc>
      </w:tr>
      <w:tr w:rsidR="00E005CB" w:rsidRPr="0043354D" w14:paraId="092AB547" w14:textId="77777777" w:rsidTr="00E005CB">
        <w:tc>
          <w:tcPr>
            <w:tcW w:w="0" w:type="auto"/>
            <w:tcBorders>
              <w:top w:val="outset" w:sz="6" w:space="0" w:color="000000"/>
              <w:bottom w:val="outset" w:sz="6" w:space="0" w:color="000000"/>
              <w:right w:val="outset" w:sz="6" w:space="0" w:color="000000"/>
            </w:tcBorders>
          </w:tcPr>
          <w:p w14:paraId="0101ED11" w14:textId="77777777" w:rsidR="00E005CB" w:rsidRPr="0043354D" w:rsidRDefault="00E005CB">
            <w:pPr>
              <w:pStyle w:val="NormalWeb"/>
            </w:pPr>
            <w:r w:rsidRPr="0043354D">
              <w:t>5.1. valsts pamatbudžets</w:t>
            </w:r>
          </w:p>
        </w:tc>
        <w:tc>
          <w:tcPr>
            <w:tcW w:w="0" w:type="auto"/>
            <w:tcBorders>
              <w:top w:val="single" w:sz="4" w:space="0" w:color="auto"/>
              <w:left w:val="outset" w:sz="6" w:space="0" w:color="000000"/>
              <w:bottom w:val="single" w:sz="4" w:space="0" w:color="auto"/>
              <w:right w:val="outset" w:sz="6" w:space="0" w:color="000000"/>
            </w:tcBorders>
            <w:vAlign w:val="center"/>
          </w:tcPr>
          <w:p w14:paraId="41F04DCA" w14:textId="77777777" w:rsidR="00E005CB" w:rsidRPr="0043354D" w:rsidRDefault="00E005CB">
            <w:pPr>
              <w:pStyle w:val="NormalWeb"/>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3AE50318" w14:textId="77777777" w:rsidR="00E005CB" w:rsidRPr="0043354D" w:rsidRDefault="00E005CB">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7EB4844F" w14:textId="77777777" w:rsidR="00E005CB" w:rsidRPr="0043354D" w:rsidRDefault="00E005CB">
            <w:pPr>
              <w:spacing w:line="270" w:lineRule="atLeast"/>
              <w:rPr>
                <w:b/>
                <w:bCs/>
              </w:rPr>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6E44CDAC" w14:textId="033144EF" w:rsidR="00E005CB" w:rsidRPr="0043354D" w:rsidRDefault="00902BBE" w:rsidP="003B45C0">
            <w:pPr>
              <w:spacing w:line="270" w:lineRule="atLeast"/>
              <w:rPr>
                <w:b/>
                <w:bCs/>
              </w:rPr>
            </w:pPr>
            <w:r>
              <w:rPr>
                <w:b/>
                <w:bCs/>
              </w:rPr>
              <w:t>+58000</w:t>
            </w:r>
          </w:p>
        </w:tc>
        <w:tc>
          <w:tcPr>
            <w:tcW w:w="1029" w:type="pct"/>
            <w:tcBorders>
              <w:top w:val="outset" w:sz="6" w:space="0" w:color="000000"/>
              <w:left w:val="outset" w:sz="6" w:space="0" w:color="000000"/>
              <w:bottom w:val="outset" w:sz="6" w:space="0" w:color="000000"/>
            </w:tcBorders>
          </w:tcPr>
          <w:p w14:paraId="60932CCE" w14:textId="5C3A0802" w:rsidR="00E005CB" w:rsidRPr="0043354D" w:rsidRDefault="00E005CB" w:rsidP="00CE67A6">
            <w:pPr>
              <w:spacing w:line="270" w:lineRule="atLeast"/>
              <w:rPr>
                <w:b/>
                <w:bCs/>
              </w:rPr>
            </w:pPr>
            <w:r w:rsidRPr="0043354D">
              <w:rPr>
                <w:b/>
                <w:bCs/>
              </w:rPr>
              <w:t>+</w:t>
            </w:r>
            <w:r w:rsidR="00902BBE">
              <w:rPr>
                <w:b/>
                <w:bCs/>
              </w:rPr>
              <w:t>60000</w:t>
            </w:r>
          </w:p>
        </w:tc>
      </w:tr>
      <w:tr w:rsidR="00E74C48" w:rsidRPr="0043354D" w14:paraId="2FA24248" w14:textId="77777777" w:rsidTr="00E005CB">
        <w:tc>
          <w:tcPr>
            <w:tcW w:w="0" w:type="auto"/>
            <w:tcBorders>
              <w:top w:val="outset" w:sz="6" w:space="0" w:color="000000"/>
              <w:bottom w:val="outset" w:sz="6" w:space="0" w:color="000000"/>
              <w:right w:val="outset" w:sz="6" w:space="0" w:color="000000"/>
            </w:tcBorders>
          </w:tcPr>
          <w:p w14:paraId="4679217C" w14:textId="77777777" w:rsidR="00C74CAE" w:rsidRPr="0043354D" w:rsidRDefault="00C74CAE">
            <w:pPr>
              <w:pStyle w:val="NormalWeb"/>
            </w:pPr>
            <w:r w:rsidRPr="0043354D">
              <w:t>5.2. speciālais budžets</w:t>
            </w:r>
          </w:p>
        </w:tc>
        <w:tc>
          <w:tcPr>
            <w:tcW w:w="0" w:type="auto"/>
            <w:tcBorders>
              <w:top w:val="single" w:sz="4" w:space="0" w:color="auto"/>
              <w:left w:val="outset" w:sz="6" w:space="0" w:color="000000"/>
              <w:bottom w:val="single" w:sz="4" w:space="0" w:color="auto"/>
              <w:right w:val="outset" w:sz="6" w:space="0" w:color="000000"/>
            </w:tcBorders>
          </w:tcPr>
          <w:p w14:paraId="300670D5" w14:textId="77777777" w:rsidR="00C74CAE" w:rsidRPr="0043354D" w:rsidRDefault="00C74CAE">
            <w:pPr>
              <w:spacing w:line="270" w:lineRule="atLeast"/>
            </w:pPr>
            <w:r w:rsidRPr="0043354D">
              <w:t> </w:t>
            </w:r>
            <w:r w:rsidRPr="0043354D">
              <w:rPr>
                <w:b/>
                <w:bCs/>
              </w:rPr>
              <w:t>0</w:t>
            </w:r>
          </w:p>
        </w:tc>
        <w:tc>
          <w:tcPr>
            <w:tcW w:w="0" w:type="auto"/>
            <w:tcBorders>
              <w:top w:val="outset" w:sz="6" w:space="0" w:color="000000"/>
              <w:left w:val="outset" w:sz="6" w:space="0" w:color="000000"/>
              <w:bottom w:val="outset" w:sz="6" w:space="0" w:color="000000"/>
              <w:right w:val="outset" w:sz="6" w:space="0" w:color="000000"/>
            </w:tcBorders>
          </w:tcPr>
          <w:p w14:paraId="02236C9B" w14:textId="77777777" w:rsidR="00C74CAE" w:rsidRPr="0043354D" w:rsidRDefault="00C74CAE">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40A25E4" w14:textId="77777777" w:rsidR="00C74CAE" w:rsidRPr="0043354D" w:rsidRDefault="00C74CAE">
            <w:pPr>
              <w:spacing w:line="270" w:lineRule="atLeast"/>
            </w:pPr>
            <w:r w:rsidRPr="0043354D">
              <w:t> </w:t>
            </w:r>
            <w:r w:rsidRPr="0043354D">
              <w:rPr>
                <w:b/>
                <w:bCs/>
              </w:rPr>
              <w:t>0</w:t>
            </w:r>
          </w:p>
        </w:tc>
        <w:tc>
          <w:tcPr>
            <w:tcW w:w="0" w:type="auto"/>
            <w:tcBorders>
              <w:top w:val="outset" w:sz="6" w:space="0" w:color="000000"/>
              <w:left w:val="outset" w:sz="6" w:space="0" w:color="000000"/>
              <w:bottom w:val="outset" w:sz="6" w:space="0" w:color="000000"/>
              <w:right w:val="outset" w:sz="6" w:space="0" w:color="000000"/>
            </w:tcBorders>
          </w:tcPr>
          <w:p w14:paraId="345C5C6B" w14:textId="77777777" w:rsidR="00C74CAE" w:rsidRPr="0043354D" w:rsidRDefault="00C74CAE">
            <w:pPr>
              <w:spacing w:line="270" w:lineRule="atLeast"/>
            </w:pPr>
            <w:r w:rsidRPr="0043354D">
              <w:t> </w:t>
            </w:r>
            <w:r w:rsidRPr="0043354D">
              <w:rPr>
                <w:b/>
                <w:bCs/>
              </w:rPr>
              <w:t>0</w:t>
            </w:r>
          </w:p>
        </w:tc>
        <w:tc>
          <w:tcPr>
            <w:tcW w:w="1029" w:type="pct"/>
            <w:tcBorders>
              <w:top w:val="outset" w:sz="6" w:space="0" w:color="000000"/>
              <w:left w:val="outset" w:sz="6" w:space="0" w:color="000000"/>
              <w:bottom w:val="outset" w:sz="6" w:space="0" w:color="000000"/>
            </w:tcBorders>
          </w:tcPr>
          <w:p w14:paraId="56525561" w14:textId="77777777" w:rsidR="00C74CAE" w:rsidRPr="0043354D" w:rsidRDefault="00C74CAE">
            <w:pPr>
              <w:spacing w:line="270" w:lineRule="atLeast"/>
            </w:pPr>
            <w:r w:rsidRPr="0043354D">
              <w:t> </w:t>
            </w:r>
            <w:r w:rsidRPr="0043354D">
              <w:rPr>
                <w:b/>
                <w:bCs/>
              </w:rPr>
              <w:t>0</w:t>
            </w:r>
          </w:p>
        </w:tc>
      </w:tr>
      <w:tr w:rsidR="00E74C48" w:rsidRPr="0043354D" w14:paraId="106A9044" w14:textId="77777777" w:rsidTr="00E005CB">
        <w:tc>
          <w:tcPr>
            <w:tcW w:w="0" w:type="auto"/>
            <w:tcBorders>
              <w:top w:val="outset" w:sz="6" w:space="0" w:color="000000"/>
              <w:bottom w:val="outset" w:sz="6" w:space="0" w:color="000000"/>
              <w:right w:val="outset" w:sz="6" w:space="0" w:color="000000"/>
            </w:tcBorders>
          </w:tcPr>
          <w:p w14:paraId="7ED5880A" w14:textId="77777777" w:rsidR="00C74CAE" w:rsidRPr="0043354D" w:rsidRDefault="00C74CAE">
            <w:pPr>
              <w:pStyle w:val="NormalWeb"/>
            </w:pPr>
            <w:r w:rsidRPr="0043354D">
              <w:t>5.3. pašvaldību budžets</w:t>
            </w:r>
          </w:p>
        </w:tc>
        <w:tc>
          <w:tcPr>
            <w:tcW w:w="0" w:type="auto"/>
            <w:tcBorders>
              <w:top w:val="single" w:sz="4" w:space="0" w:color="auto"/>
              <w:left w:val="outset" w:sz="6" w:space="0" w:color="000000"/>
              <w:bottom w:val="outset" w:sz="6" w:space="0" w:color="000000"/>
              <w:right w:val="outset" w:sz="6" w:space="0" w:color="000000"/>
            </w:tcBorders>
          </w:tcPr>
          <w:p w14:paraId="60D0D733" w14:textId="77777777" w:rsidR="00C74CAE" w:rsidRPr="0043354D" w:rsidRDefault="00C74CAE">
            <w:pPr>
              <w:spacing w:line="270" w:lineRule="atLeast"/>
            </w:pPr>
            <w:r w:rsidRPr="0043354D">
              <w:t> </w:t>
            </w:r>
            <w:r w:rsidRPr="0043354D">
              <w:rPr>
                <w:b/>
                <w:bCs/>
              </w:rPr>
              <w:t>0</w:t>
            </w:r>
          </w:p>
        </w:tc>
        <w:tc>
          <w:tcPr>
            <w:tcW w:w="0" w:type="auto"/>
            <w:tcBorders>
              <w:top w:val="outset" w:sz="6" w:space="0" w:color="000000"/>
              <w:left w:val="outset" w:sz="6" w:space="0" w:color="000000"/>
              <w:bottom w:val="outset" w:sz="6" w:space="0" w:color="000000"/>
              <w:right w:val="outset" w:sz="6" w:space="0" w:color="000000"/>
            </w:tcBorders>
          </w:tcPr>
          <w:p w14:paraId="46DCAB33" w14:textId="77777777" w:rsidR="00C74CAE" w:rsidRPr="0043354D" w:rsidRDefault="00C74CAE">
            <w:pPr>
              <w:spacing w:line="270" w:lineRule="atLeast"/>
            </w:pPr>
            <w:r w:rsidRPr="0043354D">
              <w:rPr>
                <w:b/>
                <w:bCs/>
              </w:rPr>
              <w:t> 0</w:t>
            </w:r>
          </w:p>
        </w:tc>
        <w:tc>
          <w:tcPr>
            <w:tcW w:w="0" w:type="auto"/>
            <w:tcBorders>
              <w:top w:val="outset" w:sz="6" w:space="0" w:color="000000"/>
              <w:left w:val="outset" w:sz="6" w:space="0" w:color="000000"/>
              <w:bottom w:val="outset" w:sz="6" w:space="0" w:color="000000"/>
              <w:right w:val="outset" w:sz="6" w:space="0" w:color="000000"/>
            </w:tcBorders>
          </w:tcPr>
          <w:p w14:paraId="1AA09E0B" w14:textId="77777777" w:rsidR="00C74CAE" w:rsidRPr="0043354D" w:rsidRDefault="00C74CAE">
            <w:pPr>
              <w:spacing w:line="270" w:lineRule="atLeast"/>
            </w:pPr>
            <w:r w:rsidRPr="0043354D">
              <w:t> </w:t>
            </w:r>
            <w:r w:rsidRPr="0043354D">
              <w:rPr>
                <w:b/>
                <w:bCs/>
              </w:rPr>
              <w:t>0</w:t>
            </w:r>
          </w:p>
        </w:tc>
        <w:tc>
          <w:tcPr>
            <w:tcW w:w="0" w:type="auto"/>
            <w:tcBorders>
              <w:top w:val="outset" w:sz="6" w:space="0" w:color="000000"/>
              <w:left w:val="outset" w:sz="6" w:space="0" w:color="000000"/>
              <w:bottom w:val="outset" w:sz="6" w:space="0" w:color="000000"/>
              <w:right w:val="outset" w:sz="6" w:space="0" w:color="000000"/>
            </w:tcBorders>
          </w:tcPr>
          <w:p w14:paraId="1EDBCFA9" w14:textId="77777777" w:rsidR="00C74CAE" w:rsidRPr="0043354D" w:rsidRDefault="00C74CAE">
            <w:pPr>
              <w:spacing w:line="270" w:lineRule="atLeast"/>
            </w:pPr>
            <w:r w:rsidRPr="0043354D">
              <w:t> </w:t>
            </w:r>
            <w:r w:rsidRPr="0043354D">
              <w:rPr>
                <w:b/>
                <w:bCs/>
              </w:rPr>
              <w:t>0</w:t>
            </w:r>
          </w:p>
        </w:tc>
        <w:tc>
          <w:tcPr>
            <w:tcW w:w="1029" w:type="pct"/>
            <w:tcBorders>
              <w:top w:val="outset" w:sz="6" w:space="0" w:color="000000"/>
              <w:left w:val="outset" w:sz="6" w:space="0" w:color="000000"/>
              <w:bottom w:val="outset" w:sz="6" w:space="0" w:color="000000"/>
            </w:tcBorders>
          </w:tcPr>
          <w:p w14:paraId="71BA3AB1" w14:textId="77777777" w:rsidR="00C74CAE" w:rsidRPr="0043354D" w:rsidRDefault="00C74CAE">
            <w:pPr>
              <w:spacing w:line="270" w:lineRule="atLeast"/>
            </w:pPr>
            <w:r w:rsidRPr="0043354D">
              <w:t> </w:t>
            </w:r>
            <w:r w:rsidRPr="0043354D">
              <w:rPr>
                <w:b/>
                <w:bCs/>
              </w:rPr>
              <w:t>0</w:t>
            </w:r>
          </w:p>
        </w:tc>
      </w:tr>
      <w:tr w:rsidR="00E74C48" w:rsidRPr="0043354D" w14:paraId="3B99D179" w14:textId="77777777" w:rsidTr="00E005CB">
        <w:tc>
          <w:tcPr>
            <w:tcW w:w="0" w:type="auto"/>
            <w:tcBorders>
              <w:top w:val="outset" w:sz="6" w:space="0" w:color="000000"/>
              <w:bottom w:val="outset" w:sz="6" w:space="0" w:color="000000"/>
              <w:right w:val="outset" w:sz="6" w:space="0" w:color="000000"/>
            </w:tcBorders>
          </w:tcPr>
          <w:p w14:paraId="632D2CD6" w14:textId="77777777" w:rsidR="00C74CAE" w:rsidRPr="0043354D" w:rsidRDefault="00C74CAE">
            <w:pPr>
              <w:pStyle w:val="NormalWeb"/>
            </w:pPr>
            <w:r w:rsidRPr="0043354D">
              <w:t>6. Detalizēts ieņēmumu un izdevumu aprēķins (ja nepieciešams, detalizētu ieņēmumu un izdevumu aprēķinu var pievienot anotācijas pielikumā):</w:t>
            </w:r>
          </w:p>
        </w:tc>
        <w:tc>
          <w:tcPr>
            <w:tcW w:w="3258" w:type="pct"/>
            <w:gridSpan w:val="5"/>
            <w:vMerge w:val="restart"/>
            <w:tcBorders>
              <w:top w:val="outset" w:sz="6" w:space="0" w:color="000000"/>
              <w:left w:val="outset" w:sz="6" w:space="0" w:color="000000"/>
              <w:bottom w:val="outset" w:sz="6" w:space="0" w:color="000000"/>
            </w:tcBorders>
          </w:tcPr>
          <w:p w14:paraId="571DE70E" w14:textId="5FB605D8" w:rsidR="00C74CAE" w:rsidRPr="0043354D" w:rsidRDefault="00C74CAE">
            <w:pPr>
              <w:jc w:val="both"/>
              <w:rPr>
                <w:iCs/>
              </w:rPr>
            </w:pPr>
            <w:r w:rsidRPr="0043354D">
              <w:rPr>
                <w:iCs/>
              </w:rPr>
              <w:t>Likumprojekts paredz noteikt valsts nodevu par apvienošanās izvērtēšanu</w:t>
            </w:r>
            <w:r w:rsidR="00B14FFF" w:rsidRPr="0043354D">
              <w:rPr>
                <w:iCs/>
              </w:rPr>
              <w:t xml:space="preserve"> no 201</w:t>
            </w:r>
            <w:r w:rsidR="00CE67A6">
              <w:rPr>
                <w:iCs/>
              </w:rPr>
              <w:t>6</w:t>
            </w:r>
            <w:r w:rsidR="00B14FFF" w:rsidRPr="0043354D">
              <w:rPr>
                <w:iCs/>
              </w:rPr>
              <w:t>.gada 1.janvāra</w:t>
            </w:r>
            <w:r w:rsidRPr="0043354D">
              <w:rPr>
                <w:iCs/>
              </w:rPr>
              <w:t>.</w:t>
            </w:r>
          </w:p>
          <w:p w14:paraId="3135F1B5" w14:textId="77777777" w:rsidR="00C74CAE" w:rsidRPr="0043354D" w:rsidRDefault="00C74CAE">
            <w:pPr>
              <w:jc w:val="both"/>
              <w:rPr>
                <w:iCs/>
              </w:rPr>
            </w:pPr>
            <w:r w:rsidRPr="0043354D">
              <w:rPr>
                <w:iCs/>
              </w:rPr>
              <w:t xml:space="preserve">Precīza ietekme uz valsts budžetu nav nosakāma, jo apvienošanās skaits un tā pieaugums vai samazinājums nav precīzi prognozējams un ir lielā mērā saistīts ar valsts ekonomisko attīstību. Tomēr uzskatāms, ka līdz ar ekonomiskās situācijas uzlabošanos un straujāku attīstību paziņojamo apvienošanās skaitam ir tendence pieaugt. </w:t>
            </w:r>
          </w:p>
          <w:p w14:paraId="7D867CA0" w14:textId="77777777" w:rsidR="00C74CAE" w:rsidRPr="0043354D" w:rsidRDefault="00C74CAE">
            <w:pPr>
              <w:jc w:val="both"/>
            </w:pPr>
            <w:r w:rsidRPr="0043354D">
              <w:t>Nodevas apjoms plānots diferencēts atbilstoši apvienošanās iesaistīto tirgus dalībnieku apgrozījumam Latvijā. Attiecīgi, ja tiek iesniegts saīsinātais apvienošanās ziņojums</w:t>
            </w:r>
            <w:r w:rsidR="003C0043">
              <w:t>,</w:t>
            </w:r>
            <w:r w:rsidRPr="0043354D">
              <w:t xml:space="preserve"> nodeva paredzēta 2000 </w:t>
            </w:r>
            <w:proofErr w:type="spellStart"/>
            <w:r w:rsidRPr="0043354D">
              <w:t>euro</w:t>
            </w:r>
            <w:proofErr w:type="spellEnd"/>
            <w:r w:rsidRPr="0043354D">
              <w:t xml:space="preserve"> apmērā, šāda summa paredzēta arī gadījumiem, kad apvienošanās neatbilst paziņošanas kritērijiem, tomēr ziņojums tiek iesniegts pēc Konkurences padomes lūguma. Apvienošanās </w:t>
            </w:r>
            <w:r w:rsidR="00B271B3">
              <w:t>izvērtēšanas</w:t>
            </w:r>
            <w:r w:rsidR="00B271B3" w:rsidRPr="0043354D">
              <w:t xml:space="preserve"> </w:t>
            </w:r>
            <w:r w:rsidRPr="0043354D">
              <w:t xml:space="preserve">nodeva paredzēta 4000 </w:t>
            </w:r>
            <w:proofErr w:type="spellStart"/>
            <w:r w:rsidRPr="0043354D">
              <w:rPr>
                <w:i/>
                <w:shd w:val="clear" w:color="auto" w:fill="FFFFFF"/>
              </w:rPr>
              <w:t>euro</w:t>
            </w:r>
            <w:proofErr w:type="spellEnd"/>
            <w:r w:rsidRPr="0043354D">
              <w:rPr>
                <w:shd w:val="clear" w:color="auto" w:fill="FFFFFF"/>
              </w:rPr>
              <w:t xml:space="preserve"> apmērā, ja apvienošanās dalībnieku </w:t>
            </w:r>
            <w:r w:rsidRPr="0043354D">
              <w:t xml:space="preserve">kopējais apgrozījums iepriekšējā finanšu gadā Latvijas teritorijā ir starp 30 miljoniem </w:t>
            </w:r>
            <w:proofErr w:type="spellStart"/>
            <w:r w:rsidRPr="0043354D">
              <w:rPr>
                <w:i/>
              </w:rPr>
              <w:t>euro</w:t>
            </w:r>
            <w:proofErr w:type="spellEnd"/>
            <w:r w:rsidRPr="0043354D">
              <w:t xml:space="preserve"> un 80 miljoniem </w:t>
            </w:r>
            <w:proofErr w:type="spellStart"/>
            <w:r w:rsidRPr="0043354D">
              <w:rPr>
                <w:i/>
              </w:rPr>
              <w:t>euro</w:t>
            </w:r>
            <w:proofErr w:type="spellEnd"/>
            <w:r w:rsidRPr="0043354D">
              <w:t xml:space="preserve"> un </w:t>
            </w:r>
            <w:r w:rsidRPr="0043354D">
              <w:rPr>
                <w:shd w:val="clear" w:color="auto" w:fill="FFFFFF"/>
              </w:rPr>
              <w:t xml:space="preserve">8000 </w:t>
            </w:r>
            <w:proofErr w:type="spellStart"/>
            <w:r w:rsidRPr="0043354D">
              <w:rPr>
                <w:i/>
                <w:shd w:val="clear" w:color="auto" w:fill="FFFFFF"/>
              </w:rPr>
              <w:t>euro</w:t>
            </w:r>
            <w:proofErr w:type="spellEnd"/>
            <w:r w:rsidRPr="0043354D">
              <w:t xml:space="preserve"> apmērā,  </w:t>
            </w:r>
            <w:r w:rsidRPr="0043354D">
              <w:rPr>
                <w:shd w:val="clear" w:color="auto" w:fill="FFFFFF"/>
              </w:rPr>
              <w:t xml:space="preserve">ja apvienošanās dalībnieku </w:t>
            </w:r>
            <w:r w:rsidRPr="0043354D">
              <w:t xml:space="preserve">kopējais apgrozījums iepriekšējā finanšu gadā Latvijas teritorijā pārsniedz 80 miljonus </w:t>
            </w:r>
            <w:proofErr w:type="spellStart"/>
            <w:r w:rsidRPr="0043354D">
              <w:rPr>
                <w:i/>
              </w:rPr>
              <w:t>euro</w:t>
            </w:r>
            <w:proofErr w:type="spellEnd"/>
            <w:r w:rsidRPr="0043354D">
              <w:t>.</w:t>
            </w:r>
          </w:p>
          <w:p w14:paraId="2B67F818" w14:textId="4DFE9EF4" w:rsidR="00C74CAE" w:rsidRPr="0043354D" w:rsidRDefault="00C74CAE">
            <w:pPr>
              <w:jc w:val="both"/>
            </w:pPr>
            <w:r w:rsidRPr="0043354D">
              <w:t>Attiecīgi prognozējams, ka 201</w:t>
            </w:r>
            <w:r w:rsidR="00CE67A6">
              <w:t>6</w:t>
            </w:r>
            <w:r w:rsidRPr="0043354D">
              <w:t xml:space="preserve">.gadā varētu tikt paziņotas 3 apvienošanās, kuru nodeva būtu 2000 </w:t>
            </w:r>
            <w:proofErr w:type="spellStart"/>
            <w:r w:rsidRPr="0043354D">
              <w:t>euro</w:t>
            </w:r>
            <w:proofErr w:type="spellEnd"/>
            <w:r w:rsidRPr="0043354D">
              <w:t xml:space="preserve">, 3, kuru nodeva būtu 4000 </w:t>
            </w:r>
            <w:proofErr w:type="spellStart"/>
            <w:r w:rsidRPr="0043354D">
              <w:t>euro</w:t>
            </w:r>
            <w:proofErr w:type="spellEnd"/>
            <w:r w:rsidRPr="0043354D">
              <w:t xml:space="preserve">, un 5, kuru nodeva būtu 8000 </w:t>
            </w:r>
            <w:proofErr w:type="spellStart"/>
            <w:r w:rsidRPr="0043354D">
              <w:t>euro</w:t>
            </w:r>
            <w:proofErr w:type="spellEnd"/>
            <w:r w:rsidRPr="0043354D">
              <w:t xml:space="preserve">, kā rezultātā kopējā nodevu summa būtu  58 </w:t>
            </w:r>
            <w:proofErr w:type="spellStart"/>
            <w:r w:rsidRPr="0043354D">
              <w:t>tūkst</w:t>
            </w:r>
            <w:proofErr w:type="spellEnd"/>
            <w:r w:rsidRPr="0043354D">
              <w:t xml:space="preserve">. </w:t>
            </w:r>
            <w:proofErr w:type="spellStart"/>
            <w:r w:rsidRPr="0043354D">
              <w:t>euro</w:t>
            </w:r>
            <w:proofErr w:type="spellEnd"/>
            <w:r w:rsidRPr="0043354D">
              <w:t>. Savukārt 201</w:t>
            </w:r>
            <w:r w:rsidR="00CE67A6">
              <w:t>7</w:t>
            </w:r>
            <w:r w:rsidRPr="0043354D">
              <w:t xml:space="preserve">.gadā apvienošanās skaits varētu palielināties par vienu apvienošanos, kuras nodeva būtu 2000 </w:t>
            </w:r>
            <w:proofErr w:type="spellStart"/>
            <w:r w:rsidRPr="0043354D">
              <w:t>euro</w:t>
            </w:r>
            <w:proofErr w:type="spellEnd"/>
            <w:r w:rsidRPr="0043354D">
              <w:t xml:space="preserve"> apmērā. Attiecīgi 201</w:t>
            </w:r>
            <w:r w:rsidR="00902BBE">
              <w:t>7</w:t>
            </w:r>
            <w:r w:rsidRPr="0043354D">
              <w:t xml:space="preserve">. gadā kopējā nodevu summa varētu sasniegt 60 </w:t>
            </w:r>
            <w:proofErr w:type="spellStart"/>
            <w:r w:rsidRPr="0043354D">
              <w:t>tūkst</w:t>
            </w:r>
            <w:proofErr w:type="spellEnd"/>
            <w:r w:rsidRPr="0043354D">
              <w:t xml:space="preserve">. </w:t>
            </w:r>
            <w:proofErr w:type="spellStart"/>
            <w:r w:rsidRPr="0043354D">
              <w:t>euro</w:t>
            </w:r>
            <w:proofErr w:type="spellEnd"/>
            <w:r w:rsidRPr="0043354D">
              <w:t>.</w:t>
            </w:r>
          </w:p>
          <w:p w14:paraId="4EA56ED5" w14:textId="77777777" w:rsidR="00C74CAE" w:rsidRPr="0043354D" w:rsidRDefault="00C74CAE">
            <w:pPr>
              <w:jc w:val="both"/>
            </w:pPr>
            <w:bookmarkStart w:id="0" w:name="_GoBack"/>
            <w:bookmarkEnd w:id="0"/>
          </w:p>
        </w:tc>
      </w:tr>
      <w:tr w:rsidR="00E74C48" w:rsidRPr="0043354D" w14:paraId="5D22AFEA" w14:textId="77777777" w:rsidTr="00E005CB">
        <w:tc>
          <w:tcPr>
            <w:tcW w:w="0" w:type="auto"/>
            <w:tcBorders>
              <w:top w:val="outset" w:sz="6" w:space="0" w:color="000000"/>
              <w:bottom w:val="outset" w:sz="6" w:space="0" w:color="000000"/>
              <w:right w:val="outset" w:sz="6" w:space="0" w:color="000000"/>
            </w:tcBorders>
          </w:tcPr>
          <w:p w14:paraId="1705DE9C" w14:textId="77777777" w:rsidR="00C74CAE" w:rsidRPr="0043354D" w:rsidRDefault="00C74CAE">
            <w:pPr>
              <w:pStyle w:val="NormalWeb"/>
            </w:pPr>
            <w:r w:rsidRPr="0043354D">
              <w:t>6.1. detalizēts ieņēmumu aprēķins</w:t>
            </w:r>
          </w:p>
        </w:tc>
        <w:tc>
          <w:tcPr>
            <w:tcW w:w="3258" w:type="pct"/>
            <w:gridSpan w:val="5"/>
            <w:vMerge/>
            <w:tcBorders>
              <w:top w:val="outset" w:sz="6" w:space="0" w:color="000000"/>
              <w:left w:val="outset" w:sz="6" w:space="0" w:color="000000"/>
              <w:bottom w:val="outset" w:sz="6" w:space="0" w:color="000000"/>
            </w:tcBorders>
            <w:vAlign w:val="center"/>
          </w:tcPr>
          <w:p w14:paraId="5739BD5E" w14:textId="77777777" w:rsidR="00C74CAE" w:rsidRPr="0043354D" w:rsidRDefault="00C74CAE"/>
        </w:tc>
      </w:tr>
      <w:tr w:rsidR="00E74C48" w:rsidRPr="0043354D" w14:paraId="151EBE97" w14:textId="77777777" w:rsidTr="00E005CB">
        <w:tc>
          <w:tcPr>
            <w:tcW w:w="0" w:type="auto"/>
            <w:tcBorders>
              <w:top w:val="outset" w:sz="6" w:space="0" w:color="000000"/>
              <w:bottom w:val="outset" w:sz="6" w:space="0" w:color="000000"/>
              <w:right w:val="outset" w:sz="6" w:space="0" w:color="000000"/>
            </w:tcBorders>
          </w:tcPr>
          <w:p w14:paraId="16C38C03" w14:textId="77777777" w:rsidR="00C74CAE" w:rsidRPr="0043354D" w:rsidRDefault="00C74CAE">
            <w:pPr>
              <w:pStyle w:val="NormalWeb"/>
            </w:pPr>
            <w:r w:rsidRPr="0043354D">
              <w:t>6.2. detalizēts izdevumu aprēķins</w:t>
            </w:r>
          </w:p>
        </w:tc>
        <w:tc>
          <w:tcPr>
            <w:tcW w:w="3258" w:type="pct"/>
            <w:gridSpan w:val="5"/>
            <w:vMerge/>
            <w:tcBorders>
              <w:top w:val="outset" w:sz="6" w:space="0" w:color="000000"/>
              <w:left w:val="outset" w:sz="6" w:space="0" w:color="000000"/>
              <w:bottom w:val="outset" w:sz="6" w:space="0" w:color="000000"/>
            </w:tcBorders>
            <w:vAlign w:val="center"/>
          </w:tcPr>
          <w:p w14:paraId="66DF070F" w14:textId="77777777" w:rsidR="00C74CAE" w:rsidRPr="0043354D" w:rsidRDefault="00C74CAE"/>
        </w:tc>
      </w:tr>
      <w:tr w:rsidR="00C74CAE" w:rsidRPr="0043354D" w14:paraId="16C03838" w14:textId="77777777" w:rsidTr="00E005CB">
        <w:tc>
          <w:tcPr>
            <w:tcW w:w="0" w:type="auto"/>
            <w:tcBorders>
              <w:top w:val="outset" w:sz="6" w:space="0" w:color="000000"/>
              <w:bottom w:val="outset" w:sz="6" w:space="0" w:color="000000"/>
              <w:right w:val="outset" w:sz="6" w:space="0" w:color="000000"/>
            </w:tcBorders>
          </w:tcPr>
          <w:p w14:paraId="57826F29" w14:textId="77777777" w:rsidR="00C74CAE" w:rsidRPr="0043354D" w:rsidRDefault="00C74CAE">
            <w:pPr>
              <w:pStyle w:val="NormalWeb"/>
            </w:pPr>
            <w:r w:rsidRPr="0043354D">
              <w:lastRenderedPageBreak/>
              <w:t>7. Cita informācija</w:t>
            </w:r>
          </w:p>
        </w:tc>
        <w:tc>
          <w:tcPr>
            <w:tcW w:w="3258" w:type="pct"/>
            <w:gridSpan w:val="5"/>
            <w:tcBorders>
              <w:top w:val="outset" w:sz="6" w:space="0" w:color="000000"/>
              <w:left w:val="outset" w:sz="6" w:space="0" w:color="000000"/>
              <w:bottom w:val="outset" w:sz="6" w:space="0" w:color="000000"/>
            </w:tcBorders>
          </w:tcPr>
          <w:p w14:paraId="41EF5C99" w14:textId="77777777" w:rsidR="00C74CAE" w:rsidRPr="0043354D" w:rsidRDefault="00C74CAE" w:rsidP="00B63249">
            <w:pPr>
              <w:pStyle w:val="naisc"/>
              <w:spacing w:before="80" w:after="0"/>
              <w:jc w:val="both"/>
            </w:pPr>
            <w:r w:rsidRPr="0043354D">
              <w:t xml:space="preserve">Likumprojekts papildus sekmēs naudas sodu par Konkurences likuma pārkāpumiem samaksu valsts budžetā, kā rezultātā preventīvi mazinās konkurences pārkāpumu skaitu, tādējādi sekmējot </w:t>
            </w:r>
            <w:r w:rsidR="00B63249" w:rsidRPr="0043354D">
              <w:t>godīgu konkurenci</w:t>
            </w:r>
            <w:r w:rsidRPr="0043354D">
              <w:t>.</w:t>
            </w:r>
          </w:p>
        </w:tc>
      </w:tr>
    </w:tbl>
    <w:p w14:paraId="67397FA1" w14:textId="77777777" w:rsidR="00C74CAE" w:rsidRPr="0043354D" w:rsidRDefault="00C74CAE">
      <w:pPr>
        <w:pStyle w:val="NormalWeb"/>
        <w:spacing w:before="0" w:beforeAutospacing="0" w:after="0" w:afterAutospacing="0"/>
      </w:pPr>
    </w:p>
    <w:p w14:paraId="23E221AD" w14:textId="77777777" w:rsidR="00C74CAE" w:rsidRPr="0043354D" w:rsidRDefault="00C74CAE">
      <w:pPr>
        <w:rPr>
          <w:vanish/>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E74C48" w:rsidRPr="0043354D" w14:paraId="73A4957C" w14:textId="77777777">
        <w:trPr>
          <w:jc w:val="center"/>
        </w:trPr>
        <w:tc>
          <w:tcPr>
            <w:tcW w:w="10098" w:type="dxa"/>
            <w:gridSpan w:val="3"/>
          </w:tcPr>
          <w:p w14:paraId="3532A9B0" w14:textId="77777777" w:rsidR="00C74CAE" w:rsidRPr="0043354D" w:rsidRDefault="00C74CAE">
            <w:pPr>
              <w:pStyle w:val="naisnod"/>
              <w:spacing w:before="0" w:after="0"/>
            </w:pPr>
            <w:r w:rsidRPr="0043354D">
              <w:t>IV. Tiesību akta projekta ietekme uz spēkā esošo tiesību normu sistēmu</w:t>
            </w:r>
          </w:p>
        </w:tc>
      </w:tr>
      <w:tr w:rsidR="00E74C48" w:rsidRPr="0043354D" w14:paraId="4D09FCEC" w14:textId="77777777">
        <w:trPr>
          <w:jc w:val="center"/>
        </w:trPr>
        <w:tc>
          <w:tcPr>
            <w:tcW w:w="798" w:type="dxa"/>
          </w:tcPr>
          <w:p w14:paraId="0C079A01" w14:textId="77777777" w:rsidR="00C74CAE" w:rsidRPr="0043354D" w:rsidRDefault="00C74CAE">
            <w:pPr>
              <w:pStyle w:val="naiskr"/>
              <w:tabs>
                <w:tab w:val="left" w:pos="2628"/>
              </w:tabs>
              <w:spacing w:before="0" w:after="0"/>
              <w:jc w:val="both"/>
              <w:rPr>
                <w:iCs/>
              </w:rPr>
            </w:pPr>
            <w:r w:rsidRPr="0043354D">
              <w:rPr>
                <w:iCs/>
              </w:rPr>
              <w:t>1.</w:t>
            </w:r>
          </w:p>
        </w:tc>
        <w:tc>
          <w:tcPr>
            <w:tcW w:w="3118" w:type="dxa"/>
          </w:tcPr>
          <w:p w14:paraId="1AABD7D5" w14:textId="77777777" w:rsidR="00C74CAE" w:rsidRPr="0043354D" w:rsidRDefault="00C74CAE">
            <w:pPr>
              <w:pStyle w:val="naiskr"/>
              <w:tabs>
                <w:tab w:val="left" w:pos="2628"/>
              </w:tabs>
              <w:spacing w:before="0" w:after="0"/>
              <w:jc w:val="both"/>
              <w:rPr>
                <w:iCs/>
              </w:rPr>
            </w:pPr>
            <w:r w:rsidRPr="0043354D">
              <w:t>Nepieciešamie saistītie tiesību aktu projekti</w:t>
            </w:r>
          </w:p>
        </w:tc>
        <w:tc>
          <w:tcPr>
            <w:tcW w:w="6182" w:type="dxa"/>
          </w:tcPr>
          <w:p w14:paraId="4D83B416" w14:textId="6B5E8B91" w:rsidR="00262EAA" w:rsidRPr="0043354D" w:rsidRDefault="00262EAA" w:rsidP="00CF05F7">
            <w:pPr>
              <w:pStyle w:val="naiskr"/>
              <w:numPr>
                <w:ilvl w:val="0"/>
                <w:numId w:val="24"/>
              </w:numPr>
              <w:tabs>
                <w:tab w:val="left" w:pos="459"/>
              </w:tabs>
              <w:spacing w:before="0" w:after="0"/>
              <w:ind w:left="318" w:hanging="142"/>
              <w:jc w:val="both"/>
              <w:rPr>
                <w:iCs/>
              </w:rPr>
            </w:pPr>
            <w:r w:rsidRPr="0043354D">
              <w:rPr>
                <w:bCs/>
              </w:rPr>
              <w:t>Likumprojekta 16.pants paredz papildināt Konkurences likuma 16.pantu ar sesto daļu, kurā iekļauts pilnvarojums Ministru kabinetam noteikt valsts nodevas par apvienošanās izvērtēšan</w:t>
            </w:r>
            <w:r w:rsidR="00D9596A">
              <w:rPr>
                <w:bCs/>
              </w:rPr>
              <w:t xml:space="preserve">u apmēru </w:t>
            </w:r>
            <w:r w:rsidRPr="0043354D">
              <w:rPr>
                <w:bCs/>
              </w:rPr>
              <w:t xml:space="preserve"> un maksāšanas kārtību.</w:t>
            </w:r>
          </w:p>
          <w:p w14:paraId="50A08230" w14:textId="77777777" w:rsidR="00477A88" w:rsidRPr="0043354D" w:rsidRDefault="001A58E3" w:rsidP="00CF05F7">
            <w:pPr>
              <w:pStyle w:val="naiskr"/>
              <w:tabs>
                <w:tab w:val="left" w:pos="459"/>
              </w:tabs>
              <w:spacing w:before="0" w:after="0"/>
              <w:ind w:left="318"/>
              <w:jc w:val="both"/>
              <w:rPr>
                <w:rStyle w:val="apple-style-span"/>
                <w:iCs/>
              </w:rPr>
            </w:pPr>
            <w:r w:rsidRPr="0043354D">
              <w:rPr>
                <w:bCs/>
              </w:rPr>
              <w:t xml:space="preserve">Likumprojekta </w:t>
            </w:r>
            <w:r w:rsidR="00477A88" w:rsidRPr="0043354D">
              <w:t>13</w:t>
            </w:r>
            <w:r w:rsidRPr="0043354D">
              <w:t>.pant</w:t>
            </w:r>
            <w:r w:rsidR="00477A88" w:rsidRPr="0043354D">
              <w:t xml:space="preserve">s paredz precizēt deleģējumu Ministru kabinetam </w:t>
            </w:r>
            <w:r w:rsidR="00477A88" w:rsidRPr="0043354D">
              <w:rPr>
                <w:rStyle w:val="apple-style-span"/>
              </w:rPr>
              <w:t>izdot noteikumus par naudas soda noteikšanas kārtību, kuros paredz finanšu gada neto apgrozījuma aprēķināšanas īpatnības atsevišķiem gadījumiem, naudas soda apmēra noteikšanas kritērijus, atbildību mīkstinošos un pastiprinošos apstākļus.</w:t>
            </w:r>
          </w:p>
          <w:p w14:paraId="38AF4F3E" w14:textId="77777777" w:rsidR="00477A88" w:rsidRPr="0043354D" w:rsidRDefault="00477A88" w:rsidP="00CF05F7">
            <w:pPr>
              <w:pStyle w:val="naiskr"/>
              <w:tabs>
                <w:tab w:val="left" w:pos="459"/>
              </w:tabs>
              <w:spacing w:before="0" w:after="0"/>
              <w:ind w:left="318"/>
              <w:jc w:val="both"/>
              <w:rPr>
                <w:iCs/>
              </w:rPr>
            </w:pPr>
            <w:r w:rsidRPr="0043354D">
              <w:rPr>
                <w:bCs/>
              </w:rPr>
              <w:t xml:space="preserve">Likumprojekta </w:t>
            </w:r>
            <w:r w:rsidRPr="0043354D">
              <w:t>14.pants paredz deleģējumu Ministru kabinetam noteikt kārtību, kādā Konkurences padome iecietības programmas ietvaros atbrīvo no naudas soda un kādā naudas sodu var samazināt, kā arī prasības iecietības programmas dalībniekiem.</w:t>
            </w:r>
          </w:p>
          <w:p w14:paraId="387FD544" w14:textId="77777777" w:rsidR="00262EAA" w:rsidRPr="0043354D" w:rsidRDefault="00262EAA">
            <w:pPr>
              <w:pStyle w:val="naiskr"/>
              <w:tabs>
                <w:tab w:val="left" w:pos="2628"/>
              </w:tabs>
              <w:spacing w:before="0" w:after="0"/>
              <w:jc w:val="both"/>
              <w:rPr>
                <w:iCs/>
              </w:rPr>
            </w:pPr>
          </w:p>
          <w:p w14:paraId="1B256015" w14:textId="77777777" w:rsidR="009B0005" w:rsidRPr="0043354D" w:rsidRDefault="00477A88" w:rsidP="009B0005">
            <w:pPr>
              <w:pStyle w:val="NormalWeb"/>
              <w:tabs>
                <w:tab w:val="left" w:pos="190"/>
                <w:tab w:val="left" w:pos="332"/>
              </w:tabs>
              <w:spacing w:before="0" w:beforeAutospacing="0" w:after="0" w:afterAutospacing="0"/>
              <w:ind w:left="318" w:hanging="142"/>
              <w:jc w:val="both"/>
              <w:rPr>
                <w:bCs/>
              </w:rPr>
            </w:pPr>
            <w:r w:rsidRPr="0043354D">
              <w:rPr>
                <w:iCs/>
              </w:rPr>
              <w:t xml:space="preserve">Saistībā ar otrajā un trešajā minētajiem grozījumiem nepieciešams izdot jaunus </w:t>
            </w:r>
            <w:r w:rsidRPr="0043354D">
              <w:t xml:space="preserve">Ministru kabineta noteikumus, kas stāsies </w:t>
            </w:r>
            <w:r w:rsidR="009B0005" w:rsidRPr="0043354D">
              <w:t xml:space="preserve">pašreiz spēkā esošo </w:t>
            </w:r>
            <w:r w:rsidRPr="0043354D">
              <w:t xml:space="preserve">Ministru kabineta </w:t>
            </w:r>
            <w:r w:rsidR="009B0005" w:rsidRPr="0043354D">
              <w:t>2008.gada 29.septembra noteikumu</w:t>
            </w:r>
            <w:r w:rsidRPr="0043354D">
              <w:t xml:space="preserve"> Nr.796 „Kārtība, kādā nosakāms naudas sods par Konkurences likuma 11.panta pirmajā daļā un 13.pa</w:t>
            </w:r>
            <w:r w:rsidR="009B0005" w:rsidRPr="0043354D">
              <w:t>ntā paredzētajiem pārkāpumiem” vietā.</w:t>
            </w:r>
            <w:r w:rsidR="009B0005" w:rsidRPr="0043354D">
              <w:rPr>
                <w:bCs/>
              </w:rPr>
              <w:t xml:space="preserve"> </w:t>
            </w:r>
          </w:p>
          <w:p w14:paraId="03E3B8F5" w14:textId="77777777" w:rsidR="009B0005" w:rsidRPr="0043354D" w:rsidRDefault="009B0005" w:rsidP="009B0005">
            <w:pPr>
              <w:pStyle w:val="NormalWeb"/>
              <w:tabs>
                <w:tab w:val="left" w:pos="190"/>
                <w:tab w:val="left" w:pos="332"/>
              </w:tabs>
              <w:spacing w:before="0" w:beforeAutospacing="0" w:after="0" w:afterAutospacing="0"/>
              <w:ind w:left="318" w:hanging="142"/>
              <w:jc w:val="both"/>
              <w:rPr>
                <w:bCs/>
              </w:rPr>
            </w:pPr>
          </w:p>
          <w:p w14:paraId="523B52BD" w14:textId="77777777" w:rsidR="009B0005" w:rsidRPr="0043354D" w:rsidRDefault="009B0005" w:rsidP="00CF05F7">
            <w:pPr>
              <w:pStyle w:val="naiskr"/>
              <w:numPr>
                <w:ilvl w:val="0"/>
                <w:numId w:val="24"/>
              </w:numPr>
              <w:tabs>
                <w:tab w:val="left" w:pos="2628"/>
              </w:tabs>
              <w:spacing w:before="0" w:after="0"/>
              <w:jc w:val="both"/>
              <w:rPr>
                <w:iCs/>
              </w:rPr>
            </w:pPr>
            <w:r w:rsidRPr="0043354D">
              <w:t>Veicami grozījumi:</w:t>
            </w:r>
          </w:p>
          <w:p w14:paraId="48E1FE4B" w14:textId="77777777" w:rsidR="00477A88" w:rsidRPr="0043354D" w:rsidRDefault="009B0005" w:rsidP="00CF05F7">
            <w:pPr>
              <w:pStyle w:val="naiskr"/>
              <w:tabs>
                <w:tab w:val="left" w:pos="2628"/>
              </w:tabs>
              <w:spacing w:before="0" w:after="0"/>
              <w:ind w:left="224" w:firstLine="496"/>
              <w:jc w:val="both"/>
              <w:rPr>
                <w:iCs/>
              </w:rPr>
            </w:pPr>
            <w:r w:rsidRPr="0043354D">
              <w:t>-</w:t>
            </w:r>
            <w:r w:rsidRPr="0043354D">
              <w:rPr>
                <w:iCs/>
              </w:rPr>
              <w:t xml:space="preserve"> Latvijas Administratīvo pārkāpumu kodeksā, kas paredz svītrot no LAPK Konkurences padomes kompetencē esošo 175.</w:t>
            </w:r>
            <w:r w:rsidRPr="0043354D">
              <w:rPr>
                <w:iCs/>
                <w:vertAlign w:val="superscript"/>
              </w:rPr>
              <w:t>5</w:t>
            </w:r>
            <w:r w:rsidRPr="0043354D">
              <w:rPr>
                <w:iCs/>
              </w:rPr>
              <w:t>, 175.</w:t>
            </w:r>
            <w:r w:rsidRPr="0043354D">
              <w:rPr>
                <w:iCs/>
                <w:vertAlign w:val="superscript"/>
              </w:rPr>
              <w:t>6</w:t>
            </w:r>
            <w:r w:rsidRPr="0043354D">
              <w:rPr>
                <w:iCs/>
              </w:rPr>
              <w:t xml:space="preserve"> un </w:t>
            </w:r>
            <w:r w:rsidRPr="0043354D">
              <w:rPr>
                <w:bCs/>
                <w:shd w:val="clear" w:color="auto" w:fill="FFFFFF"/>
              </w:rPr>
              <w:t>215.</w:t>
            </w:r>
            <w:r w:rsidRPr="0043354D">
              <w:rPr>
                <w:bCs/>
                <w:shd w:val="clear" w:color="auto" w:fill="FFFFFF"/>
                <w:vertAlign w:val="superscript"/>
              </w:rPr>
              <w:t>8</w:t>
            </w:r>
            <w:r w:rsidRPr="0043354D">
              <w:rPr>
                <w:rStyle w:val="apple-converted-space"/>
                <w:bCs/>
                <w:shd w:val="clear" w:color="auto" w:fill="FFFFFF"/>
              </w:rPr>
              <w:t xml:space="preserve"> </w:t>
            </w:r>
            <w:r w:rsidRPr="0043354D">
              <w:rPr>
                <w:iCs/>
              </w:rPr>
              <w:t>pantu.</w:t>
            </w:r>
          </w:p>
          <w:p w14:paraId="20E550B9" w14:textId="251D384E" w:rsidR="00C74CAE" w:rsidRPr="0043354D" w:rsidRDefault="00FC27A1" w:rsidP="00177220">
            <w:pPr>
              <w:pStyle w:val="naiskr"/>
              <w:tabs>
                <w:tab w:val="left" w:pos="2628"/>
              </w:tabs>
              <w:spacing w:before="0" w:after="0"/>
              <w:ind w:left="224" w:firstLine="496"/>
              <w:jc w:val="both"/>
              <w:rPr>
                <w:iCs/>
              </w:rPr>
            </w:pPr>
            <w:r w:rsidRPr="0043354D">
              <w:rPr>
                <w:iCs/>
              </w:rPr>
              <w:t xml:space="preserve">- </w:t>
            </w:r>
            <w:r w:rsidR="00C74CAE" w:rsidRPr="0043354D">
              <w:rPr>
                <w:iCs/>
              </w:rPr>
              <w:t>likumā „Par nodokļiem un nodevām”</w:t>
            </w:r>
            <w:r w:rsidRPr="0043354D">
              <w:rPr>
                <w:iCs/>
              </w:rPr>
              <w:t xml:space="preserve">, paredzot </w:t>
            </w:r>
            <w:r w:rsidRPr="0043354D">
              <w:rPr>
                <w:bCs/>
              </w:rPr>
              <w:t>valsts nodevu par apvienošanās izvērtēšanu</w:t>
            </w:r>
            <w:r w:rsidR="00C74CAE" w:rsidRPr="0043354D">
              <w:rPr>
                <w:iCs/>
              </w:rPr>
              <w:t>.</w:t>
            </w:r>
          </w:p>
          <w:p w14:paraId="18569C01" w14:textId="77777777" w:rsidR="00C74CAE" w:rsidRPr="0043354D" w:rsidRDefault="00C74CAE" w:rsidP="00177220">
            <w:pPr>
              <w:pStyle w:val="naiskr"/>
              <w:tabs>
                <w:tab w:val="left" w:pos="2628"/>
              </w:tabs>
              <w:spacing w:before="0" w:after="0"/>
              <w:ind w:left="224" w:firstLine="496"/>
              <w:jc w:val="both"/>
              <w:rPr>
                <w:iCs/>
              </w:rPr>
            </w:pPr>
          </w:p>
          <w:p w14:paraId="4DABA130" w14:textId="77777777" w:rsidR="00C74CAE" w:rsidRPr="0043354D" w:rsidRDefault="00D64A59" w:rsidP="00177220">
            <w:pPr>
              <w:pStyle w:val="naiskr"/>
              <w:tabs>
                <w:tab w:val="left" w:pos="2628"/>
              </w:tabs>
              <w:spacing w:before="0" w:after="0"/>
              <w:ind w:left="224" w:firstLine="496"/>
              <w:jc w:val="both"/>
              <w:rPr>
                <w:bCs/>
                <w:shd w:val="clear" w:color="auto" w:fill="FFFFFF"/>
              </w:rPr>
            </w:pPr>
            <w:r w:rsidRPr="0043354D">
              <w:rPr>
                <w:bCs/>
                <w:shd w:val="clear" w:color="auto" w:fill="FFFFFF"/>
              </w:rPr>
              <w:t xml:space="preserve">- </w:t>
            </w:r>
            <w:r w:rsidR="00C74CAE" w:rsidRPr="0043354D">
              <w:rPr>
                <w:iCs/>
              </w:rPr>
              <w:t>Ministru kabineta 04.12.2007. noteikumos Nr.820 „</w:t>
            </w:r>
            <w:r w:rsidR="00C74CAE" w:rsidRPr="0043354D">
              <w:rPr>
                <w:bCs/>
                <w:shd w:val="clear" w:color="auto" w:fill="FFFFFF"/>
              </w:rPr>
              <w:t>Kārtība, kādā pirmstiesas izmeklēšanas iestādes, operatīvās darbības subjekti, valsts drošības iestādes, prokuratūra un tiesa pieprasa un elektronisko sakaru komersants nodod saglabājamos datus, kā arī kārtība, kādā apkopo statistisko informāciju par saglabājamo datu pieprasījumiem un to izsniegšanu”</w:t>
            </w:r>
            <w:r w:rsidRPr="0043354D">
              <w:rPr>
                <w:bCs/>
                <w:shd w:val="clear" w:color="auto" w:fill="FFFFFF"/>
              </w:rPr>
              <w:t xml:space="preserve"> lai reglamentētu kārtību, kādā Konkurences padome piekļūst elektronisko sakaru saglabājamajiem datiem</w:t>
            </w:r>
            <w:r w:rsidR="00C74CAE" w:rsidRPr="0043354D">
              <w:rPr>
                <w:bCs/>
                <w:shd w:val="clear" w:color="auto" w:fill="FFFFFF"/>
              </w:rPr>
              <w:t>.</w:t>
            </w:r>
          </w:p>
          <w:p w14:paraId="4C538B93" w14:textId="77777777" w:rsidR="00C74CAE" w:rsidRPr="0043354D" w:rsidRDefault="00C74CAE">
            <w:pPr>
              <w:pStyle w:val="naiskr"/>
              <w:tabs>
                <w:tab w:val="left" w:pos="2628"/>
              </w:tabs>
              <w:spacing w:before="0" w:after="0"/>
              <w:jc w:val="both"/>
              <w:rPr>
                <w:bCs/>
                <w:shd w:val="clear" w:color="auto" w:fill="FFFFFF"/>
              </w:rPr>
            </w:pPr>
          </w:p>
          <w:p w14:paraId="3C1E57C6" w14:textId="77777777" w:rsidR="00D64A59" w:rsidRPr="0043354D" w:rsidRDefault="00D64A59" w:rsidP="00D64A59">
            <w:pPr>
              <w:pStyle w:val="NormalWeb"/>
              <w:tabs>
                <w:tab w:val="left" w:pos="190"/>
                <w:tab w:val="left" w:pos="332"/>
              </w:tabs>
              <w:spacing w:before="0" w:beforeAutospacing="0" w:after="0" w:afterAutospacing="0"/>
              <w:ind w:left="318" w:hanging="142"/>
              <w:jc w:val="both"/>
              <w:rPr>
                <w:bCs/>
              </w:rPr>
            </w:pPr>
            <w:r w:rsidRPr="0043354D">
              <w:rPr>
                <w:bCs/>
              </w:rPr>
              <w:t xml:space="preserve">Par </w:t>
            </w:r>
            <w:r w:rsidR="00D14D5D" w:rsidRPr="0043354D">
              <w:rPr>
                <w:bCs/>
              </w:rPr>
              <w:t xml:space="preserve">minēto </w:t>
            </w:r>
            <w:r w:rsidRPr="0043354D">
              <w:rPr>
                <w:bCs/>
              </w:rPr>
              <w:t>likumprojektu un Ministru kabineta noteikumu projekt</w:t>
            </w:r>
            <w:r w:rsidR="00D14D5D" w:rsidRPr="0043354D">
              <w:rPr>
                <w:bCs/>
              </w:rPr>
              <w:t>u</w:t>
            </w:r>
            <w:r w:rsidRPr="0043354D">
              <w:rPr>
                <w:bCs/>
              </w:rPr>
              <w:t xml:space="preserve"> izstrādi atbildīgā institūcija – Ekonomikas ministrija.</w:t>
            </w:r>
          </w:p>
          <w:p w14:paraId="731A2ACE" w14:textId="77777777" w:rsidR="00D64A59" w:rsidRPr="0043354D" w:rsidRDefault="00D64A59" w:rsidP="00D64A59">
            <w:pPr>
              <w:pStyle w:val="NormalWeb"/>
              <w:tabs>
                <w:tab w:val="left" w:pos="190"/>
                <w:tab w:val="left" w:pos="332"/>
              </w:tabs>
              <w:spacing w:before="0" w:beforeAutospacing="0" w:after="0" w:afterAutospacing="0"/>
              <w:ind w:left="318" w:hanging="142"/>
              <w:jc w:val="both"/>
              <w:rPr>
                <w:bCs/>
              </w:rPr>
            </w:pPr>
          </w:p>
          <w:p w14:paraId="4DE925E8" w14:textId="77777777" w:rsidR="00D64A59" w:rsidRPr="0043354D" w:rsidRDefault="00D64A59" w:rsidP="00D64A59">
            <w:pPr>
              <w:pStyle w:val="NormalWeb"/>
              <w:tabs>
                <w:tab w:val="left" w:pos="190"/>
                <w:tab w:val="left" w:pos="332"/>
              </w:tabs>
              <w:spacing w:before="0" w:beforeAutospacing="0" w:after="0" w:afterAutospacing="0"/>
              <w:ind w:left="318" w:hanging="142"/>
              <w:jc w:val="both"/>
              <w:rPr>
                <w:bCs/>
              </w:rPr>
            </w:pPr>
            <w:r w:rsidRPr="0043354D">
              <w:rPr>
                <w:bCs/>
              </w:rPr>
              <w:t>Ministru kabineta noteikumu projekt</w:t>
            </w:r>
            <w:r w:rsidR="00D14D5D" w:rsidRPr="0043354D">
              <w:rPr>
                <w:bCs/>
              </w:rPr>
              <w:t>i</w:t>
            </w:r>
            <w:r w:rsidRPr="0043354D">
              <w:rPr>
                <w:bCs/>
              </w:rPr>
              <w:t xml:space="preserve"> iesniedzam</w:t>
            </w:r>
            <w:r w:rsidR="00D14D5D" w:rsidRPr="0043354D">
              <w:rPr>
                <w:bCs/>
              </w:rPr>
              <w:t>i</w:t>
            </w:r>
            <w:r w:rsidRPr="0043354D">
              <w:rPr>
                <w:bCs/>
              </w:rPr>
              <w:t xml:space="preserve"> </w:t>
            </w:r>
            <w:r w:rsidRPr="0043354D">
              <w:rPr>
                <w:bCs/>
              </w:rPr>
              <w:lastRenderedPageBreak/>
              <w:t xml:space="preserve">izskatīšanai Ministru kabinetā pēc tam, kad šis </w:t>
            </w:r>
            <w:r w:rsidR="00D14D5D" w:rsidRPr="0043354D">
              <w:rPr>
                <w:bCs/>
              </w:rPr>
              <w:t>L</w:t>
            </w:r>
            <w:r w:rsidRPr="0043354D">
              <w:rPr>
                <w:bCs/>
              </w:rPr>
              <w:t>ikum</w:t>
            </w:r>
            <w:r w:rsidR="00D14D5D" w:rsidRPr="0043354D">
              <w:rPr>
                <w:bCs/>
              </w:rPr>
              <w:t>projekts</w:t>
            </w:r>
            <w:r w:rsidRPr="0043354D">
              <w:rPr>
                <w:bCs/>
              </w:rPr>
              <w:t xml:space="preserve"> tiks pieņemts otrajā lasījumā.</w:t>
            </w:r>
          </w:p>
          <w:p w14:paraId="046025E7" w14:textId="77777777" w:rsidR="00D14D5D" w:rsidRPr="0043354D" w:rsidRDefault="00D14D5D" w:rsidP="00D64A59">
            <w:pPr>
              <w:pStyle w:val="NormalWeb"/>
              <w:tabs>
                <w:tab w:val="left" w:pos="190"/>
                <w:tab w:val="left" w:pos="332"/>
              </w:tabs>
              <w:spacing w:before="0" w:beforeAutospacing="0" w:after="0" w:afterAutospacing="0"/>
              <w:ind w:left="318" w:hanging="142"/>
              <w:jc w:val="both"/>
              <w:rPr>
                <w:bCs/>
              </w:rPr>
            </w:pPr>
            <w:r w:rsidRPr="0043354D">
              <w:rPr>
                <w:bCs/>
              </w:rPr>
              <w:t xml:space="preserve">Minētos likumprojektus paredzēts izsludināt Valsts sekretāru sanāksmē  pēc šī Likumprojekta akceptēšanas Ministru kabinetā. </w:t>
            </w:r>
          </w:p>
          <w:p w14:paraId="779AC29E" w14:textId="77777777" w:rsidR="00D64A59" w:rsidRPr="0043354D" w:rsidRDefault="00D64A59">
            <w:pPr>
              <w:pStyle w:val="naiskr"/>
              <w:tabs>
                <w:tab w:val="left" w:pos="2628"/>
              </w:tabs>
              <w:spacing w:before="0" w:after="0"/>
              <w:jc w:val="both"/>
              <w:rPr>
                <w:bCs/>
                <w:shd w:val="clear" w:color="auto" w:fill="FFFFFF"/>
              </w:rPr>
            </w:pPr>
          </w:p>
          <w:p w14:paraId="07290DFB" w14:textId="77777777" w:rsidR="002E0977" w:rsidRPr="0043354D" w:rsidRDefault="002E0977" w:rsidP="00D64A59">
            <w:pPr>
              <w:pStyle w:val="naiskr"/>
              <w:tabs>
                <w:tab w:val="left" w:pos="2628"/>
              </w:tabs>
              <w:spacing w:before="0" w:after="0"/>
              <w:jc w:val="both"/>
              <w:rPr>
                <w:b/>
                <w:iCs/>
              </w:rPr>
            </w:pPr>
          </w:p>
        </w:tc>
      </w:tr>
      <w:tr w:rsidR="00E74C48" w:rsidRPr="00E74C48" w14:paraId="0A3A2BF2" w14:textId="77777777">
        <w:trPr>
          <w:jc w:val="center"/>
        </w:trPr>
        <w:tc>
          <w:tcPr>
            <w:tcW w:w="798" w:type="dxa"/>
          </w:tcPr>
          <w:p w14:paraId="1338C00E" w14:textId="77777777" w:rsidR="00C74CAE" w:rsidRPr="00E74C48" w:rsidRDefault="00C74CAE">
            <w:pPr>
              <w:pStyle w:val="naiskr"/>
              <w:tabs>
                <w:tab w:val="left" w:pos="2628"/>
              </w:tabs>
              <w:spacing w:before="0" w:after="0"/>
              <w:jc w:val="both"/>
              <w:rPr>
                <w:iCs/>
              </w:rPr>
            </w:pPr>
            <w:r w:rsidRPr="00E74C48">
              <w:rPr>
                <w:iCs/>
              </w:rPr>
              <w:lastRenderedPageBreak/>
              <w:t>2.</w:t>
            </w:r>
          </w:p>
        </w:tc>
        <w:tc>
          <w:tcPr>
            <w:tcW w:w="3118" w:type="dxa"/>
          </w:tcPr>
          <w:p w14:paraId="032C9628" w14:textId="77777777" w:rsidR="00C74CAE" w:rsidRPr="00E74C48" w:rsidRDefault="00C74CAE">
            <w:pPr>
              <w:pStyle w:val="naiskr"/>
              <w:tabs>
                <w:tab w:val="left" w:pos="2628"/>
              </w:tabs>
              <w:spacing w:before="0" w:after="0"/>
              <w:jc w:val="both"/>
              <w:rPr>
                <w:iCs/>
              </w:rPr>
            </w:pPr>
            <w:r w:rsidRPr="00E74C48">
              <w:rPr>
                <w:sz w:val="22"/>
                <w:szCs w:val="22"/>
              </w:rPr>
              <w:t>Cita informācija</w:t>
            </w:r>
          </w:p>
        </w:tc>
        <w:tc>
          <w:tcPr>
            <w:tcW w:w="6182" w:type="dxa"/>
          </w:tcPr>
          <w:p w14:paraId="6089316E" w14:textId="77777777" w:rsidR="00C74CAE" w:rsidRPr="00E74C48" w:rsidRDefault="0043354D">
            <w:pPr>
              <w:pStyle w:val="naiskr"/>
              <w:tabs>
                <w:tab w:val="left" w:pos="2628"/>
              </w:tabs>
              <w:spacing w:before="0" w:after="0"/>
              <w:jc w:val="both"/>
              <w:rPr>
                <w:iCs/>
              </w:rPr>
            </w:pPr>
            <w:r>
              <w:rPr>
                <w:sz w:val="22"/>
                <w:szCs w:val="22"/>
              </w:rPr>
              <w:t>Nav</w:t>
            </w:r>
          </w:p>
        </w:tc>
      </w:tr>
    </w:tbl>
    <w:p w14:paraId="74B4AB5E" w14:textId="77777777" w:rsidR="00C74CAE" w:rsidRDefault="00C74CAE">
      <w:pPr>
        <w:ind w:firstLine="720"/>
        <w:jc w:val="both"/>
        <w:rPr>
          <w:sz w:val="28"/>
          <w:szCs w:val="28"/>
        </w:rPr>
      </w:pPr>
    </w:p>
    <w:p w14:paraId="521F27CA" w14:textId="77777777" w:rsidR="009D5C4D" w:rsidRPr="00C67E58" w:rsidRDefault="009D5C4D" w:rsidP="009D5C4D">
      <w:pPr>
        <w:pStyle w:val="NoSpacing"/>
        <w:rPr>
          <w:rFonts w:ascii="Times New Roman" w:hAnsi="Times New Roman"/>
          <w:color w:val="000000"/>
        </w:rPr>
      </w:pPr>
    </w:p>
    <w:tbl>
      <w:tblPr>
        <w:tblW w:w="5422" w:type="pct"/>
        <w:tblInd w:w="-32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65"/>
        <w:gridCol w:w="2144"/>
        <w:gridCol w:w="1566"/>
        <w:gridCol w:w="427"/>
        <w:gridCol w:w="2313"/>
        <w:gridCol w:w="2749"/>
      </w:tblGrid>
      <w:tr w:rsidR="009D5C4D" w:rsidRPr="00C67E58" w14:paraId="731BC411" w14:textId="77777777" w:rsidTr="00CF05F7">
        <w:tc>
          <w:tcPr>
            <w:tcW w:w="5000" w:type="pct"/>
            <w:gridSpan w:val="6"/>
            <w:tcBorders>
              <w:top w:val="outset" w:sz="6" w:space="0" w:color="auto"/>
              <w:left w:val="outset" w:sz="6" w:space="0" w:color="auto"/>
              <w:bottom w:val="outset" w:sz="6" w:space="0" w:color="auto"/>
              <w:right w:val="outset" w:sz="6" w:space="0" w:color="auto"/>
            </w:tcBorders>
          </w:tcPr>
          <w:p w14:paraId="104646EE" w14:textId="77777777" w:rsidR="009D5C4D" w:rsidRPr="00C77AB3" w:rsidRDefault="009D5C4D" w:rsidP="009541D3">
            <w:pPr>
              <w:pStyle w:val="NoSpacing"/>
              <w:rPr>
                <w:rFonts w:ascii="Times New Roman" w:hAnsi="Times New Roman"/>
                <w:b/>
                <w:sz w:val="24"/>
                <w:szCs w:val="24"/>
              </w:rPr>
            </w:pPr>
            <w:r w:rsidRPr="00C77AB3">
              <w:rPr>
                <w:rFonts w:ascii="Times New Roman" w:hAnsi="Times New Roman"/>
                <w:b/>
                <w:sz w:val="24"/>
                <w:szCs w:val="24"/>
              </w:rPr>
              <w:t> V. Tiesību akta projekta atbilstība Latvijas Republikas starptautiskajām saistībām</w:t>
            </w:r>
          </w:p>
        </w:tc>
      </w:tr>
      <w:tr w:rsidR="009D5C4D" w:rsidRPr="00B87CD9" w14:paraId="756171C7" w14:textId="77777777" w:rsidTr="009D5C4D">
        <w:tc>
          <w:tcPr>
            <w:tcW w:w="430" w:type="pct"/>
            <w:tcBorders>
              <w:top w:val="outset" w:sz="6" w:space="0" w:color="auto"/>
              <w:left w:val="outset" w:sz="6" w:space="0" w:color="auto"/>
              <w:bottom w:val="outset" w:sz="6" w:space="0" w:color="auto"/>
              <w:right w:val="outset" w:sz="6" w:space="0" w:color="auto"/>
            </w:tcBorders>
          </w:tcPr>
          <w:p w14:paraId="0B3DB571" w14:textId="77777777" w:rsidR="009D5C4D" w:rsidRPr="000D7FC2" w:rsidRDefault="009D5C4D" w:rsidP="009541D3">
            <w:r>
              <w:t>1.</w:t>
            </w:r>
          </w:p>
        </w:tc>
        <w:tc>
          <w:tcPr>
            <w:tcW w:w="1843" w:type="pct"/>
            <w:gridSpan w:val="2"/>
            <w:tcBorders>
              <w:top w:val="outset" w:sz="6" w:space="0" w:color="auto"/>
              <w:left w:val="outset" w:sz="6" w:space="0" w:color="auto"/>
              <w:bottom w:val="outset" w:sz="6" w:space="0" w:color="auto"/>
              <w:right w:val="outset" w:sz="6" w:space="0" w:color="auto"/>
            </w:tcBorders>
          </w:tcPr>
          <w:p w14:paraId="59666DDE" w14:textId="77777777" w:rsidR="009D5C4D" w:rsidRPr="00FE188F" w:rsidRDefault="009D5C4D" w:rsidP="009541D3">
            <w:r w:rsidRPr="00FE188F">
              <w:t>Saistības pret Eiropas Savienību</w:t>
            </w:r>
          </w:p>
        </w:tc>
        <w:tc>
          <w:tcPr>
            <w:tcW w:w="2727" w:type="pct"/>
            <w:gridSpan w:val="3"/>
            <w:tcBorders>
              <w:top w:val="outset" w:sz="6" w:space="0" w:color="auto"/>
              <w:left w:val="outset" w:sz="6" w:space="0" w:color="auto"/>
              <w:bottom w:val="outset" w:sz="6" w:space="0" w:color="auto"/>
              <w:right w:val="outset" w:sz="6" w:space="0" w:color="auto"/>
            </w:tcBorders>
          </w:tcPr>
          <w:p w14:paraId="4991B1DE" w14:textId="77777777" w:rsidR="009D5C4D" w:rsidRPr="00220AB9" w:rsidRDefault="009D5C4D" w:rsidP="009541D3">
            <w:pPr>
              <w:jc w:val="both"/>
            </w:pPr>
            <w:r w:rsidRPr="00220AB9">
              <w:rPr>
                <w:shd w:val="clear" w:color="auto" w:fill="FFFFFF"/>
              </w:rPr>
              <w:t xml:space="preserve">Padomes regula (EK) </w:t>
            </w:r>
            <w:proofErr w:type="spellStart"/>
            <w:r w:rsidRPr="00220AB9">
              <w:rPr>
                <w:shd w:val="clear" w:color="auto" w:fill="FFFFFF"/>
              </w:rPr>
              <w:t>Nr</w:t>
            </w:r>
            <w:proofErr w:type="spellEnd"/>
            <w:r w:rsidRPr="00220AB9">
              <w:rPr>
                <w:shd w:val="clear" w:color="auto" w:fill="FFFFFF"/>
              </w:rPr>
              <w:t>. 1/2003 (2002. gada 16. decembris) par to konkurences noteikumu īstenošanu, kas noteikti Līguma 81. un 82. pantā</w:t>
            </w:r>
          </w:p>
        </w:tc>
      </w:tr>
      <w:tr w:rsidR="009D5C4D" w:rsidRPr="000D7FC2" w14:paraId="168FD987" w14:textId="77777777" w:rsidTr="009D5C4D">
        <w:tc>
          <w:tcPr>
            <w:tcW w:w="430" w:type="pct"/>
            <w:tcBorders>
              <w:top w:val="outset" w:sz="6" w:space="0" w:color="auto"/>
              <w:left w:val="outset" w:sz="6" w:space="0" w:color="auto"/>
              <w:bottom w:val="outset" w:sz="6" w:space="0" w:color="auto"/>
              <w:right w:val="outset" w:sz="6" w:space="0" w:color="auto"/>
            </w:tcBorders>
          </w:tcPr>
          <w:p w14:paraId="3656E138" w14:textId="77777777" w:rsidR="009D5C4D" w:rsidRPr="000D7FC2" w:rsidRDefault="009D5C4D" w:rsidP="009541D3">
            <w:r>
              <w:t>2.</w:t>
            </w:r>
          </w:p>
        </w:tc>
        <w:tc>
          <w:tcPr>
            <w:tcW w:w="1843" w:type="pct"/>
            <w:gridSpan w:val="2"/>
            <w:tcBorders>
              <w:top w:val="outset" w:sz="6" w:space="0" w:color="auto"/>
              <w:left w:val="outset" w:sz="6" w:space="0" w:color="auto"/>
              <w:bottom w:val="outset" w:sz="6" w:space="0" w:color="auto"/>
              <w:right w:val="outset" w:sz="6" w:space="0" w:color="auto"/>
            </w:tcBorders>
          </w:tcPr>
          <w:p w14:paraId="3E0AF9FC" w14:textId="77777777" w:rsidR="009D5C4D" w:rsidRPr="000D7FC2" w:rsidRDefault="009D5C4D" w:rsidP="009541D3">
            <w:r>
              <w:t>Citas starptautiskās saistības</w:t>
            </w:r>
          </w:p>
        </w:tc>
        <w:tc>
          <w:tcPr>
            <w:tcW w:w="2727" w:type="pct"/>
            <w:gridSpan w:val="3"/>
            <w:tcBorders>
              <w:top w:val="outset" w:sz="6" w:space="0" w:color="auto"/>
              <w:left w:val="outset" w:sz="6" w:space="0" w:color="auto"/>
              <w:bottom w:val="outset" w:sz="6" w:space="0" w:color="auto"/>
              <w:right w:val="outset" w:sz="6" w:space="0" w:color="auto"/>
            </w:tcBorders>
          </w:tcPr>
          <w:p w14:paraId="46250DD1" w14:textId="77777777" w:rsidR="009D5C4D" w:rsidRPr="000D7FC2" w:rsidRDefault="009D5C4D" w:rsidP="009541D3">
            <w:r w:rsidRPr="00097448">
              <w:rPr>
                <w:iCs/>
              </w:rPr>
              <w:t>Projekts šo jomu neskar</w:t>
            </w:r>
            <w:r>
              <w:t>.</w:t>
            </w:r>
          </w:p>
        </w:tc>
      </w:tr>
      <w:tr w:rsidR="009D5C4D" w14:paraId="691ABD5D" w14:textId="77777777" w:rsidTr="009D5C4D">
        <w:tc>
          <w:tcPr>
            <w:tcW w:w="430" w:type="pct"/>
            <w:tcBorders>
              <w:top w:val="outset" w:sz="6" w:space="0" w:color="auto"/>
              <w:left w:val="outset" w:sz="6" w:space="0" w:color="auto"/>
              <w:bottom w:val="outset" w:sz="6" w:space="0" w:color="auto"/>
              <w:right w:val="outset" w:sz="6" w:space="0" w:color="auto"/>
            </w:tcBorders>
          </w:tcPr>
          <w:p w14:paraId="2798D847" w14:textId="77777777" w:rsidR="009D5C4D" w:rsidRPr="000D7FC2" w:rsidRDefault="009D5C4D" w:rsidP="009541D3">
            <w:r>
              <w:t>3.</w:t>
            </w:r>
          </w:p>
        </w:tc>
        <w:tc>
          <w:tcPr>
            <w:tcW w:w="1843" w:type="pct"/>
            <w:gridSpan w:val="2"/>
            <w:tcBorders>
              <w:top w:val="outset" w:sz="6" w:space="0" w:color="auto"/>
              <w:left w:val="outset" w:sz="6" w:space="0" w:color="auto"/>
              <w:bottom w:val="outset" w:sz="6" w:space="0" w:color="auto"/>
              <w:right w:val="outset" w:sz="6" w:space="0" w:color="auto"/>
            </w:tcBorders>
          </w:tcPr>
          <w:p w14:paraId="2DADD32B" w14:textId="77777777" w:rsidR="009D5C4D" w:rsidRDefault="009D5C4D" w:rsidP="009541D3">
            <w:r>
              <w:t>Cita informācija</w:t>
            </w:r>
          </w:p>
        </w:tc>
        <w:tc>
          <w:tcPr>
            <w:tcW w:w="2727" w:type="pct"/>
            <w:gridSpan w:val="3"/>
            <w:tcBorders>
              <w:top w:val="outset" w:sz="6" w:space="0" w:color="auto"/>
              <w:left w:val="outset" w:sz="6" w:space="0" w:color="auto"/>
              <w:bottom w:val="outset" w:sz="6" w:space="0" w:color="auto"/>
              <w:right w:val="outset" w:sz="6" w:space="0" w:color="auto"/>
            </w:tcBorders>
          </w:tcPr>
          <w:p w14:paraId="008AD504" w14:textId="77777777" w:rsidR="009D5C4D" w:rsidRDefault="009D5C4D" w:rsidP="009541D3">
            <w:r>
              <w:t xml:space="preserve">Nav </w:t>
            </w:r>
          </w:p>
        </w:tc>
      </w:tr>
      <w:tr w:rsidR="009D5C4D" w:rsidRPr="00B0490E" w14:paraId="67DEE73B" w14:textId="77777777" w:rsidTr="00CF0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tcPr>
          <w:p w14:paraId="41DF7A7E" w14:textId="77777777" w:rsidR="009D5C4D" w:rsidRPr="008677D5" w:rsidRDefault="009D5C4D" w:rsidP="009541D3">
            <w:pPr>
              <w:jc w:val="center"/>
              <w:rPr>
                <w:b/>
              </w:rPr>
            </w:pPr>
            <w:r w:rsidRPr="008677D5">
              <w:rPr>
                <w:b/>
              </w:rPr>
              <w:t xml:space="preserve">1.tabula </w:t>
            </w:r>
          </w:p>
          <w:p w14:paraId="356B13AF" w14:textId="77777777" w:rsidR="009D5C4D" w:rsidRPr="00B0490E" w:rsidRDefault="009D5C4D" w:rsidP="009541D3">
            <w:pPr>
              <w:jc w:val="center"/>
            </w:pPr>
            <w:r w:rsidRPr="008677D5">
              <w:rPr>
                <w:b/>
              </w:rPr>
              <w:t>Tiesību akta projekta atbilstība ES tiesību aktiem</w:t>
            </w:r>
          </w:p>
        </w:tc>
      </w:tr>
      <w:tr w:rsidR="009D5C4D" w:rsidRPr="00D730D2" w14:paraId="2238BBD7" w14:textId="77777777" w:rsidTr="00CF0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73" w:type="pct"/>
            <w:gridSpan w:val="3"/>
          </w:tcPr>
          <w:p w14:paraId="6D59A749" w14:textId="77777777" w:rsidR="009D5C4D" w:rsidRPr="0043354D" w:rsidRDefault="009D5C4D" w:rsidP="009541D3">
            <w:pPr>
              <w:pStyle w:val="naisc"/>
              <w:spacing w:before="0" w:after="0"/>
              <w:jc w:val="both"/>
            </w:pPr>
            <w:r w:rsidRPr="0043354D">
              <w:t>Attiecīgo Eiropas Savienības tiesību aktu datums, numurs un nosaukums</w:t>
            </w:r>
          </w:p>
        </w:tc>
        <w:tc>
          <w:tcPr>
            <w:tcW w:w="2727" w:type="pct"/>
            <w:gridSpan w:val="3"/>
          </w:tcPr>
          <w:p w14:paraId="23738818" w14:textId="77777777" w:rsidR="009D5C4D" w:rsidRPr="0043354D" w:rsidRDefault="009D5C4D" w:rsidP="009541D3">
            <w:pPr>
              <w:jc w:val="both"/>
            </w:pPr>
            <w:r w:rsidRPr="0043354D">
              <w:rPr>
                <w:shd w:val="clear" w:color="auto" w:fill="FFFFFF"/>
              </w:rPr>
              <w:t xml:space="preserve">Padomes regula (EK) </w:t>
            </w:r>
            <w:proofErr w:type="spellStart"/>
            <w:r w:rsidRPr="0043354D">
              <w:rPr>
                <w:shd w:val="clear" w:color="auto" w:fill="FFFFFF"/>
              </w:rPr>
              <w:t>Nr</w:t>
            </w:r>
            <w:proofErr w:type="spellEnd"/>
            <w:r w:rsidRPr="0043354D">
              <w:rPr>
                <w:shd w:val="clear" w:color="auto" w:fill="FFFFFF"/>
              </w:rPr>
              <w:t>. 1/2003 (2002. gada 16. decembris) par to konkurences noteikumu īstenošanu, kas noteikti Līguma 81. un 82. pantā</w:t>
            </w:r>
          </w:p>
        </w:tc>
      </w:tr>
      <w:tr w:rsidR="009D5C4D" w:rsidRPr="002F10A4" w14:paraId="23337197" w14:textId="77777777" w:rsidTr="000E0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5" w:type="pct"/>
            <w:gridSpan w:val="2"/>
          </w:tcPr>
          <w:p w14:paraId="758AE6A4" w14:textId="77777777" w:rsidR="009D5C4D" w:rsidRPr="0043354D" w:rsidRDefault="009D5C4D" w:rsidP="009541D3">
            <w:pPr>
              <w:pStyle w:val="naisc"/>
              <w:spacing w:before="0" w:after="0"/>
            </w:pPr>
            <w:r w:rsidRPr="0043354D">
              <w:t>A</w:t>
            </w:r>
          </w:p>
        </w:tc>
        <w:tc>
          <w:tcPr>
            <w:tcW w:w="990" w:type="pct"/>
            <w:gridSpan w:val="2"/>
          </w:tcPr>
          <w:p w14:paraId="6CBF22FA" w14:textId="77777777" w:rsidR="009D5C4D" w:rsidRPr="0043354D" w:rsidRDefault="009D5C4D" w:rsidP="009541D3">
            <w:pPr>
              <w:pStyle w:val="naisc"/>
              <w:spacing w:before="0" w:after="0"/>
            </w:pPr>
            <w:r w:rsidRPr="0043354D">
              <w:t>B</w:t>
            </w:r>
          </w:p>
        </w:tc>
        <w:tc>
          <w:tcPr>
            <w:tcW w:w="1149" w:type="pct"/>
          </w:tcPr>
          <w:p w14:paraId="7BADC555" w14:textId="77777777" w:rsidR="009D5C4D" w:rsidRPr="0043354D" w:rsidRDefault="009D5C4D" w:rsidP="009541D3">
            <w:pPr>
              <w:pStyle w:val="naisc"/>
              <w:spacing w:before="0" w:after="0"/>
            </w:pPr>
            <w:r w:rsidRPr="0043354D">
              <w:t>C</w:t>
            </w:r>
          </w:p>
        </w:tc>
        <w:tc>
          <w:tcPr>
            <w:tcW w:w="1366" w:type="pct"/>
          </w:tcPr>
          <w:p w14:paraId="5478391A" w14:textId="77777777" w:rsidR="009D5C4D" w:rsidRPr="0043354D" w:rsidRDefault="009D5C4D" w:rsidP="009541D3">
            <w:pPr>
              <w:pStyle w:val="naisc"/>
              <w:spacing w:before="0" w:after="0"/>
            </w:pPr>
            <w:r w:rsidRPr="0043354D">
              <w:t>D</w:t>
            </w:r>
          </w:p>
        </w:tc>
      </w:tr>
      <w:tr w:rsidR="009D5C4D" w14:paraId="6556ED29" w14:textId="77777777" w:rsidTr="000E0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5" w:type="pct"/>
            <w:gridSpan w:val="2"/>
          </w:tcPr>
          <w:p w14:paraId="07996ADA" w14:textId="77777777" w:rsidR="009D5C4D" w:rsidRPr="0043354D" w:rsidRDefault="009D5C4D" w:rsidP="009541D3">
            <w:pPr>
              <w:pStyle w:val="naisc"/>
              <w:spacing w:before="0" w:after="0"/>
              <w:jc w:val="both"/>
            </w:pPr>
            <w:r w:rsidRPr="0043354D">
              <w:t>Attiecīgā ES tiesību akta panta numurs (uzskaitot katru tiesību akta vienību-pantu, daļu, punktu, apakšpunktu)</w:t>
            </w:r>
          </w:p>
        </w:tc>
        <w:tc>
          <w:tcPr>
            <w:tcW w:w="990" w:type="pct"/>
            <w:gridSpan w:val="2"/>
          </w:tcPr>
          <w:p w14:paraId="23A4DB21" w14:textId="77777777" w:rsidR="009D5C4D" w:rsidRPr="0043354D" w:rsidRDefault="009D5C4D" w:rsidP="009541D3">
            <w:pPr>
              <w:pStyle w:val="naisc"/>
              <w:spacing w:before="0" w:after="0"/>
              <w:jc w:val="both"/>
            </w:pPr>
            <w:r w:rsidRPr="0043354D">
              <w:t>Projekta vienība, kas pārņem vai ievieš katru šī tabulas A ailē minēto ES tiesību akta vienību</w:t>
            </w:r>
          </w:p>
        </w:tc>
        <w:tc>
          <w:tcPr>
            <w:tcW w:w="1149" w:type="pct"/>
          </w:tcPr>
          <w:p w14:paraId="067741BB" w14:textId="77777777" w:rsidR="009D5C4D" w:rsidRPr="0043354D" w:rsidRDefault="009D5C4D" w:rsidP="009541D3">
            <w:pPr>
              <w:pStyle w:val="naisc"/>
              <w:spacing w:before="0" w:after="0"/>
              <w:jc w:val="both"/>
            </w:pPr>
            <w:r w:rsidRPr="0043354D">
              <w:t>Informācija par to, vai šīs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14:paraId="28215403" w14:textId="77777777" w:rsidR="009D5C4D" w:rsidRPr="0043354D" w:rsidRDefault="009D5C4D" w:rsidP="009541D3">
            <w:pPr>
              <w:pStyle w:val="naisc"/>
              <w:spacing w:before="0" w:after="0"/>
              <w:jc w:val="both"/>
            </w:pPr>
            <w:r w:rsidRPr="0043354D">
              <w:t>Norāda institūciju, kas ir atbildīga par šo saistību izpildi pilnībā</w:t>
            </w:r>
          </w:p>
        </w:tc>
        <w:tc>
          <w:tcPr>
            <w:tcW w:w="1366" w:type="pct"/>
          </w:tcPr>
          <w:p w14:paraId="21A0CFF5" w14:textId="77777777" w:rsidR="009D5C4D" w:rsidRPr="0043354D" w:rsidRDefault="009D5C4D" w:rsidP="009541D3">
            <w:pPr>
              <w:pStyle w:val="naisc"/>
              <w:spacing w:before="0" w:after="0"/>
              <w:jc w:val="both"/>
            </w:pPr>
            <w:r w:rsidRPr="0043354D">
              <w:t xml:space="preserve">Informācija par to, vai šīs tabulas B ailē minētās projekta vienības paredz stingrākas prasības nekā šīs tabulas A ailē minētās ES tiesību akta vienības. Ja projekts satur stingrākas prasības nekā attiecīgais ES tiesību </w:t>
            </w:r>
            <w:smartTag w:uri="schemas-tilde-lv/tildestengine" w:element="veidnes">
              <w:smartTagPr>
                <w:attr w:name="text" w:val="akts"/>
                <w:attr w:name="baseform" w:val="akts"/>
                <w:attr w:name="id" w:val="-1"/>
              </w:smartTagPr>
              <w:r w:rsidRPr="0043354D">
                <w:t>akts</w:t>
              </w:r>
            </w:smartTag>
            <w:r w:rsidRPr="0043354D">
              <w:t>,- norāda pamatojumu un samērīgumu.</w:t>
            </w:r>
          </w:p>
          <w:p w14:paraId="3156ADD1" w14:textId="77777777" w:rsidR="009D5C4D" w:rsidRPr="0043354D" w:rsidRDefault="009D5C4D" w:rsidP="009541D3">
            <w:pPr>
              <w:pStyle w:val="naisc"/>
              <w:spacing w:before="0" w:after="0"/>
              <w:jc w:val="both"/>
            </w:pPr>
            <w:r w:rsidRPr="0043354D">
              <w:t>Norāda iespējamās alternatīvas (</w:t>
            </w:r>
            <w:proofErr w:type="spellStart"/>
            <w:r w:rsidRPr="0043354D">
              <w:t>t.sk</w:t>
            </w:r>
            <w:proofErr w:type="spellEnd"/>
            <w:r w:rsidRPr="0043354D">
              <w:t>. alternatīvas, kas neparedz tiesiskā regulējuma izstrādi)- kādos gadījumos būtu iespējams izvairīties no stingrāku prasību noteikšanas, nekā paredzēts attiecīgajos ES tiesību aktos</w:t>
            </w:r>
          </w:p>
        </w:tc>
      </w:tr>
      <w:tr w:rsidR="009D5C4D" w14:paraId="7C7D4EBB" w14:textId="77777777" w:rsidTr="000E0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5" w:type="pct"/>
            <w:gridSpan w:val="2"/>
          </w:tcPr>
          <w:p w14:paraId="52D52D9D" w14:textId="77777777" w:rsidR="009D5C4D" w:rsidRPr="0043354D" w:rsidRDefault="009D5C4D" w:rsidP="009541D3">
            <w:pPr>
              <w:pStyle w:val="naisc"/>
              <w:spacing w:before="0" w:after="0"/>
              <w:jc w:val="both"/>
            </w:pPr>
            <w:r w:rsidRPr="0043354D">
              <w:rPr>
                <w:shd w:val="clear" w:color="auto" w:fill="FFFFFF"/>
              </w:rPr>
              <w:t xml:space="preserve">Regulas </w:t>
            </w:r>
            <w:proofErr w:type="spellStart"/>
            <w:r w:rsidRPr="0043354D">
              <w:rPr>
                <w:shd w:val="clear" w:color="auto" w:fill="FFFFFF"/>
              </w:rPr>
              <w:t>Nr</w:t>
            </w:r>
            <w:proofErr w:type="spellEnd"/>
            <w:r w:rsidRPr="0043354D">
              <w:rPr>
                <w:shd w:val="clear" w:color="auto" w:fill="FFFFFF"/>
              </w:rPr>
              <w:t xml:space="preserve">. 1/2003 </w:t>
            </w:r>
            <w:r w:rsidRPr="0043354D">
              <w:rPr>
                <w:iCs/>
              </w:rPr>
              <w:t>35.panta 1.punkts</w:t>
            </w:r>
          </w:p>
        </w:tc>
        <w:tc>
          <w:tcPr>
            <w:tcW w:w="990" w:type="pct"/>
            <w:gridSpan w:val="2"/>
          </w:tcPr>
          <w:p w14:paraId="5B3EC38E" w14:textId="441792C2" w:rsidR="009D5C4D" w:rsidRPr="0043354D" w:rsidRDefault="009D5C4D" w:rsidP="009541D3">
            <w:pPr>
              <w:pStyle w:val="naisc"/>
              <w:spacing w:before="0" w:after="0"/>
              <w:jc w:val="both"/>
            </w:pPr>
            <w:r w:rsidRPr="0043354D">
              <w:t>10.pants (9.</w:t>
            </w:r>
            <w:r w:rsidRPr="0043354D">
              <w:rPr>
                <w:vertAlign w:val="superscript"/>
              </w:rPr>
              <w:t>4</w:t>
            </w:r>
            <w:r w:rsidRPr="0043354D">
              <w:t>pants, atbildība par procesuālajiem pārkāpumiem)</w:t>
            </w:r>
          </w:p>
        </w:tc>
        <w:tc>
          <w:tcPr>
            <w:tcW w:w="1149" w:type="pct"/>
          </w:tcPr>
          <w:p w14:paraId="11E10D7C" w14:textId="77777777" w:rsidR="009D5C4D" w:rsidRPr="0043354D" w:rsidRDefault="009D5C4D" w:rsidP="009541D3">
            <w:pPr>
              <w:pStyle w:val="naisc"/>
              <w:spacing w:before="0" w:after="0"/>
              <w:jc w:val="both"/>
            </w:pPr>
            <w:r w:rsidRPr="0043354D">
              <w:t xml:space="preserve">Ievieš </w:t>
            </w:r>
          </w:p>
        </w:tc>
        <w:tc>
          <w:tcPr>
            <w:tcW w:w="1366" w:type="pct"/>
          </w:tcPr>
          <w:p w14:paraId="01CEFAEF" w14:textId="77777777" w:rsidR="009D5C4D" w:rsidRPr="0043354D" w:rsidRDefault="009D5C4D" w:rsidP="009541D3">
            <w:pPr>
              <w:pStyle w:val="naisc"/>
              <w:spacing w:before="0" w:after="0"/>
              <w:jc w:val="both"/>
            </w:pPr>
            <w:r w:rsidRPr="0043354D">
              <w:t>Atbilstoši regulas prasībām nodrošina efektīvu regulas izpildi.</w:t>
            </w:r>
          </w:p>
        </w:tc>
      </w:tr>
      <w:tr w:rsidR="009D5C4D" w:rsidRPr="00BD74DA" w14:paraId="413D397E" w14:textId="77777777" w:rsidTr="000E0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5" w:type="pct"/>
            <w:gridSpan w:val="2"/>
          </w:tcPr>
          <w:p w14:paraId="317536B1" w14:textId="77777777" w:rsidR="009D5C4D" w:rsidRPr="0043354D" w:rsidRDefault="009D5C4D" w:rsidP="009541D3">
            <w:pPr>
              <w:pStyle w:val="naisc"/>
              <w:spacing w:before="0" w:after="0"/>
              <w:jc w:val="both"/>
              <w:rPr>
                <w:highlight w:val="yellow"/>
              </w:rPr>
            </w:pPr>
            <w:r w:rsidRPr="0043354D">
              <w:rPr>
                <w:shd w:val="clear" w:color="auto" w:fill="FFFFFF"/>
              </w:rPr>
              <w:lastRenderedPageBreak/>
              <w:t xml:space="preserve">Regulas </w:t>
            </w:r>
            <w:proofErr w:type="spellStart"/>
            <w:r w:rsidRPr="0043354D">
              <w:rPr>
                <w:shd w:val="clear" w:color="auto" w:fill="FFFFFF"/>
              </w:rPr>
              <w:t>Nr</w:t>
            </w:r>
            <w:proofErr w:type="spellEnd"/>
            <w:r w:rsidRPr="0043354D">
              <w:rPr>
                <w:shd w:val="clear" w:color="auto" w:fill="FFFFFF"/>
              </w:rPr>
              <w:t xml:space="preserve">. 1/2003 </w:t>
            </w:r>
            <w:r w:rsidRPr="0043354D">
              <w:rPr>
                <w:iCs/>
              </w:rPr>
              <w:t>15.panta 2.punkts</w:t>
            </w:r>
          </w:p>
        </w:tc>
        <w:tc>
          <w:tcPr>
            <w:tcW w:w="990" w:type="pct"/>
            <w:gridSpan w:val="2"/>
          </w:tcPr>
          <w:p w14:paraId="78BFEF13" w14:textId="77777777" w:rsidR="009D5C4D" w:rsidRPr="0043354D" w:rsidRDefault="009D5C4D" w:rsidP="009541D3">
            <w:pPr>
              <w:pStyle w:val="naisc"/>
              <w:spacing w:before="0" w:after="0"/>
              <w:jc w:val="both"/>
            </w:pPr>
            <w:r w:rsidRPr="0043354D">
              <w:t>20.pants (20.</w:t>
            </w:r>
            <w:r w:rsidRPr="0043354D">
              <w:rPr>
                <w:vertAlign w:val="superscript"/>
              </w:rPr>
              <w:t>1</w:t>
            </w:r>
            <w:r w:rsidRPr="0043354D">
              <w:t xml:space="preserve"> pants</w:t>
            </w:r>
          </w:p>
        </w:tc>
        <w:tc>
          <w:tcPr>
            <w:tcW w:w="1149" w:type="pct"/>
          </w:tcPr>
          <w:p w14:paraId="7643B6BE" w14:textId="77777777" w:rsidR="009D5C4D" w:rsidRPr="0043354D" w:rsidRDefault="009D5C4D" w:rsidP="009541D3">
            <w:pPr>
              <w:pStyle w:val="naisc"/>
              <w:spacing w:before="0" w:after="0"/>
              <w:jc w:val="both"/>
            </w:pPr>
            <w:r w:rsidRPr="0043354D">
              <w:t>Ievieš</w:t>
            </w:r>
          </w:p>
        </w:tc>
        <w:tc>
          <w:tcPr>
            <w:tcW w:w="1366" w:type="pct"/>
          </w:tcPr>
          <w:p w14:paraId="1EC68732" w14:textId="77777777" w:rsidR="009D5C4D" w:rsidRPr="0043354D" w:rsidRDefault="009D5C4D" w:rsidP="009541D3">
            <w:pPr>
              <w:pStyle w:val="naisc"/>
              <w:spacing w:before="0" w:after="0"/>
              <w:jc w:val="both"/>
              <w:rPr>
                <w:highlight w:val="yellow"/>
              </w:rPr>
            </w:pPr>
            <w:r w:rsidRPr="0043354D">
              <w:t>Atbilstoši regulas prasībām nodrošina efektīvu regulas izpildi.</w:t>
            </w:r>
          </w:p>
        </w:tc>
      </w:tr>
      <w:tr w:rsidR="009D5C4D" w:rsidRPr="004B0E22" w14:paraId="36D57717" w14:textId="77777777" w:rsidTr="00C0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3" w:type="pct"/>
            <w:gridSpan w:val="3"/>
          </w:tcPr>
          <w:p w14:paraId="64D376AE" w14:textId="77777777" w:rsidR="009D5C4D" w:rsidRPr="0043354D" w:rsidRDefault="009D5C4D" w:rsidP="009541D3">
            <w:pPr>
              <w:jc w:val="both"/>
            </w:pPr>
            <w:r w:rsidRPr="0043354D">
              <w:t>Kā ir izmantota ES tiesību aktā paredzētā rīcības brīvība dalībvalstij pārņemt vai ieviest noteiktas ES tiesību akta normas.</w:t>
            </w:r>
          </w:p>
          <w:p w14:paraId="1F7CDE3C" w14:textId="77777777" w:rsidR="009D5C4D" w:rsidRPr="0043354D" w:rsidRDefault="009D5C4D" w:rsidP="009541D3">
            <w:pPr>
              <w:jc w:val="both"/>
            </w:pPr>
            <w:r w:rsidRPr="0043354D">
              <w:t>Kādēļ?</w:t>
            </w:r>
          </w:p>
        </w:tc>
        <w:tc>
          <w:tcPr>
            <w:tcW w:w="2727" w:type="pct"/>
            <w:gridSpan w:val="3"/>
          </w:tcPr>
          <w:p w14:paraId="1466624A" w14:textId="77777777" w:rsidR="009D5C4D" w:rsidRPr="0043354D" w:rsidRDefault="009D5C4D" w:rsidP="009541D3">
            <w:pPr>
              <w:pStyle w:val="naisc"/>
              <w:spacing w:before="0" w:after="0"/>
              <w:jc w:val="both"/>
            </w:pPr>
            <w:r w:rsidRPr="0043354D">
              <w:rPr>
                <w:iCs/>
              </w:rPr>
              <w:t>Projekts šo jomu neskar</w:t>
            </w:r>
            <w:r w:rsidRPr="0043354D">
              <w:t>.</w:t>
            </w:r>
          </w:p>
        </w:tc>
      </w:tr>
      <w:tr w:rsidR="009D5C4D" w:rsidRPr="004B0E22" w14:paraId="5F1A6416" w14:textId="77777777" w:rsidTr="00C0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3" w:type="pct"/>
            <w:gridSpan w:val="3"/>
          </w:tcPr>
          <w:p w14:paraId="36468EC3" w14:textId="77777777" w:rsidR="009D5C4D" w:rsidRPr="0043354D" w:rsidRDefault="009D5C4D" w:rsidP="009541D3">
            <w:pPr>
              <w:pStyle w:val="naisc"/>
              <w:spacing w:before="0" w:after="0"/>
              <w:jc w:val="both"/>
            </w:pPr>
            <w:r w:rsidRPr="0043354D">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2727" w:type="pct"/>
            <w:gridSpan w:val="3"/>
          </w:tcPr>
          <w:p w14:paraId="4BDFADC6" w14:textId="77777777" w:rsidR="009D5C4D" w:rsidRPr="0043354D" w:rsidRDefault="009D5C4D" w:rsidP="009541D3">
            <w:pPr>
              <w:pStyle w:val="naisc"/>
              <w:spacing w:before="0" w:after="0"/>
              <w:jc w:val="both"/>
            </w:pPr>
            <w:r w:rsidRPr="0043354D">
              <w:rPr>
                <w:iCs/>
              </w:rPr>
              <w:t>Projekts šo jomu neskar</w:t>
            </w:r>
            <w:r w:rsidRPr="0043354D">
              <w:t>.</w:t>
            </w:r>
          </w:p>
        </w:tc>
      </w:tr>
      <w:tr w:rsidR="009D5C4D" w:rsidRPr="004B0E22" w14:paraId="0E443BD9" w14:textId="77777777" w:rsidTr="00CF0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95" w:type="pct"/>
            <w:gridSpan w:val="2"/>
          </w:tcPr>
          <w:p w14:paraId="127E940F" w14:textId="77777777" w:rsidR="009D5C4D" w:rsidRPr="0043354D" w:rsidRDefault="009D5C4D" w:rsidP="009541D3">
            <w:pPr>
              <w:pStyle w:val="naisc"/>
              <w:spacing w:before="0" w:after="0"/>
              <w:jc w:val="both"/>
            </w:pPr>
            <w:r w:rsidRPr="0043354D">
              <w:t>Cita informācija</w:t>
            </w:r>
          </w:p>
        </w:tc>
        <w:tc>
          <w:tcPr>
            <w:tcW w:w="3505" w:type="pct"/>
            <w:gridSpan w:val="4"/>
          </w:tcPr>
          <w:p w14:paraId="1D02C4CA" w14:textId="77777777" w:rsidR="009D5C4D" w:rsidRPr="0043354D" w:rsidRDefault="009D5C4D" w:rsidP="009541D3">
            <w:pPr>
              <w:pStyle w:val="naisc"/>
              <w:spacing w:before="0" w:after="0"/>
              <w:jc w:val="both"/>
            </w:pPr>
            <w:r w:rsidRPr="0043354D">
              <w:t>Nav</w:t>
            </w:r>
          </w:p>
        </w:tc>
      </w:tr>
    </w:tbl>
    <w:p w14:paraId="6AB8ABBA" w14:textId="77777777" w:rsidR="009D5C4D" w:rsidRDefault="009D5C4D" w:rsidP="009D5C4D">
      <w:pPr>
        <w:jc w:val="both"/>
        <w:rPr>
          <w:color w:val="000000"/>
        </w:rPr>
      </w:pPr>
    </w:p>
    <w:p w14:paraId="49A0EBBE" w14:textId="77777777" w:rsidR="009D5C4D" w:rsidRDefault="009D5C4D" w:rsidP="009D5C4D"/>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3149"/>
        <w:gridCol w:w="6716"/>
      </w:tblGrid>
      <w:tr w:rsidR="00E74C48" w:rsidRPr="0043354D" w14:paraId="0B31B41C" w14:textId="77777777">
        <w:trPr>
          <w:jc w:val="center"/>
        </w:trPr>
        <w:tc>
          <w:tcPr>
            <w:tcW w:w="10316" w:type="dxa"/>
            <w:gridSpan w:val="3"/>
          </w:tcPr>
          <w:p w14:paraId="3D80A473" w14:textId="77777777" w:rsidR="00C74CAE" w:rsidRPr="0043354D" w:rsidRDefault="00C74CAE">
            <w:pPr>
              <w:pStyle w:val="naisnod"/>
              <w:spacing w:before="0" w:after="0"/>
              <w:ind w:left="57" w:right="57"/>
            </w:pPr>
            <w:r w:rsidRPr="0043354D">
              <w:t>VI. Sabiedrības līdzdalība un šīs līdzdalības rezultāti</w:t>
            </w:r>
          </w:p>
        </w:tc>
      </w:tr>
      <w:tr w:rsidR="00E74C48" w:rsidRPr="0043354D" w14:paraId="32369B2E" w14:textId="77777777">
        <w:trPr>
          <w:trHeight w:val="553"/>
          <w:jc w:val="center"/>
        </w:trPr>
        <w:tc>
          <w:tcPr>
            <w:tcW w:w="451" w:type="dxa"/>
          </w:tcPr>
          <w:p w14:paraId="0CD751F8" w14:textId="77777777" w:rsidR="00C74CAE" w:rsidRPr="0043354D" w:rsidRDefault="00C74CAE">
            <w:pPr>
              <w:pStyle w:val="naiskr"/>
              <w:spacing w:before="0" w:after="0"/>
              <w:ind w:left="57" w:right="57"/>
              <w:rPr>
                <w:bCs/>
              </w:rPr>
            </w:pPr>
            <w:r w:rsidRPr="0043354D">
              <w:rPr>
                <w:bCs/>
              </w:rPr>
              <w:t>1.</w:t>
            </w:r>
          </w:p>
        </w:tc>
        <w:tc>
          <w:tcPr>
            <w:tcW w:w="3149" w:type="dxa"/>
          </w:tcPr>
          <w:p w14:paraId="3B70489F" w14:textId="77777777" w:rsidR="00C74CAE" w:rsidRPr="0043354D" w:rsidRDefault="00C74CAE">
            <w:pPr>
              <w:pStyle w:val="naiskr"/>
              <w:tabs>
                <w:tab w:val="left" w:pos="170"/>
              </w:tabs>
              <w:spacing w:before="0" w:after="0"/>
              <w:ind w:left="57" w:right="57"/>
            </w:pPr>
            <w:r w:rsidRPr="0043354D">
              <w:t>Sabiedrības informēšana par projekta izstrādes uzsākšanu</w:t>
            </w:r>
          </w:p>
        </w:tc>
        <w:tc>
          <w:tcPr>
            <w:tcW w:w="6716" w:type="dxa"/>
          </w:tcPr>
          <w:p w14:paraId="5D9ED812" w14:textId="77777777" w:rsidR="00C74CAE" w:rsidRPr="0043354D" w:rsidRDefault="00C74CAE">
            <w:pPr>
              <w:pStyle w:val="naiskr"/>
              <w:spacing w:before="0" w:after="0"/>
              <w:ind w:left="57" w:right="57"/>
              <w:jc w:val="both"/>
              <w:rPr>
                <w:rStyle w:val="st1"/>
                <w:bCs/>
              </w:rPr>
            </w:pPr>
            <w:r w:rsidRPr="0043354D">
              <w:rPr>
                <w:iCs/>
              </w:rPr>
              <w:t xml:space="preserve">Likumprojekts 2012.gada martā tika nosūtīts viedokļa sniegšanai  </w:t>
            </w:r>
            <w:r w:rsidRPr="0043354D">
              <w:rPr>
                <w:bCs/>
              </w:rPr>
              <w:t xml:space="preserve">Latvijas Darba devēju konfederācijai (LDDK), </w:t>
            </w:r>
            <w:r w:rsidRPr="0043354D">
              <w:rPr>
                <w:rStyle w:val="Emphasis"/>
                <w:bCs/>
                <w:i w:val="0"/>
                <w:shd w:val="clear" w:color="auto" w:fill="FFFFFF"/>
              </w:rPr>
              <w:t xml:space="preserve">Latvijas Informācijas un komunikācijas tehnoloģijas asociācijai, </w:t>
            </w:r>
            <w:r w:rsidRPr="0043354D">
              <w:rPr>
                <w:bCs/>
              </w:rPr>
              <w:t xml:space="preserve">Latvijas Komercbanku asociācijai, Latvijas Pārtikas tirgotāju asociācijai, Latvijas Tirdzniecības un rūpniecības kamerai (LTRK), </w:t>
            </w:r>
            <w:hyperlink r:id="rId19" w:history="1">
              <w:r w:rsidRPr="0043354D">
                <w:rPr>
                  <w:rStyle w:val="Hyperlink"/>
                  <w:bCs/>
                  <w:color w:val="auto"/>
                  <w:u w:val="none"/>
                </w:rPr>
                <w:t>Latvijas Tirgotāju asociācija</w:t>
              </w:r>
            </w:hyperlink>
            <w:r w:rsidRPr="0043354D">
              <w:rPr>
                <w:bCs/>
              </w:rPr>
              <w:t xml:space="preserve">i, Latvijas Zvērinātu advokātu padomei, Nacionālai trīspusējās sadarbības padomei, </w:t>
            </w:r>
            <w:r w:rsidRPr="0043354D">
              <w:rPr>
                <w:rStyle w:val="st1"/>
                <w:bCs/>
              </w:rPr>
              <w:t>Patērētāju interešu aizstāvības asociācijai, kā arī atsevišķiem zvērinātu advokātu birojiem</w:t>
            </w:r>
            <w:r w:rsidR="00B63249" w:rsidRPr="0043354D">
              <w:rPr>
                <w:rStyle w:val="st1"/>
                <w:bCs/>
              </w:rPr>
              <w:t>, kas specializējas konkurences tiesībās</w:t>
            </w:r>
            <w:r w:rsidRPr="0043354D">
              <w:rPr>
                <w:rStyle w:val="st1"/>
                <w:bCs/>
              </w:rPr>
              <w:t>.</w:t>
            </w:r>
          </w:p>
          <w:p w14:paraId="31D4225A" w14:textId="6D05E146" w:rsidR="00C74CAE" w:rsidRPr="0043354D" w:rsidRDefault="00C74CAE" w:rsidP="009E6EE2">
            <w:pPr>
              <w:pStyle w:val="naiskr"/>
              <w:spacing w:before="0" w:after="0"/>
              <w:ind w:left="57" w:right="57"/>
              <w:jc w:val="both"/>
            </w:pPr>
            <w:r w:rsidRPr="0043354D">
              <w:rPr>
                <w:rStyle w:val="st1"/>
                <w:bCs/>
              </w:rPr>
              <w:t>Pēc precizēšanas Likumprojekts 2013.gada februārī atkārtoti tika nosūtīts LTRK un LDDK. Ar LDDK un atsevišķiem advokātu birojiem tika noturēta tikšanās 2013.gada martā. Turpmāka s</w:t>
            </w:r>
            <w:r w:rsidRPr="0043354D">
              <w:rPr>
                <w:iCs/>
              </w:rPr>
              <w:t xml:space="preserve">abiedrības informēšana tiks nodrošināta, </w:t>
            </w:r>
            <w:r w:rsidR="009E6EE2">
              <w:rPr>
                <w:iCs/>
              </w:rPr>
              <w:t>saskaņojot</w:t>
            </w:r>
            <w:r w:rsidR="009E6EE2" w:rsidRPr="0043354D">
              <w:rPr>
                <w:iCs/>
              </w:rPr>
              <w:t xml:space="preserve"> </w:t>
            </w:r>
            <w:r w:rsidRPr="0043354D">
              <w:rPr>
                <w:iCs/>
              </w:rPr>
              <w:t xml:space="preserve">Likumprojektu </w:t>
            </w:r>
            <w:r w:rsidR="009E6EE2">
              <w:rPr>
                <w:iCs/>
              </w:rPr>
              <w:t xml:space="preserve">pēc izsludināšanas </w:t>
            </w:r>
            <w:r w:rsidRPr="0043354D">
              <w:rPr>
                <w:iCs/>
              </w:rPr>
              <w:t xml:space="preserve">Valsts sekretāru sanāksmē.  </w:t>
            </w:r>
          </w:p>
        </w:tc>
      </w:tr>
      <w:tr w:rsidR="00E74C48" w:rsidRPr="0043354D" w14:paraId="6C91C961" w14:textId="77777777">
        <w:trPr>
          <w:trHeight w:val="339"/>
          <w:jc w:val="center"/>
        </w:trPr>
        <w:tc>
          <w:tcPr>
            <w:tcW w:w="451" w:type="dxa"/>
          </w:tcPr>
          <w:p w14:paraId="73EC0E4C" w14:textId="77777777" w:rsidR="00C74CAE" w:rsidRPr="0043354D" w:rsidRDefault="00C74CAE">
            <w:pPr>
              <w:pStyle w:val="naiskr"/>
              <w:spacing w:before="0" w:after="0"/>
              <w:ind w:left="57" w:right="57"/>
              <w:rPr>
                <w:bCs/>
              </w:rPr>
            </w:pPr>
            <w:r w:rsidRPr="0043354D">
              <w:rPr>
                <w:bCs/>
              </w:rPr>
              <w:t>2.</w:t>
            </w:r>
          </w:p>
        </w:tc>
        <w:tc>
          <w:tcPr>
            <w:tcW w:w="3149" w:type="dxa"/>
          </w:tcPr>
          <w:p w14:paraId="41ED6A9A" w14:textId="77777777" w:rsidR="00C74CAE" w:rsidRPr="0043354D" w:rsidRDefault="00C74CAE">
            <w:pPr>
              <w:pStyle w:val="naiskr"/>
              <w:spacing w:before="0" w:after="0"/>
              <w:ind w:left="57" w:right="57"/>
            </w:pPr>
            <w:r w:rsidRPr="0043354D">
              <w:t xml:space="preserve">Sabiedrības līdzdalība projekta izstrādē </w:t>
            </w:r>
          </w:p>
        </w:tc>
        <w:tc>
          <w:tcPr>
            <w:tcW w:w="6716" w:type="dxa"/>
          </w:tcPr>
          <w:p w14:paraId="4C1F6C7D" w14:textId="77777777" w:rsidR="00C74CAE" w:rsidRPr="0043354D" w:rsidRDefault="00C74CAE">
            <w:pPr>
              <w:pStyle w:val="naiskr"/>
              <w:spacing w:before="0" w:after="0"/>
              <w:ind w:left="57" w:right="57"/>
              <w:jc w:val="both"/>
            </w:pPr>
            <w:r w:rsidRPr="0043354D">
              <w:rPr>
                <w:iCs/>
              </w:rPr>
              <w:t xml:space="preserve">Atsevišķas asociācijas un zvērinātu advokātu biroji sniedza atzinumu, kā arī tika uzklausīts LDDK biedru viedoklis. </w:t>
            </w:r>
            <w:r w:rsidRPr="0043354D">
              <w:rPr>
                <w:rStyle w:val="st1"/>
                <w:bCs/>
              </w:rPr>
              <w:t>Turpmāka s</w:t>
            </w:r>
            <w:r w:rsidRPr="0043354D">
              <w:rPr>
                <w:iCs/>
              </w:rPr>
              <w:t xml:space="preserve">abiedrības līdzdalība projekta izstrādē tiks nodrošināta Likumprojekta saskaņošanas gaitā pēc izsludināšanas Valsts sekretāru sanāksmē. </w:t>
            </w:r>
          </w:p>
        </w:tc>
      </w:tr>
      <w:tr w:rsidR="00E74C48" w:rsidRPr="0043354D" w14:paraId="6CDEF817" w14:textId="77777777">
        <w:trPr>
          <w:trHeight w:val="375"/>
          <w:jc w:val="center"/>
        </w:trPr>
        <w:tc>
          <w:tcPr>
            <w:tcW w:w="451" w:type="dxa"/>
          </w:tcPr>
          <w:p w14:paraId="2FE78381" w14:textId="77777777" w:rsidR="00C74CAE" w:rsidRPr="0043354D" w:rsidRDefault="00C74CAE">
            <w:pPr>
              <w:pStyle w:val="naiskr"/>
              <w:spacing w:before="0" w:after="0"/>
              <w:ind w:left="57" w:right="57"/>
              <w:rPr>
                <w:bCs/>
              </w:rPr>
            </w:pPr>
            <w:r w:rsidRPr="0043354D">
              <w:rPr>
                <w:bCs/>
              </w:rPr>
              <w:t>3.</w:t>
            </w:r>
          </w:p>
        </w:tc>
        <w:tc>
          <w:tcPr>
            <w:tcW w:w="3149" w:type="dxa"/>
          </w:tcPr>
          <w:p w14:paraId="5FACA9AD" w14:textId="77777777" w:rsidR="00C74CAE" w:rsidRPr="0043354D" w:rsidRDefault="00C74CAE">
            <w:pPr>
              <w:pStyle w:val="naiskr"/>
              <w:spacing w:before="0" w:after="0"/>
              <w:ind w:left="57" w:right="57"/>
            </w:pPr>
            <w:r w:rsidRPr="0043354D">
              <w:t xml:space="preserve">Sabiedrības līdzdalības rezultāti </w:t>
            </w:r>
          </w:p>
        </w:tc>
        <w:tc>
          <w:tcPr>
            <w:tcW w:w="6716" w:type="dxa"/>
          </w:tcPr>
          <w:p w14:paraId="7DF64C6D" w14:textId="77777777" w:rsidR="00C74CAE" w:rsidRPr="0043354D" w:rsidRDefault="00C74CAE">
            <w:pPr>
              <w:pStyle w:val="naiskr"/>
              <w:spacing w:before="0" w:after="0"/>
              <w:ind w:left="57" w:right="57"/>
              <w:jc w:val="both"/>
            </w:pPr>
            <w:r w:rsidRPr="0043354D">
              <w:t xml:space="preserve">Pēc viedokļu uzklausīšanas likumprojekts precizēts. </w:t>
            </w:r>
          </w:p>
        </w:tc>
      </w:tr>
      <w:tr w:rsidR="00E74C48" w:rsidRPr="0043354D" w14:paraId="2C1A9727" w14:textId="77777777">
        <w:trPr>
          <w:trHeight w:val="397"/>
          <w:jc w:val="center"/>
        </w:trPr>
        <w:tc>
          <w:tcPr>
            <w:tcW w:w="451" w:type="dxa"/>
          </w:tcPr>
          <w:p w14:paraId="40E08C5B" w14:textId="77777777" w:rsidR="00C74CAE" w:rsidRPr="0043354D" w:rsidRDefault="00C74CAE">
            <w:pPr>
              <w:pStyle w:val="naiskr"/>
              <w:spacing w:before="0" w:after="0"/>
              <w:ind w:left="57" w:right="57"/>
              <w:rPr>
                <w:bCs/>
              </w:rPr>
            </w:pPr>
            <w:r w:rsidRPr="0043354D">
              <w:rPr>
                <w:bCs/>
              </w:rPr>
              <w:t>4.</w:t>
            </w:r>
          </w:p>
        </w:tc>
        <w:tc>
          <w:tcPr>
            <w:tcW w:w="3149" w:type="dxa"/>
          </w:tcPr>
          <w:p w14:paraId="01755E99" w14:textId="77777777" w:rsidR="00C74CAE" w:rsidRPr="0043354D" w:rsidRDefault="00C74CAE">
            <w:pPr>
              <w:pStyle w:val="naiskr"/>
              <w:spacing w:before="0" w:after="0"/>
              <w:ind w:left="57" w:right="57"/>
            </w:pPr>
            <w:r w:rsidRPr="0043354D">
              <w:t>Saeimas un ekspertu līdzdalība</w:t>
            </w:r>
          </w:p>
        </w:tc>
        <w:tc>
          <w:tcPr>
            <w:tcW w:w="6716" w:type="dxa"/>
          </w:tcPr>
          <w:p w14:paraId="0EBAB767" w14:textId="77777777" w:rsidR="00C74CAE" w:rsidRPr="0043354D" w:rsidRDefault="00C74CAE">
            <w:pPr>
              <w:pStyle w:val="naiskr"/>
              <w:spacing w:before="0" w:after="0"/>
              <w:ind w:left="57" w:right="57"/>
              <w:jc w:val="both"/>
            </w:pPr>
            <w:r w:rsidRPr="0043354D">
              <w:rPr>
                <w:shd w:val="clear" w:color="auto" w:fill="FFFFFF"/>
              </w:rPr>
              <w:t xml:space="preserve">Likumprojekta izstrādes gaitā notika konsultācijas ar Latvijas Zvērinātu tiesu izpildītāju padomes un Valsts ieņēmumu dienesta pārstāvjiem. Atbilstoši Civilprocesa likuma darba grupā nolemtajam, likumprojektā kā nozares speciālajā normatīvajā aktā iekļautas </w:t>
            </w:r>
            <w:r w:rsidR="00E47BE5" w:rsidRPr="0043354D">
              <w:rPr>
                <w:shd w:val="clear" w:color="auto" w:fill="FFFFFF"/>
              </w:rPr>
              <w:t xml:space="preserve">atsevišķas </w:t>
            </w:r>
            <w:r w:rsidRPr="0043354D">
              <w:rPr>
                <w:shd w:val="clear" w:color="auto" w:fill="FFFFFF"/>
              </w:rPr>
              <w:t>normas, kuras iepriekš tika plānot</w:t>
            </w:r>
            <w:r w:rsidR="00994EE9" w:rsidRPr="0043354D">
              <w:rPr>
                <w:shd w:val="clear" w:color="auto" w:fill="FFFFFF"/>
              </w:rPr>
              <w:t>a</w:t>
            </w:r>
            <w:r w:rsidRPr="0043354D">
              <w:rPr>
                <w:shd w:val="clear" w:color="auto" w:fill="FFFFFF"/>
              </w:rPr>
              <w:t>s Civilprocesa likumā.</w:t>
            </w:r>
          </w:p>
        </w:tc>
      </w:tr>
      <w:tr w:rsidR="00E74C48" w:rsidRPr="0043354D" w14:paraId="3A17EB9C" w14:textId="77777777">
        <w:trPr>
          <w:trHeight w:val="476"/>
          <w:jc w:val="center"/>
        </w:trPr>
        <w:tc>
          <w:tcPr>
            <w:tcW w:w="451" w:type="dxa"/>
          </w:tcPr>
          <w:p w14:paraId="13258302" w14:textId="77777777" w:rsidR="00C74CAE" w:rsidRPr="0043354D" w:rsidRDefault="00C74CAE">
            <w:pPr>
              <w:pStyle w:val="naiskr"/>
              <w:spacing w:before="0" w:after="0"/>
              <w:ind w:left="57" w:right="57"/>
              <w:rPr>
                <w:bCs/>
              </w:rPr>
            </w:pPr>
            <w:r w:rsidRPr="0043354D">
              <w:rPr>
                <w:bCs/>
              </w:rPr>
              <w:t>5.</w:t>
            </w:r>
          </w:p>
        </w:tc>
        <w:tc>
          <w:tcPr>
            <w:tcW w:w="3149" w:type="dxa"/>
          </w:tcPr>
          <w:p w14:paraId="211F98AA" w14:textId="77777777" w:rsidR="00C74CAE" w:rsidRPr="0043354D" w:rsidRDefault="00C74CAE">
            <w:pPr>
              <w:pStyle w:val="naiskr"/>
              <w:spacing w:before="0" w:after="0"/>
              <w:ind w:left="57" w:right="57"/>
            </w:pPr>
            <w:r w:rsidRPr="0043354D">
              <w:t>Cita informācija</w:t>
            </w:r>
          </w:p>
          <w:p w14:paraId="5430850A" w14:textId="77777777" w:rsidR="00C74CAE" w:rsidRPr="0043354D" w:rsidRDefault="00C74CAE">
            <w:pPr>
              <w:pStyle w:val="naiskr"/>
              <w:spacing w:before="0" w:after="0"/>
              <w:ind w:left="57" w:right="57"/>
            </w:pPr>
          </w:p>
        </w:tc>
        <w:tc>
          <w:tcPr>
            <w:tcW w:w="6716" w:type="dxa"/>
          </w:tcPr>
          <w:p w14:paraId="646CB991" w14:textId="15A02B93" w:rsidR="00C74CAE" w:rsidRPr="0043354D" w:rsidRDefault="00C74CAE" w:rsidP="009E6EE2">
            <w:pPr>
              <w:pStyle w:val="naiskr"/>
              <w:spacing w:before="0" w:after="0"/>
              <w:ind w:left="57" w:right="57"/>
              <w:jc w:val="both"/>
            </w:pPr>
            <w:r w:rsidRPr="0043354D">
              <w:rPr>
                <w:iCs/>
              </w:rPr>
              <w:t xml:space="preserve">Sabiedrības līdzdalība projekta izstrādē nodrošināta Likumprojekta saskaņošanas gaitā pēc izsludināšanas Valsts sekretāru sanāksmē. </w:t>
            </w:r>
          </w:p>
        </w:tc>
      </w:tr>
    </w:tbl>
    <w:p w14:paraId="42B683C8" w14:textId="77777777" w:rsidR="00C74CAE" w:rsidRPr="0043354D" w:rsidRDefault="00C74CAE">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E74C48" w:rsidRPr="0043354D" w14:paraId="3281D770" w14:textId="77777777">
        <w:tc>
          <w:tcPr>
            <w:tcW w:w="10264" w:type="dxa"/>
            <w:gridSpan w:val="3"/>
          </w:tcPr>
          <w:p w14:paraId="6EEA6DC3" w14:textId="77777777" w:rsidR="00C74CAE" w:rsidRPr="0043354D" w:rsidRDefault="00C74CAE">
            <w:pPr>
              <w:pStyle w:val="naisnod"/>
              <w:spacing w:before="0" w:after="0"/>
              <w:ind w:left="57" w:right="57"/>
            </w:pPr>
            <w:r w:rsidRPr="0043354D">
              <w:t>VII. Tiesību akta projekta izpildes nodrošināšana un tās ietekme uz institūcijām</w:t>
            </w:r>
          </w:p>
        </w:tc>
      </w:tr>
      <w:tr w:rsidR="00E74C48" w:rsidRPr="0043354D" w14:paraId="473C1973" w14:textId="77777777">
        <w:trPr>
          <w:trHeight w:val="427"/>
        </w:trPr>
        <w:tc>
          <w:tcPr>
            <w:tcW w:w="374" w:type="dxa"/>
          </w:tcPr>
          <w:p w14:paraId="3A32B86F" w14:textId="77777777" w:rsidR="00C74CAE" w:rsidRPr="0043354D" w:rsidRDefault="00C74CAE">
            <w:pPr>
              <w:pStyle w:val="naisnod"/>
              <w:spacing w:before="0" w:after="0"/>
              <w:ind w:left="57" w:right="57"/>
              <w:jc w:val="left"/>
              <w:rPr>
                <w:b w:val="0"/>
              </w:rPr>
            </w:pPr>
            <w:r w:rsidRPr="0043354D">
              <w:rPr>
                <w:b w:val="0"/>
              </w:rPr>
              <w:t>1.</w:t>
            </w:r>
          </w:p>
        </w:tc>
        <w:tc>
          <w:tcPr>
            <w:tcW w:w="4588" w:type="dxa"/>
          </w:tcPr>
          <w:p w14:paraId="46DA3E82" w14:textId="77777777" w:rsidR="00C74CAE" w:rsidRPr="0043354D" w:rsidRDefault="00C74CAE">
            <w:pPr>
              <w:pStyle w:val="naisf"/>
              <w:spacing w:before="0" w:after="0"/>
              <w:ind w:left="57" w:right="57" w:firstLine="0"/>
              <w:jc w:val="left"/>
            </w:pPr>
            <w:r w:rsidRPr="0043354D">
              <w:t xml:space="preserve">Projekta izpildē iesaistītās institūcijas </w:t>
            </w:r>
          </w:p>
        </w:tc>
        <w:tc>
          <w:tcPr>
            <w:tcW w:w="5302" w:type="dxa"/>
          </w:tcPr>
          <w:p w14:paraId="3D9CE64E" w14:textId="77777777" w:rsidR="00C74CAE" w:rsidRPr="0043354D" w:rsidRDefault="00C74CAE">
            <w:pPr>
              <w:pStyle w:val="naisnod"/>
              <w:spacing w:before="0" w:after="0"/>
              <w:ind w:left="57" w:right="57"/>
              <w:jc w:val="left"/>
              <w:rPr>
                <w:b w:val="0"/>
              </w:rPr>
            </w:pPr>
            <w:r w:rsidRPr="0043354D">
              <w:rPr>
                <w:b w:val="0"/>
                <w:iCs/>
              </w:rPr>
              <w:t>Konkurences padome</w:t>
            </w:r>
          </w:p>
        </w:tc>
      </w:tr>
      <w:tr w:rsidR="00E74C48" w:rsidRPr="0043354D" w14:paraId="3AEC73B6" w14:textId="77777777">
        <w:trPr>
          <w:trHeight w:val="463"/>
        </w:trPr>
        <w:tc>
          <w:tcPr>
            <w:tcW w:w="374" w:type="dxa"/>
          </w:tcPr>
          <w:p w14:paraId="67A925D2" w14:textId="77777777" w:rsidR="00C74CAE" w:rsidRPr="0043354D" w:rsidRDefault="00C74CAE">
            <w:pPr>
              <w:pStyle w:val="naisnod"/>
              <w:spacing w:before="0" w:after="0"/>
              <w:ind w:left="57" w:right="57"/>
              <w:jc w:val="left"/>
              <w:rPr>
                <w:b w:val="0"/>
              </w:rPr>
            </w:pPr>
            <w:r w:rsidRPr="0043354D">
              <w:rPr>
                <w:b w:val="0"/>
              </w:rPr>
              <w:lastRenderedPageBreak/>
              <w:t>2.</w:t>
            </w:r>
          </w:p>
        </w:tc>
        <w:tc>
          <w:tcPr>
            <w:tcW w:w="4588" w:type="dxa"/>
          </w:tcPr>
          <w:p w14:paraId="5F1CC958" w14:textId="77777777" w:rsidR="00C74CAE" w:rsidRPr="0043354D" w:rsidRDefault="00C74CAE">
            <w:pPr>
              <w:pStyle w:val="naisf"/>
              <w:spacing w:before="0" w:after="0"/>
              <w:ind w:left="57" w:right="57" w:firstLine="0"/>
              <w:jc w:val="left"/>
            </w:pPr>
            <w:r w:rsidRPr="0043354D">
              <w:t xml:space="preserve">Projekta izpildes ietekme uz pārvaldes funkcijām </w:t>
            </w:r>
          </w:p>
        </w:tc>
        <w:tc>
          <w:tcPr>
            <w:tcW w:w="5302" w:type="dxa"/>
          </w:tcPr>
          <w:p w14:paraId="6E652FEC" w14:textId="77777777" w:rsidR="00C74CAE" w:rsidRPr="0043354D" w:rsidRDefault="00C74CAE">
            <w:pPr>
              <w:pStyle w:val="naisnod"/>
              <w:spacing w:before="0" w:after="0"/>
              <w:ind w:left="57" w:right="57"/>
              <w:jc w:val="left"/>
              <w:rPr>
                <w:b w:val="0"/>
              </w:rPr>
            </w:pPr>
            <w:r w:rsidRPr="0043354D">
              <w:rPr>
                <w:b w:val="0"/>
                <w:iCs/>
              </w:rPr>
              <w:t>Projekts nodrošinās efektīvu Konkurences padomes funkciju izpildi</w:t>
            </w:r>
          </w:p>
        </w:tc>
      </w:tr>
      <w:tr w:rsidR="00E74C48" w:rsidRPr="0043354D" w14:paraId="3F5CD566" w14:textId="77777777">
        <w:trPr>
          <w:trHeight w:val="725"/>
        </w:trPr>
        <w:tc>
          <w:tcPr>
            <w:tcW w:w="374" w:type="dxa"/>
          </w:tcPr>
          <w:p w14:paraId="1C1FD414" w14:textId="77777777" w:rsidR="00C74CAE" w:rsidRPr="0043354D" w:rsidRDefault="00C74CAE">
            <w:pPr>
              <w:pStyle w:val="naisnod"/>
              <w:spacing w:before="0" w:after="0"/>
              <w:ind w:left="57" w:right="57"/>
              <w:jc w:val="left"/>
              <w:rPr>
                <w:b w:val="0"/>
              </w:rPr>
            </w:pPr>
            <w:r w:rsidRPr="0043354D">
              <w:rPr>
                <w:b w:val="0"/>
              </w:rPr>
              <w:t>3.</w:t>
            </w:r>
          </w:p>
        </w:tc>
        <w:tc>
          <w:tcPr>
            <w:tcW w:w="4588" w:type="dxa"/>
          </w:tcPr>
          <w:p w14:paraId="0C17B745" w14:textId="77777777" w:rsidR="00C74CAE" w:rsidRPr="0043354D" w:rsidRDefault="00C74CAE">
            <w:pPr>
              <w:pStyle w:val="naisf"/>
              <w:spacing w:before="0" w:after="0"/>
              <w:ind w:left="57" w:right="57" w:firstLine="0"/>
              <w:jc w:val="left"/>
            </w:pPr>
            <w:r w:rsidRPr="0043354D">
              <w:t>Projekta izpildes ietekme uz pārvaldes institucionālo struktūru.</w:t>
            </w:r>
          </w:p>
          <w:p w14:paraId="04DE87CB" w14:textId="77777777" w:rsidR="00C74CAE" w:rsidRPr="0043354D" w:rsidRDefault="00C74CAE">
            <w:pPr>
              <w:pStyle w:val="naisf"/>
              <w:spacing w:before="0" w:after="0"/>
              <w:ind w:left="57" w:right="57" w:firstLine="0"/>
              <w:jc w:val="left"/>
            </w:pPr>
            <w:r w:rsidRPr="0043354D">
              <w:t>Jaunu institūciju izveide</w:t>
            </w:r>
          </w:p>
        </w:tc>
        <w:tc>
          <w:tcPr>
            <w:tcW w:w="5302" w:type="dxa"/>
          </w:tcPr>
          <w:p w14:paraId="680C3349" w14:textId="77777777" w:rsidR="00C74CAE" w:rsidRPr="0043354D" w:rsidRDefault="00C74CAE">
            <w:pPr>
              <w:pStyle w:val="naisf"/>
              <w:spacing w:before="0" w:after="0"/>
              <w:ind w:left="57" w:right="57" w:firstLine="0"/>
              <w:jc w:val="left"/>
            </w:pPr>
            <w:r w:rsidRPr="0043354D">
              <w:rPr>
                <w:iCs/>
              </w:rPr>
              <w:t xml:space="preserve">Projekts neietekmē </w:t>
            </w:r>
            <w:r w:rsidRPr="0043354D">
              <w:t>pārvaldes institucionālo struktūru.</w:t>
            </w:r>
          </w:p>
          <w:p w14:paraId="37186EBB" w14:textId="77777777" w:rsidR="00C74CAE" w:rsidRPr="0043354D" w:rsidRDefault="00C74CAE">
            <w:pPr>
              <w:pStyle w:val="naisnod"/>
              <w:spacing w:before="0" w:after="0"/>
              <w:ind w:left="57" w:right="57"/>
              <w:jc w:val="left"/>
              <w:rPr>
                <w:b w:val="0"/>
              </w:rPr>
            </w:pPr>
            <w:r w:rsidRPr="0043354D">
              <w:rPr>
                <w:b w:val="0"/>
              </w:rPr>
              <w:t>Jaunu institūcijas netiek izveidotas.</w:t>
            </w:r>
          </w:p>
        </w:tc>
      </w:tr>
      <w:tr w:rsidR="00E74C48" w:rsidRPr="0043354D" w14:paraId="3A0B07CF" w14:textId="77777777">
        <w:trPr>
          <w:trHeight w:val="780"/>
        </w:trPr>
        <w:tc>
          <w:tcPr>
            <w:tcW w:w="374" w:type="dxa"/>
          </w:tcPr>
          <w:p w14:paraId="67737F3F" w14:textId="77777777" w:rsidR="00C74CAE" w:rsidRPr="0043354D" w:rsidRDefault="00C74CAE">
            <w:pPr>
              <w:pStyle w:val="naisnod"/>
              <w:spacing w:before="0" w:after="0"/>
              <w:ind w:left="57" w:right="57"/>
              <w:jc w:val="left"/>
              <w:rPr>
                <w:b w:val="0"/>
              </w:rPr>
            </w:pPr>
            <w:r w:rsidRPr="0043354D">
              <w:rPr>
                <w:b w:val="0"/>
              </w:rPr>
              <w:t>4.</w:t>
            </w:r>
          </w:p>
        </w:tc>
        <w:tc>
          <w:tcPr>
            <w:tcW w:w="4588" w:type="dxa"/>
          </w:tcPr>
          <w:p w14:paraId="54E581E1" w14:textId="77777777" w:rsidR="00C74CAE" w:rsidRPr="0043354D" w:rsidRDefault="00C74CAE">
            <w:pPr>
              <w:pStyle w:val="naisf"/>
              <w:spacing w:before="0" w:after="0"/>
              <w:ind w:left="57" w:right="57" w:firstLine="0"/>
              <w:jc w:val="left"/>
            </w:pPr>
            <w:r w:rsidRPr="0043354D">
              <w:t>Projekta izpildes ietekme uz pārvaldes institucionālo struktūru.</w:t>
            </w:r>
          </w:p>
          <w:p w14:paraId="03B48775" w14:textId="77777777" w:rsidR="00C74CAE" w:rsidRPr="0043354D" w:rsidRDefault="00C74CAE">
            <w:pPr>
              <w:pStyle w:val="naisf"/>
              <w:spacing w:before="0" w:after="0"/>
              <w:ind w:left="57" w:right="57" w:firstLine="0"/>
              <w:jc w:val="left"/>
            </w:pPr>
            <w:r w:rsidRPr="0043354D">
              <w:t>Esošu institūciju likvidācija</w:t>
            </w:r>
          </w:p>
        </w:tc>
        <w:tc>
          <w:tcPr>
            <w:tcW w:w="5302" w:type="dxa"/>
          </w:tcPr>
          <w:p w14:paraId="3FBD4A80" w14:textId="77777777" w:rsidR="00C74CAE" w:rsidRPr="0043354D" w:rsidRDefault="00C74CAE">
            <w:pPr>
              <w:pStyle w:val="naisf"/>
              <w:spacing w:before="0" w:after="0"/>
              <w:ind w:left="57" w:right="57" w:firstLine="0"/>
              <w:jc w:val="left"/>
            </w:pPr>
            <w:r w:rsidRPr="0043354D">
              <w:rPr>
                <w:iCs/>
              </w:rPr>
              <w:t xml:space="preserve">Projekts neietekmē </w:t>
            </w:r>
            <w:r w:rsidRPr="0043354D">
              <w:t>pārvaldes institucionālo struktūru.</w:t>
            </w:r>
          </w:p>
          <w:p w14:paraId="5BDFF6C7" w14:textId="77777777" w:rsidR="00C74CAE" w:rsidRPr="0043354D" w:rsidRDefault="00C74CAE">
            <w:pPr>
              <w:pStyle w:val="naisnod"/>
              <w:spacing w:before="0" w:after="0"/>
              <w:ind w:left="57" w:right="57"/>
              <w:jc w:val="left"/>
              <w:rPr>
                <w:b w:val="0"/>
              </w:rPr>
            </w:pPr>
            <w:r w:rsidRPr="0043354D">
              <w:rPr>
                <w:b w:val="0"/>
              </w:rPr>
              <w:t>Esošās institūcijas netiek likvidētas.</w:t>
            </w:r>
          </w:p>
        </w:tc>
      </w:tr>
      <w:tr w:rsidR="00E74C48" w:rsidRPr="0043354D" w14:paraId="318FCAAB" w14:textId="77777777">
        <w:trPr>
          <w:trHeight w:val="703"/>
        </w:trPr>
        <w:tc>
          <w:tcPr>
            <w:tcW w:w="374" w:type="dxa"/>
          </w:tcPr>
          <w:p w14:paraId="54377008" w14:textId="77777777" w:rsidR="00C74CAE" w:rsidRPr="0043354D" w:rsidRDefault="00C74CAE">
            <w:pPr>
              <w:pStyle w:val="naisnod"/>
              <w:spacing w:before="0" w:after="0"/>
              <w:ind w:left="57" w:right="57"/>
              <w:jc w:val="left"/>
              <w:rPr>
                <w:b w:val="0"/>
              </w:rPr>
            </w:pPr>
            <w:r w:rsidRPr="0043354D">
              <w:rPr>
                <w:b w:val="0"/>
              </w:rPr>
              <w:t>5.</w:t>
            </w:r>
          </w:p>
        </w:tc>
        <w:tc>
          <w:tcPr>
            <w:tcW w:w="4588" w:type="dxa"/>
          </w:tcPr>
          <w:p w14:paraId="6DD1C8F5" w14:textId="77777777" w:rsidR="00C74CAE" w:rsidRPr="0043354D" w:rsidRDefault="00C74CAE">
            <w:pPr>
              <w:pStyle w:val="naisf"/>
              <w:spacing w:before="0" w:after="0"/>
              <w:ind w:left="57" w:right="57" w:firstLine="0"/>
              <w:jc w:val="left"/>
            </w:pPr>
            <w:r w:rsidRPr="0043354D">
              <w:t>Projekta izpildes ietekme uz pārvaldes institucionālo struktūru.</w:t>
            </w:r>
          </w:p>
          <w:p w14:paraId="241747FB" w14:textId="77777777" w:rsidR="00C74CAE" w:rsidRPr="0043354D" w:rsidRDefault="00C74CAE">
            <w:pPr>
              <w:pStyle w:val="naisf"/>
              <w:spacing w:before="0" w:after="0"/>
              <w:ind w:left="57" w:right="57" w:firstLine="0"/>
              <w:jc w:val="left"/>
            </w:pPr>
            <w:r w:rsidRPr="0043354D">
              <w:t>Esošu institūciju reorganizācija</w:t>
            </w:r>
          </w:p>
        </w:tc>
        <w:tc>
          <w:tcPr>
            <w:tcW w:w="5302" w:type="dxa"/>
          </w:tcPr>
          <w:p w14:paraId="2C312E18" w14:textId="77777777" w:rsidR="00C74CAE" w:rsidRPr="0043354D" w:rsidRDefault="00C74CAE">
            <w:pPr>
              <w:pStyle w:val="naisf"/>
              <w:spacing w:before="0" w:after="0"/>
              <w:ind w:left="57" w:right="57" w:firstLine="0"/>
              <w:jc w:val="left"/>
            </w:pPr>
            <w:r w:rsidRPr="0043354D">
              <w:rPr>
                <w:iCs/>
              </w:rPr>
              <w:t xml:space="preserve">Projekts neietekmē </w:t>
            </w:r>
            <w:r w:rsidRPr="0043354D">
              <w:t>pārvaldes institucionālo struktūru.</w:t>
            </w:r>
          </w:p>
          <w:p w14:paraId="75C21440" w14:textId="77777777" w:rsidR="00C74CAE" w:rsidRPr="0043354D" w:rsidRDefault="00C74CAE">
            <w:pPr>
              <w:pStyle w:val="naisnod"/>
              <w:spacing w:before="0" w:after="0"/>
              <w:ind w:left="57" w:right="57"/>
              <w:jc w:val="left"/>
              <w:rPr>
                <w:b w:val="0"/>
              </w:rPr>
            </w:pPr>
            <w:r w:rsidRPr="0043354D">
              <w:rPr>
                <w:b w:val="0"/>
              </w:rPr>
              <w:t>Esošā institūcija netiek reorganizēta.</w:t>
            </w:r>
          </w:p>
        </w:tc>
      </w:tr>
      <w:tr w:rsidR="00E74C48" w:rsidRPr="0043354D" w14:paraId="3727C1C4" w14:textId="77777777">
        <w:trPr>
          <w:trHeight w:val="476"/>
        </w:trPr>
        <w:tc>
          <w:tcPr>
            <w:tcW w:w="374" w:type="dxa"/>
          </w:tcPr>
          <w:p w14:paraId="745EDFDB" w14:textId="77777777" w:rsidR="00C74CAE" w:rsidRPr="0043354D" w:rsidRDefault="00C74CAE">
            <w:pPr>
              <w:pStyle w:val="naiskr"/>
              <w:spacing w:before="0" w:after="0"/>
              <w:ind w:left="57" w:right="57"/>
            </w:pPr>
            <w:r w:rsidRPr="0043354D">
              <w:t>6.</w:t>
            </w:r>
          </w:p>
        </w:tc>
        <w:tc>
          <w:tcPr>
            <w:tcW w:w="4588" w:type="dxa"/>
          </w:tcPr>
          <w:p w14:paraId="76BEB750" w14:textId="77777777" w:rsidR="00C74CAE" w:rsidRPr="0043354D" w:rsidRDefault="00C74CAE">
            <w:pPr>
              <w:pStyle w:val="naiskr"/>
              <w:spacing w:before="0" w:after="0"/>
              <w:ind w:left="57" w:right="57"/>
            </w:pPr>
            <w:r w:rsidRPr="0043354D">
              <w:t>Cita informācija</w:t>
            </w:r>
          </w:p>
        </w:tc>
        <w:tc>
          <w:tcPr>
            <w:tcW w:w="5302" w:type="dxa"/>
          </w:tcPr>
          <w:p w14:paraId="0D8B617D" w14:textId="77777777" w:rsidR="00C74CAE" w:rsidRPr="0043354D" w:rsidRDefault="0043354D">
            <w:pPr>
              <w:pStyle w:val="naisnod"/>
              <w:spacing w:before="0" w:after="0"/>
              <w:ind w:left="57" w:right="57"/>
              <w:jc w:val="left"/>
              <w:rPr>
                <w:b w:val="0"/>
              </w:rPr>
            </w:pPr>
            <w:r>
              <w:rPr>
                <w:b w:val="0"/>
                <w:iCs/>
              </w:rPr>
              <w:t>Nav</w:t>
            </w:r>
          </w:p>
        </w:tc>
      </w:tr>
    </w:tbl>
    <w:p w14:paraId="0B414F61" w14:textId="77777777" w:rsidR="00C74CAE" w:rsidRPr="00E74C48" w:rsidRDefault="00C74CAE">
      <w:pPr>
        <w:pStyle w:val="naisf"/>
        <w:tabs>
          <w:tab w:val="left" w:pos="5760"/>
        </w:tabs>
        <w:spacing w:before="0" w:after="0"/>
        <w:ind w:firstLine="720"/>
        <w:rPr>
          <w:sz w:val="28"/>
          <w:szCs w:val="28"/>
        </w:rPr>
      </w:pPr>
    </w:p>
    <w:p w14:paraId="638EE12D" w14:textId="77777777" w:rsidR="00DE0244" w:rsidRPr="00D41AAA" w:rsidRDefault="00DE0244" w:rsidP="00DE0244">
      <w:pPr>
        <w:rPr>
          <w:bCs/>
          <w:iCs/>
          <w:kern w:val="1"/>
          <w:sz w:val="26"/>
          <w:szCs w:val="26"/>
          <w:lang w:eastAsia="ar-SA"/>
        </w:rPr>
      </w:pPr>
      <w:r w:rsidRPr="00D41AAA">
        <w:rPr>
          <w:bCs/>
          <w:iCs/>
          <w:kern w:val="1"/>
          <w:sz w:val="26"/>
          <w:szCs w:val="26"/>
          <w:lang w:eastAsia="ar-SA"/>
        </w:rPr>
        <w:t>Iesniedzējs:</w:t>
      </w:r>
    </w:p>
    <w:p w14:paraId="7B616A3D" w14:textId="77777777" w:rsidR="00DE0244" w:rsidRPr="00D41AAA" w:rsidRDefault="00DE0244" w:rsidP="00DE0244">
      <w:pPr>
        <w:rPr>
          <w:bCs/>
          <w:iCs/>
          <w:kern w:val="1"/>
          <w:sz w:val="26"/>
          <w:szCs w:val="26"/>
          <w:lang w:eastAsia="ar-SA"/>
        </w:rPr>
      </w:pPr>
    </w:p>
    <w:p w14:paraId="63359FC4" w14:textId="0DF5524E" w:rsidR="00DE0244" w:rsidRPr="004F61D1" w:rsidRDefault="00DE0244" w:rsidP="00DE0244">
      <w:pPr>
        <w:rPr>
          <w:bCs/>
          <w:iCs/>
          <w:kern w:val="1"/>
          <w:sz w:val="28"/>
          <w:szCs w:val="28"/>
          <w:lang w:eastAsia="ar-SA"/>
        </w:rPr>
      </w:pPr>
      <w:r w:rsidRPr="004F61D1">
        <w:rPr>
          <w:bCs/>
          <w:iCs/>
          <w:kern w:val="1"/>
          <w:sz w:val="28"/>
          <w:szCs w:val="28"/>
          <w:lang w:eastAsia="ar-SA"/>
        </w:rPr>
        <w:t xml:space="preserve">ekonomikas </w:t>
      </w:r>
      <w:r w:rsidR="00042741" w:rsidRPr="004F61D1">
        <w:rPr>
          <w:bCs/>
          <w:iCs/>
          <w:kern w:val="1"/>
          <w:sz w:val="28"/>
          <w:szCs w:val="28"/>
          <w:lang w:eastAsia="ar-SA"/>
        </w:rPr>
        <w:t>ministr</w:t>
      </w:r>
      <w:r w:rsidR="00042741">
        <w:rPr>
          <w:bCs/>
          <w:iCs/>
          <w:kern w:val="1"/>
          <w:sz w:val="28"/>
          <w:szCs w:val="28"/>
          <w:lang w:eastAsia="ar-SA"/>
        </w:rPr>
        <w:t>e</w:t>
      </w:r>
      <w:r w:rsidRPr="004F61D1">
        <w:rPr>
          <w:bCs/>
          <w:iCs/>
          <w:kern w:val="1"/>
          <w:sz w:val="28"/>
          <w:szCs w:val="28"/>
          <w:lang w:eastAsia="ar-SA"/>
        </w:rPr>
        <w:tab/>
        <w:t xml:space="preserve">       </w:t>
      </w:r>
      <w:r w:rsidRPr="004F61D1">
        <w:rPr>
          <w:bCs/>
          <w:iCs/>
          <w:kern w:val="1"/>
          <w:sz w:val="28"/>
          <w:szCs w:val="28"/>
          <w:lang w:eastAsia="ar-SA"/>
        </w:rPr>
        <w:tab/>
      </w:r>
      <w:r w:rsidRPr="004F61D1">
        <w:rPr>
          <w:bCs/>
          <w:iCs/>
          <w:kern w:val="1"/>
          <w:sz w:val="28"/>
          <w:szCs w:val="28"/>
          <w:lang w:eastAsia="ar-SA"/>
        </w:rPr>
        <w:tab/>
      </w:r>
      <w:r w:rsidRPr="004F61D1">
        <w:rPr>
          <w:bCs/>
          <w:iCs/>
          <w:kern w:val="1"/>
          <w:sz w:val="28"/>
          <w:szCs w:val="28"/>
          <w:lang w:eastAsia="ar-SA"/>
        </w:rPr>
        <w:tab/>
      </w:r>
      <w:r w:rsidRPr="004F61D1">
        <w:rPr>
          <w:bCs/>
          <w:iCs/>
          <w:kern w:val="1"/>
          <w:sz w:val="28"/>
          <w:szCs w:val="28"/>
          <w:lang w:eastAsia="ar-SA"/>
        </w:rPr>
        <w:tab/>
      </w:r>
      <w:r w:rsidRPr="004F61D1">
        <w:rPr>
          <w:bCs/>
          <w:iCs/>
          <w:kern w:val="1"/>
          <w:sz w:val="28"/>
          <w:szCs w:val="28"/>
          <w:lang w:eastAsia="ar-SA"/>
        </w:rPr>
        <w:tab/>
      </w:r>
      <w:r w:rsidR="00642F22">
        <w:rPr>
          <w:bCs/>
          <w:iCs/>
          <w:kern w:val="1"/>
          <w:sz w:val="28"/>
          <w:szCs w:val="28"/>
          <w:lang w:eastAsia="ar-SA"/>
        </w:rPr>
        <w:t xml:space="preserve">     </w:t>
      </w:r>
      <w:proofErr w:type="spellStart"/>
      <w:r w:rsidR="00042741">
        <w:rPr>
          <w:sz w:val="28"/>
          <w:szCs w:val="28"/>
        </w:rPr>
        <w:t>D.</w:t>
      </w:r>
      <w:r w:rsidR="00642F22">
        <w:rPr>
          <w:sz w:val="28"/>
          <w:szCs w:val="28"/>
        </w:rPr>
        <w:t>R</w:t>
      </w:r>
      <w:r w:rsidR="00042741">
        <w:rPr>
          <w:sz w:val="28"/>
          <w:szCs w:val="28"/>
        </w:rPr>
        <w:t>eizniece-Ozola</w:t>
      </w:r>
      <w:proofErr w:type="spellEnd"/>
    </w:p>
    <w:p w14:paraId="1B3F1AEA" w14:textId="77777777" w:rsidR="00DE0244" w:rsidRPr="004F61D1" w:rsidRDefault="00DE0244" w:rsidP="00DE0244">
      <w:pPr>
        <w:rPr>
          <w:bCs/>
          <w:iCs/>
          <w:kern w:val="1"/>
          <w:sz w:val="28"/>
          <w:szCs w:val="28"/>
          <w:lang w:eastAsia="ar-SA"/>
        </w:rPr>
      </w:pPr>
    </w:p>
    <w:p w14:paraId="5EF84E62" w14:textId="77777777" w:rsidR="00DE0244" w:rsidRPr="004F61D1" w:rsidRDefault="00DE0244" w:rsidP="00DE0244">
      <w:pPr>
        <w:rPr>
          <w:bCs/>
          <w:iCs/>
          <w:kern w:val="1"/>
          <w:sz w:val="28"/>
          <w:szCs w:val="28"/>
          <w:lang w:eastAsia="ar-SA"/>
        </w:rPr>
      </w:pPr>
      <w:r w:rsidRPr="004F61D1">
        <w:rPr>
          <w:bCs/>
          <w:iCs/>
          <w:kern w:val="1"/>
          <w:sz w:val="28"/>
          <w:szCs w:val="28"/>
          <w:lang w:eastAsia="ar-SA"/>
        </w:rPr>
        <w:t xml:space="preserve">Vīza: </w:t>
      </w:r>
    </w:p>
    <w:p w14:paraId="76E3FB76" w14:textId="77777777" w:rsidR="00DE0244" w:rsidRPr="004F61D1" w:rsidRDefault="00DE0244" w:rsidP="00DE0244">
      <w:pPr>
        <w:rPr>
          <w:bCs/>
          <w:iCs/>
          <w:kern w:val="1"/>
          <w:sz w:val="28"/>
          <w:szCs w:val="28"/>
          <w:lang w:eastAsia="ar-SA"/>
        </w:rPr>
      </w:pPr>
    </w:p>
    <w:p w14:paraId="6FE31CB4" w14:textId="214C204C" w:rsidR="00DE0244" w:rsidRPr="004F61D1" w:rsidRDefault="004F61D1" w:rsidP="009E6EE2">
      <w:pPr>
        <w:pStyle w:val="BodyTextIndent3"/>
        <w:tabs>
          <w:tab w:val="left" w:pos="142"/>
        </w:tabs>
        <w:ind w:left="0"/>
        <w:jc w:val="both"/>
        <w:rPr>
          <w:sz w:val="28"/>
          <w:szCs w:val="28"/>
        </w:rPr>
      </w:pPr>
      <w:r w:rsidRPr="004F61D1">
        <w:rPr>
          <w:rFonts w:eastAsia="Times New Roman"/>
          <w:bCs/>
          <w:iCs/>
          <w:kern w:val="1"/>
          <w:sz w:val="28"/>
          <w:szCs w:val="28"/>
          <w:lang w:eastAsia="ar-SA"/>
        </w:rPr>
        <w:t>valsts sekretār</w:t>
      </w:r>
      <w:r w:rsidR="009E6EE2">
        <w:rPr>
          <w:rFonts w:eastAsia="Times New Roman"/>
          <w:bCs/>
          <w:iCs/>
          <w:kern w:val="1"/>
          <w:sz w:val="28"/>
          <w:szCs w:val="28"/>
          <w:lang w:eastAsia="ar-SA"/>
        </w:rPr>
        <w:t>s</w:t>
      </w:r>
      <w:r w:rsidRPr="004F61D1">
        <w:rPr>
          <w:rFonts w:eastAsia="Times New Roman"/>
          <w:bCs/>
          <w:iCs/>
          <w:kern w:val="1"/>
          <w:sz w:val="28"/>
          <w:szCs w:val="28"/>
          <w:lang w:eastAsia="ar-SA"/>
        </w:rPr>
        <w:tab/>
      </w:r>
      <w:r w:rsidRPr="004F61D1">
        <w:rPr>
          <w:rFonts w:eastAsia="Times New Roman"/>
          <w:bCs/>
          <w:iCs/>
          <w:kern w:val="1"/>
          <w:sz w:val="28"/>
          <w:szCs w:val="28"/>
          <w:lang w:eastAsia="ar-SA"/>
        </w:rPr>
        <w:tab/>
      </w:r>
      <w:r w:rsidRPr="004F61D1">
        <w:rPr>
          <w:rFonts w:eastAsia="Times New Roman"/>
          <w:bCs/>
          <w:iCs/>
          <w:kern w:val="1"/>
          <w:sz w:val="28"/>
          <w:szCs w:val="28"/>
          <w:lang w:eastAsia="ar-SA"/>
        </w:rPr>
        <w:tab/>
      </w:r>
      <w:r w:rsidRPr="004F61D1">
        <w:rPr>
          <w:rFonts w:eastAsia="Times New Roman"/>
          <w:bCs/>
          <w:iCs/>
          <w:kern w:val="1"/>
          <w:sz w:val="28"/>
          <w:szCs w:val="28"/>
          <w:lang w:eastAsia="ar-SA"/>
        </w:rPr>
        <w:tab/>
      </w:r>
      <w:r w:rsidRPr="004F61D1">
        <w:rPr>
          <w:rFonts w:eastAsia="Times New Roman"/>
          <w:bCs/>
          <w:iCs/>
          <w:kern w:val="1"/>
          <w:sz w:val="28"/>
          <w:szCs w:val="28"/>
          <w:lang w:eastAsia="ar-SA"/>
        </w:rPr>
        <w:tab/>
      </w:r>
      <w:r w:rsidRPr="004F61D1">
        <w:rPr>
          <w:rFonts w:eastAsia="Times New Roman"/>
          <w:bCs/>
          <w:iCs/>
          <w:kern w:val="1"/>
          <w:sz w:val="28"/>
          <w:szCs w:val="28"/>
          <w:lang w:eastAsia="ar-SA"/>
        </w:rPr>
        <w:tab/>
      </w:r>
      <w:r>
        <w:rPr>
          <w:rFonts w:eastAsia="Times New Roman"/>
          <w:bCs/>
          <w:iCs/>
          <w:kern w:val="1"/>
          <w:sz w:val="28"/>
          <w:szCs w:val="28"/>
          <w:lang w:eastAsia="ar-SA"/>
        </w:rPr>
        <w:tab/>
      </w:r>
      <w:r w:rsidR="009E6EE2">
        <w:rPr>
          <w:rFonts w:eastAsia="Times New Roman"/>
          <w:bCs/>
          <w:iCs/>
          <w:kern w:val="1"/>
          <w:sz w:val="28"/>
          <w:szCs w:val="28"/>
          <w:lang w:eastAsia="ar-SA"/>
        </w:rPr>
        <w:tab/>
        <w:t xml:space="preserve">  M.Lazdovskis</w:t>
      </w:r>
    </w:p>
    <w:p w14:paraId="76D10CA4" w14:textId="77777777" w:rsidR="0043354D" w:rsidRDefault="0043354D" w:rsidP="00DE0244">
      <w:pPr>
        <w:pStyle w:val="BodyTextIndent"/>
        <w:spacing w:before="0"/>
        <w:ind w:firstLine="0"/>
        <w:jc w:val="both"/>
        <w:rPr>
          <w:sz w:val="20"/>
          <w:szCs w:val="28"/>
        </w:rPr>
      </w:pPr>
    </w:p>
    <w:p w14:paraId="4CDED51B" w14:textId="2534B194" w:rsidR="00DE0244" w:rsidRPr="00CE6194" w:rsidRDefault="003C23A4" w:rsidP="00DE0244">
      <w:pPr>
        <w:pStyle w:val="BodyTextIndent"/>
        <w:spacing w:before="0"/>
        <w:ind w:firstLine="0"/>
        <w:jc w:val="both"/>
        <w:rPr>
          <w:sz w:val="20"/>
          <w:szCs w:val="28"/>
        </w:rPr>
      </w:pPr>
      <w:r>
        <w:rPr>
          <w:sz w:val="20"/>
          <w:szCs w:val="28"/>
        </w:rPr>
        <w:t>12.11</w:t>
      </w:r>
      <w:r w:rsidR="00195723">
        <w:rPr>
          <w:sz w:val="20"/>
          <w:szCs w:val="28"/>
        </w:rPr>
        <w:t>.2014.</w:t>
      </w:r>
    </w:p>
    <w:p w14:paraId="1BA24B72" w14:textId="6CF13797" w:rsidR="00F6257B" w:rsidRDefault="00F6257B" w:rsidP="00DE0244">
      <w:pPr>
        <w:rPr>
          <w:sz w:val="20"/>
        </w:rPr>
      </w:pPr>
      <w:r>
        <w:rPr>
          <w:sz w:val="20"/>
        </w:rPr>
        <w:fldChar w:fldCharType="begin"/>
      </w:r>
      <w:r>
        <w:rPr>
          <w:sz w:val="20"/>
        </w:rPr>
        <w:instrText xml:space="preserve"> NUMWORDS   \* MERGEFORMAT </w:instrText>
      </w:r>
      <w:r>
        <w:rPr>
          <w:sz w:val="20"/>
        </w:rPr>
        <w:fldChar w:fldCharType="separate"/>
      </w:r>
      <w:r w:rsidR="003C23A4">
        <w:rPr>
          <w:noProof/>
          <w:sz w:val="20"/>
        </w:rPr>
        <w:t>8217</w:t>
      </w:r>
      <w:r>
        <w:rPr>
          <w:sz w:val="20"/>
        </w:rPr>
        <w:fldChar w:fldCharType="end"/>
      </w:r>
    </w:p>
    <w:p w14:paraId="3C3517B3" w14:textId="77777777" w:rsidR="00DE0244" w:rsidRPr="002B54FF" w:rsidRDefault="00DE0244" w:rsidP="00DE0244">
      <w:pPr>
        <w:rPr>
          <w:sz w:val="20"/>
        </w:rPr>
      </w:pPr>
      <w:r w:rsidRPr="002B54FF">
        <w:rPr>
          <w:sz w:val="20"/>
        </w:rPr>
        <w:t>I.Peipiņa, 67013146</w:t>
      </w:r>
    </w:p>
    <w:p w14:paraId="5BDB0C36" w14:textId="77777777" w:rsidR="001A149B" w:rsidRDefault="00DE0244" w:rsidP="0043354D">
      <w:r w:rsidRPr="001E26D1">
        <w:rPr>
          <w:sz w:val="20"/>
        </w:rPr>
        <w:t>Ilze.Peipina@em.gov.lv</w:t>
      </w:r>
    </w:p>
    <w:p w14:paraId="7D7059D1" w14:textId="77777777" w:rsidR="001A149B" w:rsidRPr="001A149B" w:rsidRDefault="001A149B" w:rsidP="001A149B"/>
    <w:p w14:paraId="5A329DD6" w14:textId="77777777" w:rsidR="001A149B" w:rsidRPr="001A149B" w:rsidRDefault="001A149B" w:rsidP="001A149B"/>
    <w:p w14:paraId="0316CD6A" w14:textId="77777777" w:rsidR="001A149B" w:rsidRPr="001A149B" w:rsidRDefault="001A149B" w:rsidP="001A149B"/>
    <w:p w14:paraId="1CD30F70" w14:textId="77777777" w:rsidR="001A149B" w:rsidRDefault="001A149B" w:rsidP="001A149B"/>
    <w:p w14:paraId="6803EA71" w14:textId="77777777" w:rsidR="001A149B" w:rsidRDefault="001A149B" w:rsidP="001A149B"/>
    <w:p w14:paraId="7945EF14" w14:textId="77777777" w:rsidR="00C74CAE" w:rsidRPr="001A149B" w:rsidRDefault="001A149B" w:rsidP="001A149B">
      <w:pPr>
        <w:tabs>
          <w:tab w:val="left" w:pos="5670"/>
        </w:tabs>
      </w:pPr>
      <w:r>
        <w:tab/>
      </w:r>
    </w:p>
    <w:sectPr w:rsidR="00C74CAE" w:rsidRPr="001A149B" w:rsidSect="006C07BE">
      <w:headerReference w:type="even" r:id="rId20"/>
      <w:headerReference w:type="default" r:id="rId21"/>
      <w:footerReference w:type="default" r:id="rId22"/>
      <w:footerReference w:type="first" r:id="rId23"/>
      <w:pgSz w:w="11906" w:h="16838" w:code="9"/>
      <w:pgMar w:top="426"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66E4E" w14:textId="77777777" w:rsidR="00F55997" w:rsidRDefault="00F55997">
      <w:r>
        <w:separator/>
      </w:r>
    </w:p>
  </w:endnote>
  <w:endnote w:type="continuationSeparator" w:id="0">
    <w:p w14:paraId="1CA3871D" w14:textId="77777777" w:rsidR="00F55997" w:rsidRDefault="00F55997">
      <w:r>
        <w:continuationSeparator/>
      </w:r>
    </w:p>
  </w:endnote>
  <w:endnote w:type="continuationNotice" w:id="1">
    <w:p w14:paraId="6C666E19" w14:textId="77777777" w:rsidR="00F55997" w:rsidRDefault="00F55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B2E0" w14:textId="1FFAF2F0" w:rsidR="003F5496" w:rsidRPr="00D2766E" w:rsidRDefault="003F5496" w:rsidP="00D2766E">
    <w:pPr>
      <w:pStyle w:val="Footer"/>
    </w:pPr>
    <w:r>
      <w:rPr>
        <w:sz w:val="20"/>
        <w:szCs w:val="20"/>
      </w:rPr>
      <w:fldChar w:fldCharType="begin"/>
    </w:r>
    <w:r>
      <w:rPr>
        <w:sz w:val="20"/>
        <w:szCs w:val="20"/>
      </w:rPr>
      <w:instrText xml:space="preserve"> FILENAME   \* MERGEFORMAT </w:instrText>
    </w:r>
    <w:r>
      <w:rPr>
        <w:sz w:val="20"/>
        <w:szCs w:val="20"/>
      </w:rPr>
      <w:fldChar w:fldCharType="separate"/>
    </w:r>
    <w:r w:rsidR="00902BBE">
      <w:rPr>
        <w:noProof/>
        <w:sz w:val="20"/>
        <w:szCs w:val="20"/>
      </w:rPr>
      <w:t>EMAnot_121114_GrozKL</w:t>
    </w:r>
    <w:r>
      <w:rPr>
        <w:sz w:val="20"/>
        <w:szCs w:val="20"/>
      </w:rPr>
      <w:fldChar w:fldCharType="end"/>
    </w:r>
    <w:r>
      <w:rPr>
        <w:sz w:val="20"/>
        <w:szCs w:val="20"/>
      </w:rPr>
      <w:t xml:space="preserve">; Likumprojekta „Grozījumi Konkurences likumā” sākotnējās ietekmes novērtējuma </w:t>
    </w:r>
    <w:smartTag w:uri="schemas-tilde-lv/tildestengine" w:element="veidnes">
      <w:smartTagPr>
        <w:attr w:name="text" w:val="ziņojums"/>
        <w:attr w:name="baseform" w:val="ziņojums"/>
        <w:attr w:name="id" w:val="-1"/>
      </w:smartTagPr>
      <w:r>
        <w:rPr>
          <w:sz w:val="20"/>
          <w:szCs w:val="20"/>
        </w:rPr>
        <w:t>ziņojums</w:t>
      </w:r>
    </w:smartTag>
    <w:r>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83C8C" w14:textId="50DD78BD" w:rsidR="003F5496" w:rsidRDefault="003F5496" w:rsidP="00CF05F7">
    <w:pPr>
      <w:tabs>
        <w:tab w:val="left" w:pos="8222"/>
      </w:tabs>
      <w:ind w:right="-51"/>
      <w:jc w:val="both"/>
    </w:pPr>
    <w:r>
      <w:rPr>
        <w:sz w:val="20"/>
        <w:szCs w:val="20"/>
      </w:rPr>
      <w:fldChar w:fldCharType="begin"/>
    </w:r>
    <w:r>
      <w:rPr>
        <w:sz w:val="20"/>
        <w:szCs w:val="20"/>
      </w:rPr>
      <w:instrText xml:space="preserve"> FILENAME   \* MERGEFORMAT </w:instrText>
    </w:r>
    <w:r>
      <w:rPr>
        <w:sz w:val="20"/>
        <w:szCs w:val="20"/>
      </w:rPr>
      <w:fldChar w:fldCharType="separate"/>
    </w:r>
    <w:r w:rsidR="00902BBE">
      <w:rPr>
        <w:noProof/>
        <w:sz w:val="20"/>
        <w:szCs w:val="20"/>
      </w:rPr>
      <w:t>EMAnot_121114_GrozKL</w:t>
    </w:r>
    <w:r>
      <w:rPr>
        <w:sz w:val="20"/>
        <w:szCs w:val="20"/>
      </w:rPr>
      <w:fldChar w:fldCharType="end"/>
    </w:r>
    <w:r>
      <w:rPr>
        <w:sz w:val="20"/>
        <w:szCs w:val="20"/>
      </w:rPr>
      <w:t xml:space="preserve">; Likumprojekta „Grozījumi Konkurences likumā” sākotnējās ietekmes novērtējuma </w:t>
    </w:r>
    <w:smartTag w:uri="schemas-tilde-lv/tildestengine" w:element="veidnes">
      <w:smartTagPr>
        <w:attr w:name="text" w:val="ziņojums"/>
        <w:attr w:name="baseform" w:val="ziņojums"/>
        <w:attr w:name="id" w:val="-1"/>
      </w:smartTagPr>
      <w:r>
        <w:rPr>
          <w:sz w:val="20"/>
          <w:szCs w:val="20"/>
        </w:rPr>
        <w:t>ziņojums</w:t>
      </w:r>
    </w:smartTag>
    <w:r>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35538" w14:textId="77777777" w:rsidR="00F55997" w:rsidRDefault="00F55997">
      <w:r>
        <w:separator/>
      </w:r>
    </w:p>
  </w:footnote>
  <w:footnote w:type="continuationSeparator" w:id="0">
    <w:p w14:paraId="091F07F4" w14:textId="77777777" w:rsidR="00F55997" w:rsidRDefault="00F55997">
      <w:r>
        <w:continuationSeparator/>
      </w:r>
    </w:p>
  </w:footnote>
  <w:footnote w:type="continuationNotice" w:id="1">
    <w:p w14:paraId="17DE34D4" w14:textId="77777777" w:rsidR="00F55997" w:rsidRDefault="00F559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C00A" w14:textId="77777777" w:rsidR="003F5496" w:rsidRDefault="003F54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0F727" w14:textId="77777777" w:rsidR="003F5496" w:rsidRDefault="003F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6FF4" w14:textId="77777777" w:rsidR="003F5496" w:rsidRDefault="003F54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BBE">
      <w:rPr>
        <w:rStyle w:val="PageNumber"/>
        <w:noProof/>
      </w:rPr>
      <w:t>17</w:t>
    </w:r>
    <w:r>
      <w:rPr>
        <w:rStyle w:val="PageNumber"/>
      </w:rPr>
      <w:fldChar w:fldCharType="end"/>
    </w:r>
  </w:p>
  <w:p w14:paraId="4B2CC619" w14:textId="77777777" w:rsidR="003F5496" w:rsidRDefault="003F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EF73BE"/>
    <w:multiLevelType w:val="hybridMultilevel"/>
    <w:tmpl w:val="9F3AE91A"/>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ECD7B27"/>
    <w:multiLevelType w:val="hybridMultilevel"/>
    <w:tmpl w:val="DAD8385A"/>
    <w:lvl w:ilvl="0" w:tplc="C54A350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CA1FDC"/>
    <w:multiLevelType w:val="hybridMultilevel"/>
    <w:tmpl w:val="0868BD4C"/>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1F701A"/>
    <w:multiLevelType w:val="hybridMultilevel"/>
    <w:tmpl w:val="0CE05F5A"/>
    <w:lvl w:ilvl="0" w:tplc="3DB0FB22">
      <w:start w:val="100"/>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7493B15"/>
    <w:multiLevelType w:val="hybridMultilevel"/>
    <w:tmpl w:val="1E7A7768"/>
    <w:lvl w:ilvl="0" w:tplc="5D18E9D4">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547C3B"/>
    <w:multiLevelType w:val="hybridMultilevel"/>
    <w:tmpl w:val="64A43C04"/>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47D9020F"/>
    <w:multiLevelType w:val="hybridMultilevel"/>
    <w:tmpl w:val="DA1E2AFA"/>
    <w:lvl w:ilvl="0" w:tplc="D6F0614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4CB62DA4"/>
    <w:multiLevelType w:val="hybridMultilevel"/>
    <w:tmpl w:val="8F1A497E"/>
    <w:lvl w:ilvl="0" w:tplc="A04ABCF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E415A1C"/>
    <w:multiLevelType w:val="hybridMultilevel"/>
    <w:tmpl w:val="DDC09E62"/>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A29399F"/>
    <w:multiLevelType w:val="hybridMultilevel"/>
    <w:tmpl w:val="97949956"/>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6"/>
  </w:num>
  <w:num w:numId="4">
    <w:abstractNumId w:val="3"/>
  </w:num>
  <w:num w:numId="5">
    <w:abstractNumId w:val="0"/>
  </w:num>
  <w:num w:numId="6">
    <w:abstractNumId w:val="18"/>
  </w:num>
  <w:num w:numId="7">
    <w:abstractNumId w:val="22"/>
  </w:num>
  <w:num w:numId="8">
    <w:abstractNumId w:val="12"/>
  </w:num>
  <w:num w:numId="9">
    <w:abstractNumId w:val="5"/>
  </w:num>
  <w:num w:numId="10">
    <w:abstractNumId w:val="13"/>
  </w:num>
  <w:num w:numId="11">
    <w:abstractNumId w:val="14"/>
  </w:num>
  <w:num w:numId="12">
    <w:abstractNumId w:val="19"/>
  </w:num>
  <w:num w:numId="13">
    <w:abstractNumId w:val="20"/>
  </w:num>
  <w:num w:numId="14">
    <w:abstractNumId w:val="15"/>
  </w:num>
  <w:num w:numId="15">
    <w:abstractNumId w:val="7"/>
  </w:num>
  <w:num w:numId="16">
    <w:abstractNumId w:val="9"/>
  </w:num>
  <w:num w:numId="17">
    <w:abstractNumId w:val="1"/>
  </w:num>
  <w:num w:numId="18">
    <w:abstractNumId w:val="10"/>
  </w:num>
  <w:num w:numId="19">
    <w:abstractNumId w:val="4"/>
  </w:num>
  <w:num w:numId="20">
    <w:abstractNumId w:val="23"/>
  </w:num>
  <w:num w:numId="21">
    <w:abstractNumId w:val="16"/>
  </w:num>
  <w:num w:numId="22">
    <w:abstractNumId w:val="11"/>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AE"/>
    <w:rsid w:val="00005034"/>
    <w:rsid w:val="0002238E"/>
    <w:rsid w:val="00022603"/>
    <w:rsid w:val="00042741"/>
    <w:rsid w:val="00042F60"/>
    <w:rsid w:val="000442A7"/>
    <w:rsid w:val="0004593B"/>
    <w:rsid w:val="00064F76"/>
    <w:rsid w:val="000665F5"/>
    <w:rsid w:val="00076173"/>
    <w:rsid w:val="000A6E33"/>
    <w:rsid w:val="000B2906"/>
    <w:rsid w:val="000C3D80"/>
    <w:rsid w:val="000D0877"/>
    <w:rsid w:val="000E07C6"/>
    <w:rsid w:val="000E5526"/>
    <w:rsid w:val="000E77B8"/>
    <w:rsid w:val="00127B31"/>
    <w:rsid w:val="0014711B"/>
    <w:rsid w:val="001768BF"/>
    <w:rsid w:val="00177220"/>
    <w:rsid w:val="0019151F"/>
    <w:rsid w:val="00193DF1"/>
    <w:rsid w:val="00195723"/>
    <w:rsid w:val="001960A3"/>
    <w:rsid w:val="001A01B1"/>
    <w:rsid w:val="001A12C7"/>
    <w:rsid w:val="001A149B"/>
    <w:rsid w:val="001A58E3"/>
    <w:rsid w:val="001C3BBE"/>
    <w:rsid w:val="001D6764"/>
    <w:rsid w:val="001D67E1"/>
    <w:rsid w:val="001E6A3D"/>
    <w:rsid w:val="002021B4"/>
    <w:rsid w:val="00204889"/>
    <w:rsid w:val="00213F39"/>
    <w:rsid w:val="00217049"/>
    <w:rsid w:val="00220264"/>
    <w:rsid w:val="002349B6"/>
    <w:rsid w:val="00236ACA"/>
    <w:rsid w:val="00252779"/>
    <w:rsid w:val="00262EAA"/>
    <w:rsid w:val="00265F61"/>
    <w:rsid w:val="00277B4A"/>
    <w:rsid w:val="00290F4F"/>
    <w:rsid w:val="002A7D51"/>
    <w:rsid w:val="002B5BF9"/>
    <w:rsid w:val="002C020B"/>
    <w:rsid w:val="002C499F"/>
    <w:rsid w:val="002D232A"/>
    <w:rsid w:val="002E0977"/>
    <w:rsid w:val="002F00C0"/>
    <w:rsid w:val="002F4533"/>
    <w:rsid w:val="00301327"/>
    <w:rsid w:val="003125A8"/>
    <w:rsid w:val="00312FA7"/>
    <w:rsid w:val="0031706E"/>
    <w:rsid w:val="003312C9"/>
    <w:rsid w:val="0033646E"/>
    <w:rsid w:val="003573FA"/>
    <w:rsid w:val="003743F9"/>
    <w:rsid w:val="00394815"/>
    <w:rsid w:val="00397C7A"/>
    <w:rsid w:val="003A0046"/>
    <w:rsid w:val="003A02FD"/>
    <w:rsid w:val="003A4750"/>
    <w:rsid w:val="003A5931"/>
    <w:rsid w:val="003B45C0"/>
    <w:rsid w:val="003B4860"/>
    <w:rsid w:val="003B7FE0"/>
    <w:rsid w:val="003C0043"/>
    <w:rsid w:val="003C0B18"/>
    <w:rsid w:val="003C23A4"/>
    <w:rsid w:val="003D296E"/>
    <w:rsid w:val="003D539C"/>
    <w:rsid w:val="003F3F42"/>
    <w:rsid w:val="003F5496"/>
    <w:rsid w:val="0040557C"/>
    <w:rsid w:val="004055A0"/>
    <w:rsid w:val="0042654A"/>
    <w:rsid w:val="00430AC8"/>
    <w:rsid w:val="0043354D"/>
    <w:rsid w:val="00453835"/>
    <w:rsid w:val="004621BC"/>
    <w:rsid w:val="00473696"/>
    <w:rsid w:val="00474FF5"/>
    <w:rsid w:val="00477A88"/>
    <w:rsid w:val="0048392A"/>
    <w:rsid w:val="00490AB1"/>
    <w:rsid w:val="004A0B42"/>
    <w:rsid w:val="004C08DF"/>
    <w:rsid w:val="004C60D1"/>
    <w:rsid w:val="004D6E85"/>
    <w:rsid w:val="004D78DB"/>
    <w:rsid w:val="004E159F"/>
    <w:rsid w:val="004E51E9"/>
    <w:rsid w:val="004F0159"/>
    <w:rsid w:val="004F024F"/>
    <w:rsid w:val="004F61D1"/>
    <w:rsid w:val="005309F2"/>
    <w:rsid w:val="00540906"/>
    <w:rsid w:val="00544BC4"/>
    <w:rsid w:val="00545E3E"/>
    <w:rsid w:val="00553677"/>
    <w:rsid w:val="00556B85"/>
    <w:rsid w:val="00556C66"/>
    <w:rsid w:val="00566966"/>
    <w:rsid w:val="0057520D"/>
    <w:rsid w:val="005833C3"/>
    <w:rsid w:val="0058414F"/>
    <w:rsid w:val="00592A89"/>
    <w:rsid w:val="005A1384"/>
    <w:rsid w:val="005A77B6"/>
    <w:rsid w:val="005B5892"/>
    <w:rsid w:val="005B58AC"/>
    <w:rsid w:val="005C3BE5"/>
    <w:rsid w:val="005D6410"/>
    <w:rsid w:val="005E0B4C"/>
    <w:rsid w:val="005F0BA1"/>
    <w:rsid w:val="005F297F"/>
    <w:rsid w:val="00602D09"/>
    <w:rsid w:val="00606E1A"/>
    <w:rsid w:val="0060796A"/>
    <w:rsid w:val="0061407D"/>
    <w:rsid w:val="00623AA7"/>
    <w:rsid w:val="00642453"/>
    <w:rsid w:val="00642F22"/>
    <w:rsid w:val="00644264"/>
    <w:rsid w:val="00645EAA"/>
    <w:rsid w:val="006555B9"/>
    <w:rsid w:val="00660025"/>
    <w:rsid w:val="0067719A"/>
    <w:rsid w:val="00680618"/>
    <w:rsid w:val="0068399C"/>
    <w:rsid w:val="006867C1"/>
    <w:rsid w:val="006966AD"/>
    <w:rsid w:val="006A010D"/>
    <w:rsid w:val="006A12B5"/>
    <w:rsid w:val="006C07BE"/>
    <w:rsid w:val="006E02E5"/>
    <w:rsid w:val="006E5046"/>
    <w:rsid w:val="00712D97"/>
    <w:rsid w:val="00716AE1"/>
    <w:rsid w:val="00764AE7"/>
    <w:rsid w:val="00765C96"/>
    <w:rsid w:val="00771C34"/>
    <w:rsid w:val="007931D8"/>
    <w:rsid w:val="007A61F4"/>
    <w:rsid w:val="007B48EB"/>
    <w:rsid w:val="007B4ACB"/>
    <w:rsid w:val="007E1D95"/>
    <w:rsid w:val="007E2B14"/>
    <w:rsid w:val="007F1EA2"/>
    <w:rsid w:val="007F6587"/>
    <w:rsid w:val="00800D58"/>
    <w:rsid w:val="00800F9D"/>
    <w:rsid w:val="00814DE2"/>
    <w:rsid w:val="00822E15"/>
    <w:rsid w:val="008374AB"/>
    <w:rsid w:val="00851417"/>
    <w:rsid w:val="00860CF7"/>
    <w:rsid w:val="00861990"/>
    <w:rsid w:val="008723E2"/>
    <w:rsid w:val="008745A4"/>
    <w:rsid w:val="00892B08"/>
    <w:rsid w:val="00893144"/>
    <w:rsid w:val="008E68DD"/>
    <w:rsid w:val="00902BBE"/>
    <w:rsid w:val="00904AA0"/>
    <w:rsid w:val="00921EF5"/>
    <w:rsid w:val="00924B48"/>
    <w:rsid w:val="00924CF7"/>
    <w:rsid w:val="00925802"/>
    <w:rsid w:val="00936233"/>
    <w:rsid w:val="0094325C"/>
    <w:rsid w:val="00945D0E"/>
    <w:rsid w:val="00947DAF"/>
    <w:rsid w:val="009512E5"/>
    <w:rsid w:val="00952A29"/>
    <w:rsid w:val="009541D3"/>
    <w:rsid w:val="009658F4"/>
    <w:rsid w:val="009825FB"/>
    <w:rsid w:val="009860E1"/>
    <w:rsid w:val="00994EE9"/>
    <w:rsid w:val="0099762A"/>
    <w:rsid w:val="009A0EE9"/>
    <w:rsid w:val="009B0005"/>
    <w:rsid w:val="009B4834"/>
    <w:rsid w:val="009B4DCC"/>
    <w:rsid w:val="009C0C09"/>
    <w:rsid w:val="009D5C4D"/>
    <w:rsid w:val="009E6544"/>
    <w:rsid w:val="009E6EE2"/>
    <w:rsid w:val="009F62D9"/>
    <w:rsid w:val="00A00DAE"/>
    <w:rsid w:val="00A0647A"/>
    <w:rsid w:val="00A2045D"/>
    <w:rsid w:val="00A24B57"/>
    <w:rsid w:val="00A40133"/>
    <w:rsid w:val="00A51D36"/>
    <w:rsid w:val="00A520EA"/>
    <w:rsid w:val="00A56DAE"/>
    <w:rsid w:val="00A6468F"/>
    <w:rsid w:val="00A80F16"/>
    <w:rsid w:val="00AA005B"/>
    <w:rsid w:val="00AA1AE6"/>
    <w:rsid w:val="00AA493D"/>
    <w:rsid w:val="00AC56A7"/>
    <w:rsid w:val="00AC5B37"/>
    <w:rsid w:val="00B00B55"/>
    <w:rsid w:val="00B07E8C"/>
    <w:rsid w:val="00B10E30"/>
    <w:rsid w:val="00B14FFF"/>
    <w:rsid w:val="00B1657C"/>
    <w:rsid w:val="00B201B2"/>
    <w:rsid w:val="00B26BAA"/>
    <w:rsid w:val="00B271B3"/>
    <w:rsid w:val="00B4202F"/>
    <w:rsid w:val="00B42ACF"/>
    <w:rsid w:val="00B47F95"/>
    <w:rsid w:val="00B57253"/>
    <w:rsid w:val="00B63249"/>
    <w:rsid w:val="00B6395F"/>
    <w:rsid w:val="00B70BC3"/>
    <w:rsid w:val="00B70DA5"/>
    <w:rsid w:val="00B741F7"/>
    <w:rsid w:val="00B7438E"/>
    <w:rsid w:val="00B758CB"/>
    <w:rsid w:val="00B83603"/>
    <w:rsid w:val="00B87BB4"/>
    <w:rsid w:val="00BB5555"/>
    <w:rsid w:val="00BB5F1A"/>
    <w:rsid w:val="00BC21D4"/>
    <w:rsid w:val="00BC5E9E"/>
    <w:rsid w:val="00BD4BD6"/>
    <w:rsid w:val="00BE6A1D"/>
    <w:rsid w:val="00C00931"/>
    <w:rsid w:val="00C0328E"/>
    <w:rsid w:val="00C14768"/>
    <w:rsid w:val="00C21ECD"/>
    <w:rsid w:val="00C31E36"/>
    <w:rsid w:val="00C46465"/>
    <w:rsid w:val="00C51733"/>
    <w:rsid w:val="00C54972"/>
    <w:rsid w:val="00C62DD6"/>
    <w:rsid w:val="00C74CAE"/>
    <w:rsid w:val="00C82DE9"/>
    <w:rsid w:val="00C93607"/>
    <w:rsid w:val="00CC123D"/>
    <w:rsid w:val="00CD53DC"/>
    <w:rsid w:val="00CE0E49"/>
    <w:rsid w:val="00CE67A6"/>
    <w:rsid w:val="00CF05F7"/>
    <w:rsid w:val="00CF30FF"/>
    <w:rsid w:val="00CF4E0F"/>
    <w:rsid w:val="00D0166B"/>
    <w:rsid w:val="00D1137F"/>
    <w:rsid w:val="00D14192"/>
    <w:rsid w:val="00D14D5D"/>
    <w:rsid w:val="00D20606"/>
    <w:rsid w:val="00D20CB2"/>
    <w:rsid w:val="00D2766E"/>
    <w:rsid w:val="00D3492A"/>
    <w:rsid w:val="00D50CC0"/>
    <w:rsid w:val="00D5330E"/>
    <w:rsid w:val="00D57482"/>
    <w:rsid w:val="00D60732"/>
    <w:rsid w:val="00D64A59"/>
    <w:rsid w:val="00D66CA5"/>
    <w:rsid w:val="00D730E4"/>
    <w:rsid w:val="00D87F0C"/>
    <w:rsid w:val="00D936D7"/>
    <w:rsid w:val="00D93BB2"/>
    <w:rsid w:val="00D9596A"/>
    <w:rsid w:val="00DA5843"/>
    <w:rsid w:val="00DB0E87"/>
    <w:rsid w:val="00DB49EC"/>
    <w:rsid w:val="00DD0104"/>
    <w:rsid w:val="00DD4A76"/>
    <w:rsid w:val="00DE0244"/>
    <w:rsid w:val="00E005CB"/>
    <w:rsid w:val="00E03710"/>
    <w:rsid w:val="00E215AE"/>
    <w:rsid w:val="00E27375"/>
    <w:rsid w:val="00E27DD9"/>
    <w:rsid w:val="00E47BE5"/>
    <w:rsid w:val="00E60362"/>
    <w:rsid w:val="00E74C48"/>
    <w:rsid w:val="00E7722A"/>
    <w:rsid w:val="00E906FE"/>
    <w:rsid w:val="00EB1471"/>
    <w:rsid w:val="00EB19E6"/>
    <w:rsid w:val="00EB7DB3"/>
    <w:rsid w:val="00EC60C1"/>
    <w:rsid w:val="00ED54A2"/>
    <w:rsid w:val="00EF7D67"/>
    <w:rsid w:val="00F11FEE"/>
    <w:rsid w:val="00F163FD"/>
    <w:rsid w:val="00F173FF"/>
    <w:rsid w:val="00F17FCC"/>
    <w:rsid w:val="00F242A5"/>
    <w:rsid w:val="00F42C81"/>
    <w:rsid w:val="00F47165"/>
    <w:rsid w:val="00F52670"/>
    <w:rsid w:val="00F55997"/>
    <w:rsid w:val="00F55DC5"/>
    <w:rsid w:val="00F6136C"/>
    <w:rsid w:val="00F61490"/>
    <w:rsid w:val="00F61665"/>
    <w:rsid w:val="00F6257B"/>
    <w:rsid w:val="00F9162A"/>
    <w:rsid w:val="00F93BE3"/>
    <w:rsid w:val="00FA79CC"/>
    <w:rsid w:val="00FA7E99"/>
    <w:rsid w:val="00FC27A1"/>
    <w:rsid w:val="00FD1E1E"/>
    <w:rsid w:val="00FD1F92"/>
    <w:rsid w:val="00FD2307"/>
    <w:rsid w:val="00FD5698"/>
    <w:rsid w:val="00FE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3" w:uiPriority="0"/>
    <w:lsdException w:name="Hyperlink" w:locked="1" w:semiHidden="0" w:unhideWhenUsed="0"/>
    <w:lsdException w:name="Strong" w:locked="1" w:semiHidden="0" w:unhideWhenUsed="0" w:qFormat="1"/>
    <w:lsdException w:name="Emphasis" w:locked="1" w:semiHidden="0" w:unhideWhenUsed="0" w:qFormat="1"/>
    <w:lsdException w:name="Plain Text" w:locked="1" w:semiHidden="0" w:unhideWhenUsed="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US" w:eastAsia="en-US"/>
    </w:rPr>
  </w:style>
  <w:style w:type="character" w:customStyle="1" w:styleId="HeaderChar">
    <w:name w:val="Header Char"/>
    <w:basedOn w:val="DefaultParagraphFont"/>
    <w:link w:val="Header"/>
    <w:uiPriority w:val="99"/>
    <w:locked/>
    <w:rPr>
      <w:sz w:val="24"/>
    </w:rPr>
  </w:style>
  <w:style w:type="character" w:styleId="PageNumber">
    <w:name w:val="page number"/>
    <w:basedOn w:val="DefaultParagraphFont"/>
    <w:uiPriority w:val="99"/>
    <w:rPr>
      <w:rFonts w:cs="Times New Roman"/>
    </w:rPr>
  </w:style>
  <w:style w:type="paragraph" w:customStyle="1" w:styleId="naisf">
    <w:name w:val="naisf"/>
    <w:basedOn w:val="Normal"/>
    <w:uiPriority w:val="99"/>
    <w:pPr>
      <w:spacing w:before="75" w:after="75"/>
      <w:ind w:firstLine="375"/>
      <w:jc w:val="both"/>
    </w:pPr>
  </w:style>
  <w:style w:type="paragraph" w:customStyle="1" w:styleId="naisnod">
    <w:name w:val="naisnod"/>
    <w:basedOn w:val="Normal"/>
    <w:uiPriority w:val="99"/>
    <w:pPr>
      <w:spacing w:before="150" w:after="150"/>
      <w:jc w:val="center"/>
    </w:pPr>
    <w:rPr>
      <w:b/>
      <w:bCs/>
    </w:rPr>
  </w:style>
  <w:style w:type="paragraph" w:customStyle="1" w:styleId="naislab">
    <w:name w:val="naislab"/>
    <w:basedOn w:val="Normal"/>
    <w:uiPriority w:val="99"/>
    <w:pPr>
      <w:spacing w:before="75" w:after="75"/>
      <w:jc w:val="right"/>
    </w:pPr>
  </w:style>
  <w:style w:type="paragraph" w:customStyle="1" w:styleId="naiskr">
    <w:name w:val="naiskr"/>
    <w:basedOn w:val="Normal"/>
    <w:uiPriority w:val="99"/>
    <w:pPr>
      <w:spacing w:before="75" w:after="75"/>
    </w:pPr>
  </w:style>
  <w:style w:type="paragraph" w:customStyle="1" w:styleId="naisc">
    <w:name w:val="naisc"/>
    <w:basedOn w:val="Normal"/>
    <w:uiPriority w:val="99"/>
    <w:pPr>
      <w:spacing w:before="75" w:after="75"/>
      <w:jc w:val="center"/>
    </w:pPr>
  </w:style>
  <w:style w:type="character" w:customStyle="1" w:styleId="th1">
    <w:name w:val="th1"/>
    <w:uiPriority w:val="99"/>
    <w:rPr>
      <w:b/>
      <w:color w:val="333333"/>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lv-LV"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74CAE"/>
    <w:rPr>
      <w:sz w:val="0"/>
      <w:szCs w:val="0"/>
      <w:lang w:val="lv-LV" w:eastAsia="lv-LV"/>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style>
  <w:style w:type="character" w:styleId="FootnoteReference">
    <w:name w:val="footnote reference"/>
    <w:basedOn w:val="DefaultParagraphFont"/>
    <w:uiPriority w:val="99"/>
    <w:semiHidden/>
    <w:rPr>
      <w:rFonts w:cs="Times New Roman"/>
      <w:vertAlign w:val="superscrip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74CAE"/>
    <w:rPr>
      <w:b/>
      <w:bCs/>
      <w:sz w:val="20"/>
      <w:szCs w:val="20"/>
      <w:lang w:val="lv-LV" w:eastAsia="lv-LV"/>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val="lv-LV" w:eastAsia="lv-LV"/>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74CAE"/>
    <w:rPr>
      <w:sz w:val="0"/>
      <w:szCs w:val="0"/>
      <w:lang w:val="lv-LV" w:eastAsia="lv-LV"/>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rPr>
      <w:rFonts w:cs="Times New Roman"/>
    </w:rPr>
  </w:style>
  <w:style w:type="paragraph" w:styleId="PlainText">
    <w:name w:val="Plain Text"/>
    <w:basedOn w:val="Normal"/>
    <w:link w:val="PlainTextChar"/>
    <w:uiPriority w:val="99"/>
    <w:rPr>
      <w:rFonts w:ascii="Courier New" w:hAnsi="Courier New"/>
      <w:sz w:val="20"/>
      <w:szCs w:val="20"/>
      <w:lang w:val="en-US" w:eastAsia="en-US"/>
    </w:rPr>
  </w:style>
  <w:style w:type="character" w:customStyle="1" w:styleId="PlainTextChar">
    <w:name w:val="Plain Text Char"/>
    <w:basedOn w:val="DefaultParagraphFont"/>
    <w:link w:val="PlainText"/>
    <w:uiPriority w:val="99"/>
    <w:locked/>
    <w:rPr>
      <w:rFonts w:ascii="Courier New" w:hAnsi="Courier New"/>
    </w:rPr>
  </w:style>
  <w:style w:type="character" w:customStyle="1" w:styleId="st1">
    <w:name w:val="st1"/>
    <w:uiPriority w:val="99"/>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paragraph" w:customStyle="1" w:styleId="CharChar2RakstzRakstzCharCharRakstzRakstzCharCharRakstzRakstzCharCharRakstzRakstzCharChar">
    <w:name w:val="Char Char2 Rakstz. Rakstz. Char Char Rakstz. Rakstz. Char Char Rakstz. Rakstz. Char Char Rakstz. Rakstz. Char Char"/>
    <w:basedOn w:val="Normal"/>
    <w:uiPriority w:val="99"/>
    <w:pPr>
      <w:spacing w:before="40"/>
      <w:jc w:val="both"/>
    </w:pPr>
    <w:rPr>
      <w:lang w:val="pl-PL" w:eastAsia="pl-PL"/>
    </w:rPr>
  </w:style>
  <w:style w:type="paragraph" w:styleId="ListParagraph">
    <w:name w:val="List Paragraph"/>
    <w:basedOn w:val="Normal"/>
    <w:uiPriority w:val="99"/>
    <w:qFormat/>
    <w:pPr>
      <w:ind w:left="720"/>
      <w:contextualSpacing/>
    </w:pPr>
  </w:style>
  <w:style w:type="paragraph" w:styleId="NormalWeb">
    <w:name w:val="Normal (Web)"/>
    <w:basedOn w:val="Normal"/>
    <w:pPr>
      <w:spacing w:before="100" w:beforeAutospacing="1" w:after="100" w:afterAutospacing="1"/>
    </w:pPr>
  </w:style>
  <w:style w:type="paragraph" w:customStyle="1" w:styleId="CharChar1RakstzRakstzCharChar">
    <w:name w:val="Char Char1 Rakstz. Rakstz. Char Char"/>
    <w:basedOn w:val="Normal"/>
    <w:rsid w:val="00DD4A76"/>
    <w:pPr>
      <w:spacing w:before="40"/>
    </w:pPr>
    <w:rPr>
      <w:lang w:val="pl-PL" w:eastAsia="pl-PL"/>
    </w:rPr>
  </w:style>
  <w:style w:type="character" w:styleId="FollowedHyperlink">
    <w:name w:val="FollowedHyperlink"/>
    <w:basedOn w:val="DefaultParagraphFont"/>
    <w:uiPriority w:val="99"/>
    <w:semiHidden/>
    <w:unhideWhenUsed/>
    <w:rsid w:val="00F242A5"/>
    <w:rPr>
      <w:color w:val="800080" w:themeColor="followedHyperlink"/>
      <w:u w:val="single"/>
    </w:rPr>
  </w:style>
  <w:style w:type="paragraph" w:styleId="BodyTextIndent">
    <w:name w:val="Body Text Indent"/>
    <w:basedOn w:val="Normal"/>
    <w:link w:val="BodyTextIndentChar"/>
    <w:rsid w:val="00DE0244"/>
    <w:pPr>
      <w:spacing w:before="240"/>
      <w:ind w:firstLine="720"/>
    </w:pPr>
    <w:rPr>
      <w:sz w:val="28"/>
      <w:szCs w:val="20"/>
      <w:lang w:eastAsia="en-US"/>
    </w:rPr>
  </w:style>
  <w:style w:type="character" w:customStyle="1" w:styleId="BodyTextIndentChar">
    <w:name w:val="Body Text Indent Char"/>
    <w:basedOn w:val="DefaultParagraphFont"/>
    <w:link w:val="BodyTextIndent"/>
    <w:rsid w:val="00DE0244"/>
    <w:rPr>
      <w:sz w:val="28"/>
      <w:szCs w:val="20"/>
      <w:lang w:val="lv-LV"/>
    </w:rPr>
  </w:style>
  <w:style w:type="paragraph" w:styleId="BodyTextIndent3">
    <w:name w:val="Body Text Indent 3"/>
    <w:basedOn w:val="Normal"/>
    <w:link w:val="BodyTextIndent3Char"/>
    <w:unhideWhenUsed/>
    <w:rsid w:val="00DE0244"/>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DE0244"/>
    <w:rPr>
      <w:rFonts w:eastAsia="Calibri"/>
      <w:sz w:val="16"/>
      <w:szCs w:val="16"/>
      <w:lang w:val="lv-LV"/>
    </w:rPr>
  </w:style>
  <w:style w:type="paragraph" w:styleId="NoSpacing">
    <w:name w:val="No Spacing"/>
    <w:uiPriority w:val="1"/>
    <w:qFormat/>
    <w:rsid w:val="009D5C4D"/>
    <w:rPr>
      <w:rFonts w:ascii="Calibri" w:eastAsia="Calibri" w:hAnsi="Calibri"/>
      <w:lang w:val="lv-LV"/>
    </w:rPr>
  </w:style>
  <w:style w:type="paragraph" w:customStyle="1" w:styleId="Normal1">
    <w:name w:val="Normal1"/>
    <w:basedOn w:val="Normal"/>
    <w:uiPriority w:val="99"/>
    <w:semiHidden/>
    <w:rsid w:val="00C62DD6"/>
    <w:rPr>
      <w:rFonts w:eastAsiaTheme="minorHAnsi"/>
    </w:rPr>
  </w:style>
  <w:style w:type="character" w:customStyle="1" w:styleId="normalchar">
    <w:name w:val="normal__char"/>
    <w:basedOn w:val="DefaultParagraphFont"/>
    <w:rsid w:val="00C62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3" w:uiPriority="0"/>
    <w:lsdException w:name="Hyperlink" w:locked="1" w:semiHidden="0" w:unhideWhenUsed="0"/>
    <w:lsdException w:name="Strong" w:locked="1" w:semiHidden="0" w:unhideWhenUsed="0" w:qFormat="1"/>
    <w:lsdException w:name="Emphasis" w:locked="1" w:semiHidden="0" w:unhideWhenUsed="0" w:qFormat="1"/>
    <w:lsdException w:name="Plain Text" w:locked="1" w:semiHidden="0" w:unhideWhenUsed="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US" w:eastAsia="en-US"/>
    </w:rPr>
  </w:style>
  <w:style w:type="character" w:customStyle="1" w:styleId="HeaderChar">
    <w:name w:val="Header Char"/>
    <w:basedOn w:val="DefaultParagraphFont"/>
    <w:link w:val="Header"/>
    <w:uiPriority w:val="99"/>
    <w:locked/>
    <w:rPr>
      <w:sz w:val="24"/>
    </w:rPr>
  </w:style>
  <w:style w:type="character" w:styleId="PageNumber">
    <w:name w:val="page number"/>
    <w:basedOn w:val="DefaultParagraphFont"/>
    <w:uiPriority w:val="99"/>
    <w:rPr>
      <w:rFonts w:cs="Times New Roman"/>
    </w:rPr>
  </w:style>
  <w:style w:type="paragraph" w:customStyle="1" w:styleId="naisf">
    <w:name w:val="naisf"/>
    <w:basedOn w:val="Normal"/>
    <w:uiPriority w:val="99"/>
    <w:pPr>
      <w:spacing w:before="75" w:after="75"/>
      <w:ind w:firstLine="375"/>
      <w:jc w:val="both"/>
    </w:pPr>
  </w:style>
  <w:style w:type="paragraph" w:customStyle="1" w:styleId="naisnod">
    <w:name w:val="naisnod"/>
    <w:basedOn w:val="Normal"/>
    <w:uiPriority w:val="99"/>
    <w:pPr>
      <w:spacing w:before="150" w:after="150"/>
      <w:jc w:val="center"/>
    </w:pPr>
    <w:rPr>
      <w:b/>
      <w:bCs/>
    </w:rPr>
  </w:style>
  <w:style w:type="paragraph" w:customStyle="1" w:styleId="naislab">
    <w:name w:val="naislab"/>
    <w:basedOn w:val="Normal"/>
    <w:uiPriority w:val="99"/>
    <w:pPr>
      <w:spacing w:before="75" w:after="75"/>
      <w:jc w:val="right"/>
    </w:pPr>
  </w:style>
  <w:style w:type="paragraph" w:customStyle="1" w:styleId="naiskr">
    <w:name w:val="naiskr"/>
    <w:basedOn w:val="Normal"/>
    <w:uiPriority w:val="99"/>
    <w:pPr>
      <w:spacing w:before="75" w:after="75"/>
    </w:pPr>
  </w:style>
  <w:style w:type="paragraph" w:customStyle="1" w:styleId="naisc">
    <w:name w:val="naisc"/>
    <w:basedOn w:val="Normal"/>
    <w:uiPriority w:val="99"/>
    <w:pPr>
      <w:spacing w:before="75" w:after="75"/>
      <w:jc w:val="center"/>
    </w:pPr>
  </w:style>
  <w:style w:type="character" w:customStyle="1" w:styleId="th1">
    <w:name w:val="th1"/>
    <w:uiPriority w:val="99"/>
    <w:rPr>
      <w:b/>
      <w:color w:val="333333"/>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lv-LV"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74CAE"/>
    <w:rPr>
      <w:sz w:val="0"/>
      <w:szCs w:val="0"/>
      <w:lang w:val="lv-LV" w:eastAsia="lv-LV"/>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style>
  <w:style w:type="character" w:styleId="FootnoteReference">
    <w:name w:val="footnote reference"/>
    <w:basedOn w:val="DefaultParagraphFont"/>
    <w:uiPriority w:val="99"/>
    <w:semiHidden/>
    <w:rPr>
      <w:rFonts w:cs="Times New Roman"/>
      <w:vertAlign w:val="superscrip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74CAE"/>
    <w:rPr>
      <w:b/>
      <w:bCs/>
      <w:sz w:val="20"/>
      <w:szCs w:val="20"/>
      <w:lang w:val="lv-LV" w:eastAsia="lv-LV"/>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val="lv-LV" w:eastAsia="lv-LV"/>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74CAE"/>
    <w:rPr>
      <w:sz w:val="0"/>
      <w:szCs w:val="0"/>
      <w:lang w:val="lv-LV" w:eastAsia="lv-LV"/>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rPr>
      <w:rFonts w:cs="Times New Roman"/>
    </w:rPr>
  </w:style>
  <w:style w:type="paragraph" w:styleId="PlainText">
    <w:name w:val="Plain Text"/>
    <w:basedOn w:val="Normal"/>
    <w:link w:val="PlainTextChar"/>
    <w:uiPriority w:val="99"/>
    <w:rPr>
      <w:rFonts w:ascii="Courier New" w:hAnsi="Courier New"/>
      <w:sz w:val="20"/>
      <w:szCs w:val="20"/>
      <w:lang w:val="en-US" w:eastAsia="en-US"/>
    </w:rPr>
  </w:style>
  <w:style w:type="character" w:customStyle="1" w:styleId="PlainTextChar">
    <w:name w:val="Plain Text Char"/>
    <w:basedOn w:val="DefaultParagraphFont"/>
    <w:link w:val="PlainText"/>
    <w:uiPriority w:val="99"/>
    <w:locked/>
    <w:rPr>
      <w:rFonts w:ascii="Courier New" w:hAnsi="Courier New"/>
    </w:rPr>
  </w:style>
  <w:style w:type="character" w:customStyle="1" w:styleId="st1">
    <w:name w:val="st1"/>
    <w:uiPriority w:val="99"/>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paragraph" w:customStyle="1" w:styleId="CharChar2RakstzRakstzCharCharRakstzRakstzCharCharRakstzRakstzCharCharRakstzRakstzCharChar">
    <w:name w:val="Char Char2 Rakstz. Rakstz. Char Char Rakstz. Rakstz. Char Char Rakstz. Rakstz. Char Char Rakstz. Rakstz. Char Char"/>
    <w:basedOn w:val="Normal"/>
    <w:uiPriority w:val="99"/>
    <w:pPr>
      <w:spacing w:before="40"/>
      <w:jc w:val="both"/>
    </w:pPr>
    <w:rPr>
      <w:lang w:val="pl-PL" w:eastAsia="pl-PL"/>
    </w:rPr>
  </w:style>
  <w:style w:type="paragraph" w:styleId="ListParagraph">
    <w:name w:val="List Paragraph"/>
    <w:basedOn w:val="Normal"/>
    <w:uiPriority w:val="99"/>
    <w:qFormat/>
    <w:pPr>
      <w:ind w:left="720"/>
      <w:contextualSpacing/>
    </w:pPr>
  </w:style>
  <w:style w:type="paragraph" w:styleId="NormalWeb">
    <w:name w:val="Normal (Web)"/>
    <w:basedOn w:val="Normal"/>
    <w:pPr>
      <w:spacing w:before="100" w:beforeAutospacing="1" w:after="100" w:afterAutospacing="1"/>
    </w:pPr>
  </w:style>
  <w:style w:type="paragraph" w:customStyle="1" w:styleId="CharChar1RakstzRakstzCharChar">
    <w:name w:val="Char Char1 Rakstz. Rakstz. Char Char"/>
    <w:basedOn w:val="Normal"/>
    <w:rsid w:val="00DD4A76"/>
    <w:pPr>
      <w:spacing w:before="40"/>
    </w:pPr>
    <w:rPr>
      <w:lang w:val="pl-PL" w:eastAsia="pl-PL"/>
    </w:rPr>
  </w:style>
  <w:style w:type="character" w:styleId="FollowedHyperlink">
    <w:name w:val="FollowedHyperlink"/>
    <w:basedOn w:val="DefaultParagraphFont"/>
    <w:uiPriority w:val="99"/>
    <w:semiHidden/>
    <w:unhideWhenUsed/>
    <w:rsid w:val="00F242A5"/>
    <w:rPr>
      <w:color w:val="800080" w:themeColor="followedHyperlink"/>
      <w:u w:val="single"/>
    </w:rPr>
  </w:style>
  <w:style w:type="paragraph" w:styleId="BodyTextIndent">
    <w:name w:val="Body Text Indent"/>
    <w:basedOn w:val="Normal"/>
    <w:link w:val="BodyTextIndentChar"/>
    <w:rsid w:val="00DE0244"/>
    <w:pPr>
      <w:spacing w:before="240"/>
      <w:ind w:firstLine="720"/>
    </w:pPr>
    <w:rPr>
      <w:sz w:val="28"/>
      <w:szCs w:val="20"/>
      <w:lang w:eastAsia="en-US"/>
    </w:rPr>
  </w:style>
  <w:style w:type="character" w:customStyle="1" w:styleId="BodyTextIndentChar">
    <w:name w:val="Body Text Indent Char"/>
    <w:basedOn w:val="DefaultParagraphFont"/>
    <w:link w:val="BodyTextIndent"/>
    <w:rsid w:val="00DE0244"/>
    <w:rPr>
      <w:sz w:val="28"/>
      <w:szCs w:val="20"/>
      <w:lang w:val="lv-LV"/>
    </w:rPr>
  </w:style>
  <w:style w:type="paragraph" w:styleId="BodyTextIndent3">
    <w:name w:val="Body Text Indent 3"/>
    <w:basedOn w:val="Normal"/>
    <w:link w:val="BodyTextIndent3Char"/>
    <w:unhideWhenUsed/>
    <w:rsid w:val="00DE0244"/>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DE0244"/>
    <w:rPr>
      <w:rFonts w:eastAsia="Calibri"/>
      <w:sz w:val="16"/>
      <w:szCs w:val="16"/>
      <w:lang w:val="lv-LV"/>
    </w:rPr>
  </w:style>
  <w:style w:type="paragraph" w:styleId="NoSpacing">
    <w:name w:val="No Spacing"/>
    <w:uiPriority w:val="1"/>
    <w:qFormat/>
    <w:rsid w:val="009D5C4D"/>
    <w:rPr>
      <w:rFonts w:ascii="Calibri" w:eastAsia="Calibri" w:hAnsi="Calibri"/>
      <w:lang w:val="lv-LV"/>
    </w:rPr>
  </w:style>
  <w:style w:type="paragraph" w:customStyle="1" w:styleId="Normal1">
    <w:name w:val="Normal1"/>
    <w:basedOn w:val="Normal"/>
    <w:uiPriority w:val="99"/>
    <w:semiHidden/>
    <w:rsid w:val="00C62DD6"/>
    <w:rPr>
      <w:rFonts w:eastAsiaTheme="minorHAnsi"/>
    </w:rPr>
  </w:style>
  <w:style w:type="character" w:customStyle="1" w:styleId="normalchar">
    <w:name w:val="normal__char"/>
    <w:basedOn w:val="DefaultParagraphFont"/>
    <w:rsid w:val="00C6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0816">
      <w:bodyDiv w:val="1"/>
      <w:marLeft w:val="0"/>
      <w:marRight w:val="0"/>
      <w:marTop w:val="0"/>
      <w:marBottom w:val="0"/>
      <w:divBdr>
        <w:top w:val="none" w:sz="0" w:space="0" w:color="auto"/>
        <w:left w:val="none" w:sz="0" w:space="0" w:color="auto"/>
        <w:bottom w:val="none" w:sz="0" w:space="0" w:color="auto"/>
        <w:right w:val="none" w:sz="0" w:space="0" w:color="auto"/>
      </w:divBdr>
      <w:divsChild>
        <w:div w:id="455761512">
          <w:marLeft w:val="0"/>
          <w:marRight w:val="0"/>
          <w:marTop w:val="0"/>
          <w:marBottom w:val="0"/>
          <w:divBdr>
            <w:top w:val="none" w:sz="0" w:space="0" w:color="auto"/>
            <w:left w:val="none" w:sz="0" w:space="0" w:color="auto"/>
            <w:bottom w:val="none" w:sz="0" w:space="0" w:color="auto"/>
            <w:right w:val="none" w:sz="0" w:space="0" w:color="auto"/>
          </w:divBdr>
        </w:div>
        <w:div w:id="1469468055">
          <w:marLeft w:val="0"/>
          <w:marRight w:val="0"/>
          <w:marTop w:val="0"/>
          <w:marBottom w:val="0"/>
          <w:divBdr>
            <w:top w:val="none" w:sz="0" w:space="0" w:color="auto"/>
            <w:left w:val="none" w:sz="0" w:space="0" w:color="auto"/>
            <w:bottom w:val="none" w:sz="0" w:space="0" w:color="auto"/>
            <w:right w:val="none" w:sz="0" w:space="0" w:color="auto"/>
          </w:divBdr>
        </w:div>
        <w:div w:id="687411503">
          <w:marLeft w:val="0"/>
          <w:marRight w:val="0"/>
          <w:marTop w:val="0"/>
          <w:marBottom w:val="0"/>
          <w:divBdr>
            <w:top w:val="none" w:sz="0" w:space="0" w:color="auto"/>
            <w:left w:val="none" w:sz="0" w:space="0" w:color="auto"/>
            <w:bottom w:val="none" w:sz="0" w:space="0" w:color="auto"/>
            <w:right w:val="none" w:sz="0" w:space="0" w:color="auto"/>
          </w:divBdr>
        </w:div>
        <w:div w:id="1036392632">
          <w:marLeft w:val="0"/>
          <w:marRight w:val="0"/>
          <w:marTop w:val="0"/>
          <w:marBottom w:val="0"/>
          <w:divBdr>
            <w:top w:val="none" w:sz="0" w:space="0" w:color="auto"/>
            <w:left w:val="none" w:sz="0" w:space="0" w:color="auto"/>
            <w:bottom w:val="none" w:sz="0" w:space="0" w:color="auto"/>
            <w:right w:val="none" w:sz="0" w:space="0" w:color="auto"/>
          </w:divBdr>
        </w:div>
        <w:div w:id="1754744205">
          <w:marLeft w:val="0"/>
          <w:marRight w:val="0"/>
          <w:marTop w:val="0"/>
          <w:marBottom w:val="0"/>
          <w:divBdr>
            <w:top w:val="none" w:sz="0" w:space="0" w:color="auto"/>
            <w:left w:val="none" w:sz="0" w:space="0" w:color="auto"/>
            <w:bottom w:val="none" w:sz="0" w:space="0" w:color="auto"/>
            <w:right w:val="none" w:sz="0" w:space="0" w:color="auto"/>
          </w:divBdr>
        </w:div>
        <w:div w:id="1600597238">
          <w:marLeft w:val="0"/>
          <w:marRight w:val="0"/>
          <w:marTop w:val="0"/>
          <w:marBottom w:val="0"/>
          <w:divBdr>
            <w:top w:val="none" w:sz="0" w:space="0" w:color="auto"/>
            <w:left w:val="none" w:sz="0" w:space="0" w:color="auto"/>
            <w:bottom w:val="none" w:sz="0" w:space="0" w:color="auto"/>
            <w:right w:val="none" w:sz="0" w:space="0" w:color="auto"/>
          </w:divBdr>
        </w:div>
        <w:div w:id="1535995167">
          <w:marLeft w:val="0"/>
          <w:marRight w:val="0"/>
          <w:marTop w:val="0"/>
          <w:marBottom w:val="0"/>
          <w:divBdr>
            <w:top w:val="none" w:sz="0" w:space="0" w:color="auto"/>
            <w:left w:val="none" w:sz="0" w:space="0" w:color="auto"/>
            <w:bottom w:val="none" w:sz="0" w:space="0" w:color="auto"/>
            <w:right w:val="none" w:sz="0" w:space="0" w:color="auto"/>
          </w:divBdr>
        </w:div>
        <w:div w:id="1515195154">
          <w:marLeft w:val="0"/>
          <w:marRight w:val="0"/>
          <w:marTop w:val="0"/>
          <w:marBottom w:val="0"/>
          <w:divBdr>
            <w:top w:val="none" w:sz="0" w:space="0" w:color="auto"/>
            <w:left w:val="none" w:sz="0" w:space="0" w:color="auto"/>
            <w:bottom w:val="none" w:sz="0" w:space="0" w:color="auto"/>
            <w:right w:val="none" w:sz="0" w:space="0" w:color="auto"/>
          </w:divBdr>
        </w:div>
        <w:div w:id="1179346368">
          <w:marLeft w:val="0"/>
          <w:marRight w:val="0"/>
          <w:marTop w:val="0"/>
          <w:marBottom w:val="0"/>
          <w:divBdr>
            <w:top w:val="none" w:sz="0" w:space="0" w:color="auto"/>
            <w:left w:val="none" w:sz="0" w:space="0" w:color="auto"/>
            <w:bottom w:val="none" w:sz="0" w:space="0" w:color="auto"/>
            <w:right w:val="none" w:sz="0" w:space="0" w:color="auto"/>
          </w:divBdr>
        </w:div>
        <w:div w:id="702249603">
          <w:marLeft w:val="0"/>
          <w:marRight w:val="0"/>
          <w:marTop w:val="0"/>
          <w:marBottom w:val="0"/>
          <w:divBdr>
            <w:top w:val="none" w:sz="0" w:space="0" w:color="auto"/>
            <w:left w:val="none" w:sz="0" w:space="0" w:color="auto"/>
            <w:bottom w:val="none" w:sz="0" w:space="0" w:color="auto"/>
            <w:right w:val="none" w:sz="0" w:space="0" w:color="auto"/>
          </w:divBdr>
        </w:div>
      </w:divsChild>
    </w:div>
    <w:div w:id="1295864941">
      <w:bodyDiv w:val="1"/>
      <w:marLeft w:val="0"/>
      <w:marRight w:val="0"/>
      <w:marTop w:val="0"/>
      <w:marBottom w:val="0"/>
      <w:divBdr>
        <w:top w:val="none" w:sz="0" w:space="0" w:color="auto"/>
        <w:left w:val="none" w:sz="0" w:space="0" w:color="auto"/>
        <w:bottom w:val="none" w:sz="0" w:space="0" w:color="auto"/>
        <w:right w:val="none" w:sz="0" w:space="0" w:color="auto"/>
      </w:divBdr>
    </w:div>
    <w:div w:id="1330212284">
      <w:bodyDiv w:val="1"/>
      <w:marLeft w:val="0"/>
      <w:marRight w:val="0"/>
      <w:marTop w:val="0"/>
      <w:marBottom w:val="0"/>
      <w:divBdr>
        <w:top w:val="none" w:sz="0" w:space="0" w:color="auto"/>
        <w:left w:val="none" w:sz="0" w:space="0" w:color="auto"/>
        <w:bottom w:val="none" w:sz="0" w:space="0" w:color="auto"/>
        <w:right w:val="none" w:sz="0" w:space="0" w:color="auto"/>
      </w:divBdr>
    </w:div>
    <w:div w:id="1757243167">
      <w:bodyDiv w:val="1"/>
      <w:marLeft w:val="0"/>
      <w:marRight w:val="0"/>
      <w:marTop w:val="0"/>
      <w:marBottom w:val="0"/>
      <w:divBdr>
        <w:top w:val="none" w:sz="0" w:space="0" w:color="auto"/>
        <w:left w:val="none" w:sz="0" w:space="0" w:color="auto"/>
        <w:bottom w:val="none" w:sz="0" w:space="0" w:color="auto"/>
        <w:right w:val="none" w:sz="0" w:space="0" w:color="auto"/>
      </w:divBdr>
    </w:div>
    <w:div w:id="2066491131">
      <w:marLeft w:val="0"/>
      <w:marRight w:val="0"/>
      <w:marTop w:val="0"/>
      <w:marBottom w:val="0"/>
      <w:divBdr>
        <w:top w:val="none" w:sz="0" w:space="0" w:color="auto"/>
        <w:left w:val="none" w:sz="0" w:space="0" w:color="auto"/>
        <w:bottom w:val="none" w:sz="0" w:space="0" w:color="auto"/>
        <w:right w:val="none" w:sz="0" w:space="0" w:color="auto"/>
      </w:divBdr>
    </w:div>
    <w:div w:id="2066491132">
      <w:marLeft w:val="0"/>
      <w:marRight w:val="0"/>
      <w:marTop w:val="0"/>
      <w:marBottom w:val="0"/>
      <w:divBdr>
        <w:top w:val="none" w:sz="0" w:space="0" w:color="auto"/>
        <w:left w:val="none" w:sz="0" w:space="0" w:color="auto"/>
        <w:bottom w:val="none" w:sz="0" w:space="0" w:color="auto"/>
        <w:right w:val="none" w:sz="0" w:space="0" w:color="auto"/>
      </w:divBdr>
    </w:div>
    <w:div w:id="2066491133">
      <w:marLeft w:val="0"/>
      <w:marRight w:val="0"/>
      <w:marTop w:val="0"/>
      <w:marBottom w:val="0"/>
      <w:divBdr>
        <w:top w:val="none" w:sz="0" w:space="0" w:color="auto"/>
        <w:left w:val="none" w:sz="0" w:space="0" w:color="auto"/>
        <w:bottom w:val="none" w:sz="0" w:space="0" w:color="auto"/>
        <w:right w:val="none" w:sz="0" w:space="0" w:color="auto"/>
      </w:divBdr>
    </w:div>
    <w:div w:id="2066491134">
      <w:marLeft w:val="0"/>
      <w:marRight w:val="0"/>
      <w:marTop w:val="0"/>
      <w:marBottom w:val="0"/>
      <w:divBdr>
        <w:top w:val="none" w:sz="0" w:space="0" w:color="auto"/>
        <w:left w:val="none" w:sz="0" w:space="0" w:color="auto"/>
        <w:bottom w:val="none" w:sz="0" w:space="0" w:color="auto"/>
        <w:right w:val="none" w:sz="0" w:space="0" w:color="auto"/>
      </w:divBdr>
    </w:div>
    <w:div w:id="2066491135">
      <w:marLeft w:val="0"/>
      <w:marRight w:val="0"/>
      <w:marTop w:val="0"/>
      <w:marBottom w:val="0"/>
      <w:divBdr>
        <w:top w:val="none" w:sz="0" w:space="0" w:color="auto"/>
        <w:left w:val="none" w:sz="0" w:space="0" w:color="auto"/>
        <w:bottom w:val="none" w:sz="0" w:space="0" w:color="auto"/>
        <w:right w:val="none" w:sz="0" w:space="0" w:color="auto"/>
      </w:divBdr>
    </w:div>
    <w:div w:id="2066491136">
      <w:marLeft w:val="0"/>
      <w:marRight w:val="0"/>
      <w:marTop w:val="0"/>
      <w:marBottom w:val="0"/>
      <w:divBdr>
        <w:top w:val="none" w:sz="0" w:space="0" w:color="auto"/>
        <w:left w:val="none" w:sz="0" w:space="0" w:color="auto"/>
        <w:bottom w:val="none" w:sz="0" w:space="0" w:color="auto"/>
        <w:right w:val="none" w:sz="0" w:space="0" w:color="auto"/>
      </w:divBdr>
    </w:div>
    <w:div w:id="2066491137">
      <w:marLeft w:val="0"/>
      <w:marRight w:val="0"/>
      <w:marTop w:val="0"/>
      <w:marBottom w:val="0"/>
      <w:divBdr>
        <w:top w:val="none" w:sz="0" w:space="0" w:color="auto"/>
        <w:left w:val="none" w:sz="0" w:space="0" w:color="auto"/>
        <w:bottom w:val="none" w:sz="0" w:space="0" w:color="auto"/>
        <w:right w:val="none" w:sz="0" w:space="0" w:color="auto"/>
      </w:divBdr>
    </w:div>
    <w:div w:id="2066491138">
      <w:marLeft w:val="0"/>
      <w:marRight w:val="0"/>
      <w:marTop w:val="0"/>
      <w:marBottom w:val="0"/>
      <w:divBdr>
        <w:top w:val="none" w:sz="0" w:space="0" w:color="auto"/>
        <w:left w:val="none" w:sz="0" w:space="0" w:color="auto"/>
        <w:bottom w:val="none" w:sz="0" w:space="0" w:color="auto"/>
        <w:right w:val="none" w:sz="0" w:space="0" w:color="auto"/>
      </w:divBdr>
    </w:div>
    <w:div w:id="2066491139">
      <w:marLeft w:val="0"/>
      <w:marRight w:val="0"/>
      <w:marTop w:val="0"/>
      <w:marBottom w:val="0"/>
      <w:divBdr>
        <w:top w:val="none" w:sz="0" w:space="0" w:color="auto"/>
        <w:left w:val="none" w:sz="0" w:space="0" w:color="auto"/>
        <w:bottom w:val="none" w:sz="0" w:space="0" w:color="auto"/>
        <w:right w:val="none" w:sz="0" w:space="0" w:color="auto"/>
      </w:divBdr>
    </w:div>
    <w:div w:id="2066491140">
      <w:marLeft w:val="0"/>
      <w:marRight w:val="0"/>
      <w:marTop w:val="0"/>
      <w:marBottom w:val="0"/>
      <w:divBdr>
        <w:top w:val="none" w:sz="0" w:space="0" w:color="auto"/>
        <w:left w:val="none" w:sz="0" w:space="0" w:color="auto"/>
        <w:bottom w:val="none" w:sz="0" w:space="0" w:color="auto"/>
        <w:right w:val="none" w:sz="0" w:space="0" w:color="auto"/>
      </w:divBdr>
    </w:div>
    <w:div w:id="206649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competition/consultations/2013_merger_regulation/index_en.html" TargetMode="External"/><Relationship Id="rId18" Type="http://schemas.openxmlformats.org/officeDocument/2006/relationships/hyperlink" Target="http://papers.ssrn.com/sol3/papers.cfm?abstract_id=78792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jftc.go.jp/en/int_relations/kyoto_materials.files/Merger_WG_2.pdf" TargetMode="External"/><Relationship Id="rId17" Type="http://schemas.openxmlformats.org/officeDocument/2006/relationships/hyperlink" Target="http://www.internationalcompetitionnetwork.org/uploads/library/doc5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nationalcompetitionnetwork.org/uploads/library/doc74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competitionnetwork.org/uploads/library/doc325.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cts.oecd.org/Instruments/ShowInstrumentView.aspx?InstrumentID=195&amp;Instr" TargetMode="External"/><Relationship Id="rId23" Type="http://schemas.openxmlformats.org/officeDocument/2006/relationships/footer" Target="footer2.xml"/><Relationship Id="rId10" Type="http://schemas.openxmlformats.org/officeDocument/2006/relationships/hyperlink" Target="http://www.internationalcompetitionnetwork.org/uploads/library/doc588.pdf" TargetMode="External"/><Relationship Id="rId19" Type="http://schemas.openxmlformats.org/officeDocument/2006/relationships/hyperlink" Target="http://www.lta.lv/" TargetMode="External"/><Relationship Id="rId4" Type="http://schemas.microsoft.com/office/2007/relationships/stylesWithEffects" Target="stylesWithEffects.xml"/><Relationship Id="rId9" Type="http://schemas.openxmlformats.org/officeDocument/2006/relationships/hyperlink" Target="http://acts.oecd.org/Instruments/ShowInstrumentView.aspx?InstrumentID=195&amp;Instr" TargetMode="External"/><Relationship Id="rId14" Type="http://schemas.openxmlformats.org/officeDocument/2006/relationships/hyperlink" Target="http://acts.oecd.org/Instruments/ShowInstrumentView.aspx?InstrumentID=195&amp;InstrumentPID=191&amp;Lang=en&amp;Book=Fals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B3D1-9744-428B-8C6D-DD953B7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8387</Words>
  <Characters>60975</Characters>
  <Application>Microsoft Office Word</Application>
  <DocSecurity>0</DocSecurity>
  <Lines>1325</Lines>
  <Paragraphs>475</Paragraphs>
  <ScaleCrop>false</ScaleCrop>
  <HeadingPairs>
    <vt:vector size="2" baseType="variant">
      <vt:variant>
        <vt:lpstr>Title</vt:lpstr>
      </vt:variant>
      <vt:variant>
        <vt:i4>1</vt:i4>
      </vt:variant>
    </vt:vector>
  </HeadingPairs>
  <TitlesOfParts>
    <vt:vector size="1" baseType="lpstr">
      <vt:lpstr>Likumprojekta</vt:lpstr>
    </vt:vector>
  </TitlesOfParts>
  <Company>Ekonomikas ministrija</Company>
  <LinksUpToDate>false</LinksUpToDate>
  <CharactersWithSpaces>68887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dc:title>
  <dc:subject>sākotnējās ietekmes novērtējuma ziņojums (anotācija)</dc:subject>
  <dc:creator>Ilze.Peipina@em.gov.lv</dc:creator>
  <dc:description>Ilze Peipiņa, 67013146, Ilze.Peipina@em.gov.lv</dc:description>
  <cp:lastModifiedBy>Ilze Peipiņa</cp:lastModifiedBy>
  <cp:revision>2</cp:revision>
  <cp:lastPrinted>2014-11-11T15:02:00Z</cp:lastPrinted>
  <dcterms:created xsi:type="dcterms:W3CDTF">2014-11-11T15:22:00Z</dcterms:created>
  <dcterms:modified xsi:type="dcterms:W3CDTF">2014-11-11T15:22:00Z</dcterms:modified>
</cp:coreProperties>
</file>