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0C" w:rsidRPr="004024C2" w:rsidRDefault="0038787E" w:rsidP="008667DC">
      <w:pPr>
        <w:contextualSpacing/>
        <w:jc w:val="center"/>
        <w:outlineLvl w:val="0"/>
        <w:rPr>
          <w:b/>
          <w:bCs/>
        </w:rPr>
      </w:pPr>
      <w:bookmarkStart w:id="0" w:name="OLE_LINK1"/>
      <w:bookmarkStart w:id="1" w:name="OLE_LINK2"/>
      <w:bookmarkStart w:id="2" w:name="OLE_LINK10"/>
      <w:bookmarkStart w:id="3" w:name="OLE_LINK11"/>
      <w:r w:rsidRPr="004024C2">
        <w:rPr>
          <w:b/>
          <w:color w:val="000000"/>
        </w:rPr>
        <w:t>Ministru kabineta noteikumu projekta</w:t>
      </w:r>
      <w:r w:rsidR="00AC1F53" w:rsidRPr="004024C2">
        <w:rPr>
          <w:b/>
          <w:color w:val="000000"/>
        </w:rPr>
        <w:t xml:space="preserve"> </w:t>
      </w:r>
      <w:r w:rsidR="009622AF" w:rsidRPr="004024C2">
        <w:rPr>
          <w:b/>
          <w:bCs/>
        </w:rPr>
        <w:t>„</w:t>
      </w:r>
      <w:bookmarkEnd w:id="0"/>
      <w:bookmarkEnd w:id="1"/>
      <w:r w:rsidR="004024C2" w:rsidRPr="004024C2">
        <w:rPr>
          <w:b/>
          <w:bCs/>
        </w:rPr>
        <w:t>Grozījum</w:t>
      </w:r>
      <w:r w:rsidR="0071109E">
        <w:rPr>
          <w:b/>
          <w:bCs/>
        </w:rPr>
        <w:t>i</w:t>
      </w:r>
      <w:r w:rsidR="004024C2" w:rsidRPr="004024C2">
        <w:rPr>
          <w:b/>
          <w:bCs/>
        </w:rPr>
        <w:t xml:space="preserve"> </w:t>
      </w:r>
      <w:r w:rsidR="004024C2" w:rsidRPr="004024C2">
        <w:rPr>
          <w:b/>
          <w:color w:val="000000"/>
        </w:rPr>
        <w:t>Ministru kabineta 2009. gada 10. marta noteikumos Nr.221 „Noteikumi par elektroenerģijas ražošanu un cenu noteikšanu, ražojot elektroenerģiju koģenerācijā”</w:t>
      </w:r>
      <w:r w:rsidR="0065682C" w:rsidRPr="004024C2">
        <w:rPr>
          <w:b/>
          <w:bCs/>
        </w:rPr>
        <w:t>”</w:t>
      </w:r>
      <w:r w:rsidR="006450D6" w:rsidRPr="004024C2">
        <w:rPr>
          <w:b/>
          <w:bCs/>
        </w:rPr>
        <w:t xml:space="preserve"> </w:t>
      </w:r>
      <w:r w:rsidR="0089380C" w:rsidRPr="004024C2">
        <w:rPr>
          <w:b/>
          <w:bCs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138"/>
        <w:gridCol w:w="6037"/>
      </w:tblGrid>
      <w:tr w:rsidR="001C1A2E" w:rsidRPr="00A92F58" w:rsidTr="00AC1F53">
        <w:tc>
          <w:tcPr>
            <w:tcW w:w="9444" w:type="dxa"/>
            <w:gridSpan w:val="3"/>
            <w:vAlign w:val="center"/>
          </w:tcPr>
          <w:bookmarkEnd w:id="2"/>
          <w:bookmarkEnd w:id="3"/>
          <w:p w:rsidR="001C1A2E" w:rsidRPr="00EA2AA3" w:rsidRDefault="001C1A2E" w:rsidP="008667DC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EA2AA3">
              <w:rPr>
                <w:b/>
                <w:color w:val="000000" w:themeColor="text1"/>
              </w:rPr>
              <w:t>I. Tiesību akta projekta izstrādes nepieciešamība</w:t>
            </w:r>
          </w:p>
        </w:tc>
      </w:tr>
      <w:tr w:rsidR="001C1A2E" w:rsidRPr="00A92F58" w:rsidTr="008E1079">
        <w:trPr>
          <w:trHeight w:val="3667"/>
        </w:trPr>
        <w:tc>
          <w:tcPr>
            <w:tcW w:w="269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1.</w:t>
            </w:r>
          </w:p>
        </w:tc>
        <w:tc>
          <w:tcPr>
            <w:tcW w:w="3138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ind w:hanging="1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Pamatojums</w:t>
            </w:r>
          </w:p>
        </w:tc>
        <w:tc>
          <w:tcPr>
            <w:tcW w:w="6037" w:type="dxa"/>
          </w:tcPr>
          <w:p w:rsidR="00DC5C95" w:rsidRPr="00DC5C95" w:rsidRDefault="004024C2" w:rsidP="008667DC">
            <w:pPr>
              <w:pStyle w:val="Heading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305E9">
              <w:rPr>
                <w:b w:val="0"/>
                <w:color w:val="000000" w:themeColor="text1"/>
                <w:sz w:val="24"/>
                <w:szCs w:val="24"/>
              </w:rPr>
              <w:t>Ministru kabineta noteikumu projekt</w:t>
            </w:r>
            <w:r w:rsidR="007C1F2A">
              <w:rPr>
                <w:b w:val="0"/>
                <w:color w:val="000000" w:themeColor="text1"/>
                <w:sz w:val="24"/>
                <w:szCs w:val="24"/>
              </w:rPr>
              <w:t>s</w:t>
            </w:r>
            <w:r w:rsidRPr="004305E9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024C2">
              <w:rPr>
                <w:b w:val="0"/>
                <w:sz w:val="24"/>
                <w:szCs w:val="24"/>
              </w:rPr>
              <w:t>„</w:t>
            </w:r>
            <w:r w:rsidRPr="004024C2">
              <w:rPr>
                <w:b w:val="0"/>
                <w:bCs w:val="0"/>
                <w:sz w:val="24"/>
                <w:szCs w:val="24"/>
              </w:rPr>
              <w:t>Grozījum</w:t>
            </w:r>
            <w:r w:rsidR="0071109E">
              <w:rPr>
                <w:b w:val="0"/>
                <w:bCs w:val="0"/>
                <w:sz w:val="24"/>
                <w:szCs w:val="24"/>
              </w:rPr>
              <w:t>i</w:t>
            </w:r>
            <w:r w:rsidRPr="004024C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024C2">
              <w:rPr>
                <w:b w:val="0"/>
                <w:color w:val="000000"/>
                <w:sz w:val="24"/>
                <w:szCs w:val="24"/>
              </w:rPr>
              <w:t>Ministru kabineta 2009. gada 10. marta noteikumos Nr.221 „Noteikumi par elektroenerģijas ražošanu un cenu noteikšanu, ražojot elektroenerģiju koģenerācijā”</w:t>
            </w:r>
            <w:r w:rsidRPr="004024C2">
              <w:rPr>
                <w:b w:val="0"/>
                <w:sz w:val="24"/>
                <w:szCs w:val="24"/>
              </w:rPr>
              <w:t>”</w:t>
            </w:r>
            <w:r w:rsidRPr="004305E9">
              <w:rPr>
                <w:b w:val="0"/>
                <w:color w:val="000000" w:themeColor="text1"/>
                <w:sz w:val="24"/>
                <w:szCs w:val="24"/>
              </w:rPr>
              <w:t xml:space="preserve"> (turpmāk - noteikumu projekts) </w:t>
            </w:r>
            <w:r w:rsidR="00DC5C95">
              <w:rPr>
                <w:b w:val="0"/>
                <w:color w:val="000000" w:themeColor="text1"/>
                <w:sz w:val="24"/>
                <w:szCs w:val="24"/>
              </w:rPr>
              <w:t xml:space="preserve">sagatavots, pamatojoties uz </w:t>
            </w:r>
            <w:r w:rsidR="00DC5C95" w:rsidRPr="00DC5C95">
              <w:rPr>
                <w:b w:val="0"/>
                <w:sz w:val="24"/>
                <w:szCs w:val="24"/>
              </w:rPr>
              <w:t>Deklarācijas par Laimdotas Straujumas vadītā Ministru kabineta iecerēto darbību</w:t>
            </w:r>
            <w:r w:rsidR="00DC5C95">
              <w:rPr>
                <w:b w:val="0"/>
                <w:sz w:val="24"/>
                <w:szCs w:val="24"/>
              </w:rPr>
              <w:t xml:space="preserve"> 74. </w:t>
            </w:r>
            <w:r w:rsidR="00C15E77">
              <w:rPr>
                <w:b w:val="0"/>
                <w:sz w:val="24"/>
                <w:szCs w:val="24"/>
              </w:rPr>
              <w:t>p</w:t>
            </w:r>
            <w:r w:rsidR="00DC5C95">
              <w:rPr>
                <w:b w:val="0"/>
                <w:sz w:val="24"/>
                <w:szCs w:val="24"/>
              </w:rPr>
              <w:t>unktu</w:t>
            </w:r>
            <w:r w:rsidR="00C15E77">
              <w:rPr>
                <w:b w:val="0"/>
                <w:sz w:val="24"/>
                <w:szCs w:val="24"/>
              </w:rPr>
              <w:t>, kurā teikts, ka tiks</w:t>
            </w:r>
            <w:r w:rsidR="00DC5C95">
              <w:rPr>
                <w:b w:val="0"/>
                <w:sz w:val="24"/>
                <w:szCs w:val="24"/>
              </w:rPr>
              <w:t xml:space="preserve"> </w:t>
            </w:r>
            <w:r w:rsidR="00DC5C95" w:rsidRPr="00C15E77">
              <w:rPr>
                <w:b w:val="0"/>
                <w:sz w:val="24"/>
                <w:szCs w:val="24"/>
              </w:rPr>
              <w:t>novērs</w:t>
            </w:r>
            <w:r w:rsidR="00C15E77">
              <w:rPr>
                <w:b w:val="0"/>
                <w:sz w:val="24"/>
                <w:szCs w:val="24"/>
              </w:rPr>
              <w:t>ti</w:t>
            </w:r>
            <w:r w:rsidR="00DC5C95" w:rsidRPr="00C15E77">
              <w:rPr>
                <w:b w:val="0"/>
                <w:sz w:val="24"/>
                <w:szCs w:val="24"/>
              </w:rPr>
              <w:t xml:space="preserve"> nepamatot</w:t>
            </w:r>
            <w:r w:rsidR="00C15E77">
              <w:rPr>
                <w:b w:val="0"/>
                <w:sz w:val="24"/>
                <w:szCs w:val="24"/>
              </w:rPr>
              <w:t>i</w:t>
            </w:r>
            <w:r w:rsidR="00DC5C95" w:rsidRPr="00C15E77">
              <w:rPr>
                <w:b w:val="0"/>
                <w:sz w:val="24"/>
                <w:szCs w:val="24"/>
              </w:rPr>
              <w:t xml:space="preserve"> enerģijas cenas pieauguma risk</w:t>
            </w:r>
            <w:r w:rsidR="00C15E77">
              <w:rPr>
                <w:b w:val="0"/>
                <w:sz w:val="24"/>
                <w:szCs w:val="24"/>
              </w:rPr>
              <w:t>i</w:t>
            </w:r>
            <w:r w:rsidR="00DC5C95" w:rsidRPr="00C15E77">
              <w:rPr>
                <w:b w:val="0"/>
                <w:sz w:val="24"/>
                <w:szCs w:val="24"/>
              </w:rPr>
              <w:t xml:space="preserve"> mājsaimniecībām un ražojošajiem uzņēmumiem</w:t>
            </w:r>
            <w:r w:rsidR="00B87A66" w:rsidRPr="00C15E77">
              <w:rPr>
                <w:b w:val="0"/>
                <w:sz w:val="24"/>
                <w:szCs w:val="24"/>
              </w:rPr>
              <w:t>.</w:t>
            </w:r>
          </w:p>
          <w:p w:rsidR="001C1A2E" w:rsidRPr="0038787E" w:rsidRDefault="0060359C" w:rsidP="008667DC">
            <w:pPr>
              <w:pStyle w:val="naiskr"/>
              <w:snapToGrid w:val="0"/>
              <w:spacing w:before="0" w:beforeAutospacing="0" w:after="0" w:afterAutospacing="0"/>
              <w:ind w:right="48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Ministru kabineta 2013. gada 9. aprīļa sēdē izskatītā i</w:t>
            </w:r>
            <w:r w:rsidRPr="009E2E00">
              <w:rPr>
                <w:color w:val="000000"/>
              </w:rPr>
              <w:t>nformatīv</w:t>
            </w:r>
            <w:r>
              <w:rPr>
                <w:color w:val="000000"/>
              </w:rPr>
              <w:t>ā</w:t>
            </w:r>
            <w:r w:rsidRPr="009E2E00">
              <w:rPr>
                <w:color w:val="000000"/>
              </w:rPr>
              <w:t xml:space="preserve"> ziņojum</w:t>
            </w:r>
            <w:r>
              <w:rPr>
                <w:color w:val="000000"/>
              </w:rPr>
              <w:t>a</w:t>
            </w:r>
            <w:r w:rsidRPr="009E2E00">
              <w:rPr>
                <w:color w:val="000000"/>
              </w:rPr>
              <w:t xml:space="preserve"> „Rīcības plāns elektroenerģijas kopējās cenas</w:t>
            </w:r>
            <w:r>
              <w:rPr>
                <w:color w:val="000000"/>
              </w:rPr>
              <w:t xml:space="preserve"> pieauguma risku ierobežošanai”</w:t>
            </w:r>
            <w:r w:rsidRPr="009E2E00">
              <w:rPr>
                <w:color w:val="000000"/>
              </w:rPr>
              <w:t xml:space="preserve"> (TA-683, prot. Nr.18, 35. §)</w:t>
            </w:r>
            <w:r w:rsidR="00C15E77">
              <w:rPr>
                <w:color w:val="000000"/>
              </w:rPr>
              <w:t xml:space="preserve"> (turpmāk - Ziņojums)</w:t>
            </w:r>
            <w:r>
              <w:rPr>
                <w:color w:val="000000"/>
              </w:rPr>
              <w:t xml:space="preserve"> pielikumā Nr.1 1.</w:t>
            </w:r>
            <w:r w:rsidR="008E1079">
              <w:rPr>
                <w:color w:val="000000"/>
              </w:rPr>
              <w:t> </w:t>
            </w:r>
            <w:r>
              <w:rPr>
                <w:color w:val="000000"/>
              </w:rPr>
              <w:t>pasākums</w:t>
            </w:r>
            <w:r w:rsidRPr="009E2E00">
              <w:rPr>
                <w:color w:val="000000"/>
              </w:rPr>
              <w:t xml:space="preserve"> elektroenerģijas kopējās cenas</w:t>
            </w:r>
            <w:r>
              <w:rPr>
                <w:color w:val="000000"/>
              </w:rPr>
              <w:t xml:space="preserve"> pieauguma risku ierobežošanai</w:t>
            </w:r>
            <w:r w:rsidRPr="009E2E00">
              <w:rPr>
                <w:color w:val="000000"/>
              </w:rPr>
              <w:t>.</w:t>
            </w:r>
            <w:r w:rsidRPr="0038787E">
              <w:rPr>
                <w:bCs/>
                <w:color w:val="000000" w:themeColor="text1"/>
              </w:rPr>
              <w:t xml:space="preserve"> </w:t>
            </w:r>
          </w:p>
        </w:tc>
      </w:tr>
      <w:tr w:rsidR="001C1A2E" w:rsidRPr="00A92F58" w:rsidTr="001A3BE3">
        <w:trPr>
          <w:trHeight w:val="1839"/>
        </w:trPr>
        <w:tc>
          <w:tcPr>
            <w:tcW w:w="269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2.</w:t>
            </w:r>
          </w:p>
        </w:tc>
        <w:tc>
          <w:tcPr>
            <w:tcW w:w="3138" w:type="dxa"/>
          </w:tcPr>
          <w:p w:rsidR="001C1A2E" w:rsidRPr="00A92F58" w:rsidRDefault="001C1A2E" w:rsidP="008667DC">
            <w:pPr>
              <w:pStyle w:val="naiskr"/>
              <w:tabs>
                <w:tab w:val="left" w:pos="170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37" w:type="dxa"/>
          </w:tcPr>
          <w:p w:rsidR="00B87A66" w:rsidRPr="00DF012F" w:rsidRDefault="00B87A66" w:rsidP="008667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O</w:t>
            </w:r>
            <w:r w:rsidRPr="00DF012F">
              <w:rPr>
                <w:color w:val="000000" w:themeColor="text1"/>
              </w:rPr>
              <w:t xml:space="preserve">bligātā iepirkuma komponentes (turpmāk – OIK) un elektroenerģijas kopējās cenas turpmāks pieaugums atstās ietekmi uz Latvijas tautsaimniecības konkurētspēju, tajā skaitā pievienotās vērtības radīšanu, </w:t>
            </w:r>
            <w:r w:rsidR="00C15E77">
              <w:rPr>
                <w:color w:val="000000" w:themeColor="text1"/>
              </w:rPr>
              <w:t xml:space="preserve">lai to novērstu, </w:t>
            </w:r>
            <w:r w:rsidRPr="00DF012F">
              <w:rPr>
                <w:color w:val="000000" w:themeColor="text1"/>
              </w:rPr>
              <w:t>nepieciešams ieviest tādas politikas izmaiņas, kas nodrošinātu, ka Latvijā efektīvi apgūst atjaunojamo energoresursu (turpmāk – AER) potenciālu un ražo elektroenerģiju koģenerācijā, kā arī vienlaikus nodrošina ekonomikas attīstību un novērš iedzīvotāju dzīves līmeņa pasliktināšanos. OIK izmaiņas ietekmē vairāki faktori</w:t>
            </w:r>
            <w:r w:rsidR="00C15E77">
              <w:rPr>
                <w:color w:val="000000" w:themeColor="text1"/>
              </w:rPr>
              <w:t>, ar kuriem detalizētāk var iepazīties Ziņojumā</w:t>
            </w:r>
            <w:r w:rsidRPr="00DF012F">
              <w:rPr>
                <w:color w:val="000000" w:themeColor="text1"/>
              </w:rPr>
              <w:t xml:space="preserve"> un viens no </w:t>
            </w:r>
            <w:r w:rsidR="00C15E77">
              <w:rPr>
                <w:color w:val="000000" w:themeColor="text1"/>
              </w:rPr>
              <w:t>ietekmējošajiem faktoriem</w:t>
            </w:r>
            <w:r w:rsidRPr="00DF012F">
              <w:rPr>
                <w:color w:val="000000" w:themeColor="text1"/>
              </w:rPr>
              <w:t xml:space="preserve"> ir dabasgāzes cena. </w:t>
            </w:r>
            <w:r w:rsidR="00C15E77">
              <w:rPr>
                <w:color w:val="000000" w:themeColor="text1"/>
              </w:rPr>
              <w:t>Latvijā t</w:t>
            </w:r>
            <w:r w:rsidRPr="00DF012F">
              <w:rPr>
                <w:color w:val="000000" w:themeColor="text1"/>
              </w:rPr>
              <w:t xml:space="preserve">ā tiek rēķināta atbilstoši iepriekšējo 9 mēnešu mazuta un dīzeļdegvielas kotācijai. Rūpnieciskajiem klientiem dabasgāzes tarifi tiek noteikti katru mēnesi atbilstoši dabasgāzes tirdzniecības cenai. Pēdējos divus gadus dabasgāzes </w:t>
            </w:r>
            <w:r w:rsidR="00C15E77">
              <w:rPr>
                <w:color w:val="000000" w:themeColor="text1"/>
              </w:rPr>
              <w:t xml:space="preserve">tirdzniecības </w:t>
            </w:r>
            <w:r w:rsidRPr="00DF012F">
              <w:rPr>
                <w:color w:val="000000" w:themeColor="text1"/>
              </w:rPr>
              <w:t xml:space="preserve">tarifs ir pakāpeniski pieaudzis, taču sākot ar 2013. gada februāri, ir vērojams neliels cenas kritums. </w:t>
            </w:r>
          </w:p>
          <w:p w:rsidR="00C15E77" w:rsidRDefault="00C15E77" w:rsidP="008667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15E77" w:rsidRPr="00235C64" w:rsidRDefault="001A3BE3" w:rsidP="008667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F012F">
              <w:rPr>
                <w:rFonts w:ascii="Times New Roman" w:hAnsi="Times New Roman" w:cs="Times New Roman"/>
              </w:rPr>
              <w:t>Sabiedrības ar ierobežotu atbildību „Ekodoma” 2013.</w:t>
            </w:r>
            <w:r w:rsidR="00597319" w:rsidRPr="00DF012F">
              <w:rPr>
                <w:rFonts w:ascii="Times New Roman" w:hAnsi="Times New Roman" w:cs="Times New Roman"/>
              </w:rPr>
              <w:t> </w:t>
            </w:r>
            <w:r w:rsidRPr="00DF012F">
              <w:rPr>
                <w:rFonts w:ascii="Times New Roman" w:hAnsi="Times New Roman" w:cs="Times New Roman"/>
              </w:rPr>
              <w:t xml:space="preserve">gadā </w:t>
            </w:r>
            <w:r w:rsidRPr="00235C64">
              <w:rPr>
                <w:rFonts w:ascii="Times New Roman" w:hAnsi="Times New Roman" w:cs="Times New Roman"/>
              </w:rPr>
              <w:t>veiktajā</w:t>
            </w:r>
            <w:r w:rsidR="00B87A66" w:rsidRPr="00235C64">
              <w:rPr>
                <w:rFonts w:ascii="Times New Roman" w:hAnsi="Times New Roman" w:cs="Times New Roman"/>
              </w:rPr>
              <w:t xml:space="preserve"> pētījumā</w:t>
            </w:r>
            <w:r w:rsidR="00B87A66" w:rsidRPr="00235C64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235C64">
              <w:rPr>
                <w:rFonts w:ascii="Times New Roman" w:hAnsi="Times New Roman" w:cs="Times New Roman"/>
              </w:rPr>
              <w:t xml:space="preserve"> secināts, ka OIK formulu pamatotības izvērtējums rāda, ka</w:t>
            </w:r>
            <w:r w:rsidR="00F0583F" w:rsidRPr="00235C64">
              <w:rPr>
                <w:rFonts w:ascii="Times New Roman" w:hAnsi="Times New Roman" w:cs="Times New Roman"/>
              </w:rPr>
              <w:t xml:space="preserve"> esošā atbalsta piesaiste dabas</w:t>
            </w:r>
            <w:r w:rsidRPr="00235C64">
              <w:rPr>
                <w:rFonts w:ascii="Times New Roman" w:hAnsi="Times New Roman" w:cs="Times New Roman"/>
              </w:rPr>
              <w:t>gāzes cenai biomasas un biogāzes koģenerācijas stacijām nav pamatota.</w:t>
            </w:r>
          </w:p>
          <w:p w:rsidR="00235C64" w:rsidRPr="00235C64" w:rsidRDefault="00235C64" w:rsidP="008667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3BE3" w:rsidRPr="00235C64" w:rsidRDefault="00235C64" w:rsidP="008667DC">
            <w:pPr>
              <w:pStyle w:val="Default"/>
              <w:jc w:val="both"/>
              <w:rPr>
                <w:rFonts w:ascii="Times New Roman" w:hAnsi="Times New Roman"/>
              </w:rPr>
            </w:pPr>
            <w:r w:rsidRPr="00235C64">
              <w:rPr>
                <w:rFonts w:ascii="Times New Roman" w:hAnsi="Times New Roman" w:cs="Times New Roman"/>
              </w:rPr>
              <w:t xml:space="preserve">Elektroenerģijas obligātā iepirkuma cena ir balstīta uz cenu formulu. Viens no cenu formulas elementiem ir piesaiste </w:t>
            </w:r>
            <w:r w:rsidRPr="00235C64">
              <w:rPr>
                <w:rFonts w:ascii="Times New Roman" w:hAnsi="Times New Roman"/>
              </w:rPr>
              <w:t xml:space="preserve"> </w:t>
            </w:r>
            <w:r w:rsidRPr="00235C64">
              <w:rPr>
                <w:rFonts w:ascii="Times New Roman" w:hAnsi="Times New Roman"/>
              </w:rPr>
              <w:lastRenderedPageBreak/>
              <w:t>regulatora apstiprinātā dabasgāzes tirdzniecības gala tarifa bez pievienotās vērtības nodokļa, kas mainās katru mēnesi un ir atkarīga no dabasgāzes tirdzniecības cenas līmeņa.</w:t>
            </w:r>
          </w:p>
          <w:p w:rsidR="00235C64" w:rsidRPr="00235C64" w:rsidRDefault="00235C64" w:rsidP="008667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0D4C2E" w:rsidRDefault="00EB7FA3" w:rsidP="00456AB4">
            <w:pPr>
              <w:autoSpaceDN w:val="0"/>
              <w:jc w:val="both"/>
              <w:textAlignment w:val="baseline"/>
              <w:rPr>
                <w:color w:val="000000"/>
              </w:rPr>
            </w:pPr>
            <w:r w:rsidRPr="00235C64">
              <w:rPr>
                <w:color w:val="000000"/>
              </w:rPr>
              <w:t>Nolūkā nodrošināt obligātā</w:t>
            </w:r>
            <w:r w:rsidRPr="00597319">
              <w:rPr>
                <w:color w:val="000000"/>
              </w:rPr>
              <w:t xml:space="preserve"> iepirkuma izmaksu nepalielināšanos neprognozējamā dabasgāzes</w:t>
            </w:r>
            <w:r w:rsidRPr="00EB7FA3">
              <w:rPr>
                <w:color w:val="000000"/>
              </w:rPr>
              <w:t xml:space="preserve"> </w:t>
            </w:r>
            <w:r w:rsidR="000307EC">
              <w:rPr>
                <w:color w:val="000000"/>
              </w:rPr>
              <w:t>tirdzniecības tarifa</w:t>
            </w:r>
            <w:r w:rsidRPr="00EB7FA3">
              <w:rPr>
                <w:color w:val="000000"/>
              </w:rPr>
              <w:t xml:space="preserve"> pieauguma </w:t>
            </w:r>
            <w:r w:rsidR="00C15E77">
              <w:rPr>
                <w:color w:val="000000"/>
              </w:rPr>
              <w:t>rezultātā</w:t>
            </w:r>
            <w:r w:rsidRPr="00EB7FA3">
              <w:rPr>
                <w:color w:val="000000"/>
              </w:rPr>
              <w:t xml:space="preserve">, ar noteikumu projektu </w:t>
            </w:r>
            <w:r w:rsidR="00597319">
              <w:rPr>
                <w:color w:val="000000"/>
              </w:rPr>
              <w:t xml:space="preserve">paredzēts </w:t>
            </w:r>
            <w:r w:rsidR="000B654C">
              <w:rPr>
                <w:color w:val="000000"/>
              </w:rPr>
              <w:t xml:space="preserve">ierobežot </w:t>
            </w:r>
            <w:r w:rsidRPr="00EB7FA3">
              <w:rPr>
                <w:color w:val="000000"/>
              </w:rPr>
              <w:t xml:space="preserve">Ministru kabineta 2009. gada 10. marta noteikumos Nr.221 „Noteikumi par elektroenerģijas ražošanu un cenu noteikšanu, ražojot elektroenerģiju </w:t>
            </w:r>
            <w:r w:rsidRPr="001A3BE3">
              <w:rPr>
                <w:color w:val="000000"/>
              </w:rPr>
              <w:t>koģenerācijā”</w:t>
            </w:r>
            <w:r w:rsidR="00C3315D">
              <w:rPr>
                <w:color w:val="000000"/>
              </w:rPr>
              <w:t xml:space="preserve"> (turpmāk – MK noteikumi Nr.221)</w:t>
            </w:r>
            <w:r w:rsidRPr="001A3BE3">
              <w:rPr>
                <w:color w:val="000000"/>
              </w:rPr>
              <w:t xml:space="preserve"> </w:t>
            </w:r>
            <w:r w:rsidR="00CF0035">
              <w:rPr>
                <w:color w:val="000000"/>
              </w:rPr>
              <w:t>obligātā iepirkuma cenas noteikšanas formulās iekļautās komponentes, proti, dabasgāzes cenas mainību, šīs komponentes maksimālo robežvērtību fiksējot 2014. gada marta dabasgāzes tirdzniecības tarifa līmenī (</w:t>
            </w:r>
            <w:r w:rsidR="00CF0035">
              <w:t>277,46 EUR/</w:t>
            </w:r>
            <w:proofErr w:type="spellStart"/>
            <w:r w:rsidR="00CF0035">
              <w:t>tūkst</w:t>
            </w:r>
            <w:proofErr w:type="spellEnd"/>
            <w:r w:rsidR="00CF0035">
              <w:t>. n.m</w:t>
            </w:r>
            <w:r w:rsidR="00CF0035">
              <w:rPr>
                <w:vertAlign w:val="superscript"/>
              </w:rPr>
              <w:t xml:space="preserve">3 </w:t>
            </w:r>
            <w:r w:rsidR="00CF0035">
              <w:rPr>
                <w:color w:val="000000"/>
              </w:rPr>
              <w:t>(</w:t>
            </w:r>
            <w:r w:rsidR="00CF0035">
              <w:rPr>
                <w:bCs/>
                <w:iCs/>
              </w:rPr>
              <w:t>195 lati/</w:t>
            </w:r>
            <w:proofErr w:type="spellStart"/>
            <w:r w:rsidR="00CF0035">
              <w:rPr>
                <w:bCs/>
                <w:iCs/>
              </w:rPr>
              <w:t>tūkst</w:t>
            </w:r>
            <w:proofErr w:type="spellEnd"/>
            <w:r w:rsidR="00CF0035">
              <w:rPr>
                <w:bCs/>
                <w:iCs/>
              </w:rPr>
              <w:t>. n.m</w:t>
            </w:r>
            <w:r w:rsidR="00CF0035">
              <w:rPr>
                <w:bCs/>
                <w:iCs/>
                <w:vertAlign w:val="superscript"/>
              </w:rPr>
              <w:t>3</w:t>
            </w:r>
            <w:r w:rsidR="00CF0035">
              <w:rPr>
                <w:color w:val="000000"/>
              </w:rPr>
              <w:t>)).</w:t>
            </w:r>
          </w:p>
          <w:p w:rsidR="00445CE6" w:rsidRDefault="00445CE6" w:rsidP="00445CE6">
            <w:pPr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bCs/>
                <w:iCs/>
              </w:rPr>
              <w:t xml:space="preserve">Dabasgāzes tirdzniecības cena - </w:t>
            </w:r>
            <w:r>
              <w:t>277,46 EUR/</w:t>
            </w:r>
            <w:proofErr w:type="spellStart"/>
            <w:r>
              <w:t>tūkst</w:t>
            </w:r>
            <w:proofErr w:type="spellEnd"/>
            <w:r>
              <w:t>. n.m</w:t>
            </w:r>
            <w:r>
              <w:rPr>
                <w:vertAlign w:val="superscript"/>
              </w:rPr>
              <w:t xml:space="preserve">3 </w:t>
            </w:r>
            <w:r>
              <w:rPr>
                <w:color w:val="000000"/>
              </w:rPr>
              <w:t>(</w:t>
            </w:r>
            <w:r>
              <w:rPr>
                <w:bCs/>
                <w:iCs/>
              </w:rPr>
              <w:t>195 lati/</w:t>
            </w:r>
            <w:proofErr w:type="spellStart"/>
            <w:r>
              <w:rPr>
                <w:bCs/>
                <w:iCs/>
              </w:rPr>
              <w:t>tūkst</w:t>
            </w:r>
            <w:proofErr w:type="spellEnd"/>
            <w:r>
              <w:rPr>
                <w:bCs/>
                <w:iCs/>
              </w:rPr>
              <w:t>. n.m</w:t>
            </w:r>
            <w:r>
              <w:rPr>
                <w:bCs/>
                <w:iCs/>
                <w:vertAlign w:val="superscript"/>
              </w:rPr>
              <w:t>3</w:t>
            </w:r>
            <w:r>
              <w:rPr>
                <w:color w:val="000000"/>
              </w:rPr>
              <w:t>)</w:t>
            </w:r>
            <w:r>
              <w:rPr>
                <w:bCs/>
                <w:iCs/>
              </w:rPr>
              <w:t xml:space="preserve"> ir apstiprināta saskaņā ar Sabiedrisko pakalpojumu regulēšanas komisijas 2008. gada 24. jūlija lēmumu Nr.247 </w:t>
            </w:r>
            <w:r>
              <w:rPr>
                <w:color w:val="000000"/>
              </w:rPr>
              <w:t>„</w:t>
            </w:r>
            <w:r>
              <w:rPr>
                <w:bCs/>
                <w:iCs/>
              </w:rPr>
              <w:t xml:space="preserve">Par akciju sabiedrības </w:t>
            </w:r>
            <w:r>
              <w:rPr>
                <w:color w:val="000000"/>
              </w:rPr>
              <w:t>„</w:t>
            </w:r>
            <w:r>
              <w:rPr>
                <w:bCs/>
                <w:iCs/>
              </w:rPr>
              <w:t>Latvijas Gāze” dabasgāzes apgādes tarifiem” un 2010. gada 2. jūnija lēmumu Nr.258 „Par lēmuma Nr.247 piemērošanas kārtību”</w:t>
            </w:r>
          </w:p>
          <w:p w:rsidR="00B1634A" w:rsidRPr="00A92F58" w:rsidRDefault="00720C43" w:rsidP="00E04F4C">
            <w:pPr>
              <w:autoSpaceDN w:val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Samazinoties dabasgāzes tirdzniecības cenai, </w:t>
            </w:r>
            <w:r w:rsidR="00E04F4C">
              <w:rPr>
                <w:color w:val="000000"/>
              </w:rPr>
              <w:t xml:space="preserve">pastarpināti </w:t>
            </w:r>
            <w:r>
              <w:rPr>
                <w:color w:val="000000"/>
              </w:rPr>
              <w:t>samazinās arī obligātā iepirkuma ietvaros iepirktās elektroenerģijas cena,</w:t>
            </w:r>
            <w:r w:rsidR="00456AB4">
              <w:rPr>
                <w:color w:val="000000"/>
              </w:rPr>
              <w:t xml:space="preserve"> ko saņem komersanti,</w:t>
            </w:r>
            <w:r w:rsidR="000D4C2E" w:rsidRPr="0024569C">
              <w:rPr>
                <w:color w:val="000000" w:themeColor="text1"/>
              </w:rPr>
              <w:t xml:space="preserve"> kas ieguvuši tiesības pārdot saražoto elektroenerģiju obligātā iepirkuma ietvaros vai saņemt garantēto maksu par stacijā uzstādīto elektrisko jaudu</w:t>
            </w:r>
            <w:r w:rsidR="000D4C2E">
              <w:rPr>
                <w:color w:val="000000" w:themeColor="text1"/>
              </w:rPr>
              <w:t>,</w:t>
            </w:r>
            <w:r w:rsidR="000D4C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jo cenu noteikšanas formulās, kā viens no mainīgajiem lielumiem ir dabasgāzes tirdzniecības tarifs, k</w:t>
            </w:r>
            <w:r w:rsidR="00456AB4">
              <w:rPr>
                <w:color w:val="000000"/>
              </w:rPr>
              <w:t>ura līmenis</w:t>
            </w:r>
            <w:r>
              <w:rPr>
                <w:color w:val="000000"/>
              </w:rPr>
              <w:t xml:space="preserve"> tieši atkarīgs no dabasgāzes tirdzniecības cenas izmaiņām.</w:t>
            </w:r>
          </w:p>
        </w:tc>
      </w:tr>
      <w:tr w:rsidR="001C1A2E" w:rsidRPr="00A92F58" w:rsidTr="000E2245">
        <w:trPr>
          <w:trHeight w:val="132"/>
        </w:trPr>
        <w:tc>
          <w:tcPr>
            <w:tcW w:w="269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138" w:type="dxa"/>
          </w:tcPr>
          <w:p w:rsidR="001C1A2E" w:rsidRPr="00A92F58" w:rsidRDefault="001C1A2E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6037" w:type="dxa"/>
          </w:tcPr>
          <w:p w:rsidR="001C1A2E" w:rsidRPr="00A92F58" w:rsidRDefault="00903F26" w:rsidP="008667DC">
            <w:pPr>
              <w:jc w:val="both"/>
              <w:rPr>
                <w:color w:val="000000" w:themeColor="text1"/>
              </w:rPr>
            </w:pPr>
            <w:r>
              <w:t>Nav attiecināms.</w:t>
            </w:r>
          </w:p>
        </w:tc>
      </w:tr>
      <w:tr w:rsidR="001C1A2E" w:rsidRPr="00A92F58" w:rsidTr="000E2245">
        <w:tc>
          <w:tcPr>
            <w:tcW w:w="269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4.</w:t>
            </w:r>
          </w:p>
        </w:tc>
        <w:tc>
          <w:tcPr>
            <w:tcW w:w="3138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Cita informācija</w:t>
            </w:r>
          </w:p>
        </w:tc>
        <w:tc>
          <w:tcPr>
            <w:tcW w:w="6037" w:type="dxa"/>
          </w:tcPr>
          <w:p w:rsidR="001C1A2E" w:rsidRPr="00A92F58" w:rsidRDefault="007C1F2A" w:rsidP="008667D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Nav attiecināms.</w:t>
            </w:r>
          </w:p>
        </w:tc>
      </w:tr>
    </w:tbl>
    <w:p w:rsidR="001C1A2E" w:rsidRDefault="001C1A2E" w:rsidP="008667DC">
      <w:pPr>
        <w:pStyle w:val="naisf"/>
        <w:tabs>
          <w:tab w:val="left" w:pos="5760"/>
        </w:tabs>
        <w:spacing w:before="0" w:beforeAutospacing="0" w:after="0" w:afterAutospacing="0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149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5895"/>
      </w:tblGrid>
      <w:tr w:rsidR="0094759F" w:rsidRPr="00A92F58" w:rsidTr="0094759F">
        <w:tc>
          <w:tcPr>
            <w:tcW w:w="9442" w:type="dxa"/>
            <w:gridSpan w:val="2"/>
            <w:vAlign w:val="center"/>
          </w:tcPr>
          <w:p w:rsidR="0094759F" w:rsidRPr="0094759F" w:rsidRDefault="0094759F" w:rsidP="008667DC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4759F">
              <w:rPr>
                <w:b/>
                <w:color w:val="000000" w:themeColor="text1"/>
              </w:rPr>
              <w:t xml:space="preserve">II. </w:t>
            </w:r>
            <w:r w:rsidRPr="00C15E77">
              <w:rPr>
                <w:b/>
                <w:color w:val="000000" w:themeColor="text1"/>
              </w:rPr>
              <w:t xml:space="preserve"> </w:t>
            </w:r>
            <w:r w:rsidRPr="0094759F">
              <w:rPr>
                <w:b/>
                <w:color w:val="000000" w:themeColor="text1"/>
              </w:rPr>
              <w:t>Tiesību akta projekta ietekme uz sabiedrību, tautsaimniecības attīstību un administratīvo slogu</w:t>
            </w:r>
          </w:p>
        </w:tc>
      </w:tr>
      <w:tr w:rsidR="0094759F" w:rsidRPr="00A92F58" w:rsidTr="0094759F">
        <w:trPr>
          <w:trHeight w:val="281"/>
        </w:trPr>
        <w:tc>
          <w:tcPr>
            <w:tcW w:w="3547" w:type="dxa"/>
          </w:tcPr>
          <w:p w:rsidR="0094759F" w:rsidRPr="00A92F58" w:rsidRDefault="0094759F" w:rsidP="008667DC">
            <w:pPr>
              <w:pStyle w:val="naiskr"/>
              <w:spacing w:before="0" w:beforeAutospacing="0" w:after="0" w:afterAutospacing="0"/>
              <w:ind w:hanging="10"/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Sabiedrības mērķgrupas, kuras tiesiskais regulējums ietekmē vai varētu ietekmēt</w:t>
            </w:r>
          </w:p>
        </w:tc>
        <w:tc>
          <w:tcPr>
            <w:tcW w:w="5895" w:type="dxa"/>
          </w:tcPr>
          <w:p w:rsidR="00DB1DA9" w:rsidRPr="00EB2194" w:rsidRDefault="0060359C" w:rsidP="008667D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194">
              <w:rPr>
                <w:rFonts w:ascii="Times New Roman" w:hAnsi="Times New Roman"/>
                <w:color w:val="000000" w:themeColor="text1"/>
              </w:rPr>
              <w:t xml:space="preserve">Ražotāji, kas ieguvuši tiesības pārdot saražoto elektroenerģiju obligātā iepirkuma ietvaros </w:t>
            </w:r>
            <w:r w:rsidRPr="00EB2194">
              <w:rPr>
                <w:rFonts w:ascii="Times New Roman" w:hAnsi="Times New Roman" w:cs="Times New Roman"/>
                <w:color w:val="000000" w:themeColor="text1"/>
              </w:rPr>
              <w:t>vai saņemt garantēto maksu par stacijā uzstādīto elektrisko jaudu.</w:t>
            </w:r>
          </w:p>
        </w:tc>
      </w:tr>
      <w:tr w:rsidR="0094759F" w:rsidRPr="00A92F58" w:rsidTr="008667DC">
        <w:trPr>
          <w:trHeight w:val="280"/>
        </w:trPr>
        <w:tc>
          <w:tcPr>
            <w:tcW w:w="3547" w:type="dxa"/>
          </w:tcPr>
          <w:p w:rsidR="0094759F" w:rsidRPr="00A92F58" w:rsidRDefault="0094759F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Tiesiskā regulējuma ietekme uz tautsaimniecību un administratīvo slogu</w:t>
            </w:r>
          </w:p>
        </w:tc>
        <w:tc>
          <w:tcPr>
            <w:tcW w:w="5895" w:type="dxa"/>
          </w:tcPr>
          <w:p w:rsidR="00EB2194" w:rsidRPr="00EB2194" w:rsidRDefault="002051F5" w:rsidP="00EB2194">
            <w:pPr>
              <w:autoSpaceDN w:val="0"/>
              <w:jc w:val="both"/>
              <w:textAlignment w:val="baseline"/>
            </w:pPr>
            <w:r>
              <w:t>Obligātā iepirkuma ietvaros iepirktās elektroenerģijas c</w:t>
            </w:r>
            <w:r w:rsidR="00EB2194" w:rsidRPr="00EB2194">
              <w:t xml:space="preserve">enu aprēķināšanas formulās iekļautās dabasgāzes cenas komponentes fiksēšana </w:t>
            </w:r>
            <w:r w:rsidR="00EB2194" w:rsidRPr="00EB2194">
              <w:rPr>
                <w:color w:val="000000"/>
              </w:rPr>
              <w:t xml:space="preserve">2014. gada marta dabasgāzes tirdzniecības </w:t>
            </w:r>
            <w:r>
              <w:rPr>
                <w:color w:val="000000"/>
              </w:rPr>
              <w:t xml:space="preserve">tarifa </w:t>
            </w:r>
            <w:r w:rsidR="00EB2194" w:rsidRPr="00EB2194">
              <w:rPr>
                <w:color w:val="000000"/>
              </w:rPr>
              <w:t xml:space="preserve">līmenī </w:t>
            </w:r>
            <w:r w:rsidR="00EB2194" w:rsidRPr="00EB2194">
              <w:t xml:space="preserve">Latvijas elektroenerģijas ražotājiem nozīmētu maksimālās dabasgāzes tirdzniecības gala tarifa robežas noteikšanu, kas ierobežotu elektroenerģijas  ražotājiem sniegtā atbalsta pieaugumu, nodrošinot skaidrību investoriem. Papildus ierosinātie grozījumi novērsīs risku neprognozētam elektroenerģijas </w:t>
            </w:r>
            <w:r w:rsidR="00EB2194" w:rsidRPr="00EB2194">
              <w:lastRenderedPageBreak/>
              <w:t>kopējās cenas pieaugumam visiem lietotājiem, ņemot vērā, ka izmaksas sedz visi elektroenerģijas galalietotāji.</w:t>
            </w:r>
          </w:p>
          <w:p w:rsidR="008667DC" w:rsidRPr="00EB2194" w:rsidRDefault="008667DC" w:rsidP="00EB2194">
            <w:pPr>
              <w:jc w:val="both"/>
              <w:rPr>
                <w:color w:val="000000" w:themeColor="text1"/>
              </w:rPr>
            </w:pPr>
            <w:r w:rsidRPr="00EB2194">
              <w:rPr>
                <w:color w:val="000000" w:themeColor="text1"/>
              </w:rPr>
              <w:t>Ar noteikumu projektu netiek veidotas jaunas prasības, kas attiecas uz komersantiem, jo cenu formulas obligātā iepirkuma ietvaros tiek piemērotas no MK noteikumu Nr.221 spēkā stāšanās dienas.</w:t>
            </w:r>
          </w:p>
        </w:tc>
      </w:tr>
      <w:tr w:rsidR="0094759F" w:rsidRPr="00A92F58" w:rsidTr="0094759F">
        <w:trPr>
          <w:trHeight w:val="481"/>
        </w:trPr>
        <w:tc>
          <w:tcPr>
            <w:tcW w:w="3547" w:type="dxa"/>
          </w:tcPr>
          <w:p w:rsidR="0094759F" w:rsidRPr="00A92F58" w:rsidRDefault="0094759F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lastRenderedPageBreak/>
              <w:t>Administratīvo izmaksu monetārs novērtējums</w:t>
            </w:r>
          </w:p>
        </w:tc>
        <w:tc>
          <w:tcPr>
            <w:tcW w:w="5895" w:type="dxa"/>
          </w:tcPr>
          <w:p w:rsidR="0094759F" w:rsidRPr="00A92F58" w:rsidRDefault="0094759F" w:rsidP="008667DC">
            <w:pPr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Projekts šo jomu neskar.</w:t>
            </w:r>
          </w:p>
        </w:tc>
      </w:tr>
      <w:tr w:rsidR="0094759F" w:rsidRPr="00A92F58" w:rsidTr="0094759F">
        <w:trPr>
          <w:trHeight w:val="274"/>
        </w:trPr>
        <w:tc>
          <w:tcPr>
            <w:tcW w:w="3547" w:type="dxa"/>
          </w:tcPr>
          <w:p w:rsidR="0094759F" w:rsidRPr="00A92F58" w:rsidRDefault="0094759F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Cita informācija</w:t>
            </w:r>
          </w:p>
        </w:tc>
        <w:tc>
          <w:tcPr>
            <w:tcW w:w="5895" w:type="dxa"/>
          </w:tcPr>
          <w:p w:rsidR="0094759F" w:rsidRPr="00A92F58" w:rsidRDefault="002B44AF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Projekts šo jomu neskar.</w:t>
            </w:r>
          </w:p>
        </w:tc>
      </w:tr>
    </w:tbl>
    <w:p w:rsidR="00EC14D6" w:rsidRPr="00A92F58" w:rsidRDefault="00EC14D6" w:rsidP="008667DC">
      <w:pPr>
        <w:rPr>
          <w:color w:val="000000" w:themeColor="text1"/>
        </w:rPr>
      </w:pPr>
    </w:p>
    <w:tbl>
      <w:tblPr>
        <w:tblpPr w:leftFromText="180" w:rightFromText="180" w:vertAnchor="text" w:horzAnchor="margin" w:tblpX="-174" w:tblpY="87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3145"/>
        <w:gridCol w:w="5812"/>
      </w:tblGrid>
      <w:tr w:rsidR="001C1A2E" w:rsidRPr="00A92F58" w:rsidTr="00AC1F53">
        <w:tc>
          <w:tcPr>
            <w:tcW w:w="9361" w:type="dxa"/>
            <w:gridSpan w:val="3"/>
            <w:vAlign w:val="center"/>
          </w:tcPr>
          <w:p w:rsidR="001C1A2E" w:rsidRPr="001C1A2E" w:rsidRDefault="001C1A2E" w:rsidP="008667DC">
            <w:pPr>
              <w:pStyle w:val="naisnod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C1A2E">
              <w:rPr>
                <w:b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1C1A2E" w:rsidRPr="00A92F58" w:rsidTr="0094759F">
        <w:trPr>
          <w:trHeight w:val="128"/>
        </w:trPr>
        <w:tc>
          <w:tcPr>
            <w:tcW w:w="404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1.</w:t>
            </w:r>
          </w:p>
        </w:tc>
        <w:tc>
          <w:tcPr>
            <w:tcW w:w="3145" w:type="dxa"/>
          </w:tcPr>
          <w:p w:rsidR="001C1A2E" w:rsidRPr="00A92F58" w:rsidRDefault="001C1A2E" w:rsidP="008667DC">
            <w:pPr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Projekta izpildē iesaistītās institūcijas</w:t>
            </w:r>
          </w:p>
        </w:tc>
        <w:tc>
          <w:tcPr>
            <w:tcW w:w="5812" w:type="dxa"/>
          </w:tcPr>
          <w:p w:rsidR="001C1A2E" w:rsidRPr="00DB1DA9" w:rsidRDefault="00DB1DA9" w:rsidP="008667DC">
            <w:pPr>
              <w:jc w:val="both"/>
              <w:rPr>
                <w:color w:val="000000" w:themeColor="text1"/>
              </w:rPr>
            </w:pPr>
            <w:r w:rsidRPr="00DB1DA9">
              <w:rPr>
                <w:color w:val="000000" w:themeColor="text1"/>
              </w:rPr>
              <w:t>Ekonomikas ministrija.</w:t>
            </w:r>
          </w:p>
        </w:tc>
      </w:tr>
      <w:tr w:rsidR="001C1A2E" w:rsidRPr="00A92F58" w:rsidTr="0094759F">
        <w:trPr>
          <w:trHeight w:val="472"/>
        </w:trPr>
        <w:tc>
          <w:tcPr>
            <w:tcW w:w="404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2.</w:t>
            </w:r>
          </w:p>
        </w:tc>
        <w:tc>
          <w:tcPr>
            <w:tcW w:w="3145" w:type="dxa"/>
          </w:tcPr>
          <w:p w:rsidR="001C1A2E" w:rsidRPr="00A92F58" w:rsidRDefault="001C1A2E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 xml:space="preserve">Projekta izpildes ietekme uz pārvaldes funkcijām un institucionālo struktūru. </w:t>
            </w:r>
          </w:p>
          <w:p w:rsidR="00EC14D6" w:rsidRPr="00A92F58" w:rsidRDefault="001C1A2E" w:rsidP="008667DC">
            <w:pPr>
              <w:jc w:val="both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812" w:type="dxa"/>
          </w:tcPr>
          <w:p w:rsidR="001C1A2E" w:rsidRPr="00A92F58" w:rsidRDefault="00EB7FA3" w:rsidP="008667DC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b/>
                <w:color w:val="000000" w:themeColor="text1"/>
              </w:rPr>
            </w:pPr>
            <w:r>
              <w:t>N</w:t>
            </w:r>
            <w:r w:rsidR="00BD263B" w:rsidRPr="00203D80">
              <w:t>oteikumu projekta apstiprināšanas gadījumā netiek radī</w:t>
            </w:r>
            <w:r w:rsidR="00BD263B">
              <w:t xml:space="preserve">tas jaunas valsts institūcijas. Ar noteikumu projektu tiek </w:t>
            </w:r>
            <w:r>
              <w:t xml:space="preserve">uzlabota esošā </w:t>
            </w:r>
            <w:r w:rsidR="001A3BE3">
              <w:t xml:space="preserve">obligātā iepirkuma </w:t>
            </w:r>
            <w:r>
              <w:t>sistēma.</w:t>
            </w:r>
          </w:p>
        </w:tc>
      </w:tr>
      <w:tr w:rsidR="001C1A2E" w:rsidRPr="00A92F58" w:rsidTr="0094759F">
        <w:trPr>
          <w:trHeight w:val="156"/>
        </w:trPr>
        <w:tc>
          <w:tcPr>
            <w:tcW w:w="404" w:type="dxa"/>
          </w:tcPr>
          <w:p w:rsidR="001C1A2E" w:rsidRPr="00A92F58" w:rsidRDefault="001C1A2E" w:rsidP="008667D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3.</w:t>
            </w:r>
          </w:p>
        </w:tc>
        <w:tc>
          <w:tcPr>
            <w:tcW w:w="3145" w:type="dxa"/>
          </w:tcPr>
          <w:p w:rsidR="001C1A2E" w:rsidRPr="00A92F58" w:rsidRDefault="001C1A2E" w:rsidP="008667DC">
            <w:pPr>
              <w:rPr>
                <w:color w:val="000000" w:themeColor="text1"/>
              </w:rPr>
            </w:pPr>
            <w:r w:rsidRPr="00A92F58">
              <w:rPr>
                <w:color w:val="000000" w:themeColor="text1"/>
              </w:rPr>
              <w:t>Cita informācija</w:t>
            </w:r>
          </w:p>
        </w:tc>
        <w:tc>
          <w:tcPr>
            <w:tcW w:w="5812" w:type="dxa"/>
          </w:tcPr>
          <w:p w:rsidR="001C1A2E" w:rsidRPr="00A92F58" w:rsidRDefault="001C1A2E" w:rsidP="008667DC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b/>
                <w:color w:val="000000" w:themeColor="text1"/>
              </w:rPr>
            </w:pPr>
            <w:r w:rsidRPr="00A92F58">
              <w:rPr>
                <w:color w:val="000000" w:themeColor="text1"/>
              </w:rPr>
              <w:t>Normatīvā akta izpilde tiks nodrošināta esošo valsts institūciju funkciju ietvaros.</w:t>
            </w:r>
          </w:p>
        </w:tc>
      </w:tr>
    </w:tbl>
    <w:p w:rsidR="001C1A2E" w:rsidRPr="00A92F58" w:rsidRDefault="001C1A2E" w:rsidP="00790CA8">
      <w:pPr>
        <w:ind w:firstLine="720"/>
        <w:jc w:val="center"/>
        <w:rPr>
          <w:i/>
          <w:color w:val="000000" w:themeColor="text1"/>
        </w:rPr>
      </w:pPr>
      <w:r w:rsidRPr="00A92F58">
        <w:rPr>
          <w:i/>
          <w:color w:val="000000" w:themeColor="text1"/>
        </w:rPr>
        <w:t xml:space="preserve">Anotācijas </w:t>
      </w:r>
      <w:r w:rsidR="007C1F2A">
        <w:rPr>
          <w:i/>
          <w:color w:val="000000" w:themeColor="text1"/>
        </w:rPr>
        <w:t>III, IV,</w:t>
      </w:r>
      <w:r w:rsidRPr="00A92F58">
        <w:rPr>
          <w:i/>
          <w:color w:val="000000" w:themeColor="text1"/>
        </w:rPr>
        <w:t>V</w:t>
      </w:r>
      <w:r w:rsidR="00454A67">
        <w:rPr>
          <w:i/>
          <w:color w:val="000000" w:themeColor="text1"/>
        </w:rPr>
        <w:t>, VI</w:t>
      </w:r>
      <w:r w:rsidRPr="00A92F58">
        <w:rPr>
          <w:i/>
          <w:color w:val="000000" w:themeColor="text1"/>
        </w:rPr>
        <w:t xml:space="preserve"> sadaļa – projekts š</w:t>
      </w:r>
      <w:r w:rsidR="00DB1DA9">
        <w:rPr>
          <w:i/>
          <w:color w:val="000000" w:themeColor="text1"/>
        </w:rPr>
        <w:t>o</w:t>
      </w:r>
      <w:r w:rsidRPr="00A92F58">
        <w:rPr>
          <w:i/>
          <w:color w:val="000000" w:themeColor="text1"/>
        </w:rPr>
        <w:t xml:space="preserve"> jom</w:t>
      </w:r>
      <w:r w:rsidR="00DB1DA9">
        <w:rPr>
          <w:i/>
          <w:color w:val="000000" w:themeColor="text1"/>
        </w:rPr>
        <w:t>u</w:t>
      </w:r>
      <w:r w:rsidR="003E00E1">
        <w:rPr>
          <w:i/>
          <w:color w:val="000000" w:themeColor="text1"/>
        </w:rPr>
        <w:t xml:space="preserve"> </w:t>
      </w:r>
      <w:r w:rsidRPr="00A92F58">
        <w:rPr>
          <w:i/>
          <w:color w:val="000000" w:themeColor="text1"/>
        </w:rPr>
        <w:t>neskar.</w:t>
      </w:r>
    </w:p>
    <w:p w:rsidR="0094759F" w:rsidRDefault="0094759F" w:rsidP="00790CA8">
      <w:pPr>
        <w:rPr>
          <w:bCs/>
          <w:sz w:val="28"/>
          <w:szCs w:val="28"/>
        </w:rPr>
      </w:pPr>
    </w:p>
    <w:p w:rsidR="007C1F2A" w:rsidRDefault="007C1F2A" w:rsidP="00790CA8">
      <w:pPr>
        <w:rPr>
          <w:bCs/>
          <w:sz w:val="28"/>
          <w:szCs w:val="28"/>
        </w:rPr>
      </w:pPr>
    </w:p>
    <w:p w:rsidR="005E59EE" w:rsidRPr="005E59EE" w:rsidRDefault="005E59EE" w:rsidP="00790CA8">
      <w:pPr>
        <w:rPr>
          <w:bCs/>
          <w:sz w:val="28"/>
          <w:szCs w:val="28"/>
        </w:rPr>
      </w:pPr>
      <w:r w:rsidRPr="005E59EE">
        <w:rPr>
          <w:bCs/>
          <w:sz w:val="28"/>
          <w:szCs w:val="28"/>
        </w:rPr>
        <w:t>Ekonomikas ministrs</w:t>
      </w:r>
      <w:r w:rsidR="00DF6696">
        <w:rPr>
          <w:bCs/>
          <w:sz w:val="28"/>
          <w:szCs w:val="28"/>
        </w:rPr>
        <w:t xml:space="preserve"> </w:t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</w:r>
      <w:r w:rsidR="00DF6696">
        <w:rPr>
          <w:bCs/>
          <w:sz w:val="28"/>
          <w:szCs w:val="28"/>
        </w:rPr>
        <w:tab/>
        <w:t>V.Dombrovskis</w:t>
      </w:r>
    </w:p>
    <w:p w:rsidR="00AC1F53" w:rsidRDefault="00AC1F53" w:rsidP="00790CA8">
      <w:pPr>
        <w:pStyle w:val="naisf"/>
        <w:spacing w:before="0" w:beforeAutospacing="0" w:after="0" w:afterAutospacing="0"/>
        <w:rPr>
          <w:bCs/>
          <w:color w:val="000000"/>
          <w:sz w:val="28"/>
          <w:szCs w:val="20"/>
        </w:rPr>
      </w:pPr>
    </w:p>
    <w:p w:rsidR="007C1F2A" w:rsidRDefault="007C1F2A" w:rsidP="00790CA8">
      <w:pPr>
        <w:pStyle w:val="naisf"/>
        <w:spacing w:before="0" w:beforeAutospacing="0" w:after="0" w:afterAutospacing="0"/>
        <w:rPr>
          <w:bCs/>
          <w:color w:val="000000"/>
          <w:sz w:val="28"/>
          <w:szCs w:val="20"/>
        </w:rPr>
      </w:pPr>
    </w:p>
    <w:p w:rsidR="0038787E" w:rsidRPr="00AE2633" w:rsidRDefault="0038787E" w:rsidP="00790CA8">
      <w:pPr>
        <w:pStyle w:val="naisf"/>
        <w:spacing w:before="0" w:beforeAutospacing="0" w:after="0" w:afterAutospacing="0"/>
        <w:rPr>
          <w:b/>
          <w:bCs/>
          <w:color w:val="000000"/>
          <w:sz w:val="28"/>
          <w:szCs w:val="20"/>
        </w:rPr>
      </w:pPr>
      <w:r w:rsidRPr="00AE2633">
        <w:rPr>
          <w:bCs/>
          <w:color w:val="000000"/>
          <w:sz w:val="28"/>
          <w:szCs w:val="20"/>
        </w:rPr>
        <w:t>Vīza:</w:t>
      </w:r>
    </w:p>
    <w:p w:rsidR="0038787E" w:rsidRPr="0094759F" w:rsidRDefault="0038787E" w:rsidP="00790CA8">
      <w:pPr>
        <w:jc w:val="both"/>
        <w:rPr>
          <w:color w:val="000000" w:themeColor="text1"/>
          <w:sz w:val="28"/>
          <w:szCs w:val="28"/>
        </w:rPr>
      </w:pPr>
      <w:r w:rsidRPr="00AE2633">
        <w:rPr>
          <w:color w:val="000000"/>
          <w:sz w:val="28"/>
          <w:szCs w:val="28"/>
        </w:rPr>
        <w:t>valsts sekretār</w:t>
      </w:r>
      <w:r w:rsidR="007C1F2A">
        <w:rPr>
          <w:color w:val="000000"/>
          <w:sz w:val="28"/>
          <w:szCs w:val="28"/>
        </w:rPr>
        <w:t>s</w:t>
      </w:r>
      <w:r w:rsidRPr="00AE2633">
        <w:rPr>
          <w:color w:val="000000"/>
          <w:sz w:val="28"/>
          <w:szCs w:val="28"/>
        </w:rPr>
        <w:t xml:space="preserve"> </w:t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</w:r>
      <w:r w:rsidR="007C1F2A">
        <w:rPr>
          <w:color w:val="000000"/>
          <w:sz w:val="28"/>
          <w:szCs w:val="28"/>
        </w:rPr>
        <w:tab/>
        <w:t>M.Lazdovskis</w:t>
      </w:r>
    </w:p>
    <w:p w:rsidR="0038787E" w:rsidRDefault="0038787E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851C84" w:rsidRDefault="00851C84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94759F" w:rsidRPr="00790CA8" w:rsidRDefault="0094759F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DB1DA9" w:rsidRPr="00790CA8" w:rsidRDefault="00DB1DA9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DB1DA9" w:rsidRPr="00790CA8" w:rsidRDefault="00DB1DA9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</w:p>
    <w:p w:rsidR="0038787E" w:rsidRPr="00790CA8" w:rsidRDefault="00A01D4D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AC3AEF">
        <w:rPr>
          <w:color w:val="000000" w:themeColor="text1"/>
          <w:sz w:val="20"/>
          <w:szCs w:val="20"/>
        </w:rPr>
        <w:t>5</w:t>
      </w:r>
      <w:r w:rsidR="0038787E" w:rsidRPr="00790CA8">
        <w:rPr>
          <w:color w:val="000000" w:themeColor="text1"/>
          <w:sz w:val="20"/>
          <w:szCs w:val="20"/>
        </w:rPr>
        <w:t>.</w:t>
      </w:r>
      <w:r w:rsidR="000C346D" w:rsidRPr="00790CA8">
        <w:rPr>
          <w:color w:val="000000" w:themeColor="text1"/>
          <w:sz w:val="20"/>
          <w:szCs w:val="20"/>
        </w:rPr>
        <w:t>0</w:t>
      </w:r>
      <w:r w:rsidR="00790CA8" w:rsidRPr="00790CA8">
        <w:rPr>
          <w:color w:val="000000" w:themeColor="text1"/>
          <w:sz w:val="20"/>
          <w:szCs w:val="20"/>
        </w:rPr>
        <w:t>4</w:t>
      </w:r>
      <w:r w:rsidR="0038787E" w:rsidRPr="00790CA8">
        <w:rPr>
          <w:color w:val="000000" w:themeColor="text1"/>
          <w:sz w:val="20"/>
          <w:szCs w:val="20"/>
        </w:rPr>
        <w:t>.201</w:t>
      </w:r>
      <w:r w:rsidR="000C346D" w:rsidRPr="00790CA8">
        <w:rPr>
          <w:color w:val="000000" w:themeColor="text1"/>
          <w:sz w:val="20"/>
          <w:szCs w:val="20"/>
        </w:rPr>
        <w:t>4</w:t>
      </w:r>
      <w:r w:rsidR="0038787E" w:rsidRPr="00790CA8">
        <w:rPr>
          <w:color w:val="000000" w:themeColor="text1"/>
          <w:sz w:val="20"/>
          <w:szCs w:val="20"/>
        </w:rPr>
        <w:t xml:space="preserve">. </w:t>
      </w:r>
      <w:r w:rsidR="00CF0035">
        <w:rPr>
          <w:color w:val="000000" w:themeColor="text1"/>
          <w:sz w:val="20"/>
          <w:szCs w:val="20"/>
        </w:rPr>
        <w:t>10</w:t>
      </w:r>
      <w:r w:rsidR="0038787E" w:rsidRPr="00790CA8">
        <w:rPr>
          <w:color w:val="000000" w:themeColor="text1"/>
          <w:sz w:val="20"/>
          <w:szCs w:val="20"/>
        </w:rPr>
        <w:t>:</w:t>
      </w:r>
      <w:r w:rsidR="00CF0035">
        <w:rPr>
          <w:color w:val="000000" w:themeColor="text1"/>
          <w:sz w:val="20"/>
          <w:szCs w:val="20"/>
        </w:rPr>
        <w:t>23</w:t>
      </w:r>
      <w:bookmarkStart w:id="4" w:name="_GoBack"/>
      <w:bookmarkEnd w:id="4"/>
    </w:p>
    <w:p w:rsidR="0038787E" w:rsidRPr="00790CA8" w:rsidRDefault="0038787E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r w:rsidRPr="00790CA8">
        <w:rPr>
          <w:color w:val="000000" w:themeColor="text1"/>
          <w:sz w:val="20"/>
          <w:szCs w:val="20"/>
        </w:rPr>
        <w:fldChar w:fldCharType="begin"/>
      </w:r>
      <w:r w:rsidRPr="00790CA8">
        <w:rPr>
          <w:color w:val="000000" w:themeColor="text1"/>
          <w:sz w:val="20"/>
          <w:szCs w:val="20"/>
        </w:rPr>
        <w:instrText xml:space="preserve"> NUMWORDS  \* Arabic  \* MERGEFORMAT </w:instrText>
      </w:r>
      <w:r w:rsidRPr="00790CA8">
        <w:rPr>
          <w:color w:val="000000" w:themeColor="text1"/>
          <w:sz w:val="20"/>
          <w:szCs w:val="20"/>
        </w:rPr>
        <w:fldChar w:fldCharType="separate"/>
      </w:r>
      <w:r w:rsidR="000307EC">
        <w:rPr>
          <w:noProof/>
          <w:color w:val="000000" w:themeColor="text1"/>
          <w:sz w:val="20"/>
          <w:szCs w:val="20"/>
        </w:rPr>
        <w:t>753</w:t>
      </w:r>
      <w:r w:rsidRPr="00790CA8">
        <w:rPr>
          <w:color w:val="000000" w:themeColor="text1"/>
          <w:sz w:val="20"/>
          <w:szCs w:val="20"/>
        </w:rPr>
        <w:fldChar w:fldCharType="end"/>
      </w:r>
    </w:p>
    <w:p w:rsidR="0094759F" w:rsidRPr="00790CA8" w:rsidRDefault="0038787E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r w:rsidRPr="00790CA8">
        <w:rPr>
          <w:color w:val="000000" w:themeColor="text1"/>
          <w:sz w:val="20"/>
          <w:szCs w:val="20"/>
        </w:rPr>
        <w:t xml:space="preserve">K.Piģēns, </w:t>
      </w:r>
    </w:p>
    <w:p w:rsidR="00435C4E" w:rsidRPr="00790CA8" w:rsidRDefault="0038787E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r w:rsidRPr="00790CA8">
        <w:rPr>
          <w:color w:val="000000" w:themeColor="text1"/>
          <w:sz w:val="20"/>
          <w:szCs w:val="20"/>
        </w:rPr>
        <w:t>67013133</w:t>
      </w:r>
    </w:p>
    <w:p w:rsidR="007C1F2A" w:rsidRPr="00790CA8" w:rsidRDefault="009519B3" w:rsidP="00790CA8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</w:rPr>
      </w:pPr>
      <w:hyperlink r:id="rId9" w:history="1">
        <w:r w:rsidR="007C1F2A" w:rsidRPr="00790CA8">
          <w:rPr>
            <w:rStyle w:val="Hyperlink"/>
            <w:color w:val="000000" w:themeColor="text1"/>
            <w:sz w:val="20"/>
            <w:szCs w:val="20"/>
          </w:rPr>
          <w:t>Karlis.Pigens@em.gov.lv</w:t>
        </w:r>
      </w:hyperlink>
      <w:r w:rsidR="007C1F2A" w:rsidRPr="00790CA8">
        <w:rPr>
          <w:color w:val="000000" w:themeColor="text1"/>
          <w:sz w:val="20"/>
          <w:szCs w:val="20"/>
        </w:rPr>
        <w:t xml:space="preserve"> </w:t>
      </w:r>
    </w:p>
    <w:sectPr w:rsidR="007C1F2A" w:rsidRPr="00790CA8" w:rsidSect="0094759F">
      <w:headerReference w:type="default" r:id="rId10"/>
      <w:footerReference w:type="default" r:id="rId11"/>
      <w:footerReference w:type="first" r:id="rId12"/>
      <w:pgSz w:w="11906" w:h="16838"/>
      <w:pgMar w:top="1418" w:right="1134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B3" w:rsidRDefault="009519B3">
      <w:r>
        <w:separator/>
      </w:r>
    </w:p>
  </w:endnote>
  <w:endnote w:type="continuationSeparator" w:id="0">
    <w:p w:rsidR="009519B3" w:rsidRDefault="009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13" w:rsidRPr="004024C2" w:rsidRDefault="004024C2" w:rsidP="004024C2">
    <w:pPr>
      <w:contextualSpacing/>
      <w:jc w:val="both"/>
      <w:outlineLvl w:val="0"/>
    </w:pPr>
    <w:r w:rsidRPr="004024C2">
      <w:rPr>
        <w:sz w:val="20"/>
        <w:szCs w:val="20"/>
      </w:rPr>
      <w:t>EMAnot_</w:t>
    </w:r>
    <w:r w:rsidR="006448A9">
      <w:rPr>
        <w:sz w:val="20"/>
        <w:szCs w:val="20"/>
      </w:rPr>
      <w:t>1</w:t>
    </w:r>
    <w:r w:rsidR="00AC3AEF">
      <w:rPr>
        <w:sz w:val="20"/>
        <w:szCs w:val="20"/>
      </w:rPr>
      <w:t>5</w:t>
    </w:r>
    <w:r w:rsidR="007C1F2A">
      <w:rPr>
        <w:sz w:val="20"/>
        <w:szCs w:val="20"/>
      </w:rPr>
      <w:t>04</w:t>
    </w:r>
    <w:r>
      <w:rPr>
        <w:sz w:val="20"/>
        <w:szCs w:val="20"/>
      </w:rPr>
      <w:t>14</w:t>
    </w:r>
    <w:r w:rsidRPr="004024C2">
      <w:rPr>
        <w:sz w:val="20"/>
        <w:szCs w:val="20"/>
      </w:rPr>
      <w:t>_</w:t>
    </w:r>
    <w:r>
      <w:rPr>
        <w:sz w:val="20"/>
        <w:szCs w:val="20"/>
      </w:rPr>
      <w:t>221</w:t>
    </w:r>
    <w:r w:rsidRPr="004024C2">
      <w:rPr>
        <w:sz w:val="20"/>
        <w:szCs w:val="20"/>
      </w:rPr>
      <w:t xml:space="preserve">; </w:t>
    </w:r>
    <w:r w:rsidRPr="004024C2">
      <w:rPr>
        <w:color w:val="000000"/>
        <w:sz w:val="20"/>
        <w:szCs w:val="20"/>
      </w:rPr>
      <w:t xml:space="preserve">Ministru kabineta noteikumu projekta </w:t>
    </w:r>
    <w:r w:rsidRPr="004024C2">
      <w:rPr>
        <w:bCs/>
        <w:sz w:val="20"/>
        <w:szCs w:val="20"/>
      </w:rPr>
      <w:t>„Grozījum</w:t>
    </w:r>
    <w:r w:rsidR="0071109E">
      <w:rPr>
        <w:bCs/>
        <w:sz w:val="20"/>
        <w:szCs w:val="20"/>
      </w:rPr>
      <w:t>i</w:t>
    </w:r>
    <w:r w:rsidRPr="004024C2">
      <w:rPr>
        <w:bCs/>
        <w:sz w:val="20"/>
        <w:szCs w:val="20"/>
      </w:rPr>
      <w:t xml:space="preserve"> </w:t>
    </w:r>
    <w:r w:rsidRPr="004024C2">
      <w:rPr>
        <w:color w:val="000000"/>
        <w:sz w:val="20"/>
        <w:szCs w:val="20"/>
      </w:rPr>
      <w:t>Ministru kabineta 2009. gada 10. marta noteikumos Nr.221 „Noteikumi par elektroenerģijas ražošanu un cenu noteikšanu, ražojot elektroenerģiju koģenerācijā”</w:t>
    </w:r>
    <w:r w:rsidRPr="004024C2">
      <w:rPr>
        <w:bCs/>
        <w:sz w:val="20"/>
        <w:szCs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13" w:rsidRPr="007C1F2A" w:rsidRDefault="007C1F2A" w:rsidP="007C1F2A">
    <w:pPr>
      <w:contextualSpacing/>
      <w:jc w:val="both"/>
      <w:outlineLvl w:val="0"/>
    </w:pPr>
    <w:r w:rsidRPr="004024C2">
      <w:rPr>
        <w:sz w:val="20"/>
        <w:szCs w:val="20"/>
      </w:rPr>
      <w:t>EMAnot_</w:t>
    </w:r>
    <w:r w:rsidR="006448A9">
      <w:rPr>
        <w:sz w:val="20"/>
        <w:szCs w:val="20"/>
      </w:rPr>
      <w:t>1</w:t>
    </w:r>
    <w:r w:rsidR="00AC3AEF">
      <w:rPr>
        <w:sz w:val="20"/>
        <w:szCs w:val="20"/>
      </w:rPr>
      <w:t>5</w:t>
    </w:r>
    <w:r>
      <w:rPr>
        <w:sz w:val="20"/>
        <w:szCs w:val="20"/>
      </w:rPr>
      <w:t>0414</w:t>
    </w:r>
    <w:r w:rsidRPr="004024C2">
      <w:rPr>
        <w:sz w:val="20"/>
        <w:szCs w:val="20"/>
      </w:rPr>
      <w:t>_</w:t>
    </w:r>
    <w:r>
      <w:rPr>
        <w:sz w:val="20"/>
        <w:szCs w:val="20"/>
      </w:rPr>
      <w:t>221</w:t>
    </w:r>
    <w:r w:rsidRPr="004024C2">
      <w:rPr>
        <w:sz w:val="20"/>
        <w:szCs w:val="20"/>
      </w:rPr>
      <w:t xml:space="preserve">; </w:t>
    </w:r>
    <w:r w:rsidRPr="004024C2">
      <w:rPr>
        <w:color w:val="000000"/>
        <w:sz w:val="20"/>
        <w:szCs w:val="20"/>
      </w:rPr>
      <w:t xml:space="preserve">Ministru kabineta noteikumu projekta </w:t>
    </w:r>
    <w:r w:rsidRPr="004024C2">
      <w:rPr>
        <w:bCs/>
        <w:sz w:val="20"/>
        <w:szCs w:val="20"/>
      </w:rPr>
      <w:t>„Grozījum</w:t>
    </w:r>
    <w:r w:rsidR="0071109E">
      <w:rPr>
        <w:bCs/>
        <w:sz w:val="20"/>
        <w:szCs w:val="20"/>
      </w:rPr>
      <w:t>i</w:t>
    </w:r>
    <w:r w:rsidRPr="004024C2">
      <w:rPr>
        <w:bCs/>
        <w:sz w:val="20"/>
        <w:szCs w:val="20"/>
      </w:rPr>
      <w:t xml:space="preserve"> </w:t>
    </w:r>
    <w:r w:rsidRPr="004024C2">
      <w:rPr>
        <w:color w:val="000000"/>
        <w:sz w:val="20"/>
        <w:szCs w:val="20"/>
      </w:rPr>
      <w:t>Ministru kabineta 2009. gada 10. marta noteikumos Nr.221 „Noteikumi par elektroenerģijas ražošanu un cenu noteikšanu, ražojot elektroenerģiju koģenerācijā”</w:t>
    </w:r>
    <w:r w:rsidRPr="004024C2">
      <w:rPr>
        <w:bCs/>
        <w:sz w:val="20"/>
        <w:szCs w:val="20"/>
      </w:rPr>
      <w:t>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B3" w:rsidRDefault="009519B3">
      <w:r>
        <w:separator/>
      </w:r>
    </w:p>
  </w:footnote>
  <w:footnote w:type="continuationSeparator" w:id="0">
    <w:p w:rsidR="009519B3" w:rsidRDefault="009519B3">
      <w:r>
        <w:continuationSeparator/>
      </w:r>
    </w:p>
  </w:footnote>
  <w:footnote w:id="1">
    <w:p w:rsidR="00B87A66" w:rsidRDefault="00B87A66" w:rsidP="00B87A66">
      <w:pPr>
        <w:jc w:val="both"/>
      </w:pPr>
      <w:r w:rsidRPr="00B87A66">
        <w:rPr>
          <w:rStyle w:val="FootnoteReference"/>
          <w:sz w:val="20"/>
          <w:szCs w:val="20"/>
        </w:rPr>
        <w:footnoteRef/>
      </w:r>
      <w:r w:rsidRPr="00B87A66">
        <w:rPr>
          <w:sz w:val="20"/>
          <w:szCs w:val="20"/>
        </w:rPr>
        <w:t xml:space="preserve"> Pētījum</w:t>
      </w:r>
      <w:r w:rsidR="001A3BE3">
        <w:rPr>
          <w:sz w:val="20"/>
          <w:szCs w:val="20"/>
        </w:rPr>
        <w:t xml:space="preserve">a </w:t>
      </w:r>
      <w:r w:rsidRPr="00B87A66">
        <w:rPr>
          <w:rFonts w:eastAsia="Calibri"/>
          <w:color w:val="000000"/>
          <w:sz w:val="20"/>
          <w:szCs w:val="20"/>
        </w:rPr>
        <w:t>„Elektroenerģijas, kas ražota no atjaunojamiem energoresursiem un koģenerācijā, atbalsta izvērtējums un priekšlikumi atbalsta uzlabošanai”</w:t>
      </w:r>
      <w:r w:rsidR="001A3BE3">
        <w:rPr>
          <w:rFonts w:eastAsia="Calibri"/>
          <w:color w:val="000000"/>
          <w:sz w:val="20"/>
          <w:szCs w:val="20"/>
        </w:rPr>
        <w:t xml:space="preserve"> 118.lpp. Pētījums</w:t>
      </w:r>
      <w:r w:rsidRPr="00B87A66">
        <w:rPr>
          <w:rFonts w:eastAsia="Calibri"/>
          <w:color w:val="000000"/>
          <w:sz w:val="20"/>
          <w:szCs w:val="20"/>
        </w:rPr>
        <w:t xml:space="preserve"> pieejams Ekonomikas ministrija tīmekļa vietnē: (</w:t>
      </w:r>
      <w:hyperlink r:id="rId1" w:history="1">
        <w:r w:rsidRPr="00B87A66">
          <w:rPr>
            <w:rStyle w:val="Hyperlink"/>
            <w:rFonts w:eastAsia="Calibri"/>
            <w:color w:val="000000"/>
            <w:sz w:val="20"/>
            <w:szCs w:val="20"/>
          </w:rPr>
          <w:t>http://www.em.gov.lv/em/2nd/?cat=30179</w:t>
        </w:r>
      </w:hyperlink>
      <w:r w:rsidRPr="00B87A66">
        <w:rPr>
          <w:rStyle w:val="Hyperlink"/>
          <w:rFonts w:eastAsia="Calibri"/>
          <w:color w:val="000000"/>
          <w:sz w:val="20"/>
          <w:szCs w:val="20"/>
        </w:rPr>
        <w:t>)</w:t>
      </w:r>
      <w:r w:rsidRPr="00B87A66">
        <w:rPr>
          <w:rFonts w:eastAsia="Calibri"/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4391"/>
      <w:docPartObj>
        <w:docPartGallery w:val="Page Numbers (Top of Page)"/>
        <w:docPartUnique/>
      </w:docPartObj>
    </w:sdtPr>
    <w:sdtEndPr/>
    <w:sdtContent>
      <w:p w:rsidR="00F72E13" w:rsidRDefault="003178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E13" w:rsidRDefault="00F72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1476"/>
    <w:multiLevelType w:val="hybridMultilevel"/>
    <w:tmpl w:val="30EADD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012"/>
    <w:multiLevelType w:val="hybridMultilevel"/>
    <w:tmpl w:val="825CA5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4E77"/>
    <w:multiLevelType w:val="hybridMultilevel"/>
    <w:tmpl w:val="643CD2C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B342C1"/>
    <w:multiLevelType w:val="hybridMultilevel"/>
    <w:tmpl w:val="BE3482BC"/>
    <w:lvl w:ilvl="0" w:tplc="DA8260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C"/>
    <w:rsid w:val="00002533"/>
    <w:rsid w:val="00002CFB"/>
    <w:rsid w:val="00003034"/>
    <w:rsid w:val="00006186"/>
    <w:rsid w:val="00006263"/>
    <w:rsid w:val="00015274"/>
    <w:rsid w:val="00023BE0"/>
    <w:rsid w:val="000307EC"/>
    <w:rsid w:val="00030E08"/>
    <w:rsid w:val="000411A2"/>
    <w:rsid w:val="00062AFB"/>
    <w:rsid w:val="0008083E"/>
    <w:rsid w:val="00083D0E"/>
    <w:rsid w:val="00085923"/>
    <w:rsid w:val="0009208B"/>
    <w:rsid w:val="00092EC2"/>
    <w:rsid w:val="000B1299"/>
    <w:rsid w:val="000B2F14"/>
    <w:rsid w:val="000B654C"/>
    <w:rsid w:val="000C346D"/>
    <w:rsid w:val="000C3A7F"/>
    <w:rsid w:val="000C4407"/>
    <w:rsid w:val="000C5C51"/>
    <w:rsid w:val="000C624C"/>
    <w:rsid w:val="000D0970"/>
    <w:rsid w:val="000D4C2E"/>
    <w:rsid w:val="000D7D82"/>
    <w:rsid w:val="000E2245"/>
    <w:rsid w:val="000E690F"/>
    <w:rsid w:val="000F0035"/>
    <w:rsid w:val="000F6095"/>
    <w:rsid w:val="0011496F"/>
    <w:rsid w:val="0012248A"/>
    <w:rsid w:val="00131719"/>
    <w:rsid w:val="00141922"/>
    <w:rsid w:val="00144309"/>
    <w:rsid w:val="00146184"/>
    <w:rsid w:val="00147B5F"/>
    <w:rsid w:val="00155A90"/>
    <w:rsid w:val="0015761D"/>
    <w:rsid w:val="00171647"/>
    <w:rsid w:val="00171B35"/>
    <w:rsid w:val="00171C09"/>
    <w:rsid w:val="00183897"/>
    <w:rsid w:val="00186BBC"/>
    <w:rsid w:val="00187797"/>
    <w:rsid w:val="001A3BE3"/>
    <w:rsid w:val="001A6C2B"/>
    <w:rsid w:val="001A72AA"/>
    <w:rsid w:val="001B4DC7"/>
    <w:rsid w:val="001C1A2E"/>
    <w:rsid w:val="001D1B66"/>
    <w:rsid w:val="001E3714"/>
    <w:rsid w:val="001F1A2E"/>
    <w:rsid w:val="001F72E1"/>
    <w:rsid w:val="002000B5"/>
    <w:rsid w:val="00204A0F"/>
    <w:rsid w:val="002051F5"/>
    <w:rsid w:val="002056DF"/>
    <w:rsid w:val="00205ACF"/>
    <w:rsid w:val="00205F55"/>
    <w:rsid w:val="00212C50"/>
    <w:rsid w:val="00213196"/>
    <w:rsid w:val="00213A4F"/>
    <w:rsid w:val="00225654"/>
    <w:rsid w:val="00230712"/>
    <w:rsid w:val="00235C64"/>
    <w:rsid w:val="002365F1"/>
    <w:rsid w:val="00245DB5"/>
    <w:rsid w:val="002612CE"/>
    <w:rsid w:val="00263785"/>
    <w:rsid w:val="002762A5"/>
    <w:rsid w:val="0028250F"/>
    <w:rsid w:val="002830FC"/>
    <w:rsid w:val="00292262"/>
    <w:rsid w:val="002B44AF"/>
    <w:rsid w:val="002B708A"/>
    <w:rsid w:val="002D7C67"/>
    <w:rsid w:val="002E584A"/>
    <w:rsid w:val="0030164A"/>
    <w:rsid w:val="0031785A"/>
    <w:rsid w:val="00321F7E"/>
    <w:rsid w:val="00322ACC"/>
    <w:rsid w:val="00325030"/>
    <w:rsid w:val="003255EE"/>
    <w:rsid w:val="00355EED"/>
    <w:rsid w:val="00367663"/>
    <w:rsid w:val="003716AE"/>
    <w:rsid w:val="00374BAD"/>
    <w:rsid w:val="003754C8"/>
    <w:rsid w:val="00377D1F"/>
    <w:rsid w:val="0038787E"/>
    <w:rsid w:val="003938D5"/>
    <w:rsid w:val="00397020"/>
    <w:rsid w:val="003B6256"/>
    <w:rsid w:val="003C5082"/>
    <w:rsid w:val="003D44D3"/>
    <w:rsid w:val="003E00E1"/>
    <w:rsid w:val="003E0379"/>
    <w:rsid w:val="003F7923"/>
    <w:rsid w:val="004024C2"/>
    <w:rsid w:val="0042350B"/>
    <w:rsid w:val="0043460D"/>
    <w:rsid w:val="00435C4E"/>
    <w:rsid w:val="00436FED"/>
    <w:rsid w:val="00444F36"/>
    <w:rsid w:val="00445CE6"/>
    <w:rsid w:val="00454A67"/>
    <w:rsid w:val="00456AB4"/>
    <w:rsid w:val="004602E5"/>
    <w:rsid w:val="004625CB"/>
    <w:rsid w:val="0046388B"/>
    <w:rsid w:val="00467807"/>
    <w:rsid w:val="00467AE2"/>
    <w:rsid w:val="00470C42"/>
    <w:rsid w:val="00476C69"/>
    <w:rsid w:val="004874F2"/>
    <w:rsid w:val="00496E0A"/>
    <w:rsid w:val="004A7C3C"/>
    <w:rsid w:val="004B0A2B"/>
    <w:rsid w:val="004B51EA"/>
    <w:rsid w:val="004B6002"/>
    <w:rsid w:val="004C1E1A"/>
    <w:rsid w:val="004C27A3"/>
    <w:rsid w:val="004E4FC5"/>
    <w:rsid w:val="00504184"/>
    <w:rsid w:val="00510E71"/>
    <w:rsid w:val="00515281"/>
    <w:rsid w:val="00516161"/>
    <w:rsid w:val="00525153"/>
    <w:rsid w:val="0052711C"/>
    <w:rsid w:val="00527E2C"/>
    <w:rsid w:val="005401D5"/>
    <w:rsid w:val="005502A9"/>
    <w:rsid w:val="005674CF"/>
    <w:rsid w:val="00580579"/>
    <w:rsid w:val="00586632"/>
    <w:rsid w:val="005905EA"/>
    <w:rsid w:val="005953F7"/>
    <w:rsid w:val="00597319"/>
    <w:rsid w:val="005A3F8B"/>
    <w:rsid w:val="005B1DE9"/>
    <w:rsid w:val="005B49C4"/>
    <w:rsid w:val="005D2283"/>
    <w:rsid w:val="005D52E5"/>
    <w:rsid w:val="005E4FB7"/>
    <w:rsid w:val="005E5231"/>
    <w:rsid w:val="005E59EE"/>
    <w:rsid w:val="005F1654"/>
    <w:rsid w:val="005F499B"/>
    <w:rsid w:val="0060359C"/>
    <w:rsid w:val="00605930"/>
    <w:rsid w:val="00606F0F"/>
    <w:rsid w:val="006070AD"/>
    <w:rsid w:val="00607FC1"/>
    <w:rsid w:val="0061285C"/>
    <w:rsid w:val="006153C6"/>
    <w:rsid w:val="00621CFE"/>
    <w:rsid w:val="006233BE"/>
    <w:rsid w:val="00634C4B"/>
    <w:rsid w:val="00636316"/>
    <w:rsid w:val="0063700E"/>
    <w:rsid w:val="00642ED1"/>
    <w:rsid w:val="006444BD"/>
    <w:rsid w:val="006448A9"/>
    <w:rsid w:val="006450D6"/>
    <w:rsid w:val="00646084"/>
    <w:rsid w:val="006479B8"/>
    <w:rsid w:val="0065682C"/>
    <w:rsid w:val="00667AC4"/>
    <w:rsid w:val="00677470"/>
    <w:rsid w:val="00682CE4"/>
    <w:rsid w:val="00683362"/>
    <w:rsid w:val="00684126"/>
    <w:rsid w:val="0069091D"/>
    <w:rsid w:val="00693AC9"/>
    <w:rsid w:val="006943D4"/>
    <w:rsid w:val="006A06DE"/>
    <w:rsid w:val="006A7797"/>
    <w:rsid w:val="006B07E1"/>
    <w:rsid w:val="006B5BA5"/>
    <w:rsid w:val="006B6539"/>
    <w:rsid w:val="006B7369"/>
    <w:rsid w:val="006C6203"/>
    <w:rsid w:val="006C626F"/>
    <w:rsid w:val="006D1678"/>
    <w:rsid w:val="006D1AD3"/>
    <w:rsid w:val="006E4BB6"/>
    <w:rsid w:val="006E56FB"/>
    <w:rsid w:val="006F22B7"/>
    <w:rsid w:val="006F320B"/>
    <w:rsid w:val="006F4123"/>
    <w:rsid w:val="007040BF"/>
    <w:rsid w:val="0071109E"/>
    <w:rsid w:val="007135F5"/>
    <w:rsid w:val="00720C43"/>
    <w:rsid w:val="007213EE"/>
    <w:rsid w:val="00722569"/>
    <w:rsid w:val="00722D04"/>
    <w:rsid w:val="00726DBD"/>
    <w:rsid w:val="00727F9E"/>
    <w:rsid w:val="00731681"/>
    <w:rsid w:val="0073218E"/>
    <w:rsid w:val="007343BB"/>
    <w:rsid w:val="0074075A"/>
    <w:rsid w:val="0074115E"/>
    <w:rsid w:val="007423D7"/>
    <w:rsid w:val="00752EA8"/>
    <w:rsid w:val="0075376F"/>
    <w:rsid w:val="00764D5D"/>
    <w:rsid w:val="00774214"/>
    <w:rsid w:val="00781525"/>
    <w:rsid w:val="00790CA8"/>
    <w:rsid w:val="00794236"/>
    <w:rsid w:val="00797AEE"/>
    <w:rsid w:val="007A2129"/>
    <w:rsid w:val="007A4CFE"/>
    <w:rsid w:val="007A6A26"/>
    <w:rsid w:val="007A72E5"/>
    <w:rsid w:val="007A7613"/>
    <w:rsid w:val="007B3C6A"/>
    <w:rsid w:val="007B4C35"/>
    <w:rsid w:val="007C1F2A"/>
    <w:rsid w:val="007D2420"/>
    <w:rsid w:val="007F11D4"/>
    <w:rsid w:val="00804CFF"/>
    <w:rsid w:val="00814312"/>
    <w:rsid w:val="00815C3A"/>
    <w:rsid w:val="00817316"/>
    <w:rsid w:val="00822526"/>
    <w:rsid w:val="00822FE8"/>
    <w:rsid w:val="008323C5"/>
    <w:rsid w:val="00840817"/>
    <w:rsid w:val="00851C84"/>
    <w:rsid w:val="00863ADD"/>
    <w:rsid w:val="008667DC"/>
    <w:rsid w:val="00871475"/>
    <w:rsid w:val="008745B3"/>
    <w:rsid w:val="0089380C"/>
    <w:rsid w:val="008A2240"/>
    <w:rsid w:val="008A3446"/>
    <w:rsid w:val="008A64B2"/>
    <w:rsid w:val="008C222E"/>
    <w:rsid w:val="008C7745"/>
    <w:rsid w:val="008D0DDD"/>
    <w:rsid w:val="008D6852"/>
    <w:rsid w:val="008E1079"/>
    <w:rsid w:val="008E1EA2"/>
    <w:rsid w:val="008F7768"/>
    <w:rsid w:val="00900F89"/>
    <w:rsid w:val="00903F26"/>
    <w:rsid w:val="00911250"/>
    <w:rsid w:val="00916830"/>
    <w:rsid w:val="009352A5"/>
    <w:rsid w:val="009426AE"/>
    <w:rsid w:val="00944E33"/>
    <w:rsid w:val="00946975"/>
    <w:rsid w:val="0094759F"/>
    <w:rsid w:val="009515C4"/>
    <w:rsid w:val="009519B3"/>
    <w:rsid w:val="0095727B"/>
    <w:rsid w:val="009622AF"/>
    <w:rsid w:val="0099482E"/>
    <w:rsid w:val="009A090E"/>
    <w:rsid w:val="009A16A1"/>
    <w:rsid w:val="009A775F"/>
    <w:rsid w:val="009B0D25"/>
    <w:rsid w:val="009B3275"/>
    <w:rsid w:val="009C444F"/>
    <w:rsid w:val="009D07A5"/>
    <w:rsid w:val="009D2285"/>
    <w:rsid w:val="009D502D"/>
    <w:rsid w:val="009E1CB5"/>
    <w:rsid w:val="009E385B"/>
    <w:rsid w:val="009F062C"/>
    <w:rsid w:val="00A01D4D"/>
    <w:rsid w:val="00A24608"/>
    <w:rsid w:val="00A257A8"/>
    <w:rsid w:val="00A31910"/>
    <w:rsid w:val="00A3255A"/>
    <w:rsid w:val="00A45F3F"/>
    <w:rsid w:val="00A45F8E"/>
    <w:rsid w:val="00A53A71"/>
    <w:rsid w:val="00A63D1F"/>
    <w:rsid w:val="00A75B93"/>
    <w:rsid w:val="00A8143F"/>
    <w:rsid w:val="00A84158"/>
    <w:rsid w:val="00A92C0C"/>
    <w:rsid w:val="00AA2980"/>
    <w:rsid w:val="00AA2F10"/>
    <w:rsid w:val="00AB264F"/>
    <w:rsid w:val="00AC0250"/>
    <w:rsid w:val="00AC0DCF"/>
    <w:rsid w:val="00AC1F53"/>
    <w:rsid w:val="00AC3AEF"/>
    <w:rsid w:val="00AC4672"/>
    <w:rsid w:val="00AC55C7"/>
    <w:rsid w:val="00AD12E3"/>
    <w:rsid w:val="00AD7DC7"/>
    <w:rsid w:val="00AE10FF"/>
    <w:rsid w:val="00AE2232"/>
    <w:rsid w:val="00B06E68"/>
    <w:rsid w:val="00B078C3"/>
    <w:rsid w:val="00B1634A"/>
    <w:rsid w:val="00B21B97"/>
    <w:rsid w:val="00B22DDF"/>
    <w:rsid w:val="00B27AAD"/>
    <w:rsid w:val="00B302B4"/>
    <w:rsid w:val="00B318BB"/>
    <w:rsid w:val="00B36AE9"/>
    <w:rsid w:val="00B45AEB"/>
    <w:rsid w:val="00B56B89"/>
    <w:rsid w:val="00B61505"/>
    <w:rsid w:val="00B6178C"/>
    <w:rsid w:val="00B64DB5"/>
    <w:rsid w:val="00B772E7"/>
    <w:rsid w:val="00B800AE"/>
    <w:rsid w:val="00B807CD"/>
    <w:rsid w:val="00B85E4C"/>
    <w:rsid w:val="00B8600D"/>
    <w:rsid w:val="00B87A66"/>
    <w:rsid w:val="00B91CA0"/>
    <w:rsid w:val="00BA71FF"/>
    <w:rsid w:val="00BB5653"/>
    <w:rsid w:val="00BD0455"/>
    <w:rsid w:val="00BD263B"/>
    <w:rsid w:val="00BD4304"/>
    <w:rsid w:val="00BD4772"/>
    <w:rsid w:val="00BE2C72"/>
    <w:rsid w:val="00BF2755"/>
    <w:rsid w:val="00C0118A"/>
    <w:rsid w:val="00C1175D"/>
    <w:rsid w:val="00C1367F"/>
    <w:rsid w:val="00C13CB6"/>
    <w:rsid w:val="00C15E77"/>
    <w:rsid w:val="00C3315D"/>
    <w:rsid w:val="00C52054"/>
    <w:rsid w:val="00C63108"/>
    <w:rsid w:val="00C73BD5"/>
    <w:rsid w:val="00C770AD"/>
    <w:rsid w:val="00C870DB"/>
    <w:rsid w:val="00C96074"/>
    <w:rsid w:val="00CA4C33"/>
    <w:rsid w:val="00CA6B76"/>
    <w:rsid w:val="00CB4654"/>
    <w:rsid w:val="00CF0035"/>
    <w:rsid w:val="00D04B59"/>
    <w:rsid w:val="00D05A30"/>
    <w:rsid w:val="00D34BD0"/>
    <w:rsid w:val="00D35394"/>
    <w:rsid w:val="00D6038E"/>
    <w:rsid w:val="00D62F85"/>
    <w:rsid w:val="00D70509"/>
    <w:rsid w:val="00D725F0"/>
    <w:rsid w:val="00D72D4D"/>
    <w:rsid w:val="00D751B0"/>
    <w:rsid w:val="00D76697"/>
    <w:rsid w:val="00D800A7"/>
    <w:rsid w:val="00D81689"/>
    <w:rsid w:val="00D8433F"/>
    <w:rsid w:val="00D85761"/>
    <w:rsid w:val="00D95162"/>
    <w:rsid w:val="00D976BB"/>
    <w:rsid w:val="00DA176A"/>
    <w:rsid w:val="00DA26CB"/>
    <w:rsid w:val="00DA7022"/>
    <w:rsid w:val="00DB08E1"/>
    <w:rsid w:val="00DB1DA9"/>
    <w:rsid w:val="00DC5C95"/>
    <w:rsid w:val="00DC7B61"/>
    <w:rsid w:val="00DD3FB8"/>
    <w:rsid w:val="00DD528A"/>
    <w:rsid w:val="00DD6BE1"/>
    <w:rsid w:val="00DE0E8D"/>
    <w:rsid w:val="00DE1024"/>
    <w:rsid w:val="00DE3B12"/>
    <w:rsid w:val="00DF012F"/>
    <w:rsid w:val="00DF18D9"/>
    <w:rsid w:val="00DF6696"/>
    <w:rsid w:val="00E04040"/>
    <w:rsid w:val="00E04F4C"/>
    <w:rsid w:val="00E12E17"/>
    <w:rsid w:val="00E23870"/>
    <w:rsid w:val="00E33C97"/>
    <w:rsid w:val="00E40368"/>
    <w:rsid w:val="00E40631"/>
    <w:rsid w:val="00E40CD5"/>
    <w:rsid w:val="00E440E8"/>
    <w:rsid w:val="00E60D37"/>
    <w:rsid w:val="00E620BE"/>
    <w:rsid w:val="00E6657E"/>
    <w:rsid w:val="00E71495"/>
    <w:rsid w:val="00EA04BE"/>
    <w:rsid w:val="00EA18F1"/>
    <w:rsid w:val="00EA2AA3"/>
    <w:rsid w:val="00EA43AB"/>
    <w:rsid w:val="00EA7A72"/>
    <w:rsid w:val="00EB01F6"/>
    <w:rsid w:val="00EB2194"/>
    <w:rsid w:val="00EB7FA3"/>
    <w:rsid w:val="00EC14D6"/>
    <w:rsid w:val="00EC4F25"/>
    <w:rsid w:val="00ED708F"/>
    <w:rsid w:val="00EE1FDB"/>
    <w:rsid w:val="00EE2530"/>
    <w:rsid w:val="00EE2FD6"/>
    <w:rsid w:val="00F0583F"/>
    <w:rsid w:val="00F17731"/>
    <w:rsid w:val="00F17D87"/>
    <w:rsid w:val="00F20DA3"/>
    <w:rsid w:val="00F25D11"/>
    <w:rsid w:val="00F25D4D"/>
    <w:rsid w:val="00F36583"/>
    <w:rsid w:val="00F3698F"/>
    <w:rsid w:val="00F40385"/>
    <w:rsid w:val="00F41EFF"/>
    <w:rsid w:val="00F421D7"/>
    <w:rsid w:val="00F503BA"/>
    <w:rsid w:val="00F50DC4"/>
    <w:rsid w:val="00F54A75"/>
    <w:rsid w:val="00F72E13"/>
    <w:rsid w:val="00F77128"/>
    <w:rsid w:val="00F813D1"/>
    <w:rsid w:val="00F87271"/>
    <w:rsid w:val="00F87FA1"/>
    <w:rsid w:val="00F91240"/>
    <w:rsid w:val="00F9798A"/>
    <w:rsid w:val="00FB0404"/>
    <w:rsid w:val="00FB2C7D"/>
    <w:rsid w:val="00FB4700"/>
    <w:rsid w:val="00FC1CC8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link w:val="naisfChar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A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08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D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5231"/>
    <w:pPr>
      <w:spacing w:after="200" w:line="276" w:lineRule="auto"/>
      <w:ind w:left="720"/>
    </w:pPr>
    <w:rPr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F72E1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72E13"/>
    <w:rPr>
      <w:sz w:val="24"/>
      <w:szCs w:val="24"/>
    </w:rPr>
  </w:style>
  <w:style w:type="character" w:styleId="Strong">
    <w:name w:val="Strong"/>
    <w:uiPriority w:val="22"/>
    <w:qFormat/>
    <w:rsid w:val="0038787E"/>
    <w:rPr>
      <w:b/>
      <w:bCs/>
    </w:rPr>
  </w:style>
  <w:style w:type="character" w:customStyle="1" w:styleId="naisfChar">
    <w:name w:val="naisf Char"/>
    <w:link w:val="naisf"/>
    <w:locked/>
    <w:rsid w:val="0038787E"/>
    <w:rPr>
      <w:sz w:val="24"/>
      <w:szCs w:val="24"/>
    </w:rPr>
  </w:style>
  <w:style w:type="paragraph" w:customStyle="1" w:styleId="Default">
    <w:name w:val="Default"/>
    <w:rsid w:val="001C1A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rsid w:val="001C1A2E"/>
    <w:rPr>
      <w:sz w:val="20"/>
      <w:szCs w:val="20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rsid w:val="001C1A2E"/>
  </w:style>
  <w:style w:type="character" w:styleId="FootnoteReference">
    <w:name w:val="footnote reference"/>
    <w:aliases w:val="Footnote Reference Number,SUPERS"/>
    <w:basedOn w:val="DefaultParagraphFont"/>
    <w:rsid w:val="001C1A2E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184"/>
  </w:style>
  <w:style w:type="paragraph" w:customStyle="1" w:styleId="doc-ti">
    <w:name w:val="doc-ti"/>
    <w:basedOn w:val="Normal"/>
    <w:rsid w:val="004024C2"/>
    <w:pPr>
      <w:spacing w:before="240" w:after="120"/>
      <w:jc w:val="center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C95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6F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5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9380C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89380C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89380C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89380C"/>
    <w:pPr>
      <w:spacing w:before="100" w:beforeAutospacing="1" w:after="100" w:afterAutospacing="1"/>
    </w:pPr>
  </w:style>
  <w:style w:type="paragraph" w:customStyle="1" w:styleId="naisf">
    <w:name w:val="naisf"/>
    <w:basedOn w:val="Normal"/>
    <w:link w:val="naisfChar"/>
    <w:rsid w:val="008938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4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0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08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35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F20D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Normal"/>
    <w:rsid w:val="0012248A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A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06D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06DE"/>
    <w:rPr>
      <w:b/>
      <w:bCs/>
    </w:rPr>
  </w:style>
  <w:style w:type="character" w:styleId="Hyperlink">
    <w:name w:val="Hyperlink"/>
    <w:basedOn w:val="DefaultParagraphFont"/>
    <w:semiHidden/>
    <w:rsid w:val="00D751B0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D751B0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68412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708A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22D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2D0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5231"/>
    <w:pPr>
      <w:spacing w:after="200" w:line="276" w:lineRule="auto"/>
      <w:ind w:left="720"/>
    </w:pPr>
    <w:rPr>
      <w:sz w:val="28"/>
      <w:szCs w:val="28"/>
    </w:rPr>
  </w:style>
  <w:style w:type="paragraph" w:styleId="NormalWeb">
    <w:name w:val="Normal (Web)"/>
    <w:basedOn w:val="Normal"/>
    <w:link w:val="NormalWebChar"/>
    <w:uiPriority w:val="99"/>
    <w:rsid w:val="00F72E13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F72E13"/>
    <w:rPr>
      <w:sz w:val="24"/>
      <w:szCs w:val="24"/>
    </w:rPr>
  </w:style>
  <w:style w:type="character" w:styleId="Strong">
    <w:name w:val="Strong"/>
    <w:uiPriority w:val="22"/>
    <w:qFormat/>
    <w:rsid w:val="0038787E"/>
    <w:rPr>
      <w:b/>
      <w:bCs/>
    </w:rPr>
  </w:style>
  <w:style w:type="character" w:customStyle="1" w:styleId="naisfChar">
    <w:name w:val="naisf Char"/>
    <w:link w:val="naisf"/>
    <w:locked/>
    <w:rsid w:val="0038787E"/>
    <w:rPr>
      <w:sz w:val="24"/>
      <w:szCs w:val="24"/>
    </w:rPr>
  </w:style>
  <w:style w:type="paragraph" w:customStyle="1" w:styleId="Default">
    <w:name w:val="Default"/>
    <w:rsid w:val="001C1A2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rsid w:val="001C1A2E"/>
    <w:rPr>
      <w:sz w:val="20"/>
      <w:szCs w:val="20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rsid w:val="001C1A2E"/>
  </w:style>
  <w:style w:type="character" w:styleId="FootnoteReference">
    <w:name w:val="footnote reference"/>
    <w:aliases w:val="Footnote Reference Number,SUPERS"/>
    <w:basedOn w:val="DefaultParagraphFont"/>
    <w:rsid w:val="001C1A2E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184"/>
  </w:style>
  <w:style w:type="paragraph" w:customStyle="1" w:styleId="doc-ti">
    <w:name w:val="doc-ti"/>
    <w:basedOn w:val="Normal"/>
    <w:rsid w:val="004024C2"/>
    <w:pPr>
      <w:spacing w:before="240" w:after="120"/>
      <w:jc w:val="center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C9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5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Pigens@e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.gov.lv/em/2nd/?cat=30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D727-3F1E-4EB9-A3CD-D76C7BB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6502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mailto:elina.ergle@mfa.gov.lv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Piģēns</dc:creator>
  <cp:lastModifiedBy>Kārlis Piģēns</cp:lastModifiedBy>
  <cp:revision>82</cp:revision>
  <cp:lastPrinted>2011-03-03T08:10:00Z</cp:lastPrinted>
  <dcterms:created xsi:type="dcterms:W3CDTF">2013-12-17T07:53:00Z</dcterms:created>
  <dcterms:modified xsi:type="dcterms:W3CDTF">2014-04-15T07:23:00Z</dcterms:modified>
</cp:coreProperties>
</file>